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Indent"/>
        <w:pBdr>
          <w:bottom w:val="single" w:sz="8" w:space="1" w:color="auto"/>
        </w:pBdr>
        <w:tabs>
          <w:tab w:val="left" w:pos="1418"/>
          <w:tab w:val="right" w:pos="9639"/>
        </w:tabs>
        <w:spacing w:line="240" w:lineRule="auto"/>
        <w:jc w:val="left"/>
        <w:rPr>
          <w:rFonts w:ascii="Arial" w:hAnsi="Arial"/>
        </w:rPr>
      </w:pPr>
      <w:commentRangeStart w:id="0"/>
      <w:r>
        <w:rPr>
          <w:rFonts w:ascii="Arial" w:hAnsi="Arial"/>
          <w:b/>
          <w:sz w:val="6"/>
        </w:rPr>
        <w:t xml:space="preserve">  </w:t>
      </w:r>
      <w:commentRangeEnd w:id="0"/>
      <w:r>
        <w:rPr>
          <w:rStyle w:val="CommentReference"/>
          <w:vanish/>
          <w:color w:val="auto"/>
        </w:rPr>
        <w:commentReference w:id="0"/>
      </w:r>
      <w:r>
        <w:rPr>
          <w:rFonts w:ascii="Arial" w:hAnsi="Arial"/>
          <w:b/>
          <w:sz w:val="22"/>
        </w:rPr>
        <w:t>ОРГАНИЗАЦИЯ ОБЪЕДИНЕННЫХ НАЦИЙ</w:t>
      </w:r>
      <w:r>
        <w:rPr>
          <w:rFonts w:ascii="Arial" w:hAnsi="Arial"/>
        </w:rPr>
        <w:tab/>
      </w:r>
      <w:r>
        <w:rPr>
          <w:rFonts w:ascii="Arial" w:hAnsi="Arial"/>
          <w:b/>
          <w:sz w:val="40"/>
          <w:lang w:val="en-US"/>
        </w:rPr>
        <w:t>CEDAW</w:t>
      </w:r>
      <w:r>
        <w:rPr>
          <w:rFonts w:ascii="Arial" w:hAnsi="Arial"/>
        </w:rPr>
        <w:t>/</w:t>
      </w:r>
      <w:r>
        <w:rPr>
          <w:rFonts w:ascii="Arial" w:hAnsi="Arial"/>
          <w:lang w:val="en-US"/>
        </w:rPr>
        <w:t>C</w:t>
      </w:r>
      <w:r>
        <w:rPr>
          <w:rFonts w:ascii="Arial" w:hAnsi="Arial"/>
        </w:rPr>
        <w:t>/</w:t>
      </w:r>
      <w:r>
        <w:rPr>
          <w:rFonts w:ascii="Arial" w:hAnsi="Arial"/>
          <w:lang w:val="en-US"/>
        </w:rPr>
        <w:t>TUN</w:t>
      </w:r>
      <w:r>
        <w:rPr>
          <w:rFonts w:ascii="Arial" w:hAnsi="Arial"/>
        </w:rPr>
        <w:t>/3-4</w:t>
      </w:r>
    </w:p>
    <w:p w:rsidR="00000000" w:rsidRDefault="00000000">
      <w:pPr>
        <w:pStyle w:val="Heading1"/>
        <w:spacing w:before="240" w:after="0" w:line="240" w:lineRule="auto"/>
        <w:ind w:left="1304"/>
        <w:jc w:val="left"/>
        <w:rPr>
          <w:rFonts w:ascii="Arial" w:hAnsi="Arial"/>
          <w:caps/>
          <w:u w:val="none"/>
        </w:rPr>
      </w:pPr>
      <w:r>
        <w:rPr>
          <w:rFonts w:ascii="Arial" w:hAnsi="Arial"/>
          <w:caps/>
          <w:noProof/>
          <w:u w:val="none"/>
        </w:rPr>
        <w:pict>
          <v:shapetype id="_x0000_t202" coordsize="21600,21600" o:spt="202" path="m,l,21600r21600,l21600,xe">
            <v:stroke joinstyle="miter"/>
            <v:path gradientshapeok="t" o:connecttype="rect"/>
          </v:shapetype>
          <v:shape id="_x0000_s1026" type="#_x0000_t202" style="position:absolute;left:0;text-align:left;margin-left:67.45pt;margin-top:12.25pt;width:48.95pt;height:41.85pt;z-index:1;mso-position-horizontal:absolute;mso-position-horizontal-relative:page;mso-position-vertical:absolute;mso-position-vertical-relative:text" o:allowincell="f" strokecolor="white">
            <v:textbox style="mso-next-textbox:#_x0000_s1026" inset="0,0,0,0">
              <w:txbxContent>
                <w:bookmarkStart w:id="1" w:name="_MON_979384112"/>
                <w:bookmarkStart w:id="2" w:name="_MON_1028637953"/>
                <w:bookmarkStart w:id="3" w:name="_MON_1028638124"/>
                <w:bookmarkStart w:id="4" w:name="_MON_1028715977"/>
                <w:bookmarkEnd w:id="1"/>
                <w:bookmarkEnd w:id="2"/>
                <w:bookmarkEnd w:id="3"/>
                <w:bookmarkEnd w:id="4"/>
                <w:p w:rsidR="00000000" w:rsidRDefault="00000000">
                  <w:pPr>
                    <w:spacing w:line="480" w:lineRule="auto"/>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8" o:title=""/>
                      </v:shape>
                      <o:OLEObject Type="Embed" ProgID="Word.Picture.8" ShapeID="_x0000_i1025" DrawAspect="Content" ObjectID="_1444051591" r:id="rId9"/>
                    </w:object>
                  </w:r>
                </w:p>
              </w:txbxContent>
            </v:textbox>
            <w10:wrap anchorx="page"/>
          </v:shape>
        </w:pict>
      </w:r>
      <w:r>
        <w:rPr>
          <w:rFonts w:ascii="Arial" w:hAnsi="Arial"/>
          <w:caps/>
          <w:noProof/>
          <w:u w:val="none"/>
        </w:rPr>
        <w:pict>
          <v:shape id="_x0000_s1027" type="#_x0000_t202" style="position:absolute;left:0;text-align:left;margin-left:314.5pt;margin-top:16.45pt;width:103.2pt;height:83.4pt;z-index:2;mso-position-horizontal:absolute;mso-position-horizontal-relative:text;mso-position-vertical:absolute;mso-position-vertical-relative:text" o:allowincell="f" strokecolor="white">
            <v:textbox style="mso-next-textbox:#_x0000_s1027" inset="0,0,0,0">
              <w:txbxContent>
                <w:p w:rsidR="00000000" w:rsidRDefault="00000000">
                  <w:pPr>
                    <w:spacing w:after="0"/>
                  </w:pPr>
                  <w:r>
                    <w:rPr>
                      <w:lang w:val="en-US"/>
                    </w:rPr>
                    <w:t>Distr.: General</w:t>
                  </w:r>
                </w:p>
                <w:p w:rsidR="00000000" w:rsidRDefault="00000000">
                  <w:pPr>
                    <w:spacing w:after="0"/>
                    <w:rPr>
                      <w:lang w:val="en-US"/>
                    </w:rPr>
                  </w:pPr>
                  <w:r>
                    <w:rPr>
                      <w:lang w:val="en-US"/>
                    </w:rPr>
                    <w:t>2 August 2000</w:t>
                  </w:r>
                </w:p>
                <w:p w:rsidR="00000000" w:rsidRDefault="00000000">
                  <w:pPr>
                    <w:spacing w:after="0"/>
                    <w:rPr>
                      <w:lang w:val="en-US"/>
                    </w:rPr>
                  </w:pPr>
                </w:p>
                <w:p w:rsidR="00000000" w:rsidRDefault="00000000">
                  <w:pPr>
                    <w:spacing w:after="0"/>
                    <w:rPr>
                      <w:lang w:val="en-US"/>
                    </w:rPr>
                  </w:pPr>
                  <w:r>
                    <w:rPr>
                      <w:lang w:val="en-US"/>
                    </w:rPr>
                    <w:t>Russian</w:t>
                  </w:r>
                </w:p>
                <w:p w:rsidR="00000000" w:rsidRDefault="00000000">
                  <w:pPr>
                    <w:spacing w:after="0"/>
                    <w:rPr>
                      <w:lang w:val="en-US"/>
                    </w:rPr>
                  </w:pPr>
                  <w:r>
                    <w:rPr>
                      <w:lang w:val="en-US"/>
                    </w:rPr>
                    <w:t>Original: French</w:t>
                  </w:r>
                </w:p>
              </w:txbxContent>
            </v:textbox>
          </v:shape>
        </w:pict>
      </w:r>
      <w:r>
        <w:rPr>
          <w:rFonts w:ascii="Arial" w:hAnsi="Arial"/>
          <w:u w:val="none"/>
        </w:rPr>
        <w:t xml:space="preserve">Конвенция </w:t>
      </w:r>
      <w:r>
        <w:rPr>
          <w:rFonts w:ascii="Arial" w:hAnsi="Arial"/>
          <w:u w:val="none"/>
        </w:rPr>
        <w:br/>
        <w:t>о ликвидации</w:t>
      </w:r>
    </w:p>
    <w:p w:rsidR="00000000" w:rsidRDefault="00000000">
      <w:pPr>
        <w:tabs>
          <w:tab w:val="left" w:pos="1418"/>
        </w:tabs>
        <w:spacing w:after="0" w:line="240" w:lineRule="auto"/>
        <w:ind w:left="1304"/>
        <w:jc w:val="left"/>
        <w:rPr>
          <w:rFonts w:ascii="Arial" w:hAnsi="Arial"/>
          <w:b/>
          <w:sz w:val="28"/>
        </w:rPr>
      </w:pPr>
      <w:r>
        <w:rPr>
          <w:rFonts w:ascii="Arial" w:hAnsi="Arial"/>
          <w:b/>
          <w:sz w:val="28"/>
        </w:rPr>
        <w:t xml:space="preserve">всех форм </w:t>
      </w:r>
      <w:r>
        <w:rPr>
          <w:rFonts w:ascii="Arial" w:hAnsi="Arial"/>
          <w:b/>
          <w:sz w:val="28"/>
        </w:rPr>
        <w:br/>
        <w:t>дискриминации</w:t>
      </w:r>
    </w:p>
    <w:p w:rsidR="00000000" w:rsidRDefault="00000000">
      <w:pPr>
        <w:pStyle w:val="Heading1"/>
        <w:spacing w:after="20" w:line="240" w:lineRule="auto"/>
        <w:ind w:left="1304"/>
        <w:jc w:val="left"/>
        <w:rPr>
          <w:rFonts w:ascii="Arial" w:hAnsi="Arial"/>
          <w:u w:val="none"/>
        </w:rPr>
      </w:pPr>
      <w:r>
        <w:rPr>
          <w:rFonts w:ascii="Arial" w:hAnsi="Arial"/>
          <w:u w:val="none"/>
        </w:rPr>
        <w:t>в отношении женщин</w:t>
      </w:r>
    </w:p>
    <w:p w:rsidR="00000000" w:rsidRDefault="00000000">
      <w:pPr>
        <w:pStyle w:val="Header"/>
        <w:pBdr>
          <w:bottom w:val="single" w:sz="18" w:space="1" w:color="auto"/>
        </w:pBdr>
        <w:spacing w:after="120"/>
      </w:pPr>
    </w:p>
    <w:p w:rsidR="00000000" w:rsidRDefault="00000000">
      <w:pPr>
        <w:pStyle w:val="Header"/>
        <w:pBdr>
          <w:bottom w:val="single" w:sz="18" w:space="1" w:color="auto"/>
        </w:pBdr>
        <w:spacing w:after="120"/>
      </w:pPr>
    </w:p>
    <w:p w:rsidR="00000000" w:rsidRDefault="00000000">
      <w:pPr>
        <w:spacing w:after="120"/>
        <w:jc w:val="left"/>
        <w:rPr>
          <w:caps/>
        </w:rPr>
      </w:pPr>
      <w:r>
        <w:t xml:space="preserve">Комитет по ликвидации дискриминации </w:t>
      </w:r>
      <w:r>
        <w:br/>
        <w:t>в отношении женщин</w:t>
      </w:r>
    </w:p>
    <w:p w:rsidR="00000000" w:rsidRDefault="00000000">
      <w:pPr>
        <w:spacing w:after="120"/>
        <w:rPr>
          <w:caps/>
        </w:rPr>
      </w:pPr>
    </w:p>
    <w:p w:rsidR="00000000" w:rsidRDefault="00000000">
      <w:pPr>
        <w:spacing w:after="120"/>
        <w:rPr>
          <w:caps/>
        </w:rPr>
      </w:pPr>
    </w:p>
    <w:p w:rsidR="00000000" w:rsidRDefault="00000000">
      <w:pPr>
        <w:spacing w:after="120" w:line="240" w:lineRule="auto"/>
        <w:jc w:val="center"/>
        <w:rPr>
          <w:b/>
          <w:caps/>
          <w:sz w:val="28"/>
        </w:rPr>
      </w:pPr>
      <w:r>
        <w:rPr>
          <w:b/>
          <w:sz w:val="28"/>
        </w:rPr>
        <w:t xml:space="preserve">Рассмотрение докладов, представленных государствами-участниками </w:t>
      </w:r>
      <w:r>
        <w:rPr>
          <w:b/>
          <w:sz w:val="28"/>
        </w:rPr>
        <w:br/>
        <w:t xml:space="preserve">в соответствии со статьей 18 Конвенции о ликвидации всех форм </w:t>
      </w:r>
      <w:r>
        <w:rPr>
          <w:b/>
          <w:sz w:val="28"/>
        </w:rPr>
        <w:br/>
        <w:t>дискриминации в отношении женщин</w:t>
      </w:r>
    </w:p>
    <w:p w:rsidR="00000000" w:rsidRDefault="00000000">
      <w:pPr>
        <w:spacing w:after="120"/>
        <w:rPr>
          <w:caps/>
        </w:rPr>
      </w:pPr>
    </w:p>
    <w:p w:rsidR="00000000" w:rsidRDefault="00000000">
      <w:pPr>
        <w:spacing w:after="120"/>
        <w:jc w:val="center"/>
        <w:rPr>
          <w:u w:val="single"/>
        </w:rPr>
      </w:pPr>
      <w:r>
        <w:rPr>
          <w:u w:val="single"/>
        </w:rPr>
        <w:t>Объединенный третий и четвертый периодические доклады государств-участников</w:t>
      </w:r>
    </w:p>
    <w:p w:rsidR="00000000" w:rsidRDefault="00000000">
      <w:pPr>
        <w:spacing w:after="120"/>
      </w:pPr>
    </w:p>
    <w:p w:rsidR="00000000" w:rsidRDefault="00000000">
      <w:pPr>
        <w:spacing w:after="120"/>
        <w:rPr>
          <w:b/>
        </w:rPr>
      </w:pPr>
    </w:p>
    <w:p w:rsidR="00000000" w:rsidRDefault="00000000">
      <w:pPr>
        <w:spacing w:line="280" w:lineRule="exact"/>
        <w:jc w:val="center"/>
      </w:pPr>
      <w:r>
        <w:rPr>
          <w:b/>
          <w:sz w:val="24"/>
        </w:rPr>
        <w:t>ТУНИС</w:t>
      </w:r>
      <w:r>
        <w:rPr>
          <w:rStyle w:val="FootnoteReference"/>
          <w:vertAlign w:val="baseline"/>
        </w:rPr>
        <w:footnoteReference w:customMarkFollows="1" w:id="1"/>
        <w:t>*</w:t>
      </w:r>
    </w:p>
    <w:p w:rsidR="00000000" w:rsidRDefault="00000000"/>
    <w:p w:rsidR="00000000" w:rsidRDefault="00000000"/>
    <w:p w:rsidR="00000000" w:rsidRDefault="00000000">
      <w:pPr>
        <w:spacing w:line="240" w:lineRule="auto"/>
        <w:jc w:val="center"/>
        <w:rPr>
          <w:b/>
          <w:sz w:val="24"/>
          <w:lang w:val="en-US"/>
        </w:rPr>
      </w:pPr>
      <w:r>
        <w:br w:type="page"/>
      </w:r>
      <w:r>
        <w:rPr>
          <w:b/>
          <w:sz w:val="24"/>
        </w:rPr>
        <w:t>СОДЕРЖАНИЕ</w:t>
      </w:r>
    </w:p>
    <w:p w:rsidR="00000000" w:rsidRDefault="00000000">
      <w:pPr>
        <w:spacing w:line="240" w:lineRule="auto"/>
        <w:jc w:val="center"/>
        <w:rPr>
          <w:b/>
          <w:sz w:val="24"/>
          <w:lang w:val="en-US"/>
        </w:rPr>
      </w:pPr>
    </w:p>
    <w:p w:rsidR="00000000" w:rsidRDefault="00000000">
      <w:pPr>
        <w:tabs>
          <w:tab w:val="right" w:pos="9639"/>
        </w:tabs>
        <w:spacing w:line="240" w:lineRule="auto"/>
        <w:rPr>
          <w:i/>
        </w:rPr>
      </w:pPr>
      <w:r>
        <w:rPr>
          <w:i/>
        </w:rPr>
        <w:tab/>
      </w:r>
      <w:r>
        <w:rPr>
          <w:i/>
        </w:rPr>
        <w:tab/>
      </w:r>
      <w:r>
        <w:rPr>
          <w:i/>
          <w:lang w:val="en-US"/>
        </w:rPr>
        <w:tab/>
      </w:r>
      <w:r>
        <w:rPr>
          <w:i/>
        </w:rPr>
        <w:t>Стр.</w:t>
      </w:r>
    </w:p>
    <w:p w:rsidR="00000000" w:rsidRDefault="00000000">
      <w:pPr>
        <w:tabs>
          <w:tab w:val="clear" w:pos="680"/>
          <w:tab w:val="clear" w:pos="1021"/>
          <w:tab w:val="right" w:pos="567"/>
          <w:tab w:val="left" w:pos="851"/>
          <w:tab w:val="right" w:leader="dot" w:pos="9072"/>
          <w:tab w:val="right" w:pos="9639"/>
        </w:tabs>
        <w:spacing w:after="0"/>
      </w:pPr>
      <w:r>
        <w:rPr>
          <w:rFonts w:ascii="Symbol" w:hAnsi="Symbol"/>
          <w:b/>
        </w:rPr>
        <w:t></w:t>
      </w:r>
      <w:r>
        <w:rPr>
          <w:b/>
        </w:rPr>
        <w:t xml:space="preserve"> Представление доклада </w:t>
      </w:r>
      <w:r>
        <w:tab/>
      </w:r>
      <w:r>
        <w:tab/>
        <w:t>5</w:t>
      </w:r>
    </w:p>
    <w:p w:rsidR="00000000" w:rsidRDefault="00000000">
      <w:pPr>
        <w:tabs>
          <w:tab w:val="clear" w:pos="680"/>
          <w:tab w:val="clear" w:pos="1021"/>
          <w:tab w:val="right" w:pos="567"/>
          <w:tab w:val="left" w:pos="851"/>
          <w:tab w:val="right" w:leader="dot" w:pos="9072"/>
          <w:tab w:val="right" w:pos="9639"/>
        </w:tabs>
        <w:spacing w:after="0"/>
      </w:pPr>
    </w:p>
    <w:p w:rsidR="00000000" w:rsidRDefault="00000000">
      <w:pPr>
        <w:tabs>
          <w:tab w:val="clear" w:pos="680"/>
          <w:tab w:val="clear" w:pos="1021"/>
          <w:tab w:val="right" w:pos="567"/>
          <w:tab w:val="left" w:pos="851"/>
          <w:tab w:val="right" w:leader="dot" w:pos="9072"/>
          <w:tab w:val="right" w:pos="9639"/>
        </w:tabs>
        <w:spacing w:after="120"/>
      </w:pPr>
      <w:r>
        <w:rPr>
          <w:b/>
        </w:rPr>
        <w:tab/>
      </w:r>
      <w:r>
        <w:rPr>
          <w:rFonts w:ascii="Symbol" w:hAnsi="Symbol"/>
          <w:b/>
        </w:rPr>
        <w:t></w:t>
      </w:r>
      <w:r>
        <w:rPr>
          <w:rFonts w:ascii="Symbol" w:hAnsi="Symbol"/>
          <w:b/>
        </w:rPr>
        <w:t></w:t>
      </w:r>
      <w:r>
        <w:rPr>
          <w:b/>
        </w:rPr>
        <w:t xml:space="preserve">Статьи 1, 2, 3: Определение понятия дискриминации, обязательства государств </w:t>
      </w:r>
      <w:r>
        <w:tab/>
      </w:r>
      <w:r>
        <w:tab/>
        <w:t>8</w:t>
      </w:r>
    </w:p>
    <w:p w:rsidR="00000000" w:rsidRDefault="00000000">
      <w:pPr>
        <w:tabs>
          <w:tab w:val="clear" w:pos="680"/>
          <w:tab w:val="clear" w:pos="1021"/>
          <w:tab w:val="right" w:pos="567"/>
          <w:tab w:val="left" w:pos="851"/>
          <w:tab w:val="right" w:leader="dot" w:pos="9072"/>
          <w:tab w:val="right" w:pos="9639"/>
        </w:tabs>
        <w:spacing w:after="0"/>
      </w:pPr>
      <w:r>
        <w:tab/>
      </w:r>
      <w:r>
        <w:rPr>
          <w:lang w:val="en-US"/>
        </w:rPr>
        <w:t>I</w:t>
      </w:r>
      <w:r>
        <w:t>.</w:t>
      </w:r>
      <w:r>
        <w:tab/>
        <w:t>Достижения за годы независимости</w:t>
      </w:r>
      <w:r>
        <w:tab/>
      </w:r>
      <w:r>
        <w:tab/>
        <w:t>9</w:t>
      </w:r>
    </w:p>
    <w:p w:rsidR="00000000" w:rsidRDefault="00000000">
      <w:pPr>
        <w:tabs>
          <w:tab w:val="clear" w:pos="680"/>
          <w:tab w:val="clear" w:pos="1021"/>
          <w:tab w:val="right" w:pos="567"/>
          <w:tab w:val="left" w:pos="851"/>
          <w:tab w:val="right" w:leader="dot" w:pos="9072"/>
          <w:tab w:val="right" w:pos="9639"/>
        </w:tabs>
        <w:spacing w:after="0"/>
      </w:pPr>
      <w:r>
        <w:tab/>
      </w:r>
      <w:r>
        <w:rPr>
          <w:lang w:val="en-US"/>
        </w:rPr>
        <w:t>II</w:t>
      </w:r>
      <w:r>
        <w:t>.</w:t>
      </w:r>
      <w:r>
        <w:tab/>
        <w:t>Демократия укрепляет права женщины</w:t>
      </w:r>
      <w:r>
        <w:tab/>
      </w:r>
      <w:r>
        <w:tab/>
        <w:t>9</w:t>
      </w:r>
    </w:p>
    <w:p w:rsidR="00000000" w:rsidRDefault="00000000">
      <w:pPr>
        <w:tabs>
          <w:tab w:val="clear" w:pos="680"/>
          <w:tab w:val="clear" w:pos="1021"/>
          <w:tab w:val="right" w:pos="567"/>
          <w:tab w:val="left" w:pos="851"/>
          <w:tab w:val="right" w:leader="dot" w:pos="9072"/>
          <w:tab w:val="right" w:pos="9639"/>
        </w:tabs>
        <w:spacing w:after="0"/>
      </w:pPr>
      <w:r>
        <w:tab/>
        <w:t>III.</w:t>
      </w:r>
      <w:r>
        <w:tab/>
        <w:t xml:space="preserve">Национальные механизмы улучшения положения женщины </w:t>
      </w:r>
      <w:r>
        <w:tab/>
      </w:r>
      <w:r>
        <w:tab/>
        <w:t>16</w:t>
      </w:r>
    </w:p>
    <w:p w:rsidR="00000000" w:rsidRDefault="00000000">
      <w:pPr>
        <w:tabs>
          <w:tab w:val="clear" w:pos="680"/>
          <w:tab w:val="clear" w:pos="1021"/>
          <w:tab w:val="right" w:pos="567"/>
          <w:tab w:val="left" w:pos="851"/>
          <w:tab w:val="right" w:leader="dot" w:pos="9072"/>
          <w:tab w:val="right" w:pos="9639"/>
        </w:tabs>
        <w:spacing w:after="0"/>
      </w:pPr>
      <w:r>
        <w:tab/>
        <w:t>IV.</w:t>
      </w:r>
      <w:r>
        <w:tab/>
        <w:t xml:space="preserve">Органы защиты прав женщины </w:t>
      </w:r>
      <w:r>
        <w:tab/>
      </w:r>
      <w:r>
        <w:tab/>
        <w:t>22</w:t>
      </w:r>
    </w:p>
    <w:p w:rsidR="00000000" w:rsidRDefault="00000000">
      <w:pPr>
        <w:tabs>
          <w:tab w:val="clear" w:pos="680"/>
          <w:tab w:val="clear" w:pos="1021"/>
          <w:tab w:val="right" w:pos="567"/>
          <w:tab w:val="left" w:pos="851"/>
          <w:tab w:val="right" w:leader="dot" w:pos="9072"/>
          <w:tab w:val="right" w:pos="9639"/>
        </w:tabs>
        <w:spacing w:after="0"/>
      </w:pPr>
    </w:p>
    <w:p w:rsidR="00000000" w:rsidRDefault="00000000">
      <w:pPr>
        <w:tabs>
          <w:tab w:val="clear" w:pos="680"/>
          <w:tab w:val="clear" w:pos="1021"/>
          <w:tab w:val="right" w:pos="567"/>
          <w:tab w:val="left" w:pos="851"/>
          <w:tab w:val="right" w:leader="dot" w:pos="9072"/>
          <w:tab w:val="right" w:pos="9639"/>
        </w:tabs>
        <w:spacing w:after="0"/>
      </w:pPr>
      <w:r>
        <w:sym w:font="Qymbol" w:char="F0B7"/>
      </w:r>
      <w:r>
        <w:t xml:space="preserve"> </w:t>
      </w:r>
      <w:r>
        <w:rPr>
          <w:b/>
        </w:rPr>
        <w:t xml:space="preserve">Статья 4: Временные меры </w:t>
      </w:r>
      <w:r>
        <w:tab/>
      </w:r>
      <w:r>
        <w:tab/>
        <w:t>27</w:t>
      </w:r>
    </w:p>
    <w:p w:rsidR="00000000" w:rsidRDefault="00000000">
      <w:pPr>
        <w:tabs>
          <w:tab w:val="clear" w:pos="680"/>
          <w:tab w:val="clear" w:pos="1021"/>
          <w:tab w:val="right" w:pos="567"/>
          <w:tab w:val="left" w:pos="851"/>
          <w:tab w:val="right" w:leader="dot" w:pos="9072"/>
          <w:tab w:val="right" w:pos="9639"/>
        </w:tabs>
        <w:spacing w:after="0"/>
      </w:pPr>
      <w:r>
        <w:tab/>
        <w:t>I.</w:t>
      </w:r>
      <w:r>
        <w:tab/>
        <w:t xml:space="preserve">Позитивные действия с целью облегчить доступ женщин к руководящим должностям </w:t>
      </w:r>
      <w:r>
        <w:tab/>
      </w:r>
      <w:r>
        <w:tab/>
        <w:t>27</w:t>
      </w:r>
    </w:p>
    <w:p w:rsidR="00000000" w:rsidRDefault="00000000">
      <w:pPr>
        <w:tabs>
          <w:tab w:val="clear" w:pos="680"/>
          <w:tab w:val="clear" w:pos="1021"/>
          <w:tab w:val="right" w:pos="567"/>
          <w:tab w:val="left" w:pos="851"/>
          <w:tab w:val="right" w:leader="dot" w:pos="9072"/>
          <w:tab w:val="right" w:pos="9639"/>
        </w:tabs>
        <w:spacing w:after="0"/>
      </w:pPr>
      <w:r>
        <w:tab/>
        <w:t>II.</w:t>
      </w:r>
      <w:r>
        <w:tab/>
        <w:t xml:space="preserve">На уровне стратегического планирования: IX план экономического и социального развития </w:t>
      </w:r>
      <w:r>
        <w:tab/>
      </w:r>
      <w:r>
        <w:tab/>
        <w:t>27</w:t>
      </w:r>
    </w:p>
    <w:p w:rsidR="00000000" w:rsidRDefault="00000000">
      <w:pPr>
        <w:tabs>
          <w:tab w:val="clear" w:pos="680"/>
          <w:tab w:val="clear" w:pos="1021"/>
          <w:tab w:val="right" w:pos="567"/>
          <w:tab w:val="left" w:pos="851"/>
          <w:tab w:val="right" w:leader="dot" w:pos="9072"/>
          <w:tab w:val="right" w:pos="9639"/>
        </w:tabs>
        <w:spacing w:after="0"/>
        <w:ind w:left="851" w:hanging="851"/>
        <w:jc w:val="left"/>
      </w:pPr>
      <w:r>
        <w:tab/>
        <w:t>III.</w:t>
      </w:r>
      <w:r>
        <w:tab/>
        <w:t xml:space="preserve">Национальные приоритеты в рамках последующей деятельности по итогам Пекинской </w:t>
      </w:r>
      <w:r>
        <w:br/>
        <w:t xml:space="preserve">конференции </w:t>
      </w:r>
      <w:r>
        <w:tab/>
      </w:r>
      <w:r>
        <w:tab/>
        <w:t>30</w:t>
      </w:r>
    </w:p>
    <w:p w:rsidR="00000000" w:rsidRDefault="00000000">
      <w:pPr>
        <w:tabs>
          <w:tab w:val="clear" w:pos="680"/>
          <w:tab w:val="clear" w:pos="1021"/>
          <w:tab w:val="right" w:pos="567"/>
          <w:tab w:val="left" w:pos="851"/>
          <w:tab w:val="right" w:leader="dot" w:pos="9072"/>
          <w:tab w:val="right" w:pos="9639"/>
        </w:tabs>
        <w:spacing w:after="0"/>
      </w:pPr>
      <w:r>
        <w:tab/>
        <w:t>IV.</w:t>
      </w:r>
      <w:r>
        <w:tab/>
        <w:t xml:space="preserve">Защита материнства </w:t>
      </w:r>
      <w:r>
        <w:tab/>
      </w:r>
      <w:r>
        <w:tab/>
        <w:t>31</w:t>
      </w:r>
    </w:p>
    <w:p w:rsidR="00000000" w:rsidRDefault="00000000">
      <w:pPr>
        <w:tabs>
          <w:tab w:val="clear" w:pos="680"/>
          <w:tab w:val="clear" w:pos="1021"/>
          <w:tab w:val="right" w:pos="567"/>
          <w:tab w:val="left" w:pos="851"/>
          <w:tab w:val="right" w:leader="dot" w:pos="9072"/>
          <w:tab w:val="right" w:pos="9639"/>
        </w:tabs>
        <w:spacing w:after="0"/>
      </w:pPr>
    </w:p>
    <w:p w:rsidR="00000000" w:rsidRDefault="00000000">
      <w:pPr>
        <w:tabs>
          <w:tab w:val="clear" w:pos="680"/>
          <w:tab w:val="clear" w:pos="1021"/>
          <w:tab w:val="right" w:pos="567"/>
          <w:tab w:val="left" w:pos="851"/>
          <w:tab w:val="right" w:leader="dot" w:pos="9072"/>
          <w:tab w:val="right" w:pos="9639"/>
        </w:tabs>
        <w:spacing w:after="120"/>
      </w:pPr>
      <w:r>
        <w:sym w:font="Qymbol" w:char="F0B7"/>
      </w:r>
      <w:r>
        <w:t xml:space="preserve"> </w:t>
      </w:r>
      <w:r>
        <w:rPr>
          <w:b/>
        </w:rPr>
        <w:t xml:space="preserve">Статья 5: Борьба со стереотипами </w:t>
      </w:r>
      <w:r>
        <w:tab/>
      </w:r>
      <w:r>
        <w:tab/>
        <w:t>32</w:t>
      </w:r>
    </w:p>
    <w:p w:rsidR="00000000" w:rsidRDefault="00000000">
      <w:pPr>
        <w:tabs>
          <w:tab w:val="clear" w:pos="680"/>
          <w:tab w:val="clear" w:pos="1021"/>
          <w:tab w:val="right" w:pos="567"/>
          <w:tab w:val="left" w:pos="851"/>
          <w:tab w:val="right" w:leader="dot" w:pos="9072"/>
          <w:tab w:val="right" w:pos="9639"/>
        </w:tabs>
        <w:spacing w:after="0"/>
      </w:pPr>
      <w:r>
        <w:tab/>
        <w:t>I.</w:t>
      </w:r>
      <w:r>
        <w:tab/>
        <w:t xml:space="preserve">Восстановление роли женщины как активного участника исторического процесса </w:t>
      </w:r>
      <w:r>
        <w:tab/>
      </w:r>
      <w:r>
        <w:tab/>
        <w:t>32</w:t>
      </w:r>
    </w:p>
    <w:p w:rsidR="00000000" w:rsidRDefault="00000000">
      <w:pPr>
        <w:tabs>
          <w:tab w:val="clear" w:pos="680"/>
          <w:tab w:val="clear" w:pos="1021"/>
          <w:tab w:val="right" w:pos="567"/>
          <w:tab w:val="left" w:pos="851"/>
          <w:tab w:val="right" w:leader="dot" w:pos="9072"/>
          <w:tab w:val="right" w:pos="9639"/>
        </w:tabs>
        <w:spacing w:after="0"/>
      </w:pPr>
      <w:r>
        <w:tab/>
        <w:t>II.</w:t>
      </w:r>
      <w:r>
        <w:tab/>
        <w:t xml:space="preserve">Будущие поколения: пересмотр школьных учебников </w:t>
      </w:r>
      <w:r>
        <w:tab/>
      </w:r>
      <w:r>
        <w:tab/>
        <w:t>33</w:t>
      </w:r>
    </w:p>
    <w:p w:rsidR="00000000" w:rsidRDefault="00000000">
      <w:pPr>
        <w:tabs>
          <w:tab w:val="clear" w:pos="680"/>
          <w:tab w:val="clear" w:pos="1021"/>
          <w:tab w:val="right" w:pos="567"/>
          <w:tab w:val="left" w:pos="851"/>
          <w:tab w:val="right" w:leader="dot" w:pos="9072"/>
          <w:tab w:val="right" w:pos="9639"/>
        </w:tabs>
        <w:spacing w:after="0"/>
      </w:pPr>
      <w:r>
        <w:tab/>
        <w:t>III.</w:t>
      </w:r>
      <w:r>
        <w:tab/>
        <w:t xml:space="preserve">Роль средств массовой информации </w:t>
      </w:r>
      <w:r>
        <w:tab/>
      </w:r>
      <w:r>
        <w:tab/>
        <w:t>34</w:t>
      </w:r>
    </w:p>
    <w:p w:rsidR="00000000" w:rsidRDefault="00000000">
      <w:pPr>
        <w:tabs>
          <w:tab w:val="clear" w:pos="680"/>
          <w:tab w:val="clear" w:pos="1021"/>
          <w:tab w:val="right" w:pos="567"/>
          <w:tab w:val="left" w:pos="851"/>
          <w:tab w:val="right" w:leader="dot" w:pos="9072"/>
          <w:tab w:val="right" w:pos="9639"/>
        </w:tabs>
        <w:spacing w:after="0"/>
      </w:pPr>
      <w:r>
        <w:tab/>
        <w:t>IV.</w:t>
      </w:r>
      <w:r>
        <w:tab/>
        <w:t xml:space="preserve">Роль женщины-журналиста </w:t>
      </w:r>
      <w:r>
        <w:tab/>
      </w:r>
      <w:r>
        <w:tab/>
        <w:t>36</w:t>
      </w:r>
    </w:p>
    <w:p w:rsidR="00000000" w:rsidRDefault="00000000">
      <w:pPr>
        <w:tabs>
          <w:tab w:val="clear" w:pos="680"/>
          <w:tab w:val="clear" w:pos="1021"/>
          <w:tab w:val="right" w:pos="567"/>
          <w:tab w:val="left" w:pos="851"/>
          <w:tab w:val="right" w:leader="dot" w:pos="9072"/>
          <w:tab w:val="right" w:pos="9639"/>
        </w:tabs>
        <w:spacing w:after="0"/>
      </w:pPr>
      <w:r>
        <w:tab/>
        <w:t>V.</w:t>
      </w:r>
      <w:r>
        <w:tab/>
        <w:t xml:space="preserve">Женщины и средства массовой информации </w:t>
      </w:r>
      <w:r>
        <w:tab/>
      </w:r>
      <w:r>
        <w:tab/>
        <w:t>37</w:t>
      </w:r>
    </w:p>
    <w:p w:rsidR="00000000" w:rsidRDefault="00000000">
      <w:pPr>
        <w:tabs>
          <w:tab w:val="clear" w:pos="680"/>
          <w:tab w:val="clear" w:pos="1021"/>
          <w:tab w:val="right" w:pos="567"/>
          <w:tab w:val="left" w:pos="851"/>
          <w:tab w:val="right" w:leader="dot" w:pos="9072"/>
          <w:tab w:val="right" w:pos="9639"/>
        </w:tabs>
        <w:spacing w:after="0"/>
      </w:pPr>
      <w:r>
        <w:tab/>
        <w:t>VI.</w:t>
      </w:r>
      <w:r>
        <w:tab/>
        <w:t xml:space="preserve">Механизмы улучшения подхода СМИ к освещению образа женщины </w:t>
      </w:r>
      <w:r>
        <w:tab/>
      </w:r>
      <w:r>
        <w:tab/>
        <w:t>38</w:t>
      </w:r>
    </w:p>
    <w:p w:rsidR="00000000" w:rsidRDefault="00000000">
      <w:pPr>
        <w:tabs>
          <w:tab w:val="clear" w:pos="680"/>
          <w:tab w:val="clear" w:pos="1021"/>
          <w:tab w:val="right" w:pos="567"/>
          <w:tab w:val="left" w:pos="851"/>
          <w:tab w:val="right" w:leader="dot" w:pos="9072"/>
          <w:tab w:val="right" w:pos="9639"/>
        </w:tabs>
        <w:spacing w:after="0"/>
      </w:pPr>
      <w:r>
        <w:tab/>
        <w:t>VII.</w:t>
      </w:r>
      <w:r>
        <w:tab/>
        <w:t xml:space="preserve">Просвещение в области прав человека </w:t>
      </w:r>
      <w:r>
        <w:tab/>
      </w:r>
      <w:r>
        <w:tab/>
        <w:t>39</w:t>
      </w:r>
    </w:p>
    <w:p w:rsidR="00000000" w:rsidRDefault="00000000">
      <w:pPr>
        <w:tabs>
          <w:tab w:val="clear" w:pos="680"/>
          <w:tab w:val="clear" w:pos="1021"/>
          <w:tab w:val="right" w:pos="567"/>
          <w:tab w:val="left" w:pos="851"/>
          <w:tab w:val="right" w:leader="dot" w:pos="9072"/>
          <w:tab w:val="right" w:pos="9639"/>
        </w:tabs>
        <w:spacing w:after="0"/>
      </w:pPr>
      <w:r>
        <w:tab/>
        <w:t>VIII.</w:t>
      </w:r>
      <w:r>
        <w:tab/>
        <w:t xml:space="preserve">Роль Министерства по делам женщин и семьи (МДЖС) </w:t>
      </w:r>
      <w:r>
        <w:tab/>
      </w:r>
      <w:r>
        <w:tab/>
        <w:t>40</w:t>
      </w:r>
    </w:p>
    <w:p w:rsidR="00000000" w:rsidRDefault="00000000">
      <w:pPr>
        <w:tabs>
          <w:tab w:val="clear" w:pos="680"/>
          <w:tab w:val="clear" w:pos="1021"/>
          <w:tab w:val="right" w:pos="567"/>
          <w:tab w:val="left" w:pos="851"/>
          <w:tab w:val="right" w:leader="dot" w:pos="9072"/>
          <w:tab w:val="right" w:pos="9639"/>
        </w:tabs>
        <w:spacing w:after="0"/>
        <w:ind w:left="851" w:hanging="851"/>
        <w:jc w:val="left"/>
      </w:pPr>
      <w:r>
        <w:tab/>
        <w:t>IX.</w:t>
      </w:r>
      <w:r>
        <w:tab/>
        <w:t xml:space="preserve">Роль Центра научных исследований, документации и информации по вопросам </w:t>
      </w:r>
      <w:r>
        <w:br/>
        <w:t xml:space="preserve">женщин (ЦНИДИЖ) </w:t>
      </w:r>
      <w:r>
        <w:tab/>
      </w:r>
      <w:r>
        <w:tab/>
        <w:t>42</w:t>
      </w:r>
    </w:p>
    <w:p w:rsidR="00000000" w:rsidRDefault="00000000">
      <w:pPr>
        <w:tabs>
          <w:tab w:val="clear" w:pos="680"/>
          <w:tab w:val="clear" w:pos="1021"/>
          <w:tab w:val="right" w:pos="567"/>
          <w:tab w:val="left" w:pos="851"/>
          <w:tab w:val="right" w:leader="dot" w:pos="9072"/>
          <w:tab w:val="right" w:pos="9639"/>
        </w:tabs>
        <w:spacing w:after="0"/>
      </w:pPr>
      <w:r>
        <w:tab/>
        <w:t>X.</w:t>
      </w:r>
      <w:r>
        <w:tab/>
        <w:t xml:space="preserve">Насилие в семье </w:t>
      </w:r>
      <w:r>
        <w:tab/>
      </w:r>
      <w:r>
        <w:tab/>
        <w:t>44</w:t>
      </w:r>
    </w:p>
    <w:p w:rsidR="00000000" w:rsidRDefault="00000000">
      <w:pPr>
        <w:tabs>
          <w:tab w:val="clear" w:pos="680"/>
          <w:tab w:val="clear" w:pos="1021"/>
          <w:tab w:val="right" w:pos="567"/>
          <w:tab w:val="left" w:pos="851"/>
          <w:tab w:val="right" w:leader="dot" w:pos="9072"/>
          <w:tab w:val="right" w:pos="9639"/>
        </w:tabs>
        <w:spacing w:after="0"/>
      </w:pPr>
    </w:p>
    <w:p w:rsidR="00000000" w:rsidRDefault="00000000">
      <w:pPr>
        <w:tabs>
          <w:tab w:val="clear" w:pos="680"/>
          <w:tab w:val="clear" w:pos="1021"/>
          <w:tab w:val="right" w:pos="567"/>
          <w:tab w:val="left" w:pos="851"/>
          <w:tab w:val="right" w:leader="dot" w:pos="9072"/>
          <w:tab w:val="right" w:pos="9639"/>
        </w:tabs>
        <w:spacing w:after="0"/>
      </w:pPr>
      <w:r>
        <w:sym w:font="Qymbol" w:char="F0B7"/>
      </w:r>
      <w:r>
        <w:t xml:space="preserve"> </w:t>
      </w:r>
      <w:r>
        <w:rPr>
          <w:b/>
        </w:rPr>
        <w:t xml:space="preserve">Статья 6: Проституция </w:t>
      </w:r>
      <w:r>
        <w:tab/>
      </w:r>
      <w:r>
        <w:tab/>
        <w:t>50</w:t>
      </w:r>
    </w:p>
    <w:p w:rsidR="00000000" w:rsidRDefault="00000000">
      <w:pPr>
        <w:tabs>
          <w:tab w:val="clear" w:pos="680"/>
          <w:tab w:val="clear" w:pos="1021"/>
          <w:tab w:val="right" w:pos="567"/>
          <w:tab w:val="left" w:pos="851"/>
          <w:tab w:val="right" w:leader="dot" w:pos="9072"/>
          <w:tab w:val="right" w:pos="9639"/>
        </w:tabs>
        <w:spacing w:after="0"/>
        <w:rPr>
          <w:b/>
        </w:rPr>
      </w:pPr>
    </w:p>
    <w:p w:rsidR="00000000" w:rsidRDefault="00000000">
      <w:pPr>
        <w:tabs>
          <w:tab w:val="clear" w:pos="680"/>
          <w:tab w:val="clear" w:pos="1021"/>
          <w:tab w:val="right" w:pos="567"/>
          <w:tab w:val="left" w:pos="851"/>
          <w:tab w:val="right" w:leader="dot" w:pos="9072"/>
          <w:tab w:val="right" w:pos="9639"/>
        </w:tabs>
        <w:spacing w:after="120"/>
      </w:pPr>
      <w:r>
        <w:sym w:font="Qymbol" w:char="F0B7"/>
      </w:r>
      <w:r>
        <w:t xml:space="preserve"> </w:t>
      </w:r>
      <w:r>
        <w:rPr>
          <w:b/>
        </w:rPr>
        <w:t xml:space="preserve">Статья 7: Политическая и общественная жизнь </w:t>
      </w:r>
      <w:r>
        <w:tab/>
      </w:r>
      <w:r>
        <w:tab/>
        <w:t>51</w:t>
      </w:r>
    </w:p>
    <w:p w:rsidR="00000000" w:rsidRDefault="00000000">
      <w:pPr>
        <w:tabs>
          <w:tab w:val="clear" w:pos="680"/>
          <w:tab w:val="clear" w:pos="1021"/>
          <w:tab w:val="right" w:pos="567"/>
          <w:tab w:val="left" w:pos="851"/>
          <w:tab w:val="right" w:leader="dot" w:pos="9072"/>
          <w:tab w:val="right" w:pos="9639"/>
        </w:tabs>
        <w:spacing w:after="0"/>
      </w:pPr>
      <w:r>
        <w:tab/>
        <w:t>I.</w:t>
      </w:r>
      <w:r>
        <w:tab/>
        <w:t xml:space="preserve">Законодательные и институциональные механизмы </w:t>
      </w:r>
      <w:r>
        <w:tab/>
      </w:r>
      <w:r>
        <w:tab/>
        <w:t>51</w:t>
      </w:r>
    </w:p>
    <w:p w:rsidR="00000000" w:rsidRDefault="00000000">
      <w:pPr>
        <w:tabs>
          <w:tab w:val="clear" w:pos="680"/>
          <w:tab w:val="clear" w:pos="1021"/>
          <w:tab w:val="right" w:pos="567"/>
          <w:tab w:val="left" w:pos="851"/>
          <w:tab w:val="right" w:leader="dot" w:pos="9072"/>
          <w:tab w:val="right" w:pos="9639"/>
        </w:tabs>
        <w:spacing w:after="0"/>
      </w:pPr>
      <w:r>
        <w:tab/>
        <w:t>II.</w:t>
      </w:r>
      <w:r>
        <w:tab/>
        <w:t xml:space="preserve">Женщины в выборных органах </w:t>
      </w:r>
      <w:r>
        <w:tab/>
      </w:r>
      <w:r>
        <w:tab/>
        <w:t>52</w:t>
      </w:r>
    </w:p>
    <w:p w:rsidR="00000000" w:rsidRDefault="00000000">
      <w:pPr>
        <w:tabs>
          <w:tab w:val="clear" w:pos="680"/>
          <w:tab w:val="clear" w:pos="1021"/>
          <w:tab w:val="right" w:pos="567"/>
          <w:tab w:val="left" w:pos="851"/>
          <w:tab w:val="right" w:leader="dot" w:pos="9072"/>
          <w:tab w:val="right" w:pos="9639"/>
        </w:tabs>
        <w:spacing w:after="0"/>
      </w:pPr>
      <w:r>
        <w:tab/>
        <w:t>III.</w:t>
      </w:r>
      <w:r>
        <w:tab/>
        <w:t xml:space="preserve">Женщины в высших консультативных органах </w:t>
      </w:r>
      <w:r>
        <w:tab/>
      </w:r>
      <w:r>
        <w:tab/>
        <w:t>53</w:t>
      </w:r>
    </w:p>
    <w:p w:rsidR="00000000" w:rsidRDefault="00000000">
      <w:pPr>
        <w:tabs>
          <w:tab w:val="clear" w:pos="680"/>
          <w:tab w:val="clear" w:pos="1021"/>
          <w:tab w:val="right" w:pos="567"/>
          <w:tab w:val="left" w:pos="851"/>
          <w:tab w:val="right" w:leader="dot" w:pos="9072"/>
          <w:tab w:val="right" w:pos="9639"/>
        </w:tabs>
        <w:spacing w:after="0"/>
      </w:pPr>
      <w:r>
        <w:tab/>
        <w:t>IV.</w:t>
      </w:r>
      <w:r>
        <w:tab/>
        <w:t xml:space="preserve">Женщины в судебных инстанциях </w:t>
      </w:r>
      <w:r>
        <w:tab/>
      </w:r>
      <w:r>
        <w:tab/>
        <w:t>53</w:t>
      </w:r>
    </w:p>
    <w:p w:rsidR="00000000" w:rsidRDefault="00000000">
      <w:pPr>
        <w:tabs>
          <w:tab w:val="clear" w:pos="680"/>
          <w:tab w:val="clear" w:pos="1021"/>
          <w:tab w:val="right" w:pos="567"/>
          <w:tab w:val="left" w:pos="851"/>
          <w:tab w:val="right" w:leader="dot" w:pos="9072"/>
          <w:tab w:val="right" w:pos="9639"/>
        </w:tabs>
        <w:spacing w:after="0"/>
      </w:pPr>
      <w:r>
        <w:tab/>
        <w:t>V.</w:t>
      </w:r>
      <w:r>
        <w:tab/>
        <w:t xml:space="preserve">Женщины в политических органах </w:t>
      </w:r>
      <w:r>
        <w:tab/>
      </w:r>
      <w:r>
        <w:tab/>
        <w:t>55</w:t>
      </w:r>
    </w:p>
    <w:p w:rsidR="00000000" w:rsidRDefault="00000000">
      <w:pPr>
        <w:tabs>
          <w:tab w:val="clear" w:pos="680"/>
          <w:tab w:val="clear" w:pos="1021"/>
          <w:tab w:val="right" w:pos="567"/>
          <w:tab w:val="left" w:pos="851"/>
          <w:tab w:val="right" w:leader="dot" w:pos="9072"/>
          <w:tab w:val="right" w:pos="9639"/>
        </w:tabs>
        <w:spacing w:after="0"/>
      </w:pPr>
      <w:r>
        <w:tab/>
        <w:t>VI.</w:t>
      </w:r>
      <w:r>
        <w:tab/>
        <w:t xml:space="preserve">Женщины в профсоюзных организациях </w:t>
      </w:r>
      <w:r>
        <w:tab/>
      </w:r>
      <w:r>
        <w:tab/>
        <w:t>56</w:t>
      </w:r>
    </w:p>
    <w:p w:rsidR="00000000" w:rsidRDefault="00000000">
      <w:pPr>
        <w:tabs>
          <w:tab w:val="clear" w:pos="680"/>
          <w:tab w:val="clear" w:pos="1021"/>
          <w:tab w:val="right" w:pos="567"/>
          <w:tab w:val="left" w:pos="851"/>
          <w:tab w:val="right" w:leader="dot" w:pos="9072"/>
          <w:tab w:val="right" w:pos="9639"/>
        </w:tabs>
        <w:spacing w:after="0"/>
      </w:pPr>
      <w:r>
        <w:tab/>
        <w:t>VII.</w:t>
      </w:r>
      <w:r>
        <w:tab/>
        <w:t xml:space="preserve">Женщины в отраслях экономики </w:t>
      </w:r>
      <w:r>
        <w:tab/>
      </w:r>
      <w:r>
        <w:tab/>
        <w:t>57</w:t>
      </w:r>
    </w:p>
    <w:p w:rsidR="00000000" w:rsidRDefault="00000000">
      <w:pPr>
        <w:tabs>
          <w:tab w:val="clear" w:pos="680"/>
          <w:tab w:val="clear" w:pos="1021"/>
          <w:tab w:val="right" w:pos="567"/>
          <w:tab w:val="left" w:pos="851"/>
          <w:tab w:val="right" w:leader="dot" w:pos="9072"/>
          <w:tab w:val="right" w:pos="9639"/>
        </w:tabs>
        <w:spacing w:after="0"/>
      </w:pPr>
      <w:r>
        <w:tab/>
        <w:t>VIII.</w:t>
      </w:r>
      <w:r>
        <w:tab/>
        <w:t xml:space="preserve">Доступ женщин к директивным должностям </w:t>
      </w:r>
      <w:r>
        <w:tab/>
      </w:r>
      <w:r>
        <w:tab/>
        <w:t>58</w:t>
      </w:r>
    </w:p>
    <w:p w:rsidR="00000000" w:rsidRDefault="00000000">
      <w:pPr>
        <w:tabs>
          <w:tab w:val="clear" w:pos="680"/>
          <w:tab w:val="clear" w:pos="1021"/>
          <w:tab w:val="right" w:pos="567"/>
          <w:tab w:val="left" w:pos="851"/>
          <w:tab w:val="right" w:leader="dot" w:pos="9072"/>
          <w:tab w:val="right" w:pos="9639"/>
        </w:tabs>
        <w:spacing w:after="0"/>
      </w:pPr>
      <w:r>
        <w:tab/>
        <w:t>IX.</w:t>
      </w:r>
      <w:r>
        <w:tab/>
        <w:t xml:space="preserve">Развитие женского предпринимательства </w:t>
      </w:r>
      <w:r>
        <w:tab/>
      </w:r>
      <w:r>
        <w:tab/>
        <w:t>59</w:t>
      </w:r>
    </w:p>
    <w:p w:rsidR="00000000" w:rsidRDefault="00000000">
      <w:pPr>
        <w:tabs>
          <w:tab w:val="clear" w:pos="680"/>
          <w:tab w:val="clear" w:pos="1021"/>
          <w:tab w:val="right" w:pos="567"/>
          <w:tab w:val="left" w:pos="851"/>
          <w:tab w:val="right" w:leader="dot" w:pos="9072"/>
          <w:tab w:val="right" w:pos="9639"/>
        </w:tabs>
        <w:spacing w:after="0"/>
      </w:pPr>
      <w:r>
        <w:tab/>
        <w:t>X.</w:t>
      </w:r>
      <w:r>
        <w:tab/>
        <w:t xml:space="preserve">Воспитательные учреждения для детей и подростков </w:t>
      </w:r>
      <w:r>
        <w:tab/>
      </w:r>
      <w:r>
        <w:tab/>
        <w:t>60</w:t>
      </w:r>
    </w:p>
    <w:p w:rsidR="00000000" w:rsidRDefault="00000000">
      <w:pPr>
        <w:tabs>
          <w:tab w:val="clear" w:pos="680"/>
          <w:tab w:val="clear" w:pos="1021"/>
          <w:tab w:val="right" w:pos="567"/>
          <w:tab w:val="left" w:pos="851"/>
          <w:tab w:val="right" w:leader="dot" w:pos="9072"/>
          <w:tab w:val="right" w:pos="9639"/>
        </w:tabs>
        <w:spacing w:after="0"/>
      </w:pPr>
      <w:r>
        <w:tab/>
        <w:t>XI.</w:t>
      </w:r>
      <w:r>
        <w:tab/>
        <w:t xml:space="preserve">Участие женщин в общественной жизни </w:t>
      </w:r>
      <w:r>
        <w:tab/>
      </w:r>
      <w:r>
        <w:tab/>
        <w:t>61</w:t>
      </w:r>
    </w:p>
    <w:p w:rsidR="00000000" w:rsidRDefault="00000000">
      <w:pPr>
        <w:tabs>
          <w:tab w:val="clear" w:pos="680"/>
          <w:tab w:val="clear" w:pos="1021"/>
          <w:tab w:val="right" w:pos="567"/>
          <w:tab w:val="left" w:pos="851"/>
          <w:tab w:val="right" w:leader="dot" w:pos="9072"/>
          <w:tab w:val="right" w:pos="9639"/>
        </w:tabs>
        <w:spacing w:after="0"/>
      </w:pPr>
      <w:r>
        <w:tab/>
        <w:t>XII.</w:t>
      </w:r>
      <w:r>
        <w:tab/>
        <w:t xml:space="preserve">Стратегия повышения профессиональной квалификации женщин </w:t>
      </w:r>
      <w:r>
        <w:tab/>
      </w:r>
      <w:r>
        <w:tab/>
        <w:t>64</w:t>
      </w:r>
    </w:p>
    <w:p w:rsidR="00000000" w:rsidRDefault="00000000">
      <w:pPr>
        <w:tabs>
          <w:tab w:val="clear" w:pos="680"/>
          <w:tab w:val="clear" w:pos="1021"/>
          <w:tab w:val="right" w:pos="567"/>
          <w:tab w:val="left" w:pos="851"/>
          <w:tab w:val="right" w:leader="dot" w:pos="9072"/>
          <w:tab w:val="right" w:pos="9639"/>
        </w:tabs>
        <w:spacing w:after="0"/>
      </w:pPr>
    </w:p>
    <w:p w:rsidR="00000000" w:rsidRDefault="00000000">
      <w:pPr>
        <w:tabs>
          <w:tab w:val="clear" w:pos="680"/>
          <w:tab w:val="clear" w:pos="1021"/>
          <w:tab w:val="right" w:pos="567"/>
          <w:tab w:val="left" w:pos="851"/>
          <w:tab w:val="right" w:leader="dot" w:pos="9072"/>
          <w:tab w:val="right" w:pos="9639"/>
        </w:tabs>
        <w:spacing w:after="120"/>
      </w:pPr>
      <w:r>
        <w:sym w:font="Qymbol" w:char="F0B7"/>
      </w:r>
      <w:r>
        <w:t xml:space="preserve"> </w:t>
      </w:r>
      <w:r>
        <w:rPr>
          <w:b/>
        </w:rPr>
        <w:t xml:space="preserve">Статья 8: Представленность женщин на международном уровне </w:t>
      </w:r>
      <w:r>
        <w:tab/>
      </w:r>
      <w:r>
        <w:tab/>
        <w:t>68</w:t>
      </w:r>
    </w:p>
    <w:p w:rsidR="00000000" w:rsidRDefault="00000000">
      <w:pPr>
        <w:tabs>
          <w:tab w:val="clear" w:pos="680"/>
          <w:tab w:val="clear" w:pos="1021"/>
          <w:tab w:val="right" w:pos="567"/>
          <w:tab w:val="left" w:pos="851"/>
          <w:tab w:val="right" w:leader="dot" w:pos="9072"/>
          <w:tab w:val="right" w:pos="9639"/>
        </w:tabs>
        <w:spacing w:after="0"/>
      </w:pPr>
      <w:r>
        <w:tab/>
        <w:t>I.</w:t>
      </w:r>
      <w:r>
        <w:tab/>
        <w:t xml:space="preserve">Женщина в дипломатическом корпусе </w:t>
      </w:r>
      <w:r>
        <w:tab/>
      </w:r>
      <w:r>
        <w:tab/>
        <w:t>68</w:t>
      </w:r>
    </w:p>
    <w:p w:rsidR="00000000" w:rsidRDefault="00000000">
      <w:pPr>
        <w:tabs>
          <w:tab w:val="right" w:pos="9639"/>
        </w:tabs>
        <w:spacing w:line="240" w:lineRule="auto"/>
      </w:pPr>
      <w:r>
        <w:rPr>
          <w:i/>
        </w:rPr>
        <w:tab/>
      </w:r>
      <w:r>
        <w:rPr>
          <w:i/>
        </w:rPr>
        <w:tab/>
      </w:r>
      <w:r>
        <w:rPr>
          <w:i/>
        </w:rPr>
        <w:tab/>
        <w:t>Стр.</w:t>
      </w:r>
    </w:p>
    <w:p w:rsidR="00000000" w:rsidRDefault="00000000">
      <w:pPr>
        <w:tabs>
          <w:tab w:val="clear" w:pos="680"/>
          <w:tab w:val="clear" w:pos="1021"/>
          <w:tab w:val="right" w:pos="567"/>
          <w:tab w:val="left" w:pos="851"/>
          <w:tab w:val="right" w:leader="dot" w:pos="9072"/>
          <w:tab w:val="right" w:pos="9639"/>
        </w:tabs>
        <w:spacing w:after="0"/>
      </w:pPr>
      <w:r>
        <w:tab/>
        <w:t>II.</w:t>
      </w:r>
      <w:r>
        <w:tab/>
        <w:t xml:space="preserve">Тунис и Организация Объединенных Наций </w:t>
      </w:r>
      <w:r>
        <w:tab/>
      </w:r>
      <w:r>
        <w:tab/>
        <w:t>68</w:t>
      </w:r>
    </w:p>
    <w:p w:rsidR="00000000" w:rsidRDefault="00000000">
      <w:pPr>
        <w:tabs>
          <w:tab w:val="clear" w:pos="680"/>
          <w:tab w:val="clear" w:pos="1021"/>
          <w:tab w:val="right" w:pos="567"/>
          <w:tab w:val="left" w:pos="851"/>
          <w:tab w:val="right" w:leader="dot" w:pos="9072"/>
          <w:tab w:val="right" w:pos="9639"/>
        </w:tabs>
        <w:spacing w:after="0"/>
      </w:pPr>
      <w:r>
        <w:tab/>
        <w:t>III.</w:t>
      </w:r>
      <w:r>
        <w:tab/>
        <w:t xml:space="preserve">Роль Туниса в регионе </w:t>
      </w:r>
      <w:r>
        <w:tab/>
      </w:r>
      <w:r>
        <w:tab/>
        <w:t>70</w:t>
      </w:r>
    </w:p>
    <w:p w:rsidR="00000000" w:rsidRDefault="00000000">
      <w:pPr>
        <w:tabs>
          <w:tab w:val="clear" w:pos="680"/>
          <w:tab w:val="clear" w:pos="1021"/>
          <w:tab w:val="right" w:pos="567"/>
          <w:tab w:val="left" w:pos="851"/>
          <w:tab w:val="right" w:leader="dot" w:pos="9072"/>
          <w:tab w:val="right" w:pos="9639"/>
        </w:tabs>
        <w:spacing w:after="0"/>
      </w:pPr>
      <w:r>
        <w:tab/>
        <w:t>IV.</w:t>
      </w:r>
      <w:r>
        <w:tab/>
        <w:t xml:space="preserve">Вклад Туниса в развитие сотрудничества Юг–Юг </w:t>
      </w:r>
      <w:r>
        <w:tab/>
      </w:r>
      <w:r>
        <w:tab/>
        <w:t>70</w:t>
      </w:r>
    </w:p>
    <w:p w:rsidR="00000000" w:rsidRDefault="00000000">
      <w:pPr>
        <w:tabs>
          <w:tab w:val="clear" w:pos="680"/>
          <w:tab w:val="clear" w:pos="1021"/>
          <w:tab w:val="right" w:pos="567"/>
          <w:tab w:val="left" w:pos="851"/>
          <w:tab w:val="right" w:leader="dot" w:pos="9072"/>
          <w:tab w:val="right" w:pos="9639"/>
        </w:tabs>
        <w:spacing w:after="0"/>
      </w:pPr>
      <w:r>
        <w:tab/>
        <w:t>V.</w:t>
      </w:r>
      <w:r>
        <w:tab/>
        <w:t xml:space="preserve">Рост числа тунисских женщин-специалистов в международных органах </w:t>
      </w:r>
      <w:r>
        <w:tab/>
      </w:r>
      <w:r>
        <w:tab/>
        <w:t>71</w:t>
      </w:r>
    </w:p>
    <w:p w:rsidR="00000000" w:rsidRDefault="00000000">
      <w:pPr>
        <w:tabs>
          <w:tab w:val="clear" w:pos="680"/>
          <w:tab w:val="clear" w:pos="1021"/>
          <w:tab w:val="right" w:pos="567"/>
          <w:tab w:val="left" w:pos="851"/>
          <w:tab w:val="right" w:leader="dot" w:pos="9072"/>
          <w:tab w:val="right" w:pos="9639"/>
        </w:tabs>
        <w:spacing w:after="0"/>
      </w:pPr>
      <w:r>
        <w:tab/>
        <w:t>VI.</w:t>
      </w:r>
      <w:r>
        <w:tab/>
        <w:t>Улучшение положения женщин – одна из составляющих двустороннего сотрудничества</w:t>
      </w:r>
      <w:r>
        <w:tab/>
      </w:r>
      <w:r>
        <w:tab/>
        <w:t>74</w:t>
      </w:r>
    </w:p>
    <w:p w:rsidR="00000000" w:rsidRDefault="00000000">
      <w:pPr>
        <w:tabs>
          <w:tab w:val="clear" w:pos="680"/>
          <w:tab w:val="clear" w:pos="1021"/>
          <w:tab w:val="right" w:pos="567"/>
          <w:tab w:val="left" w:pos="851"/>
          <w:tab w:val="right" w:leader="dot" w:pos="9072"/>
          <w:tab w:val="right" w:pos="9639"/>
        </w:tabs>
        <w:spacing w:after="0"/>
      </w:pPr>
    </w:p>
    <w:p w:rsidR="00000000" w:rsidRDefault="00000000">
      <w:pPr>
        <w:tabs>
          <w:tab w:val="clear" w:pos="680"/>
          <w:tab w:val="clear" w:pos="1021"/>
          <w:tab w:val="right" w:pos="567"/>
          <w:tab w:val="left" w:pos="851"/>
          <w:tab w:val="right" w:leader="dot" w:pos="9072"/>
          <w:tab w:val="right" w:pos="9639"/>
        </w:tabs>
        <w:spacing w:after="0"/>
      </w:pPr>
      <w:r>
        <w:sym w:font="Qymbol" w:char="F0B7"/>
      </w:r>
      <w:r>
        <w:t xml:space="preserve"> </w:t>
      </w:r>
      <w:r>
        <w:rPr>
          <w:b/>
        </w:rPr>
        <w:t xml:space="preserve">Статья 9: Гражданство </w:t>
      </w:r>
      <w:r>
        <w:tab/>
      </w:r>
      <w:r>
        <w:tab/>
        <w:t>76</w:t>
      </w:r>
    </w:p>
    <w:p w:rsidR="00000000" w:rsidRDefault="00000000">
      <w:pPr>
        <w:tabs>
          <w:tab w:val="clear" w:pos="680"/>
          <w:tab w:val="clear" w:pos="1021"/>
          <w:tab w:val="right" w:pos="567"/>
          <w:tab w:val="left" w:pos="851"/>
          <w:tab w:val="right" w:leader="dot" w:pos="9072"/>
          <w:tab w:val="right" w:pos="9639"/>
        </w:tabs>
        <w:spacing w:after="0"/>
      </w:pPr>
    </w:p>
    <w:p w:rsidR="00000000" w:rsidRDefault="00000000">
      <w:pPr>
        <w:tabs>
          <w:tab w:val="clear" w:pos="680"/>
          <w:tab w:val="clear" w:pos="1021"/>
          <w:tab w:val="right" w:pos="567"/>
          <w:tab w:val="left" w:pos="851"/>
          <w:tab w:val="right" w:leader="dot" w:pos="9072"/>
          <w:tab w:val="right" w:pos="9639"/>
        </w:tabs>
        <w:spacing w:after="120"/>
      </w:pPr>
      <w:r>
        <w:sym w:font="Qymbol" w:char="F0B7"/>
      </w:r>
      <w:r>
        <w:t xml:space="preserve"> </w:t>
      </w:r>
      <w:r>
        <w:rPr>
          <w:b/>
        </w:rPr>
        <w:t xml:space="preserve">Статья 10: Образование </w:t>
      </w:r>
      <w:r>
        <w:tab/>
      </w:r>
      <w:r>
        <w:tab/>
        <w:t>77</w:t>
      </w:r>
    </w:p>
    <w:p w:rsidR="00000000" w:rsidRDefault="00000000">
      <w:pPr>
        <w:tabs>
          <w:tab w:val="clear" w:pos="680"/>
          <w:tab w:val="clear" w:pos="1021"/>
          <w:tab w:val="right" w:pos="567"/>
          <w:tab w:val="left" w:pos="851"/>
          <w:tab w:val="right" w:leader="dot" w:pos="9072"/>
          <w:tab w:val="right" w:pos="9639"/>
        </w:tabs>
        <w:spacing w:after="0"/>
      </w:pPr>
      <w:r>
        <w:tab/>
        <w:t>I.</w:t>
      </w:r>
      <w:r>
        <w:tab/>
        <w:t xml:space="preserve">Дошкольное образование </w:t>
      </w:r>
      <w:r>
        <w:tab/>
      </w:r>
      <w:r>
        <w:tab/>
        <w:t>77</w:t>
      </w:r>
    </w:p>
    <w:p w:rsidR="00000000" w:rsidRDefault="00000000">
      <w:pPr>
        <w:tabs>
          <w:tab w:val="clear" w:pos="680"/>
          <w:tab w:val="clear" w:pos="1021"/>
          <w:tab w:val="right" w:pos="567"/>
          <w:tab w:val="left" w:pos="851"/>
          <w:tab w:val="right" w:leader="dot" w:pos="9072"/>
          <w:tab w:val="right" w:pos="9639"/>
        </w:tabs>
        <w:spacing w:after="0"/>
      </w:pPr>
      <w:r>
        <w:tab/>
        <w:t>II.</w:t>
      </w:r>
      <w:r>
        <w:tab/>
        <w:t xml:space="preserve">Эволюция системы образования </w:t>
      </w:r>
      <w:r>
        <w:tab/>
      </w:r>
      <w:r>
        <w:tab/>
        <w:t>78</w:t>
      </w:r>
    </w:p>
    <w:p w:rsidR="00000000" w:rsidRDefault="00000000">
      <w:pPr>
        <w:tabs>
          <w:tab w:val="clear" w:pos="680"/>
          <w:tab w:val="clear" w:pos="1021"/>
          <w:tab w:val="right" w:pos="567"/>
          <w:tab w:val="left" w:pos="851"/>
          <w:tab w:val="right" w:leader="dot" w:pos="9072"/>
          <w:tab w:val="right" w:pos="9639"/>
        </w:tabs>
        <w:spacing w:after="0"/>
      </w:pPr>
      <w:r>
        <w:tab/>
        <w:t>III.</w:t>
      </w:r>
      <w:r>
        <w:tab/>
        <w:t xml:space="preserve">Высшее образование </w:t>
      </w:r>
      <w:r>
        <w:tab/>
      </w:r>
      <w:r>
        <w:tab/>
        <w:t>88</w:t>
      </w:r>
    </w:p>
    <w:p w:rsidR="00000000" w:rsidRDefault="00000000">
      <w:pPr>
        <w:tabs>
          <w:tab w:val="clear" w:pos="680"/>
          <w:tab w:val="clear" w:pos="1021"/>
          <w:tab w:val="right" w:pos="567"/>
          <w:tab w:val="left" w:pos="851"/>
          <w:tab w:val="right" w:leader="dot" w:pos="9072"/>
          <w:tab w:val="right" w:pos="9639"/>
        </w:tabs>
        <w:spacing w:after="0"/>
      </w:pPr>
      <w:r>
        <w:tab/>
        <w:t>IV.</w:t>
      </w:r>
      <w:r>
        <w:tab/>
        <w:t xml:space="preserve">Школьный и университетский спорт </w:t>
      </w:r>
      <w:r>
        <w:tab/>
      </w:r>
      <w:r>
        <w:tab/>
        <w:t>92</w:t>
      </w:r>
    </w:p>
    <w:p w:rsidR="00000000" w:rsidRDefault="00000000">
      <w:pPr>
        <w:tabs>
          <w:tab w:val="clear" w:pos="680"/>
          <w:tab w:val="clear" w:pos="1021"/>
          <w:tab w:val="right" w:pos="567"/>
          <w:tab w:val="left" w:pos="851"/>
          <w:tab w:val="right" w:leader="dot" w:pos="9072"/>
          <w:tab w:val="right" w:pos="9639"/>
        </w:tabs>
        <w:spacing w:after="0"/>
      </w:pPr>
      <w:r>
        <w:tab/>
        <w:t>V.</w:t>
      </w:r>
      <w:r>
        <w:tab/>
        <w:t xml:space="preserve">Борьба с неграмотностью </w:t>
      </w:r>
      <w:r>
        <w:tab/>
      </w:r>
      <w:r>
        <w:tab/>
        <w:t>93</w:t>
      </w:r>
    </w:p>
    <w:p w:rsidR="00000000" w:rsidRDefault="00000000">
      <w:pPr>
        <w:tabs>
          <w:tab w:val="clear" w:pos="680"/>
          <w:tab w:val="clear" w:pos="1021"/>
          <w:tab w:val="right" w:pos="567"/>
          <w:tab w:val="left" w:pos="851"/>
          <w:tab w:val="right" w:leader="dot" w:pos="9072"/>
          <w:tab w:val="right" w:pos="9639"/>
        </w:tabs>
        <w:spacing w:after="0"/>
      </w:pPr>
    </w:p>
    <w:p w:rsidR="00000000" w:rsidRDefault="00000000">
      <w:pPr>
        <w:tabs>
          <w:tab w:val="clear" w:pos="680"/>
          <w:tab w:val="clear" w:pos="1021"/>
          <w:tab w:val="right" w:pos="567"/>
          <w:tab w:val="left" w:pos="851"/>
          <w:tab w:val="right" w:leader="dot" w:pos="9072"/>
          <w:tab w:val="right" w:pos="9639"/>
        </w:tabs>
        <w:spacing w:after="120"/>
      </w:pPr>
      <w:r>
        <w:sym w:font="Qymbol" w:char="F0B7"/>
      </w:r>
      <w:r>
        <w:t xml:space="preserve"> </w:t>
      </w:r>
      <w:r>
        <w:rPr>
          <w:b/>
        </w:rPr>
        <w:t xml:space="preserve">Статья 11: Занятость </w:t>
      </w:r>
      <w:r>
        <w:tab/>
      </w:r>
      <w:r>
        <w:tab/>
        <w:t>97</w:t>
      </w:r>
    </w:p>
    <w:p w:rsidR="00000000" w:rsidRDefault="00000000">
      <w:pPr>
        <w:tabs>
          <w:tab w:val="clear" w:pos="680"/>
          <w:tab w:val="clear" w:pos="1021"/>
          <w:tab w:val="right" w:pos="567"/>
          <w:tab w:val="left" w:pos="851"/>
          <w:tab w:val="right" w:leader="dot" w:pos="9072"/>
          <w:tab w:val="right" w:pos="9639"/>
        </w:tabs>
        <w:spacing w:after="0"/>
      </w:pPr>
      <w:r>
        <w:tab/>
        <w:t>I.</w:t>
      </w:r>
      <w:r>
        <w:tab/>
        <w:t xml:space="preserve">Законодательство </w:t>
      </w:r>
      <w:r>
        <w:tab/>
      </w:r>
      <w:r>
        <w:tab/>
        <w:t>98</w:t>
      </w:r>
    </w:p>
    <w:p w:rsidR="00000000" w:rsidRDefault="00000000">
      <w:pPr>
        <w:tabs>
          <w:tab w:val="clear" w:pos="680"/>
          <w:tab w:val="clear" w:pos="1021"/>
          <w:tab w:val="right" w:pos="567"/>
          <w:tab w:val="left" w:pos="851"/>
          <w:tab w:val="right" w:leader="dot" w:pos="9072"/>
          <w:tab w:val="right" w:pos="9639"/>
        </w:tabs>
        <w:spacing w:after="0"/>
      </w:pPr>
      <w:r>
        <w:tab/>
        <w:t>II.</w:t>
      </w:r>
      <w:r>
        <w:tab/>
        <w:t xml:space="preserve">Возможности для женщин в профессиональной области </w:t>
      </w:r>
      <w:r>
        <w:tab/>
      </w:r>
      <w:r>
        <w:tab/>
        <w:t>100</w:t>
      </w:r>
    </w:p>
    <w:p w:rsidR="00000000" w:rsidRDefault="00000000">
      <w:pPr>
        <w:tabs>
          <w:tab w:val="clear" w:pos="680"/>
          <w:tab w:val="clear" w:pos="1021"/>
          <w:tab w:val="right" w:pos="567"/>
          <w:tab w:val="left" w:pos="851"/>
          <w:tab w:val="right" w:leader="dot" w:pos="9072"/>
          <w:tab w:val="right" w:pos="9639"/>
        </w:tabs>
        <w:spacing w:after="0"/>
      </w:pPr>
      <w:r>
        <w:tab/>
        <w:t>III.</w:t>
      </w:r>
      <w:r>
        <w:tab/>
        <w:t xml:space="preserve">Экономически активное женское население </w:t>
      </w:r>
      <w:r>
        <w:tab/>
      </w:r>
      <w:r>
        <w:tab/>
        <w:t>101</w:t>
      </w:r>
    </w:p>
    <w:p w:rsidR="00000000" w:rsidRDefault="00000000">
      <w:pPr>
        <w:tabs>
          <w:tab w:val="clear" w:pos="680"/>
          <w:tab w:val="clear" w:pos="1021"/>
          <w:tab w:val="right" w:pos="567"/>
          <w:tab w:val="left" w:pos="851"/>
          <w:tab w:val="right" w:leader="dot" w:pos="9072"/>
          <w:tab w:val="right" w:pos="9639"/>
        </w:tabs>
        <w:spacing w:after="0"/>
      </w:pPr>
      <w:r>
        <w:tab/>
        <w:t>IV.</w:t>
      </w:r>
      <w:r>
        <w:tab/>
        <w:t xml:space="preserve">Женщины и рынок занятости </w:t>
      </w:r>
      <w:r>
        <w:tab/>
      </w:r>
      <w:r>
        <w:tab/>
        <w:t>104</w:t>
      </w:r>
    </w:p>
    <w:p w:rsidR="00000000" w:rsidRDefault="00000000">
      <w:pPr>
        <w:tabs>
          <w:tab w:val="clear" w:pos="680"/>
          <w:tab w:val="clear" w:pos="1021"/>
          <w:tab w:val="right" w:pos="567"/>
          <w:tab w:val="left" w:pos="851"/>
          <w:tab w:val="right" w:leader="dot" w:pos="9072"/>
          <w:tab w:val="right" w:pos="9639"/>
        </w:tabs>
        <w:spacing w:after="0"/>
      </w:pPr>
      <w:r>
        <w:tab/>
        <w:t>V.</w:t>
      </w:r>
      <w:r>
        <w:tab/>
        <w:t xml:space="preserve">Женщины и предпринимательство </w:t>
      </w:r>
      <w:r>
        <w:tab/>
      </w:r>
      <w:r>
        <w:tab/>
        <w:t>104</w:t>
      </w:r>
    </w:p>
    <w:p w:rsidR="00000000" w:rsidRDefault="00000000">
      <w:pPr>
        <w:tabs>
          <w:tab w:val="clear" w:pos="680"/>
          <w:tab w:val="clear" w:pos="1021"/>
          <w:tab w:val="right" w:pos="567"/>
          <w:tab w:val="left" w:pos="851"/>
          <w:tab w:val="right" w:leader="dot" w:pos="9072"/>
          <w:tab w:val="right" w:pos="9639"/>
        </w:tabs>
        <w:spacing w:after="0"/>
      </w:pPr>
      <w:r>
        <w:tab/>
        <w:t>VI.</w:t>
      </w:r>
      <w:r>
        <w:tab/>
        <w:t xml:space="preserve">Профессиональная подготовка </w:t>
      </w:r>
      <w:r>
        <w:tab/>
      </w:r>
      <w:r>
        <w:tab/>
        <w:t>105</w:t>
      </w:r>
    </w:p>
    <w:p w:rsidR="00000000" w:rsidRDefault="00000000">
      <w:pPr>
        <w:tabs>
          <w:tab w:val="clear" w:pos="680"/>
          <w:tab w:val="clear" w:pos="1021"/>
          <w:tab w:val="right" w:pos="567"/>
          <w:tab w:val="left" w:pos="851"/>
          <w:tab w:val="right" w:leader="dot" w:pos="9072"/>
          <w:tab w:val="right" w:pos="9639"/>
        </w:tabs>
        <w:spacing w:after="0"/>
      </w:pPr>
      <w:r>
        <w:tab/>
        <w:t>VII.</w:t>
      </w:r>
      <w:r>
        <w:tab/>
        <w:t xml:space="preserve">Механизмы позитивных действий </w:t>
      </w:r>
      <w:r>
        <w:tab/>
      </w:r>
      <w:r>
        <w:tab/>
        <w:t>108</w:t>
      </w:r>
    </w:p>
    <w:p w:rsidR="00000000" w:rsidRDefault="00000000">
      <w:pPr>
        <w:tabs>
          <w:tab w:val="clear" w:pos="680"/>
          <w:tab w:val="clear" w:pos="1021"/>
          <w:tab w:val="right" w:pos="567"/>
          <w:tab w:val="left" w:pos="851"/>
          <w:tab w:val="right" w:leader="dot" w:pos="9072"/>
          <w:tab w:val="right" w:pos="9639"/>
        </w:tabs>
        <w:spacing w:after="0"/>
      </w:pPr>
    </w:p>
    <w:p w:rsidR="00000000" w:rsidRDefault="00000000">
      <w:pPr>
        <w:tabs>
          <w:tab w:val="clear" w:pos="680"/>
          <w:tab w:val="clear" w:pos="1021"/>
          <w:tab w:val="right" w:pos="567"/>
          <w:tab w:val="left" w:pos="851"/>
          <w:tab w:val="right" w:leader="dot" w:pos="9072"/>
          <w:tab w:val="right" w:pos="9639"/>
        </w:tabs>
        <w:spacing w:after="120"/>
      </w:pPr>
      <w:r>
        <w:sym w:font="Qymbol" w:char="F0B7"/>
      </w:r>
      <w:r>
        <w:t xml:space="preserve"> </w:t>
      </w:r>
      <w:r>
        <w:rPr>
          <w:b/>
        </w:rPr>
        <w:t xml:space="preserve">Статья 12: Здравоохранение </w:t>
      </w:r>
      <w:r>
        <w:tab/>
      </w:r>
      <w:r>
        <w:tab/>
        <w:t>113</w:t>
      </w:r>
    </w:p>
    <w:p w:rsidR="00000000" w:rsidRDefault="00000000">
      <w:pPr>
        <w:tabs>
          <w:tab w:val="clear" w:pos="680"/>
          <w:tab w:val="clear" w:pos="1021"/>
          <w:tab w:val="right" w:pos="567"/>
          <w:tab w:val="left" w:pos="851"/>
          <w:tab w:val="right" w:leader="dot" w:pos="9072"/>
          <w:tab w:val="right" w:pos="9639"/>
        </w:tabs>
        <w:spacing w:after="0"/>
      </w:pPr>
      <w:r>
        <w:tab/>
        <w:t>I.</w:t>
      </w:r>
      <w:r>
        <w:tab/>
        <w:t xml:space="preserve">Инфраструктура системы охраны здоровья матери и ребенка и планирования семьи </w:t>
      </w:r>
      <w:r>
        <w:tab/>
      </w:r>
      <w:r>
        <w:tab/>
        <w:t>113</w:t>
      </w:r>
    </w:p>
    <w:p w:rsidR="00000000" w:rsidRDefault="00000000">
      <w:pPr>
        <w:tabs>
          <w:tab w:val="clear" w:pos="680"/>
          <w:tab w:val="clear" w:pos="1021"/>
          <w:tab w:val="right" w:pos="567"/>
          <w:tab w:val="left" w:pos="851"/>
          <w:tab w:val="right" w:leader="dot" w:pos="9072"/>
          <w:tab w:val="right" w:pos="9639"/>
        </w:tabs>
        <w:spacing w:after="0"/>
      </w:pPr>
      <w:r>
        <w:tab/>
        <w:t>II.</w:t>
      </w:r>
      <w:r>
        <w:tab/>
        <w:t xml:space="preserve">Программы улучшения медицинского обслуживания, профилактики и лечения женщин </w:t>
      </w:r>
      <w:r>
        <w:tab/>
      </w:r>
      <w:r>
        <w:tab/>
        <w:t>116</w:t>
      </w:r>
    </w:p>
    <w:p w:rsidR="00000000" w:rsidRDefault="00000000">
      <w:pPr>
        <w:tabs>
          <w:tab w:val="clear" w:pos="680"/>
          <w:tab w:val="clear" w:pos="1021"/>
          <w:tab w:val="right" w:pos="567"/>
          <w:tab w:val="left" w:pos="851"/>
          <w:tab w:val="right" w:leader="dot" w:pos="9072"/>
          <w:tab w:val="right" w:pos="9639"/>
        </w:tabs>
        <w:spacing w:after="0"/>
        <w:ind w:left="851" w:hanging="851"/>
        <w:jc w:val="left"/>
      </w:pPr>
      <w:r>
        <w:tab/>
        <w:t>III.</w:t>
      </w:r>
      <w:r>
        <w:tab/>
        <w:t xml:space="preserve">Планирование семьи: определяющий фактор в ликвидации всех форм дискриминации </w:t>
      </w:r>
      <w:r>
        <w:br/>
        <w:t xml:space="preserve">в отношении женщин </w:t>
      </w:r>
      <w:r>
        <w:tab/>
      </w:r>
      <w:r>
        <w:tab/>
        <w:t>118</w:t>
      </w:r>
    </w:p>
    <w:p w:rsidR="00000000" w:rsidRDefault="00000000">
      <w:pPr>
        <w:tabs>
          <w:tab w:val="clear" w:pos="680"/>
          <w:tab w:val="clear" w:pos="1021"/>
          <w:tab w:val="right" w:pos="567"/>
          <w:tab w:val="left" w:pos="851"/>
          <w:tab w:val="right" w:leader="dot" w:pos="9072"/>
          <w:tab w:val="right" w:pos="9639"/>
        </w:tabs>
        <w:spacing w:after="0"/>
      </w:pPr>
      <w:r>
        <w:tab/>
        <w:t>IV.</w:t>
      </w:r>
      <w:r>
        <w:tab/>
        <w:t xml:space="preserve">Показатели охвата специальным медицинским обслуживанием </w:t>
      </w:r>
      <w:r>
        <w:tab/>
      </w:r>
      <w:r>
        <w:tab/>
        <w:t>120</w:t>
      </w:r>
    </w:p>
    <w:p w:rsidR="00000000" w:rsidRDefault="00000000">
      <w:pPr>
        <w:tabs>
          <w:tab w:val="clear" w:pos="680"/>
          <w:tab w:val="clear" w:pos="1021"/>
          <w:tab w:val="right" w:pos="567"/>
          <w:tab w:val="left" w:pos="851"/>
          <w:tab w:val="right" w:leader="dot" w:pos="9072"/>
          <w:tab w:val="right" w:pos="9639"/>
        </w:tabs>
        <w:spacing w:after="0"/>
      </w:pPr>
    </w:p>
    <w:p w:rsidR="00000000" w:rsidRDefault="00000000">
      <w:pPr>
        <w:tabs>
          <w:tab w:val="clear" w:pos="680"/>
          <w:tab w:val="clear" w:pos="1021"/>
          <w:tab w:val="right" w:pos="567"/>
          <w:tab w:val="left" w:pos="851"/>
          <w:tab w:val="right" w:leader="dot" w:pos="9072"/>
          <w:tab w:val="right" w:pos="9639"/>
        </w:tabs>
        <w:spacing w:after="120"/>
      </w:pPr>
      <w:r>
        <w:sym w:font="Qymbol" w:char="F0B7"/>
      </w:r>
      <w:r>
        <w:t xml:space="preserve"> </w:t>
      </w:r>
      <w:r>
        <w:rPr>
          <w:b/>
        </w:rPr>
        <w:t xml:space="preserve">Статья 13: Социальные и экономические преимущества </w:t>
      </w:r>
      <w:r>
        <w:tab/>
      </w:r>
      <w:r>
        <w:tab/>
        <w:t>128</w:t>
      </w:r>
    </w:p>
    <w:p w:rsidR="00000000" w:rsidRDefault="00000000">
      <w:pPr>
        <w:tabs>
          <w:tab w:val="clear" w:pos="680"/>
          <w:tab w:val="clear" w:pos="1021"/>
          <w:tab w:val="right" w:pos="567"/>
          <w:tab w:val="left" w:pos="851"/>
          <w:tab w:val="right" w:leader="dot" w:pos="9072"/>
          <w:tab w:val="right" w:pos="9639"/>
        </w:tabs>
        <w:spacing w:after="0"/>
      </w:pPr>
      <w:r>
        <w:tab/>
        <w:t>I.</w:t>
      </w:r>
      <w:r>
        <w:tab/>
        <w:t xml:space="preserve">Доступ к социальным и семейным пособиям </w:t>
      </w:r>
      <w:r>
        <w:tab/>
      </w:r>
      <w:r>
        <w:tab/>
        <w:t>128</w:t>
      </w:r>
    </w:p>
    <w:p w:rsidR="00000000" w:rsidRDefault="00000000">
      <w:pPr>
        <w:tabs>
          <w:tab w:val="clear" w:pos="680"/>
          <w:tab w:val="clear" w:pos="1021"/>
          <w:tab w:val="right" w:pos="567"/>
          <w:tab w:val="left" w:pos="851"/>
          <w:tab w:val="right" w:leader="dot" w:pos="9072"/>
          <w:tab w:val="right" w:pos="9639"/>
        </w:tabs>
        <w:spacing w:after="0"/>
      </w:pPr>
      <w:r>
        <w:tab/>
        <w:t>II.</w:t>
      </w:r>
      <w:r>
        <w:tab/>
        <w:t xml:space="preserve">Доступ к программам по оказанию помощи и борьбы с бедностью </w:t>
      </w:r>
      <w:r>
        <w:tab/>
      </w:r>
      <w:r>
        <w:tab/>
        <w:t>130</w:t>
      </w:r>
    </w:p>
    <w:p w:rsidR="00000000" w:rsidRDefault="00000000">
      <w:pPr>
        <w:tabs>
          <w:tab w:val="clear" w:pos="680"/>
          <w:tab w:val="clear" w:pos="1021"/>
          <w:tab w:val="right" w:pos="567"/>
          <w:tab w:val="left" w:pos="851"/>
          <w:tab w:val="right" w:leader="dot" w:pos="9072"/>
          <w:tab w:val="right" w:pos="9639"/>
        </w:tabs>
        <w:spacing w:after="0"/>
      </w:pPr>
      <w:r>
        <w:tab/>
        <w:t>III.</w:t>
      </w:r>
      <w:r>
        <w:tab/>
        <w:t xml:space="preserve">Доступ к программам комплексного развития </w:t>
      </w:r>
      <w:r>
        <w:tab/>
      </w:r>
      <w:r>
        <w:tab/>
        <w:t>133</w:t>
      </w:r>
    </w:p>
    <w:p w:rsidR="00000000" w:rsidRDefault="00000000">
      <w:pPr>
        <w:tabs>
          <w:tab w:val="clear" w:pos="680"/>
          <w:tab w:val="clear" w:pos="1021"/>
          <w:tab w:val="right" w:pos="567"/>
          <w:tab w:val="left" w:pos="851"/>
          <w:tab w:val="right" w:leader="dot" w:pos="9072"/>
          <w:tab w:val="right" w:pos="9639"/>
        </w:tabs>
        <w:spacing w:after="0"/>
      </w:pPr>
      <w:r>
        <w:tab/>
        <w:t>IV.</w:t>
      </w:r>
      <w:r>
        <w:tab/>
        <w:t xml:space="preserve">Доступ к банковским кредитам и другим формам финансирования </w:t>
      </w:r>
      <w:r>
        <w:tab/>
      </w:r>
      <w:r>
        <w:tab/>
        <w:t>133</w:t>
      </w:r>
    </w:p>
    <w:p w:rsidR="00000000" w:rsidRDefault="00000000">
      <w:pPr>
        <w:tabs>
          <w:tab w:val="clear" w:pos="680"/>
          <w:tab w:val="clear" w:pos="1021"/>
          <w:tab w:val="right" w:pos="567"/>
          <w:tab w:val="left" w:pos="851"/>
          <w:tab w:val="right" w:leader="dot" w:pos="9072"/>
          <w:tab w:val="right" w:pos="9639"/>
        </w:tabs>
        <w:spacing w:after="0"/>
      </w:pPr>
      <w:r>
        <w:tab/>
        <w:t>V.</w:t>
      </w:r>
      <w:r>
        <w:tab/>
        <w:t xml:space="preserve">Механизмы поддержки, существующие в Министерстве по делам женщин и семьи (МДЖС) </w:t>
      </w:r>
      <w:r>
        <w:tab/>
      </w:r>
      <w:r>
        <w:tab/>
        <w:t>136</w:t>
      </w:r>
    </w:p>
    <w:p w:rsidR="00000000" w:rsidRDefault="00000000">
      <w:pPr>
        <w:tabs>
          <w:tab w:val="clear" w:pos="680"/>
          <w:tab w:val="clear" w:pos="1021"/>
          <w:tab w:val="right" w:pos="567"/>
          <w:tab w:val="left" w:pos="851"/>
          <w:tab w:val="right" w:leader="dot" w:pos="9072"/>
          <w:tab w:val="right" w:pos="9639"/>
        </w:tabs>
        <w:spacing w:after="0"/>
      </w:pPr>
      <w:r>
        <w:tab/>
        <w:t>VI.</w:t>
      </w:r>
      <w:r>
        <w:tab/>
        <w:t xml:space="preserve">Доступ к кредитам на приобретение жилища </w:t>
      </w:r>
      <w:r>
        <w:tab/>
      </w:r>
      <w:r>
        <w:tab/>
        <w:t>137</w:t>
      </w:r>
    </w:p>
    <w:p w:rsidR="00000000" w:rsidRDefault="00000000">
      <w:pPr>
        <w:tabs>
          <w:tab w:val="clear" w:pos="680"/>
          <w:tab w:val="clear" w:pos="1021"/>
          <w:tab w:val="right" w:pos="567"/>
          <w:tab w:val="left" w:pos="851"/>
          <w:tab w:val="right" w:leader="dot" w:pos="9072"/>
          <w:tab w:val="right" w:pos="9639"/>
        </w:tabs>
        <w:spacing w:after="0"/>
      </w:pPr>
      <w:r>
        <w:tab/>
        <w:t>VII.</w:t>
      </w:r>
      <w:r>
        <w:tab/>
        <w:t xml:space="preserve">Доступ к Единому бюро информации для молодежи </w:t>
      </w:r>
      <w:r>
        <w:tab/>
      </w:r>
      <w:r>
        <w:tab/>
        <w:t>137</w:t>
      </w:r>
    </w:p>
    <w:p w:rsidR="00000000" w:rsidRDefault="00000000">
      <w:pPr>
        <w:tabs>
          <w:tab w:val="clear" w:pos="680"/>
          <w:tab w:val="clear" w:pos="1021"/>
          <w:tab w:val="right" w:pos="567"/>
          <w:tab w:val="left" w:pos="851"/>
          <w:tab w:val="right" w:leader="dot" w:pos="9072"/>
          <w:tab w:val="right" w:pos="9639"/>
        </w:tabs>
        <w:spacing w:after="0"/>
      </w:pPr>
      <w:r>
        <w:tab/>
        <w:t>VIII.</w:t>
      </w:r>
      <w:r>
        <w:tab/>
        <w:t xml:space="preserve">Участие женщин в культурной жизни и досуговых мероприятиях </w:t>
      </w:r>
      <w:r>
        <w:tab/>
      </w:r>
      <w:r>
        <w:tab/>
        <w:t>138</w:t>
      </w:r>
    </w:p>
    <w:p w:rsidR="00000000" w:rsidRDefault="00000000">
      <w:pPr>
        <w:tabs>
          <w:tab w:val="clear" w:pos="680"/>
          <w:tab w:val="clear" w:pos="1021"/>
          <w:tab w:val="right" w:pos="567"/>
          <w:tab w:val="left" w:pos="851"/>
          <w:tab w:val="right" w:leader="dot" w:pos="9072"/>
          <w:tab w:val="right" w:pos="9639"/>
        </w:tabs>
        <w:spacing w:after="0"/>
      </w:pPr>
      <w:r>
        <w:tab/>
        <w:t>IX.</w:t>
      </w:r>
      <w:r>
        <w:tab/>
        <w:t xml:space="preserve">Женский спорт </w:t>
      </w:r>
      <w:r>
        <w:tab/>
      </w:r>
      <w:r>
        <w:tab/>
        <w:t>141</w:t>
      </w:r>
    </w:p>
    <w:p w:rsidR="00000000" w:rsidRDefault="00000000">
      <w:pPr>
        <w:tabs>
          <w:tab w:val="clear" w:pos="680"/>
          <w:tab w:val="clear" w:pos="1021"/>
          <w:tab w:val="right" w:pos="567"/>
          <w:tab w:val="left" w:pos="851"/>
          <w:tab w:val="right" w:leader="dot" w:pos="9072"/>
          <w:tab w:val="right" w:pos="9639"/>
        </w:tabs>
        <w:spacing w:after="0"/>
      </w:pPr>
    </w:p>
    <w:p w:rsidR="00000000" w:rsidRDefault="00000000">
      <w:pPr>
        <w:tabs>
          <w:tab w:val="clear" w:pos="680"/>
          <w:tab w:val="clear" w:pos="1021"/>
          <w:tab w:val="right" w:pos="567"/>
          <w:tab w:val="left" w:pos="851"/>
          <w:tab w:val="right" w:leader="dot" w:pos="9072"/>
          <w:tab w:val="right" w:pos="9639"/>
        </w:tabs>
        <w:spacing w:after="120"/>
      </w:pPr>
      <w:r>
        <w:sym w:font="Qymbol" w:char="F0B7"/>
      </w:r>
      <w:r>
        <w:t xml:space="preserve"> </w:t>
      </w:r>
      <w:r>
        <w:rPr>
          <w:b/>
        </w:rPr>
        <w:t xml:space="preserve">Статья 14: Женщины, проживающие в сельской местности </w:t>
      </w:r>
      <w:r>
        <w:tab/>
      </w:r>
      <w:r>
        <w:tab/>
        <w:t>144</w:t>
      </w:r>
    </w:p>
    <w:p w:rsidR="00000000" w:rsidRDefault="00000000">
      <w:pPr>
        <w:tabs>
          <w:tab w:val="clear" w:pos="680"/>
          <w:tab w:val="clear" w:pos="1021"/>
          <w:tab w:val="right" w:pos="567"/>
          <w:tab w:val="left" w:pos="851"/>
          <w:tab w:val="right" w:leader="dot" w:pos="9072"/>
          <w:tab w:val="right" w:pos="9639"/>
        </w:tabs>
        <w:spacing w:after="0"/>
      </w:pPr>
      <w:r>
        <w:tab/>
        <w:t>I.</w:t>
      </w:r>
      <w:r>
        <w:tab/>
        <w:t xml:space="preserve">Доступ к услугам </w:t>
      </w:r>
      <w:r>
        <w:tab/>
      </w:r>
      <w:r>
        <w:tab/>
        <w:t>145</w:t>
      </w:r>
    </w:p>
    <w:p w:rsidR="00000000" w:rsidRDefault="00000000">
      <w:pPr>
        <w:tabs>
          <w:tab w:val="clear" w:pos="680"/>
          <w:tab w:val="clear" w:pos="1021"/>
          <w:tab w:val="right" w:pos="567"/>
          <w:tab w:val="left" w:pos="851"/>
          <w:tab w:val="right" w:leader="dot" w:pos="9072"/>
          <w:tab w:val="right" w:pos="9639"/>
        </w:tabs>
        <w:spacing w:after="0"/>
      </w:pPr>
      <w:r>
        <w:tab/>
        <w:t>II.</w:t>
      </w:r>
      <w:r>
        <w:tab/>
        <w:t xml:space="preserve">Национальные программы развития и борьбы с бедностью </w:t>
      </w:r>
      <w:r>
        <w:tab/>
      </w:r>
      <w:r>
        <w:tab/>
        <w:t>153</w:t>
      </w:r>
    </w:p>
    <w:p w:rsidR="00000000" w:rsidRDefault="00000000">
      <w:pPr>
        <w:tabs>
          <w:tab w:val="clear" w:pos="680"/>
          <w:tab w:val="clear" w:pos="1021"/>
          <w:tab w:val="right" w:pos="567"/>
          <w:tab w:val="left" w:pos="851"/>
          <w:tab w:val="right" w:leader="dot" w:pos="9072"/>
          <w:tab w:val="right" w:pos="9639"/>
        </w:tabs>
        <w:spacing w:after="0"/>
      </w:pPr>
      <w:r>
        <w:tab/>
        <w:t>III.</w:t>
      </w:r>
      <w:r>
        <w:tab/>
        <w:t xml:space="preserve">Механизмы финансирования и поощрения </w:t>
      </w:r>
      <w:r>
        <w:tab/>
      </w:r>
      <w:r>
        <w:tab/>
        <w:t>158</w:t>
      </w:r>
    </w:p>
    <w:p w:rsidR="00000000" w:rsidRDefault="00000000">
      <w:pPr>
        <w:tabs>
          <w:tab w:val="clear" w:pos="680"/>
          <w:tab w:val="clear" w:pos="1021"/>
          <w:tab w:val="right" w:pos="567"/>
          <w:tab w:val="left" w:pos="851"/>
          <w:tab w:val="right" w:leader="dot" w:pos="9072"/>
          <w:tab w:val="right" w:pos="9639"/>
        </w:tabs>
        <w:spacing w:after="0"/>
      </w:pPr>
      <w:r>
        <w:tab/>
        <w:t>IV.</w:t>
      </w:r>
      <w:r>
        <w:tab/>
        <w:t xml:space="preserve">Новые механизмы </w:t>
      </w:r>
      <w:r>
        <w:tab/>
      </w:r>
      <w:r>
        <w:tab/>
        <w:t>159</w:t>
      </w:r>
    </w:p>
    <w:p w:rsidR="00000000" w:rsidRDefault="00000000">
      <w:pPr>
        <w:tabs>
          <w:tab w:val="clear" w:pos="680"/>
          <w:tab w:val="clear" w:pos="1021"/>
          <w:tab w:val="right" w:pos="567"/>
          <w:tab w:val="left" w:pos="851"/>
          <w:tab w:val="right" w:leader="dot" w:pos="9072"/>
          <w:tab w:val="right" w:pos="9639"/>
        </w:tabs>
        <w:spacing w:after="0"/>
      </w:pPr>
      <w:r>
        <w:tab/>
        <w:t>V.</w:t>
      </w:r>
      <w:r>
        <w:tab/>
        <w:t xml:space="preserve">Повышение профессиональной квалификации девушек, проживающих в сельской местности </w:t>
      </w:r>
      <w:r>
        <w:tab/>
      </w:r>
      <w:r>
        <w:tab/>
        <w:t>161</w:t>
      </w:r>
    </w:p>
    <w:p w:rsidR="00000000" w:rsidRDefault="00000000">
      <w:pPr>
        <w:tabs>
          <w:tab w:val="clear" w:pos="680"/>
          <w:tab w:val="clear" w:pos="1021"/>
          <w:tab w:val="right" w:pos="567"/>
          <w:tab w:val="left" w:pos="851"/>
          <w:tab w:val="right" w:leader="dot" w:pos="9072"/>
          <w:tab w:val="right" w:pos="9639"/>
        </w:tabs>
        <w:spacing w:after="0"/>
      </w:pPr>
      <w:r>
        <w:tab/>
        <w:t>VI.</w:t>
      </w:r>
      <w:r>
        <w:tab/>
        <w:t xml:space="preserve">Позитивные действия в интересах женщин, проживающих в сельской местности </w:t>
      </w:r>
      <w:r>
        <w:tab/>
      </w:r>
      <w:r>
        <w:tab/>
        <w:t>162</w:t>
      </w:r>
    </w:p>
    <w:p w:rsidR="00000000" w:rsidRDefault="00000000">
      <w:pPr>
        <w:tabs>
          <w:tab w:val="right" w:pos="9639"/>
        </w:tabs>
        <w:spacing w:before="240" w:line="240" w:lineRule="auto"/>
      </w:pPr>
      <w:r>
        <w:rPr>
          <w:i/>
        </w:rPr>
        <w:tab/>
      </w:r>
      <w:r>
        <w:rPr>
          <w:i/>
        </w:rPr>
        <w:tab/>
      </w:r>
      <w:r>
        <w:rPr>
          <w:i/>
        </w:rPr>
        <w:tab/>
        <w:t>Стр.</w:t>
      </w:r>
    </w:p>
    <w:p w:rsidR="00000000" w:rsidRDefault="00000000">
      <w:pPr>
        <w:tabs>
          <w:tab w:val="clear" w:pos="680"/>
          <w:tab w:val="clear" w:pos="1021"/>
          <w:tab w:val="right" w:pos="567"/>
          <w:tab w:val="left" w:pos="851"/>
          <w:tab w:val="right" w:leader="dot" w:pos="9072"/>
          <w:tab w:val="right" w:pos="9639"/>
        </w:tabs>
        <w:spacing w:after="120"/>
      </w:pPr>
      <w:r>
        <w:sym w:font="Qymbol" w:char="F0B7"/>
      </w:r>
      <w:r>
        <w:t xml:space="preserve"> </w:t>
      </w:r>
      <w:r>
        <w:rPr>
          <w:b/>
        </w:rPr>
        <w:t xml:space="preserve">Статья 15: Равенство перед законом </w:t>
      </w:r>
      <w:r>
        <w:tab/>
      </w:r>
      <w:r>
        <w:tab/>
        <w:t>168</w:t>
      </w:r>
    </w:p>
    <w:p w:rsidR="00000000" w:rsidRDefault="00000000">
      <w:pPr>
        <w:tabs>
          <w:tab w:val="clear" w:pos="680"/>
          <w:tab w:val="clear" w:pos="1021"/>
          <w:tab w:val="right" w:pos="567"/>
          <w:tab w:val="left" w:pos="851"/>
          <w:tab w:val="right" w:leader="dot" w:pos="9072"/>
          <w:tab w:val="right" w:pos="9639"/>
        </w:tabs>
        <w:spacing w:after="0"/>
      </w:pPr>
      <w:r>
        <w:tab/>
        <w:t>I.</w:t>
      </w:r>
      <w:r>
        <w:tab/>
        <w:t xml:space="preserve">Абсолютное равенство в области правоспособности </w:t>
      </w:r>
      <w:r>
        <w:tab/>
      </w:r>
      <w:r>
        <w:tab/>
        <w:t>168</w:t>
      </w:r>
    </w:p>
    <w:p w:rsidR="00000000" w:rsidRDefault="00000000">
      <w:pPr>
        <w:tabs>
          <w:tab w:val="clear" w:pos="680"/>
          <w:tab w:val="clear" w:pos="1021"/>
          <w:tab w:val="right" w:pos="567"/>
          <w:tab w:val="left" w:pos="851"/>
          <w:tab w:val="right" w:leader="dot" w:pos="9072"/>
          <w:tab w:val="right" w:pos="9639"/>
        </w:tabs>
        <w:spacing w:after="0"/>
      </w:pPr>
      <w:r>
        <w:tab/>
        <w:t>II.</w:t>
      </w:r>
      <w:r>
        <w:tab/>
        <w:t xml:space="preserve">Недискриминация в отношении доступа к судебным должностям </w:t>
      </w:r>
      <w:r>
        <w:tab/>
      </w:r>
      <w:r>
        <w:tab/>
        <w:t>169</w:t>
      </w:r>
    </w:p>
    <w:p w:rsidR="00000000" w:rsidRDefault="00000000">
      <w:pPr>
        <w:tabs>
          <w:tab w:val="clear" w:pos="680"/>
          <w:tab w:val="clear" w:pos="1021"/>
          <w:tab w:val="right" w:pos="567"/>
          <w:tab w:val="left" w:pos="851"/>
          <w:tab w:val="right" w:leader="dot" w:pos="9072"/>
          <w:tab w:val="right" w:pos="9639"/>
        </w:tabs>
        <w:spacing w:after="0"/>
      </w:pPr>
      <w:r>
        <w:tab/>
        <w:t>III.</w:t>
      </w:r>
      <w:r>
        <w:tab/>
        <w:t xml:space="preserve">Право женщин выбирать место проживания </w:t>
      </w:r>
      <w:r>
        <w:tab/>
      </w:r>
      <w:r>
        <w:tab/>
        <w:t>170</w:t>
      </w:r>
    </w:p>
    <w:p w:rsidR="00000000" w:rsidRDefault="00000000">
      <w:pPr>
        <w:tabs>
          <w:tab w:val="clear" w:pos="680"/>
          <w:tab w:val="clear" w:pos="1021"/>
          <w:tab w:val="right" w:pos="567"/>
          <w:tab w:val="left" w:pos="851"/>
          <w:tab w:val="right" w:leader="dot" w:pos="9072"/>
          <w:tab w:val="right" w:pos="9639"/>
        </w:tabs>
        <w:spacing w:after="0"/>
      </w:pPr>
    </w:p>
    <w:p w:rsidR="00000000" w:rsidRDefault="00000000">
      <w:pPr>
        <w:tabs>
          <w:tab w:val="clear" w:pos="680"/>
          <w:tab w:val="clear" w:pos="1021"/>
          <w:tab w:val="right" w:pos="567"/>
          <w:tab w:val="left" w:pos="851"/>
          <w:tab w:val="right" w:leader="dot" w:pos="9072"/>
          <w:tab w:val="right" w:pos="9639"/>
        </w:tabs>
        <w:spacing w:after="120"/>
      </w:pPr>
      <w:r>
        <w:sym w:font="Qymbol" w:char="F0B7"/>
      </w:r>
      <w:r>
        <w:t xml:space="preserve"> </w:t>
      </w:r>
      <w:r>
        <w:rPr>
          <w:b/>
        </w:rPr>
        <w:t xml:space="preserve">Статья 16: Право, касающееся брака и семьи </w:t>
      </w:r>
      <w:r>
        <w:tab/>
      </w:r>
      <w:r>
        <w:tab/>
        <w:t>171</w:t>
      </w:r>
    </w:p>
    <w:p w:rsidR="00000000" w:rsidRDefault="00000000">
      <w:pPr>
        <w:tabs>
          <w:tab w:val="clear" w:pos="680"/>
          <w:tab w:val="clear" w:pos="1021"/>
          <w:tab w:val="right" w:pos="567"/>
          <w:tab w:val="left" w:pos="851"/>
          <w:tab w:val="right" w:leader="dot" w:pos="9072"/>
          <w:tab w:val="right" w:pos="9639"/>
        </w:tabs>
        <w:spacing w:after="0"/>
      </w:pPr>
      <w:r>
        <w:tab/>
        <w:t>I.</w:t>
      </w:r>
      <w:r>
        <w:tab/>
        <w:t xml:space="preserve">Равенство и партнерство в семье </w:t>
      </w:r>
      <w:r>
        <w:tab/>
      </w:r>
      <w:r>
        <w:tab/>
        <w:t>171</w:t>
      </w:r>
    </w:p>
    <w:p w:rsidR="00000000" w:rsidRDefault="00000000">
      <w:pPr>
        <w:tabs>
          <w:tab w:val="clear" w:pos="680"/>
          <w:tab w:val="clear" w:pos="1021"/>
          <w:tab w:val="right" w:pos="567"/>
          <w:tab w:val="left" w:pos="851"/>
          <w:tab w:val="right" w:leader="dot" w:pos="9072"/>
          <w:tab w:val="right" w:pos="9639"/>
        </w:tabs>
        <w:spacing w:after="0"/>
      </w:pPr>
      <w:r>
        <w:tab/>
        <w:t>II.</w:t>
      </w:r>
      <w:r>
        <w:tab/>
        <w:t xml:space="preserve">Более сбалансированные права и обязанности супругов </w:t>
      </w:r>
      <w:r>
        <w:tab/>
      </w:r>
      <w:r>
        <w:tab/>
        <w:t>173</w:t>
      </w:r>
    </w:p>
    <w:p w:rsidR="00000000" w:rsidRDefault="00000000">
      <w:pPr>
        <w:tabs>
          <w:tab w:val="clear" w:pos="680"/>
          <w:tab w:val="clear" w:pos="1021"/>
          <w:tab w:val="right" w:pos="567"/>
          <w:tab w:val="left" w:pos="851"/>
          <w:tab w:val="right" w:leader="dot" w:pos="9072"/>
          <w:tab w:val="right" w:pos="9639"/>
        </w:tabs>
        <w:spacing w:after="0"/>
      </w:pPr>
      <w:r>
        <w:tab/>
        <w:t>III.</w:t>
      </w:r>
      <w:r>
        <w:tab/>
        <w:t xml:space="preserve">Упразднение понятия подчинения </w:t>
      </w:r>
      <w:r>
        <w:tab/>
      </w:r>
      <w:r>
        <w:tab/>
        <w:t>174</w:t>
      </w:r>
    </w:p>
    <w:p w:rsidR="00000000" w:rsidRDefault="00000000">
      <w:pPr>
        <w:tabs>
          <w:tab w:val="clear" w:pos="680"/>
          <w:tab w:val="clear" w:pos="1021"/>
          <w:tab w:val="right" w:pos="567"/>
          <w:tab w:val="left" w:pos="851"/>
          <w:tab w:val="right" w:leader="dot" w:pos="9072"/>
          <w:tab w:val="right" w:pos="9639"/>
        </w:tabs>
        <w:spacing w:after="0"/>
      </w:pPr>
      <w:r>
        <w:tab/>
        <w:t>IV.</w:t>
      </w:r>
      <w:r>
        <w:tab/>
        <w:t xml:space="preserve">Права родителей: сотрудничество в надлежащем воспитании детей </w:t>
      </w:r>
      <w:r>
        <w:tab/>
      </w:r>
      <w:r>
        <w:tab/>
        <w:t>176</w:t>
      </w:r>
    </w:p>
    <w:p w:rsidR="00000000" w:rsidRDefault="00000000">
      <w:pPr>
        <w:tabs>
          <w:tab w:val="clear" w:pos="680"/>
          <w:tab w:val="clear" w:pos="1021"/>
          <w:tab w:val="right" w:pos="567"/>
          <w:tab w:val="left" w:pos="851"/>
          <w:tab w:val="right" w:leader="dot" w:pos="9072"/>
          <w:tab w:val="right" w:pos="9639"/>
        </w:tabs>
        <w:spacing w:after="0"/>
      </w:pPr>
      <w:r>
        <w:tab/>
        <w:t>V.</w:t>
      </w:r>
      <w:r>
        <w:tab/>
        <w:t xml:space="preserve">Равенство супругов в принятии решений о числе детей и планировании семьи </w:t>
      </w:r>
      <w:r>
        <w:tab/>
      </w:r>
      <w:r>
        <w:tab/>
        <w:t>177</w:t>
      </w:r>
    </w:p>
    <w:p w:rsidR="00000000" w:rsidRDefault="00000000">
      <w:pPr>
        <w:tabs>
          <w:tab w:val="clear" w:pos="680"/>
          <w:tab w:val="clear" w:pos="1021"/>
          <w:tab w:val="right" w:pos="567"/>
          <w:tab w:val="left" w:pos="851"/>
          <w:tab w:val="right" w:leader="dot" w:pos="9072"/>
          <w:tab w:val="right" w:pos="9639"/>
        </w:tabs>
        <w:spacing w:after="0"/>
      </w:pPr>
      <w:r>
        <w:tab/>
        <w:t>VI.</w:t>
      </w:r>
      <w:r>
        <w:tab/>
        <w:t xml:space="preserve">Права супругов, касающиеся собственности и наследования </w:t>
      </w:r>
      <w:r>
        <w:tab/>
      </w:r>
      <w:r>
        <w:tab/>
        <w:t>177</w:t>
      </w:r>
    </w:p>
    <w:p w:rsidR="00000000" w:rsidRDefault="00000000">
      <w:pPr>
        <w:tabs>
          <w:tab w:val="clear" w:pos="680"/>
          <w:tab w:val="clear" w:pos="1021"/>
          <w:tab w:val="right" w:pos="567"/>
          <w:tab w:val="left" w:pos="851"/>
          <w:tab w:val="right" w:leader="dot" w:pos="9072"/>
          <w:tab w:val="right" w:pos="9639"/>
        </w:tabs>
        <w:spacing w:after="0"/>
      </w:pPr>
      <w:r>
        <w:tab/>
        <w:t>VII.</w:t>
      </w:r>
      <w:r>
        <w:tab/>
        <w:t xml:space="preserve">Равенство в отношении расторжения брака </w:t>
      </w:r>
      <w:r>
        <w:tab/>
      </w:r>
      <w:r>
        <w:tab/>
        <w:t>178</w:t>
      </w:r>
    </w:p>
    <w:p w:rsidR="00000000" w:rsidRDefault="00000000">
      <w:pPr>
        <w:tabs>
          <w:tab w:val="clear" w:pos="680"/>
          <w:tab w:val="clear" w:pos="1021"/>
          <w:tab w:val="right" w:pos="567"/>
          <w:tab w:val="left" w:pos="851"/>
          <w:tab w:val="right" w:leader="dot" w:pos="9072"/>
          <w:tab w:val="right" w:pos="9639"/>
        </w:tabs>
        <w:spacing w:after="0"/>
      </w:pPr>
      <w:r>
        <w:tab/>
        <w:t>VIII.</w:t>
      </w:r>
      <w:r>
        <w:tab/>
        <w:t xml:space="preserve">Права и обязанности в области опеки </w:t>
      </w:r>
      <w:r>
        <w:tab/>
      </w:r>
      <w:r>
        <w:tab/>
        <w:t>181</w:t>
      </w:r>
    </w:p>
    <w:p w:rsidR="00000000" w:rsidRDefault="00000000">
      <w:pPr>
        <w:tabs>
          <w:tab w:val="clear" w:pos="680"/>
          <w:tab w:val="clear" w:pos="1021"/>
          <w:tab w:val="right" w:pos="567"/>
          <w:tab w:val="left" w:pos="851"/>
          <w:tab w:val="right" w:leader="dot" w:pos="9072"/>
          <w:tab w:val="right" w:pos="9639"/>
        </w:tabs>
        <w:spacing w:after="0"/>
      </w:pPr>
      <w:r>
        <w:tab/>
        <w:t>IX.</w:t>
      </w:r>
      <w:r>
        <w:tab/>
        <w:t xml:space="preserve">Внебрачные отношения </w:t>
      </w:r>
      <w:r>
        <w:tab/>
      </w:r>
      <w:r>
        <w:tab/>
        <w:t>182</w:t>
      </w:r>
    </w:p>
    <w:p w:rsidR="00000000" w:rsidRDefault="00000000">
      <w:pPr>
        <w:tabs>
          <w:tab w:val="clear" w:pos="680"/>
          <w:tab w:val="clear" w:pos="1021"/>
          <w:tab w:val="right" w:pos="567"/>
          <w:tab w:val="left" w:pos="851"/>
          <w:tab w:val="right" w:leader="dot" w:pos="9072"/>
          <w:tab w:val="right" w:pos="9639"/>
        </w:tabs>
        <w:spacing w:after="0"/>
      </w:pPr>
      <w:r>
        <w:tab/>
      </w:r>
    </w:p>
    <w:p w:rsidR="00000000" w:rsidRDefault="00000000">
      <w:pPr>
        <w:tabs>
          <w:tab w:val="clear" w:pos="680"/>
          <w:tab w:val="clear" w:pos="1021"/>
          <w:tab w:val="right" w:pos="567"/>
          <w:tab w:val="left" w:pos="851"/>
          <w:tab w:val="right" w:leader="dot" w:pos="9072"/>
          <w:tab w:val="right" w:pos="9639"/>
        </w:tabs>
        <w:spacing w:after="0"/>
      </w:pPr>
      <w:r>
        <w:sym w:font="Qymbol" w:char="F0B7"/>
      </w:r>
      <w:r>
        <w:t xml:space="preserve"> </w:t>
      </w:r>
      <w:r>
        <w:rPr>
          <w:b/>
        </w:rPr>
        <w:t xml:space="preserve">Заключение: </w:t>
      </w:r>
      <w:r>
        <w:t xml:space="preserve">Необратимость процесса демократизации и развития </w:t>
      </w:r>
      <w:r>
        <w:tab/>
      </w:r>
      <w:r>
        <w:tab/>
        <w:t>183</w:t>
      </w:r>
    </w:p>
    <w:p w:rsidR="00000000" w:rsidRDefault="00000000">
      <w:pPr>
        <w:tabs>
          <w:tab w:val="clear" w:pos="680"/>
          <w:tab w:val="clear" w:pos="1021"/>
          <w:tab w:val="left" w:pos="567"/>
          <w:tab w:val="left" w:pos="1134"/>
          <w:tab w:val="left" w:leader="dot" w:pos="9072"/>
          <w:tab w:val="right" w:pos="9639"/>
        </w:tabs>
        <w:spacing w:after="0"/>
      </w:pPr>
    </w:p>
    <w:p w:rsidR="00000000" w:rsidRDefault="00000000">
      <w:pPr>
        <w:tabs>
          <w:tab w:val="clear" w:pos="680"/>
          <w:tab w:val="clear" w:pos="1021"/>
          <w:tab w:val="left" w:pos="567"/>
          <w:tab w:val="left" w:pos="1134"/>
          <w:tab w:val="left" w:leader="dot" w:pos="9072"/>
          <w:tab w:val="right" w:pos="9639"/>
        </w:tabs>
        <w:spacing w:after="0"/>
      </w:pPr>
    </w:p>
    <w:p w:rsidR="00000000" w:rsidRDefault="00000000">
      <w:pPr>
        <w:tabs>
          <w:tab w:val="clear" w:pos="680"/>
          <w:tab w:val="clear" w:pos="1021"/>
          <w:tab w:val="left" w:pos="567"/>
          <w:tab w:val="left" w:pos="1134"/>
          <w:tab w:val="left" w:leader="dot" w:pos="9072"/>
          <w:tab w:val="right" w:pos="9639"/>
        </w:tabs>
        <w:spacing w:after="0"/>
      </w:pPr>
    </w:p>
    <w:p w:rsidR="00000000" w:rsidRDefault="00000000">
      <w:pPr>
        <w:tabs>
          <w:tab w:val="clear" w:pos="680"/>
          <w:tab w:val="clear" w:pos="1021"/>
          <w:tab w:val="left" w:pos="567"/>
          <w:tab w:val="left" w:pos="1134"/>
          <w:tab w:val="left" w:leader="dot" w:pos="9072"/>
          <w:tab w:val="right" w:pos="9639"/>
        </w:tabs>
        <w:spacing w:after="0"/>
      </w:pPr>
    </w:p>
    <w:p w:rsidR="00000000" w:rsidRDefault="00000000">
      <w:pPr>
        <w:spacing w:after="120" w:line="240" w:lineRule="auto"/>
        <w:rPr>
          <w:b/>
          <w:sz w:val="28"/>
        </w:rPr>
      </w:pPr>
      <w:r>
        <w:br w:type="page"/>
      </w:r>
      <w:r>
        <w:rPr>
          <w:b/>
          <w:sz w:val="28"/>
        </w:rPr>
        <w:t>Представление доклада</w:t>
      </w:r>
    </w:p>
    <w:p w:rsidR="00000000" w:rsidRDefault="00000000">
      <w:r>
        <w:t>1.</w:t>
      </w:r>
      <w:r>
        <w:tab/>
        <w:t xml:space="preserve">В соответствии со статьей 18 Конвенции настоящий доклад, охватывающий период с 1992 по 1998 год, представляет собой объединенный третий и четвертый периодические доклады Туниса об успехах, достигнутых в осуществлении положений Конвенции о ликвидации всех форм дискриминации в отношении женщин. В него также включены данные и информация о ходе выполнения соответствующих мероприятий на международном уровне в рамках стратегических целей, обозначенных в пекинской Платформе действий и дакарском Плане действий. В докладе содержится также информация, относящаяся к 1999 и даже к 2000 годам. </w:t>
      </w:r>
    </w:p>
    <w:p w:rsidR="00000000" w:rsidRDefault="00000000">
      <w:r>
        <w:t>2.</w:t>
      </w:r>
      <w:r>
        <w:tab/>
        <w:t>Тунис должным образом учел замечания Комитета, сделанные им при рассмотрении первоначального и второго периодического докладов в 1995 году. Соответствующие ответы и сведения содержатся в материалах, касающихся изменений, происшедших в национальной политике в отношении повышения статуса женщины в правовом и институциональном плане, а также в рамках программ развития.</w:t>
      </w:r>
    </w:p>
    <w:p w:rsidR="00000000" w:rsidRDefault="00000000">
      <w:r>
        <w:t>3.</w:t>
      </w:r>
      <w:r>
        <w:tab/>
        <w:t>Настоящий документ был подготовлен в сотрудничестве с соответствующими департаментами министерств, ассоциациями, органами и неправительственными организациями, занимающимися вопросами улучшения положения женщин и защиты прав женщины и семьи.</w:t>
      </w:r>
    </w:p>
    <w:p w:rsidR="00000000" w:rsidRDefault="00000000">
      <w:r>
        <w:t>4.</w:t>
      </w:r>
      <w:r>
        <w:tab/>
        <w:t>Межведомственная комиссия с участием правительственных и неправительственных партнеров проанализировала секторальные доклады, на основе которых был составлен первый национальный оценочный доклад, рассмотренный затем Национальной комиссией по делам женщин и семьи.</w:t>
      </w:r>
    </w:p>
    <w:p w:rsidR="00000000" w:rsidRDefault="00000000">
      <w:pPr>
        <w:spacing w:before="120"/>
        <w:rPr>
          <w:b/>
          <w:sz w:val="22"/>
        </w:rPr>
      </w:pPr>
      <w:r>
        <w:rPr>
          <w:rFonts w:ascii="Symbol" w:hAnsi="Symbol"/>
          <w:b/>
          <w:sz w:val="22"/>
        </w:rPr>
        <w:t></w:t>
      </w:r>
      <w:r>
        <w:rPr>
          <w:b/>
          <w:sz w:val="22"/>
        </w:rPr>
        <w:t xml:space="preserve"> Исторический обзор положения женщины</w:t>
      </w:r>
    </w:p>
    <w:p w:rsidR="00000000" w:rsidRDefault="00000000">
      <w:r>
        <w:t>5.</w:t>
      </w:r>
      <w:r>
        <w:tab/>
        <w:t>На протяжении трехтысячелетней истории существования Туниса имеются свидетельства того, что женщина нередко играла в этой стране особую роль, начиная с времен Карфагена, основанного женщиной по имени Элисса, затем арабского владычества и восстания царицы Кахены и вплоть до введения в Кайруане, первой столице ислама на африканской земле, кайруанского брачного контракта, который предоставлял женщине право обязать своего мужа придерживаться моногамного образа жизни.</w:t>
      </w:r>
    </w:p>
    <w:p w:rsidR="00000000" w:rsidRDefault="00000000">
      <w:r>
        <w:t>6.</w:t>
      </w:r>
      <w:r>
        <w:tab/>
        <w:t xml:space="preserve">Впервые призыв к эмансипации женщины прозвучал в Тунисе в начале ХХ века по инициативе реформаторского движения, зародившегося в ходе борьбы за независимость страны. Движение в защиту женщины особенно энергично поддерживал мыслитель Тахар Хаддад, который, ссылаясь на ислам в своей книге, вышедшей в 1930 году под названием "Наша женщина, шариат и общество", призывал обеспечить девочкам доступ к образованию и освободить их от груза косных обычаев и традиций. </w:t>
      </w:r>
    </w:p>
    <w:p w:rsidR="00000000" w:rsidRDefault="00000000">
      <w:r>
        <w:t>7.</w:t>
      </w:r>
      <w:r>
        <w:tab/>
        <w:t>Ответом на этот призыв стал Кодекс о статусе личности (КСЛ), первый законодательный акт независимого Туниса, принятый 13 августа 1956 года по инициативе его лидера Хабиба Бургибы, первого президента независимой Тунисской Республики. В нем предусматривалась ликвидация полигамии и вводился официальный гражданский брак и порядок расторжения его в суде, а также определялась новая организация семьи на основе равенства супругов перед законом.</w:t>
      </w:r>
    </w:p>
    <w:p w:rsidR="00000000" w:rsidRDefault="00000000">
      <w:r>
        <w:t>8.</w:t>
      </w:r>
      <w:r>
        <w:tab/>
        <w:t>Вступивший в силу до принятия Конституции КСЛ стал ярким свидетельством того, что на следующий же день после провозглашения независимости Туниса граждане осознали необходимость осуществлять социальные изменения, основываясь одновременно на заповедях арабо-исламского рационализма, традициях мировой культуры и требованиях современности.</w:t>
      </w:r>
    </w:p>
    <w:p w:rsidR="00000000" w:rsidRDefault="00000000">
      <w:pPr>
        <w:rPr>
          <w:spacing w:val="-2"/>
        </w:rPr>
      </w:pPr>
      <w:r>
        <w:t>9.</w:t>
      </w:r>
      <w:r>
        <w:tab/>
      </w:r>
      <w:r>
        <w:rPr>
          <w:spacing w:val="-2"/>
        </w:rPr>
        <w:t>В статье 6 Конституции Туниса, принятой 1 июня 1959 года, говорится, что все граждане имеют одинаковые права и обязанности и равны перед законом. Конституция создала предпосылки для постепенного закрепления основных прав женщины во всех сферах в последующих законах: право избирать и быть избранной, право на труд, право на бесплатное образование, на социальную защиту, право заключать сделки и т. д.</w:t>
      </w:r>
    </w:p>
    <w:p w:rsidR="00000000" w:rsidRDefault="00000000">
      <w:r>
        <w:t>10.</w:t>
      </w:r>
      <w:r>
        <w:tab/>
        <w:t>В 1980 году Тунис одним из первых подписал Конвенцию о ликвидации всех форм дискриминации в отношении женщин.</w:t>
      </w:r>
    </w:p>
    <w:p w:rsidR="00000000" w:rsidRDefault="00000000">
      <w:pPr>
        <w:spacing w:before="120"/>
        <w:rPr>
          <w:b/>
          <w:sz w:val="22"/>
        </w:rPr>
      </w:pPr>
      <w:r>
        <w:rPr>
          <w:rFonts w:ascii="Symbol" w:hAnsi="Symbol"/>
          <w:b/>
          <w:sz w:val="22"/>
        </w:rPr>
        <w:t></w:t>
      </w:r>
      <w:r>
        <w:rPr>
          <w:b/>
          <w:sz w:val="22"/>
        </w:rPr>
        <w:t xml:space="preserve"> Развитие событий в стране</w:t>
      </w:r>
    </w:p>
    <w:p w:rsidR="00000000" w:rsidRDefault="00000000">
      <w:pPr>
        <w:spacing w:after="200"/>
      </w:pPr>
      <w:r>
        <w:t>11.</w:t>
      </w:r>
      <w:r>
        <w:tab/>
        <w:t xml:space="preserve">На протяжении 90-х годов для экономики страны были характерны открытость и стремление к интеграции в региональный и международный рынки, а политика была направлена на укрепление основ демократического плюрализма, правового государства и уважения прав личности. </w:t>
      </w:r>
    </w:p>
    <w:p w:rsidR="00000000" w:rsidRDefault="00000000">
      <w:pPr>
        <w:spacing w:after="200"/>
      </w:pPr>
      <w:r>
        <w:t>12.</w:t>
      </w:r>
      <w:r>
        <w:tab/>
        <w:t>С приходом на пост президента Зин аль-Абидина бен Али 7 ноября 1987 года страна вступила на путь всеобъемлющих реформ, возобновляя традиции реформаторского движения и укрепляя атрибуты своей принадлежности к современному миру. В результате этого, благодаря принятию сначала VIII (1992–1996 годы), а затем IX (1997–2001 годы) национальных планов развития, в Тунисе начался период позитивного экономического роста, политической стабильности и социального мира.</w:t>
      </w:r>
    </w:p>
    <w:p w:rsidR="00000000" w:rsidRDefault="00000000">
      <w:pPr>
        <w:spacing w:after="200"/>
      </w:pPr>
      <w:r>
        <w:t>13.</w:t>
      </w:r>
      <w:r>
        <w:tab/>
        <w:t>Вписываясь в рамки глобального подхода к правам человека, которые включают не только политические и гражданские, но также экономические, социальные и культурные права, процесс либерализации экономики сопровождался проведением по инициативе Главы государства социальной политики, нацеленной на устранение социального неравенства.</w:t>
      </w:r>
    </w:p>
    <w:p w:rsidR="00000000" w:rsidRDefault="00000000">
      <w:pPr>
        <w:spacing w:after="200"/>
      </w:pPr>
      <w:r>
        <w:t>14.</w:t>
      </w:r>
      <w:r>
        <w:tab/>
        <w:t xml:space="preserve">Борьба с бедностью и со всеми формами социальной маргинализации становится главной целью государства, для достижения которой оно, опираясь на национальную солидарность в обществе, увеличивает расходы на социальные нужды, которые достигают в среднем 18 процентов годового ВВП. </w:t>
      </w:r>
    </w:p>
    <w:p w:rsidR="00000000" w:rsidRDefault="00000000">
      <w:r>
        <w:t>15.</w:t>
      </w:r>
      <w:r>
        <w:tab/>
        <w:t>В такой политической и социальной обстановке, характеризуемой укреплением демократии и стремлением к социальному равенству, права женщины, являющиеся неотъемлемой частью прав личности, получают беспрецедентный приоритет.</w:t>
      </w:r>
    </w:p>
    <w:p w:rsidR="00000000" w:rsidRDefault="00000000">
      <w:pPr>
        <w:spacing w:before="80" w:after="200"/>
        <w:rPr>
          <w:b/>
          <w:sz w:val="22"/>
        </w:rPr>
      </w:pPr>
      <w:r>
        <w:rPr>
          <w:rFonts w:ascii="Symbol" w:hAnsi="Symbol"/>
          <w:b/>
          <w:sz w:val="22"/>
        </w:rPr>
        <w:t></w:t>
      </w:r>
      <w:r>
        <w:rPr>
          <w:b/>
          <w:sz w:val="22"/>
        </w:rPr>
        <w:t xml:space="preserve"> Политический выбор в новую эру</w:t>
      </w:r>
    </w:p>
    <w:p w:rsidR="00000000" w:rsidRDefault="00000000">
      <w:pPr>
        <w:spacing w:after="220"/>
      </w:pPr>
      <w:r>
        <w:t>16.</w:t>
      </w:r>
      <w:r>
        <w:tab/>
        <w:t>Перемены, происшедшие в Тунисе 7 ноября 1987 года, расширили горизонты демократии в плане укрепления демократического плюрализма и основ правового государства.</w:t>
      </w:r>
    </w:p>
    <w:p w:rsidR="00000000" w:rsidRDefault="00000000">
      <w:pPr>
        <w:spacing w:after="220"/>
      </w:pPr>
      <w:r>
        <w:t>17.</w:t>
      </w:r>
      <w:r>
        <w:tab/>
        <w:t>В отношении прав женщины должны быть исключены любые компромиссы. "Кодекс о статусе личности является завоеванием цивилизации, которому мы все привержены и которое налагает на нас определенные обязательства. Никогда в Тунисе не будет поставлено под вопрос или отменено то, что касается благополучия женщины и семьи", – заявил Глава государства 19 марта 1988 года, положив конец полемике, навязанной фундаменталистами.</w:t>
      </w:r>
    </w:p>
    <w:p w:rsidR="00000000" w:rsidRDefault="00000000">
      <w:pPr>
        <w:spacing w:after="220"/>
      </w:pPr>
      <w:r>
        <w:t>18.</w:t>
      </w:r>
      <w:r>
        <w:tab/>
        <w:t>Тунис поставил перед собой задачу повышать статус женщины, чтобы он гармонично сочетался с устоями правового государства, демократическими свободами и правами человека. В декабре 1991 года специальной комиссии и высшему комитету по правам человека было поручено изучить пути и средства улучшения положения</w:t>
      </w:r>
      <w:r>
        <w:rPr>
          <w:color w:val="FF0000"/>
        </w:rPr>
        <w:t xml:space="preserve"> </w:t>
      </w:r>
      <w:r>
        <w:t xml:space="preserve">женщины и предложить соответствующие поправки в законодательство "при условии, что это не будет противоречить арабо-мусульманскому облику Туниса". </w:t>
      </w:r>
    </w:p>
    <w:p w:rsidR="00000000" w:rsidRDefault="00000000">
      <w:pPr>
        <w:spacing w:after="220"/>
      </w:pPr>
      <w:r>
        <w:t>19.</w:t>
      </w:r>
      <w:r>
        <w:tab/>
        <w:t>По заключениям этих двух органов Глава государства 13 августа 1992 года принял целый ряд мер, которые значительно укрепили права женщины в законодательном плане, а также в рамках государственных структур. Таким образом, 13 августа стал днем ознаменования новой победы реформаторских сил.</w:t>
      </w:r>
    </w:p>
    <w:p w:rsidR="00000000" w:rsidRDefault="00000000">
      <w:pPr>
        <w:spacing w:after="220"/>
      </w:pPr>
      <w:r>
        <w:t>20.</w:t>
      </w:r>
      <w:r>
        <w:tab/>
        <w:t xml:space="preserve">С тех пор в русле реформы принимаются все новые и новые меры и законы, основа для которых была заложена 13 августа 1992 года. Пересмотр Конституции, принятой в 1997 году, стал новой важной вехой на этом пути. </w:t>
      </w:r>
    </w:p>
    <w:p w:rsidR="00000000" w:rsidRDefault="00000000">
      <w:pPr>
        <w:spacing w:after="220"/>
      </w:pPr>
      <w:r>
        <w:t>21.</w:t>
      </w:r>
      <w:r>
        <w:tab/>
        <w:t>Политика улучшения положения женщины получила небывалый размах и стала таким образом одним из национальных приоритетов.</w:t>
      </w:r>
    </w:p>
    <w:p w:rsidR="00000000" w:rsidRDefault="00000000">
      <w:r>
        <w:t>22.</w:t>
      </w:r>
      <w:r>
        <w:tab/>
        <w:t xml:space="preserve">"Прогресс в деле повышения статуса женщины объясняется самим существом нашего выбора, нашей убежденностью в том, что никакая реформа немыслима без участия в ней женщин, что ни одна нация не может достичь прогресса, не укрепляя завоеваний женщины", – сказал Президент бен Али в своей речи 10 июля </w:t>
      </w:r>
      <w:r>
        <w:br/>
        <w:t xml:space="preserve">1997 года. Он подтвердил это кредо 30 июля 1998 года, дав следующее торжественное обещание: "Мы говорим нет любому виду опеки над женщиной, мы против отмены хотя бы одного из ее прав". </w:t>
      </w:r>
    </w:p>
    <w:p w:rsidR="00000000" w:rsidRDefault="00000000">
      <w:pPr>
        <w:spacing w:before="120"/>
        <w:rPr>
          <w:b/>
          <w:sz w:val="22"/>
        </w:rPr>
      </w:pPr>
      <w:r>
        <w:rPr>
          <w:rFonts w:ascii="Symbol" w:hAnsi="Symbol"/>
          <w:b/>
          <w:sz w:val="22"/>
        </w:rPr>
        <w:t></w:t>
      </w:r>
      <w:r>
        <w:rPr>
          <w:b/>
          <w:sz w:val="22"/>
        </w:rPr>
        <w:t xml:space="preserve"> Равенство: одна из составляющих гражданства</w:t>
      </w:r>
    </w:p>
    <w:p w:rsidR="00000000" w:rsidRDefault="00000000">
      <w:r>
        <w:t>23.</w:t>
      </w:r>
      <w:r>
        <w:tab/>
        <w:t xml:space="preserve">Осуществление прав женщины является основным мерилом реализации проекта построения гражданского общества, провозглашенного Новой эрой и основанного на цивилизованном выборе, который предполагает обеспечение женщине права на человеческое достоинство и условия для его осуществления как человеку и полноправной гражданке. </w:t>
      </w:r>
    </w:p>
    <w:p w:rsidR="00000000" w:rsidRDefault="00000000">
      <w:r>
        <w:t>24.</w:t>
      </w:r>
      <w:r>
        <w:tab/>
        <w:t>Теперь равенство между мужчиной и женщиной признано одним из устоев тунисского гражданского общества, одной из особенностей тунисской культуры, основной чертой которой является стремление к достижению одновременно двух целей: сохранения истинных ценностей арабо-мусульманской цивилизации и приобщения к ценностям современной мировой культуры.</w:t>
      </w:r>
    </w:p>
    <w:p w:rsidR="00000000" w:rsidRDefault="00000000">
      <w:r>
        <w:t>25.</w:t>
      </w:r>
      <w:r>
        <w:tab/>
        <w:t>Права женщины получают прочную юридическую и институциональную базу, которая опирается на их соответствие завоеваниям демократии и требование соблюдать права человека, находящиеся в центре внимания государственных властей.</w:t>
      </w:r>
    </w:p>
    <w:p w:rsidR="00000000" w:rsidRDefault="00000000">
      <w:pPr>
        <w:spacing w:line="240" w:lineRule="auto"/>
        <w:jc w:val="center"/>
        <w:rPr>
          <w:b/>
          <w:sz w:val="28"/>
        </w:rPr>
      </w:pPr>
      <w:r>
        <w:br w:type="page"/>
      </w:r>
      <w:r>
        <w:rPr>
          <w:b/>
          <w:sz w:val="28"/>
        </w:rPr>
        <w:t xml:space="preserve">Статьи 1, 2 и 3: Определение понятия дискриминации, </w:t>
      </w:r>
      <w:r>
        <w:rPr>
          <w:b/>
          <w:sz w:val="28"/>
        </w:rPr>
        <w:br/>
        <w:t>обязательства государств</w:t>
      </w:r>
    </w:p>
    <w:p w:rsidR="00000000" w:rsidRDefault="00000000">
      <w:pPr>
        <w:spacing w:before="240" w:line="240" w:lineRule="auto"/>
        <w:jc w:val="center"/>
        <w:rPr>
          <w:b/>
          <w:sz w:val="28"/>
        </w:rPr>
      </w:pPr>
      <w:r>
        <w:rPr>
          <w:rFonts w:ascii="Symbol" w:hAnsi="Symbol"/>
          <w:b/>
          <w:sz w:val="28"/>
        </w:rPr>
        <w:t></w:t>
      </w:r>
      <w:r>
        <w:rPr>
          <w:b/>
        </w:rPr>
        <w:t xml:space="preserve"> </w:t>
      </w:r>
      <w:r>
        <w:rPr>
          <w:b/>
          <w:sz w:val="28"/>
        </w:rPr>
        <w:t>Статья 1: Определение понятия дискриминации</w:t>
      </w:r>
    </w:p>
    <w:p w:rsidR="00000000" w:rsidRDefault="00000000">
      <w:pPr>
        <w:pBdr>
          <w:top w:val="single" w:sz="6" w:space="12" w:color="auto"/>
          <w:left w:val="single" w:sz="6" w:space="6" w:color="auto"/>
          <w:bottom w:val="single" w:sz="6" w:space="12" w:color="auto"/>
          <w:right w:val="single" w:sz="6" w:space="6" w:color="auto"/>
        </w:pBdr>
        <w:ind w:left="142" w:right="142"/>
        <w:rPr>
          <w:i/>
          <w:color w:val="000000"/>
        </w:rPr>
      </w:pPr>
      <w:r>
        <w:rPr>
          <w:i/>
          <w:color w:val="000000"/>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spacing w:before="240" w:line="240" w:lineRule="auto"/>
        <w:jc w:val="center"/>
        <w:rPr>
          <w:b/>
          <w:sz w:val="28"/>
        </w:rPr>
      </w:pPr>
      <w:r>
        <w:rPr>
          <w:rFonts w:ascii="Symbol" w:hAnsi="Symbol"/>
          <w:b/>
          <w:sz w:val="28"/>
        </w:rPr>
        <w:t></w:t>
      </w:r>
      <w:r>
        <w:rPr>
          <w:b/>
          <w:sz w:val="28"/>
        </w:rPr>
        <w:t xml:space="preserve"> Статья 2: Обязательства государств</w:t>
      </w:r>
    </w:p>
    <w:p w:rsidR="00000000" w:rsidRDefault="00000000">
      <w:pPr>
        <w:pBdr>
          <w:top w:val="single" w:sz="6" w:space="12" w:color="auto"/>
          <w:left w:val="single" w:sz="6" w:space="4" w:color="auto"/>
          <w:bottom w:val="single" w:sz="6" w:space="12" w:color="auto"/>
          <w:right w:val="single" w:sz="6" w:space="5" w:color="auto"/>
        </w:pBdr>
        <w:spacing w:after="120"/>
        <w:ind w:left="113" w:right="113"/>
        <w:rPr>
          <w:i/>
        </w:rPr>
      </w:pPr>
      <w:r>
        <w:rPr>
          <w:i/>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00000" w:rsidRDefault="00000000">
      <w:pPr>
        <w:pBdr>
          <w:top w:val="single" w:sz="6" w:space="12" w:color="auto"/>
          <w:left w:val="single" w:sz="6" w:space="4" w:color="auto"/>
          <w:bottom w:val="single" w:sz="6" w:space="12" w:color="auto"/>
          <w:right w:val="single" w:sz="6" w:space="5" w:color="auto"/>
        </w:pBdr>
        <w:spacing w:after="120"/>
        <w:ind w:left="113" w:right="113"/>
        <w:rPr>
          <w:i/>
        </w:rPr>
      </w:pPr>
      <w:r>
        <w:rPr>
          <w:i/>
        </w:rPr>
        <w:tab/>
      </w:r>
      <w:r>
        <w:rPr>
          <w:i/>
          <w:lang w:val="en-US"/>
        </w:rPr>
        <w:t>a</w:t>
      </w:r>
      <w:r>
        <w:rPr>
          <w:i/>
        </w:rPr>
        <w:t>)</w:t>
      </w:r>
      <w:r>
        <w:rPr>
          <w:i/>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pBdr>
          <w:top w:val="single" w:sz="6" w:space="12" w:color="auto"/>
          <w:left w:val="single" w:sz="6" w:space="4" w:color="auto"/>
          <w:bottom w:val="single" w:sz="6" w:space="12" w:color="auto"/>
          <w:right w:val="single" w:sz="6" w:space="5" w:color="auto"/>
        </w:pBdr>
        <w:spacing w:after="120"/>
        <w:ind w:left="113" w:right="113"/>
        <w:rPr>
          <w:i/>
        </w:rPr>
      </w:pPr>
      <w:r>
        <w:rPr>
          <w:i/>
        </w:rPr>
        <w:tab/>
      </w:r>
      <w:r>
        <w:rPr>
          <w:i/>
          <w:lang w:val="en-US"/>
        </w:rPr>
        <w:t>b</w:t>
      </w:r>
      <w:r>
        <w:rPr>
          <w:i/>
        </w:rPr>
        <w:t>)</w:t>
      </w:r>
      <w:r>
        <w:rPr>
          <w:i/>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pBdr>
          <w:top w:val="single" w:sz="6" w:space="12" w:color="auto"/>
          <w:left w:val="single" w:sz="6" w:space="4" w:color="auto"/>
          <w:bottom w:val="single" w:sz="6" w:space="12" w:color="auto"/>
          <w:right w:val="single" w:sz="6" w:space="5" w:color="auto"/>
        </w:pBdr>
        <w:spacing w:after="120"/>
        <w:ind w:left="113" w:right="113"/>
        <w:rPr>
          <w:i/>
        </w:rPr>
      </w:pPr>
      <w:r>
        <w:rPr>
          <w:i/>
        </w:rPr>
        <w:tab/>
      </w:r>
      <w:r>
        <w:rPr>
          <w:i/>
          <w:lang w:val="en-US"/>
        </w:rPr>
        <w:t>c</w:t>
      </w:r>
      <w:r>
        <w:rPr>
          <w:i/>
        </w:rPr>
        <w:t>)</w:t>
      </w:r>
      <w:r>
        <w:rPr>
          <w:i/>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pBdr>
          <w:top w:val="single" w:sz="6" w:space="12" w:color="auto"/>
          <w:left w:val="single" w:sz="6" w:space="4" w:color="auto"/>
          <w:bottom w:val="single" w:sz="6" w:space="12" w:color="auto"/>
          <w:right w:val="single" w:sz="6" w:space="5" w:color="auto"/>
        </w:pBdr>
        <w:spacing w:after="120"/>
        <w:ind w:left="113" w:right="113"/>
        <w:rPr>
          <w:i/>
        </w:rPr>
      </w:pPr>
      <w:r>
        <w:rPr>
          <w:i/>
        </w:rPr>
        <w:tab/>
      </w:r>
      <w:r>
        <w:rPr>
          <w:i/>
          <w:lang w:val="en-US"/>
        </w:rPr>
        <w:t>d</w:t>
      </w:r>
      <w:r>
        <w:rPr>
          <w:i/>
        </w:rPr>
        <w:t>)</w:t>
      </w:r>
      <w:r>
        <w:rPr>
          <w:i/>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pBdr>
          <w:top w:val="single" w:sz="6" w:space="12" w:color="auto"/>
          <w:left w:val="single" w:sz="6" w:space="4" w:color="auto"/>
          <w:bottom w:val="single" w:sz="6" w:space="12" w:color="auto"/>
          <w:right w:val="single" w:sz="6" w:space="5" w:color="auto"/>
        </w:pBdr>
        <w:spacing w:after="120"/>
        <w:ind w:left="113" w:right="113"/>
        <w:rPr>
          <w:i/>
        </w:rPr>
      </w:pPr>
      <w:r>
        <w:rPr>
          <w:i/>
        </w:rPr>
        <w:tab/>
      </w:r>
      <w:r>
        <w:rPr>
          <w:i/>
          <w:lang w:val="en-US"/>
        </w:rPr>
        <w:t>e</w:t>
      </w:r>
      <w:r>
        <w:rPr>
          <w:i/>
        </w:rPr>
        <w:t>)</w:t>
      </w:r>
      <w:r>
        <w:rPr>
          <w:i/>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pBdr>
          <w:top w:val="single" w:sz="6" w:space="12" w:color="auto"/>
          <w:left w:val="single" w:sz="6" w:space="4" w:color="auto"/>
          <w:bottom w:val="single" w:sz="6" w:space="12" w:color="auto"/>
          <w:right w:val="single" w:sz="6" w:space="5" w:color="auto"/>
        </w:pBdr>
        <w:spacing w:after="120"/>
        <w:ind w:left="113" w:right="113"/>
        <w:rPr>
          <w:i/>
        </w:rPr>
      </w:pPr>
      <w:r>
        <w:rPr>
          <w:i/>
        </w:rPr>
        <w:tab/>
      </w:r>
      <w:r>
        <w:rPr>
          <w:i/>
          <w:lang w:val="en-US"/>
        </w:rPr>
        <w:t>f</w:t>
      </w:r>
      <w:r>
        <w:rPr>
          <w:i/>
        </w:rPr>
        <w:t>)</w:t>
      </w:r>
      <w:r>
        <w:rPr>
          <w:i/>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pBdr>
          <w:top w:val="single" w:sz="6" w:space="12" w:color="auto"/>
          <w:left w:val="single" w:sz="6" w:space="4" w:color="auto"/>
          <w:bottom w:val="single" w:sz="6" w:space="12" w:color="auto"/>
          <w:right w:val="single" w:sz="6" w:space="5" w:color="auto"/>
        </w:pBdr>
        <w:ind w:left="113" w:right="113"/>
        <w:rPr>
          <w:i/>
        </w:rPr>
      </w:pPr>
      <w:r>
        <w:rPr>
          <w:i/>
        </w:rPr>
        <w:tab/>
      </w:r>
      <w:r>
        <w:rPr>
          <w:i/>
          <w:lang w:val="en-US"/>
        </w:rPr>
        <w:t>g</w:t>
      </w:r>
      <w:r>
        <w:rPr>
          <w:i/>
        </w:rPr>
        <w:t>)</w:t>
      </w:r>
      <w:r>
        <w:rPr>
          <w:i/>
        </w:rP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spacing w:before="120" w:after="120" w:line="240" w:lineRule="auto"/>
        <w:jc w:val="center"/>
        <w:rPr>
          <w:b/>
          <w:sz w:val="28"/>
        </w:rPr>
      </w:pPr>
      <w:r>
        <w:rPr>
          <w:rFonts w:ascii="Symbol" w:hAnsi="Symbol"/>
          <w:b/>
          <w:sz w:val="28"/>
        </w:rPr>
        <w:t></w:t>
      </w:r>
      <w:r>
        <w:rPr>
          <w:b/>
          <w:sz w:val="28"/>
        </w:rPr>
        <w:t xml:space="preserve"> Статья 3: Обязательства государств</w:t>
      </w:r>
    </w:p>
    <w:p w:rsidR="00000000" w:rsidRDefault="00000000">
      <w:pPr>
        <w:pBdr>
          <w:top w:val="single" w:sz="6" w:space="12" w:color="auto"/>
          <w:left w:val="single" w:sz="6" w:space="6" w:color="auto"/>
          <w:bottom w:val="single" w:sz="6" w:space="12" w:color="auto"/>
          <w:right w:val="single" w:sz="6" w:space="6" w:color="auto"/>
        </w:pBdr>
        <w:ind w:left="142" w:right="142"/>
        <w:rPr>
          <w:i/>
        </w:rPr>
      </w:pPr>
      <w:r>
        <w:rPr>
          <w:i/>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w:t>
      </w:r>
      <w:r>
        <w:rPr>
          <w:i/>
          <w:color w:val="0000FF"/>
        </w:rPr>
        <w:t xml:space="preserve"> </w:t>
      </w:r>
      <w:r>
        <w:rPr>
          <w:i/>
        </w:rPr>
        <w:t>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spacing w:line="240" w:lineRule="auto"/>
        <w:rPr>
          <w:b/>
          <w:sz w:val="28"/>
        </w:rPr>
      </w:pPr>
      <w:r>
        <w:rPr>
          <w:b/>
          <w:sz w:val="28"/>
        </w:rPr>
        <w:t xml:space="preserve">I. </w:t>
      </w:r>
      <w:r>
        <w:rPr>
          <w:b/>
          <w:sz w:val="28"/>
          <w:lang w:val="en-US"/>
        </w:rPr>
        <w:tab/>
      </w:r>
      <w:r>
        <w:rPr>
          <w:b/>
          <w:sz w:val="28"/>
        </w:rPr>
        <w:t>Достижения за годы независимости</w:t>
      </w:r>
    </w:p>
    <w:p w:rsidR="00000000" w:rsidRDefault="00000000">
      <w:r>
        <w:t>26.</w:t>
      </w:r>
      <w:r>
        <w:tab/>
        <w:t>Кодекс о статусе личности (КСЛ), принятый 13 августа 1956 года, в который с тех пор неоднократно вносились поправки, ликвидировал полигамию (нарушение этого положения влечет за собой уголовное наказание); учредил расторжение брака в суде, запретил изгнание жены из семьи и предоставил обоим супругам право на развод; ограничил 17 годами установленный законом минимальный возраст вступления в брак девушки при условии ее согласия; предоставил жене в случае смерти супруга право на опеку над ее несовершеннолетними детьми, установил определение при наследовании размера обязательной доли наследства для детей женщины в том случае, если она умирает раньше своего мужа, а также право на "возврат", когда единственная дочь наследует все состояние своих родителей.</w:t>
      </w:r>
    </w:p>
    <w:p w:rsidR="00000000" w:rsidRDefault="00000000">
      <w:r>
        <w:t>27.</w:t>
      </w:r>
      <w:r>
        <w:tab/>
        <w:t>Конституция закрепила принцип правового равенства мужчины и женщины (статьи 6 и 7), а принятые впоследствии законы – экономические, социальные, политические и культурные права женщины.</w:t>
      </w:r>
    </w:p>
    <w:p w:rsidR="00000000" w:rsidRDefault="00000000">
      <w:r>
        <w:t>28.</w:t>
      </w:r>
      <w:r>
        <w:tab/>
        <w:t>Всеобщий характер образования и принятие национальной программы демографического контроля на основе широкого распространения противозачаточных средств, а также закона, разрешающего аборты, создали благоприятные объективные условия для реальной эмансипации женщины.</w:t>
      </w:r>
    </w:p>
    <w:p w:rsidR="00000000" w:rsidRDefault="00000000">
      <w:r>
        <w:t>29.</w:t>
      </w:r>
      <w:r>
        <w:tab/>
        <w:t xml:space="preserve">По мере развития внутригосударственного права Тунис ратифицировал если не все, то, по крайней мере, бóльшую часть международных конвенций, которые прямо или косвенно касаются прав женщины как в общественной, так и в личной жизни. </w:t>
      </w:r>
    </w:p>
    <w:p w:rsidR="00000000" w:rsidRDefault="00000000">
      <w:r>
        <w:t>30.</w:t>
      </w:r>
      <w:r>
        <w:tab/>
        <w:t>Среди этих конвенций самыми значительными являются Международная конвенция о политических правах женщин, Конвенция о гражданстве замужних женщин, Конвенция о ликвидации всех форм дискриминации в отношении женщин, введении условия согласия на брак, минимального брачного возраста и регистрации браков, а также два международных пакта о гражданских и политических, экономических, социальных и культурных правах (см. первый доклад Туниса, представленный Комитету по ликвидации дискриминации в отношении женщин).</w:t>
      </w:r>
    </w:p>
    <w:p w:rsidR="00000000" w:rsidRDefault="00000000">
      <w:pPr>
        <w:spacing w:before="240" w:line="240" w:lineRule="auto"/>
        <w:rPr>
          <w:b/>
          <w:sz w:val="28"/>
        </w:rPr>
      </w:pPr>
      <w:r>
        <w:rPr>
          <w:b/>
          <w:sz w:val="28"/>
        </w:rPr>
        <w:t xml:space="preserve">II. </w:t>
      </w:r>
      <w:r>
        <w:rPr>
          <w:b/>
          <w:sz w:val="28"/>
          <w:lang w:val="en-US"/>
        </w:rPr>
        <w:tab/>
      </w:r>
      <w:r>
        <w:rPr>
          <w:b/>
          <w:sz w:val="28"/>
        </w:rPr>
        <w:t>Демократия укрепляет права женщины</w:t>
      </w:r>
    </w:p>
    <w:p w:rsidR="00000000" w:rsidRDefault="00000000">
      <w:r>
        <w:t>31.</w:t>
      </w:r>
      <w:r>
        <w:tab/>
        <w:t>Происшедшие в ноябре 1987 года изменения в политическом руководстве страны породили мощный процесс реформирования и модернизации национального правового и институционального аппарата, одной из главных задач которого стало укрепление основных прав женщины. Исходя из убеждения, что права женщины являются составляющей частью прав человека, принятые законодательные акты подтверждают принцип равенства полов и дают четкое определение ожидаемой роли женщины в процессе реформ.</w:t>
      </w:r>
    </w:p>
    <w:p w:rsidR="00000000" w:rsidRDefault="00000000">
      <w:pPr>
        <w:spacing w:before="120"/>
        <w:rPr>
          <w:b/>
          <w:sz w:val="22"/>
        </w:rPr>
      </w:pPr>
      <w:r>
        <w:rPr>
          <w:b/>
          <w:sz w:val="22"/>
        </w:rPr>
        <w:t>II. 1.</w:t>
      </w:r>
      <w:r>
        <w:rPr>
          <w:b/>
          <w:sz w:val="22"/>
        </w:rPr>
        <w:tab/>
        <w:t>Основополагающие документы</w:t>
      </w:r>
    </w:p>
    <w:p w:rsidR="00000000" w:rsidRDefault="00000000">
      <w:pPr>
        <w:rPr>
          <w:b/>
        </w:rPr>
      </w:pPr>
      <w:r>
        <w:rPr>
          <w:b/>
        </w:rPr>
        <w:t>Недискриминация: конституционный принцип</w:t>
      </w:r>
    </w:p>
    <w:p w:rsidR="00000000" w:rsidRDefault="00000000">
      <w:r>
        <w:t>32.</w:t>
      </w:r>
      <w:r>
        <w:tab/>
        <w:t>Благодаря поправкам, внесенным на основании закона № 97-65 от 27 октября 1997 года, в Конституции был закреплен принцип равенства граждан и четко обозначен принцип недискриминации по признаку пола в ее статьях 8 и 21.</w:t>
      </w:r>
    </w:p>
    <w:p w:rsidR="00000000" w:rsidRDefault="00000000">
      <w:r>
        <w:t>33.</w:t>
      </w:r>
      <w:r>
        <w:tab/>
        <w:t>Принцип дискриминации становится основополагающим для любой национальной политической организации. Новая статья 8 гласит:</w:t>
      </w:r>
    </w:p>
    <w:p w:rsidR="00000000" w:rsidRDefault="00000000">
      <w:pPr>
        <w:rPr>
          <w:i/>
        </w:rPr>
      </w:pPr>
      <w:r>
        <w:rPr>
          <w:i/>
        </w:rPr>
        <w:t>"…Политические партии обязаны уважать суверенитет народа, ценности Республики, права человека и принципы, касающиеся статуса личности. Политические партии обязуются исключить любые формы насилия, фанатизма, расизма и все формы дискриминации.</w:t>
      </w:r>
    </w:p>
    <w:p w:rsidR="00000000" w:rsidRDefault="00000000">
      <w:pPr>
        <w:rPr>
          <w:i/>
        </w:rPr>
      </w:pPr>
      <w:r>
        <w:rPr>
          <w:i/>
          <w:lang w:val="en-US"/>
        </w:rPr>
        <w:tab/>
      </w:r>
      <w:r>
        <w:rPr>
          <w:i/>
        </w:rPr>
        <w:t>Ни одна политическая партия не может основывать свои принципы, цели, деятельность и программы на какой-либо религии, языке, расовой или половой принадлежности".</w:t>
      </w:r>
    </w:p>
    <w:p w:rsidR="00000000" w:rsidRDefault="00000000">
      <w:r>
        <w:t>34.</w:t>
      </w:r>
      <w:r>
        <w:tab/>
        <w:t>В статье 21, определяющей условия, которым должен отвечать кандидат в депутаты, и устанавливающей равенство происхождения по матери и по отцу, говорится, что "в Палату депутатов может быть избран любой избиратель, рожденный от отца – гражданина Туниса и матери – гражданки Туниса, по исполнении ему/ей 23 лет".</w:t>
      </w:r>
    </w:p>
    <w:p w:rsidR="00000000" w:rsidRDefault="00000000">
      <w:r>
        <w:t>35.</w:t>
      </w:r>
      <w:r>
        <w:tab/>
        <w:t>Закон о политических партиях, вступивший в силу 3 мая 1988 года, то есть через шесть месяцев после великих перемен, происшедших в Тунисе 7 ноября 1987 года, предусматривает как одно из условий создания политических партий "необходимость уважать определенные ценности, и в первую очередь права человека и принципы, касающиеся статуса личности".</w:t>
      </w:r>
    </w:p>
    <w:p w:rsidR="00000000" w:rsidRDefault="00000000">
      <w:pPr>
        <w:spacing w:before="120"/>
        <w:rPr>
          <w:b/>
          <w:sz w:val="22"/>
        </w:rPr>
      </w:pPr>
      <w:r>
        <w:rPr>
          <w:b/>
          <w:sz w:val="22"/>
        </w:rPr>
        <w:t xml:space="preserve">II.2. </w:t>
      </w:r>
      <w:r>
        <w:rPr>
          <w:b/>
          <w:sz w:val="22"/>
          <w:lang w:val="en-US"/>
        </w:rPr>
        <w:tab/>
      </w:r>
      <w:r>
        <w:rPr>
          <w:b/>
          <w:sz w:val="22"/>
        </w:rPr>
        <w:t xml:space="preserve">Новые успехи в области законодательства, касающегося основных прав </w:t>
      </w:r>
    </w:p>
    <w:p w:rsidR="00000000" w:rsidRDefault="00000000">
      <w:r>
        <w:t>36.</w:t>
      </w:r>
      <w:r>
        <w:tab/>
        <w:t>Новый поворот в сторону усиления прав женщины произошел 13 августа 1992 года, когда Президент Республики Зин аль-Абидин бен Али провозгласил серию законодательных реформ, цель которых состоит в приведении тунисского законодательства в соответствие с моделью общества, определенной политическими решениями, отвечающими требованиям новой эры и, в частности, касающимися прав личности.</w:t>
      </w:r>
    </w:p>
    <w:p w:rsidR="00000000" w:rsidRDefault="00000000">
      <w:r>
        <w:t>37.</w:t>
      </w:r>
      <w:r>
        <w:tab/>
        <w:t>Кодекс о статусе личности, Кодекс о гражданстве, Уголовный кодекс и Кодекс законов о труде подверглись целому ряду изменений в результате осуществления мер, провозглашенных по случаю Праздника женщины 13 августа 1992 года и одобренных Палатой депутатов в июле 1993 года.</w:t>
      </w:r>
    </w:p>
    <w:p w:rsidR="00000000" w:rsidRDefault="00000000">
      <w:r>
        <w:t>38.</w:t>
      </w:r>
      <w:r>
        <w:tab/>
        <w:t>Если реформа 1956 года была продиктована заботой о восстановлении человеческого достоинства женщины, реформа 1992 года, являясь ее продолжением, непосредственно касалась присоединения Туниса к принципам прав человека и его твердой решимости еще более укрепить Право женщины. Цель этой реформы состояла не только в отмене дискриминационных положений, которые еще оставались в законодательстве, но и в том, чтобы позволить женщине эффективно осуществлять свои права как в личной, так и в общественной жизни. Кроме принципа равенства перед законом, который был укреплен и усилен, реформа установила новую правовую норму – "партнерство", или обязанность супругов сотрудничать друг с другом, – которая постепенно укрепилась в Тунисе в 90-е годы в качестве одной из основных ценностей.</w:t>
      </w:r>
    </w:p>
    <w:p w:rsidR="00000000" w:rsidRDefault="00000000">
      <w:r>
        <w:t>39.</w:t>
      </w:r>
      <w:r>
        <w:tab/>
        <w:t>Два важных закона, принятых в 1997 и 1998 годах, значительно укрепили права женщины как личности: закон о фамилии внебрачных и брошенных родителями детей и закон об установлении режима общей супружеской собственности.</w:t>
      </w:r>
    </w:p>
    <w:p w:rsidR="00000000" w:rsidRDefault="00000000">
      <w:pPr>
        <w:spacing w:before="120"/>
        <w:rPr>
          <w:b/>
          <w:sz w:val="22"/>
        </w:rPr>
      </w:pPr>
      <w:r>
        <w:rPr>
          <w:b/>
          <w:sz w:val="22"/>
        </w:rPr>
        <w:t xml:space="preserve">II. 2.1. </w:t>
      </w:r>
      <w:r>
        <w:rPr>
          <w:b/>
          <w:sz w:val="22"/>
          <w:lang w:val="en-US"/>
        </w:rPr>
        <w:tab/>
      </w:r>
      <w:r>
        <w:rPr>
          <w:b/>
          <w:sz w:val="22"/>
        </w:rPr>
        <w:t>Права, касающиеся статуса личности</w:t>
      </w:r>
    </w:p>
    <w:p w:rsidR="00000000" w:rsidRDefault="00000000">
      <w:r>
        <w:t>40.</w:t>
      </w:r>
      <w:r>
        <w:tab/>
        <w:t>Благодаря поправкам, внесенным на основании закона № 93-74 от 12 июля 1993 года в некоторые статьи КСЛ, были укреплены права женщины как личности, а также как дочери, жены и матери. Поправки способствовали более устойчивым отношениям между супругами в том, что касается правового статуса и управления делами семьи, на основе двуединого нормативного принципа: равенство и партнерство.</w:t>
      </w:r>
    </w:p>
    <w:p w:rsidR="00000000" w:rsidRDefault="00000000">
      <w:pPr>
        <w:rPr>
          <w:spacing w:val="-4"/>
        </w:rPr>
      </w:pPr>
      <w:r>
        <w:t>41.</w:t>
      </w:r>
      <w:r>
        <w:tab/>
      </w:r>
      <w:r>
        <w:rPr>
          <w:spacing w:val="-2"/>
        </w:rPr>
        <w:t xml:space="preserve">Кодекс международного частного права, вступивший в силу в соответствии с законом № 98-97 от </w:t>
      </w:r>
      <w:r>
        <w:rPr>
          <w:spacing w:val="-2"/>
        </w:rPr>
        <w:br/>
      </w:r>
      <w:r>
        <w:rPr>
          <w:spacing w:val="-4"/>
        </w:rPr>
        <w:t>27 ноября 1998 года, подтвердил эту ориентацию, исключив принцип дискриминации в пользу мужа (см. пункт 48).</w:t>
      </w:r>
    </w:p>
    <w:p w:rsidR="00000000" w:rsidRDefault="00000000">
      <w:pPr>
        <w:spacing w:before="120"/>
        <w:rPr>
          <w:b/>
        </w:rPr>
      </w:pPr>
      <w:r>
        <w:rPr>
          <w:b/>
          <w:lang w:val="en-US"/>
        </w:rPr>
        <w:t>a</w:t>
      </w:r>
      <w:r>
        <w:rPr>
          <w:b/>
        </w:rPr>
        <w:t>)</w:t>
      </w:r>
      <w:r>
        <w:rPr>
          <w:b/>
        </w:rPr>
        <w:tab/>
        <w:t>Партнерство и взаимоуважение в отношениях между супругами</w:t>
      </w:r>
    </w:p>
    <w:p w:rsidR="00000000" w:rsidRDefault="00000000">
      <w:r>
        <w:t>42.</w:t>
      </w:r>
      <w:r>
        <w:tab/>
        <w:t>В статье 23 КСЛ положение о том, что "супруга должна уважать преимущественные права супруга и повиноваться ему", было заменено положением об обязанности обоих супругов относиться друг к другу доброжелательно и сотрудничать в ведении семейных дел.</w:t>
      </w:r>
    </w:p>
    <w:p w:rsidR="00000000" w:rsidRDefault="00000000">
      <w:pPr>
        <w:rPr>
          <w:color w:val="000000"/>
        </w:rPr>
      </w:pPr>
      <w:r>
        <w:rPr>
          <w:color w:val="000000"/>
        </w:rPr>
        <w:tab/>
        <w:t>Новая статья 23 гласит: "Каждый из супругов должен относиться к другому доброжелательно, поддерживать с ним хорошие отношения и избегать нанесения ему ущерба".</w:t>
      </w:r>
    </w:p>
    <w:p w:rsidR="00000000" w:rsidRDefault="00000000">
      <w:r>
        <w:t>43.</w:t>
      </w:r>
      <w:r>
        <w:tab/>
        <w:t xml:space="preserve">Ликвидация понятия "подчинения" является основополагающей мерой, которая закрепляет отказ от прежней системы стандартов, основанной на принижении женщины. Поэтому в новой статье 23 говорится, что оба супруга "совместно участвуют в ведении семейных дел, в надлежащем воспитании детей, а также в управлении делами последних, включая их образование, поездки и финансовые операции". </w:t>
      </w:r>
    </w:p>
    <w:p w:rsidR="00000000" w:rsidRDefault="00000000">
      <w:r>
        <w:t>44.</w:t>
      </w:r>
      <w:r>
        <w:tab/>
        <w:t>Другим важным нововведением по сравнению с прежней системой стандартов стала внесенная в результате реформы 1993 года поправка к статье 23 об обязательном участии жены в семейных расходах. Введение такого положения свидетельствует о признании экономической роли женщины, что придает новое звучание статусу семьи. Супруг, конечно, остается ее главой, но теперь это понятие не подразумевает господства, так как оно связано не с обязанностью супруги повиноваться, которая была отменена, а с преимущественной экономической ролью мужа, поскольку в качестве главы семьи он "должен обеспечивать средствами существования своих жену и детей в меру своих средств…". Роль главы семьи является теперь не правом, предоставленным мужу в ущерб его жены, но экономической функцией, связанной с обязанностью обеспечивать средствами существования своих жену и детей (по данным проведенного в 1999 году опроса, доля женщин в экономически активном населении составляет 24 процента).</w:t>
      </w:r>
    </w:p>
    <w:p w:rsidR="00000000" w:rsidRDefault="00000000">
      <w:r>
        <w:t>45.</w:t>
      </w:r>
      <w:r>
        <w:tab/>
        <w:t>Внесение поправок в статью 23 свидетельствует о реформаторской роли законодательных мер, принятых 13 августа 1992 года. В нынешней редакции эта статья устанавливает новые правовые нормы регулирования отношений между супругами и обусловливает новый взгляд на семью, основанный на таких ценностях, как равенство, взаимное уважение, взаимность, солидарность и партнерство.</w:t>
      </w:r>
    </w:p>
    <w:p w:rsidR="00000000" w:rsidRDefault="00000000">
      <w:pPr>
        <w:spacing w:before="120" w:after="120"/>
        <w:rPr>
          <w:b/>
        </w:rPr>
      </w:pPr>
      <w:r>
        <w:rPr>
          <w:b/>
          <w:lang w:val="en-US"/>
        </w:rPr>
        <w:t>b</w:t>
      </w:r>
      <w:r>
        <w:rPr>
          <w:b/>
        </w:rPr>
        <w:t>)</w:t>
      </w:r>
      <w:r>
        <w:rPr>
          <w:b/>
        </w:rPr>
        <w:tab/>
        <w:t>Более сбалансированные личные и гражданские права</w:t>
      </w:r>
    </w:p>
    <w:p w:rsidR="00000000" w:rsidRDefault="00000000">
      <w:r>
        <w:t>46.</w:t>
      </w:r>
      <w:r>
        <w:tab/>
        <w:t>Несмотря на то что минимальный брачный возраст девушки остается равным 17 годам, она становится совершеннолетней на основании самого факта вступления в брак в том, что касается ее личного статуса и управления своими гражданскими и коммерческими делами. Таким образом, в силу новой статьи 153 КСЛ, несовершеннолетняя супруга приобретает новые преимущества в области гражданских прав.</w:t>
      </w:r>
    </w:p>
    <w:p w:rsidR="00000000" w:rsidRDefault="00000000">
      <w:r>
        <w:t>47.</w:t>
      </w:r>
      <w:r>
        <w:tab/>
        <w:t xml:space="preserve">Принцип взаимности вводится также и в отношении возврата подарков в случае расторжения помолвки. Статья 2 гласит, что "в случае прекращения брака до начала осуществления супругами своих супружеских обязанностей, подарки, сделанные каждым из них (а не только женихом), возвращаются…" (новая статья 28 КСЛ). </w:t>
      </w:r>
    </w:p>
    <w:p w:rsidR="00000000" w:rsidRDefault="00000000">
      <w:r>
        <w:t>48.</w:t>
      </w:r>
      <w:r>
        <w:tab/>
        <w:t xml:space="preserve">В случае смешанных браков теперь применяется не закон страны мужа на момент заключения брака, как этого требовал прежний декрет от 12 июля 1956 года, определявший личный статус тунисцев-немусульман и отдававший предпочтение закону страны мужа, тем самым основываясь на дискриминации по признаку пола. Кодекс международного частного права, вступивший в силу на основании закона № 98-97 от 27 ноября </w:t>
      </w:r>
      <w:r>
        <w:br/>
        <w:t>1998 года, устанавливает в своих статьях 47 (взаимные обязанности супругов), 48 (имущественные отношения между супругами) и 49 (развод), что теперь в таких случаях применяется закон страны последнего места жительства супругов или, за неимением такового, закон страны, в суд которой был подан иск о разводе. Таким образом соблюдается принцип равенства между полами в том, что касается статуса личности супругов, также и в случае смешанного брака.</w:t>
      </w:r>
    </w:p>
    <w:p w:rsidR="00000000" w:rsidRDefault="00000000">
      <w:pPr>
        <w:spacing w:before="120" w:after="120"/>
        <w:rPr>
          <w:b/>
        </w:rPr>
      </w:pPr>
      <w:r>
        <w:rPr>
          <w:b/>
          <w:lang w:val="en-US"/>
        </w:rPr>
        <w:t>c</w:t>
      </w:r>
      <w:r>
        <w:rPr>
          <w:b/>
        </w:rPr>
        <w:t>)</w:t>
      </w:r>
      <w:r>
        <w:rPr>
          <w:b/>
        </w:rPr>
        <w:tab/>
        <w:t xml:space="preserve">Более сбалансированные родительские права и обязанности </w:t>
      </w:r>
    </w:p>
    <w:p w:rsidR="00000000" w:rsidRDefault="00000000">
      <w:pPr>
        <w:spacing w:after="0"/>
      </w:pPr>
      <w:r>
        <w:t>49.</w:t>
      </w:r>
      <w:r>
        <w:tab/>
        <w:t>По новой статье 6 КСЛ мать имеет право высказывать свое мнение о вступлении в брак своих несовершеннолетних детей: "Вступление в брак несовершеннолетнего лица обусловлено согласием его опекуна или его матери. В случае отказа опекуна или матери и настойчивости несовершеннолетнего лица вопрос о его вступлении в брак передается на рассмотрение судьи". Таким образом эта статья устанавливает совместные родительские права в интересах несовершеннолетнего лица, предупреждая одностороннее решение по поводу его/ее вступления в брак (в большей степени это касается девушек).</w:t>
      </w:r>
    </w:p>
    <w:p w:rsidR="00000000" w:rsidRDefault="00000000">
      <w:r>
        <w:t>50.</w:t>
      </w:r>
      <w:r>
        <w:tab/>
        <w:t xml:space="preserve">Статья 67 КСЛ предоставляла матери право опеки над своими несовершеннолетними детьми в случае смерти их отца. Однако в случае развода, даже если мать выполняет обязанности по содержанию и воспитанию своих детей, право опеки полностью принадлежало отцу. Новые положения статьи 67, внесенные в июле </w:t>
      </w:r>
      <w:r>
        <w:br/>
        <w:t>1993 года, устанавливают взаимодополняемость прерогатив по содержанию и воспитанию и прерогатив по опеке, автоматически предоставляя разведенной матери, на которой лежат обязанности по содержанию и воспитанию детей, новые права в области опеки, касающиеся ведения гражданских и коммерческих дел ее детей (поездки, учеба, управление финансами). В силу этой поправки судья может, кроме того, предоставить матери все полномочия по опеке и полностью возложить на нее функцию "опекуна", если будет доказано, что отец "не может обеспечить осуществление таких функций, совершает неправомерные действия при выполнении своей миссии, не выполняет должным образом возложенные на него обязанности или скрывается со своего местожительства в неизвестном направлении или в силу любого другого обстоятельства, наносящего ущерб интересам ребенка".</w:t>
      </w:r>
    </w:p>
    <w:p w:rsidR="00000000" w:rsidRDefault="00000000">
      <w:r>
        <w:t>51.</w:t>
      </w:r>
      <w:r>
        <w:tab/>
        <w:t xml:space="preserve">Разведенная мать, на которую возложены обязанности по содержанию и воспитанию ее ребенка, теперь сможет контролировать его дела в силу новой статьи 60 КСЛ, в которую были внесены поправки законом от </w:t>
      </w:r>
      <w:r>
        <w:br/>
        <w:t>12 июля 1993 года, в то время как ранее такое право признавалось только за отцом или другим опекуном, который обязательно должен был быть мужчиной.</w:t>
      </w:r>
    </w:p>
    <w:p w:rsidR="00000000" w:rsidRDefault="00000000">
      <w:r>
        <w:t>52.</w:t>
      </w:r>
      <w:r>
        <w:tab/>
        <w:t xml:space="preserve">В результате пересмотра Кодекса законов об обязательствах и договорах и на основании закона </w:t>
      </w:r>
      <w:r>
        <w:br/>
        <w:t>№ 95-95 от 9 ноября 1995 года об изменениях и дополнениях в этот Кодекс мать стала нести солидарную с отцом ответственность за уголовно наказуемые деяния их ребенка, в то время как прежде лишь отец нес гражданскую ответственность за совершенное его несовершеннолетним ребенком правонарушение, причинившее кому-либо ущерб. Прежде мать отвечала за подобные деяния лишь после смерти мужа. Законодатели ввели принцип равенства в этой области, что согласуется с установленной ныне обязанностью обоих супругов сотрудничать в ведении дел детей и семьи.</w:t>
      </w:r>
    </w:p>
    <w:p w:rsidR="00000000" w:rsidRDefault="00000000">
      <w:pPr>
        <w:spacing w:before="120" w:after="120"/>
        <w:rPr>
          <w:b/>
        </w:rPr>
      </w:pPr>
      <w:r>
        <w:rPr>
          <w:b/>
          <w:lang w:val="en-US"/>
        </w:rPr>
        <w:t>d</w:t>
      </w:r>
      <w:r>
        <w:rPr>
          <w:b/>
        </w:rPr>
        <w:t>)</w:t>
      </w:r>
      <w:r>
        <w:rPr>
          <w:b/>
        </w:rPr>
        <w:tab/>
        <w:t>Более сбалансированные права в области уплаты алиментов</w:t>
      </w:r>
    </w:p>
    <w:p w:rsidR="00000000" w:rsidRDefault="00000000">
      <w:r>
        <w:t>53.</w:t>
      </w:r>
      <w:r>
        <w:tab/>
        <w:t>Режим алиментов был пересмотрен таким образом, что теперь алименты выплачиваются, как правило, детям обоих полов до достижения ими совершеннолетнего возраста, в особых случаях – до окончания ими учебы при условии, что им не исполнилось 25 лет. За дочерью сохраняется право на алименты после достижения ею 25-летнего возраста в том случае, если она не имеет средств (новая статья 46 КСЛ) и не находится на иждивении своего мужа.</w:t>
      </w:r>
    </w:p>
    <w:p w:rsidR="00000000" w:rsidRDefault="00000000">
      <w:r>
        <w:t>54.</w:t>
      </w:r>
      <w:r>
        <w:tab/>
        <w:t>Кроме того, теперь дедушка и бабушка по материнской линии первой степени родства (новая статья 43) также имеют право на алименты, тогда как по прежнему законодательству таким правом обладали лишь отец и мать, дедушка и бабушка по отцовской линии любой степени родства. Этим самым устанавливается принцип</w:t>
      </w:r>
      <w:r>
        <w:rPr>
          <w:color w:val="0000FF"/>
        </w:rPr>
        <w:t xml:space="preserve"> </w:t>
      </w:r>
      <w:r>
        <w:t>равенства полов в том, что касается прав отца и матери, дедушки и бабушки по обеим линиям родственной связи и обязанностей супругов в отношении их отцов, матерей, бабушек и дедушек (новая статья 44 КСЛ).</w:t>
      </w:r>
    </w:p>
    <w:p w:rsidR="00000000" w:rsidRDefault="00000000">
      <w:pPr>
        <w:spacing w:before="120" w:after="120"/>
        <w:rPr>
          <w:b/>
          <w:sz w:val="22"/>
        </w:rPr>
      </w:pPr>
      <w:r>
        <w:rPr>
          <w:b/>
          <w:sz w:val="22"/>
        </w:rPr>
        <w:t xml:space="preserve">II.2.2. </w:t>
      </w:r>
      <w:r>
        <w:rPr>
          <w:b/>
          <w:sz w:val="22"/>
          <w:lang w:val="en-US"/>
        </w:rPr>
        <w:tab/>
      </w:r>
      <w:r>
        <w:rPr>
          <w:b/>
          <w:sz w:val="22"/>
        </w:rPr>
        <w:t>Право на физическую неприкосновенность – основное право</w:t>
      </w:r>
    </w:p>
    <w:p w:rsidR="00000000" w:rsidRDefault="00000000">
      <w:r>
        <w:t>55.</w:t>
      </w:r>
      <w:r>
        <w:tab/>
        <w:t xml:space="preserve">Уголовный кодекс содержит важные положения, защищающие женщину от любых форм насилия. Например, они предусматривают строгое наказание за подстрекательство к развратному образу жизни, сутенерство и проституцию, а также изнасилование, за что предусмотрена самая строгая мера уголовного наказания, если оно было совершено с применением силы, угрозы оружием или если потерпевшая младше </w:t>
      </w:r>
      <w:r>
        <w:br/>
        <w:t xml:space="preserve">10 лет. </w:t>
      </w:r>
    </w:p>
    <w:p w:rsidR="00000000" w:rsidRDefault="00000000">
      <w:r>
        <w:t>56.</w:t>
      </w:r>
      <w:r>
        <w:tab/>
        <w:t>В рамках законодательных реформ 1993 года закон № 93-72 от 12 июля 1993 года о внесении поправок в некоторые статьи Уголовного кодекса значительно укрепил право женщины на физическую неприкосновенность.</w:t>
      </w:r>
    </w:p>
    <w:p w:rsidR="00000000" w:rsidRDefault="00000000">
      <w:r>
        <w:t>57.</w:t>
      </w:r>
      <w:r>
        <w:tab/>
        <w:t>Прежняя статья 207 Уголовного кодекса позволяла воспользоваться смягчающими вину обстоятельствами мужу, убившему свою супругу или ее любовника, застав их в момент совершения адюльтера; умышленное убийство уподоблялось преступлению с простым составом. По этой статье муж, убивший свою жену или ее любовника, приговаривался максимум к пяти годам тюрьмы, в то время как обычно за умышленное убийство предусматривалось более суровое наказание вплоть до пожизненного тюремного заключения. Закон от 12 июля 1993 года о внесении поправок в некоторые статьи Уголовного кодекса упразднил статью 207. Поэтому теперь за подобное преступление, если будет доказан его умышленный характер, полагается такое же наказание, как и за любое убийство, то есть пожизненное тюремное заключение.</w:t>
      </w:r>
    </w:p>
    <w:p w:rsidR="00000000" w:rsidRDefault="00000000">
      <w:r>
        <w:t>58.</w:t>
      </w:r>
      <w:r>
        <w:tab/>
        <w:t>Супруг, следовательно, более не обладает правом решать вопрос жизни или смерти своей супруги; тем самым законодатели выражают свое стремление защитить право женщины на жизнь, которое является неотъемлемым правом любого человека, и поставить его выше любых соображений или фактов.</w:t>
      </w:r>
    </w:p>
    <w:p w:rsidR="00000000" w:rsidRDefault="00000000">
      <w:pPr>
        <w:spacing w:after="120"/>
      </w:pPr>
      <w:r>
        <w:t>59.</w:t>
      </w:r>
      <w:r>
        <w:tab/>
        <w:t xml:space="preserve">На основании вышеупомянутого закона № 93-72 от 12 июля 1993 года и в порядке отмены статьи 207 брачная связь становится одним из отягчающих вину обстоятельств при определении наказания за насилие в отношении супруги – обстоятельством, оправдывающим более суровое наказание. Об этом подробно говорится в части 2 новой статьи 218 Уголовного кодекса: </w:t>
      </w:r>
      <w:r>
        <w:rPr>
          <w:i/>
        </w:rPr>
        <w:t>"Любое лицо, умышленно нанесшее телесные повреждения или совершившее любой иной акт насилия или любое действие, выходящее за пределы его полномочий, не упомянутое в статье 319, подвергается лишению свободы сроком на один год или штрафу в размере одной тысячи динаров (1000).</w:t>
      </w:r>
      <w:r>
        <w:t xml:space="preserve"> </w:t>
      </w:r>
    </w:p>
    <w:p w:rsidR="00000000" w:rsidRDefault="00000000">
      <w:pPr>
        <w:spacing w:after="120"/>
        <w:rPr>
          <w:i/>
        </w:rPr>
      </w:pPr>
      <w:r>
        <w:tab/>
      </w:r>
      <w:r>
        <w:rPr>
          <w:i/>
        </w:rPr>
        <w:t>Если лицо, совершившее акт агрессии, является родственником по нисходящей линии или супругом потерпевшей, оно подвергается лишению свободы сроком на два года или штрафу в размере двух тысяч динаров (2000). При умышленном характере правонарушения срок лишения свободы увеличивается до трех лет и штраф  до трех тысяч динаров (3000).</w:t>
      </w:r>
    </w:p>
    <w:p w:rsidR="00000000" w:rsidRDefault="00000000">
      <w:pPr>
        <w:rPr>
          <w:i/>
        </w:rPr>
      </w:pPr>
      <w:r>
        <w:tab/>
      </w:r>
      <w:r>
        <w:rPr>
          <w:i/>
        </w:rPr>
        <w:t>Отказ от подачи иска со стороны родственников потерпевшей по восходящей линии или самой супруги дает основания для прекращения уголовного преследования, судебного разбирательства или исполнения наказания. Попытки совершения подобных актов наказуемы".</w:t>
      </w:r>
    </w:p>
    <w:p w:rsidR="00000000" w:rsidRDefault="00000000">
      <w:r>
        <w:t>60.</w:t>
      </w:r>
      <w:r>
        <w:tab/>
        <w:t>Эти две меры наказания, введенные в Уголовный кодекс, являются в той же степени основополагающими, что и пересмотр вышеупомянутой статьи 23 КСЛ, поскольку они решительно порывают с традиционным взглядом на отношения между супругами, подчеркивая индивидуальность женщины и освобождая ее от традиционно запутанной модели отношений "женщина – семья". В то же время они способствуют укреплению права в нормах поведения личности и коллектива в семье и реабилитируют во всей полноте образ женщины, защищая ее человеческое достоинство.</w:t>
      </w:r>
    </w:p>
    <w:p w:rsidR="00000000" w:rsidRDefault="00000000">
      <w:pPr>
        <w:spacing w:before="120" w:after="120"/>
        <w:rPr>
          <w:b/>
          <w:sz w:val="22"/>
        </w:rPr>
      </w:pPr>
      <w:r>
        <w:rPr>
          <w:b/>
          <w:sz w:val="22"/>
        </w:rPr>
        <w:t xml:space="preserve">II. 2.3. </w:t>
      </w:r>
      <w:r>
        <w:rPr>
          <w:b/>
          <w:sz w:val="22"/>
          <w:lang w:val="en-US"/>
        </w:rPr>
        <w:tab/>
      </w:r>
      <w:r>
        <w:rPr>
          <w:b/>
          <w:sz w:val="22"/>
        </w:rPr>
        <w:t>Право передачи гражданства</w:t>
      </w:r>
    </w:p>
    <w:p w:rsidR="00000000" w:rsidRDefault="00000000">
      <w:pPr>
        <w:rPr>
          <w:spacing w:val="-4"/>
        </w:rPr>
      </w:pPr>
      <w:r>
        <w:t>61.</w:t>
      </w:r>
      <w:r>
        <w:tab/>
      </w:r>
      <w:r>
        <w:rPr>
          <w:spacing w:val="-4"/>
        </w:rPr>
        <w:t>До реформ 1993 года гражданка Туниса, вышедшая замуж за иностранца, не имела права передать свое гражданство ребенку, рожденному от этого брака, если только он не родился в Тунисе и не подал заявление о предоставлении ему тунисского гражданства за один год до своего совершеннолетия. Пересмотренный на основании закона № 93-62 от 23 июня 1993 года Кодекс тунисского гражданства предоставляет ребенку такое право по совместному заявлению его матери и отца. Новая статья 12 гласит: "Ребенок, родившийся за границей от матери – гражданки Туниса и отца-иностранца, становится гражданином Туниса при условии, что в течение года, предшествующего его совершеннолетию, он подал заявление о предоставлении ему такого статуса" (см. пункт 34).</w:t>
      </w:r>
    </w:p>
    <w:p w:rsidR="00000000" w:rsidRDefault="00000000">
      <w:r>
        <w:tab/>
        <w:t xml:space="preserve">Укрепляя принцип равенства в этой области, новая Конституция, принятая в октябре 1997 года (закон от 27 октября 1997 года), устанавливает равенство происхождения по отцу и по матери, признав право баллотироваться в депутаты за каждым тунисцем, рожденным от отца – гражданина Туниса или от матери – гражданки Туниса, без какой-либо дискриминации. </w:t>
      </w:r>
    </w:p>
    <w:p w:rsidR="00000000" w:rsidRDefault="00000000">
      <w:pPr>
        <w:spacing w:before="120" w:after="120" w:line="260" w:lineRule="exact"/>
        <w:rPr>
          <w:b/>
          <w:sz w:val="22"/>
        </w:rPr>
      </w:pPr>
      <w:r>
        <w:rPr>
          <w:b/>
          <w:sz w:val="22"/>
        </w:rPr>
        <w:t xml:space="preserve">II.2.4. </w:t>
      </w:r>
      <w:r>
        <w:rPr>
          <w:b/>
          <w:sz w:val="22"/>
          <w:lang w:val="en-US"/>
        </w:rPr>
        <w:tab/>
      </w:r>
      <w:r>
        <w:rPr>
          <w:b/>
          <w:sz w:val="22"/>
        </w:rPr>
        <w:t>Права в области планирования размера семьи</w:t>
      </w:r>
    </w:p>
    <w:p w:rsidR="00000000" w:rsidRDefault="00000000">
      <w:r>
        <w:t>62.</w:t>
      </w:r>
      <w:r>
        <w:tab/>
        <w:t xml:space="preserve">Тунисское законодательство признает за женщиной право организовывать по своему усмотрению свою сексуальную жизнь и планировать рождение детей. Осуществление национальной стратегии планирования рождаемости, опирающейся на широкую пропаганду противозачаточных средств и соответствующее законодательство, способствовало быстрому внедрению в общественное сознание этого права как составляющей права на охрану здоровья. </w:t>
      </w:r>
    </w:p>
    <w:p w:rsidR="00000000" w:rsidRDefault="00000000">
      <w:r>
        <w:t>63.</w:t>
      </w:r>
      <w:r>
        <w:tab/>
        <w:t xml:space="preserve">Несмотря на то что в соответствии с законом от 6 июля 1965 года и затем законом от 26 сентября </w:t>
      </w:r>
      <w:r>
        <w:br/>
        <w:t>1973 года разрешается добровольное осуществление аборта, это ни в коей мере не пропагандируется как метод контрацепции. Расширяющееся из года в год использование противозачаточных средств свидетельствует о все большей приверженности женщин идее планирования семьи.</w:t>
      </w:r>
    </w:p>
    <w:p w:rsidR="00000000" w:rsidRDefault="00000000">
      <w:pPr>
        <w:spacing w:after="120"/>
      </w:pPr>
      <w:r>
        <w:t>64.</w:t>
      </w:r>
      <w:r>
        <w:tab/>
        <w:t>Закон № 98-75 от 28 октября 1998 года о присвоении фамилии брошенным или не знающим родства детям предоставил матери в случае рождения у нее внебрачного ребенка (статья 1):</w:t>
      </w:r>
    </w:p>
    <w:p w:rsidR="00000000" w:rsidRDefault="00000000">
      <w:pPr>
        <w:spacing w:after="120"/>
      </w:pPr>
      <w:r>
        <w:t>*</w:t>
      </w:r>
      <w:r>
        <w:tab/>
        <w:t xml:space="preserve"> право присвоить ему свою фамилию;</w:t>
      </w:r>
    </w:p>
    <w:p w:rsidR="00000000" w:rsidRDefault="00000000">
      <w:pPr>
        <w:spacing w:after="120"/>
        <w:ind w:left="680" w:hanging="680"/>
      </w:pPr>
      <w:r>
        <w:t xml:space="preserve">* </w:t>
      </w:r>
      <w:r>
        <w:tab/>
        <w:t xml:space="preserve">право подать в компетентный суд иск о присвоении ребенку фамилии его отца, если будет установлено путем опроса свидетелей или вследствие генетических исследований, что этот человек действительно является биологическим отцом ее ребенка. </w:t>
      </w:r>
    </w:p>
    <w:p w:rsidR="00000000" w:rsidRDefault="00000000">
      <w:pPr>
        <w:spacing w:after="120"/>
      </w:pPr>
      <w:r>
        <w:rPr>
          <w:lang w:val="en-US"/>
        </w:rPr>
        <w:tab/>
      </w:r>
      <w:r>
        <w:t xml:space="preserve">В статье 1 говорится: </w:t>
      </w:r>
    </w:p>
    <w:p w:rsidR="00000000" w:rsidRDefault="00000000">
      <w:pPr>
        <w:spacing w:after="120"/>
        <w:rPr>
          <w:i/>
        </w:rPr>
      </w:pPr>
      <w:r>
        <w:rPr>
          <w:i/>
        </w:rPr>
        <w:tab/>
        <w:t>"Мать, которая воспитывает своего несовершеннолетнего ребенка, рожденного от неизвестного отца, обязана дать ему имя и свою фамилию или ходатайствовать об этом в соответствии с положениями о гражданском состоянии.</w:t>
      </w:r>
    </w:p>
    <w:p w:rsidR="00000000" w:rsidRDefault="00000000">
      <w:pPr>
        <w:spacing w:after="120"/>
        <w:rPr>
          <w:i/>
        </w:rPr>
      </w:pPr>
      <w:r>
        <w:rPr>
          <w:i/>
          <w:lang w:val="en-US"/>
        </w:rPr>
        <w:tab/>
      </w:r>
      <w:r>
        <w:rPr>
          <w:i/>
        </w:rPr>
        <w:t>Отец, мать или прокурор могут подать в компетентный суд первой инстанции заявление о присвоении фамилии ребенку, если будет доказано путем признания, свидетельства или генетических исследований, что этот человек действительно является отцом данного ребенка. В этом случае присвоение фамилии дает право на получение алиментов и право контроля в форме опеки или содержания и воспитания до достижения ребенком установленного возраста совершеннолетия или после его достижения в предусмотренных законом случаях".</w:t>
      </w:r>
    </w:p>
    <w:p w:rsidR="00000000" w:rsidRDefault="00000000">
      <w:r>
        <w:t>65.</w:t>
      </w:r>
      <w:r>
        <w:tab/>
        <w:t>Независимо от соображений, в соответствии с которыми были приняты эти законы, будь то забота о поддержании баланса между ростом населения и экономическим развитием (планирование рождаемости) или признание неотъемлемых прав ребенка (присвоение фамилии), они являются свидетельством повышения статуса личности как члена общества, так и субъекта права.</w:t>
      </w:r>
    </w:p>
    <w:p w:rsidR="00000000" w:rsidRDefault="00000000">
      <w:pPr>
        <w:spacing w:before="120" w:line="240" w:lineRule="auto"/>
        <w:rPr>
          <w:b/>
          <w:sz w:val="22"/>
        </w:rPr>
      </w:pPr>
      <w:r>
        <w:rPr>
          <w:b/>
          <w:sz w:val="22"/>
        </w:rPr>
        <w:t xml:space="preserve">II.2.5. </w:t>
      </w:r>
      <w:r>
        <w:rPr>
          <w:b/>
          <w:sz w:val="22"/>
          <w:lang w:val="en-US"/>
        </w:rPr>
        <w:tab/>
      </w:r>
      <w:r>
        <w:rPr>
          <w:b/>
          <w:sz w:val="22"/>
        </w:rPr>
        <w:t>Экономические и социальные права</w:t>
      </w:r>
    </w:p>
    <w:p w:rsidR="00000000" w:rsidRDefault="00000000">
      <w:pPr>
        <w:rPr>
          <w:b/>
        </w:rPr>
      </w:pPr>
      <w:r>
        <w:rPr>
          <w:b/>
        </w:rPr>
        <w:t>Право на труд – одно из основных прав</w:t>
      </w:r>
    </w:p>
    <w:p w:rsidR="00000000" w:rsidRDefault="00000000">
      <w:r>
        <w:t>66.</w:t>
      </w:r>
      <w:r>
        <w:tab/>
        <w:t>Никогда еще в такой степени право на труд не было закреплено в качестве одного из основных прав женщины, осуществление которого обусловливает осуществление всех остальных прав.</w:t>
      </w:r>
    </w:p>
    <w:p w:rsidR="00000000" w:rsidRDefault="00000000">
      <w:r>
        <w:t>67.</w:t>
      </w:r>
      <w:r>
        <w:tab/>
        <w:t xml:space="preserve">Право на труд гарантируется женщине Кодексом законов о труде, а также всеми документами, регламентирующими государственную службу, и коллективным трудовым договором, положения которого в равной мере применимы и к мужчине, и к женщине. Однако благодаря реформе, проведенной на основании закона № 93-66 от 5 июля 1993 года, был сделал новый шаг вперед, и в преамбуле Кодекса законов о труде четко закреплен принцип недискриминации. "При применении положений настоящего Кодекса и документов, принятых в целях его применения, недопустима дискриминация между мужчинами и женщинами", – говорится в его статье 5-бис. Любое нарушение этого основополагающего положения уголовно наказуемо по статье 234 и в соответствии с законом № 94-99 от 21 февраля 1994 года. Кроме того, были отменены некоторые положения этого Кодекса, которые можно истолковать как дискриминационные, в частности те положения статьи 135, которые особо оговаривали специфику женского труда в сельскохозяйственном секторе (закон от 5 июля </w:t>
      </w:r>
      <w:r>
        <w:br/>
        <w:t>1993 года).</w:t>
      </w:r>
    </w:p>
    <w:p w:rsidR="00000000" w:rsidRDefault="00000000">
      <w:r>
        <w:t>68.</w:t>
      </w:r>
      <w:r>
        <w:tab/>
        <w:t>С целью соответствия международным стандартам Тунис ратифицировал протокол 1990 года к Конвенции о труде женщин в ночное время.</w:t>
      </w:r>
    </w:p>
    <w:p w:rsidR="00000000" w:rsidRDefault="00000000">
      <w:r>
        <w:t>69.</w:t>
      </w:r>
      <w:r>
        <w:tab/>
        <w:t>В целях создания оптимальных условий для наилучшего соотношения между продолжительностью рабочего дня и временем, уделяемым семье, был принят закон № 94-88 от 26 июля 1994, который устанавливает порядок участия национальных касс по делам социального обеспечения в финансировании яслей, с тем чтобы там могли лучше заботиться о детях, матери которых работают вне дома.</w:t>
      </w:r>
    </w:p>
    <w:p w:rsidR="00000000" w:rsidRDefault="00000000">
      <w:r>
        <w:t>70.</w:t>
      </w:r>
      <w:r>
        <w:tab/>
        <w:t xml:space="preserve">Для укрепления принципа равенства мужчины и женщины в области как прав, так и обязанностей </w:t>
      </w:r>
      <w:r>
        <w:br/>
        <w:t>7 февраля 2000 года был принят новый закон № 2000-17, который упразднил положения статьи 831, части 2 статьи 1481 и части 2 статьи 1524 Кодекса законов об обязательствах и договорах, в соответствии с которыми супруг должен был дать свое разрешение при устройстве жены на работу, а также согласие на внесение залога в целях обеспечения надлежащего выполнения супругой обязанностей, а также в случае поручительства в отношении явки замужней женщины в юридические инстанции.</w:t>
      </w:r>
    </w:p>
    <w:p w:rsidR="00000000" w:rsidRDefault="00000000">
      <w:pPr>
        <w:rPr>
          <w:b/>
        </w:rPr>
      </w:pPr>
      <w:r>
        <w:rPr>
          <w:b/>
        </w:rPr>
        <w:t>Право на образование: борьба против фактической дискриминации</w:t>
      </w:r>
    </w:p>
    <w:p w:rsidR="00000000" w:rsidRDefault="00000000">
      <w:r>
        <w:t>71.</w:t>
      </w:r>
      <w:r>
        <w:tab/>
        <w:t>В том же духе программный закон о системе образования, вступивший в силу 29 июля 1991 года, ввел новые меры по борьбе с фактической дискриминацией в отношении девочек. Он заложил фундамент эгалитарного образования, свободного от стереотипных взглядов на отношения между полами, благодаря двум основным положениям:</w:t>
      </w:r>
    </w:p>
    <w:p w:rsidR="00000000" w:rsidRDefault="00000000">
      <w:pPr>
        <w:ind w:left="680" w:hanging="680"/>
      </w:pPr>
      <w:r>
        <w:t>–</w:t>
      </w:r>
      <w:r>
        <w:tab/>
        <w:t xml:space="preserve">первое, изложенное в части 3 статьи 1, гласит, что одна из целей системы образования состоит в том, чтобы "подготовить учащихся к жизни, исключающей любые формы дискриминации или сегрегации по признаку пола, социального происхождения, расы или религии". </w:t>
      </w:r>
    </w:p>
    <w:p w:rsidR="00000000" w:rsidRDefault="00000000">
      <w:pPr>
        <w:spacing w:after="200"/>
        <w:ind w:left="680" w:hanging="680"/>
      </w:pPr>
      <w:r>
        <w:t>–</w:t>
      </w:r>
      <w:r>
        <w:tab/>
        <w:t>второе положение, изложенное в статье 7, касается введения обязательного школьного образования для детей в возрасте от 6 до 16 лет; его главная цель состоит в том, чтобы предупредить случаи, когда дети бросают школу, и укрепить право девушек на образование. Прежде обучение было бесплатным, но необязательным. Новый закон, неподчинение которому наказуемо, делает школьное образование обязательным, а любой родитель, не записавший своего ребенка в школу или прервавший его обучение там в возрасте до 16 лет, подвергается штрафу (пункт 32 статьи 5).</w:t>
      </w:r>
    </w:p>
    <w:p w:rsidR="00000000" w:rsidRDefault="00000000">
      <w:pPr>
        <w:spacing w:after="200"/>
      </w:pPr>
      <w:r>
        <w:t>72.</w:t>
      </w:r>
      <w:r>
        <w:tab/>
        <w:t>Такие меры, как принятие программного закона о системе образования в июле 1991 года и пересмотр Кодекса законов о труде в июле 1993 года, имеют благодаря включенным в них новым положениям двойную направленность: во-первых, стремление бороться против фактической дискриминации в отношении женщин и, во-вторых, значение, придаваемое праву на образование и на труд, как основным правам, реализация которых является определяющей для осуществления всех остальных неотъемлемых прав женщины как гражданки своей страны.</w:t>
      </w:r>
    </w:p>
    <w:p w:rsidR="00000000" w:rsidRDefault="00000000">
      <w:pPr>
        <w:spacing w:after="200"/>
        <w:rPr>
          <w:b/>
        </w:rPr>
      </w:pPr>
      <w:r>
        <w:rPr>
          <w:b/>
        </w:rPr>
        <w:t>Право владеть собственностью</w:t>
      </w:r>
    </w:p>
    <w:p w:rsidR="00000000" w:rsidRDefault="00000000">
      <w:pPr>
        <w:spacing w:after="200"/>
      </w:pPr>
      <w:r>
        <w:t>73.</w:t>
      </w:r>
      <w:r>
        <w:tab/>
        <w:t>Благодаря принятым правительством 5 апреля 1996 года мерам и во исполнение циркуляра Министерства по социальным делам от 9 мая 1996 года, адресованного национальным кассам по делам социального обеспечения, замужняя женщина отныне получает возможность одновременно с мужем брать в этих кассах ссуды на приобретение одного и того же недвижимого имущества.</w:t>
      </w:r>
    </w:p>
    <w:p w:rsidR="00000000" w:rsidRDefault="00000000">
      <w:pPr>
        <w:spacing w:after="120"/>
      </w:pPr>
      <w:r>
        <w:t>74.</w:t>
      </w:r>
      <w:r>
        <w:tab/>
        <w:t>Закон № 98-97 от 9 ноября 1998 года о режиме общности имущества супругов вводит новый режим собственности, основанный на партнерстве супругов и совместном управлении ими своим имуществом. Учитывая возросшую экономическую роль женщины в семье и обществе, этот режим, который непосредственно не затрагивает правил наследования, предлагает, тем не менее, решение, имеющее целью сбалансировать в определенной степени семейный статус супруги.</w:t>
      </w:r>
    </w:p>
    <w:p w:rsidR="00000000" w:rsidRDefault="00000000">
      <w:pPr>
        <w:spacing w:after="120"/>
      </w:pPr>
      <w:r>
        <w:rPr>
          <w:lang w:val="en-US"/>
        </w:rPr>
        <w:tab/>
      </w:r>
      <w:r>
        <w:t>В статье 1 этого закона говорится:</w:t>
      </w:r>
    </w:p>
    <w:p w:rsidR="00000000" w:rsidRDefault="00000000">
      <w:pPr>
        <w:spacing w:after="120"/>
        <w:rPr>
          <w:i/>
        </w:rPr>
      </w:pPr>
      <w:r>
        <w:rPr>
          <w:lang w:val="en-US"/>
        </w:rPr>
        <w:tab/>
      </w:r>
      <w:r>
        <w:rPr>
          <w:i/>
        </w:rPr>
        <w:t>"Режим общности имущества является необязательным режимом, который супруги могут выбрать при заключении брачного договора или позднее. Цель этого режима состоит в том, чтобы сделать какой-либо один объект недвижимого имущества или совокупность таких объектов общей и неделимой между супругами собственностью, если эта недвижимость может использоваться в целях семьи".</w:t>
      </w:r>
    </w:p>
    <w:p w:rsidR="00000000" w:rsidRDefault="00000000">
      <w:r>
        <w:rPr>
          <w:lang w:val="en-US"/>
        </w:rPr>
        <w:tab/>
      </w:r>
      <w:r>
        <w:t xml:space="preserve">Теперь оба супруга, которые выбрали режим общности имущества, имеют равные права на имущество, приобретенное ими в период жизни в браке. </w:t>
      </w:r>
    </w:p>
    <w:p w:rsidR="00000000" w:rsidRDefault="00000000">
      <w:pPr>
        <w:spacing w:before="120" w:line="240" w:lineRule="auto"/>
        <w:rPr>
          <w:b/>
          <w:sz w:val="22"/>
        </w:rPr>
      </w:pPr>
      <w:r>
        <w:rPr>
          <w:b/>
          <w:sz w:val="22"/>
        </w:rPr>
        <w:t xml:space="preserve">II.2.6. </w:t>
      </w:r>
      <w:r>
        <w:rPr>
          <w:b/>
          <w:sz w:val="22"/>
          <w:lang w:val="en-US"/>
        </w:rPr>
        <w:tab/>
      </w:r>
      <w:r>
        <w:rPr>
          <w:b/>
          <w:sz w:val="22"/>
        </w:rPr>
        <w:t>Права ребенка</w:t>
      </w:r>
    </w:p>
    <w:p w:rsidR="00000000" w:rsidRDefault="00000000">
      <w:r>
        <w:t>75.</w:t>
      </w:r>
      <w:r>
        <w:tab/>
        <w:t xml:space="preserve">Забота, которой дети окружены в Тунисе, нашла в полной мере свое выражение в ратификации </w:t>
      </w:r>
      <w:r>
        <w:br/>
        <w:t xml:space="preserve">29 ноября 1991 года Конвенции Организации Объединенных Наций о правах ребенка и вступлении в силу </w:t>
      </w:r>
      <w:r>
        <w:br/>
        <w:t>9 ноября 1995 года Кодекса законов о защите ребенка, в статье 2 которого говорится: "Кодекс гарантирует ребенку право пользоваться различными превентивными мерами социального, образовательного, санитарно-гигиенического характера, а также другими положениями и процедурами, цель которых состоит в его защите от любых форм насилия, причинения или угрозы причинения ему физического, психического или сексуального ущерба".</w:t>
      </w:r>
    </w:p>
    <w:p w:rsidR="00000000" w:rsidRDefault="00000000">
      <w:pPr>
        <w:spacing w:after="140"/>
      </w:pPr>
      <w:r>
        <w:tab/>
        <w:t>В статье 1 Кодекса законов о защите ребенка его цели определены следующим образом:</w:t>
      </w:r>
    </w:p>
    <w:p w:rsidR="00000000" w:rsidRDefault="00000000">
      <w:pPr>
        <w:spacing w:after="140"/>
        <w:rPr>
          <w:i/>
        </w:rPr>
      </w:pPr>
      <w:r>
        <w:tab/>
      </w:r>
      <w:r>
        <w:rPr>
          <w:i/>
        </w:rPr>
        <w:t>1. Повышать статус ребенка с учетом особенностей, характеризующих его физические возможности, эмоциональные наклонности, умственные способности и навыки на таком уровне защиты, который гарантировал бы подготовку будущих поколений, проявляя при этом заботу о детях.</w:t>
      </w:r>
    </w:p>
    <w:p w:rsidR="00000000" w:rsidRDefault="00000000">
      <w:pPr>
        <w:spacing w:after="140"/>
        <w:rPr>
          <w:i/>
        </w:rPr>
      </w:pPr>
      <w:r>
        <w:rPr>
          <w:i/>
        </w:rPr>
        <w:tab/>
        <w:t xml:space="preserve">2. Воспитывать ребенка в духе гордости за свою национальную принадлежность, верности и преданности Тунису как исторической или приобретенной родины, чтобы он осознавал свою принадлежность к его цивилизации на национальном, магрибском, арабском и исламском уровнях, одновременно приобщаясь к культуре человеческого братства и учась понимать ближнего в соответствии с научными и воспитательными установками. </w:t>
      </w:r>
    </w:p>
    <w:p w:rsidR="00000000" w:rsidRDefault="00000000">
      <w:pPr>
        <w:spacing w:after="140"/>
        <w:rPr>
          <w:i/>
        </w:rPr>
      </w:pPr>
      <w:r>
        <w:rPr>
          <w:i/>
        </w:rPr>
        <w:tab/>
        <w:t>3. Готовить ребенка к свободной и ответственной жизни в едином гражданском обществе, основанном на неразрывной связи между осознанием своих прав и выполнением своих обязанностей, опираясь на такие превалирующие ценности, как справедливость, терпимость и умеренность.</w:t>
      </w:r>
    </w:p>
    <w:p w:rsidR="00000000" w:rsidRDefault="00000000">
      <w:pPr>
        <w:spacing w:after="140"/>
        <w:rPr>
          <w:i/>
        </w:rPr>
      </w:pPr>
      <w:r>
        <w:rPr>
          <w:i/>
        </w:rPr>
        <w:tab/>
        <w:t>4. Включить права ребенка на охрану и защиту в контекст основных направлений национального развития, благодаря которым права человека превратились в благородные идеалы, которыми руководствуются граждане Туниса и которые позволяют им идти по пути развития и улучшать свою жизнь на основе важнейших человеческих ценностей.</w:t>
      </w:r>
    </w:p>
    <w:p w:rsidR="00000000" w:rsidRDefault="00000000">
      <w:pPr>
        <w:spacing w:after="140"/>
        <w:rPr>
          <w:i/>
        </w:rPr>
      </w:pPr>
      <w:r>
        <w:rPr>
          <w:i/>
        </w:rPr>
        <w:tab/>
        <w:t>5. Пропагандировать изучение прав ребенка и знакомить с присущими ему особенностями, чтобы, с одной стороны, гарантировать гармоничность и уравновешенность его личности, а с другой – привить чувство ответственности за него его родителям, членам его семьи и всему обществу в целом.</w:t>
      </w:r>
    </w:p>
    <w:p w:rsidR="00000000" w:rsidRDefault="00000000">
      <w:pPr>
        <w:spacing w:after="140"/>
        <w:rPr>
          <w:i/>
        </w:rPr>
      </w:pPr>
      <w:r>
        <w:rPr>
          <w:i/>
        </w:rPr>
        <w:tab/>
        <w:t>6. Научить ребенка, используя приемлемые средства, принимать участие во всех касающихся его делах, уважать и укреплять его права с учетом его высших интересов, таким образом, чтобы привить ему любовь к труду, умение проявлять инициативу и ценить личное участие, чувство ответственности перед самим собой.</w:t>
      </w:r>
    </w:p>
    <w:p w:rsidR="00000000" w:rsidRDefault="00000000">
      <w:pPr>
        <w:rPr>
          <w:i/>
        </w:rPr>
      </w:pPr>
      <w:r>
        <w:rPr>
          <w:i/>
        </w:rPr>
        <w:tab/>
        <w:t>7. Воспитывать у ребенка высокие моральные качества, одновременно развивая чувство уважения к родителям, к своему семейному и социальному окружению".</w:t>
      </w:r>
    </w:p>
    <w:p w:rsidR="00000000" w:rsidRDefault="00000000">
      <w:r>
        <w:tab/>
        <w:t>Эти принципы, закрепленные в Кодексе законов о защите ребенка, отражают стремление Туниса построить эгалитарное общество, основанное на справедливости и терпимости.</w:t>
      </w:r>
    </w:p>
    <w:p w:rsidR="00000000" w:rsidRDefault="00000000">
      <w:pPr>
        <w:spacing w:before="240" w:line="240" w:lineRule="auto"/>
        <w:rPr>
          <w:b/>
          <w:sz w:val="28"/>
        </w:rPr>
      </w:pPr>
      <w:r>
        <w:rPr>
          <w:b/>
          <w:sz w:val="28"/>
        </w:rPr>
        <w:t>III.</w:t>
      </w:r>
      <w:r>
        <w:rPr>
          <w:b/>
          <w:sz w:val="28"/>
        </w:rPr>
        <w:tab/>
        <w:t>Национальные механизмы улучшения положения женщины</w:t>
      </w:r>
    </w:p>
    <w:p w:rsidR="00000000" w:rsidRDefault="00000000">
      <w:r>
        <w:t>76.</w:t>
      </w:r>
      <w:r>
        <w:tab/>
        <w:t>Женский фактор постепенно становится параметром планирования и оценки, мобилизующим соответствующие структуры. Несмотря на то что этот параметр все шире внедряется в отраслевую политику, с начала 90-х годов встал вопрос о разработке особой комплексной стратегии "Женщина и Семья" в качестве стратегического выбора, призванного обеспечить долговременное и всестороннее развитие.</w:t>
      </w:r>
    </w:p>
    <w:p w:rsidR="00000000" w:rsidRDefault="00000000">
      <w:r>
        <w:t>77.</w:t>
      </w:r>
      <w:r>
        <w:tab/>
        <w:t xml:space="preserve">Масштабность осуществляемых реформ потребовала соответствующим образом изменить органы управления и социальную структуру: нужно было не только настроить страну на волну новых политических решений, закрепленных в таких основополагающих документах, как Декларация от 7 ноября, но и обеспечить долговременность этого выбора цивилизации, который закладывает фундамент новой модели общества. </w:t>
      </w:r>
    </w:p>
    <w:p w:rsidR="00000000" w:rsidRDefault="00000000">
      <w:r>
        <w:t>78.</w:t>
      </w:r>
      <w:r>
        <w:tab/>
        <w:t>Политика интеграции женщин стала проводиться во всей полноте с 1992 года, когда начали создаваться особые механизмы обеспечения наиболее точного соответствия закона жизненным реалиями женщин.</w:t>
      </w:r>
    </w:p>
    <w:p w:rsidR="00000000" w:rsidRDefault="00000000">
      <w:pPr>
        <w:spacing w:before="120" w:line="240" w:lineRule="auto"/>
        <w:rPr>
          <w:b/>
          <w:sz w:val="22"/>
        </w:rPr>
      </w:pPr>
      <w:r>
        <w:rPr>
          <w:b/>
          <w:sz w:val="22"/>
        </w:rPr>
        <w:t xml:space="preserve">III.1. </w:t>
      </w:r>
      <w:r>
        <w:rPr>
          <w:b/>
          <w:sz w:val="22"/>
          <w:lang w:val="en-US"/>
        </w:rPr>
        <w:tab/>
      </w:r>
      <w:r>
        <w:rPr>
          <w:b/>
          <w:sz w:val="22"/>
        </w:rPr>
        <w:t>Государственные механизмы</w:t>
      </w:r>
    </w:p>
    <w:p w:rsidR="00000000" w:rsidRDefault="00000000">
      <w:pPr>
        <w:spacing w:line="240" w:lineRule="auto"/>
        <w:rPr>
          <w:b/>
          <w:sz w:val="22"/>
        </w:rPr>
      </w:pPr>
      <w:r>
        <w:rPr>
          <w:b/>
          <w:sz w:val="22"/>
        </w:rPr>
        <w:t>III.1.1. Министерство по делам женщин и семьи (МДЖС)</w:t>
      </w:r>
    </w:p>
    <w:p w:rsidR="00000000" w:rsidRDefault="00000000">
      <w:r>
        <w:t>79.</w:t>
      </w:r>
      <w:r>
        <w:tab/>
        <w:t>Предшественником Министерства по делам женщин и семьи был Государственный секретариат при премьер-министре (1992 год), переименованный затем в Министерство при премьер-министре (1993 год), которое стало полноправным министерством в ноябре 1999 года.</w:t>
      </w:r>
    </w:p>
    <w:p w:rsidR="00000000" w:rsidRDefault="00000000">
      <w:r>
        <w:t>80.</w:t>
      </w:r>
      <w:r>
        <w:tab/>
        <w:t>Роль МДЖС в основном состоит в координировании деятельности различных правительственных учреждений с целью улучшить положение женщины и семьи, способствовать более активному участию женщин в процессе развития, дать оценку программам в поддержку женщины и содействовать созданию женских организаций. Для этого МДЖС может предлагать законопроекты, а также программы развития.</w:t>
      </w:r>
    </w:p>
    <w:p w:rsidR="00000000" w:rsidRDefault="00000000">
      <w:r>
        <w:t>81.</w:t>
      </w:r>
      <w:r>
        <w:tab/>
        <w:t>В реализации поставленных задач МДЖС помогают три крупные структуры: Национальный совет по делам женщин и семьи (консультативный орган), Центр научных исследований, документации и информации по вопросам женщин (ЦНИДИЖ) (научный орган) и Национальная комиссия по вопросам женщин и развития (орган планирования и оценки в рамках национального планирования).</w:t>
      </w:r>
    </w:p>
    <w:p w:rsidR="00000000" w:rsidRDefault="00000000">
      <w:pPr>
        <w:spacing w:after="120"/>
      </w:pPr>
      <w:r>
        <w:t>82.</w:t>
      </w:r>
      <w:r>
        <w:tab/>
        <w:t>Среди задач МДЖС следует отметить уравнивание возможностей мужчины и женщины в экономической и социальной областях, а также изменение образа мышления и реализацию прав человека вообще и прав женщины в частности. Для их выполнения Министерство разработало следующие инструменты:</w:t>
      </w:r>
    </w:p>
    <w:p w:rsidR="00000000" w:rsidRDefault="00000000">
      <w:pPr>
        <w:spacing w:after="120"/>
        <w:ind w:left="680" w:hanging="680"/>
      </w:pPr>
      <w:r>
        <w:t>–</w:t>
      </w:r>
      <w:r>
        <w:tab/>
        <w:t xml:space="preserve">Орган общественного мнения и правовой ориентации для ознакомления с правами женщины и семьи; он был усилен справочной службой с речевым сервером (1840) – 1308 и 1392, открытой 13 августа </w:t>
      </w:r>
      <w:r>
        <w:br/>
        <w:t>1996 года г-жой Лейлой бен Али, супругой Главы государства.</w:t>
      </w:r>
    </w:p>
    <w:p w:rsidR="00000000" w:rsidRDefault="00000000">
      <w:pPr>
        <w:spacing w:after="120"/>
        <w:ind w:left="680" w:hanging="680"/>
      </w:pPr>
      <w:r>
        <w:t>–</w:t>
      </w:r>
      <w:r>
        <w:tab/>
        <w:t>Национальный план действий в поддержку семьи, который предусматривает осуществление целого ряда мер при участии многих правительственных и неправительственных учреждений и с использованием их ресурсов с целью укрепить воспитательные и социальные функции семьи, а также ее потенциалы и ресурсы, в частности путем создания механизма технической и финансовой поддержки женского и семейного микропредпринимательства, который начал действовать с февраля 1999 года.</w:t>
      </w:r>
    </w:p>
    <w:p w:rsidR="00000000" w:rsidRDefault="00000000">
      <w:pPr>
        <w:spacing w:after="120"/>
        <w:ind w:left="680" w:hanging="680"/>
      </w:pPr>
      <w:r>
        <w:t>–</w:t>
      </w:r>
      <w:r>
        <w:tab/>
        <w:t>Стратегия в области информирования, просвещения и коммуникаций, цель которой состоит в том, чтобы укоренить в семье и обществе понятия прав человека вообще и прав женщины в частности, способствовать изменению традиционного мышления путем пропаганды принципов равенства и партнерства.</w:t>
      </w:r>
    </w:p>
    <w:p w:rsidR="00000000" w:rsidRDefault="00000000">
      <w:pPr>
        <w:spacing w:after="120"/>
        <w:ind w:left="680" w:hanging="680"/>
      </w:pPr>
      <w:r>
        <w:t>–</w:t>
      </w:r>
      <w:r>
        <w:tab/>
        <w:t xml:space="preserve">Организация по оценке влияния проектов развития на положение семьи, цель которой состоит в разработке планов, наиболее полно отвечающих потребностям женщин. </w:t>
      </w:r>
    </w:p>
    <w:p w:rsidR="00000000" w:rsidRDefault="00000000">
      <w:pPr>
        <w:spacing w:after="120"/>
        <w:ind w:left="680" w:hanging="680"/>
      </w:pPr>
      <w:r>
        <w:t>–</w:t>
      </w:r>
      <w:r>
        <w:tab/>
        <w:t>Программа сбора статистической информации с разбивкой по полу, которая осуществляется с 1997 года в сотрудничестве с Экономической и социальной комиссией для Западной Азии (ЭСКЗА), Центром научных исследований, документации и информации по вопросам женщин (ЦНИДИЖ) и Национальным институтом статистики.</w:t>
      </w:r>
    </w:p>
    <w:p w:rsidR="00000000" w:rsidRDefault="00000000">
      <w:pPr>
        <w:spacing w:after="120"/>
        <w:ind w:left="680" w:hanging="680"/>
      </w:pPr>
      <w:r>
        <w:t>–</w:t>
      </w:r>
      <w:r>
        <w:tab/>
        <w:t>Ежегодная выставка для женщин, занимающихся каким-либо ремеслом, призванная, в частности, помогать тем из них, кто работает в неформальном секторе экономики, улучшать качество своей продукции и осваивать новые методы торгового маркетинга.</w:t>
      </w:r>
    </w:p>
    <w:p w:rsidR="00000000" w:rsidRDefault="00000000">
      <w:pPr>
        <w:spacing w:after="120"/>
        <w:ind w:left="680" w:hanging="680"/>
      </w:pPr>
      <w:r>
        <w:t>–</w:t>
      </w:r>
      <w:r>
        <w:tab/>
        <w:t>Национальный план действий в поддержку женщин, проживающих в сельской местности, который начал осуществляться с февраля 1999 года путем создания региональных комитетов и региональных консультационных центров, а также организации</w:t>
      </w:r>
      <w:r>
        <w:rPr>
          <w:color w:val="FF0000"/>
        </w:rPr>
        <w:t xml:space="preserve"> </w:t>
      </w:r>
      <w:r>
        <w:t>досуговых мероприятий для сельских женщин.</w:t>
      </w:r>
    </w:p>
    <w:p w:rsidR="00000000" w:rsidRDefault="00000000">
      <w:pPr>
        <w:spacing w:after="120"/>
        <w:ind w:left="680" w:hanging="680"/>
      </w:pPr>
      <w:r>
        <w:t>–</w:t>
      </w:r>
      <w:r>
        <w:tab/>
        <w:t>Сеть ответственных лиц – представителей государственных учреждений и неправительственных организаций, состоящая, соответственно, из специалистов (мужчин и женщин), занимающихся женской проблематикой в государственных учреждениях и неправительственных организациях.</w:t>
      </w:r>
    </w:p>
    <w:p w:rsidR="00000000" w:rsidRDefault="00000000">
      <w:pPr>
        <w:ind w:left="680" w:hanging="680"/>
      </w:pPr>
      <w:r>
        <w:t>–</w:t>
      </w:r>
      <w:r>
        <w:tab/>
        <w:t>Фонд технической и финансовой помощи женскому микропредпринимательству, созданный при поддержке кооперативного движения Канады, который начал действовать с 1999 года.</w:t>
      </w:r>
    </w:p>
    <w:p w:rsidR="00000000" w:rsidRDefault="00000000">
      <w:r>
        <w:t>83.</w:t>
      </w:r>
      <w:r>
        <w:tab/>
        <w:t>МДЖС остается преимущественно министерством, действующим "по горизонтали", на уровне принятия решений, поскольку министр по делам женщин и семьи участвует в заседаниях совета министров и его программы принимаются правительством. Что касается воплощения решений в жизнь, МДЖС действует преимущественно в области общественных отношений, поскольку предложенные им программы развития осуществляются в основном соответствующими министерствами и дополнительно неправительственными организациями.</w:t>
      </w:r>
    </w:p>
    <w:p w:rsidR="00000000" w:rsidRDefault="00000000">
      <w:r>
        <w:t>84.</w:t>
      </w:r>
      <w:r>
        <w:tab/>
        <w:t>Поскольку деятельность МДЖС постоянно расширяется, его бюджет непрерывно растет. Например, с 1996 по 1999 год он увеличился с 1312 млн. динаров до 1853 млн. динаров, то есть на 32 процента. С 1996 года бюджет МДЖС предназначался для целей развития. В 1999 году он резко возрос (более чем на 60 процентов) вследствие проведения ряда мероприятий в рамках плана действий в поддержку семьи, а также осуществления информационно-пропагандистских программ, периодически проводимых МДЖС в рамках стратегии "Женщина и cемья".</w:t>
      </w:r>
    </w:p>
    <w:p w:rsidR="00000000" w:rsidRDefault="00000000">
      <w:pPr>
        <w:spacing w:before="120" w:line="240" w:lineRule="auto"/>
        <w:rPr>
          <w:b/>
          <w:sz w:val="22"/>
        </w:rPr>
      </w:pPr>
      <w:r>
        <w:rPr>
          <w:b/>
          <w:sz w:val="22"/>
        </w:rPr>
        <w:t xml:space="preserve">III.1.2. </w:t>
      </w:r>
      <w:r>
        <w:rPr>
          <w:b/>
          <w:sz w:val="22"/>
          <w:lang w:val="en-US"/>
        </w:rPr>
        <w:tab/>
      </w:r>
      <w:r>
        <w:rPr>
          <w:b/>
          <w:sz w:val="22"/>
        </w:rPr>
        <w:t>Национальный совет по делам женщин и семьи (НСДЖС)</w:t>
      </w:r>
    </w:p>
    <w:p w:rsidR="00000000" w:rsidRDefault="00000000">
      <w:r>
        <w:t>85.</w:t>
      </w:r>
      <w:r>
        <w:tab/>
        <w:t>Созданный в 1992 году Национальный совет по делам женщин и семьи является консультативным органом МДЖС. Он определяет рамки партнерской деятельности всех государственных и неправительственных участников осуществления политики в отношении женщины и семьи.</w:t>
      </w:r>
    </w:p>
    <w:p w:rsidR="00000000" w:rsidRDefault="00000000">
      <w:r>
        <w:t>86.</w:t>
      </w:r>
      <w:r>
        <w:tab/>
        <w:t xml:space="preserve">Работая под председательством министра по делам женщин и семьи, Совет состоит из представителей министерств, государственных структур и учреждений, неправительственных организаций и национальных ассоциаций, действующих в области укрепления прав женщины и семьи, а также из предпринимателей и компетентных лиц. </w:t>
      </w:r>
    </w:p>
    <w:p w:rsidR="00000000" w:rsidRDefault="00000000">
      <w:pPr>
        <w:spacing w:after="120"/>
      </w:pPr>
      <w:r>
        <w:t>87.</w:t>
      </w:r>
      <w:r>
        <w:tab/>
        <w:t>В сентябре 1997 года по распоряжению Президента НСДЖС был усилен тремя следующими структурами:</w:t>
      </w:r>
    </w:p>
    <w:p w:rsidR="00000000" w:rsidRDefault="00000000">
      <w:pPr>
        <w:spacing w:after="120"/>
        <w:ind w:left="680" w:hanging="680"/>
      </w:pPr>
      <w:r>
        <w:t>–</w:t>
      </w:r>
      <w:r>
        <w:tab/>
        <w:t>Комиссией по контролю за образом женщины в средствах массовой информации. Возглавляемая Председателем Национального союза тунисских женщин (НСТЖ), эта комиссия функционировала в течение всего 1998 года и разработала план действий с целью улучшения образа женщины в средствах массовой информации. В частности, она рекомендовала учредить национальную премию за лучшую работу в этом направлении.</w:t>
      </w:r>
    </w:p>
    <w:p w:rsidR="00000000" w:rsidRDefault="00000000">
      <w:pPr>
        <w:spacing w:after="120"/>
        <w:ind w:left="680" w:hanging="680"/>
      </w:pPr>
      <w:r>
        <w:tab/>
        <w:t>В соответствии с этой рекомендацией на основании декрета № 99-1037 от 17 мая 1999 года была учреждена премия имени Тахара Хаддада за лучшее произведение для средств массовой информации, созданное в письменной форме, в форме радио- или телепередачи.</w:t>
      </w:r>
    </w:p>
    <w:p w:rsidR="00000000" w:rsidRDefault="00000000">
      <w:pPr>
        <w:spacing w:after="120"/>
        <w:ind w:left="680" w:hanging="680"/>
      </w:pPr>
      <w:r>
        <w:t>–</w:t>
      </w:r>
      <w:r>
        <w:tab/>
        <w:t>Комиссией по обеспечению равенства возможностей мужчины и женщины и контролю за выполнением законов. Возглавляемая генеральным директором Национального бюро по вопросам планирования семьи и народонаселения (НБВПСН), эта комиссия избрала в качестве приоритетной области действий на 1998–1999 годы положение женщины в области занятости и перспективы накануне ХХI века. В своем первом докладе она разработала основные направления отраслевой Программы действий за равенство возможностей.</w:t>
      </w:r>
    </w:p>
    <w:p w:rsidR="00000000" w:rsidRDefault="00000000">
      <w:pPr>
        <w:ind w:left="680" w:hanging="680"/>
      </w:pPr>
      <w:r>
        <w:t>–</w:t>
      </w:r>
      <w:r>
        <w:tab/>
        <w:t xml:space="preserve">Комиссией по подготовке национальных и международных мероприятий, касающихся женщины и семьи. Возглавляемая председателем Тунисской организации по вопросам образования и семьи (ТОВОС), она периодически собирается для координации действий и обмена мнениями, чтобы улучшить представительство женщин на национальных и международных встречах, а также чтобы готовить национальные программы празднования национального и международного Дня женщины и семьи. </w:t>
      </w:r>
    </w:p>
    <w:p w:rsidR="00000000" w:rsidRDefault="00000000">
      <w:pPr>
        <w:spacing w:before="120" w:line="240" w:lineRule="auto"/>
        <w:rPr>
          <w:b/>
          <w:sz w:val="22"/>
        </w:rPr>
      </w:pPr>
      <w:r>
        <w:rPr>
          <w:b/>
          <w:sz w:val="22"/>
        </w:rPr>
        <w:t>III.1.3. Национальная комиссия по вопросам женщин и развития</w:t>
      </w:r>
    </w:p>
    <w:p w:rsidR="00000000" w:rsidRDefault="00000000">
      <w:r>
        <w:t>88.</w:t>
      </w:r>
      <w:r>
        <w:tab/>
        <w:t>Комиссия по вопросам женщин и развития была учреждена Главой государства в 1991 году в рамках подготовки VIII плана экономического и социального развития (1992–1996 годы), чтобы восполнить недостаточную представленность женщин-специалистов в различных ведомственных комиссиях. Возглавляемая министром по делам женщин и семьи, эта Комиссия состоит из отечественных компетентных специалистов, представляющих соответствующие министерства, а также различные учреждения, организации и объединения, занимающиеся женской проблематикой. Под общим руководством МДЖС Комиссия разработала стратегию выполнения VIII, а затем и IX планов развития (1997–2001 годы).</w:t>
      </w:r>
    </w:p>
    <w:p w:rsidR="00000000" w:rsidRDefault="00000000">
      <w:r>
        <w:t>89.</w:t>
      </w:r>
      <w:r>
        <w:tab/>
        <w:t>Комиссия по вопросам женщин и развития разработала стратегию повышения статуса женщины в рамках VIII национального плана развития (1992–1996 годы). Она обеспечила контроль и оценку ее осуществления под общим руководством МДЖС и Министерства экономического развития.</w:t>
      </w:r>
    </w:p>
    <w:p w:rsidR="00000000" w:rsidRDefault="00000000">
      <w:r>
        <w:t>90.</w:t>
      </w:r>
      <w:r>
        <w:tab/>
        <w:t>Комиссией по вопросам женщин и развития была разработана вторая стратегия в области женской проблематики в рамках IX национального плана развития (1997–2001 годы), краткое содержание которого прилагается.</w:t>
      </w:r>
    </w:p>
    <w:p w:rsidR="00000000" w:rsidRDefault="00000000">
      <w:r>
        <w:t>91.</w:t>
      </w:r>
      <w:r>
        <w:tab/>
        <w:t>Благодаря такому подходу гендерный анализ стал нормой во всех отраслях, где с этой целью формируются необходимые структуры, людские и материальные ресурсы; это позволяет точно оценивать достигнутые успехи и определять причины затруднений и проволочек, укрепляя при этом национальный консенсус по вопросу интеграции женских людских ресурсов во все области развития.</w:t>
      </w:r>
    </w:p>
    <w:p w:rsidR="00000000" w:rsidRDefault="00000000">
      <w:pPr>
        <w:tabs>
          <w:tab w:val="clear" w:pos="1021"/>
          <w:tab w:val="left" w:pos="709"/>
        </w:tabs>
        <w:spacing w:before="120"/>
        <w:ind w:left="737" w:hanging="737"/>
        <w:jc w:val="left"/>
        <w:rPr>
          <w:b/>
          <w:sz w:val="22"/>
        </w:rPr>
      </w:pPr>
      <w:r>
        <w:rPr>
          <w:b/>
          <w:sz w:val="22"/>
        </w:rPr>
        <w:t>III.1.4. Центр научных исследований, документации и информации по вопросам женщин (ЦНИДИЖ)</w:t>
      </w:r>
    </w:p>
    <w:p w:rsidR="00000000" w:rsidRDefault="00000000">
      <w:r>
        <w:t>92.</w:t>
      </w:r>
      <w:r>
        <w:tab/>
        <w:t>Учрежденный в 1990 году Центр научных исследований, документации и информации по вопросам женщин (ЦНИДИЖ) постепенно превратился в национальный и международный центр обмена мнениями.</w:t>
      </w:r>
    </w:p>
    <w:p w:rsidR="00000000" w:rsidRDefault="00000000">
      <w:pPr>
        <w:spacing w:after="80"/>
      </w:pPr>
      <w:r>
        <w:t>93.</w:t>
      </w:r>
      <w:r>
        <w:tab/>
        <w:t>Основные задачи ЦНИДИЖ состоят в следующем:</w:t>
      </w:r>
    </w:p>
    <w:p w:rsidR="00000000" w:rsidRDefault="00000000">
      <w:pPr>
        <w:spacing w:after="80"/>
      </w:pPr>
      <w:r>
        <w:t>–</w:t>
      </w:r>
      <w:r>
        <w:tab/>
        <w:t>поощрять исследования, предметом которых являются женщина и ее статус в тунисском обществе;</w:t>
      </w:r>
    </w:p>
    <w:p w:rsidR="00000000" w:rsidRDefault="00000000">
      <w:pPr>
        <w:spacing w:after="80"/>
        <w:ind w:left="680" w:hanging="680"/>
      </w:pPr>
      <w:r>
        <w:t>–</w:t>
      </w:r>
      <w:r>
        <w:tab/>
        <w:t>собирать информацию и документы, касающиеся положения женщины, и следить за их распространением;</w:t>
      </w:r>
    </w:p>
    <w:p w:rsidR="00000000" w:rsidRDefault="00000000">
      <w:r>
        <w:t>–</w:t>
      </w:r>
      <w:r>
        <w:tab/>
        <w:t>составлять доклады о прогрессе в положении женщины в тунисском обществе.</w:t>
      </w:r>
    </w:p>
    <w:p w:rsidR="00000000" w:rsidRDefault="00000000">
      <w:pPr>
        <w:rPr>
          <w:b/>
        </w:rPr>
      </w:pPr>
      <w:r>
        <w:rPr>
          <w:b/>
        </w:rPr>
        <w:t>ЦНИДИЖ – центр изучения женской проблематики</w:t>
      </w:r>
    </w:p>
    <w:p w:rsidR="00000000" w:rsidRDefault="00000000">
      <w:r>
        <w:t>94.</w:t>
      </w:r>
      <w:r>
        <w:tab/>
        <w:t xml:space="preserve">ЦНИДИЖ учредил группу по наблюдению за положением женщины, задача которой – осуществлять постоянное наблюдение за положением женщины и его оценку с целью представить в наиболее правдивом свете действительное положение дел в этой области и происходящие в нем изменения путем исследований и опросов, составления ежегодных докладов и проведения общенациональных и региональных семинаров. </w:t>
      </w:r>
    </w:p>
    <w:p w:rsidR="00000000" w:rsidRDefault="00000000">
      <w:r>
        <w:t>95.</w:t>
      </w:r>
      <w:r>
        <w:tab/>
        <w:t>В рамках ЮНФПА ЦНИДИЖ создал механизм отслеживания того, как изображается женщина в средствах массовой информации, при помощи которого анализируется содержание передаваемых СМИ сообщений для изучения восприятия роли и статуса женщины в тунисском обществе.</w:t>
      </w:r>
    </w:p>
    <w:p w:rsidR="00000000" w:rsidRDefault="00000000">
      <w:r>
        <w:t>96.</w:t>
      </w:r>
      <w:r>
        <w:tab/>
        <w:t>ЦНИДИЖ уже подготовил несколько докладов о женщине: "Женщины в Тунисе: положение и перспективы" (1994 год); "Женщины сельских районов Туниса" (1995 год); "Женщины и город" (1996 год); "Женщины и культура" (1997 год).</w:t>
      </w:r>
    </w:p>
    <w:p w:rsidR="00000000" w:rsidRDefault="00000000">
      <w:r>
        <w:rPr>
          <w:lang w:val="en-US"/>
        </w:rPr>
        <w:tab/>
      </w:r>
      <w:r>
        <w:t>ЦНИДИЖ опубликовал несколько научно-исследовательских работ, среди которых: "Женщины-искусницы – кладезь мастерства", "Экономический потенциал женщин в Тунисе", "Тунисские женщины и кино. Тишина в студии, снимают женщины!", "Мобильность, фертильность и деятельность женщин, живущих в сельских районах Туниса", "Правовой статус тунисской женщины"…</w:t>
      </w:r>
    </w:p>
    <w:p w:rsidR="00000000" w:rsidRDefault="00000000">
      <w:pPr>
        <w:rPr>
          <w:b/>
        </w:rPr>
      </w:pPr>
      <w:r>
        <w:rPr>
          <w:b/>
        </w:rPr>
        <w:t>ЦНИДИЖ – центр сбора документации о женщине</w:t>
      </w:r>
    </w:p>
    <w:p w:rsidR="00000000" w:rsidRDefault="00000000">
      <w:r>
        <w:t>97.</w:t>
      </w:r>
      <w:r>
        <w:tab/>
        <w:t>ЦНИДИЖ создал базы данных и информационные сети, касающиеся женской проблематики: базу библиографических данных "Женщина", компьютерную библиотеку, дающую доступ к базам данных о женщине в Тунисе, странах Магриба, арабском мире и франкоязычных странах. Благодаря соглашениям об обмене информацией между различными учреждениями, являющимися источниками сведений о женщине в Тунисе, Алжире и Марокко, ЦНИДИЖ создал две информационные сети, посвященные женщине: Сеть информации о женщине (СИЖ) и Магрибскую сеть информации о женщине (МСИЖ).</w:t>
      </w:r>
    </w:p>
    <w:p w:rsidR="00000000" w:rsidRDefault="00000000">
      <w:r>
        <w:rPr>
          <w:lang w:val="en-US"/>
        </w:rPr>
        <w:tab/>
      </w:r>
      <w:r>
        <w:t>ЦНИДИЖ предоставляет свою библиотеку и свои базы данных студентам, ученым и специалистам в области женской проблематики.</w:t>
      </w:r>
    </w:p>
    <w:p w:rsidR="00000000" w:rsidRDefault="00000000">
      <w:pPr>
        <w:rPr>
          <w:b/>
        </w:rPr>
      </w:pPr>
      <w:r>
        <w:rPr>
          <w:b/>
        </w:rPr>
        <w:t>ЦНИДИЖ – центр повышения квалификации</w:t>
      </w:r>
    </w:p>
    <w:p w:rsidR="00000000" w:rsidRDefault="00000000">
      <w:pPr>
        <w:spacing w:after="200"/>
      </w:pPr>
      <w:r>
        <w:t>98.</w:t>
      </w:r>
      <w:r>
        <w:tab/>
        <w:t>Выбранный ЮНФПА (Фонд Организации Объединенных Наций в области народонаселения)</w:t>
      </w:r>
      <w:r>
        <w:rPr>
          <w:color w:val="FF0000"/>
        </w:rPr>
        <w:t xml:space="preserve"> </w:t>
      </w:r>
      <w:r>
        <w:t>в качестве центра повышения квалификации, ЦНИДИЖ открыл в 1996 году учебные курсы по теме "Гендерные аспекты, народонаселение и развитие" для арабских и африканских женщин.</w:t>
      </w:r>
    </w:p>
    <w:p w:rsidR="00000000" w:rsidRDefault="00000000">
      <w:pPr>
        <w:spacing w:after="200"/>
      </w:pPr>
      <w:r>
        <w:t>99.</w:t>
      </w:r>
      <w:r>
        <w:tab/>
        <w:t>В 1997 году при поддержке ЮНЕСКО ЦНИДИЖ создал "международную кафедру по вопросам положения женщины", где, в частности, проводятся международные встречи с учеными, преподавателями высшей школы и докладчиками по вопросу о положении женщин, стажировки и ознакомительные поездки в Тунис, а также учебные сессии, имеющие целью проведение гендерного анализа в таких областях, как исследование, планирование и организация.</w:t>
      </w:r>
    </w:p>
    <w:p w:rsidR="00000000" w:rsidRDefault="00000000">
      <w:r>
        <w:t>100.</w:t>
      </w:r>
      <w:r>
        <w:tab/>
        <w:t>Центр также организует для тунисских женщин-руководителей учебные курсы по трем темам: продвижение по службе; введение подхода "гендерные аспекты и развитие"; психология труда и управление людскими ресурсами.</w:t>
      </w:r>
    </w:p>
    <w:p w:rsidR="00000000" w:rsidRDefault="00000000">
      <w:pPr>
        <w:spacing w:before="120"/>
        <w:rPr>
          <w:b/>
        </w:rPr>
      </w:pPr>
      <w:r>
        <w:rPr>
          <w:b/>
        </w:rPr>
        <w:t>ЦНИДИЖ – место встреч и диалога</w:t>
      </w:r>
    </w:p>
    <w:p w:rsidR="00000000" w:rsidRDefault="00000000">
      <w:r>
        <w:t>101.</w:t>
      </w:r>
      <w:r>
        <w:tab/>
        <w:t>ЦНИДИЖ, кроме того, является зачинателем всякого рода просветительских акций с целью ознакомления с правами женщины в Тунисе и других странах, а также организатором встреч с талантливыми женщинами, появляющимися в национальной культуре и искусстве. На эту тему было опубликовано немало трудов.</w:t>
      </w:r>
    </w:p>
    <w:p w:rsidR="00000000" w:rsidRDefault="00000000">
      <w:r>
        <w:t>102.</w:t>
      </w:r>
      <w:r>
        <w:tab/>
        <w:t>ЦНИДИЖ предоставляет свои помещения всем женским НПО для проведения встреч и форумов, способствуя этим оживлению жизни гражданского общества и демократическим дискуссиям.</w:t>
      </w:r>
    </w:p>
    <w:p w:rsidR="00000000" w:rsidRDefault="00000000">
      <w:r>
        <w:t>103.</w:t>
      </w:r>
      <w:r>
        <w:tab/>
        <w:t>ЦНИДИЖ издает двуязычный бюллетень "Инфо-КРЕДИФ", выходящий раз в два месяца на арабском и французском языках.</w:t>
      </w:r>
    </w:p>
    <w:p w:rsidR="00000000" w:rsidRDefault="00000000">
      <w:pPr>
        <w:rPr>
          <w:b/>
          <w:sz w:val="22"/>
        </w:rPr>
      </w:pPr>
      <w:r>
        <w:rPr>
          <w:b/>
          <w:sz w:val="22"/>
        </w:rPr>
        <w:t>III.1.5. Женщины на руководящих постах</w:t>
      </w:r>
    </w:p>
    <w:p w:rsidR="00000000" w:rsidRDefault="00000000">
      <w:r>
        <w:t>104.</w:t>
      </w:r>
      <w:r>
        <w:tab/>
        <w:t>В рамках серии мер, принятых Президентом Республики 13 августа 1992 года, шесть женщин были назначены на ответственные должности в министерствах. Цель таких назначений – облегчить женщинам доступ к руководящим постам, дающим право принимать решения. В 1998 году 14 женщин занимали такие посты в министерствах.</w:t>
      </w:r>
    </w:p>
    <w:p w:rsidR="00000000" w:rsidRDefault="00000000">
      <w:r>
        <w:t>105.</w:t>
      </w:r>
      <w:r>
        <w:tab/>
        <w:t>Женщины, занимающие ответственные должности, являются представителями Министерства и регулярно участвуют во всех просветительских и исследовательских акциях, предпринимаемых по инициативе МДЖС (в частности, циклы лекций по гендерной проблематике в образовании), и обеспечивают регулярный контроль за осуществлением стратегии повышения статуса женщины и национального плана действий по улучшению положения семьи.</w:t>
      </w:r>
    </w:p>
    <w:p w:rsidR="00000000" w:rsidRDefault="00000000">
      <w:r>
        <w:t>106.</w:t>
      </w:r>
      <w:r>
        <w:tab/>
        <w:t>Согласно принятому 10 ноября 1997 года решению Президента Зин аль-Абидина бен Али в состав советов по региональному развитию были включены, по крайней мере, две женщины-руководителя, выбранные за их компетентность в делах региона. Они являются представителями МДЖС по связям с общественностью в регионах, осуществляющими контроль за выполнением его программ в регионах, в частности плана действий по улучшению положения женщин, проживающих в сельской местности. Впервые МДЖС организовало для них семинар по случаю празднования Женского дня 8 марта в 1999 году.</w:t>
      </w:r>
    </w:p>
    <w:p w:rsidR="00000000" w:rsidRDefault="00000000">
      <w:r>
        <w:t>107.</w:t>
      </w:r>
      <w:r>
        <w:tab/>
        <w:t>В 1998 году в состав муниципальных советов вошла одна женщина, которой поручено решение вопросов, касающихся семьи и пожилых людей. В декабре 1998 года МДЖС впервые организовало для этих женщин семинар по случаю празднования национального Дня семьи.</w:t>
      </w:r>
    </w:p>
    <w:p w:rsidR="00000000" w:rsidRDefault="00000000">
      <w:pPr>
        <w:spacing w:before="120" w:line="240" w:lineRule="auto"/>
        <w:rPr>
          <w:b/>
          <w:sz w:val="22"/>
        </w:rPr>
      </w:pPr>
      <w:r>
        <w:rPr>
          <w:b/>
          <w:sz w:val="22"/>
        </w:rPr>
        <w:t>III.1.6. Региональные структуры</w:t>
      </w:r>
    </w:p>
    <w:p w:rsidR="00000000" w:rsidRDefault="00000000">
      <w:r>
        <w:t>108.</w:t>
      </w:r>
      <w:r>
        <w:tab/>
        <w:t>В феврале 1999 года в каждом губернаторстве были учреждены региональные комиссии по улучшению положения женщин, проживающих в сельской местности. Каждая такая комиссия, возглавляемая губернатором, состоит из ответственных за регионы лиц из различных министерств, занимающихся женской проблематикой, предпринимателей, женщин, занимающих руководящие посты, и представителей НПО. Ее цель заключается в выработке региональной программы действий в поддержку женщин, проживающих в сельской местности, в обеспечении контроля за ее выполнением и оценке результатов в сотрудничестве с МДЖС.</w:t>
      </w:r>
    </w:p>
    <w:p w:rsidR="00000000" w:rsidRDefault="00000000">
      <w:r>
        <w:t>109.</w:t>
      </w:r>
      <w:r>
        <w:tab/>
        <w:t>Во исполнение Кодекса законов о защите ребенка, вступившего в силу в ноябре 1995 года, в каждой из 23 провинций был создан корпус уполномоченных по защите детства. Эти уполномоченные, назначение которых началось в 1998 году, являются основным партнером МДЖС в области прав девочек в регионах и контроля за их осуществлением.</w:t>
      </w:r>
    </w:p>
    <w:p w:rsidR="00000000" w:rsidRDefault="00000000">
      <w:pPr>
        <w:spacing w:before="120" w:line="240" w:lineRule="auto"/>
        <w:rPr>
          <w:b/>
          <w:sz w:val="22"/>
        </w:rPr>
      </w:pPr>
      <w:r>
        <w:rPr>
          <w:b/>
          <w:sz w:val="22"/>
        </w:rPr>
        <w:t xml:space="preserve">III.2. </w:t>
      </w:r>
      <w:r>
        <w:rPr>
          <w:b/>
          <w:sz w:val="22"/>
          <w:lang w:val="en-US"/>
        </w:rPr>
        <w:tab/>
      </w:r>
      <w:r>
        <w:rPr>
          <w:b/>
          <w:sz w:val="22"/>
        </w:rPr>
        <w:t>Механизмы улучшения положения женщины в гражданском обществе</w:t>
      </w:r>
    </w:p>
    <w:p w:rsidR="00000000" w:rsidRDefault="00000000">
      <w:pPr>
        <w:spacing w:line="240" w:lineRule="auto"/>
        <w:ind w:left="737" w:hanging="737"/>
        <w:jc w:val="left"/>
        <w:rPr>
          <w:b/>
        </w:rPr>
      </w:pPr>
      <w:r>
        <w:rPr>
          <w:b/>
          <w:sz w:val="22"/>
        </w:rPr>
        <w:t xml:space="preserve">III.2.1. Постоянный секретариат по делам женщин Демократического </w:t>
      </w:r>
      <w:r>
        <w:rPr>
          <w:b/>
          <w:sz w:val="22"/>
        </w:rPr>
        <w:br/>
        <w:t>конституционного объединения</w:t>
      </w:r>
    </w:p>
    <w:p w:rsidR="00000000" w:rsidRDefault="00000000">
      <w:r>
        <w:t>110.</w:t>
      </w:r>
      <w:r>
        <w:tab/>
        <w:t>Созданный в 1992 году Постоянный секретариат занимает в партийной иерархии второе место после Генерального секретариата. Он руководит работой более 1500 женских ячеек, расположенных по всей территории страны. Благодаря этим ячейкам и согласованным действиям 24 заместителей генерального секретаря, занимающихся женской проблематикой в региональных структурах, Постоянный секретариат играет главенствующую роль в мобилизации общественного мнения, активизации женской элиты и воздействии на традиционное мышление с целью его изменения.</w:t>
      </w:r>
    </w:p>
    <w:p w:rsidR="00000000" w:rsidRDefault="00000000">
      <w:pPr>
        <w:spacing w:before="120" w:line="240" w:lineRule="auto"/>
        <w:rPr>
          <w:b/>
          <w:sz w:val="22"/>
        </w:rPr>
      </w:pPr>
      <w:r>
        <w:rPr>
          <w:b/>
          <w:sz w:val="22"/>
        </w:rPr>
        <w:t>III.2.2. Профессиональные организации</w:t>
      </w:r>
    </w:p>
    <w:p w:rsidR="00000000" w:rsidRDefault="00000000">
      <w:r>
        <w:t>111.</w:t>
      </w:r>
      <w:r>
        <w:tab/>
        <w:t xml:space="preserve">В рамках крупных национальных профессиональных организаций тунисские женщины образуют структуры для защиты своих особых интересов. Среди них Национальная палата женщин – руководителей предприятий (НПЖРП) Тунисского союза промышленности, торговли и ремесел (ТСПТР), созданная в </w:t>
      </w:r>
      <w:r>
        <w:br/>
        <w:t>1990 году; Национальная федерация сельскохозяйственных работниц (НФСР), входящая в Тунисский союз сельского хозяйства и рыболовства (ТССХР), созданная в 1990 году; и Национальная комиссия "Женщины и труд" Всеобщего тунисского объединения труда (ВТОТ), созданная в 1991 году (см. статью 7 "Общественная и политическая жизнь"). НПЖРП и НФСР имеют региональные информационные представительства на всей территории страны.</w:t>
      </w:r>
    </w:p>
    <w:p w:rsidR="00000000" w:rsidRDefault="00000000">
      <w:pPr>
        <w:spacing w:before="120" w:line="240" w:lineRule="auto"/>
        <w:rPr>
          <w:b/>
          <w:sz w:val="22"/>
        </w:rPr>
      </w:pPr>
      <w:r>
        <w:rPr>
          <w:b/>
          <w:sz w:val="22"/>
        </w:rPr>
        <w:t>III.2.3. Женские неправительственные организации</w:t>
      </w:r>
    </w:p>
    <w:p w:rsidR="00000000" w:rsidRDefault="00000000">
      <w:r>
        <w:t>112.</w:t>
      </w:r>
      <w:r>
        <w:tab/>
        <w:t>С 1989 года появилось более двух десятков женских НПО, работающих в различных областях политической, экономической, общественной, культурной и научной жизни. Последняя из них, Ассоциация "Женщины и наука", была создана в 1998 году (см. подробнее в статье 5 "Общественная и политическая жизнь").</w:t>
      </w:r>
    </w:p>
    <w:p w:rsidR="00000000" w:rsidRDefault="00000000">
      <w:r>
        <w:t>113.</w:t>
      </w:r>
      <w:r>
        <w:tab/>
        <w:t>Национальный союз тунисских женщин (НСТЖ), созданный в 1965 году, является одной из четырех главных национальных организаций на политической сцене страны. Как и ТСПТР, НФСР и ВТОТ, он имеет своих представителей во всех высших консультативных советах.</w:t>
      </w:r>
    </w:p>
    <w:p w:rsidR="00000000" w:rsidRDefault="00000000">
      <w:pPr>
        <w:spacing w:before="120" w:line="240" w:lineRule="auto"/>
        <w:rPr>
          <w:b/>
          <w:sz w:val="22"/>
        </w:rPr>
      </w:pPr>
      <w:r>
        <w:rPr>
          <w:b/>
          <w:sz w:val="22"/>
        </w:rPr>
        <w:t>III.2.4. Неправительственные организации по вопросам развития</w:t>
      </w:r>
    </w:p>
    <w:p w:rsidR="00000000" w:rsidRDefault="00000000">
      <w:r>
        <w:t>114.</w:t>
      </w:r>
      <w:r>
        <w:tab/>
        <w:t>Многие НПО, работающие в области развития и борьбы с бедностью в сельской местности и пригородных зонах, задача которых состоит в оживлении развития общинного хозяйства, направили свои усилия на удовлетворение потребностей женщин. Среди таких организаций – Ассоциация по улучшению положения в области занятости и жилья (АПЕЛ), Фонд Эль-КЕФ, Ассоциация в поддержку саморазвития, "Окружающая среда и развитие в арабском мире – Тунис", ТССС и Генеральный тунисский союз по вопросам труда.</w:t>
      </w:r>
    </w:p>
    <w:p w:rsidR="00000000" w:rsidRDefault="00000000">
      <w:pPr>
        <w:spacing w:before="120" w:line="240" w:lineRule="auto"/>
        <w:rPr>
          <w:b/>
          <w:sz w:val="22"/>
        </w:rPr>
      </w:pPr>
      <w:r>
        <w:rPr>
          <w:b/>
          <w:sz w:val="22"/>
        </w:rPr>
        <w:t xml:space="preserve">III.3. </w:t>
      </w:r>
      <w:r>
        <w:rPr>
          <w:b/>
          <w:sz w:val="22"/>
          <w:lang w:val="en-US"/>
        </w:rPr>
        <w:tab/>
      </w:r>
      <w:r>
        <w:rPr>
          <w:b/>
          <w:sz w:val="22"/>
        </w:rPr>
        <w:t>Партнерство с неправительственными организациями</w:t>
      </w:r>
    </w:p>
    <w:p w:rsidR="00000000" w:rsidRDefault="00000000">
      <w:r>
        <w:t>115.</w:t>
      </w:r>
      <w:r>
        <w:tab/>
        <w:t>Что касается партнерства между министерствами и НПО, то законодательная база в этой области в Тунисе была усилена декретом № 98/1152 от 25 мая 1998 года, который закреплял отношения партнерства, сотрудничества и взаимодействия с объединениями. Например, были подписаны соглашения о реализации отдельных проектов между Министерством по делам женщин и семьи и несколькими НПО по вопросам женщин или развития, что помогло заложить основы настоящего партнерства между государственными и неправительственными организациями в деле улучшения положения женщины и семьи.</w:t>
      </w:r>
    </w:p>
    <w:p w:rsidR="00000000" w:rsidRDefault="00000000">
      <w:r>
        <w:t>116.</w:t>
      </w:r>
      <w:r>
        <w:tab/>
        <w:t>Многие проекты, осуществленные в рамках этих соглашений, касались борьбы с бедностью, повышения экономического потенциала женщин, поддержки производственной деятельности женщин, живущих в сельской местности, и улучшения условий жизни семей, живущих в неблагоприятных зонах.</w:t>
      </w:r>
    </w:p>
    <w:p w:rsidR="00000000" w:rsidRDefault="00000000">
      <w:r>
        <w:t>117.</w:t>
      </w:r>
      <w:r>
        <w:tab/>
        <w:t>МДЖС образовало "сеть ответственных представителей неправительственных организаций" в рамках осуществления национального плана действий в поддержку семьи. НПО, занимающиеся вопросами женщины и семьи, также призваны служить для МДЖС связующим звеном с фондом технической и финансовой поддержки женского и семейного микропредпринимательства, который функционирует с 1999 года.</w:t>
      </w:r>
    </w:p>
    <w:p w:rsidR="00000000" w:rsidRDefault="00000000">
      <w:r>
        <w:t>118.</w:t>
      </w:r>
      <w:r>
        <w:tab/>
        <w:t xml:space="preserve">Национальный совет по делам женщин и семьи постепенно стал главным инструментом осуществления партнерства между МДЖС и неправительственными организациями. </w:t>
      </w:r>
    </w:p>
    <w:p w:rsidR="00000000" w:rsidRDefault="00000000">
      <w:pPr>
        <w:spacing w:before="240" w:line="240" w:lineRule="auto"/>
        <w:rPr>
          <w:b/>
          <w:sz w:val="28"/>
        </w:rPr>
      </w:pPr>
      <w:r>
        <w:rPr>
          <w:b/>
          <w:sz w:val="28"/>
        </w:rPr>
        <w:t xml:space="preserve">IV. </w:t>
      </w:r>
      <w:r>
        <w:rPr>
          <w:b/>
          <w:sz w:val="28"/>
          <w:lang w:val="en-US"/>
        </w:rPr>
        <w:tab/>
      </w:r>
      <w:r>
        <w:rPr>
          <w:b/>
          <w:sz w:val="28"/>
        </w:rPr>
        <w:t>Органы защиты прав женщины</w:t>
      </w:r>
    </w:p>
    <w:p w:rsidR="00000000" w:rsidRDefault="00000000">
      <w:r>
        <w:t>119.</w:t>
      </w:r>
      <w:r>
        <w:tab/>
        <w:t>Кроме органов, которые на разных уровнях и в различных областях содействуют укреплению прав женщины, в Тунисе был создан целый ряд особых новаторских органов с целью защиты прав женщины и помощи в их эффективном осуществлении.</w:t>
      </w:r>
    </w:p>
    <w:p w:rsidR="00000000" w:rsidRDefault="00000000">
      <w:pPr>
        <w:spacing w:line="240" w:lineRule="auto"/>
        <w:rPr>
          <w:b/>
          <w:sz w:val="22"/>
        </w:rPr>
      </w:pPr>
      <w:r>
        <w:rPr>
          <w:b/>
          <w:sz w:val="22"/>
        </w:rPr>
        <w:t>IV.1.</w:t>
      </w:r>
      <w:r>
        <w:rPr>
          <w:b/>
          <w:sz w:val="22"/>
        </w:rPr>
        <w:tab/>
        <w:t>Судья по делам семьи</w:t>
      </w:r>
    </w:p>
    <w:p w:rsidR="00000000" w:rsidRDefault="00000000">
      <w:pPr>
        <w:rPr>
          <w:i/>
        </w:rPr>
      </w:pPr>
      <w:r>
        <w:t>120.</w:t>
      </w:r>
      <w:r>
        <w:tab/>
        <w:t xml:space="preserve">Новая статья 32 Кодекса о статусе личности предусматривает учреждение должности судьи по делам семьи. Председатель суда первой инстанции выбирает такого судью из числа своих заместителей. В его обязанности входят осуществление попыток примирить стороны, а также контроль за процедурой развода в соответствии с законом. Этот судья обязан лично следить за тем, чтобы разводящимся супругам высылались уведомления о ходе судебного разбирательства. Цель этого положения состоит в том, чтобы не допустить малейшей возможности принятия решения о разводе в отсутствие ответчика, в частности гарантируя супруге право получать информацию о ходе судебного разбирательства. Поэтому в пункте 3 новой статьи 32 говорится: </w:t>
      </w:r>
      <w:r>
        <w:rPr>
          <w:i/>
        </w:rPr>
        <w:t>"В случае неявки ответчика в суд без личного уведомления об этом судьи по делам семьи последний переносит рассмотрение дела на другое заседание и привлекает любое лицо по своему усмотрению для передачи извещения лично заинтересованному лицу или установления его настоящего местожительства с целью обеспечить ему явку в суд".</w:t>
      </w:r>
    </w:p>
    <w:p w:rsidR="00000000" w:rsidRDefault="00000000">
      <w:pPr>
        <w:rPr>
          <w:i/>
        </w:rPr>
      </w:pPr>
      <w:r>
        <w:t>121.</w:t>
      </w:r>
      <w:r>
        <w:tab/>
        <w:t xml:space="preserve">В том же порядке нововведенная статья 32-бис КСЛ определяет меру пресечения любых злонамеренных махинаций и недопущения малейших попыток нарушить установленную законом процедуру бракоразводного процесса, в результате которых обычно потерпевшими бывают женщины. Эта статья гласит: </w:t>
      </w:r>
      <w:r>
        <w:rPr>
          <w:i/>
        </w:rPr>
        <w:t xml:space="preserve">"Тот из супругов, кто прибегает к обманным действиям с целью помешать получению судебной повестки другим супругом, подвергается наказанию в виде тюремного заключения сроком на один год". </w:t>
      </w:r>
    </w:p>
    <w:p w:rsidR="00000000" w:rsidRDefault="00000000">
      <w:r>
        <w:t>122.</w:t>
      </w:r>
      <w:r>
        <w:tab/>
        <w:t xml:space="preserve">Реформа в области бракоразводного процесса была продиктована заботой о лучшей защите женщины, детей и семьи. Согласно новой статье 32 при наличии одного или нескольких несовершеннолетних детей судья по делам семьи обязан провести </w:t>
      </w:r>
      <w:r>
        <w:rPr>
          <w:i/>
        </w:rPr>
        <w:t>"три заседания (а не одно) с целью добиться примирения с интервалами не менее тридцати дней"</w:t>
      </w:r>
      <w:r>
        <w:t>, чтобы позволить конфликтующим сторонам лучше осознать свою ответственность и защитить право несовершеннолетних детей жить в семье с обоими родителями.</w:t>
      </w:r>
    </w:p>
    <w:p w:rsidR="00000000" w:rsidRDefault="00000000">
      <w:pPr>
        <w:spacing w:before="120" w:line="240" w:lineRule="auto"/>
        <w:rPr>
          <w:b/>
          <w:sz w:val="22"/>
        </w:rPr>
      </w:pPr>
      <w:r>
        <w:rPr>
          <w:b/>
          <w:sz w:val="22"/>
        </w:rPr>
        <w:t>IV.2.</w:t>
      </w:r>
      <w:r>
        <w:rPr>
          <w:b/>
          <w:sz w:val="22"/>
        </w:rPr>
        <w:tab/>
        <w:t>Гарантийный фонд выплаты алиментов или пенсии в связи с расторжением брака</w:t>
      </w:r>
    </w:p>
    <w:p w:rsidR="00000000" w:rsidRDefault="00000000">
      <w:r>
        <w:t>123.</w:t>
      </w:r>
      <w:r>
        <w:tab/>
        <w:t>Женщина имеет право на алименты или пенсию со стороны мужа в период от окончания брака или до истечения срока вдовства в случае прекращения брака, соответственно, вследствие развода или смерти мужа (статьи 23 и 38 КСЛ). Кроме того, по закону № 81-7 от 18 февраля 1981 года о внесении поправок в некоторые статьи КСЛ (статьи 31 и 53) супруг, неправота которого была признана судом в постановлении о расторжении брака, обязан выплачивать супруге, с которой он развелся, пенсию за причиненный ей материальный ущерб. К сожалению, женщины не всегда могли пользоваться этим правом из-за трудностей исполнения принятых в их пользу постановлений. Ввиду проблем с исполнением законных постановлений и учитывая негативное влияние невыплаты алиментов и пенсии на стабильность и благосостояние семьи и детей, по личной инициативе Главы государства и в соответствии со статьей 53-бис КСЛ, в которую были внесены поправки законом от 12 июля 1993 года, был создан Гарантийный фонд выплаты алиментов или пенсии в связи с расторжением брака разведенным женщинам и их детям.</w:t>
      </w:r>
    </w:p>
    <w:p w:rsidR="00000000" w:rsidRDefault="00000000">
      <w:r>
        <w:t>124.</w:t>
      </w:r>
      <w:r>
        <w:tab/>
        <w:t xml:space="preserve">Гарантийным фондом выплаты алиментов или пенсии в связи с расторжением брака, учрежденным на основании закона № 93-65 от 5 июля 1993 года, управляет Национальная касса социального обеспечения (НКСО). Фонд производит выплату алиментов или пенсии в связи с расторжением брака, предусмотренных вступившими в силу судебными постановлениями, вынесенными в пользу разведенных женщин и детей от их союза с должниками, но оставшимися неисполненными в связи с отсрочкой платежа последними, в порядке, предусмотренном законом о создании Фонда (статья 53 КСЛ). </w:t>
      </w:r>
    </w:p>
    <w:p w:rsidR="00000000" w:rsidRDefault="00000000">
      <w:r>
        <w:t>125.</w:t>
      </w:r>
      <w:r>
        <w:tab/>
        <w:t xml:space="preserve">В декрете № 16-55 от 9 августа 1993 года о создании этого Фонда, в частности, говорится: </w:t>
      </w:r>
      <w:r>
        <w:rPr>
          <w:i/>
        </w:rPr>
        <w:t xml:space="preserve">"Фонд производит выплату алиментов или пенсии управомоченным лицам ежемесячно не позднее, чем через 15 дней после даты представления искового заявления, отвечающего правовым требованиям" </w:t>
      </w:r>
      <w:r>
        <w:t>(статья 2). Кроме того,</w:t>
      </w:r>
      <w:r>
        <w:rPr>
          <w:i/>
        </w:rPr>
        <w:t xml:space="preserve"> "Фонд представляет интересы лиц, управомоченных получать алименты или пенсию в связи с расторжением брака, в отношениях с лицами, не выплатившими суммы, причитающиеся с них на основании судебного постановления. Он правомочен взыскивать эти суммы в пределах выплаченных им средств"</w:t>
      </w:r>
      <w:r>
        <w:t xml:space="preserve"> (статья 3).</w:t>
      </w:r>
    </w:p>
    <w:p w:rsidR="00000000" w:rsidRDefault="00000000">
      <w:pPr>
        <w:spacing w:after="120"/>
      </w:pPr>
      <w:r>
        <w:t>126.</w:t>
      </w:r>
      <w:r>
        <w:tab/>
        <w:t>Гарантийный фонд выплаты алиментов и пенсии в связи с расторжением брака финансируется из следующих источников:</w:t>
      </w:r>
    </w:p>
    <w:p w:rsidR="00000000" w:rsidRDefault="00000000">
      <w:pPr>
        <w:spacing w:after="120"/>
      </w:pPr>
      <w:r>
        <w:t>–</w:t>
      </w:r>
      <w:r>
        <w:tab/>
        <w:t>взносов из государственного бюджета;</w:t>
      </w:r>
    </w:p>
    <w:p w:rsidR="00000000" w:rsidRDefault="00000000">
      <w:pPr>
        <w:spacing w:after="120"/>
        <w:ind w:left="680" w:hanging="680"/>
      </w:pPr>
      <w:r>
        <w:t>–</w:t>
      </w:r>
      <w:r>
        <w:tab/>
        <w:t>взыскиваемых с должников алиментов и пенсий в связи с расторжением брака и вознаграждений за просрочку, а также расходов по взысканию долгового требования;</w:t>
      </w:r>
    </w:p>
    <w:p w:rsidR="00000000" w:rsidRDefault="00000000">
      <w:pPr>
        <w:spacing w:after="120"/>
      </w:pPr>
      <w:r>
        <w:t>–</w:t>
      </w:r>
      <w:r>
        <w:tab/>
        <w:t>доходов от размещения наличного капитала;</w:t>
      </w:r>
    </w:p>
    <w:p w:rsidR="00000000" w:rsidRDefault="00000000">
      <w:r>
        <w:t>–</w:t>
      </w:r>
      <w:r>
        <w:tab/>
        <w:t>дарений и завещаний (статья 7).</w:t>
      </w:r>
    </w:p>
    <w:p w:rsidR="00000000" w:rsidRDefault="00000000">
      <w:r>
        <w:t>127.</w:t>
      </w:r>
      <w:r>
        <w:tab/>
        <w:t xml:space="preserve">Согласно статье 8 </w:t>
      </w:r>
      <w:r>
        <w:rPr>
          <w:i/>
        </w:rPr>
        <w:t>"Национальная касса социального обеспечения (НКСО) вправе принимать любые меры и возбуждать любые судебные иски, могущие защитить права Гарантийного фонда выплаты алиментов и пенсии в связи с расторжением брака. Ее представители в обязательном порядке вызываются в суд всякий раз, когда она является стороной в процессе"</w:t>
      </w:r>
      <w:r>
        <w:t>.</w:t>
      </w:r>
    </w:p>
    <w:p w:rsidR="00000000" w:rsidRDefault="00000000">
      <w:pPr>
        <w:spacing w:after="120"/>
      </w:pPr>
      <w:r>
        <w:t>128.</w:t>
      </w:r>
      <w:r>
        <w:tab/>
        <w:t>С целью расширения услуг, оказываемых Гарантийным фондом выплаты алиментов и пенсии в связи с расторжением брака, 11 августа 1997 года на заседании кабинета министров ограниченного состава под председательством Главы государства правительство приняло ряд мер, направленных на рационализацию его функционирования в целом и деятельности по предоставлению услуг. Эти меры заключались в:</w:t>
      </w:r>
    </w:p>
    <w:p w:rsidR="00000000" w:rsidRDefault="00000000">
      <w:pPr>
        <w:spacing w:after="120"/>
        <w:ind w:left="680" w:hanging="680"/>
      </w:pPr>
      <w:r>
        <w:t>*</w:t>
      </w:r>
      <w:r>
        <w:tab/>
        <w:t>ежегодном отчислении суммы порядка 1 млн. динаров (примерно столько же долларов США) из государственного бюджета для покрытия дефицита в средствах Фонда, образовавшегося в результате значительного объема оказанных им услуг.</w:t>
      </w:r>
    </w:p>
    <w:p w:rsidR="00000000" w:rsidRDefault="00000000">
      <w:pPr>
        <w:spacing w:after="120"/>
        <w:ind w:left="680" w:hanging="680"/>
      </w:pPr>
      <w:r>
        <w:t xml:space="preserve">* </w:t>
      </w:r>
      <w:r>
        <w:tab/>
        <w:t>согласовании юридических положений, касающихся алиментов, с положениями новой статьи 46 КСЛ, в которой говорится, что "за дочерью сохраняется право на алименты в том случае, если она не имеет средств и не находится на иждивении супруга";</w:t>
      </w:r>
    </w:p>
    <w:p w:rsidR="00000000" w:rsidRDefault="00000000">
      <w:pPr>
        <w:spacing w:after="120"/>
      </w:pPr>
      <w:r>
        <w:t xml:space="preserve">* </w:t>
      </w:r>
      <w:r>
        <w:tab/>
        <w:t>рационализации деятельности Фонда путем осуществления следующих мер:</w:t>
      </w:r>
    </w:p>
    <w:p w:rsidR="00000000" w:rsidRDefault="00000000">
      <w:pPr>
        <w:spacing w:after="120"/>
        <w:ind w:left="680" w:hanging="680"/>
      </w:pPr>
      <w:r>
        <w:t>–</w:t>
      </w:r>
      <w:r>
        <w:tab/>
        <w:t>Фонд непрерывно выплачивает соответствующие суммы управомоченным лицам, за исключением крайних случаев, когда возмещение средств оказывается невозможным;</w:t>
      </w:r>
    </w:p>
    <w:p w:rsidR="00000000" w:rsidRDefault="00000000">
      <w:pPr>
        <w:spacing w:after="120"/>
        <w:ind w:left="680" w:hanging="680"/>
      </w:pPr>
      <w:r>
        <w:t>–</w:t>
      </w:r>
      <w:r>
        <w:tab/>
        <w:t>Фонд берет на себя обязанность управомоченных лиц обращаться в суд с просьбой подтвердить факт злостного уклонения от исполнения семейных обязанностей (эти лица больше не будут обязаны каждые три месяца представлять в вышеуказанный Фонд выданное судом свидетельство, подтверждающее факт злостного уклонения от исполнения семейных обязанностей);</w:t>
      </w:r>
    </w:p>
    <w:p w:rsidR="00000000" w:rsidRDefault="00000000">
      <w:pPr>
        <w:ind w:left="680" w:hanging="680"/>
      </w:pPr>
      <w:r>
        <w:t>–</w:t>
      </w:r>
      <w:r>
        <w:tab/>
        <w:t>в каждом региональном бюро НКСО должен быть специалист, осуществляющий контроль за деятельностью Фонда.</w:t>
      </w:r>
    </w:p>
    <w:p w:rsidR="00000000" w:rsidRDefault="00000000">
      <w:pPr>
        <w:rPr>
          <w:b/>
        </w:rPr>
      </w:pPr>
      <w:r>
        <w:rPr>
          <w:b/>
        </w:rPr>
        <w:t>Сеть региональных координаторов</w:t>
      </w:r>
    </w:p>
    <w:p w:rsidR="00000000" w:rsidRDefault="00000000">
      <w:pPr>
        <w:spacing w:after="80"/>
      </w:pPr>
      <w:r>
        <w:t>129.</w:t>
      </w:r>
      <w:r>
        <w:tab/>
        <w:t>Для эффективного осуществления данных решений была создана сеть из 23 региональных координаторов и приняты меры по упрощению формальностей при назначении алиментов и пенсий в соответствии с поправкой к декрету от 9 августа о создании Фонда (поправка от 16 марта 1998 года, внесенная декретом № 671/98). Кроме того, во исполнение совместного циркуляра министра юстиции и министра социального обеспечения от 24 ноября 1997 года, распространенного в соответствующих министерствах и призывающих улучшить подбор руководящих кадров и помощь управомоченным лицам, был осуществлен целый ряд социальных мероприятий для:</w:t>
      </w:r>
    </w:p>
    <w:p w:rsidR="00000000" w:rsidRDefault="00000000">
      <w:pPr>
        <w:spacing w:after="80"/>
        <w:ind w:left="680" w:hanging="680"/>
      </w:pPr>
      <w:r>
        <w:t>–</w:t>
      </w:r>
      <w:r>
        <w:tab/>
        <w:t>оказания помощи женщинам-бенефициарам в открытии дел и получении документов, которые они обязаны периодически представлять в Кассу;</w:t>
      </w:r>
    </w:p>
    <w:p w:rsidR="00000000" w:rsidRDefault="00000000">
      <w:pPr>
        <w:spacing w:after="80"/>
        <w:ind w:left="680" w:hanging="680"/>
      </w:pPr>
      <w:r>
        <w:t>–</w:t>
      </w:r>
      <w:r>
        <w:tab/>
        <w:t>обеспечения нуждающимся семьям возможности пользоваться программами бесплатной помощи и бесплатного ухода;</w:t>
      </w:r>
    </w:p>
    <w:p w:rsidR="00000000" w:rsidRDefault="00000000">
      <w:pPr>
        <w:ind w:left="680" w:hanging="680"/>
      </w:pPr>
      <w:r>
        <w:t>–</w:t>
      </w:r>
      <w:r>
        <w:tab/>
        <w:t>помощи женщинам, выплата пенсий которым была приостановлена из-за непредставления документов в Кассу.</w:t>
      </w:r>
    </w:p>
    <w:p w:rsidR="00000000" w:rsidRDefault="00000000">
      <w:pPr>
        <w:spacing w:after="120"/>
      </w:pPr>
      <w:r>
        <w:t>130.</w:t>
      </w:r>
      <w:r>
        <w:tab/>
        <w:t>В рамках деятельности по защите уязвимых групп женщин МДЖС провело в 1996 году опрос среди женщин, пользующихся услугами Фонда. В статистической выборке были представлены все провинции Республики.</w:t>
      </w:r>
    </w:p>
    <w:p w:rsidR="00000000" w:rsidRDefault="00000000">
      <w:pPr>
        <w:spacing w:after="120"/>
      </w:pPr>
      <w:r>
        <w:t>Опрос показал, что:</w:t>
      </w:r>
    </w:p>
    <w:p w:rsidR="00000000" w:rsidRDefault="00000000">
      <w:pPr>
        <w:spacing w:after="120"/>
      </w:pPr>
      <w:r>
        <w:t>*</w:t>
      </w:r>
      <w:r>
        <w:tab/>
        <w:t xml:space="preserve">90 процентов опрошенных женщин убеждены, что Фонд играет важную роль в защите их прав; </w:t>
      </w:r>
    </w:p>
    <w:p w:rsidR="00000000" w:rsidRDefault="00000000">
      <w:pPr>
        <w:spacing w:after="120"/>
      </w:pPr>
      <w:r>
        <w:t xml:space="preserve">* </w:t>
      </w:r>
      <w:r>
        <w:tab/>
        <w:t>70 процентов женщин-бенефициаров являются безработными;</w:t>
      </w:r>
    </w:p>
    <w:p w:rsidR="00000000" w:rsidRDefault="00000000">
      <w:pPr>
        <w:spacing w:after="120"/>
      </w:pPr>
      <w:r>
        <w:t xml:space="preserve">* </w:t>
      </w:r>
      <w:r>
        <w:tab/>
        <w:t>88 процентов имеют только те средства, которые им выплачивает Фонд;</w:t>
      </w:r>
    </w:p>
    <w:p w:rsidR="00000000" w:rsidRDefault="00000000">
      <w:r>
        <w:t xml:space="preserve">* </w:t>
      </w:r>
      <w:r>
        <w:tab/>
        <w:t>79 процентов неграмотны или имеют образование на уровне начальной школы.</w:t>
      </w:r>
    </w:p>
    <w:p w:rsidR="00000000" w:rsidRDefault="00000000">
      <w:r>
        <w:t>131.</w:t>
      </w:r>
      <w:r>
        <w:tab/>
        <w:t>С момента создания и до конца 1998 финансового года Фонд оказал помощь 6282 женщинам, из которых 5143 обращались по поводу алиментов и 1134 – по поводу пенсии в связи с расторжением брака.</w:t>
      </w:r>
    </w:p>
    <w:p w:rsidR="00000000" w:rsidRDefault="00000000">
      <w:r>
        <w:t>132.</w:t>
      </w:r>
      <w:r>
        <w:tab/>
        <w:t>Создание этого Фонда явилось важным прогрессивным шагом, свидетельствующим о стремлении законодательных органов защитить права разведенной женщины и вместе с тем обеспечить охрану прав матери и прав ребенка в случае расторжения брака.</w:t>
      </w:r>
    </w:p>
    <w:p w:rsidR="00000000" w:rsidRDefault="00000000">
      <w:pPr>
        <w:spacing w:before="120"/>
        <w:rPr>
          <w:b/>
          <w:sz w:val="22"/>
        </w:rPr>
      </w:pPr>
      <w:r>
        <w:rPr>
          <w:b/>
          <w:sz w:val="22"/>
        </w:rPr>
        <w:t>IV.3.</w:t>
      </w:r>
      <w:r>
        <w:rPr>
          <w:b/>
          <w:sz w:val="22"/>
        </w:rPr>
        <w:tab/>
        <w:t>Уполномоченные по защите детства</w:t>
      </w:r>
    </w:p>
    <w:p w:rsidR="00000000" w:rsidRDefault="00000000">
      <w:r>
        <w:t>133.</w:t>
      </w:r>
      <w:r>
        <w:tab/>
        <w:t>Согласно статье 28 Кодекса законов о защите ребенка (КЗР) в каждой провинции была учреждена должность уполномоченного по защите детства с возможностью создания в зависимости от потребностей и плотности населения одной или нескольких подобных должностей в этой же провинции.</w:t>
      </w:r>
    </w:p>
    <w:p w:rsidR="00000000" w:rsidRDefault="00000000">
      <w:r>
        <w:t>134.</w:t>
      </w:r>
      <w:r>
        <w:tab/>
        <w:t xml:space="preserve">В соответствии со статьей 30 КЗР перед уполномоченным по защите детства стоит </w:t>
      </w:r>
      <w:r>
        <w:rPr>
          <w:i/>
        </w:rPr>
        <w:t>"задача превентивного вмешательства во всех случаях, когда здоровье ребенка или его физическая или психическая неприкосновенность оказываются под угрозой, исходящей из среды, в которой он живет, или из действий, которые он совершает, или вследствие жестокого обращения с ним"</w:t>
      </w:r>
      <w:r>
        <w:t xml:space="preserve">. Для осуществления такой задачи в </w:t>
      </w:r>
      <w:r>
        <w:br/>
        <w:t>1996 году началось формирование сети специалистов.</w:t>
      </w:r>
    </w:p>
    <w:p w:rsidR="00000000" w:rsidRDefault="00000000">
      <w:pPr>
        <w:spacing w:after="160"/>
      </w:pPr>
      <w:r>
        <w:t>135.</w:t>
      </w:r>
      <w:r>
        <w:tab/>
        <w:t>Статья 20 КЗР гласит:</w:t>
      </w:r>
    </w:p>
    <w:p w:rsidR="00000000" w:rsidRDefault="00000000">
      <w:pPr>
        <w:spacing w:after="160"/>
        <w:ind w:left="680" w:hanging="680"/>
        <w:rPr>
          <w:i/>
        </w:rPr>
      </w:pPr>
      <w:r>
        <w:rPr>
          <w:i/>
          <w:lang w:val="en-US"/>
        </w:rPr>
        <w:tab/>
      </w:r>
      <w:r>
        <w:rPr>
          <w:i/>
        </w:rPr>
        <w:t>"Критическими ситуациями, когда возникает угроза здоровью, физической или психической неприкосновенности ребенка, считаются, в частности:</w:t>
      </w:r>
    </w:p>
    <w:p w:rsidR="00000000" w:rsidRDefault="00000000">
      <w:pPr>
        <w:spacing w:after="160"/>
        <w:rPr>
          <w:i/>
        </w:rPr>
      </w:pPr>
      <w:r>
        <w:rPr>
          <w:i/>
          <w:lang w:val="en-US"/>
        </w:rPr>
        <w:tab/>
      </w:r>
      <w:r>
        <w:rPr>
          <w:i/>
        </w:rPr>
        <w:t>а)</w:t>
      </w:r>
      <w:r>
        <w:rPr>
          <w:i/>
        </w:rPr>
        <w:tab/>
        <w:t>потеря родителей ребенком, который лишается таким образом поддержки семьи;</w:t>
      </w:r>
    </w:p>
    <w:p w:rsidR="00000000" w:rsidRDefault="00000000">
      <w:pPr>
        <w:spacing w:after="160"/>
        <w:rPr>
          <w:i/>
        </w:rPr>
      </w:pPr>
      <w:r>
        <w:rPr>
          <w:i/>
        </w:rPr>
        <w:tab/>
        <w:t>b)</w:t>
      </w:r>
      <w:r>
        <w:rPr>
          <w:i/>
        </w:rPr>
        <w:tab/>
        <w:t>оставление ребенка без надзора и вынуждение его к бродяжничеству;</w:t>
      </w:r>
    </w:p>
    <w:p w:rsidR="00000000" w:rsidRDefault="00000000">
      <w:pPr>
        <w:spacing w:after="160"/>
        <w:rPr>
          <w:i/>
        </w:rPr>
      </w:pPr>
      <w:r>
        <w:rPr>
          <w:i/>
        </w:rPr>
        <w:tab/>
        <w:t>c)</w:t>
      </w:r>
      <w:r>
        <w:rPr>
          <w:i/>
        </w:rPr>
        <w:tab/>
        <w:t>явные и постоянные недостатки в его воспитании и защите;</w:t>
      </w:r>
    </w:p>
    <w:p w:rsidR="00000000" w:rsidRDefault="00000000">
      <w:pPr>
        <w:spacing w:after="160"/>
        <w:rPr>
          <w:i/>
        </w:rPr>
      </w:pPr>
      <w:r>
        <w:rPr>
          <w:i/>
        </w:rPr>
        <w:tab/>
        <w:t>d)</w:t>
      </w:r>
      <w:r>
        <w:rPr>
          <w:i/>
        </w:rPr>
        <w:tab/>
        <w:t>часто повторяющееся жестокое обращение с ребенком;</w:t>
      </w:r>
    </w:p>
    <w:p w:rsidR="00000000" w:rsidRDefault="00000000">
      <w:pPr>
        <w:spacing w:after="160"/>
        <w:rPr>
          <w:i/>
        </w:rPr>
      </w:pPr>
      <w:r>
        <w:rPr>
          <w:i/>
        </w:rPr>
        <w:tab/>
        <w:t>е)</w:t>
      </w:r>
      <w:r>
        <w:rPr>
          <w:i/>
        </w:rPr>
        <w:tab/>
        <w:t>сексуальная эксплуатация ребенка, мальчика или девочки;</w:t>
      </w:r>
    </w:p>
    <w:p w:rsidR="00000000" w:rsidRDefault="00000000">
      <w:pPr>
        <w:spacing w:after="160"/>
        <w:rPr>
          <w:i/>
        </w:rPr>
      </w:pPr>
      <w:r>
        <w:rPr>
          <w:i/>
        </w:rPr>
        <w:tab/>
        <w:t>f)</w:t>
      </w:r>
      <w:r>
        <w:rPr>
          <w:i/>
        </w:rPr>
        <w:tab/>
        <w:t>вовлечение ребенка в преступные группировки по смыслу статьи 19 настоящего Кодекса;</w:t>
      </w:r>
    </w:p>
    <w:p w:rsidR="00000000" w:rsidRDefault="00000000">
      <w:pPr>
        <w:spacing w:after="160"/>
        <w:rPr>
          <w:i/>
        </w:rPr>
      </w:pPr>
      <w:r>
        <w:rPr>
          <w:i/>
        </w:rPr>
        <w:tab/>
        <w:t>g)</w:t>
      </w:r>
      <w:r>
        <w:rPr>
          <w:i/>
        </w:rPr>
        <w:tab/>
        <w:t>принуждение ребенка просить милостыню и его эксплуатация в коммерческих целях;</w:t>
      </w:r>
    </w:p>
    <w:p w:rsidR="00000000" w:rsidRDefault="00000000">
      <w:pPr>
        <w:ind w:left="1021" w:hanging="1021"/>
        <w:rPr>
          <w:i/>
        </w:rPr>
      </w:pPr>
      <w:r>
        <w:tab/>
      </w:r>
      <w:r>
        <w:rPr>
          <w:i/>
        </w:rPr>
        <w:t>h)</w:t>
      </w:r>
      <w:r>
        <w:rPr>
          <w:i/>
        </w:rPr>
        <w:tab/>
        <w:t>неспособность родителей или лиц, на иждивении которых находится ребенок, обеспечивать его защиту и воспитание".</w:t>
      </w:r>
    </w:p>
    <w:p w:rsidR="00000000" w:rsidRDefault="00000000">
      <w:r>
        <w:t>136.</w:t>
      </w:r>
      <w:r>
        <w:tab/>
        <w:t>Уполномоченный по защите детства производит оценку опасной ситуации, в которой находится ребенок по смыслу статьи 20. В соответствии со статьей 35 он имеет право проводить расследования и немедленно принимать адекватные меры для улучшения положения ребенка, а также составлять отчет для судьи по делам семьи.</w:t>
      </w:r>
    </w:p>
    <w:p w:rsidR="00000000" w:rsidRDefault="00000000">
      <w:pPr>
        <w:spacing w:after="120"/>
      </w:pPr>
      <w:r>
        <w:t>137.</w:t>
      </w:r>
      <w:r>
        <w:tab/>
        <w:t>При возникновении опасной ситуации уполномоченный по защите детства может принять решение:</w:t>
      </w:r>
    </w:p>
    <w:p w:rsidR="00000000" w:rsidRDefault="00000000">
      <w:pPr>
        <w:spacing w:after="120"/>
      </w:pPr>
      <w:r>
        <w:rPr>
          <w:lang w:val="en-US"/>
        </w:rPr>
        <w:tab/>
      </w:r>
      <w:r>
        <w:t>–</w:t>
      </w:r>
      <w:r>
        <w:tab/>
        <w:t>об оставлении ребенка в его семье и принятии необходимых мер для устранения источника угрозы;</w:t>
      </w:r>
    </w:p>
    <w:p w:rsidR="00000000" w:rsidRDefault="00000000">
      <w:pPr>
        <w:ind w:left="1021" w:hanging="1021"/>
      </w:pPr>
      <w:r>
        <w:rPr>
          <w:lang w:val="en-US"/>
        </w:rPr>
        <w:tab/>
      </w:r>
      <w:r>
        <w:t>–</w:t>
      </w:r>
      <w:r>
        <w:tab/>
        <w:t>о временном помещении ребенка в патронатную семью или любое соответствующее общественное воспитательное учреждение.</w:t>
      </w:r>
    </w:p>
    <w:p w:rsidR="00000000" w:rsidRDefault="00000000">
      <w:r>
        <w:t>138.</w:t>
      </w:r>
      <w:r>
        <w:tab/>
        <w:t xml:space="preserve">Кроме того, КЗР обязал всех граждан, включая тех, кто обязан хранить профессиональную тайну, оповещать уполномоченного по защите детства обо всем, что </w:t>
      </w:r>
      <w:r>
        <w:rPr>
          <w:i/>
        </w:rPr>
        <w:t>"может представлять угрозу здоровью ребенка или его физической или психической неприкосновенности, по смыслу пунктов d) и c) статьи 20 настоящего Кодекса"</w:t>
      </w:r>
      <w:r>
        <w:t xml:space="preserve"> (часто повторяющееся жестокое обращение с ребенком, сексуальная эксплуатация ребенка, мальчика или девочки).</w:t>
      </w:r>
    </w:p>
    <w:p w:rsidR="00000000" w:rsidRDefault="00000000">
      <w:r>
        <w:t>139.</w:t>
      </w:r>
      <w:r>
        <w:tab/>
        <w:t>Статьи 51, 52 и 54 Кодекса законов о защите ребенка возлагают на судью по делам семьи новую превентивную функцию: он может принимать к производству дела о детях, находящихся в критической ситуации, по заявлению, поданному в простой письменной форме судьей по делам ребенка, прокурором, уполномоченным по защите детства, общественными службами социальной помощи или государственными учреждениями, занимающимися делами ребенка. Судья по делам семьи вправе принимать любые надлежащие меры, чтобы определить, что необходимо для блага ребенка (медицинский осмотр, временное удаление его из семьи и т. д.), и защитить его высшие интересы.</w:t>
      </w:r>
    </w:p>
    <w:p w:rsidR="00000000" w:rsidRDefault="00000000">
      <w:pPr>
        <w:spacing w:before="120" w:line="240" w:lineRule="auto"/>
        <w:rPr>
          <w:b/>
          <w:sz w:val="22"/>
        </w:rPr>
      </w:pPr>
      <w:r>
        <w:rPr>
          <w:b/>
          <w:sz w:val="22"/>
        </w:rPr>
        <w:t>IV.4.</w:t>
      </w:r>
      <w:r>
        <w:rPr>
          <w:b/>
          <w:sz w:val="22"/>
        </w:rPr>
        <w:tab/>
        <w:t>Структуры для изучения общественного мнения и правовой ориентации</w:t>
      </w:r>
    </w:p>
    <w:p w:rsidR="00000000" w:rsidRDefault="00000000">
      <w:r>
        <w:t>140.</w:t>
      </w:r>
      <w:r>
        <w:tab/>
        <w:t xml:space="preserve">С 1992 года во всех министерствах и провинциях Республики стали создаваться бюро по связям с гражданами. </w:t>
      </w:r>
    </w:p>
    <w:p w:rsidR="00000000" w:rsidRDefault="00000000">
      <w:pPr>
        <w:tabs>
          <w:tab w:val="clear" w:pos="1021"/>
        </w:tabs>
        <w:spacing w:before="120" w:line="240" w:lineRule="auto"/>
        <w:ind w:left="737" w:hanging="737"/>
        <w:jc w:val="left"/>
        <w:rPr>
          <w:b/>
          <w:sz w:val="22"/>
        </w:rPr>
      </w:pPr>
      <w:r>
        <w:rPr>
          <w:b/>
          <w:sz w:val="22"/>
        </w:rPr>
        <w:t>IV.4.1.</w:t>
      </w:r>
      <w:r>
        <w:rPr>
          <w:b/>
          <w:sz w:val="22"/>
        </w:rPr>
        <w:tab/>
        <w:t xml:space="preserve">Структура для изучения общественного мнения и ориентации Министерства </w:t>
      </w:r>
      <w:r>
        <w:rPr>
          <w:b/>
          <w:sz w:val="22"/>
        </w:rPr>
        <w:br/>
        <w:t>по делам женщин и семьи ( МДЖС)</w:t>
      </w:r>
    </w:p>
    <w:p w:rsidR="00000000" w:rsidRDefault="00000000">
      <w:r>
        <w:t>141.</w:t>
      </w:r>
      <w:r>
        <w:tab/>
        <w:t>Эта структура ежегодно обрабатывает более тысячи жалоб и занимается пропагандой прав женщины и семьи. Она была усилена созданием сервера речевой связи (1840) – 1308 и 1392, чтобы еще более облегчить доступ граждан к службам Министерства. Сервер имеет два канала: 1308, по которому передаются данные, информация и практические сведения, касающиеся охраны здоровья, планирования семьи, личного статуса, и 1392, где осуществляются сбор и обработка жалоб женщин по поводу супружеских или семейных отношений группой консультантов различного профиля. В нее входят психологи, юристы, социологи и работники социальных служб. В особых случаях привлекаются и другие специалисты.</w:t>
      </w:r>
    </w:p>
    <w:p w:rsidR="00000000" w:rsidRDefault="00000000">
      <w:pPr>
        <w:spacing w:before="120" w:line="240" w:lineRule="auto"/>
        <w:rPr>
          <w:b/>
          <w:sz w:val="22"/>
        </w:rPr>
      </w:pPr>
      <w:r>
        <w:rPr>
          <w:b/>
          <w:sz w:val="22"/>
        </w:rPr>
        <w:t>IV.4.2. Структуры в женских НПО для изучения общественного мнения</w:t>
      </w:r>
    </w:p>
    <w:p w:rsidR="00000000" w:rsidRDefault="00000000">
      <w:r>
        <w:t>142.</w:t>
      </w:r>
      <w:r>
        <w:tab/>
        <w:t>Некоторые женские НПО создали у себя структуры для изучения общественного мнения и правовой ориентации, которые на периодической основе организуют прием женщин. Помимо этого Национальный союз тунисских женщин (НСТЖ), например, который имеет постоянную структуру для изучения общественного мнения, раз в неделю проводит через Союз женщин-юристов бесплатные юридические консультации. Тунисская ассоциация демократических женщин (ТАДЖ) создала постоянную структуру для изучения общественного мнения и помощи женщинам – жертвам насилия, а также в рамках деятельности этой структуры предоставляет бесплатные юридические и психологические консультации.</w:t>
      </w:r>
    </w:p>
    <w:p w:rsidR="00000000" w:rsidRDefault="00000000">
      <w:r>
        <w:t>143.</w:t>
      </w:r>
      <w:r>
        <w:tab/>
        <w:t>Что касается Тунисской организации по вопросам образования и семьи (ТОВОС), она сформировала группу посредников по делам семьи, которые в случае конфликтов между супругами или иных семейных конфликтов разъясняют их участникам их соответствующие права и обязанности.</w:t>
      </w:r>
    </w:p>
    <w:p w:rsidR="00000000" w:rsidRDefault="00000000">
      <w:pPr>
        <w:spacing w:line="240" w:lineRule="auto"/>
        <w:jc w:val="center"/>
        <w:rPr>
          <w:b/>
          <w:sz w:val="28"/>
        </w:rPr>
      </w:pPr>
      <w:r>
        <w:rPr>
          <w:b/>
        </w:rPr>
        <w:br w:type="page"/>
      </w:r>
      <w:r>
        <w:rPr>
          <w:rFonts w:ascii="Symbol" w:hAnsi="Symbol"/>
          <w:b/>
          <w:sz w:val="28"/>
        </w:rPr>
        <w:t></w:t>
      </w:r>
      <w:r>
        <w:rPr>
          <w:b/>
          <w:sz w:val="28"/>
        </w:rPr>
        <w:t xml:space="preserve"> Статья 4: Временные меры</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lang w:val="en-US"/>
        </w:rPr>
        <w:tab/>
      </w:r>
      <w:r>
        <w:rPr>
          <w:i/>
        </w:rPr>
        <w:t>1.</w:t>
      </w:r>
      <w:r>
        <w:rPr>
          <w:i/>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i/>
        </w:rPr>
        <w:tab/>
        <w:t>2.</w:t>
      </w:r>
      <w:r>
        <w:rPr>
          <w:i/>
        </w:rP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000000" w:rsidRDefault="00000000">
      <w:pPr>
        <w:spacing w:before="120" w:line="240" w:lineRule="auto"/>
        <w:ind w:left="680" w:hanging="680"/>
        <w:jc w:val="left"/>
        <w:rPr>
          <w:b/>
        </w:rPr>
      </w:pPr>
      <w:r>
        <w:rPr>
          <w:b/>
          <w:sz w:val="28"/>
        </w:rPr>
        <w:t>I.</w:t>
      </w:r>
      <w:r>
        <w:rPr>
          <w:b/>
          <w:sz w:val="28"/>
        </w:rPr>
        <w:tab/>
        <w:t xml:space="preserve">Позитивные действия с целью облегчить доступ женщин </w:t>
      </w:r>
      <w:r>
        <w:rPr>
          <w:b/>
          <w:sz w:val="28"/>
        </w:rPr>
        <w:br/>
        <w:t>к руководящим должностям</w:t>
      </w:r>
      <w:r>
        <w:rPr>
          <w:b/>
        </w:rPr>
        <w:t xml:space="preserve"> </w:t>
      </w:r>
    </w:p>
    <w:p w:rsidR="00000000" w:rsidRDefault="00000000">
      <w:pPr>
        <w:spacing w:after="200"/>
      </w:pPr>
      <w:r>
        <w:t>144.</w:t>
      </w:r>
      <w:r>
        <w:tab/>
        <w:t>В последние годы органами государственной власти был принят целый ряд мер в пользу женщин (так называемых мер по положительной дискриминации), чтобы облегчить женщинам доступ к должностям, дающим право принимать решения и определять политику.</w:t>
      </w:r>
    </w:p>
    <w:p w:rsidR="00000000" w:rsidRDefault="00000000">
      <w:pPr>
        <w:spacing w:after="200"/>
      </w:pPr>
      <w:r>
        <w:t>145.</w:t>
      </w:r>
      <w:r>
        <w:tab/>
        <w:t>В 1992 году, невзирая на закон о руководящих кадрах, Президент Республики назначил несколько женщин на ответственные посты в каждом министерстве, чтобы устранить таким образом препятствия к достижению равноправия женщин.</w:t>
      </w:r>
    </w:p>
    <w:p w:rsidR="00000000" w:rsidRDefault="00000000">
      <w:pPr>
        <w:spacing w:after="200"/>
      </w:pPr>
      <w:r>
        <w:t>146.</w:t>
      </w:r>
      <w:r>
        <w:tab/>
        <w:t>В 1997 году в Национальном совете по делам женщин и семьи была учреждена Национальная комиссия за равенство возможностей. В своем докладе, представленном в конце 1998 года, эта комиссия рекомендовала, в частности, принять целый ряд мер, способствующих достижению равного доступа к должностям и инвестициям, а также к директивным должностям в области экономики.</w:t>
      </w:r>
    </w:p>
    <w:p w:rsidR="00000000" w:rsidRDefault="00000000">
      <w:pPr>
        <w:spacing w:after="200"/>
      </w:pPr>
      <w:r>
        <w:t>147.</w:t>
      </w:r>
      <w:r>
        <w:tab/>
        <w:t xml:space="preserve">В 1998 году по решению Главы государства Министерство внутренних дел и Министерство по делам женщин и семьи в совместном циркуляре предложили руководителям регионов систематически включать в состав каждого регионального совета в качестве назначаемых членов не менее двух женщин. </w:t>
      </w:r>
    </w:p>
    <w:p w:rsidR="00000000" w:rsidRDefault="00000000">
      <w:pPr>
        <w:spacing w:after="200"/>
      </w:pPr>
      <w:r>
        <w:t>148.</w:t>
      </w:r>
      <w:r>
        <w:tab/>
        <w:t>В 1992 году правящая мажоритарная партия Демократическое конституционное объединение (ДКО) учредила Постоянный секретариат по делам женщин с целью активизировать участие женщин на всех уровнях.</w:t>
      </w:r>
    </w:p>
    <w:p w:rsidR="00000000" w:rsidRDefault="00000000">
      <w:r>
        <w:t>149.</w:t>
      </w:r>
      <w:r>
        <w:tab/>
        <w:t>На последнем съезде ДКО его Центральный комитет принял по инициативе Президента бен Али в рамках предложения по реструктуризации резолюцию гарантирующую минимальную представленность женщин на уровне 20 процентов.</w:t>
      </w:r>
    </w:p>
    <w:p w:rsidR="00000000" w:rsidRDefault="00000000">
      <w:pPr>
        <w:spacing w:before="120" w:line="240" w:lineRule="auto"/>
        <w:ind w:left="680" w:hanging="680"/>
        <w:jc w:val="left"/>
        <w:rPr>
          <w:b/>
          <w:sz w:val="28"/>
        </w:rPr>
      </w:pPr>
      <w:r>
        <w:rPr>
          <w:b/>
          <w:sz w:val="28"/>
        </w:rPr>
        <w:t>II.</w:t>
      </w:r>
      <w:r>
        <w:rPr>
          <w:b/>
          <w:sz w:val="28"/>
        </w:rPr>
        <w:tab/>
        <w:t xml:space="preserve">На уровне стратегического планирования: </w:t>
      </w:r>
      <w:r>
        <w:rPr>
          <w:b/>
          <w:sz w:val="28"/>
        </w:rPr>
        <w:br/>
        <w:t>IX план экономического и социального развития</w:t>
      </w:r>
    </w:p>
    <w:p w:rsidR="00000000" w:rsidRDefault="00000000">
      <w:pPr>
        <w:spacing w:after="200"/>
      </w:pPr>
      <w:r>
        <w:t>150.</w:t>
      </w:r>
      <w:r>
        <w:tab/>
        <w:t>В 1991 году, во время подготовки VIII национального плана, Глава государства, отметив недостаточную представленность женщин в ведомственных комиссиях по выработке плана, предложил создать национальную комиссию по вопросам женщин и развития для осуществления особой стратегии, которую необходимо включить в план и цель которой состояла бы в изучении положения женщин в различных отраслях, а также средств ускорения их интеграции.</w:t>
      </w:r>
    </w:p>
    <w:p w:rsidR="00000000" w:rsidRDefault="00000000">
      <w:r>
        <w:t>151.</w:t>
      </w:r>
      <w:r>
        <w:tab/>
        <w:t>С 1993 года Комиссия по вопросам женщин и развития периодически собиралась под совместным наблюдением МДЖС и Министерства экономического развития, чтобы проследить, как осуществляется стратегия в отношении женщин в рамках VIII плана, и оценить ее результаты.</w:t>
      </w:r>
    </w:p>
    <w:p w:rsidR="00000000" w:rsidRDefault="00000000">
      <w:r>
        <w:t>152.</w:t>
      </w:r>
      <w:r>
        <w:tab/>
        <w:t>При выработке стратегии в отношении женщин эта Комиссия была разделена на пять подкомиссий по темам: средства и механизмы улучшения положения женщины; развитие женских людских ресурсов; женщина и экономическое развитие; особые группы женщин; женщина и семья.</w:t>
      </w:r>
    </w:p>
    <w:p w:rsidR="00000000" w:rsidRDefault="00000000">
      <w:r>
        <w:t>153.</w:t>
      </w:r>
      <w:r>
        <w:tab/>
        <w:t>Стратегия в отношении женщин была предметом двух референдумов на региональном и национальном уровнях, в которых принимали участие руководители государственных и неправительственных структур, а также ответственные работники обоих полов регионального и местного масштаба.</w:t>
      </w:r>
    </w:p>
    <w:p w:rsidR="00000000" w:rsidRDefault="00000000">
      <w:pPr>
        <w:spacing w:after="100"/>
      </w:pPr>
      <w:r>
        <w:t>154.</w:t>
      </w:r>
      <w:r>
        <w:tab/>
        <w:t>Применение гендерного подхода в национальном планировании имеет немало преимуществ:</w:t>
      </w:r>
    </w:p>
    <w:p w:rsidR="00000000" w:rsidRDefault="00000000">
      <w:pPr>
        <w:spacing w:after="100"/>
        <w:ind w:left="680" w:hanging="680"/>
      </w:pPr>
      <w:r>
        <w:t>–</w:t>
      </w:r>
      <w:r>
        <w:tab/>
        <w:t>с точки зрения отраслевого планирования, поскольку отраслевые министерства принимают соответствующие меры для достижения поставленных целей;</w:t>
      </w:r>
    </w:p>
    <w:p w:rsidR="00000000" w:rsidRDefault="00000000">
      <w:pPr>
        <w:spacing w:after="100"/>
        <w:ind w:left="680" w:hanging="680"/>
      </w:pPr>
      <w:r>
        <w:t>–</w:t>
      </w:r>
      <w:r>
        <w:tab/>
        <w:t>с точки зрения планирования бюджета, поскольку эти министерства обязуются выделить необходимые средства для достижения этих целей;</w:t>
      </w:r>
    </w:p>
    <w:p w:rsidR="00000000" w:rsidRDefault="00000000">
      <w:pPr>
        <w:ind w:left="680" w:hanging="680"/>
      </w:pPr>
      <w:r>
        <w:t>–</w:t>
      </w:r>
      <w:r>
        <w:tab/>
        <w:t>с точки зрения оценки, поскольку ежегодное участие всех отраслей в оценке осуществления национального плана способно поддержать на высоте их бдительность и повысить интерес к гендерной проблематике.</w:t>
      </w:r>
    </w:p>
    <w:p w:rsidR="00000000" w:rsidRDefault="00000000">
      <w:r>
        <w:t>155.</w:t>
      </w:r>
      <w:r>
        <w:tab/>
        <w:t>Благодаря такому подходу гендерный анализ был введен во всех отраслях, где для этого создаются необходимые структуры и привлекаются людские и материальные ресурсы; это позволяет давать точную оценку достигнутым успехам и определять причины трудностей и задержек, укрепляя при этом национальное согласие по вопросу интеграции женских людских ресурсов во все области развития.</w:t>
      </w:r>
    </w:p>
    <w:p w:rsidR="00000000" w:rsidRDefault="00000000">
      <w:r>
        <w:t>156.</w:t>
      </w:r>
      <w:r>
        <w:tab/>
        <w:t>Основываясь на результатах оценки VIII плана социального и экономического развития (1992–</w:t>
      </w:r>
      <w:r>
        <w:br/>
        <w:t>1996 годы), который позволил достичь существенного прогресса в законодательном и институциональном плане, Комиссия по вопросам женщин и развития сочла необходимым продолжить позитивную акцию в поддержку женщин в рамках IX национального плана развития (1997–2001 годы), чтобы закрепить успехи и распространить их на области, до сих пор остающиеся вне этого движения.</w:t>
      </w:r>
    </w:p>
    <w:p w:rsidR="00000000" w:rsidRDefault="00000000">
      <w:r>
        <w:t>157.</w:t>
      </w:r>
      <w:r>
        <w:tab/>
        <w:t>Постепенно Министерству по делам женщин и семьи (МДЖС), Центру научных исследований, документации и информации по вопросам женщин (ЦНИДИЖ), Национальному совету по делам женщин и семьи (НСДЖС) и Национальной комиссии по вопросам женщин и развития (НКДЖР) благодаря совместным и взаимодополняющим усилиям удалось вписаться в рамки национального плана, осуществляя новые программы и планы действий, ориентированные на женщин, с целью способствовать равенству возможностей мужчины и женщины во всех областях.</w:t>
      </w:r>
    </w:p>
    <w:p w:rsidR="00000000" w:rsidRDefault="00000000">
      <w:r>
        <w:t>158.</w:t>
      </w:r>
      <w:r>
        <w:tab/>
        <w:t>Национальная комиссия по вопросам женщин и развития, МДЖС, ЦНИДИЖ и Национальный совет по делам женщин и семьи уже немало сделали в области подготовки первого национального плана действий в поддержку женщин, рассчитанного на период с 1992 по 1996 год, несмотря на нехватку статистических и аналитических данных с разбивкой по полу.</w:t>
      </w:r>
    </w:p>
    <w:p w:rsidR="00000000" w:rsidRDefault="00000000">
      <w:r>
        <w:t>159.</w:t>
      </w:r>
      <w:r>
        <w:tab/>
        <w:t>Оценка стратегии в отношении женщин VIII плана и разработка новой такой стратегии дали возможность задуматься о средствах повышения эффективности как самих механизмов улучшения социального положения женщин, так и уже предпринимаемых действий и, возможно, создать новые механизмы с учетом отмеченных трудностей. Например, осуществление плана действий после Конференции в Пекине, который соответствует стратегии в отношении женщин IX национального плана развития (1997–2001 годы), сопровождалось рождением целого ряда операционных структур (реструктуризация МДЖС и НСДЖС).</w:t>
      </w:r>
    </w:p>
    <w:p w:rsidR="00000000" w:rsidRDefault="00000000">
      <w:r>
        <w:t>160.</w:t>
      </w:r>
      <w:r>
        <w:tab/>
        <w:t xml:space="preserve">В IX плане развития (1997–2001 годы) было поставлено шесть приоритетных целей. Они согласуются с подходами и перспективными оценками, определенными в результате всенародного референдума на тему облика Туниса в </w:t>
      </w:r>
      <w:r>
        <w:rPr>
          <w:lang w:val="en-US"/>
        </w:rPr>
        <w:t>XXI</w:t>
      </w:r>
      <w:r>
        <w:t xml:space="preserve"> веке, где одной из основных задач станет повышение роли женщин в процессе развития в качестве как участников, так и бенефициаров. Эти цели были сформулированы также с учетом направлений, определенных в Платформе действий, утвержденной на четвертой Всемирной конференции по положению женщин.</w:t>
      </w:r>
    </w:p>
    <w:p w:rsidR="00000000" w:rsidRDefault="00000000">
      <w:pPr>
        <w:spacing w:after="120"/>
      </w:pPr>
      <w:r>
        <w:t>161.</w:t>
      </w:r>
      <w:r>
        <w:tab/>
        <w:t>Эти цели направлены на:</w:t>
      </w:r>
    </w:p>
    <w:p w:rsidR="00000000" w:rsidRDefault="00000000">
      <w:pPr>
        <w:spacing w:after="120"/>
        <w:ind w:left="680" w:hanging="680"/>
      </w:pPr>
      <w:r>
        <w:t>1.</w:t>
      </w:r>
      <w:r>
        <w:tab/>
        <w:t>Достижение более активного участия женщин в экономической жизни, в частности благодаря освоению новых технологий женщинами-специалистами и повышению профессионального уровня женских людских ресурсов, получение женщинами равных с мужчинами возможностей в области профессионального обучения и переподготовки, поощрение женщин к разработке проектов в рамках национальных экономических тенденций и предоставление мужчинам и женщинам равных возможностей в области инвестиций.</w:t>
      </w:r>
    </w:p>
    <w:p w:rsidR="00000000" w:rsidRDefault="00000000">
      <w:pPr>
        <w:spacing w:after="120"/>
        <w:ind w:left="680" w:hanging="680"/>
      </w:pPr>
      <w:r>
        <w:t>2.</w:t>
      </w:r>
      <w:r>
        <w:tab/>
        <w:t>Дальнейшее развитие женских людских ресурсов на уровнях выработки стратегий в таких областях, как образование, профессиональная подготовка, репродуктивное и психическое здоровье.</w:t>
      </w:r>
    </w:p>
    <w:p w:rsidR="00000000" w:rsidRDefault="00000000">
      <w:pPr>
        <w:spacing w:after="120"/>
        <w:ind w:left="680" w:hanging="680"/>
      </w:pPr>
      <w:r>
        <w:t>3.</w:t>
      </w:r>
      <w:r>
        <w:tab/>
        <w:t>Интеграцию политики улучшения положения женщин, проживающих в сельской местности, в рамках особой стратегии благодаря разработке национального плана действий в поддержку сельских женщин, их производственной деятельности в сельских районах и пригородных зонах, борьбу с бедностью среди женщин.</w:t>
      </w:r>
    </w:p>
    <w:p w:rsidR="00000000" w:rsidRDefault="00000000">
      <w:pPr>
        <w:spacing w:after="120"/>
        <w:ind w:left="680" w:hanging="680"/>
      </w:pPr>
      <w:r>
        <w:t>4.</w:t>
      </w:r>
      <w:r>
        <w:tab/>
        <w:t>Достижение изменений на уровне общественного мышления, с тем чтобы укрепить в сознании людей принципы равенства и партнерства, осуществляя широкую информационно-просветительскую и пропагандистскую стратегию.</w:t>
      </w:r>
    </w:p>
    <w:p w:rsidR="00000000" w:rsidRDefault="00000000">
      <w:pPr>
        <w:spacing w:after="120"/>
        <w:ind w:left="680" w:hanging="680"/>
      </w:pPr>
      <w:r>
        <w:t>5.</w:t>
      </w:r>
      <w:r>
        <w:tab/>
        <w:t>Повышение роли женщины в гражданском обществе и ее участия в общественной жизни путем расширения и укрепления женских общественных организаций, вовлечения женщин в деятельность общественных объединений и политическую жизнь, поддержки женских неправительственных организаций.</w:t>
      </w:r>
    </w:p>
    <w:p w:rsidR="00000000" w:rsidRDefault="00000000">
      <w:pPr>
        <w:ind w:left="680" w:hanging="680"/>
      </w:pPr>
      <w:r>
        <w:t>6.</w:t>
      </w:r>
      <w:r>
        <w:tab/>
        <w:t>Более широкое применение специальной методологии в области сбора статистических данных путем поощрения научных исследований по женской проблематике, применения гендерного подхода для сбора и анализа сведений, статистических данных и оценки влияния проектов и программ развития на женщину и семью.</w:t>
      </w:r>
    </w:p>
    <w:p w:rsidR="00000000" w:rsidRDefault="00000000">
      <w:pPr>
        <w:spacing w:after="80"/>
      </w:pPr>
      <w:r>
        <w:t>162.</w:t>
      </w:r>
      <w:r>
        <w:tab/>
        <w:t xml:space="preserve">Для достижения этих целей стратегия развития в поддержку женщины и семьи в период выполнения </w:t>
      </w:r>
      <w:r>
        <w:br/>
        <w:t>IX плана будет осуществляться по следующим направлениям:</w:t>
      </w:r>
    </w:p>
    <w:p w:rsidR="00000000" w:rsidRDefault="00000000">
      <w:pPr>
        <w:spacing w:after="80"/>
      </w:pPr>
      <w:r>
        <w:tab/>
        <w:t>–</w:t>
      </w:r>
      <w:r>
        <w:tab/>
        <w:t xml:space="preserve">средства и механизмы улучшения положения женщины; </w:t>
      </w:r>
    </w:p>
    <w:p w:rsidR="00000000" w:rsidRDefault="00000000">
      <w:pPr>
        <w:spacing w:after="80"/>
      </w:pPr>
      <w:r>
        <w:rPr>
          <w:lang w:val="en-US"/>
        </w:rPr>
        <w:tab/>
      </w:r>
      <w:r>
        <w:t>–</w:t>
      </w:r>
      <w:r>
        <w:tab/>
        <w:t>развитие женских людских ресурсов;</w:t>
      </w:r>
    </w:p>
    <w:p w:rsidR="00000000" w:rsidRDefault="00000000">
      <w:pPr>
        <w:spacing w:after="80"/>
      </w:pPr>
      <w:r>
        <w:rPr>
          <w:lang w:val="en-US"/>
        </w:rPr>
        <w:tab/>
      </w:r>
      <w:r>
        <w:t>–</w:t>
      </w:r>
      <w:r>
        <w:tab/>
        <w:t>женщина и экономическое развитие;</w:t>
      </w:r>
    </w:p>
    <w:p w:rsidR="00000000" w:rsidRDefault="00000000">
      <w:pPr>
        <w:spacing w:after="80"/>
      </w:pPr>
      <w:r>
        <w:rPr>
          <w:lang w:val="en-US"/>
        </w:rPr>
        <w:tab/>
      </w:r>
      <w:r>
        <w:t>–</w:t>
      </w:r>
      <w:r>
        <w:tab/>
        <w:t>положение женщин-эмигранток;</w:t>
      </w:r>
    </w:p>
    <w:p w:rsidR="00000000" w:rsidRDefault="00000000">
      <w:pPr>
        <w:spacing w:after="80"/>
      </w:pPr>
      <w:r>
        <w:rPr>
          <w:lang w:val="en-US"/>
        </w:rPr>
        <w:tab/>
      </w:r>
      <w:r>
        <w:t>–</w:t>
      </w:r>
      <w:r>
        <w:tab/>
        <w:t>женщины с особыми потребностями;</w:t>
      </w:r>
    </w:p>
    <w:p w:rsidR="00000000" w:rsidRDefault="00000000">
      <w:r>
        <w:rPr>
          <w:lang w:val="en-US"/>
        </w:rPr>
        <w:tab/>
      </w:r>
      <w:r>
        <w:t>–</w:t>
      </w:r>
      <w:r>
        <w:tab/>
        <w:t>улучшение положения семьи.</w:t>
      </w:r>
    </w:p>
    <w:p w:rsidR="00000000" w:rsidRDefault="00000000">
      <w:r>
        <w:t>163.</w:t>
      </w:r>
      <w:r>
        <w:tab/>
        <w:t>Итоги применения стратегии в отношении женщин в рамках VIII национального плана развития, прогнозы на пятилетний период 1997–2001 годов, запланированные меры, количественные и качественные показатели, которых предстоит достичь, – обо всем этом говорится в стратегии в отношении женщин в рамках IX национального плана развития, который представлен в приложении к данному докладу.</w:t>
      </w:r>
    </w:p>
    <w:p w:rsidR="00000000" w:rsidRDefault="00000000">
      <w:r>
        <w:t>164.</w:t>
      </w:r>
      <w:r>
        <w:tab/>
        <w:t>Осуществление стратегии в отношении женщин финансируется как из государственного бюджета, так и в рамках двустороннего и многостороннего сотрудничества.</w:t>
      </w:r>
    </w:p>
    <w:p w:rsidR="00000000" w:rsidRDefault="00000000">
      <w:pPr>
        <w:spacing w:before="80" w:after="120"/>
        <w:rPr>
          <w:b/>
        </w:rPr>
      </w:pPr>
      <w:r>
        <w:rPr>
          <w:b/>
        </w:rPr>
        <w:t>Национальные ресурсы</w:t>
      </w:r>
    </w:p>
    <w:p w:rsidR="00000000" w:rsidRDefault="00000000">
      <w:pPr>
        <w:spacing w:after="120"/>
      </w:pPr>
      <w:r>
        <w:t>Поскольку стратегия в отношении женщин является частью глобальной стратегии развития, на нее выделяются следующие государственные средства:</w:t>
      </w:r>
    </w:p>
    <w:p w:rsidR="00000000" w:rsidRDefault="00000000">
      <w:pPr>
        <w:spacing w:after="120"/>
        <w:ind w:left="680" w:hanging="680"/>
      </w:pPr>
      <w:r>
        <w:t>1)</w:t>
      </w:r>
      <w:r>
        <w:tab/>
        <w:t>бюджетные ассигнования на цели развития департаментам по оперативной деятельности, которые участвуют в работе по улучшению положения женщин и отвечают за достижение определенных стратегией в отношении женщин отраслевых целей качественного и количественного характера. Однако представляется затруднительным провести глобальную оценку этих ассигнований, которые наиболее важны для осуществления стратегии в отношении женщин. Для этого могли бы быть проведены исследования в преддверии Х плана (2002–2006 годы);</w:t>
      </w:r>
    </w:p>
    <w:p w:rsidR="00000000" w:rsidRDefault="00000000">
      <w:r>
        <w:t xml:space="preserve">2) </w:t>
      </w:r>
      <w:r>
        <w:tab/>
        <w:t>бюджетные ассигнования, выделяемые Министерству по делам женщин и семьи (МДЖС).</w:t>
      </w:r>
    </w:p>
    <w:p w:rsidR="00000000" w:rsidRDefault="00000000">
      <w:pPr>
        <w:spacing w:after="120"/>
        <w:rPr>
          <w:b/>
        </w:rPr>
      </w:pPr>
      <w:r>
        <w:rPr>
          <w:b/>
        </w:rPr>
        <w:t>Средства, получаемые в рамках двустороннего и многостороннего сотрудничества</w:t>
      </w:r>
    </w:p>
    <w:p w:rsidR="00000000" w:rsidRDefault="00000000">
      <w:pPr>
        <w:spacing w:after="120"/>
      </w:pPr>
      <w:r>
        <w:t>165.</w:t>
      </w:r>
      <w:r>
        <w:tab/>
        <w:t>На осуществление стратегии улучшения положения женщины, определенной на Конференции в Пекине, выделялись средства в рамках двустороннего и многостороннего сотрудничества:</w:t>
      </w:r>
    </w:p>
    <w:p w:rsidR="00000000" w:rsidRDefault="00000000">
      <w:pPr>
        <w:spacing w:after="120"/>
        <w:ind w:left="680" w:hanging="680"/>
      </w:pPr>
      <w:r>
        <w:t xml:space="preserve">1) </w:t>
      </w:r>
      <w:r>
        <w:tab/>
        <w:t>в рамках двустороннего сотрудничества с Швецией, Канадой, Германией, Люксембургом, Норвегией и Великобританией выделена сумма, составившая примерно 6 млрд. динаров;</w:t>
      </w:r>
    </w:p>
    <w:p w:rsidR="00000000" w:rsidRDefault="00000000">
      <w:pPr>
        <w:ind w:left="680" w:hanging="680"/>
      </w:pPr>
      <w:r>
        <w:t xml:space="preserve">2) </w:t>
      </w:r>
      <w:r>
        <w:tab/>
        <w:t>в рамках многостороннего сотрудничества с ПРООН, Фондом Организации Объединенных Наций в области народонаселения (ЮНФПА), ЭСКЗА, ЮНЕСКО, Всемирным банком, ФАО, МФСР выделена сумма, составившая примерно 10,3 млрд. динаров.</w:t>
      </w:r>
    </w:p>
    <w:p w:rsidR="00000000" w:rsidRDefault="00000000">
      <w:r>
        <w:tab/>
        <w:t>В частности, эти средства ассигновались на осуществление проектов в области создания источников дохода, развития, женского микропредпринимательства, введения гендерного анализа, улучшения социально-экономического положения женщин, проживающих в сельской местности, создания группы по наблюдению за положением женщины, организации циклов лекций для женщин-руководителей и стратегию в области коммуникаций, направленную на семью.</w:t>
      </w:r>
    </w:p>
    <w:p w:rsidR="00000000" w:rsidRDefault="00000000">
      <w:pPr>
        <w:spacing w:before="120" w:line="240" w:lineRule="auto"/>
        <w:ind w:left="680" w:hanging="680"/>
        <w:jc w:val="left"/>
        <w:rPr>
          <w:b/>
          <w:sz w:val="28"/>
        </w:rPr>
      </w:pPr>
      <w:r>
        <w:rPr>
          <w:b/>
          <w:sz w:val="28"/>
        </w:rPr>
        <w:t xml:space="preserve">III. </w:t>
      </w:r>
      <w:r>
        <w:rPr>
          <w:b/>
          <w:sz w:val="28"/>
          <w:lang w:val="en-US"/>
        </w:rPr>
        <w:tab/>
      </w:r>
      <w:r>
        <w:rPr>
          <w:b/>
          <w:sz w:val="28"/>
        </w:rPr>
        <w:t xml:space="preserve">Национальные приоритеты в рамках последующей деятельности </w:t>
      </w:r>
      <w:r>
        <w:rPr>
          <w:b/>
          <w:sz w:val="28"/>
        </w:rPr>
        <w:br/>
        <w:t>по итогам Пекинской конференции</w:t>
      </w:r>
    </w:p>
    <w:p w:rsidR="00000000" w:rsidRDefault="00000000">
      <w:r>
        <w:t>166.</w:t>
      </w:r>
      <w:r>
        <w:tab/>
        <w:t xml:space="preserve">Приступив с 1992 года к осуществлению первой особой стратегии в отношении женщин в рамках </w:t>
      </w:r>
      <w:r>
        <w:br/>
        <w:t>VIII национального плана развития на 1992–1996 годы, Тунис прекрасно вписался в движение "Равенство, мир и развитие", начатое в рамках реализации Платформы действий, выработанной четвертой Всемирной конференцией по положению женщин (Пекин, 4–15 сентября 1995 года).</w:t>
      </w:r>
    </w:p>
    <w:p w:rsidR="00000000" w:rsidRDefault="00000000">
      <w:pPr>
        <w:spacing w:after="80"/>
        <w:rPr>
          <w:spacing w:val="-2"/>
        </w:rPr>
      </w:pPr>
      <w:r>
        <w:t>167.</w:t>
      </w:r>
      <w:r>
        <w:tab/>
      </w:r>
      <w:r>
        <w:rPr>
          <w:spacing w:val="-2"/>
        </w:rPr>
        <w:t>Национальный план по итогам Пекинской конференции разрабатывался, естественно, в рамках стратегии в отношении женщин IX национального плана развития на 1997–2001 годы и исходя из оценки успехов и недостатков первой стратегии. Очевидное преимущество новой стратегии состояло в том, что она финансируется ipso facto из государственного бюджета и располагает уже действующими структурами. Среди них:</w:t>
      </w:r>
    </w:p>
    <w:p w:rsidR="00000000" w:rsidRDefault="00000000">
      <w:pPr>
        <w:spacing w:after="80"/>
        <w:ind w:left="680" w:hanging="680"/>
      </w:pPr>
      <w:r>
        <w:t>–</w:t>
      </w:r>
      <w:r>
        <w:tab/>
        <w:t>Министерство по делам женщин и семьи (МДЖС) – для выработки проектов и программ (в том числе законопроектов), управления отраслевой деятельностью и ее стимулирования.</w:t>
      </w:r>
    </w:p>
    <w:p w:rsidR="00000000" w:rsidRDefault="00000000">
      <w:pPr>
        <w:spacing w:after="80"/>
      </w:pPr>
      <w:r>
        <w:t>–</w:t>
      </w:r>
      <w:r>
        <w:tab/>
        <w:t>Комиссия по вопросам женщин и развития – для разработки главных направлений.</w:t>
      </w:r>
    </w:p>
    <w:p w:rsidR="00000000" w:rsidRDefault="00000000">
      <w:pPr>
        <w:spacing w:after="80"/>
        <w:ind w:left="680" w:hanging="680"/>
      </w:pPr>
      <w:r>
        <w:t>–</w:t>
      </w:r>
      <w:r>
        <w:tab/>
        <w:t>Национальный совет по делам женщин и семьи (НСДЖС) – для координации, контроля и поиска консенсуса по крупным проектам, предлагаемым для улучшения положения женщины и семьи.</w:t>
      </w:r>
    </w:p>
    <w:p w:rsidR="00000000" w:rsidRDefault="00000000">
      <w:pPr>
        <w:ind w:left="680" w:hanging="680"/>
      </w:pPr>
      <w:r>
        <w:t>–</w:t>
      </w:r>
      <w:r>
        <w:tab/>
        <w:t>Центр научных исследований, документации и информации по вопросам женщин (ЦНИДИЖ) – для проведения исследований по различным аспектам положения женщины.</w:t>
      </w:r>
    </w:p>
    <w:p w:rsidR="00000000" w:rsidRDefault="00000000">
      <w:pPr>
        <w:spacing w:after="60"/>
      </w:pPr>
      <w:r>
        <w:t>168.</w:t>
      </w:r>
      <w:r>
        <w:tab/>
        <w:t>Национальными приоритетами в основных проблемных областях, определенных в пекинской Платформе действий, были:</w:t>
      </w:r>
    </w:p>
    <w:p w:rsidR="00000000" w:rsidRDefault="00000000">
      <w:pPr>
        <w:spacing w:after="60"/>
      </w:pPr>
      <w:r>
        <w:tab/>
        <w:t>1.</w:t>
      </w:r>
      <w:r>
        <w:tab/>
        <w:t>Повышение экономического потенциала женщин.</w:t>
      </w:r>
    </w:p>
    <w:p w:rsidR="00000000" w:rsidRDefault="00000000">
      <w:pPr>
        <w:spacing w:after="60"/>
      </w:pPr>
      <w:r>
        <w:tab/>
        <w:t>2.</w:t>
      </w:r>
      <w:r>
        <w:tab/>
        <w:t>Борьба с бедностью и улучшение условий жизни женщин.</w:t>
      </w:r>
    </w:p>
    <w:p w:rsidR="00000000" w:rsidRDefault="00000000">
      <w:pPr>
        <w:spacing w:after="60"/>
      </w:pPr>
      <w:r>
        <w:tab/>
        <w:t>3.</w:t>
      </w:r>
      <w:r>
        <w:tab/>
        <w:t>Укрепление прав женщины и борьба со стереотипами, дискриминирующими женщин.</w:t>
      </w:r>
    </w:p>
    <w:p w:rsidR="00000000" w:rsidRDefault="00000000">
      <w:pPr>
        <w:spacing w:after="60"/>
      </w:pPr>
      <w:r>
        <w:tab/>
        <w:t>4.</w:t>
      </w:r>
      <w:r>
        <w:tab/>
        <w:t>Развитие людских женских ресурсов с помощью отраслевых программ.</w:t>
      </w:r>
    </w:p>
    <w:p w:rsidR="00000000" w:rsidRDefault="00000000">
      <w:pPr>
        <w:spacing w:after="60"/>
      </w:pPr>
      <w:r>
        <w:tab/>
        <w:t>5.</w:t>
      </w:r>
      <w:r>
        <w:tab/>
        <w:t>Защита девочек.</w:t>
      </w:r>
    </w:p>
    <w:p w:rsidR="00000000" w:rsidRDefault="00000000">
      <w:pPr>
        <w:spacing w:after="80"/>
      </w:pPr>
      <w:r>
        <w:tab/>
        <w:t>6.</w:t>
      </w:r>
      <w:r>
        <w:tab/>
        <w:t>Повышение роли женщины в жизни общества и деятельности организаций.</w:t>
      </w:r>
    </w:p>
    <w:p w:rsidR="00000000" w:rsidRDefault="00000000">
      <w:pPr>
        <w:spacing w:after="80"/>
      </w:pPr>
      <w:r>
        <w:tab/>
        <w:t>7.</w:t>
      </w:r>
      <w:r>
        <w:tab/>
        <w:t>Защита женщин-мигрантов.</w:t>
      </w:r>
    </w:p>
    <w:p w:rsidR="00000000" w:rsidRDefault="00000000">
      <w:pPr>
        <w:spacing w:after="80"/>
      </w:pPr>
      <w:r>
        <w:tab/>
        <w:t>8.</w:t>
      </w:r>
      <w:r>
        <w:tab/>
        <w:t>Развитие партнерства и международного сотрудничества путем обмена опытом.</w:t>
      </w:r>
    </w:p>
    <w:p w:rsidR="00000000" w:rsidRDefault="00000000">
      <w:pPr>
        <w:ind w:left="1021" w:hanging="1021"/>
      </w:pPr>
      <w:r>
        <w:tab/>
        <w:t>9.</w:t>
      </w:r>
      <w:r>
        <w:tab/>
        <w:t>Определение показателей, указывающих на особенности обоих полов, и систематизация гендерного подхода.</w:t>
      </w:r>
    </w:p>
    <w:p w:rsidR="00000000" w:rsidRDefault="00000000">
      <w:r>
        <w:t>169.</w:t>
      </w:r>
      <w:r>
        <w:tab/>
        <w:t>Пекинская и Дакарская программы действий, несомненно, сыграли роль катализатора, предложив, в частности, МДЖС, ЦНИДИЖ и НПО, занимающимся проблемами женщин, концептуальные рамки для совершенствования своих концепций и корректировки своих подходов, служащие подтверждением активного участия Туниса в процессе укрепления прав женщины, осуществляемом под эгидой Организации Объединенных Наций.</w:t>
      </w:r>
    </w:p>
    <w:p w:rsidR="00000000" w:rsidRDefault="00000000">
      <w:r>
        <w:t>170.</w:t>
      </w:r>
      <w:r>
        <w:tab/>
        <w:t>Разработка и осуществление плана действий в соответствии с принципами Пекинской конференции не сталкивались с какими-либо серьезными трудностями, связанными с существованием и функционированием институциональной платформы, которая положительно зарекомендовала себя в рамках VIII плана развития (1992–1996 годы).</w:t>
      </w:r>
    </w:p>
    <w:p w:rsidR="00000000" w:rsidRDefault="00000000">
      <w:pPr>
        <w:spacing w:before="120" w:line="240" w:lineRule="auto"/>
        <w:rPr>
          <w:b/>
          <w:sz w:val="28"/>
        </w:rPr>
      </w:pPr>
      <w:r>
        <w:rPr>
          <w:b/>
          <w:sz w:val="28"/>
        </w:rPr>
        <w:t xml:space="preserve">IV. </w:t>
      </w:r>
      <w:r>
        <w:rPr>
          <w:b/>
          <w:sz w:val="28"/>
          <w:lang w:val="en-US"/>
        </w:rPr>
        <w:tab/>
      </w:r>
      <w:r>
        <w:rPr>
          <w:b/>
          <w:sz w:val="28"/>
        </w:rPr>
        <w:t xml:space="preserve">Защита материнства </w:t>
      </w:r>
    </w:p>
    <w:p w:rsidR="00000000" w:rsidRDefault="00000000">
      <w:pPr>
        <w:spacing w:after="200"/>
      </w:pPr>
      <w:r>
        <w:t>171.</w:t>
      </w:r>
      <w:r>
        <w:tab/>
        <w:t>Признание материнства в качестве общественной функции является одним из принципов, лежащих одновременно в основе социальной политики, политики в области здравоохранения и политики в отношении женщины и семьи в Тунисе.</w:t>
      </w:r>
    </w:p>
    <w:p w:rsidR="00000000" w:rsidRDefault="00000000">
      <w:pPr>
        <w:spacing w:after="200"/>
      </w:pPr>
      <w:r>
        <w:t>172.</w:t>
      </w:r>
      <w:r>
        <w:tab/>
        <w:t>Применение комплексного подхода как в плане здравоохранения, так и в плане социального обеспечения, основанного на передовом законодательстве и специальных программах профилактики и помощи, исходит из признания материнства как важнейшей социальной функции.</w:t>
      </w:r>
    </w:p>
    <w:p w:rsidR="00000000" w:rsidRDefault="00000000">
      <w:pPr>
        <w:spacing w:after="200"/>
      </w:pPr>
      <w:r>
        <w:t>173.</w:t>
      </w:r>
      <w:r>
        <w:tab/>
        <w:t>С одной стороны, эта политика способствовала существенным результатам в области профилактики заболеваний и защиты здоровья матери и ребенка, а с другой – привела к появлению законодательства в социальной области, обеспечивающего защиту матери и ребенка (статьи 11, 12 и 13).</w:t>
      </w:r>
    </w:p>
    <w:p w:rsidR="00000000" w:rsidRDefault="00000000">
      <w:pPr>
        <w:spacing w:after="200"/>
      </w:pPr>
      <w:r>
        <w:t>174.</w:t>
      </w:r>
      <w:r>
        <w:tab/>
        <w:t>Осуществление в области здравоохранения различных национальных программ по профилактике и лечению заболеваний, связанных с особенностями здоровья женщины, а также включение репродуктивного здоровья в сферу деятельности более чем 90 процентов базовых структур здравоохранения являются значительными стратегическими достижениями в деле улучшения здоровья матери и ребенка, о чем свидетельствует улучшение показателей здоровья женщин (см. статью 12).</w:t>
      </w:r>
    </w:p>
    <w:p w:rsidR="00000000" w:rsidRDefault="00000000">
      <w:pPr>
        <w:spacing w:after="200"/>
      </w:pPr>
      <w:r>
        <w:t>175.</w:t>
      </w:r>
      <w:r>
        <w:tab/>
        <w:t>Трудовое законодательство Туниса закрепляет принцип недискриминации по признаку пола. Внесенные в него в 1993 году поправки положили конец неопределенности в этой области. Это законодательство также обеспечивает женщинам защиту и особые социальные права при осуществлении ими материнских функций или при наличии особых условий труда (см. статьи 11, 13 и 14).</w:t>
      </w:r>
    </w:p>
    <w:p w:rsidR="00000000" w:rsidRDefault="00000000">
      <w:pPr>
        <w:spacing w:after="80"/>
      </w:pPr>
      <w:r>
        <w:t>176.</w:t>
      </w:r>
      <w:r>
        <w:tab/>
        <w:t>В целях лучшего совмещения женщинами семейных и рабочих обязанностей закон специально предусматривает для них:</w:t>
      </w:r>
    </w:p>
    <w:p w:rsidR="00000000" w:rsidRDefault="00000000">
      <w:pPr>
        <w:spacing w:after="80"/>
        <w:ind w:left="680" w:hanging="680"/>
      </w:pPr>
      <w:r>
        <w:t>–</w:t>
      </w:r>
      <w:r>
        <w:tab/>
        <w:t>право на неполный рабочий день, которым женщины могут воспользоваться при желании. Отпуска, продвижение по службе, пособия и пенсионный режим при этом не затрагиваются;</w:t>
      </w:r>
    </w:p>
    <w:p w:rsidR="00000000" w:rsidRDefault="00000000">
      <w:pPr>
        <w:spacing w:after="80"/>
        <w:ind w:left="680" w:hanging="680"/>
      </w:pPr>
      <w:r>
        <w:t>–</w:t>
      </w:r>
      <w:r>
        <w:tab/>
        <w:t>право на отпуск без сохранения содержания продолжительностью в два года с правом продлевать его дважды на тот же срок для ухода за одним или несколькими детьми в возрасте до шести лет или имеющими физические недостатки, требующими постоянного ухода;</w:t>
      </w:r>
    </w:p>
    <w:p w:rsidR="00000000" w:rsidRDefault="00000000">
      <w:pPr>
        <w:spacing w:after="0"/>
        <w:ind w:left="680" w:hanging="680"/>
      </w:pPr>
      <w:r>
        <w:t>–</w:t>
      </w:r>
      <w:r>
        <w:tab/>
        <w:t>право выхода на пенсию до достижения пенсионного возраста после 15 лет трудового стажа, если женщина имеет на своем попечении троих детей моложе 15 лет или одного ребенка с серьезными физическими и психическими недостатками, при предварительном уведомлении об этом соответствующих административных органов (см. пункты 596–598).</w:t>
      </w:r>
    </w:p>
    <w:p w:rsidR="00000000" w:rsidRDefault="00000000">
      <w:pPr>
        <w:spacing w:line="240" w:lineRule="auto"/>
        <w:jc w:val="center"/>
        <w:rPr>
          <w:b/>
          <w:sz w:val="28"/>
        </w:rPr>
      </w:pPr>
      <w:r>
        <w:rPr>
          <w:b/>
        </w:rPr>
        <w:br w:type="page"/>
      </w:r>
      <w:r>
        <w:rPr>
          <w:rFonts w:ascii="Symbol" w:hAnsi="Symbol"/>
          <w:b/>
          <w:sz w:val="28"/>
        </w:rPr>
        <w:t></w:t>
      </w:r>
      <w:r>
        <w:rPr>
          <w:b/>
          <w:sz w:val="28"/>
        </w:rPr>
        <w:t xml:space="preserve"> Статья 5: Борьба со стереотипами</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i/>
        </w:rPr>
        <w:t>Государства-участники принимают все соответствующие меры с целью:</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i/>
          <w:lang w:val="en-US"/>
        </w:rPr>
        <w:tab/>
      </w:r>
      <w:r>
        <w:rPr>
          <w:i/>
        </w:rPr>
        <w:t>а)</w:t>
      </w:r>
      <w:r>
        <w:rPr>
          <w:i/>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или женщин;</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i/>
          <w:lang w:val="en-US"/>
        </w:rPr>
        <w:tab/>
      </w:r>
      <w:r>
        <w:rPr>
          <w:i/>
        </w:rPr>
        <w:t>b)</w:t>
      </w:r>
      <w:r>
        <w:rPr>
          <w:i/>
        </w:rP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spacing w:before="120" w:line="240" w:lineRule="auto"/>
        <w:ind w:left="680" w:hanging="680"/>
        <w:jc w:val="left"/>
        <w:rPr>
          <w:b/>
          <w:sz w:val="28"/>
        </w:rPr>
      </w:pPr>
      <w:r>
        <w:rPr>
          <w:b/>
          <w:sz w:val="28"/>
        </w:rPr>
        <w:t>I.</w:t>
      </w:r>
      <w:r>
        <w:rPr>
          <w:b/>
          <w:sz w:val="28"/>
        </w:rPr>
        <w:tab/>
        <w:t>Восстановление роли женщины как активного участника исторического процесса</w:t>
      </w:r>
    </w:p>
    <w:p w:rsidR="00000000" w:rsidRDefault="00000000">
      <w:pPr>
        <w:spacing w:before="120" w:line="240" w:lineRule="auto"/>
        <w:ind w:left="680" w:hanging="680"/>
        <w:jc w:val="left"/>
        <w:rPr>
          <w:b/>
          <w:sz w:val="22"/>
        </w:rPr>
      </w:pPr>
      <w:r>
        <w:rPr>
          <w:b/>
          <w:sz w:val="22"/>
        </w:rPr>
        <w:t>I. 1.</w:t>
      </w:r>
      <w:r>
        <w:rPr>
          <w:b/>
          <w:sz w:val="22"/>
        </w:rPr>
        <w:tab/>
        <w:t xml:space="preserve">Национальный праздник женщины: демонстрация политической воли </w:t>
      </w:r>
      <w:r>
        <w:rPr>
          <w:b/>
          <w:sz w:val="22"/>
        </w:rPr>
        <w:br/>
        <w:t>в деле борьбы со стереотипами</w:t>
      </w:r>
    </w:p>
    <w:p w:rsidR="00000000" w:rsidRDefault="00000000">
      <w:r>
        <w:t>177.</w:t>
      </w:r>
      <w:r>
        <w:tab/>
        <w:t>Сохранение в списке общенациональных торжеств национального праздника женщины в ознаменование вступления в силу Кодекса о статусе личности (КСЛ) 13 августа 1956 года является одним из проявлений политической воли поддерживать усилия общества в борьбе со стереотипным пониманием ролей мужчины и женщины и устаревшими взглядами. Свидетельством необратимого участия в этом процессе всей нации является тот факт, что этот праздничный день – нерабочий.</w:t>
      </w:r>
    </w:p>
    <w:p w:rsidR="00000000" w:rsidRDefault="00000000">
      <w:r>
        <w:t>178.</w:t>
      </w:r>
      <w:r>
        <w:tab/>
        <w:t>Ежегодно широко отмечаемый национальный праздник женщины является крупным событием, напоминающим людям о важном значении дела женщины и с помощью средств массовой информации придающим ему в их глазах еще большую значимость.</w:t>
      </w:r>
    </w:p>
    <w:p w:rsidR="00000000" w:rsidRDefault="00000000">
      <w:r>
        <w:t>179.</w:t>
      </w:r>
      <w:r>
        <w:tab/>
        <w:t>Национальная программа торжеств составляется Национальным советом по делам женщин и семьи (НСДЖС) с участием государственных учреждений и неправительственных структур. Праздник проходит при высочайшем покровительстве Президента Республики. Главное мероприятие программы открывается либо президентской четой, либо супругой Главы государства.</w:t>
      </w:r>
    </w:p>
    <w:p w:rsidR="00000000" w:rsidRDefault="00000000">
      <w:r>
        <w:t>180.</w:t>
      </w:r>
      <w:r>
        <w:tab/>
        <w:t>Другим показателем стремления увековечить права женщины является празднование с 1993 года Всемирного дня женщины, которому посвящается национальная программа, большое внимание которой уделяет Президент Республики.</w:t>
      </w:r>
    </w:p>
    <w:p w:rsidR="00000000" w:rsidRDefault="00000000">
      <w:pPr>
        <w:spacing w:before="120" w:line="240" w:lineRule="auto"/>
        <w:rPr>
          <w:b/>
          <w:sz w:val="22"/>
        </w:rPr>
      </w:pPr>
      <w:r>
        <w:rPr>
          <w:b/>
          <w:sz w:val="22"/>
        </w:rPr>
        <w:t>I.2.</w:t>
      </w:r>
      <w:r>
        <w:rPr>
          <w:b/>
          <w:sz w:val="22"/>
        </w:rPr>
        <w:tab/>
        <w:t>Выставка "Женщина через века"</w:t>
      </w:r>
    </w:p>
    <w:p w:rsidR="00000000" w:rsidRDefault="00000000">
      <w:r>
        <w:t>181.</w:t>
      </w:r>
      <w:r>
        <w:tab/>
        <w:t>Подтверждая заинтересованность нации в полной интеграции женщин в процесс развития, органы государственной власти работают над восстановлением роли женщины в истории страны.</w:t>
      </w:r>
    </w:p>
    <w:p w:rsidR="00000000" w:rsidRDefault="00000000">
      <w:r>
        <w:t>182.</w:t>
      </w:r>
      <w:r>
        <w:tab/>
        <w:t>В рамках общенациональной программы "Тунис – культурная столица региона" с 1 ноября 1997 года по 1 января 1998 года в городе Тунисе прошла оригинальная и впечатляющая выставка под названием "Женщина через века". Эта выставка, проходившая во дворце "Эль-Абделлия", в Марса (северный пригород Туниса), была организована Министерством культуры (Национальный институт по вопросам народного достояния) совместно с МДЖС. Она впервые показала в едином пространстве, какое место занимала женщина в пуническую, затем римскую и, наконец, мусульманскую эпоху. Экономическая деятельность, интерес к искусству и культуре, эстетике, культ прекрасного – все это находилось в центре интересов женщины во все времена. Это говорит о том, что женщина не ограничивалась ведением домашнего хозяйства и играла немалую роль в общественной и государственной жизни, о чем свидетельствовали дорогие украшения и экспонаты, предоставленные на время музеями Бардо, Суса и Махдии. Брачный контракт, составленный в XIII веке в Кайруане, столице династии Аглабидов, доказывает, что уже в эту эпоху мусульманская женщина могла требовать моногамии в браке. Выставка во дворце "Эль-Абделлия" продемонстрировала историческое и культурное значение вопроса эмансипации женщин в Тунисе.</w:t>
      </w:r>
    </w:p>
    <w:p w:rsidR="00000000" w:rsidRDefault="00000000">
      <w:pPr>
        <w:spacing w:before="240" w:line="240" w:lineRule="auto"/>
        <w:jc w:val="left"/>
        <w:rPr>
          <w:b/>
          <w:sz w:val="28"/>
        </w:rPr>
      </w:pPr>
      <w:r>
        <w:rPr>
          <w:b/>
          <w:sz w:val="28"/>
        </w:rPr>
        <w:t>II.</w:t>
      </w:r>
      <w:r>
        <w:rPr>
          <w:b/>
          <w:sz w:val="28"/>
        </w:rPr>
        <w:tab/>
        <w:t>Будущие поколения: пересмотр школьных учебников</w:t>
      </w:r>
    </w:p>
    <w:p w:rsidR="00000000" w:rsidRDefault="00000000">
      <w:r>
        <w:t>183.</w:t>
      </w:r>
      <w:r>
        <w:tab/>
        <w:t xml:space="preserve">По закону № 91-65 от 29 июля 1991 года, провозгласившему реформу образовательной системы, одна из целей последней состоит в том, чтобы "подготовить молодых людей к такой жизни, где не было бы места никакой форме дискриминации или сегрегации по признаку пола, социального происхождения, расы или религии" (статья 1, пункт 3). Равенство полов становится основополагающим принципом в образовании. </w:t>
      </w:r>
    </w:p>
    <w:p w:rsidR="00000000" w:rsidRDefault="00000000">
      <w:r>
        <w:t>184.</w:t>
      </w:r>
      <w:r>
        <w:tab/>
        <w:t>В соответствии с этим принципом Министерство образования решило коренным образом пересмотреть все школьные учебники, предназначенные для преподавания в рамках базового образования (для детей от 6 до 16 лет), чтобы исключить из них стереотипные или принижающие достоинство женщины образы.</w:t>
      </w:r>
    </w:p>
    <w:p w:rsidR="00000000" w:rsidRDefault="00000000">
      <w:r>
        <w:t>185.</w:t>
      </w:r>
      <w:r>
        <w:tab/>
        <w:t>В одном из исследований, посвященных образу женщины в тунисском обществе, подготовленном и опубликованном в 1995 году Национальным союзом тунисских женщин (НСТЖ), на основании сопоставления школьных учебников, изданных до и после реформы (с первого по шестой год обучения), отмечалось: "В новых школьных учебниках пропагандируется, что мужчина и женщина имеют равные возможности во всех областях. Все статусы доступны как девочкам, так и мальчикам. Все задачи могут быть выполнены как теми, так и другими… Учащимся мужского пола и, возможно, их реальному или потенциальному окружению объясняется, что в положении жертвы, по традиции уготованном женщине, может оказаться и мужчина. И наоборот, роль покровителя, традиционно уготованная мужчине, может прекрасно выполнять женщина…</w:t>
      </w:r>
    </w:p>
    <w:p w:rsidR="00000000" w:rsidRDefault="00000000">
      <w:r>
        <w:tab/>
        <w:t>Кроме того, постоянное присутствие женского начала почти на всех страницах, во всех текстах и на всех иллюстрациях в новых учебниках является признаком твердого намерения еще полнее интегрировать его во все формы общественной жизни… Реальное и эффективное пребывание в атмосфере верховенства закона демократического равенства. Никакого предпочтения не отдается представителям того или иного пола. Все может быть симметрично… Равенство в потребностях, равенство в праве на ошибку, простое произвольное чередование в осуществлении одних и тех же действий: вот что в новых учебниках эффективно способствует ликвидации различных табу. В новых учебниках выполнение семейных обязанностей не возлагается конкретно на представителей того или иного пола. Семья формируется для совместной жизни, в которой все задачи выполняются всеми ее членами без сложившихся традиционных различий. Все это свидетельствует о том, что данное педагогическое мероприятие, хорошо согласующееся с целями системы образования, способно не только укреплять равенство полов, но и сделать более гармоничными личную и общественную жизнь, внутренний и внешний мир человека, подчиняя их общему идеалу. Жизненное пространство перестает быть разделенным по признаку пола. Человек, мужчина или женщина, больше не остается один на один с превратностями личной или коллективной жизни. Школа – это уже жизнь, если она готовит к ней должным образом".</w:t>
      </w:r>
    </w:p>
    <w:p w:rsidR="00000000" w:rsidRDefault="00000000">
      <w:r>
        <w:t>186.</w:t>
      </w:r>
      <w:r>
        <w:tab/>
        <w:t>Что касается школьных учебников, Комиссия по контролю за образом женщины в средствах массовой информации, находящаяся в ведении Национального совета по делам женщин и семьи, рекомендовала расширить участие женщин-специалистов в комиссиях по разработке и оценке школьных учебников и включить в соответствующие требования новое положение, в котором, в частности, говорится о необходимости помещать в учебниках произведения тунисских, арабских женщин или женщин из других стран и освещать все разнообразие ролей, принадлежащих женщине во всех областях деятельности, в частной и общественной жизни.</w:t>
      </w:r>
    </w:p>
    <w:p w:rsidR="00000000" w:rsidRDefault="00000000">
      <w:r>
        <w:t>187.</w:t>
      </w:r>
      <w:r>
        <w:tab/>
        <w:t>В учебниках для второй ступени базового образования (7, 8 и 9-й годы обучения) на разных уровнях встречаются тексты, в которых говорится о важной роли, которую женщины играли в национальной и вообще в арабо-мусульманской истории. В других текстах превозносится эмансипация женщины и обращается внимание на необходимость улучшать положение женщины.</w:t>
      </w:r>
    </w:p>
    <w:p w:rsidR="00000000" w:rsidRDefault="00000000">
      <w:pPr>
        <w:spacing w:before="240" w:line="240" w:lineRule="auto"/>
        <w:rPr>
          <w:b/>
          <w:sz w:val="28"/>
        </w:rPr>
      </w:pPr>
      <w:r>
        <w:rPr>
          <w:b/>
          <w:sz w:val="28"/>
        </w:rPr>
        <w:t xml:space="preserve">III. </w:t>
      </w:r>
      <w:r>
        <w:rPr>
          <w:b/>
          <w:sz w:val="28"/>
          <w:lang w:val="en-US"/>
        </w:rPr>
        <w:tab/>
      </w:r>
      <w:r>
        <w:rPr>
          <w:b/>
          <w:sz w:val="28"/>
        </w:rPr>
        <w:t>Роль средств массовой информации</w:t>
      </w:r>
    </w:p>
    <w:p w:rsidR="00000000" w:rsidRDefault="00000000">
      <w:r>
        <w:t>188.</w:t>
      </w:r>
      <w:r>
        <w:tab/>
        <w:t xml:space="preserve">С первых дней обретения Тунисом независимости желание изменить течение жизни в соответствии с принципами, изложенными в Кодексе о статусе личности (КСЛ), выражалось в широком использовании и настоящей мобилизации всех средств массовой информации, в частности аудиовизуальных, для закрепления эгалитарных ценностных понятий, провозглашаемых в этом документе. Действительно, в изменении менталитета эти средства под воздействием мощной политической воли сыграли не менее определяющую роль, чем законы, и потому сегодня в Тунисе, как об этом говорят результаты многих исследований, прочно утвердились такие права женщин, как право на образование, планирование размера семьи, труд и участие в общественной жизни. </w:t>
      </w:r>
    </w:p>
    <w:p w:rsidR="00000000" w:rsidRDefault="00000000">
      <w:pPr>
        <w:spacing w:before="120" w:line="240" w:lineRule="auto"/>
        <w:rPr>
          <w:b/>
          <w:sz w:val="22"/>
        </w:rPr>
      </w:pPr>
      <w:r>
        <w:rPr>
          <w:b/>
          <w:sz w:val="22"/>
        </w:rPr>
        <w:t>III.1.</w:t>
      </w:r>
      <w:r>
        <w:rPr>
          <w:b/>
          <w:sz w:val="22"/>
        </w:rPr>
        <w:tab/>
        <w:t>Аудиовизуальные средства массовой информации</w:t>
      </w:r>
    </w:p>
    <w:p w:rsidR="00000000" w:rsidRDefault="00000000">
      <w:r>
        <w:t>189.</w:t>
      </w:r>
      <w:r>
        <w:tab/>
        <w:t>Тунисское радиовещание и телевидение (ТРТ) уделяет в своих передачах немало внимания делам женщины и семьи. В частности, национальное радио и пять региональных радиостанций регулярно ведут специальные передачи, посвященные проблемам женщин. В этих передачах, обычно идущих в прямом эфире, в которых участвуют также и мужчины, в позитивном ключе ведется разговор о равенстве мужчины и женщины и правах женщины.</w:t>
      </w:r>
    </w:p>
    <w:p w:rsidR="00000000" w:rsidRDefault="00000000">
      <w:r>
        <w:t>190.</w:t>
      </w:r>
      <w:r>
        <w:tab/>
        <w:t>С 1994 по 1997 год доля радиопрограмм, посвященных женщине, выросла с 23 до 30 процентов; это одна ежедневная программа и девять еженедельных. Кроме того, из всех выступлений граждан в прямом эфире около 80 процентов приходится на долю женщин или девушек, что говорит о предоставляемых им весьма широких возможностях выражать свое мнение непосредственно.</w:t>
      </w:r>
    </w:p>
    <w:p w:rsidR="00000000" w:rsidRDefault="00000000">
      <w:r>
        <w:t>191.</w:t>
      </w:r>
      <w:r>
        <w:tab/>
        <w:t>За последние пять лет тунисское телевидение организовало два цикла передач, специально посвященных женщине. Первый, показанный в 1994 году, состоял из шести передач и был посвящен определенным качествам женщин, занятых в различных областях деятельности. Передачи второго цикла (с 1995 по 1997 год) "Женщина и общество" были еженедельными, и в них обсуждались актуальные вопросы положения женщины.</w:t>
      </w:r>
    </w:p>
    <w:p w:rsidR="00000000" w:rsidRDefault="00000000">
      <w:r>
        <w:t>192.</w:t>
      </w:r>
      <w:r>
        <w:tab/>
        <w:t>В жанре исторических документальных фильмов на тунисском телевидении в 1998 году был создан телевизионный сериал из 10 фильмов о знаменитых женщинах в национальной и арабо-мусульманской истории; этот сериал был показан также во время праздника Рамадан и способствовал восстановлению роли женщины в истории. Кроме того, несколько телепередач, предназначенных для широкой аудитории и показанных в прайм-тайм, были посвящены образам мужчины и женщины, созданным на основе принципов равенства и в неразрывной связи с тунисскими культурными ценностями.</w:t>
      </w:r>
    </w:p>
    <w:p w:rsidR="00000000" w:rsidRDefault="00000000">
      <w:r>
        <w:t>193.</w:t>
      </w:r>
      <w:r>
        <w:tab/>
        <w:t>Тунисскому молодежному  каналу 21 удается в своих программах ярко проводить идею равноправия, тем более что более половины его ведущих – девушки. Часто применяемая на этом канале схема ведущей пары в культурных и развлекательных передачах, а также использование в спортивных передачах корреспондентов-женщин и ведущих-женщин, несомненно, значительно способствуют искоренению стереотипов.</w:t>
      </w:r>
    </w:p>
    <w:p w:rsidR="00000000" w:rsidRDefault="00000000">
      <w:r>
        <w:t>194.</w:t>
      </w:r>
      <w:r>
        <w:tab/>
        <w:t>В радио- и телепередачах освещаются также особые проблемы женщин, проживающих в сельской местности, и женщин-эмигрантов. Региональные радиостанции предоставляют возможность выступить женщинам и девушкам, а телевизионный канал 7, работающий через спутник, посвящает женщинам-эмигрантам две еженедельные передачи.</w:t>
      </w:r>
    </w:p>
    <w:p w:rsidR="00000000" w:rsidRDefault="00000000">
      <w:r>
        <w:t>195.</w:t>
      </w:r>
      <w:r>
        <w:tab/>
        <w:t>Учитывая интерес к проблемам женщин и девушек, проживающих в сельской местности, Африканский центр повышения квалификации журналистов и специалистов в области распространения информации, находящийся в городе Тунисе, организовал в январе 1995 года общенациональный семинар для ответственных работников, директоров, продюсеров и ведущих региональных радиостанций на тему "Роль региональных радиостанций в улучшении коммуникационных возможностей для девушек и женщин, проживающих в сельской местности".</w:t>
      </w:r>
    </w:p>
    <w:p w:rsidR="00000000" w:rsidRDefault="00000000">
      <w:r>
        <w:t>196.</w:t>
      </w:r>
      <w:r>
        <w:tab/>
        <w:t>Тунисское телевизионное пространство открыто для зарубежных каналов, а свободному доступу к этим каналам способствует значительное число пользователей, принимающих передачи, транслируемые через спутники.</w:t>
      </w:r>
    </w:p>
    <w:p w:rsidR="00000000" w:rsidRDefault="00000000">
      <w:pPr>
        <w:spacing w:line="240" w:lineRule="auto"/>
        <w:rPr>
          <w:b/>
          <w:sz w:val="22"/>
        </w:rPr>
      </w:pPr>
      <w:r>
        <w:rPr>
          <w:b/>
          <w:sz w:val="22"/>
        </w:rPr>
        <w:t>III.2.</w:t>
      </w:r>
      <w:r>
        <w:rPr>
          <w:b/>
          <w:sz w:val="22"/>
        </w:rPr>
        <w:tab/>
        <w:t xml:space="preserve">Пресса </w:t>
      </w:r>
    </w:p>
    <w:p w:rsidR="00000000" w:rsidRDefault="00000000">
      <w:r>
        <w:t>197.</w:t>
      </w:r>
      <w:r>
        <w:tab/>
        <w:t>По результатам проведенного НСТЖ опроса на тему "Образ женщины в средствах массовой информации и общество" было установлено, что "статьи журналистов, посвященные женщине, все еще немногочисленны и неравнозначны по качеству". Организаторы опроса пришли к заключению, что увеличение числа женщин-журналистов с высшим образованием является хорошим поводом для оптимизма, если они будут продолжать привносить в журналистскую продукцию свой женский взгляд на вещи, женскую восприимчивость, которые послужат противовесом "мужской" направленности материалов, в частности в рубрике "Происшествия". В ближайшем будущем важно, чтобы образы женщин, активно участвующих в политической, экономической, культурной и спортивной жизни страны, лучше отражались средствами массовой информации. Наконец, рост числа читательниц неизбежно заставит руководителей средств массовой информации учесть неоднородность рынка и прекратить ориентироваться в своей работе исключительно на мужчин. Предвестником такой эволюции является введение в некоторых ежедневных газетах женской рубрики, которой в 1992 году, когда проводился опрос, еще не было.</w:t>
      </w:r>
    </w:p>
    <w:p w:rsidR="00000000" w:rsidRDefault="00000000">
      <w:pPr>
        <w:spacing w:after="200" w:line="240" w:lineRule="auto"/>
        <w:rPr>
          <w:b/>
          <w:sz w:val="22"/>
        </w:rPr>
      </w:pPr>
      <w:r>
        <w:rPr>
          <w:b/>
          <w:sz w:val="22"/>
        </w:rPr>
        <w:t>III.3.</w:t>
      </w:r>
      <w:r>
        <w:rPr>
          <w:b/>
          <w:sz w:val="22"/>
        </w:rPr>
        <w:tab/>
        <w:t xml:space="preserve">Женская пресса </w:t>
      </w:r>
    </w:p>
    <w:p w:rsidR="00000000" w:rsidRDefault="00000000">
      <w:r>
        <w:t>198.</w:t>
      </w:r>
      <w:r>
        <w:tab/>
        <w:t>Благодаря государственным субсидиям в женской прессе за последние пять лет были достигнуты важные количественные и качественные успехи. В частности, журналы "Женщина", орган НСТЖ, "Инфо-Кредиф", издание ЦНИДИЖ, "СИВАР", частное издание, стали не только чаще выходить, но и повысили качество своей продукции ("Женщина" выходит раз в месяц, "Инфо-Кредиф" и "СИВАР" – раз в два месяца).</w:t>
      </w:r>
    </w:p>
    <w:p w:rsidR="00000000" w:rsidRDefault="00000000">
      <w:r>
        <w:t>199.</w:t>
      </w:r>
      <w:r>
        <w:tab/>
        <w:t>Появились и другие женские издания: выходящий раз в два месяца журнал "Эко-Мер", издаваемый Тунисской ассоциацией матерей (ТАМ) с 1994 года, и многотиражный ежемесячник "Нюанс", издаваемый с 1995 года группой частных лиц.</w:t>
      </w:r>
    </w:p>
    <w:p w:rsidR="00000000" w:rsidRDefault="00000000">
      <w:r>
        <w:t>200.</w:t>
      </w:r>
      <w:r>
        <w:tab/>
        <w:t>Другие женские издания выпускаются некоторыми женскими объединениями, такими как творческая и производственная ассоциация "Акалиль" или ассоциация выпускников лицея на улице эль-Паша.</w:t>
      </w:r>
    </w:p>
    <w:p w:rsidR="00000000" w:rsidRDefault="00000000">
      <w:r>
        <w:t>201.</w:t>
      </w:r>
      <w:r>
        <w:tab/>
        <w:t>Число женских изданий эквивалентно числу других специализированных журналов, выходящих в Тунисе: шесть детских, три научных и три сельскохозяйственных.</w:t>
      </w:r>
    </w:p>
    <w:p w:rsidR="00000000" w:rsidRDefault="00000000">
      <w:r>
        <w:t>202.</w:t>
      </w:r>
      <w:r>
        <w:tab/>
        <w:t>Некоторые печатные средства массовой информации имеют особую женскую рубрику, в том числе еженедельник "Реалитэ", который каждые две недели выходит с приложением для женщин.</w:t>
      </w:r>
    </w:p>
    <w:p w:rsidR="00000000" w:rsidRDefault="00000000">
      <w:r>
        <w:t>203.</w:t>
      </w:r>
      <w:r>
        <w:tab/>
        <w:t>С другой стороны, информационное пространство в Тунисе остается открытым для любых женских изданий, как арабских, так и зарубежных, значительное число которых обогащает информационный рынок Туниса. Число зарубежных женских изданий, распространяемых в Тунисе, достигает 105 названий при общем числе зарубежных изданий равном 681.</w:t>
      </w:r>
    </w:p>
    <w:p w:rsidR="00000000" w:rsidRDefault="00000000">
      <w:r>
        <w:t>204.</w:t>
      </w:r>
      <w:r>
        <w:tab/>
        <w:t>В 1999 году ЦНИДИЖ организовал выставку, посвященную достижениям женской прессы в период со дня обретения Тунисом независимости до 90-х годов. На ней видное место принадлежало освещению борьбы женщин за эмансипацию и равенство путем публикации произведений женщин в отечественной прессе.</w:t>
      </w:r>
    </w:p>
    <w:p w:rsidR="00000000" w:rsidRDefault="00000000">
      <w:pPr>
        <w:spacing w:before="240" w:line="240" w:lineRule="auto"/>
        <w:rPr>
          <w:b/>
          <w:sz w:val="28"/>
        </w:rPr>
      </w:pPr>
      <w:r>
        <w:rPr>
          <w:b/>
          <w:sz w:val="28"/>
        </w:rPr>
        <w:t>IV.</w:t>
      </w:r>
      <w:r>
        <w:rPr>
          <w:b/>
          <w:sz w:val="28"/>
        </w:rPr>
        <w:tab/>
        <w:t>Роль женщины-журналиста</w:t>
      </w:r>
    </w:p>
    <w:p w:rsidR="00000000" w:rsidRDefault="00000000">
      <w:r>
        <w:t>205.</w:t>
      </w:r>
      <w:r>
        <w:tab/>
        <w:t>С конца 80-х годов кривая участия женщин в различных СМИ идет вверх. В 1998 году для журналистов, имеющих профессиональную аккредитацию, она достигла 25,15 процента по сравнению с 16 процентами в 1987 году.</w:t>
      </w:r>
    </w:p>
    <w:p w:rsidR="00000000" w:rsidRDefault="00000000">
      <w:pPr>
        <w:jc w:val="center"/>
        <w:rPr>
          <w:b/>
        </w:rPr>
      </w:pPr>
      <w:r>
        <w:rPr>
          <w:b/>
        </w:rPr>
        <w:t>Доля женщин среди профессиональных журналистов</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jc w:val="center"/>
        </w:trPr>
        <w:tc>
          <w:tcPr>
            <w:tcW w:w="1701" w:type="dxa"/>
          </w:tcPr>
          <w:p w:rsidR="00000000" w:rsidRDefault="00000000">
            <w:pPr>
              <w:spacing w:before="80" w:after="80" w:line="220" w:lineRule="exact"/>
              <w:jc w:val="center"/>
              <w:rPr>
                <w:b/>
                <w:sz w:val="18"/>
              </w:rPr>
            </w:pPr>
            <w:r>
              <w:rPr>
                <w:b/>
                <w:sz w:val="18"/>
              </w:rPr>
              <w:t>Год</w:t>
            </w:r>
          </w:p>
        </w:tc>
        <w:tc>
          <w:tcPr>
            <w:tcW w:w="1701" w:type="dxa"/>
          </w:tcPr>
          <w:p w:rsidR="00000000" w:rsidRDefault="00000000">
            <w:pPr>
              <w:spacing w:before="80" w:after="80" w:line="220" w:lineRule="exact"/>
              <w:jc w:val="center"/>
              <w:rPr>
                <w:b/>
                <w:sz w:val="18"/>
              </w:rPr>
            </w:pPr>
            <w:r>
              <w:rPr>
                <w:b/>
                <w:sz w:val="18"/>
              </w:rPr>
              <w:t>Всего журналистов</w:t>
            </w:r>
          </w:p>
        </w:tc>
        <w:tc>
          <w:tcPr>
            <w:tcW w:w="1701" w:type="dxa"/>
          </w:tcPr>
          <w:p w:rsidR="00000000" w:rsidRDefault="00000000">
            <w:pPr>
              <w:spacing w:before="80" w:after="80" w:line="220" w:lineRule="exact"/>
              <w:jc w:val="center"/>
              <w:rPr>
                <w:b/>
                <w:sz w:val="18"/>
              </w:rPr>
            </w:pPr>
            <w:r>
              <w:rPr>
                <w:b/>
                <w:sz w:val="18"/>
              </w:rPr>
              <w:t xml:space="preserve">Из них </w:t>
            </w:r>
            <w:r>
              <w:rPr>
                <w:b/>
                <w:sz w:val="18"/>
              </w:rPr>
              <w:br/>
              <w:t>женщин</w:t>
            </w:r>
          </w:p>
        </w:tc>
        <w:tc>
          <w:tcPr>
            <w:tcW w:w="1701" w:type="dxa"/>
          </w:tcPr>
          <w:p w:rsidR="00000000" w:rsidRDefault="00000000">
            <w:pPr>
              <w:spacing w:before="80" w:after="80" w:line="220" w:lineRule="exact"/>
              <w:jc w:val="center"/>
              <w:rPr>
                <w:b/>
                <w:sz w:val="18"/>
              </w:rPr>
            </w:pPr>
            <w:r>
              <w:rPr>
                <w:b/>
                <w:sz w:val="18"/>
              </w:rPr>
              <w:t>Процентная доля</w:t>
            </w:r>
          </w:p>
        </w:tc>
      </w:tr>
      <w:tr w:rsidR="00000000">
        <w:tblPrEx>
          <w:tblCellMar>
            <w:top w:w="0" w:type="dxa"/>
            <w:bottom w:w="0" w:type="dxa"/>
          </w:tblCellMar>
        </w:tblPrEx>
        <w:trPr>
          <w:jc w:val="center"/>
        </w:trPr>
        <w:tc>
          <w:tcPr>
            <w:tcW w:w="1701" w:type="dxa"/>
          </w:tcPr>
          <w:p w:rsidR="00000000" w:rsidRDefault="00000000">
            <w:pPr>
              <w:spacing w:before="80" w:after="80" w:line="220" w:lineRule="exact"/>
              <w:jc w:val="center"/>
              <w:rPr>
                <w:sz w:val="18"/>
              </w:rPr>
            </w:pPr>
            <w:r>
              <w:rPr>
                <w:sz w:val="18"/>
              </w:rPr>
              <w:t>1994</w:t>
            </w:r>
          </w:p>
        </w:tc>
        <w:tc>
          <w:tcPr>
            <w:tcW w:w="1701" w:type="dxa"/>
          </w:tcPr>
          <w:p w:rsidR="00000000" w:rsidRDefault="00000000">
            <w:pPr>
              <w:spacing w:before="80" w:after="80" w:line="220" w:lineRule="exact"/>
              <w:jc w:val="center"/>
              <w:rPr>
                <w:sz w:val="18"/>
              </w:rPr>
            </w:pPr>
            <w:r>
              <w:rPr>
                <w:sz w:val="18"/>
              </w:rPr>
              <w:t>730</w:t>
            </w:r>
          </w:p>
        </w:tc>
        <w:tc>
          <w:tcPr>
            <w:tcW w:w="1701" w:type="dxa"/>
          </w:tcPr>
          <w:p w:rsidR="00000000" w:rsidRDefault="00000000">
            <w:pPr>
              <w:spacing w:before="80" w:after="80" w:line="220" w:lineRule="exact"/>
              <w:jc w:val="center"/>
              <w:rPr>
                <w:sz w:val="18"/>
              </w:rPr>
            </w:pPr>
            <w:r>
              <w:rPr>
                <w:sz w:val="18"/>
              </w:rPr>
              <w:t>164</w:t>
            </w:r>
          </w:p>
        </w:tc>
        <w:tc>
          <w:tcPr>
            <w:tcW w:w="1701" w:type="dxa"/>
          </w:tcPr>
          <w:p w:rsidR="00000000" w:rsidRDefault="00000000">
            <w:pPr>
              <w:spacing w:before="80" w:after="80" w:line="220" w:lineRule="exact"/>
              <w:jc w:val="center"/>
              <w:rPr>
                <w:sz w:val="18"/>
              </w:rPr>
            </w:pPr>
            <w:r>
              <w:rPr>
                <w:sz w:val="18"/>
              </w:rPr>
              <w:t>22,4</w:t>
            </w:r>
          </w:p>
        </w:tc>
      </w:tr>
      <w:tr w:rsidR="00000000">
        <w:tblPrEx>
          <w:tblCellMar>
            <w:top w:w="0" w:type="dxa"/>
            <w:bottom w:w="0" w:type="dxa"/>
          </w:tblCellMar>
        </w:tblPrEx>
        <w:trPr>
          <w:jc w:val="center"/>
        </w:trPr>
        <w:tc>
          <w:tcPr>
            <w:tcW w:w="1701" w:type="dxa"/>
          </w:tcPr>
          <w:p w:rsidR="00000000" w:rsidRDefault="00000000">
            <w:pPr>
              <w:spacing w:before="80" w:after="80" w:line="220" w:lineRule="exact"/>
              <w:jc w:val="center"/>
              <w:rPr>
                <w:sz w:val="18"/>
              </w:rPr>
            </w:pPr>
            <w:r>
              <w:rPr>
                <w:sz w:val="18"/>
              </w:rPr>
              <w:t>1995</w:t>
            </w:r>
          </w:p>
        </w:tc>
        <w:tc>
          <w:tcPr>
            <w:tcW w:w="1701" w:type="dxa"/>
          </w:tcPr>
          <w:p w:rsidR="00000000" w:rsidRDefault="00000000">
            <w:pPr>
              <w:spacing w:before="80" w:after="80" w:line="220" w:lineRule="exact"/>
              <w:jc w:val="center"/>
              <w:rPr>
                <w:sz w:val="18"/>
              </w:rPr>
            </w:pPr>
            <w:r>
              <w:rPr>
                <w:sz w:val="18"/>
              </w:rPr>
              <w:t>743</w:t>
            </w:r>
          </w:p>
        </w:tc>
        <w:tc>
          <w:tcPr>
            <w:tcW w:w="1701" w:type="dxa"/>
          </w:tcPr>
          <w:p w:rsidR="00000000" w:rsidRDefault="00000000">
            <w:pPr>
              <w:spacing w:before="80" w:after="80" w:line="220" w:lineRule="exact"/>
              <w:jc w:val="center"/>
              <w:rPr>
                <w:sz w:val="18"/>
              </w:rPr>
            </w:pPr>
            <w:r>
              <w:rPr>
                <w:sz w:val="18"/>
              </w:rPr>
              <w:t>173</w:t>
            </w:r>
          </w:p>
        </w:tc>
        <w:tc>
          <w:tcPr>
            <w:tcW w:w="1701" w:type="dxa"/>
          </w:tcPr>
          <w:p w:rsidR="00000000" w:rsidRDefault="00000000">
            <w:pPr>
              <w:spacing w:before="80" w:after="80" w:line="220" w:lineRule="exact"/>
              <w:jc w:val="center"/>
              <w:rPr>
                <w:sz w:val="18"/>
              </w:rPr>
            </w:pPr>
            <w:r>
              <w:rPr>
                <w:sz w:val="18"/>
              </w:rPr>
              <w:t>23,2</w:t>
            </w:r>
          </w:p>
        </w:tc>
      </w:tr>
      <w:tr w:rsidR="00000000">
        <w:tblPrEx>
          <w:tblCellMar>
            <w:top w:w="0" w:type="dxa"/>
            <w:bottom w:w="0" w:type="dxa"/>
          </w:tblCellMar>
        </w:tblPrEx>
        <w:trPr>
          <w:jc w:val="center"/>
        </w:trPr>
        <w:tc>
          <w:tcPr>
            <w:tcW w:w="1701" w:type="dxa"/>
          </w:tcPr>
          <w:p w:rsidR="00000000" w:rsidRDefault="00000000">
            <w:pPr>
              <w:spacing w:before="80" w:after="80" w:line="220" w:lineRule="exact"/>
              <w:jc w:val="center"/>
              <w:rPr>
                <w:sz w:val="18"/>
              </w:rPr>
            </w:pPr>
            <w:r>
              <w:rPr>
                <w:sz w:val="18"/>
              </w:rPr>
              <w:t>1996</w:t>
            </w:r>
          </w:p>
        </w:tc>
        <w:tc>
          <w:tcPr>
            <w:tcW w:w="1701" w:type="dxa"/>
          </w:tcPr>
          <w:p w:rsidR="00000000" w:rsidRDefault="00000000">
            <w:pPr>
              <w:spacing w:before="80" w:after="80" w:line="220" w:lineRule="exact"/>
              <w:jc w:val="center"/>
              <w:rPr>
                <w:sz w:val="18"/>
              </w:rPr>
            </w:pPr>
            <w:r>
              <w:rPr>
                <w:sz w:val="18"/>
              </w:rPr>
              <w:t>779</w:t>
            </w:r>
          </w:p>
        </w:tc>
        <w:tc>
          <w:tcPr>
            <w:tcW w:w="1701" w:type="dxa"/>
          </w:tcPr>
          <w:p w:rsidR="00000000" w:rsidRDefault="00000000">
            <w:pPr>
              <w:spacing w:before="80" w:after="80" w:line="220" w:lineRule="exact"/>
              <w:jc w:val="center"/>
              <w:rPr>
                <w:sz w:val="18"/>
              </w:rPr>
            </w:pPr>
            <w:r>
              <w:rPr>
                <w:sz w:val="18"/>
              </w:rPr>
              <w:t>184</w:t>
            </w:r>
          </w:p>
        </w:tc>
        <w:tc>
          <w:tcPr>
            <w:tcW w:w="1701" w:type="dxa"/>
          </w:tcPr>
          <w:p w:rsidR="00000000" w:rsidRDefault="00000000">
            <w:pPr>
              <w:spacing w:before="80" w:after="80" w:line="220" w:lineRule="exact"/>
              <w:jc w:val="center"/>
              <w:rPr>
                <w:sz w:val="18"/>
              </w:rPr>
            </w:pPr>
            <w:r>
              <w:rPr>
                <w:sz w:val="18"/>
              </w:rPr>
              <w:t>23,6</w:t>
            </w:r>
          </w:p>
        </w:tc>
      </w:tr>
      <w:tr w:rsidR="00000000">
        <w:tblPrEx>
          <w:tblCellMar>
            <w:top w:w="0" w:type="dxa"/>
            <w:bottom w:w="0" w:type="dxa"/>
          </w:tblCellMar>
        </w:tblPrEx>
        <w:trPr>
          <w:jc w:val="center"/>
        </w:trPr>
        <w:tc>
          <w:tcPr>
            <w:tcW w:w="1701" w:type="dxa"/>
          </w:tcPr>
          <w:p w:rsidR="00000000" w:rsidRDefault="00000000">
            <w:pPr>
              <w:spacing w:before="80" w:after="80" w:line="220" w:lineRule="exact"/>
              <w:jc w:val="center"/>
              <w:rPr>
                <w:sz w:val="18"/>
              </w:rPr>
            </w:pPr>
            <w:r>
              <w:rPr>
                <w:sz w:val="18"/>
              </w:rPr>
              <w:t>1997</w:t>
            </w:r>
          </w:p>
        </w:tc>
        <w:tc>
          <w:tcPr>
            <w:tcW w:w="1701" w:type="dxa"/>
          </w:tcPr>
          <w:p w:rsidR="00000000" w:rsidRDefault="00000000">
            <w:pPr>
              <w:spacing w:before="80" w:after="80" w:line="220" w:lineRule="exact"/>
              <w:jc w:val="center"/>
              <w:rPr>
                <w:sz w:val="18"/>
              </w:rPr>
            </w:pPr>
            <w:r>
              <w:rPr>
                <w:sz w:val="18"/>
              </w:rPr>
              <w:t>886</w:t>
            </w:r>
          </w:p>
        </w:tc>
        <w:tc>
          <w:tcPr>
            <w:tcW w:w="1701" w:type="dxa"/>
          </w:tcPr>
          <w:p w:rsidR="00000000" w:rsidRDefault="00000000">
            <w:pPr>
              <w:spacing w:before="80" w:after="80" w:line="220" w:lineRule="exact"/>
              <w:jc w:val="center"/>
              <w:rPr>
                <w:sz w:val="18"/>
              </w:rPr>
            </w:pPr>
            <w:r>
              <w:rPr>
                <w:sz w:val="18"/>
              </w:rPr>
              <w:t>227</w:t>
            </w:r>
          </w:p>
        </w:tc>
        <w:tc>
          <w:tcPr>
            <w:tcW w:w="1701" w:type="dxa"/>
          </w:tcPr>
          <w:p w:rsidR="00000000" w:rsidRDefault="00000000">
            <w:pPr>
              <w:spacing w:before="80" w:after="80" w:line="220" w:lineRule="exact"/>
              <w:jc w:val="center"/>
              <w:rPr>
                <w:sz w:val="18"/>
              </w:rPr>
            </w:pPr>
            <w:r>
              <w:rPr>
                <w:sz w:val="18"/>
              </w:rPr>
              <w:t>25,0</w:t>
            </w:r>
          </w:p>
        </w:tc>
      </w:tr>
      <w:tr w:rsidR="00000000">
        <w:tblPrEx>
          <w:tblCellMar>
            <w:top w:w="0" w:type="dxa"/>
            <w:bottom w:w="0" w:type="dxa"/>
          </w:tblCellMar>
        </w:tblPrEx>
        <w:trPr>
          <w:jc w:val="center"/>
        </w:trPr>
        <w:tc>
          <w:tcPr>
            <w:tcW w:w="1701" w:type="dxa"/>
          </w:tcPr>
          <w:p w:rsidR="00000000" w:rsidRDefault="00000000">
            <w:pPr>
              <w:spacing w:before="80" w:after="80" w:line="220" w:lineRule="exact"/>
              <w:jc w:val="center"/>
              <w:rPr>
                <w:sz w:val="18"/>
              </w:rPr>
            </w:pPr>
            <w:r>
              <w:rPr>
                <w:sz w:val="18"/>
              </w:rPr>
              <w:t>1998</w:t>
            </w:r>
          </w:p>
        </w:tc>
        <w:tc>
          <w:tcPr>
            <w:tcW w:w="1701" w:type="dxa"/>
          </w:tcPr>
          <w:p w:rsidR="00000000" w:rsidRDefault="00000000">
            <w:pPr>
              <w:spacing w:before="80" w:after="80" w:line="220" w:lineRule="exact"/>
              <w:jc w:val="center"/>
              <w:rPr>
                <w:sz w:val="18"/>
              </w:rPr>
            </w:pPr>
            <w:r>
              <w:rPr>
                <w:sz w:val="18"/>
              </w:rPr>
              <w:t>938</w:t>
            </w:r>
          </w:p>
        </w:tc>
        <w:tc>
          <w:tcPr>
            <w:tcW w:w="1701" w:type="dxa"/>
          </w:tcPr>
          <w:p w:rsidR="00000000" w:rsidRDefault="00000000">
            <w:pPr>
              <w:spacing w:before="80" w:after="80" w:line="220" w:lineRule="exact"/>
              <w:jc w:val="center"/>
              <w:rPr>
                <w:sz w:val="18"/>
              </w:rPr>
            </w:pPr>
            <w:r>
              <w:rPr>
                <w:sz w:val="18"/>
              </w:rPr>
              <w:t>236</w:t>
            </w:r>
          </w:p>
        </w:tc>
        <w:tc>
          <w:tcPr>
            <w:tcW w:w="1701" w:type="dxa"/>
          </w:tcPr>
          <w:p w:rsidR="00000000" w:rsidRDefault="00000000">
            <w:pPr>
              <w:spacing w:before="80" w:after="80" w:line="220" w:lineRule="exact"/>
              <w:jc w:val="center"/>
              <w:rPr>
                <w:sz w:val="18"/>
              </w:rPr>
            </w:pPr>
            <w:r>
              <w:rPr>
                <w:sz w:val="18"/>
              </w:rPr>
              <w:t>25,15</w:t>
            </w:r>
          </w:p>
        </w:tc>
      </w:tr>
      <w:tr w:rsidR="00000000">
        <w:tblPrEx>
          <w:tblCellMar>
            <w:top w:w="0" w:type="dxa"/>
            <w:bottom w:w="0" w:type="dxa"/>
          </w:tblCellMar>
        </w:tblPrEx>
        <w:trPr>
          <w:jc w:val="center"/>
        </w:trPr>
        <w:tc>
          <w:tcPr>
            <w:tcW w:w="1701" w:type="dxa"/>
          </w:tcPr>
          <w:p w:rsidR="00000000" w:rsidRDefault="00000000">
            <w:pPr>
              <w:spacing w:before="80" w:after="80" w:line="220" w:lineRule="exact"/>
              <w:jc w:val="center"/>
              <w:rPr>
                <w:sz w:val="18"/>
              </w:rPr>
            </w:pPr>
            <w:r>
              <w:rPr>
                <w:sz w:val="18"/>
              </w:rPr>
              <w:t>1999</w:t>
            </w:r>
          </w:p>
        </w:tc>
        <w:tc>
          <w:tcPr>
            <w:tcW w:w="1701" w:type="dxa"/>
          </w:tcPr>
          <w:p w:rsidR="00000000" w:rsidRDefault="00000000">
            <w:pPr>
              <w:spacing w:before="80" w:after="80" w:line="220" w:lineRule="exact"/>
              <w:jc w:val="center"/>
              <w:rPr>
                <w:sz w:val="18"/>
              </w:rPr>
            </w:pPr>
            <w:r>
              <w:rPr>
                <w:sz w:val="18"/>
              </w:rPr>
              <w:t>955</w:t>
            </w:r>
          </w:p>
        </w:tc>
        <w:tc>
          <w:tcPr>
            <w:tcW w:w="1701" w:type="dxa"/>
          </w:tcPr>
          <w:p w:rsidR="00000000" w:rsidRDefault="00000000">
            <w:pPr>
              <w:spacing w:before="80" w:after="80" w:line="220" w:lineRule="exact"/>
              <w:jc w:val="center"/>
              <w:rPr>
                <w:sz w:val="18"/>
              </w:rPr>
            </w:pPr>
            <w:r>
              <w:rPr>
                <w:sz w:val="18"/>
              </w:rPr>
              <w:t>251</w:t>
            </w:r>
          </w:p>
        </w:tc>
        <w:tc>
          <w:tcPr>
            <w:tcW w:w="1701" w:type="dxa"/>
          </w:tcPr>
          <w:p w:rsidR="00000000" w:rsidRDefault="00000000">
            <w:pPr>
              <w:spacing w:before="80" w:after="80" w:line="220" w:lineRule="exact"/>
              <w:jc w:val="center"/>
              <w:rPr>
                <w:sz w:val="18"/>
              </w:rPr>
            </w:pPr>
            <w:r>
              <w:rPr>
                <w:sz w:val="18"/>
              </w:rPr>
              <w:t>26,2</w:t>
            </w:r>
          </w:p>
        </w:tc>
      </w:tr>
    </w:tbl>
    <w:p w:rsidR="00000000" w:rsidRDefault="00000000">
      <w:pPr>
        <w:spacing w:before="120" w:line="220" w:lineRule="exact"/>
        <w:ind w:right="1424"/>
        <w:jc w:val="right"/>
        <w:rPr>
          <w:b/>
          <w:sz w:val="18"/>
        </w:rPr>
      </w:pPr>
      <w:r>
        <w:rPr>
          <w:b/>
          <w:sz w:val="18"/>
        </w:rPr>
        <w:t>Источник: Министерство при премьер-министре</w:t>
      </w:r>
    </w:p>
    <w:p w:rsidR="00000000" w:rsidRDefault="00000000">
      <w:r>
        <w:t>206.</w:t>
      </w:r>
      <w:r>
        <w:tab/>
        <w:t>Распределение женщин-журналистов в целом по СМИ показывает, что наибольшее их число работает в печатной прессе: 33,5 процента от общего числа всех женщин-журналистов.</w:t>
      </w:r>
    </w:p>
    <w:p w:rsidR="00000000" w:rsidRDefault="00000000">
      <w:r>
        <w:t>207.</w:t>
      </w:r>
      <w:r>
        <w:tab/>
        <w:t xml:space="preserve">Распределение женщин-журналистов по основным средствам массовой информации Туниса говорит, однако, о том, что первое место принадлежит Тунисскому радиовещанию и телевидению (ТРТ): 36,5 процента в 1998 году против 33,5 процента в 1994 году; затем идет агентство Тунис Африк Пресс (ТАП): 27,2 процента в </w:t>
      </w:r>
      <w:r>
        <w:br/>
        <w:t>1998 году против 25,6 процента в 1994 году; третье место занимают печатные средства массовой информации: 22 процента в 1998 году против 17,9 процента в 1994 году.</w:t>
      </w:r>
    </w:p>
    <w:p w:rsidR="00000000" w:rsidRDefault="00000000">
      <w:pPr>
        <w:jc w:val="center"/>
        <w:rPr>
          <w:b/>
        </w:rPr>
      </w:pPr>
      <w:r>
        <w:rPr>
          <w:b/>
        </w:rPr>
        <w:t>Доля женщин среди журналистов в различных средствах массовой информации</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13"/>
        <w:gridCol w:w="1319"/>
        <w:gridCol w:w="1319"/>
        <w:gridCol w:w="1319"/>
        <w:gridCol w:w="1319"/>
        <w:gridCol w:w="1319"/>
        <w:gridCol w:w="1319"/>
      </w:tblGrid>
      <w:tr w:rsidR="00000000">
        <w:tblPrEx>
          <w:tblCellMar>
            <w:top w:w="0" w:type="dxa"/>
            <w:bottom w:w="0" w:type="dxa"/>
          </w:tblCellMar>
        </w:tblPrEx>
        <w:trPr>
          <w:cantSplit/>
          <w:jc w:val="center"/>
        </w:trPr>
        <w:tc>
          <w:tcPr>
            <w:tcW w:w="1713" w:type="dxa"/>
            <w:tcBorders>
              <w:top w:val="nil"/>
              <w:left w:val="nil"/>
            </w:tcBorders>
          </w:tcPr>
          <w:p w:rsidR="00000000" w:rsidRDefault="00000000">
            <w:pPr>
              <w:spacing w:before="80" w:after="80" w:line="220" w:lineRule="exact"/>
              <w:jc w:val="center"/>
              <w:rPr>
                <w:b/>
                <w:sz w:val="18"/>
              </w:rPr>
            </w:pPr>
          </w:p>
        </w:tc>
        <w:tc>
          <w:tcPr>
            <w:tcW w:w="3957" w:type="dxa"/>
            <w:gridSpan w:val="3"/>
          </w:tcPr>
          <w:p w:rsidR="00000000" w:rsidRDefault="00000000">
            <w:pPr>
              <w:spacing w:before="80" w:after="80" w:line="220" w:lineRule="exact"/>
              <w:jc w:val="center"/>
              <w:rPr>
                <w:b/>
                <w:sz w:val="18"/>
              </w:rPr>
            </w:pPr>
            <w:r>
              <w:rPr>
                <w:b/>
                <w:sz w:val="18"/>
              </w:rPr>
              <w:t>1994 год</w:t>
            </w:r>
          </w:p>
        </w:tc>
        <w:tc>
          <w:tcPr>
            <w:tcW w:w="3957" w:type="dxa"/>
            <w:gridSpan w:val="3"/>
          </w:tcPr>
          <w:p w:rsidR="00000000" w:rsidRDefault="00000000">
            <w:pPr>
              <w:spacing w:before="80" w:after="80" w:line="220" w:lineRule="exact"/>
              <w:jc w:val="center"/>
              <w:rPr>
                <w:b/>
                <w:sz w:val="18"/>
              </w:rPr>
            </w:pPr>
            <w:r>
              <w:rPr>
                <w:b/>
                <w:sz w:val="18"/>
              </w:rPr>
              <w:t>1998 год</w:t>
            </w:r>
          </w:p>
        </w:tc>
      </w:tr>
      <w:tr w:rsidR="00000000">
        <w:tblPrEx>
          <w:tblCellMar>
            <w:top w:w="0" w:type="dxa"/>
            <w:bottom w:w="0" w:type="dxa"/>
          </w:tblCellMar>
        </w:tblPrEx>
        <w:trPr>
          <w:jc w:val="center"/>
        </w:trPr>
        <w:tc>
          <w:tcPr>
            <w:tcW w:w="1713" w:type="dxa"/>
          </w:tcPr>
          <w:p w:rsidR="00000000" w:rsidRDefault="00000000">
            <w:pPr>
              <w:spacing w:before="80" w:after="80" w:line="220" w:lineRule="exact"/>
              <w:jc w:val="left"/>
              <w:rPr>
                <w:b/>
                <w:sz w:val="18"/>
              </w:rPr>
            </w:pPr>
            <w:r>
              <w:rPr>
                <w:b/>
                <w:sz w:val="18"/>
              </w:rPr>
              <w:t>Средства массовой информации</w:t>
            </w:r>
          </w:p>
        </w:tc>
        <w:tc>
          <w:tcPr>
            <w:tcW w:w="1319" w:type="dxa"/>
          </w:tcPr>
          <w:p w:rsidR="00000000" w:rsidRDefault="00000000">
            <w:pPr>
              <w:spacing w:before="80" w:after="80" w:line="220" w:lineRule="exact"/>
              <w:jc w:val="center"/>
              <w:rPr>
                <w:b/>
                <w:sz w:val="18"/>
              </w:rPr>
            </w:pPr>
            <w:r>
              <w:rPr>
                <w:b/>
                <w:sz w:val="18"/>
              </w:rPr>
              <w:t>всего журналистов</w:t>
            </w:r>
          </w:p>
        </w:tc>
        <w:tc>
          <w:tcPr>
            <w:tcW w:w="1319" w:type="dxa"/>
          </w:tcPr>
          <w:p w:rsidR="00000000" w:rsidRDefault="00000000">
            <w:pPr>
              <w:spacing w:before="80" w:after="80" w:line="220" w:lineRule="exact"/>
              <w:jc w:val="center"/>
              <w:rPr>
                <w:b/>
                <w:sz w:val="18"/>
              </w:rPr>
            </w:pPr>
            <w:r>
              <w:rPr>
                <w:b/>
                <w:sz w:val="18"/>
              </w:rPr>
              <w:t>из них женщин</w:t>
            </w:r>
          </w:p>
        </w:tc>
        <w:tc>
          <w:tcPr>
            <w:tcW w:w="1319" w:type="dxa"/>
          </w:tcPr>
          <w:p w:rsidR="00000000" w:rsidRDefault="00000000">
            <w:pPr>
              <w:spacing w:before="80" w:after="80" w:line="220" w:lineRule="exact"/>
              <w:jc w:val="center"/>
              <w:rPr>
                <w:b/>
                <w:sz w:val="18"/>
              </w:rPr>
            </w:pPr>
            <w:r>
              <w:rPr>
                <w:b/>
                <w:sz w:val="18"/>
              </w:rPr>
              <w:t>процентная доля</w:t>
            </w:r>
          </w:p>
        </w:tc>
        <w:tc>
          <w:tcPr>
            <w:tcW w:w="1319" w:type="dxa"/>
          </w:tcPr>
          <w:p w:rsidR="00000000" w:rsidRDefault="00000000">
            <w:pPr>
              <w:spacing w:before="80" w:after="80" w:line="220" w:lineRule="exact"/>
              <w:jc w:val="center"/>
              <w:rPr>
                <w:b/>
                <w:sz w:val="18"/>
              </w:rPr>
            </w:pPr>
            <w:r>
              <w:rPr>
                <w:b/>
                <w:sz w:val="18"/>
              </w:rPr>
              <w:t>всего журналистов</w:t>
            </w:r>
          </w:p>
        </w:tc>
        <w:tc>
          <w:tcPr>
            <w:tcW w:w="1319" w:type="dxa"/>
          </w:tcPr>
          <w:p w:rsidR="00000000" w:rsidRDefault="00000000">
            <w:pPr>
              <w:spacing w:before="80" w:after="80" w:line="220" w:lineRule="exact"/>
              <w:jc w:val="center"/>
              <w:rPr>
                <w:b/>
                <w:sz w:val="18"/>
              </w:rPr>
            </w:pPr>
            <w:r>
              <w:rPr>
                <w:b/>
                <w:sz w:val="18"/>
              </w:rPr>
              <w:t>из них женщин</w:t>
            </w:r>
          </w:p>
        </w:tc>
        <w:tc>
          <w:tcPr>
            <w:tcW w:w="1319" w:type="dxa"/>
          </w:tcPr>
          <w:p w:rsidR="00000000" w:rsidRDefault="00000000">
            <w:pPr>
              <w:spacing w:before="80" w:after="80" w:line="220" w:lineRule="exact"/>
              <w:jc w:val="center"/>
              <w:rPr>
                <w:b/>
                <w:sz w:val="18"/>
              </w:rPr>
            </w:pPr>
            <w:r>
              <w:rPr>
                <w:b/>
                <w:sz w:val="18"/>
              </w:rPr>
              <w:t>процентная доля</w:t>
            </w:r>
          </w:p>
        </w:tc>
      </w:tr>
      <w:tr w:rsidR="00000000">
        <w:tblPrEx>
          <w:tblCellMar>
            <w:top w:w="0" w:type="dxa"/>
            <w:bottom w:w="0" w:type="dxa"/>
          </w:tblCellMar>
        </w:tblPrEx>
        <w:trPr>
          <w:jc w:val="center"/>
        </w:trPr>
        <w:tc>
          <w:tcPr>
            <w:tcW w:w="1713" w:type="dxa"/>
          </w:tcPr>
          <w:p w:rsidR="00000000" w:rsidRDefault="00000000">
            <w:pPr>
              <w:spacing w:before="80" w:after="80" w:line="220" w:lineRule="exact"/>
              <w:jc w:val="left"/>
              <w:rPr>
                <w:sz w:val="18"/>
              </w:rPr>
            </w:pPr>
            <w:r>
              <w:rPr>
                <w:sz w:val="18"/>
              </w:rPr>
              <w:t>Агентство ТАП</w:t>
            </w:r>
          </w:p>
        </w:tc>
        <w:tc>
          <w:tcPr>
            <w:tcW w:w="1319" w:type="dxa"/>
          </w:tcPr>
          <w:p w:rsidR="00000000" w:rsidRDefault="00000000">
            <w:pPr>
              <w:spacing w:before="80" w:after="80" w:line="220" w:lineRule="exact"/>
              <w:rPr>
                <w:sz w:val="18"/>
              </w:rPr>
            </w:pPr>
            <w:r>
              <w:rPr>
                <w:sz w:val="18"/>
              </w:rPr>
              <w:t>164</w:t>
            </w:r>
          </w:p>
        </w:tc>
        <w:tc>
          <w:tcPr>
            <w:tcW w:w="1319" w:type="dxa"/>
          </w:tcPr>
          <w:p w:rsidR="00000000" w:rsidRDefault="00000000">
            <w:pPr>
              <w:spacing w:before="80" w:after="80" w:line="220" w:lineRule="exact"/>
              <w:rPr>
                <w:sz w:val="18"/>
              </w:rPr>
            </w:pPr>
            <w:r>
              <w:rPr>
                <w:sz w:val="18"/>
              </w:rPr>
              <w:t>42</w:t>
            </w:r>
          </w:p>
        </w:tc>
        <w:tc>
          <w:tcPr>
            <w:tcW w:w="1319" w:type="dxa"/>
          </w:tcPr>
          <w:p w:rsidR="00000000" w:rsidRDefault="00000000">
            <w:pPr>
              <w:spacing w:before="80" w:after="80" w:line="220" w:lineRule="exact"/>
              <w:rPr>
                <w:sz w:val="18"/>
              </w:rPr>
            </w:pPr>
            <w:r>
              <w:rPr>
                <w:sz w:val="18"/>
              </w:rPr>
              <w:t>25,6</w:t>
            </w:r>
          </w:p>
        </w:tc>
        <w:tc>
          <w:tcPr>
            <w:tcW w:w="1319" w:type="dxa"/>
          </w:tcPr>
          <w:p w:rsidR="00000000" w:rsidRDefault="00000000">
            <w:pPr>
              <w:spacing w:before="80" w:after="80" w:line="220" w:lineRule="exact"/>
              <w:rPr>
                <w:sz w:val="18"/>
              </w:rPr>
            </w:pPr>
            <w:r>
              <w:rPr>
                <w:sz w:val="18"/>
              </w:rPr>
              <w:t>191</w:t>
            </w:r>
          </w:p>
        </w:tc>
        <w:tc>
          <w:tcPr>
            <w:tcW w:w="1319" w:type="dxa"/>
          </w:tcPr>
          <w:p w:rsidR="00000000" w:rsidRDefault="00000000">
            <w:pPr>
              <w:spacing w:before="80" w:after="80" w:line="220" w:lineRule="exact"/>
              <w:rPr>
                <w:sz w:val="18"/>
              </w:rPr>
            </w:pPr>
            <w:r>
              <w:rPr>
                <w:sz w:val="18"/>
              </w:rPr>
              <w:t>53</w:t>
            </w:r>
          </w:p>
        </w:tc>
        <w:tc>
          <w:tcPr>
            <w:tcW w:w="1319" w:type="dxa"/>
          </w:tcPr>
          <w:p w:rsidR="00000000" w:rsidRDefault="00000000">
            <w:pPr>
              <w:spacing w:before="80" w:after="80" w:line="220" w:lineRule="exact"/>
              <w:rPr>
                <w:sz w:val="18"/>
              </w:rPr>
            </w:pPr>
            <w:r>
              <w:rPr>
                <w:sz w:val="18"/>
              </w:rPr>
              <w:t>27,2</w:t>
            </w:r>
          </w:p>
        </w:tc>
      </w:tr>
      <w:tr w:rsidR="00000000">
        <w:tblPrEx>
          <w:tblCellMar>
            <w:top w:w="0" w:type="dxa"/>
            <w:bottom w:w="0" w:type="dxa"/>
          </w:tblCellMar>
        </w:tblPrEx>
        <w:trPr>
          <w:jc w:val="center"/>
        </w:trPr>
        <w:tc>
          <w:tcPr>
            <w:tcW w:w="1713" w:type="dxa"/>
          </w:tcPr>
          <w:p w:rsidR="00000000" w:rsidRDefault="00000000">
            <w:pPr>
              <w:spacing w:before="80" w:after="80" w:line="220" w:lineRule="exact"/>
              <w:jc w:val="left"/>
              <w:rPr>
                <w:sz w:val="18"/>
              </w:rPr>
            </w:pPr>
            <w:r>
              <w:rPr>
                <w:sz w:val="18"/>
              </w:rPr>
              <w:t>ТРТ</w:t>
            </w:r>
          </w:p>
        </w:tc>
        <w:tc>
          <w:tcPr>
            <w:tcW w:w="1319" w:type="dxa"/>
          </w:tcPr>
          <w:p w:rsidR="00000000" w:rsidRDefault="00000000">
            <w:pPr>
              <w:spacing w:before="80" w:after="80" w:line="220" w:lineRule="exact"/>
              <w:rPr>
                <w:sz w:val="18"/>
              </w:rPr>
            </w:pPr>
            <w:r>
              <w:rPr>
                <w:sz w:val="18"/>
              </w:rPr>
              <w:t>188</w:t>
            </w:r>
          </w:p>
        </w:tc>
        <w:tc>
          <w:tcPr>
            <w:tcW w:w="1319" w:type="dxa"/>
          </w:tcPr>
          <w:p w:rsidR="00000000" w:rsidRDefault="00000000">
            <w:pPr>
              <w:spacing w:before="80" w:after="80" w:line="220" w:lineRule="exact"/>
              <w:rPr>
                <w:sz w:val="18"/>
              </w:rPr>
            </w:pPr>
            <w:r>
              <w:rPr>
                <w:sz w:val="18"/>
              </w:rPr>
              <w:t>63</w:t>
            </w:r>
          </w:p>
        </w:tc>
        <w:tc>
          <w:tcPr>
            <w:tcW w:w="1319" w:type="dxa"/>
          </w:tcPr>
          <w:p w:rsidR="00000000" w:rsidRDefault="00000000">
            <w:pPr>
              <w:spacing w:before="80" w:after="80" w:line="220" w:lineRule="exact"/>
              <w:rPr>
                <w:sz w:val="18"/>
              </w:rPr>
            </w:pPr>
            <w:r>
              <w:rPr>
                <w:sz w:val="18"/>
              </w:rPr>
              <w:t>33,5</w:t>
            </w:r>
          </w:p>
        </w:tc>
        <w:tc>
          <w:tcPr>
            <w:tcW w:w="1319" w:type="dxa"/>
          </w:tcPr>
          <w:p w:rsidR="00000000" w:rsidRDefault="00000000">
            <w:pPr>
              <w:spacing w:before="80" w:after="80" w:line="220" w:lineRule="exact"/>
              <w:rPr>
                <w:sz w:val="18"/>
              </w:rPr>
            </w:pPr>
            <w:r>
              <w:rPr>
                <w:sz w:val="18"/>
              </w:rPr>
              <w:t>178</w:t>
            </w:r>
          </w:p>
        </w:tc>
        <w:tc>
          <w:tcPr>
            <w:tcW w:w="1319" w:type="dxa"/>
          </w:tcPr>
          <w:p w:rsidR="00000000" w:rsidRDefault="00000000">
            <w:pPr>
              <w:spacing w:before="80" w:after="80" w:line="220" w:lineRule="exact"/>
              <w:rPr>
                <w:sz w:val="18"/>
              </w:rPr>
            </w:pPr>
            <w:r>
              <w:rPr>
                <w:sz w:val="18"/>
              </w:rPr>
              <w:t>64</w:t>
            </w:r>
          </w:p>
        </w:tc>
        <w:tc>
          <w:tcPr>
            <w:tcW w:w="1319" w:type="dxa"/>
          </w:tcPr>
          <w:p w:rsidR="00000000" w:rsidRDefault="00000000">
            <w:pPr>
              <w:spacing w:before="80" w:after="80" w:line="220" w:lineRule="exact"/>
              <w:rPr>
                <w:sz w:val="18"/>
              </w:rPr>
            </w:pPr>
            <w:r>
              <w:rPr>
                <w:sz w:val="18"/>
              </w:rPr>
              <w:t>36,5</w:t>
            </w:r>
          </w:p>
        </w:tc>
      </w:tr>
      <w:tr w:rsidR="00000000">
        <w:tblPrEx>
          <w:tblCellMar>
            <w:top w:w="0" w:type="dxa"/>
            <w:bottom w:w="0" w:type="dxa"/>
          </w:tblCellMar>
        </w:tblPrEx>
        <w:trPr>
          <w:jc w:val="center"/>
        </w:trPr>
        <w:tc>
          <w:tcPr>
            <w:tcW w:w="1713" w:type="dxa"/>
          </w:tcPr>
          <w:p w:rsidR="00000000" w:rsidRDefault="00000000">
            <w:pPr>
              <w:spacing w:before="80" w:after="80" w:line="220" w:lineRule="exact"/>
              <w:jc w:val="left"/>
              <w:rPr>
                <w:sz w:val="18"/>
              </w:rPr>
            </w:pPr>
            <w:r>
              <w:rPr>
                <w:sz w:val="18"/>
              </w:rPr>
              <w:t>Печатная пресса</w:t>
            </w:r>
          </w:p>
        </w:tc>
        <w:tc>
          <w:tcPr>
            <w:tcW w:w="1319" w:type="dxa"/>
          </w:tcPr>
          <w:p w:rsidR="00000000" w:rsidRDefault="00000000">
            <w:pPr>
              <w:spacing w:before="80" w:after="80" w:line="220" w:lineRule="exact"/>
              <w:rPr>
                <w:sz w:val="18"/>
              </w:rPr>
            </w:pPr>
            <w:r>
              <w:rPr>
                <w:sz w:val="18"/>
              </w:rPr>
              <w:t>378</w:t>
            </w:r>
          </w:p>
        </w:tc>
        <w:tc>
          <w:tcPr>
            <w:tcW w:w="1319" w:type="dxa"/>
          </w:tcPr>
          <w:p w:rsidR="00000000" w:rsidRDefault="00000000">
            <w:pPr>
              <w:spacing w:before="80" w:after="80" w:line="220" w:lineRule="exact"/>
              <w:rPr>
                <w:sz w:val="18"/>
              </w:rPr>
            </w:pPr>
            <w:r>
              <w:rPr>
                <w:sz w:val="18"/>
              </w:rPr>
              <w:t>68</w:t>
            </w:r>
          </w:p>
        </w:tc>
        <w:tc>
          <w:tcPr>
            <w:tcW w:w="1319" w:type="dxa"/>
          </w:tcPr>
          <w:p w:rsidR="00000000" w:rsidRDefault="00000000">
            <w:pPr>
              <w:spacing w:before="80" w:after="80" w:line="220" w:lineRule="exact"/>
              <w:rPr>
                <w:sz w:val="18"/>
              </w:rPr>
            </w:pPr>
            <w:r>
              <w:rPr>
                <w:sz w:val="18"/>
              </w:rPr>
              <w:t>17,9</w:t>
            </w:r>
          </w:p>
        </w:tc>
        <w:tc>
          <w:tcPr>
            <w:tcW w:w="1319" w:type="dxa"/>
          </w:tcPr>
          <w:p w:rsidR="00000000" w:rsidRDefault="00000000">
            <w:pPr>
              <w:spacing w:before="80" w:after="80" w:line="220" w:lineRule="exact"/>
              <w:rPr>
                <w:sz w:val="18"/>
              </w:rPr>
            </w:pPr>
            <w:r>
              <w:rPr>
                <w:sz w:val="18"/>
              </w:rPr>
              <w:t>453</w:t>
            </w:r>
          </w:p>
        </w:tc>
        <w:tc>
          <w:tcPr>
            <w:tcW w:w="1319" w:type="dxa"/>
          </w:tcPr>
          <w:p w:rsidR="00000000" w:rsidRDefault="00000000">
            <w:pPr>
              <w:spacing w:before="80" w:after="80" w:line="220" w:lineRule="exact"/>
              <w:rPr>
                <w:sz w:val="18"/>
              </w:rPr>
            </w:pPr>
            <w:r>
              <w:rPr>
                <w:sz w:val="18"/>
              </w:rPr>
              <w:t>102</w:t>
            </w:r>
          </w:p>
        </w:tc>
        <w:tc>
          <w:tcPr>
            <w:tcW w:w="1319" w:type="dxa"/>
          </w:tcPr>
          <w:p w:rsidR="00000000" w:rsidRDefault="00000000">
            <w:pPr>
              <w:spacing w:before="80" w:after="80" w:line="220" w:lineRule="exact"/>
              <w:rPr>
                <w:sz w:val="18"/>
              </w:rPr>
            </w:pPr>
            <w:r>
              <w:rPr>
                <w:sz w:val="18"/>
              </w:rPr>
              <w:t>22,5</w:t>
            </w:r>
          </w:p>
        </w:tc>
      </w:tr>
    </w:tbl>
    <w:p w:rsidR="00000000" w:rsidRDefault="00000000">
      <w:pPr>
        <w:spacing w:before="120"/>
        <w:jc w:val="right"/>
        <w:rPr>
          <w:b/>
          <w:sz w:val="18"/>
        </w:rPr>
      </w:pPr>
      <w:r>
        <w:rPr>
          <w:b/>
          <w:sz w:val="18"/>
        </w:rPr>
        <w:t>Источник: Министерство при премьер-министре</w:t>
      </w:r>
    </w:p>
    <w:p w:rsidR="00000000" w:rsidRDefault="00000000">
      <w:r>
        <w:t>208.</w:t>
      </w:r>
      <w:r>
        <w:tab/>
        <w:t>Что касается профессиональной подготовки журналистов и специалистов в области распространения информации, то после впечатляющего прорыва в 70–80-х годах, когда общее число студентов возросло с 14 процентов в 1973/74 учебном году до 63,3 процента в 1991/92 учебном году, с начала 90-х годов число студенток в Институте прессы и информационной технологии Туниса (ИПИТ) относительно стабилизировалось, о чем свидетельствует таблица, ниже:</w:t>
      </w:r>
    </w:p>
    <w:p w:rsidR="00000000" w:rsidRDefault="00000000"/>
    <w:p w:rsidR="00000000" w:rsidRDefault="00000000">
      <w:pPr>
        <w:jc w:val="center"/>
        <w:rPr>
          <w:b/>
        </w:rPr>
      </w:pPr>
      <w:r>
        <w:rPr>
          <w:b/>
        </w:rPr>
        <w:t>Доля женщин среди студентов Института прессы и информационной технологии Туниса (ИПИТ)</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1701"/>
        <w:gridCol w:w="1701"/>
        <w:gridCol w:w="1701"/>
        <w:gridCol w:w="1701"/>
      </w:tblGrid>
      <w:tr w:rsidR="00000000">
        <w:tblPrEx>
          <w:tblCellMar>
            <w:top w:w="0" w:type="dxa"/>
            <w:bottom w:w="0" w:type="dxa"/>
          </w:tblCellMar>
        </w:tblPrEx>
        <w:trPr>
          <w:jc w:val="center"/>
        </w:trPr>
        <w:tc>
          <w:tcPr>
            <w:tcW w:w="2268" w:type="dxa"/>
          </w:tcPr>
          <w:p w:rsidR="00000000" w:rsidRDefault="00000000">
            <w:pPr>
              <w:spacing w:before="80" w:after="80" w:line="220" w:lineRule="exact"/>
              <w:jc w:val="center"/>
              <w:rPr>
                <w:b/>
                <w:sz w:val="18"/>
              </w:rPr>
            </w:pPr>
            <w:r>
              <w:rPr>
                <w:b/>
                <w:sz w:val="18"/>
              </w:rPr>
              <w:t>Учебный год</w:t>
            </w:r>
          </w:p>
        </w:tc>
        <w:tc>
          <w:tcPr>
            <w:tcW w:w="1701" w:type="dxa"/>
          </w:tcPr>
          <w:p w:rsidR="00000000" w:rsidRDefault="00000000">
            <w:pPr>
              <w:spacing w:before="80" w:after="80" w:line="220" w:lineRule="exact"/>
              <w:jc w:val="center"/>
              <w:rPr>
                <w:b/>
                <w:sz w:val="18"/>
              </w:rPr>
            </w:pPr>
            <w:r>
              <w:rPr>
                <w:b/>
                <w:sz w:val="18"/>
              </w:rPr>
              <w:t>Всего студентов</w:t>
            </w:r>
          </w:p>
        </w:tc>
        <w:tc>
          <w:tcPr>
            <w:tcW w:w="1701" w:type="dxa"/>
          </w:tcPr>
          <w:p w:rsidR="00000000" w:rsidRDefault="00000000">
            <w:pPr>
              <w:spacing w:before="80" w:after="80" w:line="220" w:lineRule="exact"/>
              <w:jc w:val="center"/>
              <w:rPr>
                <w:b/>
                <w:sz w:val="18"/>
              </w:rPr>
            </w:pPr>
            <w:r>
              <w:rPr>
                <w:b/>
                <w:sz w:val="18"/>
              </w:rPr>
              <w:t>Из них мужчин</w:t>
            </w:r>
          </w:p>
        </w:tc>
        <w:tc>
          <w:tcPr>
            <w:tcW w:w="1701" w:type="dxa"/>
          </w:tcPr>
          <w:p w:rsidR="00000000" w:rsidRDefault="00000000">
            <w:pPr>
              <w:spacing w:before="80" w:after="80" w:line="220" w:lineRule="exact"/>
              <w:jc w:val="center"/>
              <w:rPr>
                <w:b/>
                <w:sz w:val="18"/>
              </w:rPr>
            </w:pPr>
            <w:r>
              <w:rPr>
                <w:b/>
                <w:sz w:val="18"/>
              </w:rPr>
              <w:t>Из них женщин</w:t>
            </w:r>
          </w:p>
        </w:tc>
        <w:tc>
          <w:tcPr>
            <w:tcW w:w="1701" w:type="dxa"/>
          </w:tcPr>
          <w:p w:rsidR="00000000" w:rsidRDefault="00000000">
            <w:pPr>
              <w:spacing w:before="80" w:after="80" w:line="220" w:lineRule="exact"/>
              <w:jc w:val="center"/>
              <w:rPr>
                <w:b/>
                <w:sz w:val="18"/>
              </w:rPr>
            </w:pPr>
            <w:r>
              <w:rPr>
                <w:b/>
                <w:sz w:val="18"/>
              </w:rPr>
              <w:t>Процентная доля</w:t>
            </w:r>
          </w:p>
        </w:tc>
      </w:tr>
      <w:tr w:rsidR="00000000">
        <w:tblPrEx>
          <w:tblCellMar>
            <w:top w:w="0" w:type="dxa"/>
            <w:bottom w:w="0" w:type="dxa"/>
          </w:tblCellMar>
        </w:tblPrEx>
        <w:trPr>
          <w:jc w:val="center"/>
        </w:trPr>
        <w:tc>
          <w:tcPr>
            <w:tcW w:w="2268" w:type="dxa"/>
          </w:tcPr>
          <w:p w:rsidR="00000000" w:rsidRDefault="00000000">
            <w:pPr>
              <w:spacing w:before="80" w:after="80" w:line="220" w:lineRule="exact"/>
              <w:rPr>
                <w:sz w:val="18"/>
              </w:rPr>
            </w:pPr>
            <w:r>
              <w:rPr>
                <w:sz w:val="18"/>
              </w:rPr>
              <w:t>1994/95</w:t>
            </w:r>
          </w:p>
        </w:tc>
        <w:tc>
          <w:tcPr>
            <w:tcW w:w="1701" w:type="dxa"/>
          </w:tcPr>
          <w:p w:rsidR="00000000" w:rsidRDefault="00000000">
            <w:pPr>
              <w:spacing w:before="80" w:after="80" w:line="220" w:lineRule="exact"/>
              <w:jc w:val="center"/>
              <w:rPr>
                <w:sz w:val="18"/>
              </w:rPr>
            </w:pPr>
            <w:r>
              <w:rPr>
                <w:sz w:val="18"/>
              </w:rPr>
              <w:t>641</w:t>
            </w:r>
          </w:p>
        </w:tc>
        <w:tc>
          <w:tcPr>
            <w:tcW w:w="1701" w:type="dxa"/>
          </w:tcPr>
          <w:p w:rsidR="00000000" w:rsidRDefault="00000000">
            <w:pPr>
              <w:spacing w:before="80" w:after="80" w:line="220" w:lineRule="exact"/>
              <w:jc w:val="center"/>
              <w:rPr>
                <w:sz w:val="18"/>
              </w:rPr>
            </w:pPr>
            <w:r>
              <w:rPr>
                <w:sz w:val="18"/>
              </w:rPr>
              <w:t>213</w:t>
            </w:r>
          </w:p>
        </w:tc>
        <w:tc>
          <w:tcPr>
            <w:tcW w:w="1701" w:type="dxa"/>
          </w:tcPr>
          <w:p w:rsidR="00000000" w:rsidRDefault="00000000">
            <w:pPr>
              <w:spacing w:before="80" w:after="80" w:line="220" w:lineRule="exact"/>
              <w:jc w:val="center"/>
              <w:rPr>
                <w:sz w:val="18"/>
              </w:rPr>
            </w:pPr>
            <w:r>
              <w:rPr>
                <w:sz w:val="18"/>
              </w:rPr>
              <w:t>428</w:t>
            </w:r>
          </w:p>
        </w:tc>
        <w:tc>
          <w:tcPr>
            <w:tcW w:w="1701" w:type="dxa"/>
          </w:tcPr>
          <w:p w:rsidR="00000000" w:rsidRDefault="00000000">
            <w:pPr>
              <w:spacing w:before="80" w:after="80" w:line="220" w:lineRule="exact"/>
              <w:jc w:val="center"/>
              <w:rPr>
                <w:sz w:val="18"/>
              </w:rPr>
            </w:pPr>
            <w:r>
              <w:rPr>
                <w:sz w:val="18"/>
              </w:rPr>
              <w:t>66,77</w:t>
            </w:r>
          </w:p>
        </w:tc>
      </w:tr>
      <w:tr w:rsidR="00000000">
        <w:tblPrEx>
          <w:tblCellMar>
            <w:top w:w="0" w:type="dxa"/>
            <w:bottom w:w="0" w:type="dxa"/>
          </w:tblCellMar>
        </w:tblPrEx>
        <w:trPr>
          <w:jc w:val="center"/>
        </w:trPr>
        <w:tc>
          <w:tcPr>
            <w:tcW w:w="2268" w:type="dxa"/>
          </w:tcPr>
          <w:p w:rsidR="00000000" w:rsidRDefault="00000000">
            <w:pPr>
              <w:spacing w:before="80" w:after="80" w:line="220" w:lineRule="exact"/>
              <w:rPr>
                <w:sz w:val="18"/>
              </w:rPr>
            </w:pPr>
            <w:r>
              <w:rPr>
                <w:sz w:val="18"/>
              </w:rPr>
              <w:t>1995/96</w:t>
            </w:r>
          </w:p>
        </w:tc>
        <w:tc>
          <w:tcPr>
            <w:tcW w:w="1701" w:type="dxa"/>
          </w:tcPr>
          <w:p w:rsidR="00000000" w:rsidRDefault="00000000">
            <w:pPr>
              <w:spacing w:before="80" w:after="80" w:line="220" w:lineRule="exact"/>
              <w:jc w:val="center"/>
              <w:rPr>
                <w:sz w:val="18"/>
              </w:rPr>
            </w:pPr>
            <w:r>
              <w:rPr>
                <w:sz w:val="18"/>
              </w:rPr>
              <w:t>695</w:t>
            </w:r>
          </w:p>
        </w:tc>
        <w:tc>
          <w:tcPr>
            <w:tcW w:w="1701" w:type="dxa"/>
          </w:tcPr>
          <w:p w:rsidR="00000000" w:rsidRDefault="00000000">
            <w:pPr>
              <w:spacing w:before="80" w:after="80" w:line="220" w:lineRule="exact"/>
              <w:jc w:val="center"/>
              <w:rPr>
                <w:sz w:val="18"/>
              </w:rPr>
            </w:pPr>
            <w:r>
              <w:rPr>
                <w:sz w:val="18"/>
              </w:rPr>
              <w:t>221</w:t>
            </w:r>
          </w:p>
        </w:tc>
        <w:tc>
          <w:tcPr>
            <w:tcW w:w="1701" w:type="dxa"/>
          </w:tcPr>
          <w:p w:rsidR="00000000" w:rsidRDefault="00000000">
            <w:pPr>
              <w:spacing w:before="80" w:after="80" w:line="220" w:lineRule="exact"/>
              <w:jc w:val="center"/>
              <w:rPr>
                <w:sz w:val="18"/>
              </w:rPr>
            </w:pPr>
            <w:r>
              <w:rPr>
                <w:sz w:val="18"/>
              </w:rPr>
              <w:t>474</w:t>
            </w:r>
          </w:p>
        </w:tc>
        <w:tc>
          <w:tcPr>
            <w:tcW w:w="1701" w:type="dxa"/>
          </w:tcPr>
          <w:p w:rsidR="00000000" w:rsidRDefault="00000000">
            <w:pPr>
              <w:spacing w:before="80" w:after="80" w:line="220" w:lineRule="exact"/>
              <w:jc w:val="center"/>
              <w:rPr>
                <w:sz w:val="18"/>
              </w:rPr>
            </w:pPr>
            <w:r>
              <w:rPr>
                <w:sz w:val="18"/>
              </w:rPr>
              <w:t>68,20</w:t>
            </w:r>
          </w:p>
        </w:tc>
      </w:tr>
      <w:tr w:rsidR="00000000">
        <w:tblPrEx>
          <w:tblCellMar>
            <w:top w:w="0" w:type="dxa"/>
            <w:bottom w:w="0" w:type="dxa"/>
          </w:tblCellMar>
        </w:tblPrEx>
        <w:trPr>
          <w:jc w:val="center"/>
        </w:trPr>
        <w:tc>
          <w:tcPr>
            <w:tcW w:w="2268" w:type="dxa"/>
          </w:tcPr>
          <w:p w:rsidR="00000000" w:rsidRDefault="00000000">
            <w:pPr>
              <w:spacing w:before="80" w:after="80" w:line="220" w:lineRule="exact"/>
              <w:rPr>
                <w:sz w:val="18"/>
              </w:rPr>
            </w:pPr>
            <w:r>
              <w:rPr>
                <w:sz w:val="18"/>
              </w:rPr>
              <w:t>1996/97</w:t>
            </w:r>
          </w:p>
        </w:tc>
        <w:tc>
          <w:tcPr>
            <w:tcW w:w="1701" w:type="dxa"/>
          </w:tcPr>
          <w:p w:rsidR="00000000" w:rsidRDefault="00000000">
            <w:pPr>
              <w:spacing w:before="80" w:after="80" w:line="220" w:lineRule="exact"/>
              <w:jc w:val="center"/>
              <w:rPr>
                <w:sz w:val="18"/>
              </w:rPr>
            </w:pPr>
            <w:r>
              <w:rPr>
                <w:sz w:val="18"/>
              </w:rPr>
              <w:t>721</w:t>
            </w:r>
          </w:p>
        </w:tc>
        <w:tc>
          <w:tcPr>
            <w:tcW w:w="1701" w:type="dxa"/>
          </w:tcPr>
          <w:p w:rsidR="00000000" w:rsidRDefault="00000000">
            <w:pPr>
              <w:spacing w:before="80" w:after="80" w:line="220" w:lineRule="exact"/>
              <w:jc w:val="center"/>
              <w:rPr>
                <w:sz w:val="18"/>
              </w:rPr>
            </w:pPr>
            <w:r>
              <w:rPr>
                <w:sz w:val="18"/>
              </w:rPr>
              <w:t>281</w:t>
            </w:r>
          </w:p>
        </w:tc>
        <w:tc>
          <w:tcPr>
            <w:tcW w:w="1701" w:type="dxa"/>
          </w:tcPr>
          <w:p w:rsidR="00000000" w:rsidRDefault="00000000">
            <w:pPr>
              <w:spacing w:before="80" w:after="80" w:line="220" w:lineRule="exact"/>
              <w:jc w:val="center"/>
              <w:rPr>
                <w:sz w:val="18"/>
              </w:rPr>
            </w:pPr>
            <w:r>
              <w:rPr>
                <w:sz w:val="18"/>
              </w:rPr>
              <w:t>440</w:t>
            </w:r>
          </w:p>
        </w:tc>
        <w:tc>
          <w:tcPr>
            <w:tcW w:w="1701" w:type="dxa"/>
          </w:tcPr>
          <w:p w:rsidR="00000000" w:rsidRDefault="00000000">
            <w:pPr>
              <w:spacing w:before="80" w:after="80" w:line="220" w:lineRule="exact"/>
              <w:jc w:val="center"/>
              <w:rPr>
                <w:sz w:val="18"/>
              </w:rPr>
            </w:pPr>
            <w:r>
              <w:rPr>
                <w:sz w:val="18"/>
              </w:rPr>
              <w:t>61,02</w:t>
            </w:r>
          </w:p>
        </w:tc>
      </w:tr>
      <w:tr w:rsidR="00000000">
        <w:tblPrEx>
          <w:tblCellMar>
            <w:top w:w="0" w:type="dxa"/>
            <w:bottom w:w="0" w:type="dxa"/>
          </w:tblCellMar>
        </w:tblPrEx>
        <w:trPr>
          <w:jc w:val="center"/>
        </w:trPr>
        <w:tc>
          <w:tcPr>
            <w:tcW w:w="2268" w:type="dxa"/>
          </w:tcPr>
          <w:p w:rsidR="00000000" w:rsidRDefault="00000000">
            <w:pPr>
              <w:spacing w:before="80" w:after="80" w:line="220" w:lineRule="exact"/>
              <w:rPr>
                <w:sz w:val="18"/>
              </w:rPr>
            </w:pPr>
            <w:r>
              <w:rPr>
                <w:sz w:val="18"/>
              </w:rPr>
              <w:t>1997/98</w:t>
            </w:r>
          </w:p>
        </w:tc>
        <w:tc>
          <w:tcPr>
            <w:tcW w:w="1701" w:type="dxa"/>
          </w:tcPr>
          <w:p w:rsidR="00000000" w:rsidRDefault="00000000">
            <w:pPr>
              <w:spacing w:before="80" w:after="80" w:line="220" w:lineRule="exact"/>
              <w:jc w:val="center"/>
              <w:rPr>
                <w:sz w:val="18"/>
              </w:rPr>
            </w:pPr>
            <w:r>
              <w:rPr>
                <w:sz w:val="18"/>
              </w:rPr>
              <w:t>721</w:t>
            </w:r>
          </w:p>
        </w:tc>
        <w:tc>
          <w:tcPr>
            <w:tcW w:w="1701" w:type="dxa"/>
          </w:tcPr>
          <w:p w:rsidR="00000000" w:rsidRDefault="00000000">
            <w:pPr>
              <w:spacing w:before="80" w:after="80" w:line="220" w:lineRule="exact"/>
              <w:jc w:val="center"/>
              <w:rPr>
                <w:sz w:val="18"/>
              </w:rPr>
            </w:pPr>
            <w:r>
              <w:rPr>
                <w:sz w:val="18"/>
              </w:rPr>
              <w:t>234</w:t>
            </w:r>
          </w:p>
        </w:tc>
        <w:tc>
          <w:tcPr>
            <w:tcW w:w="1701" w:type="dxa"/>
          </w:tcPr>
          <w:p w:rsidR="00000000" w:rsidRDefault="00000000">
            <w:pPr>
              <w:spacing w:before="80" w:after="80" w:line="220" w:lineRule="exact"/>
              <w:jc w:val="center"/>
              <w:rPr>
                <w:sz w:val="18"/>
              </w:rPr>
            </w:pPr>
            <w:r>
              <w:rPr>
                <w:sz w:val="18"/>
              </w:rPr>
              <w:t>487</w:t>
            </w:r>
          </w:p>
        </w:tc>
        <w:tc>
          <w:tcPr>
            <w:tcW w:w="1701" w:type="dxa"/>
          </w:tcPr>
          <w:p w:rsidR="00000000" w:rsidRDefault="00000000">
            <w:pPr>
              <w:spacing w:before="80" w:after="80" w:line="220" w:lineRule="exact"/>
              <w:jc w:val="center"/>
              <w:rPr>
                <w:sz w:val="18"/>
              </w:rPr>
            </w:pPr>
            <w:r>
              <w:rPr>
                <w:sz w:val="18"/>
              </w:rPr>
              <w:t>67,54</w:t>
            </w:r>
          </w:p>
        </w:tc>
      </w:tr>
      <w:tr w:rsidR="00000000">
        <w:tblPrEx>
          <w:tblCellMar>
            <w:top w:w="0" w:type="dxa"/>
            <w:bottom w:w="0" w:type="dxa"/>
          </w:tblCellMar>
        </w:tblPrEx>
        <w:trPr>
          <w:jc w:val="center"/>
        </w:trPr>
        <w:tc>
          <w:tcPr>
            <w:tcW w:w="2268" w:type="dxa"/>
          </w:tcPr>
          <w:p w:rsidR="00000000" w:rsidRDefault="00000000">
            <w:pPr>
              <w:spacing w:before="80" w:after="80" w:line="220" w:lineRule="exact"/>
              <w:rPr>
                <w:sz w:val="18"/>
              </w:rPr>
            </w:pPr>
            <w:r>
              <w:rPr>
                <w:sz w:val="18"/>
              </w:rPr>
              <w:t>1998/99</w:t>
            </w:r>
          </w:p>
        </w:tc>
        <w:tc>
          <w:tcPr>
            <w:tcW w:w="1701" w:type="dxa"/>
          </w:tcPr>
          <w:p w:rsidR="00000000" w:rsidRDefault="00000000">
            <w:pPr>
              <w:spacing w:before="80" w:after="80" w:line="220" w:lineRule="exact"/>
              <w:jc w:val="center"/>
              <w:rPr>
                <w:sz w:val="18"/>
              </w:rPr>
            </w:pPr>
            <w:r>
              <w:rPr>
                <w:sz w:val="18"/>
              </w:rPr>
              <w:t>720</w:t>
            </w:r>
          </w:p>
        </w:tc>
        <w:tc>
          <w:tcPr>
            <w:tcW w:w="1701" w:type="dxa"/>
          </w:tcPr>
          <w:p w:rsidR="00000000" w:rsidRDefault="00000000">
            <w:pPr>
              <w:spacing w:before="80" w:after="80" w:line="220" w:lineRule="exact"/>
              <w:jc w:val="center"/>
              <w:rPr>
                <w:sz w:val="18"/>
              </w:rPr>
            </w:pPr>
            <w:r>
              <w:rPr>
                <w:sz w:val="18"/>
              </w:rPr>
              <w:t>225</w:t>
            </w:r>
          </w:p>
        </w:tc>
        <w:tc>
          <w:tcPr>
            <w:tcW w:w="1701" w:type="dxa"/>
          </w:tcPr>
          <w:p w:rsidR="00000000" w:rsidRDefault="00000000">
            <w:pPr>
              <w:spacing w:before="80" w:after="80" w:line="220" w:lineRule="exact"/>
              <w:jc w:val="center"/>
              <w:rPr>
                <w:sz w:val="18"/>
              </w:rPr>
            </w:pPr>
            <w:r>
              <w:rPr>
                <w:sz w:val="18"/>
              </w:rPr>
              <w:t>495</w:t>
            </w:r>
          </w:p>
        </w:tc>
        <w:tc>
          <w:tcPr>
            <w:tcW w:w="1701" w:type="dxa"/>
          </w:tcPr>
          <w:p w:rsidR="00000000" w:rsidRDefault="00000000">
            <w:pPr>
              <w:spacing w:before="80" w:after="80" w:line="220" w:lineRule="exact"/>
              <w:jc w:val="center"/>
              <w:rPr>
                <w:sz w:val="18"/>
              </w:rPr>
            </w:pPr>
            <w:r>
              <w:rPr>
                <w:sz w:val="18"/>
              </w:rPr>
              <w:t>68,75</w:t>
            </w:r>
          </w:p>
        </w:tc>
      </w:tr>
    </w:tbl>
    <w:p w:rsidR="00000000" w:rsidRDefault="00000000">
      <w:pPr>
        <w:spacing w:before="120" w:line="220" w:lineRule="exact"/>
        <w:ind w:right="290"/>
        <w:jc w:val="right"/>
        <w:rPr>
          <w:b/>
          <w:sz w:val="18"/>
        </w:rPr>
      </w:pPr>
      <w:r>
        <w:rPr>
          <w:b/>
          <w:sz w:val="18"/>
        </w:rPr>
        <w:t>Источник: Министерство при премьер-министре</w:t>
      </w:r>
    </w:p>
    <w:p w:rsidR="00000000" w:rsidRDefault="00000000">
      <w:r>
        <w:t>209.</w:t>
      </w:r>
      <w:r>
        <w:tab/>
        <w:t>Растет доля женщин в аудиовизуальных СМИ. Среди работников всех специальностей – инженеров, специалистов в области информатики и программирования, журналистов, продюсеров и администраторов – Тунисского радио и телевидения женщины составляют 25,5 процента и более 60 процентов ведущих различных программ.</w:t>
      </w:r>
    </w:p>
    <w:p w:rsidR="00000000" w:rsidRDefault="00000000">
      <w:r>
        <w:t>210.</w:t>
      </w:r>
      <w:r>
        <w:tab/>
        <w:t>Что касается доступа к директивным должностям, доля женщин-журналистов в государственных СМИ растет медленнее, чем их доля среди представителей этой профессии в целом. По сообщениям самих средств массовой информации, женщины в той или иной степени отстают в этом смысле от своих коллег-мужчин. В агентстве ТАП ответственные должности занимают 23 процента служащих женского пола, а доля женщин среди всех служащих составляет лишь 17,3 процента (21 из 121).</w:t>
      </w:r>
    </w:p>
    <w:p w:rsidR="00000000" w:rsidRDefault="00000000">
      <w:r>
        <w:t>211.</w:t>
      </w:r>
      <w:r>
        <w:tab/>
        <w:t>В государственном секторе, в частности на ТПТ и в агентстве ТАП, женщины добились признания благодаря своему профессионализму и высокому качеству журналистской продукции. Некоторые важные должности, ранее доступные только мужчинам, теперь занимают женщины-журналисты. Например, на Тунисском радио и телевидении директором "Радио для молодежи", одного из трех каналов, является женщина, три женщины – старшие редакторы, соответственно главного выпуска новостей, передаваемого в 20 часов, выпуска региональных новостей, передаваемого в 18 часов 30 минут, и радиожурнала "Радио молодых", не считая многочисленных женщин-продюсеров и ведущих радио- и телепрограмм.</w:t>
      </w:r>
    </w:p>
    <w:p w:rsidR="00000000" w:rsidRDefault="00000000">
      <w:r>
        <w:t>212.</w:t>
      </w:r>
      <w:r>
        <w:tab/>
        <w:t>В печатной прессе, в частности независимой, доступ женщин к директивным должностям все еще весьма ограничен, несмотря на высокое качество их журналистской продукции.</w:t>
      </w:r>
    </w:p>
    <w:p w:rsidR="00000000" w:rsidRDefault="00000000">
      <w:r>
        <w:t>213.</w:t>
      </w:r>
      <w:r>
        <w:tab/>
        <w:t>Что касается непрерывного профессионального обучения, женщины-журналисты пользуются в той же степени, как их коллеги-мужчины, возможностями для переквалификации и повышения профессионального уровня как в Тунисе в рамках деятельности Африканского центра усовершенствования журналистов и специалистов по распространению информации (АЦУЖД), так и за рубежом в рамках международного сотрудничества, в частности на Тунисском радио и телевидении и в агентстве ТАП.</w:t>
      </w:r>
    </w:p>
    <w:p w:rsidR="00000000" w:rsidRDefault="00000000">
      <w:pPr>
        <w:spacing w:before="120" w:line="240" w:lineRule="auto"/>
        <w:rPr>
          <w:b/>
          <w:sz w:val="28"/>
        </w:rPr>
      </w:pPr>
      <w:r>
        <w:rPr>
          <w:b/>
          <w:sz w:val="28"/>
        </w:rPr>
        <w:t>V.</w:t>
      </w:r>
      <w:r>
        <w:rPr>
          <w:b/>
          <w:sz w:val="28"/>
        </w:rPr>
        <w:tab/>
        <w:t>Женщины и средства массовой информации</w:t>
      </w:r>
    </w:p>
    <w:p w:rsidR="00000000" w:rsidRDefault="00000000">
      <w:r>
        <w:t>214.</w:t>
      </w:r>
      <w:r>
        <w:tab/>
        <w:t>Сознавая необходимость сократить разрыв между законодательством и реальной жизнью, многие участники выработки политики в отношении женщин сосредоточились на решении вопросов, связанных с образом женщины в средствах массовой информации.</w:t>
      </w:r>
    </w:p>
    <w:p w:rsidR="00000000" w:rsidRDefault="00000000">
      <w:r>
        <w:t>215.</w:t>
      </w:r>
      <w:r>
        <w:tab/>
        <w:t xml:space="preserve">В ноябре 1994 года в ЦНИДИЖ прошел арабо-африканский семинар на тему "Женщины и средства информации: доступ к выражению идей и принятию решений" в качестве прелюдии к международному симпозиуму, который должен был состояться по решению ЮНЕСКО в Торонто с 28 февраля по 3 марта </w:t>
      </w:r>
      <w:r>
        <w:br/>
        <w:t>1995 года. Эта встреча позволила констатировать успехи женщин в средствах массовой информации, а также вскрыть недостатки, в частности в том, что касается доступа к директивным должностям.</w:t>
      </w:r>
    </w:p>
    <w:p w:rsidR="00000000" w:rsidRDefault="00000000">
      <w:r>
        <w:t>216.</w:t>
      </w:r>
      <w:r>
        <w:tab/>
        <w:t>В 1992–1993 годах Национальный союз тунисских женщин (НСТЖ) провел исследование на тему "Образ женщины в обществе". Это исследование было отобрано симпозиумом ЮНЕСКО в Торонто, среди пяти представленных письменных документов, для выставки по случаю четвертой Всемирной конференции по положению женщин в Пекине.</w:t>
      </w:r>
    </w:p>
    <w:p w:rsidR="00000000" w:rsidRDefault="00000000">
      <w:r>
        <w:t>217.</w:t>
      </w:r>
      <w:r>
        <w:tab/>
        <w:t>После осуществления этого исследования НСТЖ провел в августе 1995 года национальный семинар для всех ответственных работников СМИ.</w:t>
      </w:r>
    </w:p>
    <w:p w:rsidR="00000000" w:rsidRDefault="00000000">
      <w:r>
        <w:t>218.</w:t>
      </w:r>
      <w:r>
        <w:tab/>
        <w:t>8 марта 1997 года МДЖС организовало по случаю Международного женского дня семинар на тему "Женщины и средства массовой информации: за новое партнерство". В связи с этим был составлен справочный документ о позиции тунисской женщины в средствах массовой информации.</w:t>
      </w:r>
    </w:p>
    <w:p w:rsidR="00000000" w:rsidRDefault="00000000">
      <w:r>
        <w:t>219.</w:t>
      </w:r>
      <w:r>
        <w:tab/>
        <w:t>Участники состоявшихся при этом встреч рекомендовали осуществить целенаправленные акции в поддержку профессиональных работников СМИ, чтобы способствовать их более позитивному подходу в освещении вопросов, касающихся женщин. Они также отметили ограниченный доступ женщин-профессионалов в области коммуникаций, в частности в печатной прессе, к директивным должностям.</w:t>
      </w:r>
    </w:p>
    <w:p w:rsidR="00000000" w:rsidRDefault="00000000">
      <w:pPr>
        <w:spacing w:before="240" w:line="240" w:lineRule="auto"/>
        <w:jc w:val="left"/>
        <w:rPr>
          <w:b/>
          <w:sz w:val="28"/>
        </w:rPr>
      </w:pPr>
      <w:r>
        <w:rPr>
          <w:b/>
          <w:sz w:val="28"/>
        </w:rPr>
        <w:t>VI.</w:t>
      </w:r>
      <w:r>
        <w:rPr>
          <w:b/>
          <w:sz w:val="28"/>
        </w:rPr>
        <w:tab/>
        <w:t>Механизмы улучшения подхода СМИ к освещению образа женщины</w:t>
      </w:r>
    </w:p>
    <w:p w:rsidR="00000000" w:rsidRDefault="00000000">
      <w:pPr>
        <w:spacing w:line="260" w:lineRule="exact"/>
        <w:ind w:left="680" w:hanging="680"/>
        <w:jc w:val="left"/>
        <w:rPr>
          <w:b/>
          <w:sz w:val="22"/>
        </w:rPr>
      </w:pPr>
      <w:r>
        <w:rPr>
          <w:b/>
          <w:sz w:val="22"/>
        </w:rPr>
        <w:t>VI.1.</w:t>
      </w:r>
      <w:r>
        <w:rPr>
          <w:b/>
          <w:sz w:val="22"/>
        </w:rPr>
        <w:tab/>
        <w:t xml:space="preserve">Комиссия по контролю за создаваемым в средствах массовой информации </w:t>
      </w:r>
      <w:r>
        <w:rPr>
          <w:b/>
          <w:sz w:val="22"/>
        </w:rPr>
        <w:br/>
        <w:t>образом женщины</w:t>
      </w:r>
    </w:p>
    <w:p w:rsidR="00000000" w:rsidRDefault="00000000">
      <w:r>
        <w:t>220.</w:t>
      </w:r>
      <w:r>
        <w:tab/>
        <w:t>Учрежденная в сентябре 1997 года в рамках Национального совета по вопросам женщин и семьи в соответствии с рекомендациями стратегии в отношении женщин IX национального плана развития и во исполнение Пекинской платформы действий, Комиссия по контролю за создаваемым в СМИ образом женщины выступила по окончании своего первого года работы с предложением об осуществлении плана действий по улучшению подхода СМИ в освещении женской проблематики. Это предложение было представлено на рассмотрение Президенту Республики.</w:t>
      </w:r>
    </w:p>
    <w:p w:rsidR="00000000" w:rsidRDefault="00000000">
      <w:r>
        <w:t>221.</w:t>
      </w:r>
      <w:r>
        <w:tab/>
        <w:t>Комиссия также предложила гарантировать представительство учреждений, занимающихся вопросами улучшения положения женщины и семьи, – в данном случае МДЖС и НСТЖ (в ведении которого находится Комиссия) – в национальных структурах, занимающихся выпуском медийной продукции.</w:t>
      </w:r>
    </w:p>
    <w:p w:rsidR="00000000" w:rsidRDefault="00000000">
      <w:r>
        <w:t>222.</w:t>
      </w:r>
      <w:r>
        <w:tab/>
        <w:t>Комиссия также рекомендовала провести акции по привлечению общественного мнения к деятельности специалистов в области коммуникаций, учредить ежегодную премию за лучшее в плане создания образа женщины произведение работников СМИ, а также просвещать журналистов в области гендерного подхода в их работе.</w:t>
      </w:r>
    </w:p>
    <w:p w:rsidR="00000000" w:rsidRDefault="00000000">
      <w:r>
        <w:t>223.</w:t>
      </w:r>
      <w:r>
        <w:tab/>
        <w:t>Следуя рекомендациям этой Комиссии, Министерство по делам женщин и семьи организовало в 1998 и 1999 годах несколько встреч-дискуссий с профессионалами СМИ, в частности со сценаристами телевизионных программ. В декабре 1999 года оно провело также евросредиземноморский семинар на тему "Женщина и средства массовой информации: за сбалансированный образ" в сотрудничестве с Африканским центром повышения квалификации журналистов и специалистов по распространению информации и при финансовой поддержке представительства Европейской комиссии в городе Тунисе.</w:t>
      </w:r>
    </w:p>
    <w:p w:rsidR="00000000" w:rsidRDefault="00000000">
      <w:pPr>
        <w:spacing w:before="120" w:line="260" w:lineRule="exact"/>
        <w:rPr>
          <w:b/>
          <w:sz w:val="22"/>
        </w:rPr>
      </w:pPr>
      <w:r>
        <w:rPr>
          <w:b/>
          <w:sz w:val="22"/>
        </w:rPr>
        <w:t>VI.2.</w:t>
      </w:r>
      <w:r>
        <w:rPr>
          <w:b/>
          <w:sz w:val="22"/>
        </w:rPr>
        <w:tab/>
        <w:t xml:space="preserve">Группа ЦНИДИЖ по наблюдению за создаваемым образом женщины </w:t>
      </w:r>
    </w:p>
    <w:p w:rsidR="00000000" w:rsidRDefault="00000000">
      <w:r>
        <w:t>224.</w:t>
      </w:r>
      <w:r>
        <w:tab/>
        <w:t>В рамках осуществления пекинской Платформы действий и благодаря поддержке ЮНФПА ЦНИДИЖ создал в 1996 году наблюдательный орган для оценки того, какое место уделяется женщине в средствах массовой информации (печатных и аудиовизуальных). Речь идет о небольшой группе наблюдателей, которая старается выявлять основные черты образа женщины, создаваемого СМИ, чтобы иметь возможность "контролировать этот процесс и проверять правильность отображения интересов и проблем женщин".</w:t>
      </w:r>
    </w:p>
    <w:p w:rsidR="00000000" w:rsidRDefault="00000000">
      <w:r>
        <w:t>225.</w:t>
      </w:r>
      <w:r>
        <w:tab/>
        <w:t xml:space="preserve">В рамках этой деятельности в 1996 году ЦНИДИЖ провел ряд рабочих встреч на тему "Женщины и средства массовой информации", в которых приняли участие молодые журналисты, мужчины и женщины, чтобы привлечь их внимание и пробудить в них интерес к созданию правдивых произведений о жизни женщин и вообще посвященных женской проблематике. </w:t>
      </w:r>
    </w:p>
    <w:p w:rsidR="00000000" w:rsidRDefault="00000000">
      <w:pPr>
        <w:spacing w:before="120" w:line="260" w:lineRule="exact"/>
        <w:ind w:left="680" w:hanging="680"/>
        <w:jc w:val="left"/>
        <w:rPr>
          <w:b/>
          <w:sz w:val="22"/>
        </w:rPr>
      </w:pPr>
      <w:r>
        <w:rPr>
          <w:b/>
          <w:sz w:val="22"/>
        </w:rPr>
        <w:t>VI.3.</w:t>
      </w:r>
      <w:r>
        <w:rPr>
          <w:b/>
          <w:sz w:val="22"/>
        </w:rPr>
        <w:tab/>
        <w:t xml:space="preserve">Премия имени Тахара Хаддада за создание гармоничного образа женщины </w:t>
      </w:r>
      <w:r>
        <w:rPr>
          <w:b/>
          <w:sz w:val="22"/>
        </w:rPr>
        <w:br/>
        <w:t>в средствах массовой информации</w:t>
      </w:r>
    </w:p>
    <w:p w:rsidR="00000000" w:rsidRDefault="00000000">
      <w:r>
        <w:t>226.</w:t>
      </w:r>
      <w:r>
        <w:tab/>
        <w:t xml:space="preserve">Согласно рекомендациям комиссии "Женщины и средства массовой  информации" в соответствии с декретом № 99-1037 от 17 мая 1999 года была учреждена премия имени Тахара Хаддада за лучшую работу для прессы, радио или телевидения. Эта премия должна присуждаться за произведение, наилучшим образом освещающее проблематику образа женщины. Впервые эта премия была присуждена женщине-телережиссеру и вручена ей Президентом Республики 27 мая 1997 года, когда отмечался Национальный день культуры. </w:t>
      </w:r>
    </w:p>
    <w:p w:rsidR="00000000" w:rsidRDefault="00000000">
      <w:r>
        <w:t>227.</w:t>
      </w:r>
      <w:r>
        <w:tab/>
        <w:t>Эта премия должна присуждаться ежегодно журналисту или специалисту в области распространения информации за качественную работу в течение года. В статье 2 декрета об учреждении этой премии выражаются пожелания в отношении создаваемого образа женщины: "Образ женщины считается гармоничным, когда она представлена как человек, личность и гражданин, имеющий обязанности и пользующийся основными свободами, закрепленными в национальном законодательстве и международных конвенциях; такой образ обязательно должен отражать во всем многообразии роль, которую женщина играет в различных областях общественной и личной жизни, способствуя, таким образом, преодолению стереотипов в этой сфере".</w:t>
      </w:r>
    </w:p>
    <w:p w:rsidR="00000000" w:rsidRDefault="00000000">
      <w:pPr>
        <w:spacing w:before="180" w:line="240" w:lineRule="auto"/>
        <w:rPr>
          <w:b/>
          <w:sz w:val="28"/>
        </w:rPr>
      </w:pPr>
      <w:r>
        <w:rPr>
          <w:b/>
          <w:sz w:val="28"/>
        </w:rPr>
        <w:t>VII.</w:t>
      </w:r>
      <w:r>
        <w:rPr>
          <w:b/>
          <w:sz w:val="28"/>
        </w:rPr>
        <w:tab/>
        <w:t>Просвещение в области прав человека</w:t>
      </w:r>
    </w:p>
    <w:p w:rsidR="00000000" w:rsidRDefault="00000000">
      <w:r>
        <w:t>228.</w:t>
      </w:r>
      <w:r>
        <w:tab/>
        <w:t>Просвещение в области прав человека и пропаганда культуры прав человека на всех уровнях являются в Тунисе одним из национальных приоритетов в сфере образования. Тунисские учебные учреждения (государственные и частные, общего профиля или специализированные), а также работающие в сфере культуры и информации содействуют внедрению таких ценностей, как терпимость, в сознание нынешних и будущих поколений.</w:t>
      </w:r>
    </w:p>
    <w:p w:rsidR="00000000" w:rsidRDefault="00000000">
      <w:r>
        <w:t>229.</w:t>
      </w:r>
      <w:r>
        <w:tab/>
        <w:t>Чтобы обеспечить максимальное осуществление национальных законов и международных конвенций, необходимо популяризировать права человека, способствовать их пониманию и реализации во всех слоях общества и информировать общественность относительно их содержания и их полезности.</w:t>
      </w:r>
    </w:p>
    <w:p w:rsidR="00000000" w:rsidRDefault="00000000">
      <w:r>
        <w:t>230.</w:t>
      </w:r>
      <w:r>
        <w:tab/>
        <w:t>Сегодня существует очевидная трехсторонняя связь между нормативными текстами, их эффективным осуществлением и информацией, основанной на мобилизации внимания общества и популяризации. Тунис вступил на путь приобретения богатейшего передового опыта в области изучения прав человека на уровне как общего образования (базовое, среднее и высшее), так и специального (Национальная школа администрации, Высший институт магистратуры, Школа правоохранительных, полицейских сил и национальной гвардии…).</w:t>
      </w:r>
    </w:p>
    <w:p w:rsidR="00000000" w:rsidRDefault="00000000">
      <w:r>
        <w:t>231.</w:t>
      </w:r>
      <w:r>
        <w:tab/>
        <w:t>В 1995 году была создана Национальная комиссия по обучению в области прав человека. Возглавляемая министром образования, она включает представителей основных государственных учреждений и неправительственных организаций, участвующих в процессе обучения в области прав человека. В ней также представлено Министерство по делам женщин и семьи. В 1998 году эта Комиссия опубликовала ряд брошюр о правах человека в Тунисе по случаю 50-летия Всеобщей декларации прав человека.</w:t>
      </w:r>
    </w:p>
    <w:p w:rsidR="00000000" w:rsidRDefault="00000000">
      <w:pPr>
        <w:spacing w:after="120"/>
      </w:pPr>
      <w:r>
        <w:t>232.</w:t>
      </w:r>
      <w:r>
        <w:tab/>
        <w:t>Были приняты также и другие меры по улучшению обучения в области прав человека и прав женщины в государственных учреждениях и органах безопасности, в частности:</w:t>
      </w:r>
    </w:p>
    <w:p w:rsidR="00000000" w:rsidRDefault="00000000">
      <w:pPr>
        <w:spacing w:after="120"/>
      </w:pPr>
      <w:r>
        <w:t>–</w:t>
      </w:r>
      <w:r>
        <w:tab/>
        <w:t>создание в Министерстве внутренних дел структуры по контролю за соблюдением прав человека;</w:t>
      </w:r>
    </w:p>
    <w:p w:rsidR="00000000" w:rsidRDefault="00000000">
      <w:pPr>
        <w:spacing w:after="120"/>
      </w:pPr>
      <w:r>
        <w:t>–</w:t>
      </w:r>
      <w:r>
        <w:tab/>
        <w:t>создание в Министерстве социальных дел национальных центров социальной защиты;</w:t>
      </w:r>
    </w:p>
    <w:p w:rsidR="00000000" w:rsidRDefault="00000000">
      <w:pPr>
        <w:spacing w:after="120"/>
      </w:pPr>
      <w:r>
        <w:t>–</w:t>
      </w:r>
      <w:r>
        <w:tab/>
        <w:t>создание структур по изучению общественного мнения во всех министерствах и провинциях;</w:t>
      </w:r>
    </w:p>
    <w:p w:rsidR="00000000" w:rsidRDefault="00000000">
      <w:pPr>
        <w:spacing w:after="120"/>
        <w:ind w:left="680" w:hanging="680"/>
      </w:pPr>
      <w:r>
        <w:t>–</w:t>
      </w:r>
      <w:r>
        <w:tab/>
        <w:t>вручение каждому новому сотруднику органов безопасности кодекса поведения, который его обязывает уважать записанные в нем правила и принципы прав человека;</w:t>
      </w:r>
    </w:p>
    <w:p w:rsidR="00000000" w:rsidRDefault="00000000">
      <w:pPr>
        <w:ind w:left="680" w:hanging="680"/>
      </w:pPr>
      <w:r>
        <w:t>–</w:t>
      </w:r>
      <w:r>
        <w:tab/>
        <w:t>постепенный допуск женщин к работе в учреждениях, задача которых состоит в борьбе с насилием. Женщины освоили большинство соответствующих специальностей, в частности в судебной полиции, где их число увеличилось в десять раз.</w:t>
      </w:r>
    </w:p>
    <w:p w:rsidR="00000000" w:rsidRDefault="00000000">
      <w:pPr>
        <w:spacing w:before="240" w:line="240" w:lineRule="auto"/>
        <w:rPr>
          <w:b/>
          <w:sz w:val="28"/>
        </w:rPr>
      </w:pPr>
      <w:r>
        <w:rPr>
          <w:b/>
          <w:sz w:val="28"/>
        </w:rPr>
        <w:t>VIII.</w:t>
      </w:r>
      <w:r>
        <w:rPr>
          <w:b/>
          <w:sz w:val="28"/>
        </w:rPr>
        <w:tab/>
        <w:t>Роль Министерства по делам женщин и семьи (МДЖС)</w:t>
      </w:r>
    </w:p>
    <w:p w:rsidR="00000000" w:rsidRDefault="00000000">
      <w:pPr>
        <w:spacing w:before="120" w:line="260" w:lineRule="exact"/>
        <w:rPr>
          <w:b/>
          <w:sz w:val="22"/>
        </w:rPr>
      </w:pPr>
      <w:r>
        <w:rPr>
          <w:b/>
          <w:sz w:val="22"/>
        </w:rPr>
        <w:t>VIII.1. Национальный план действий в поддержку семьи (НПДПС)</w:t>
      </w:r>
    </w:p>
    <w:p w:rsidR="00000000" w:rsidRDefault="00000000">
      <w:r>
        <w:t>233.</w:t>
      </w:r>
      <w:r>
        <w:tab/>
        <w:t>Если интерес к проблемам семьи возник в Тунисе далеко не вчера, то выработка особой политики в отношении семьи, направленной на ее поддержку, является частью грандиозного мероприятия по модернизации общества, которое позволит лучше учитывать изменения, которые несет с собой ХХI век, и успешнее внедрять в жизнь такие ценности, как соблюдение прав человека и личности.</w:t>
      </w:r>
    </w:p>
    <w:p w:rsidR="00000000" w:rsidRDefault="00000000">
      <w:r>
        <w:t>234.</w:t>
      </w:r>
      <w:r>
        <w:tab/>
        <w:t>Осуществляемый с 1996 года Национальный план действий в поддержку семьи предполагает использование ресурсов и участие многих правительственных и неправительственных инстанций. План предусматривает проведение целого ряда мероприятий в целях повышения воспитательной и социальной роли семьи в области супружеских отношений, приучения детей к жизни в коллективе и укрепления физического и психического здоровья членов семьи.</w:t>
      </w:r>
    </w:p>
    <w:p w:rsidR="00000000" w:rsidRDefault="00000000">
      <w:pPr>
        <w:spacing w:after="120"/>
      </w:pPr>
      <w:r>
        <w:t>235.</w:t>
      </w:r>
      <w:r>
        <w:tab/>
        <w:t>Имея конечной целью торжество модели демократической семьи, основанной на равенстве и общей ответственности, этот план подразделяется на четыре большие части:</w:t>
      </w:r>
    </w:p>
    <w:p w:rsidR="00000000" w:rsidRDefault="00000000">
      <w:pPr>
        <w:spacing w:after="120"/>
        <w:ind w:left="680" w:hanging="680"/>
      </w:pPr>
      <w:r>
        <w:t>–</w:t>
      </w:r>
      <w:r>
        <w:tab/>
        <w:t>супружеские отношения: укреплять сплоченность и согласие внутри супружеских пар, лучше готовить молодежь к вступлению в брак;</w:t>
      </w:r>
    </w:p>
    <w:p w:rsidR="00000000" w:rsidRDefault="00000000">
      <w:pPr>
        <w:spacing w:after="120"/>
        <w:ind w:left="680" w:hanging="680"/>
      </w:pPr>
      <w:r>
        <w:t>–</w:t>
      </w:r>
      <w:r>
        <w:tab/>
        <w:t>приучение детей к жизни в коллективе: обеспечивать им воспитание, создающее благоприятные условия для раскрытия их способностей и соответствующее ценностям прав человека;</w:t>
      </w:r>
    </w:p>
    <w:p w:rsidR="00000000" w:rsidRDefault="00000000">
      <w:pPr>
        <w:spacing w:after="120"/>
      </w:pPr>
      <w:r>
        <w:t>–</w:t>
      </w:r>
      <w:r>
        <w:tab/>
        <w:t>физическое и психическое здоровье семьи: предупреждать появление в ней нестабильности;</w:t>
      </w:r>
    </w:p>
    <w:p w:rsidR="00000000" w:rsidRDefault="00000000">
      <w:r>
        <w:t>–</w:t>
      </w:r>
      <w:r>
        <w:tab/>
        <w:t xml:space="preserve">семейная экономика: управление бюджетом семьи и умножение ее ресурсов. </w:t>
      </w:r>
    </w:p>
    <w:p w:rsidR="00000000" w:rsidRDefault="00000000">
      <w:r>
        <w:t>236.</w:t>
      </w:r>
      <w:r>
        <w:tab/>
        <w:t>В достижении этих целей план опирается, в частности, на стратегию информации и коммуникации, цель которой состоит в изменении менталитета путем закрепления принципов равенства и взаимоуважения, а также во внедрении культуры прав человека и сознания гражданского долга в жизнь семьи. Эта стратегия основана на использовании как средств массовой информации – радио, телевидения и прессы, так и специалистов, работающих в области семьи.</w:t>
      </w:r>
    </w:p>
    <w:p w:rsidR="00000000" w:rsidRDefault="00000000">
      <w:pPr>
        <w:spacing w:after="120"/>
      </w:pPr>
      <w:r>
        <w:t>237.</w:t>
      </w:r>
      <w:r>
        <w:tab/>
        <w:t>В связи с этим с 1996 года Министерство по делам женщин и семьи проводит в сотрудничестве с германским кооперативным агентством ГТЦ и Тунисским радиовещанием и телевидением мультимедийную кампанию по привлечению общественного мнения, ориентированную на родителей и супружеские пары, по теме "Гражданственность зарождается в семье". Эта кампания включала:</w:t>
      </w:r>
    </w:p>
    <w:p w:rsidR="00000000" w:rsidRDefault="00000000">
      <w:pPr>
        <w:spacing w:after="120"/>
      </w:pPr>
      <w:r>
        <w:rPr>
          <w:lang w:val="en-US"/>
        </w:rPr>
        <w:tab/>
      </w:r>
      <w:r>
        <w:t>*</w:t>
      </w:r>
      <w:r>
        <w:tab/>
        <w:t>два теле- и радиоклипа, призывающих семьи и супружеские пары всегда разрешать семейные конфликты исключительно путем диалога. В первом клипе подчеркивается необходимость поощрять обмен мнениями и контакты между родителями и детьми, признавать за ребенком, как и за остальными членами семьи, право выражать свое мнение. Во втором клипе упор делается на необходимость своевременного установления и укрепления активного общения между супругами и подчеркивается благотворное влияние таких отношений на супружескую и семейную гармонию;</w:t>
      </w:r>
    </w:p>
    <w:p w:rsidR="00000000" w:rsidRDefault="00000000">
      <w:pPr>
        <w:spacing w:after="120"/>
      </w:pPr>
      <w:r>
        <w:rPr>
          <w:lang w:val="en-US"/>
        </w:rPr>
        <w:tab/>
      </w:r>
      <w:r>
        <w:t>*</w:t>
      </w:r>
      <w:r>
        <w:tab/>
        <w:t>два других теле- и радиоклипа о справедливом и нестереотипном распределении семейных обязанностей между мужем и женой и между представителями разных поколений были реализованы в 1997 и 1998 годах. Эти программы пропагандируют взаимозаменяемость ролей и приучение ребенка к жизни в коллективе, основываясь на этом принципе (женские организации и ассоциации откликнулись на эти программы, выбрав их темой для обсуждения на встречах своих членов);</w:t>
      </w:r>
    </w:p>
    <w:p w:rsidR="00000000" w:rsidRDefault="00000000">
      <w:pPr>
        <w:spacing w:after="120"/>
      </w:pPr>
      <w:r>
        <w:tab/>
        <w:t>*</w:t>
      </w:r>
      <w:r>
        <w:tab/>
        <w:t>серию из 8 межрегиональных семинаров по профессиональной подготовке и просвещению в области коммуникаций для работников служб социального обеспечения, а также воспитателей, социальных помощников, членов НПО и тех, кто может способствовать развитию диалога и партнерства между мужчиной и женщиной в семье. Социальные помощницы, посредники в урегулировании семейных конфликтов, а также добровольцы НПО были основными участниками этих встреч, из которых четыре были посвящены проблемам ребенка в коллективе (ведение диалога, распределение обязанностей и т. д.), а четыре других – супружеским отношениям.</w:t>
      </w:r>
    </w:p>
    <w:p w:rsidR="00000000" w:rsidRDefault="00000000">
      <w:pPr>
        <w:spacing w:after="120"/>
      </w:pPr>
      <w:r>
        <w:tab/>
      </w:r>
      <w:r>
        <w:tab/>
        <w:t>Каждый семинар состоял из двух частей: в первой речь шла о социологическом и психологическом аспектах, а вторая проводилась в форме рабочих встреч, задача которых состояла в повышении знаний и совершенствовании коммуникационных методов соответствующих специалистов;</w:t>
      </w:r>
    </w:p>
    <w:p w:rsidR="00000000" w:rsidRDefault="00000000">
      <w:pPr>
        <w:spacing w:after="120"/>
      </w:pPr>
      <w:r>
        <w:tab/>
        <w:t>*</w:t>
      </w:r>
      <w:r>
        <w:tab/>
        <w:t>издание ряда руководств, пропагандирующих права женщины и девочки:</w:t>
      </w:r>
    </w:p>
    <w:p w:rsidR="00000000" w:rsidRDefault="00000000">
      <w:pPr>
        <w:spacing w:after="120"/>
      </w:pPr>
      <w:r>
        <w:tab/>
        <w:t>–</w:t>
      </w:r>
      <w:r>
        <w:tab/>
        <w:t>Права девочки (1995 год, на арабском и французском языках);</w:t>
      </w:r>
    </w:p>
    <w:p w:rsidR="00000000" w:rsidRDefault="00000000">
      <w:pPr>
        <w:spacing w:after="120"/>
        <w:ind w:left="1021" w:hanging="1021"/>
      </w:pPr>
      <w:r>
        <w:tab/>
        <w:t>–</w:t>
      </w:r>
      <w:r>
        <w:tab/>
        <w:t>Руководство по правам женщины в области социального обеспечения (1997 год, на французском и английском языках);</w:t>
      </w:r>
    </w:p>
    <w:p w:rsidR="00000000" w:rsidRDefault="00000000">
      <w:pPr>
        <w:spacing w:after="120"/>
        <w:ind w:left="1021" w:hanging="1021"/>
      </w:pPr>
      <w:r>
        <w:tab/>
        <w:t>–</w:t>
      </w:r>
      <w:r>
        <w:tab/>
        <w:t>Руководство для молодежи по Кодексу о статусе личности (1998 год, на арабском и французском языках).</w:t>
      </w:r>
    </w:p>
    <w:p w:rsidR="00000000" w:rsidRDefault="00000000">
      <w:pPr>
        <w:spacing w:after="120"/>
        <w:ind w:left="1021" w:hanging="1021"/>
      </w:pPr>
      <w:r>
        <w:tab/>
      </w:r>
      <w:r>
        <w:tab/>
        <w:t xml:space="preserve">Эти пособия использовались специалистами в области коммуникации в их просветительско-пропагандистской деятельности на местах; </w:t>
      </w:r>
    </w:p>
    <w:p w:rsidR="00000000" w:rsidRDefault="00000000">
      <w:pPr>
        <w:ind w:left="1021" w:hanging="1021"/>
      </w:pPr>
      <w:r>
        <w:tab/>
        <w:t>–</w:t>
      </w:r>
      <w:r>
        <w:tab/>
        <w:t>осуществление в 1998 году исследования на тему обучения ребенка жизни в семейном коллективе и проведение широкого общенационального опроса для определения образа воспитателя в Тунисе, передаваемых им ценностей и приемлемых в семье методов воспитания. По окончании этого исследования будет разработан план, одним из главных задач которого является повышение компетентности родителей для обучения детей жизни в коллективе без дискриминации по признаку пола и без насилия.</w:t>
      </w:r>
    </w:p>
    <w:p w:rsidR="00000000" w:rsidRDefault="00000000">
      <w:pPr>
        <w:spacing w:before="120" w:after="200" w:line="260" w:lineRule="exact"/>
        <w:rPr>
          <w:b/>
          <w:sz w:val="22"/>
        </w:rPr>
      </w:pPr>
      <w:r>
        <w:rPr>
          <w:b/>
          <w:sz w:val="22"/>
        </w:rPr>
        <w:t>VIII.2. Стратегия в области коммуникации Министерства по делам женщин и семьи (МДЖС)</w:t>
      </w:r>
    </w:p>
    <w:p w:rsidR="00000000" w:rsidRDefault="00000000">
      <w:r>
        <w:t>238.</w:t>
      </w:r>
      <w:r>
        <w:tab/>
        <w:t xml:space="preserve">В рамках пересмотра организационной структуры МДЖС, осуществленного через пять лет после начала его работы, в нем было создано главное управление информации, коммуникации и связей с общественностью с учетом важности достижения целей национальной стратегии в отношении женщин в области информации и коммуникации. </w:t>
      </w:r>
    </w:p>
    <w:p w:rsidR="00000000" w:rsidRDefault="00000000">
      <w:r>
        <w:t>239.</w:t>
      </w:r>
      <w:r>
        <w:tab/>
        <w:t xml:space="preserve">В соответствии с приоритетами стратегии в отношении женщин IX национального плана развития (1997–2000 годы) МДЖС стремится изменить менталитет граждан, пропагандируя принципы равенства и партнерства между мужчиной и женщиной в личной и общественной жизни (см. пункт 237). В то время как ЦНИДИЖ сосредоточивает свои усилия на проведении исследований и публикации их результатов по различным аспектам, касающимся положения женщины, МДЖС разработало множество буклетов и брошюр, пропагандирующих права и достижения женщин в Тунисе. Эти издания широко распространяются среди организаций, занимающихся воспитательной работой с молодежью, и социальных работников. </w:t>
      </w:r>
    </w:p>
    <w:p w:rsidR="00000000" w:rsidRDefault="00000000">
      <w:r>
        <w:t>240.</w:t>
      </w:r>
      <w:r>
        <w:tab/>
        <w:t xml:space="preserve">Серия "Что значит быть женщиной в Тунисе" (реальность и перспективы, правовой статус, МДЖС) вышла тиражом в 12 тыс. экземпляров (на арабском, французском и английском языках), которые были распространены среди школьников, молодежи и социальных работников. В 1994 году по случаю Международного женского дня в школах был прочитан цикл лекций о правах женщины на основе брошюры о юридическом статусе. </w:t>
      </w:r>
    </w:p>
    <w:p w:rsidR="00000000" w:rsidRDefault="00000000">
      <w:r>
        <w:t>241.</w:t>
      </w:r>
      <w:r>
        <w:tab/>
        <w:t>Руководство по правам женщины в области социального обеспечения вышло тиражом в 10 тыс. экземпляров, которые были распространены среди всех социальных работников, лиц и организаций, участвующих в изучении проблем женщины и семьи (бюро общественного мнения в министерствах и провинциях). Часть тиража на английском и французском языках была послана соотечественникам за границей, а также региональным и международным организациям, сотрудничающим с Тунисом.</w:t>
      </w:r>
    </w:p>
    <w:p w:rsidR="00000000" w:rsidRDefault="00000000">
      <w:r>
        <w:t>242.</w:t>
      </w:r>
      <w:r>
        <w:tab/>
        <w:t xml:space="preserve">Руководство для молодежи по Кодексу о статусе личности – буклет, вышедший сначала на арабском языке тиражом в 20 тыс. экземпляров, пропагандирующий, используя соответствующие педагогические методы, основные положения КСЛ, касающиеся обручения, вступления в брак и развода. В январе 1999 года оно стало предметом обсуждения на встрече сотрудников, ответственных за коммуникационную деятельность государственных и неправительственных структур, занимающихся проблемами женщины и семьи. Эта встреча позволила определить основные категории граждан, на которых следует ориентироваться в своих действиях в целях пропаганды правовой культуры во всех слоях общества. Во французском переводе, сделанном в </w:t>
      </w:r>
      <w:r>
        <w:br/>
        <w:t>1999 году, это Руководство было передано в Бюро тунисцев, проживающих за границей, НПО по делам женщин-эмигрантов, тунисским консульствам и посольствам, чтобы это издание было доступно молодым поколениям эмигрантов.</w:t>
      </w:r>
    </w:p>
    <w:p w:rsidR="00000000" w:rsidRDefault="00000000">
      <w:r>
        <w:t>243.</w:t>
      </w:r>
      <w:r>
        <w:tab/>
        <w:t>Время от времени МДЖС проводит посвященные женщине и семье кампании в прессе по случаю национальных и международных праздников. Кроме пресс-конференций, периодически организуемых министром по делам женщины и семьи, празднование Национального дня семьи (11 декабря), Международного женского дня (8 марта), Международного дня семьи (15 мая) и Национального праздника женщины (13 августа) позволяет привлечь внимание средств массовой информации и повысить интерес к проблемам, касающимся улучшения положения женщины.</w:t>
      </w:r>
    </w:p>
    <w:p w:rsidR="00000000" w:rsidRDefault="00000000">
      <w:r>
        <w:t>244.</w:t>
      </w:r>
      <w:r>
        <w:tab/>
        <w:t>МДЖС периодически сотрудничает с Тунисским радиовещанием и телевидением (ТРТ) в подготовке телевизионных передач: диалог в кругу семьи, перераспределение обязанностей между членами семьи, отношения между супругами, отношения между родителями и детьми, женщина и занятость, женское микро-предпринимательство и совместная собственность. В частности, на эти темы проводились телевизионные дискуссии на двух национальных каналах.</w:t>
      </w:r>
    </w:p>
    <w:p w:rsidR="00000000" w:rsidRDefault="00000000">
      <w:r>
        <w:t>245.</w:t>
      </w:r>
      <w:r>
        <w:tab/>
        <w:t>Время от времени МДЖС проводит встречи на национальном, региональном или международном уровне по какому-либо аспекту женской проблематики, широко освещающемуся в средствах массовой информации, в частности радио и телевидением. В рамках таких встреч в июле 1997 года состоялся международный семинар на тему "Женщина и право, женщина и современность" в сотрудничестве с Министерством юстиции, а также в ноябре 1997 года международный семинар "Женщины, наука и технология" в сотрудничестве с ЮНЕСКО.</w:t>
      </w:r>
    </w:p>
    <w:p w:rsidR="00000000" w:rsidRDefault="00000000">
      <w:pPr>
        <w:spacing w:after="200"/>
      </w:pPr>
      <w:r>
        <w:t>246.</w:t>
      </w:r>
      <w:r>
        <w:tab/>
        <w:t>В настоящее время МДЖС работает совместно с Тунисским радиовещанием и телевидением над созданием телевизионного журнала для семьи, который появится в эфире с 2000 года.</w:t>
      </w:r>
    </w:p>
    <w:p w:rsidR="00000000" w:rsidRDefault="00000000">
      <w:pPr>
        <w:spacing w:after="200"/>
      </w:pPr>
      <w:r>
        <w:tab/>
        <w:t>С помощью этого тележурнала, который планируется выпускать каждые два месяца, будет сделана попытка снизить напряженность в связи с политическими, экономическими и социальными переменами в тунисском обществе, которая в первую очередь проявляется в семье.</w:t>
      </w:r>
    </w:p>
    <w:p w:rsidR="00000000" w:rsidRDefault="00000000">
      <w:r>
        <w:rPr>
          <w:lang w:val="en-US"/>
        </w:rPr>
        <w:tab/>
      </w:r>
      <w:r>
        <w:t>Его темами станут отношения между супругами, обучение ребенка жизни в коллективе, семейная экономика. Тележурнал будет способствовать пропаганде и укреплению ценностей, связанных с правами человека и личности, в частности соблюдению прав женщины, ребенка и престарелых.</w:t>
      </w:r>
    </w:p>
    <w:p w:rsidR="00000000" w:rsidRDefault="00000000">
      <w:pPr>
        <w:spacing w:before="240" w:line="240" w:lineRule="auto"/>
        <w:ind w:left="680" w:hanging="680"/>
        <w:jc w:val="left"/>
        <w:rPr>
          <w:b/>
          <w:sz w:val="28"/>
        </w:rPr>
      </w:pPr>
      <w:r>
        <w:rPr>
          <w:b/>
          <w:sz w:val="28"/>
        </w:rPr>
        <w:t>IX.</w:t>
      </w:r>
      <w:r>
        <w:rPr>
          <w:b/>
          <w:sz w:val="28"/>
        </w:rPr>
        <w:tab/>
        <w:t xml:space="preserve">Роль Центра научных исследований, документации и информации </w:t>
      </w:r>
      <w:r>
        <w:rPr>
          <w:b/>
          <w:sz w:val="28"/>
        </w:rPr>
        <w:br/>
        <w:t>по вопросам женщин (ЦНИДИЖ)</w:t>
      </w:r>
    </w:p>
    <w:p w:rsidR="00000000" w:rsidRDefault="00000000">
      <w:r>
        <w:t>247.</w:t>
      </w:r>
      <w:r>
        <w:tab/>
        <w:t>Закон № 93-1986 от 27 сентября 1993 года следующим образом определяет задачи ЦНИДИЖ:</w:t>
      </w:r>
    </w:p>
    <w:p w:rsidR="00000000" w:rsidRDefault="00000000">
      <w:pPr>
        <w:spacing w:after="160"/>
      </w:pPr>
      <w:r>
        <w:tab/>
        <w:t>*</w:t>
      </w:r>
      <w:r>
        <w:tab/>
        <w:t>поощрять исследования, предметом которых являются женщина и ее статус в тунисском обществе, а также ее вклад в развитие, осуществляемые в сотрудничестве с компетентными национальными и международными учреждениями и организациями, а также проводить такие исследования за свой счет или для других организаций за соответствующее вознаграждение;</w:t>
      </w:r>
    </w:p>
    <w:p w:rsidR="00000000" w:rsidRDefault="00000000">
      <w:pPr>
        <w:spacing w:after="160"/>
      </w:pPr>
      <w:r>
        <w:tab/>
        <w:t>*</w:t>
      </w:r>
      <w:r>
        <w:tab/>
        <w:t>собирать сведения и рабочие документы, относящиеся к положению женщин, и следить за их распространением, предоставлять информацию, способную повысить значение прав женщины и расширить сферу ее участия путем организации лекций, семинаров, учебных дней и экспозиций;</w:t>
      </w:r>
    </w:p>
    <w:p w:rsidR="00000000" w:rsidRDefault="00000000">
      <w:pPr>
        <w:spacing w:after="160"/>
      </w:pPr>
      <w:r>
        <w:tab/>
        <w:t>*</w:t>
      </w:r>
      <w:r>
        <w:tab/>
        <w:t>готовить доклады о положении женщины в тунисском обществе по просьбе компетентных властей в рамках разработки политики правительства и его программ в данной области;</w:t>
      </w:r>
    </w:p>
    <w:p w:rsidR="00000000" w:rsidRDefault="00000000">
      <w:r>
        <w:rPr>
          <w:lang w:val="en-US"/>
        </w:rPr>
        <w:tab/>
      </w:r>
      <w:r>
        <w:t>*</w:t>
      </w:r>
      <w:r>
        <w:tab/>
        <w:t>доводить свое мнение до сведения запрашивающих об этом департаментов и организаций по любым вопросам, касающимся положения женщины, и участвовать путем консультаций в работе различных структур, учрежденных государственными органами власти для изучения, организации или поощрения действий, имеющих целью улучшить положение женщины.</w:t>
      </w:r>
    </w:p>
    <w:p w:rsidR="00000000" w:rsidRDefault="00000000">
      <w:r>
        <w:t>248.</w:t>
      </w:r>
      <w:r>
        <w:tab/>
        <w:t>В соответствии с этим стратегия ЦНИДИЖ в области коммуникации преследует три цели: первая состоит в том, чтобы оценить вклад женщин в культурное наследие страны и, на этой основе, роль тунисских женщин в национальной истории; вторая – в том, чтобы сделать доступными народу данные о положении женщины; третья задача состоит в оказании воздействия на поведенческие модели, чтобы изменить психологию людей.</w:t>
      </w:r>
    </w:p>
    <w:p w:rsidR="00000000" w:rsidRDefault="00000000">
      <w:pPr>
        <w:spacing w:before="120" w:line="260" w:lineRule="exact"/>
        <w:rPr>
          <w:b/>
          <w:sz w:val="22"/>
        </w:rPr>
      </w:pPr>
      <w:r>
        <w:rPr>
          <w:b/>
          <w:sz w:val="22"/>
        </w:rPr>
        <w:t>IX.1.</w:t>
      </w:r>
      <w:r>
        <w:rPr>
          <w:b/>
          <w:sz w:val="22"/>
        </w:rPr>
        <w:tab/>
        <w:t>Вклад женщин в культурное наследие страны</w:t>
      </w:r>
    </w:p>
    <w:p w:rsidR="00000000" w:rsidRDefault="00000000">
      <w:r>
        <w:t>249.</w:t>
      </w:r>
      <w:r>
        <w:tab/>
        <w:t>В 1993 году ЦНИДИЖ выпустил в сотрудничестве с Высшим институтом истории национального движения и с участием кувейтского фонда "Суад ас-Сабах" книгу "След, оставленный тунисскими женщинами в общественной жизни 1920–1960 годов". В ней рассказывается об уникальных судьбах 13 тунисских женщин, от политических деятелей до деятелей искусства, которые сумели преодолеть существовавшие тогда запреты и оставили неизгладимый след в новейшей истории Туниса. Эта книга, в которой содержатся доклады женщин, собранные также женщинами, является ярким доказательством той важной роли, которую женщины играли в национальном становлении Туниса.</w:t>
      </w:r>
    </w:p>
    <w:p w:rsidR="00000000" w:rsidRDefault="00000000">
      <w:r>
        <w:t>250.</w:t>
      </w:r>
      <w:r>
        <w:tab/>
        <w:t>В 1993 году ЦНИДИЖ выпустил национальный реестр женщин-специалистов, позволяющий узнать имена женщин, работающих в различных сферах.</w:t>
      </w:r>
    </w:p>
    <w:p w:rsidR="00000000" w:rsidRDefault="00000000">
      <w:r>
        <w:t>251.</w:t>
      </w:r>
      <w:r>
        <w:tab/>
        <w:t xml:space="preserve">Периодически организуя выставки женского творчества в области архитектуры, изобразительного искусства и прочих, ЦНИДИЖ знакомит посетителей с вкладом женщин в производство, интеллектуальное и художественное творчество. Первая выставка, организованная в 1992 году по случаю национального фестиваля женской культуры, ознаменовалась выходом в свет каталога "Взгляд на изобразительное искусство". </w:t>
      </w:r>
    </w:p>
    <w:p w:rsidR="00000000" w:rsidRDefault="00000000">
      <w:r>
        <w:t>252.</w:t>
      </w:r>
      <w:r>
        <w:tab/>
        <w:t>В 1995 году ЦНИДИЖ в сотрудничестве с Канадской организацией за солидарность и развитие (КОСР) опубликовал исследование "Женщины-искусницы: сокровища женского творчества в Тунисе", в котором ярко представлена предпринимательская деятельность женщин в Тунисе. Рисуя портреты 13 женщин из разных уголков страны, это произведение отражает повседневный труд женщин, их любовь к ремеслам и неисчерпаемые таланты.</w:t>
      </w:r>
    </w:p>
    <w:p w:rsidR="00000000" w:rsidRDefault="00000000">
      <w:r>
        <w:t>253.</w:t>
      </w:r>
      <w:r>
        <w:tab/>
        <w:t>Регулярное предоставление эфирного времени и газетных полос для репортажей о встречах с женщинами-руководителями, женщинами, занятыми творческой деятельностью, писательницами и т. д. под рубрикой "кружки ЦНИДИЖ" имеет целью дать возможность поразмышлять по поводу проблем женщин и тех позиций, которые они занимают во всех сферах общественной жизни.</w:t>
      </w:r>
    </w:p>
    <w:p w:rsidR="00000000" w:rsidRDefault="00000000">
      <w:pPr>
        <w:spacing w:before="120" w:line="260" w:lineRule="exact"/>
        <w:rPr>
          <w:b/>
          <w:sz w:val="22"/>
        </w:rPr>
      </w:pPr>
      <w:r>
        <w:rPr>
          <w:b/>
          <w:sz w:val="22"/>
        </w:rPr>
        <w:t>IX.2.</w:t>
      </w:r>
      <w:r>
        <w:rPr>
          <w:b/>
          <w:sz w:val="22"/>
        </w:rPr>
        <w:tab/>
        <w:t>Пропаганда достижений женщин</w:t>
      </w:r>
    </w:p>
    <w:p w:rsidR="00000000" w:rsidRDefault="00000000">
      <w:r>
        <w:t>254.</w:t>
      </w:r>
      <w:r>
        <w:tab/>
        <w:t>За последние годы в рамках своей информационной деятельности ЦНИДИЖ подготовил немало документов и аудиовизуальных материалов. Среди них изданная в сотрудничестве с ЮНЕСКО брошюра "Права девочки", в которой тунисское законодательство в этой области сравнивается с положениями Конвенции о ликвидации всех форм дискриминации в отношении женщин (эта брошюра широко распространялась в школах), а также буклет, в котором популярно изложено содержание реформы 13 августа 1992 года, несколько раз издававшийся и весьма широко распространявшийся.</w:t>
      </w:r>
    </w:p>
    <w:p w:rsidR="00000000" w:rsidRDefault="00000000">
      <w:r>
        <w:t>255.</w:t>
      </w:r>
      <w:r>
        <w:tab/>
        <w:t>В последние годы группа по наблюдению за положением женщины провела исследования на различные темы: "Экономическая интеграция", "Женщина и кино", "Женщины, проживающие в сельской местности" и т. д. О результатах этих исследований сообщалось на семинарах и в печатных изданиях, которые продавались на международном книжном рынке.</w:t>
      </w:r>
    </w:p>
    <w:p w:rsidR="00000000" w:rsidRDefault="00000000">
      <w:r>
        <w:t>256.</w:t>
      </w:r>
      <w:r>
        <w:tab/>
        <w:t>В рамках популяризации прав женщины ЦНИДИЖ также предпринимает регулярные акции в области коммуникации как в национальном, так и международном масштабе. Например, в ноябре 1994 года Центр в сотрудничестве с ЮНЕСКО организовал арабо-африканский семинар на тему "Женщины и средства массовой информации: возможности выражать свое мнение и принимать решения"; в ноябре 1996 года в сотрудничестве с Британским советом был проведен арабский семинар на тему "Роль женщин с высшим образованием в активизации общественной жизни"; в сентябре 1997 года был подготовлен международный семинар на тему "Права женщины" в содружестве с Исламской организацией по образованию, науке и культуре и Агентством по культурному и техническому сотрудничеству.</w:t>
      </w:r>
    </w:p>
    <w:p w:rsidR="00000000" w:rsidRDefault="00000000">
      <w:pPr>
        <w:spacing w:before="120" w:line="260" w:lineRule="exact"/>
        <w:rPr>
          <w:b/>
          <w:sz w:val="22"/>
        </w:rPr>
      </w:pPr>
      <w:r>
        <w:rPr>
          <w:b/>
          <w:sz w:val="22"/>
        </w:rPr>
        <w:t>IX.3.</w:t>
      </w:r>
      <w:r>
        <w:rPr>
          <w:b/>
          <w:sz w:val="22"/>
        </w:rPr>
        <w:tab/>
        <w:t>Воздействие на поведение и подготовка социальных работников</w:t>
      </w:r>
    </w:p>
    <w:p w:rsidR="00000000" w:rsidRDefault="00000000">
      <w:r>
        <w:t>257.</w:t>
      </w:r>
      <w:r>
        <w:tab/>
        <w:t>В рамках действий, цель которых состоит в изменении поведенческих моделей, ЦНИДИЖ проводит исследования, сопровождающиеся затем информационными или учебными семинарами. Заслуживают упоминания две основные акции в этой области: исследование (1994 года), касающееся степени участия женщины в принятии решений, результаты которого были представлены на национальном семинаре, широко распропагандированном в средствах массовой информации; исследование (1995 года) на тему "Представление о правах женщины у тунисской молодежи и их восприятие ею". Вслед за этим исследованием в городе Табарке 23–26 апреля 1996 года состоялась рабочая встреча</w:t>
      </w:r>
      <w:r>
        <w:rPr>
          <w:color w:val="FF0000"/>
        </w:rPr>
        <w:t xml:space="preserve"> </w:t>
      </w:r>
      <w:r>
        <w:t>на тему "Женщины и СМИ", в ходе которой журналисты и продюсеры региональных радиостанций подготовили радиопередачи об отношении к правам женщины, которые затем транслировались этими станциями.</w:t>
      </w:r>
    </w:p>
    <w:p w:rsidR="00000000" w:rsidRDefault="00000000">
      <w:r>
        <w:t>258.</w:t>
      </w:r>
      <w:r>
        <w:tab/>
        <w:t>Программа "Рабочие встречи: женщины и СМИ", задуманная с целью проведения периодических встреч журналистов и специалистов в области распространения информации различных СМИ, призвана привлечь их внимание к темам, касающимся женской проблематики, ознакомить их с соответствующими показателями и побудить их к включению этой проблематики в свою продукцию.</w:t>
      </w:r>
    </w:p>
    <w:p w:rsidR="00000000" w:rsidRDefault="00000000">
      <w:r>
        <w:t>259.</w:t>
      </w:r>
      <w:r>
        <w:tab/>
        <w:t xml:space="preserve">Международная кафедра по изучению положения женщины, учрежденная в октябре 1997 года при поддержке ЮНЕСКО, проводит, в частности, международные конференции по вопросам положения женщины. Широко освещаемые в СМИ, эти конференции содействуют тому, чтобы ЦНИДИЖ стал приоритетным местом национального и международного диалога по проблемам женщины и общества. </w:t>
      </w:r>
    </w:p>
    <w:p w:rsidR="00000000" w:rsidRDefault="00000000">
      <w:pPr>
        <w:spacing w:before="240" w:line="240" w:lineRule="auto"/>
        <w:rPr>
          <w:b/>
          <w:sz w:val="28"/>
        </w:rPr>
      </w:pPr>
      <w:r>
        <w:rPr>
          <w:b/>
          <w:sz w:val="28"/>
        </w:rPr>
        <w:t>X.</w:t>
      </w:r>
      <w:r>
        <w:rPr>
          <w:b/>
          <w:sz w:val="28"/>
        </w:rPr>
        <w:tab/>
        <w:t>Насилие в семье</w:t>
      </w:r>
    </w:p>
    <w:p w:rsidR="00000000" w:rsidRDefault="00000000">
      <w:pPr>
        <w:spacing w:line="260" w:lineRule="exact"/>
        <w:rPr>
          <w:b/>
          <w:sz w:val="22"/>
        </w:rPr>
      </w:pPr>
      <w:r>
        <w:rPr>
          <w:b/>
          <w:sz w:val="22"/>
        </w:rPr>
        <w:t>Х.1.</w:t>
      </w:r>
      <w:r>
        <w:rPr>
          <w:b/>
          <w:sz w:val="22"/>
        </w:rPr>
        <w:tab/>
        <w:t>Изучение культурных и институциональных аспектов насилия</w:t>
      </w:r>
    </w:p>
    <w:p w:rsidR="00000000" w:rsidRDefault="00000000">
      <w:r>
        <w:t>260.</w:t>
      </w:r>
      <w:r>
        <w:tab/>
        <w:t>Нижеследующая информация представляется в соответствии с просьбой Комитета, высказанной им после рассмотрения первоначального и второго докладов Туниса в 1995 году и касающейся проблемы насилия в отношении женщины.</w:t>
      </w:r>
    </w:p>
    <w:p w:rsidR="00000000" w:rsidRDefault="00000000">
      <w:r>
        <w:t>261.</w:t>
      </w:r>
      <w:r>
        <w:tab/>
        <w:t>Чаще всего насилие со стороны супруга рассматривается в рамках расширенной семьи, которая выполняет двойную функцию защиты и арбитражного судьи. Учитывая превалирующие интересы детей, члены семьи нередко стараются примирить супругов. Кроме того, из чувства стыда или чтобы сохранить свое достоинство, некоторые женщины – жертвы насилия предпочитают хранить молчание.</w:t>
      </w:r>
    </w:p>
    <w:p w:rsidR="00000000" w:rsidRDefault="00000000">
      <w:r>
        <w:t>262.</w:t>
      </w:r>
      <w:r>
        <w:tab/>
        <w:t>Однако насилие со стороны супруга вовсе не является запретной темой. Стратегия борьбы с насилием была разработана государственными властями в сотрудничестве с женскими НПО в начале 90-х годов.</w:t>
      </w:r>
    </w:p>
    <w:p w:rsidR="00000000" w:rsidRDefault="00000000">
      <w:r>
        <w:t>263.</w:t>
      </w:r>
      <w:r>
        <w:tab/>
        <w:t>В 1991 году опрос, проведенный Национальным союзом тунисских женщин среди адвокатов, врачей, социальных работников, а также среди репрезентативной выборки из 1000 человек из всех уголков страны, позволил впервые проанализировать социальные, культурные и институциональные аспекты проблемы насилия в семье.</w:t>
      </w:r>
    </w:p>
    <w:p w:rsidR="00000000" w:rsidRDefault="00000000">
      <w:r>
        <w:tab/>
        <w:t>Опрос выявил, что 51 процент опрошенных мужчин и 60 процентов опрошенных женщин, в частности среди населения, имеющего образование, относятся к насилию в семье как к неприемлемому явлению.</w:t>
      </w:r>
    </w:p>
    <w:p w:rsidR="00000000" w:rsidRDefault="00000000">
      <w:r>
        <w:t>264.</w:t>
      </w:r>
      <w:r>
        <w:tab/>
        <w:t xml:space="preserve">По результатам опроса было, в частности, рекомендовано пересмотреть статью 23 Кодекса о статусе личности и статью Уголовного кодекса, касающуюся насилия в отношении супруги, а также создать Центр помощи женщинам, попавшим в беду. </w:t>
      </w:r>
    </w:p>
    <w:p w:rsidR="00000000" w:rsidRDefault="00000000">
      <w:pPr>
        <w:spacing w:before="120" w:line="260" w:lineRule="exact"/>
        <w:rPr>
          <w:b/>
          <w:sz w:val="22"/>
        </w:rPr>
      </w:pPr>
      <w:r>
        <w:rPr>
          <w:b/>
          <w:sz w:val="22"/>
        </w:rPr>
        <w:t>Х.2.</w:t>
      </w:r>
      <w:r>
        <w:rPr>
          <w:b/>
          <w:sz w:val="22"/>
        </w:rPr>
        <w:tab/>
        <w:t>Многоплановая стратегия</w:t>
      </w:r>
    </w:p>
    <w:p w:rsidR="00000000" w:rsidRDefault="00000000">
      <w:r>
        <w:t>265.</w:t>
      </w:r>
      <w:r>
        <w:tab/>
        <w:t>С учетом результатов вышеуказанного опроса, осуществляемая государственными властями стратегия борьбы с насилием делится на три сферы: законодательство, институциональную область и коммуникации.</w:t>
      </w:r>
    </w:p>
    <w:p w:rsidR="00000000" w:rsidRDefault="00000000">
      <w:r>
        <w:t>266.</w:t>
      </w:r>
      <w:r>
        <w:tab/>
        <w:t>Что касается законодательства, то принятые в 1993 году законы, вносящие поправки в некоторые статьи КСЛ и Уголовного кодекса, стали адекватным ответом на все эти рекомендации.</w:t>
      </w:r>
    </w:p>
    <w:p w:rsidR="00000000" w:rsidRDefault="00000000">
      <w:r>
        <w:t>267.</w:t>
      </w:r>
      <w:r>
        <w:tab/>
        <w:t xml:space="preserve">При пересмотре статьи 23 КСЛ было отменено положение об обязательном подчинении жены мужу. Взамен этого было введено понятие взаимности в отношениях между супругами. Новая статья 23 гласит: </w:t>
      </w:r>
      <w:r>
        <w:rPr>
          <w:i/>
        </w:rPr>
        <w:t>"Каждый из супругов должен относиться к другому доброжелательно, поддерживать с ним хорошие отношения и избегать нанесения ему ущерба"</w:t>
      </w:r>
      <w:r>
        <w:t>.</w:t>
      </w:r>
    </w:p>
    <w:p w:rsidR="00000000" w:rsidRDefault="00000000">
      <w:pPr>
        <w:spacing w:after="120"/>
      </w:pPr>
      <w:r>
        <w:rPr>
          <w:lang w:val="en-US"/>
        </w:rPr>
        <w:tab/>
      </w:r>
      <w:r>
        <w:t>Отмена понятия подчиненности женщины является основополагающим решением, закрепляющим разрыв с прежней системой стандартов, основанной на принижении роли женщины, и свидетельствует о признании статуса женщины как человека, обладающего присущими ему правами, независимо от ее семейного положения.</w:t>
      </w:r>
    </w:p>
    <w:p w:rsidR="00000000" w:rsidRDefault="00000000">
      <w:pPr>
        <w:spacing w:after="120"/>
        <w:ind w:left="1021" w:hanging="1021"/>
      </w:pPr>
      <w:r>
        <w:tab/>
        <w:t>–</w:t>
      </w:r>
      <w:r>
        <w:tab/>
        <w:t>Прежняя статья 23 КСЛ обязывала, с одной стороны, мужа "относиться к своей жене доброжелательно и избегать нанесения ей ущерба", а с другой стороны, жену – повиноваться ему и "исполнять свои супружеские обязанности в соответствии с принятой практикой и обычаями".</w:t>
      </w:r>
    </w:p>
    <w:p w:rsidR="00000000" w:rsidRDefault="00000000">
      <w:pPr>
        <w:spacing w:after="120"/>
        <w:ind w:left="1021" w:hanging="1021"/>
      </w:pPr>
      <w:r>
        <w:rPr>
          <w:lang w:val="en-US"/>
        </w:rPr>
        <w:tab/>
      </w:r>
      <w:r>
        <w:t>–</w:t>
      </w:r>
      <w:r>
        <w:tab/>
        <w:t>Пересмотренная в соответствии с законом № 93-74 от 12 июля 1993 года, эта статья устанавливает новые отношения, основанные на взаимности. Теперь оба супруга взаимно обязаны обращаться друг с другом доброжелательно и не причинять друг другу ущерба.</w:t>
      </w:r>
    </w:p>
    <w:p w:rsidR="00000000" w:rsidRDefault="00000000">
      <w:pPr>
        <w:ind w:left="1021" w:hanging="1021"/>
      </w:pPr>
      <w:r>
        <w:rPr>
          <w:lang w:val="en-US"/>
        </w:rPr>
        <w:tab/>
      </w:r>
      <w:r>
        <w:t>–</w:t>
      </w:r>
      <w:r>
        <w:tab/>
        <w:t>Супруга более не считается собственностью мужа, который обязан ее защищать, а получает статус полноправного юридического лица, имеющего равные с мужем права и обязанности в том, что касается уважения достоинства, привязанности и хорошего обращения. Таким образом фундаментально меняется не только отношение мужа к своей жене, но и вся структура отношений между супругами.</w:t>
      </w:r>
    </w:p>
    <w:p w:rsidR="00000000" w:rsidRDefault="00000000">
      <w:r>
        <w:t>268.</w:t>
      </w:r>
      <w:r>
        <w:tab/>
        <w:t>Под влиянием реформы 1993 года в Уголовном кодексе за супругой было признано ее неотъемлемое право на личную жизнь и на физическую неприкосновенность, которое является неотъемлемым правом человека. Это признание выразилось в отмене статьи 207, которая позволяла ссылаться на смягчающие вину обстоятельства в случае убийства мужем своей жены, если он застал ее в момент совершения акта прелюбодеяния. Теперь за такое преступление предусматривается такая же мера наказания, как и любое другое умышленное убийство, то есть пожизненное тюремное заключение. Тем самым восстанавливается право супруги на жизнь, являющееся неотъемлемым правом человека, несмотря на его преступное поведение. Таким образом устанавливается равенство мужчины и женщины перед уголовным законодательством в отношении преступлений, совершенных в состоянии аффекта, что в значительной мере способствует укоренению в сознании людей принципа личной неприкосновенности женщины независимо от ее семейного положения.</w:t>
      </w:r>
    </w:p>
    <w:p w:rsidR="00000000" w:rsidRDefault="00000000">
      <w:r>
        <w:t>269.</w:t>
      </w:r>
      <w:r>
        <w:tab/>
        <w:t>Соответственно что касается насилия, совершаемого в отношении супруга, то после поправок, внесенных в нее законом № 93-74 от 12 июля 1993 года, статья 218 Уголовного кодекса рассматривает наличие супружеской связи как отягчающее обстоятельство, предусматривающее более жесткую меру наказания, в то время как прежде насилие в семье каралось обычной мерой наказания, предусмотренной в случае совершения насильственных действий.</w:t>
      </w:r>
    </w:p>
    <w:p w:rsidR="00000000" w:rsidRDefault="00000000">
      <w:pPr>
        <w:spacing w:after="80"/>
      </w:pPr>
      <w:r>
        <w:t>270.</w:t>
      </w:r>
      <w:r>
        <w:tab/>
        <w:t>Теперь насилие в семье карается лишением свободы сроком на два года и штрафом в две тысячи динаров, а любое другое насилие или насильственные действия – лишением свободы на один год и штрафом в одну тысячу динаров. Новая статья 218 гласит:</w:t>
      </w:r>
    </w:p>
    <w:p w:rsidR="00000000" w:rsidRDefault="00000000">
      <w:pPr>
        <w:spacing w:after="80"/>
        <w:rPr>
          <w:i/>
        </w:rPr>
      </w:pPr>
      <w:r>
        <w:rPr>
          <w:lang w:val="en-US"/>
        </w:rPr>
        <w:tab/>
      </w:r>
      <w:r>
        <w:rPr>
          <w:i/>
        </w:rPr>
        <w:t>"Любое лицо, умышленно нанесшее телесные повреждения или совершившее любые другие акты насилия или насильственные действия, не подпадающие под статью 319, наказывается лишением свободы сроком на один год и штрафом в одну тысячу динаров (1000 динаров). Если агрессивные действия были совершены родственником по нисходящей линии или супругом пострадавшего, он наказывается лишением свободы сроком на два года и штрафом в две тысячи динаров (2000 динаров). При умышленном характере вышеуказанных действий предусматривается наказание в виде лишения свободы сроком на три года и штрафа в три тысячи динаров (3000 динаров).</w:t>
      </w:r>
    </w:p>
    <w:p w:rsidR="00000000" w:rsidRDefault="00000000">
      <w:pPr>
        <w:rPr>
          <w:i/>
        </w:rPr>
      </w:pPr>
      <w:r>
        <w:rPr>
          <w:i/>
        </w:rPr>
        <w:tab/>
        <w:t>При отказе от иска со стороны пострадавшего родственника по восходящей линии или супруга судебное преследование, судопроизводство или исполнение наказания прекращаются. Попытка совершения подобных действий наказуема".</w:t>
      </w:r>
    </w:p>
    <w:p w:rsidR="00000000" w:rsidRDefault="00000000">
      <w:r>
        <w:t>271.</w:t>
      </w:r>
      <w:r>
        <w:tab/>
        <w:t>Кодекс законов о защите ребенка (КЗР) защищает ребенка от любых форм насилия, которым он может подвергнуться. Кодекс "гарантирует ребенку право пользоваться различными превентивными мерами социального, воспитательного, медико-санитарного характера и прочими положениями и процедурами, цель которых состоит в его защите от любых форм насилия или ущерба, или же от посягательств на его физическую, психическую или сексуальную неприкосновенность" (статья 2).</w:t>
      </w:r>
    </w:p>
    <w:p w:rsidR="00000000" w:rsidRDefault="00000000">
      <w:r>
        <w:t>272.</w:t>
      </w:r>
      <w:r>
        <w:tab/>
        <w:t>В соответствии со статьей 28 КЗР был создан корпус региональных уполномоченных по защите детства. В зависимости от потребностей и плотности населения в каждой провинции был назначен один или более уполномоченных. В соответствии со статьей 30 уполномоченный по защите детства "имеет право осуществлять вмешательство в превентивных целях во всех случаях, когда здоровье ребенка или его физическая или психическая неприкосновенность находится под угрозой, исходящей от окружающей его среды или из совершаемых им действий, либо по причине жестокого обращения с ним…".</w:t>
      </w:r>
    </w:p>
    <w:p w:rsidR="00000000" w:rsidRDefault="00000000">
      <w:pPr>
        <w:rPr>
          <w:spacing w:val="-2"/>
        </w:rPr>
      </w:pPr>
      <w:r>
        <w:t>273.</w:t>
      </w:r>
      <w:r>
        <w:tab/>
      </w:r>
      <w:r>
        <w:rPr>
          <w:spacing w:val="-2"/>
        </w:rPr>
        <w:t xml:space="preserve">Кодекс законов о защите ребенка обязывает всех граждан сообщать о случаях насилия, которому ребенок может подвергнуться в любом месте (в школе, семье и т. д.). Эта обязанность граждан предусмотрена статьями 31 и 32. </w:t>
      </w:r>
    </w:p>
    <w:p w:rsidR="00000000" w:rsidRDefault="00000000">
      <w:r>
        <w:t>274.</w:t>
      </w:r>
      <w:r>
        <w:tab/>
        <w:t>Случаи, требующие вмешательства судьи по делам семьи, перечислены в статье 20 вышеуказанного Кодекса.</w:t>
      </w:r>
    </w:p>
    <w:p w:rsidR="00000000" w:rsidRDefault="00000000">
      <w:pPr>
        <w:spacing w:after="80"/>
      </w:pPr>
      <w:r>
        <w:t>275.</w:t>
      </w:r>
      <w:r>
        <w:tab/>
        <w:t>Уполномоченный по защите детства оценивает опасность, угрожающую ребенку, по смыслу статьи 20. В силу статьи 35 он имеет право проводить расследования и принимать соответствующие меры в защиту ребенка, а также составлять отчет, представляемый судье по делам семьи. В случае возникновения угрозы для ребенка уполномоченный по защите детства может решить:</w:t>
      </w:r>
    </w:p>
    <w:p w:rsidR="00000000" w:rsidRDefault="00000000">
      <w:pPr>
        <w:spacing w:after="80"/>
      </w:pPr>
      <w:r>
        <w:t>*</w:t>
      </w:r>
      <w:r>
        <w:tab/>
        <w:t>оставить ребенка в семье, приняв необходимые меры для ликвидации источника угрозы;</w:t>
      </w:r>
    </w:p>
    <w:p w:rsidR="00000000" w:rsidRDefault="00000000">
      <w:pPr>
        <w:ind w:left="680" w:hanging="680"/>
      </w:pPr>
      <w:r>
        <w:t>*</w:t>
      </w:r>
      <w:r>
        <w:tab/>
        <w:t>временно поместить ребенка в патронатную семью или любое соответствующее воспитательное учреждение, принадлежащее социальным службам.</w:t>
      </w:r>
    </w:p>
    <w:p w:rsidR="00000000" w:rsidRDefault="00000000">
      <w:r>
        <w:t>276.</w:t>
      </w:r>
      <w:r>
        <w:tab/>
        <w:t>Национальный доклад о детстве дает возможность проконтролировать действия, предпринятые в защиту детей, которым угрожает опасность, и ежегодно составлять отчет о положении детей в стране.</w:t>
      </w:r>
    </w:p>
    <w:p w:rsidR="00000000" w:rsidRDefault="00000000">
      <w:r>
        <w:t>277.</w:t>
      </w:r>
      <w:r>
        <w:tab/>
        <w:t>В институциональном плане органы государственной власти поощряли создание консультационных пунктов и убежищ для попавших в беду женщин на уровне как государственных учреждений, так и неправительственных организаций.</w:t>
      </w:r>
    </w:p>
    <w:p w:rsidR="00000000" w:rsidRDefault="00000000">
      <w:r>
        <w:t>278.</w:t>
      </w:r>
      <w:r>
        <w:tab/>
        <w:t>Среди принятых мер следует отметить введение в отделениях скорой помощи и комиссариатах полиции реестров для занесения в них случаев насилия в отношении женщин. В своем циркуляре от 11 ноября 1995 года министр здравоохранения предложил, чтобы отделения скорой помощи всех больниц сообщали соответствующим органам о всех случаях насилия в отношении лиц, поступивших в эти отделения или проходивших в них лечение.</w:t>
      </w:r>
    </w:p>
    <w:p w:rsidR="00000000" w:rsidRDefault="00000000">
      <w:r>
        <w:t>279.</w:t>
      </w:r>
      <w:r>
        <w:tab/>
        <w:t>С 1992 года стали создаваться бюро по связям с гражданами во всех министерствах и во всех провинциях Республики. Бюро Министерства по делам женщин и семьи (МДЖС) является структурой по наблюдению за положением женщины, которая осуществляет вмешательство в случае супружеских и семейных конфликтов, опираясь на группу многопрофильных консультантов. Эта структура, которая имеет сервер речевой связи по двум каналам (1308 и 1392), систематически проводит работу по защите прав женщин. Первый канал содержит базу данных о правах женщин, в частности касающихся личного статуса и социальной защиты, а второй предназначен для сбора жалоб и просьб женщин.</w:t>
      </w:r>
    </w:p>
    <w:p w:rsidR="00000000" w:rsidRDefault="00000000">
      <w:pPr>
        <w:spacing w:after="120"/>
      </w:pPr>
      <w:r>
        <w:t>280.</w:t>
      </w:r>
      <w:r>
        <w:tab/>
        <w:t>Некоторые женские НПО, в частности НСТЖ, ТАДЖ и ТАМ, создали центры для женщин, ставших жертвами насилия.</w:t>
      </w:r>
    </w:p>
    <w:p w:rsidR="00000000" w:rsidRDefault="00000000">
      <w:r>
        <w:tab/>
        <w:t>НСТЖ предлагает юридические консультации женщинам, находящимся в бедственном положении, а ТАДЖ, которая непосредственно изучает это явление, принимает у себя женщин, ставших жертвами насилия, и предоставляет им психологическую и юридическую помощь. ТАМ недавно отвела в своем новом офисе специальное помещение для приема матерей, ставших жертвами насилия или попавших в беду. Что касается ТОВОС, она сформировала группу семейных посредников, которые осуществляют вмешательство в случае супружеских и семейных конфликтов, чтобы ознакомить их участников с соответствующими правами и обязанностями.</w:t>
      </w:r>
    </w:p>
    <w:p w:rsidR="00000000" w:rsidRDefault="00000000">
      <w:pPr>
        <w:spacing w:after="80"/>
      </w:pPr>
      <w:r>
        <w:t>281.</w:t>
      </w:r>
      <w:r>
        <w:tab/>
        <w:t>С целью распространения социальных и политических знаний Министерством по делам женщин и семьи в сотрудничестве с Тунисским радиовещанием и телевидением с 1995 года проводится национальная кампания по информированию общественности "Гражданственность зарождается в семье", которая в значительной степени способствует повышению роли диалога как средства установления отношений, основанных на равенстве и взаимном уважении, и как способа разрешения конфликтов.</w:t>
      </w:r>
    </w:p>
    <w:p w:rsidR="00000000" w:rsidRDefault="00000000">
      <w:pPr>
        <w:spacing w:after="80"/>
      </w:pPr>
      <w:r>
        <w:tab/>
        <w:t>В рамках этой кампании, которая вписывается в Национальный план действий в поддержку семьи, были, в частности, сняты четыре видеоклипа, посвященных диалогу в семье (диалог между супругами и диалог между родителями и детьми), перераспределению домашних обязанностей и пропаганде воспитания без насилия.</w:t>
      </w:r>
    </w:p>
    <w:p w:rsidR="00000000" w:rsidRDefault="00000000">
      <w:r>
        <w:tab/>
        <w:t>Эти видеоклипы, которые демонстрировались по телевидению в прайм-тайм, рекламировались также с помощью плакатов. Была проведена оценка их эффективности, чтобы они максимально отвечали поставленным целям.</w:t>
      </w:r>
    </w:p>
    <w:p w:rsidR="00000000" w:rsidRDefault="00000000">
      <w:r>
        <w:t>282.</w:t>
      </w:r>
      <w:r>
        <w:tab/>
        <w:t xml:space="preserve">Также в рамках Национального плана действий в поддержку семьи Министерство по делам женщин и семьи предприняло два крупных исследования. Первое касалось обучения ребенка жизни в семейном коллективе. Проведенное в 1989–1999 годах, оно позволило выявить возросшее значение диалога как метода разрешения конфликтов и воспитания в семье. Второе исследование, запланированное на 2000 год, будет посвящено отношениям в семье. Оно должно дать определение явлению насилия в отношениях между супругами и между членами семьи. </w:t>
      </w:r>
    </w:p>
    <w:p w:rsidR="00000000" w:rsidRDefault="00000000">
      <w:r>
        <w:t>283.</w:t>
      </w:r>
      <w:r>
        <w:tab/>
        <w:t>Одновременно проблема насилия в семье была предметом внимания со стороны государства. Коренной пересмотр Кодекса о статусе личности и Уголовного кодекса свидетельствует о четкой политической воле законодательно закрепить понятия основных прав женщины и ее равенства с мужчиной, в то время как кампании по привлечению общественного мнения к вопросу об укреплении основных прав женщины в семье отражают желание закрепить эти права в повседневной жизни семьи. Наконец, способствование включению этого аспекта семейной и супружеской жизни в сферу деятельности неправительственных организаций свидетельствует о стремлении государства повысить роль гражданского общества в закреплении и защите прав человеческой личности вообще и прав женщины в частности.</w:t>
      </w:r>
    </w:p>
    <w:p w:rsidR="00000000" w:rsidRDefault="00000000">
      <w:pPr>
        <w:spacing w:before="120" w:line="260" w:lineRule="exact"/>
        <w:rPr>
          <w:b/>
          <w:sz w:val="22"/>
        </w:rPr>
      </w:pPr>
      <w:r>
        <w:rPr>
          <w:b/>
          <w:sz w:val="22"/>
        </w:rPr>
        <w:t>Х.3.</w:t>
      </w:r>
      <w:r>
        <w:rPr>
          <w:b/>
          <w:sz w:val="22"/>
        </w:rPr>
        <w:tab/>
        <w:t>Некоторые статистические показатели</w:t>
      </w:r>
    </w:p>
    <w:p w:rsidR="00000000" w:rsidRDefault="00000000">
      <w:pPr>
        <w:spacing w:after="220"/>
      </w:pPr>
      <w:r>
        <w:t>284.</w:t>
      </w:r>
      <w:r>
        <w:tab/>
        <w:t xml:space="preserve">По статистическим данным министерств юстиции и внутренних дел, в 1998 году число женщин, ставших жертвами насилия со стороны супруга и подавших в суд соответствующий иск, составило 3600 при общем числе семей 1 704 185 (перепись 1994 года), то есть 0,21 процента. </w:t>
      </w:r>
    </w:p>
    <w:p w:rsidR="00000000" w:rsidRDefault="00000000">
      <w:pPr>
        <w:spacing w:after="220"/>
      </w:pPr>
      <w:r>
        <w:t>285.</w:t>
      </w:r>
      <w:r>
        <w:tab/>
        <w:t>Эти цифры говорят о том, что насилие в семье не является социальным явлением в Тунисе. Оно происходит не чаще, чем другие правонарушения, связанные с семьей (уклонение от выполнения семейных обязанностей, воспрепятствование праву свободного посещения ребенка…); в Уголовном кодексе и в ходе судопроизводства за эти правонарушения предусмотрены меры наказания, но, тем не менее, примирение считается предпочтительным средством разрешения семейных конфликтов как в уголовном, так и гражданском плане. Напомним, что в статье 218 Уголовного кодекса с поправками, внесенными законом № 93-72 от 12 июля 1993 года, четко определено, что в случае насилия в семье отказ пострадавшего родственника по восходящей линии или супруга, ставшего жертвой насилия, от иска ведет к прекращению судебного преследования и судопроизводства или исполнения наказания.</w:t>
      </w:r>
    </w:p>
    <w:p w:rsidR="00000000" w:rsidRDefault="00000000">
      <w:pPr>
        <w:spacing w:after="220"/>
      </w:pPr>
      <w:r>
        <w:t>286.</w:t>
      </w:r>
      <w:r>
        <w:tab/>
        <w:t xml:space="preserve">По данным доклада ТАДЖ, составленного на основании рассмотрения в 1998 году 118 случаев насилия в отношении женщин, случаи насилия со стороны супруга (более 64 процентов) встречаются чаще, чем случаи насилия в семье (14,5 процента). Из 118 случаев, обработанных Ассоциацией в 1998 году (86 новых и </w:t>
      </w:r>
      <w:r>
        <w:br/>
        <w:t>32 старых), в докладе отмечаются 2 случая изнасилования, 2 случая насилия на рабочем месте, один случай сексуального домогательства, 9 случаев вербальных оскорблений или приставаний (на улице).</w:t>
      </w:r>
    </w:p>
    <w:p w:rsidR="00000000" w:rsidRDefault="00000000">
      <w:pPr>
        <w:spacing w:after="220"/>
      </w:pPr>
      <w:r>
        <w:t>287.</w:t>
      </w:r>
      <w:r>
        <w:tab/>
        <w:t>В докладе также указывается, что число случаев насилия со стороны супруга или насилия в семье снижается обратно пропорционально уровню образования. Из 188 случаев, обработанных в 1998 году, в 24 речь шла о неграмотных, в 63 – о людях со средним образованием, в 13 – о людях с высшим образованием и в 70 – о домохозяйках.</w:t>
      </w:r>
    </w:p>
    <w:p w:rsidR="00000000" w:rsidRDefault="00000000">
      <w:r>
        <w:t>288.</w:t>
      </w:r>
      <w:r>
        <w:tab/>
        <w:t>По данным доклада о положении детей за 1998 год, со дня вступления в силу Кодекса защиты ребенка до июня 1998 года компетентные органы были информированы о 1311 случаях угрозы насилия в отношении ребенка, из которых 590 касались девочек. Уполномоченные по защите детства осуществляли вмешательство в 1290 случаях.</w:t>
      </w:r>
    </w:p>
    <w:p w:rsidR="00000000" w:rsidRDefault="00000000">
      <w:pPr>
        <w:spacing w:before="120" w:line="260" w:lineRule="exact"/>
        <w:rPr>
          <w:b/>
          <w:sz w:val="22"/>
        </w:rPr>
      </w:pPr>
      <w:r>
        <w:rPr>
          <w:b/>
          <w:sz w:val="22"/>
        </w:rPr>
        <w:t>Перспективы</w:t>
      </w:r>
    </w:p>
    <w:p w:rsidR="00000000" w:rsidRDefault="00000000">
      <w:pPr>
        <w:spacing w:after="160"/>
      </w:pPr>
      <w:r>
        <w:t>289.</w:t>
      </w:r>
      <w:r>
        <w:tab/>
        <w:t>План действий, разработанный комиссией "Женщины и средства массовой информации" уже находится в стадии реализации. В его рамках были осуществлены три акции:</w:t>
      </w:r>
    </w:p>
    <w:p w:rsidR="00000000" w:rsidRDefault="00000000">
      <w:pPr>
        <w:spacing w:after="160"/>
        <w:ind w:left="680" w:hanging="680"/>
      </w:pPr>
      <w:r>
        <w:t>*</w:t>
      </w:r>
      <w:r>
        <w:tab/>
        <w:t>проведение в июле 1998 года рабочей встречи лиц, занимающих директивные должности, и специалистов разных профилей Тунисского радиовещания и телевидения (ТРТ) с членами Комиссии. В соответствии с ее рекомендациями ТРТ была направлена директива о равенстве в области аудиовизуальных коммуникаций, а также список женщин творческих профессий и изобретателей во всех областях;</w:t>
      </w:r>
    </w:p>
    <w:p w:rsidR="00000000" w:rsidRDefault="00000000">
      <w:pPr>
        <w:spacing w:after="160"/>
        <w:ind w:left="680" w:hanging="680"/>
      </w:pPr>
      <w:r>
        <w:t>*</w:t>
      </w:r>
      <w:r>
        <w:tab/>
        <w:t>учреждение премии имени Тахара Хаддада за создание гармоничного образа женщины в средствах массовой информации;</w:t>
      </w:r>
    </w:p>
    <w:p w:rsidR="00000000" w:rsidRDefault="00000000">
      <w:r>
        <w:t>*</w:t>
      </w:r>
      <w:r>
        <w:tab/>
        <w:t>организация в июле 1999 года рабочей встречи продюсеров и сценаристов ТРТ.</w:t>
      </w:r>
    </w:p>
    <w:p w:rsidR="00000000" w:rsidRDefault="00000000">
      <w:r>
        <w:t>290.</w:t>
      </w:r>
      <w:r>
        <w:tab/>
        <w:t>Осуществление плана действий "Женщины и средства массовой информации", как и продолжение кампании в СМИ "Гражданственность зарождается в семье", проект создания тележурнала для семьи, чтобы способствовать ее приобщению к ценностям, связанным с правами личности, учреждение премии имени Тахара Хаддада и, наконец, деятельность ЦНИДИЖ открывают новые перспективы в борьбе за искоренение гендерных стереотипов в обществе, культуре и в средствах массовой информации.</w:t>
      </w:r>
    </w:p>
    <w:p w:rsidR="00000000" w:rsidRDefault="00000000">
      <w:r>
        <w:t>291.</w:t>
      </w:r>
      <w:r>
        <w:tab/>
        <w:t>Изменение поведенческих моделей является, конечно, долговременной акцией и непрерывным процессом. Тем не менее политическая воля покончить с пережитками прошлого, касающимися дискриминации, и взаимодействие всех участников, вне всякого сомнения, помогают бороться с предрассудками и традиционной практикой.</w:t>
      </w:r>
    </w:p>
    <w:p w:rsidR="00000000" w:rsidRDefault="00000000">
      <w:pPr>
        <w:spacing w:line="240" w:lineRule="auto"/>
        <w:jc w:val="center"/>
        <w:rPr>
          <w:b/>
          <w:sz w:val="28"/>
        </w:rPr>
      </w:pPr>
      <w:r>
        <w:br w:type="page"/>
      </w:r>
      <w:r>
        <w:rPr>
          <w:rFonts w:ascii="Symbol" w:hAnsi="Symbol"/>
          <w:b/>
          <w:sz w:val="28"/>
          <w:lang w:val="en-US"/>
        </w:rPr>
        <w:t></w:t>
      </w:r>
      <w:r>
        <w:rPr>
          <w:b/>
          <w:sz w:val="28"/>
        </w:rPr>
        <w:t xml:space="preserve"> Статья 6: Проституция</w:t>
      </w:r>
    </w:p>
    <w:p w:rsidR="00000000" w:rsidRDefault="00000000">
      <w:pPr>
        <w:pBdr>
          <w:top w:val="single" w:sz="6" w:space="6" w:color="auto"/>
          <w:left w:val="single" w:sz="6" w:space="6" w:color="auto"/>
          <w:bottom w:val="single" w:sz="6" w:space="6" w:color="auto"/>
          <w:right w:val="single" w:sz="6" w:space="6" w:color="auto"/>
        </w:pBdr>
        <w:ind w:left="340" w:right="340"/>
        <w:rPr>
          <w:i/>
          <w:color w:val="000000"/>
        </w:rPr>
      </w:pPr>
      <w:r>
        <w:rPr>
          <w:i/>
          <w:color w:val="000000"/>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r>
        <w:t>292.</w:t>
      </w:r>
      <w:r>
        <w:tab/>
        <w:t>Цель политики в области законодательства и административного управления состоит в максимальном ограничении возможностей для занятия этим родом деятельности с одновременным обеспечением строгого медицинского надзора и санитарного контроля за проститутками, имеющими разрешение на свою деятельность. В то же время принимаются соответствующие законодательные и прочие меры, предусматривающие строгое наказание за скрытую проституцию в любых формах (статьи 231–235 Уголовного кодекса).</w:t>
      </w:r>
    </w:p>
    <w:p w:rsidR="00000000" w:rsidRDefault="00000000">
      <w:r>
        <w:t>293.</w:t>
      </w:r>
      <w:r>
        <w:tab/>
        <w:t>По мере осуществления политики эмансипации женщин проституция явно идет на убыль. За последние годы были закрыты многие публичные дома, в том числе в Сфаксе, Гафсе, Махдии. В 1998 году число проституток, имеющих официальное разрешение, которые работали в 15 специальных заведениях, не превышало 422.</w:t>
      </w:r>
    </w:p>
    <w:p w:rsidR="00000000" w:rsidRDefault="00000000">
      <w:r>
        <w:t>294.</w:t>
      </w:r>
      <w:r>
        <w:tab/>
        <w:t>Министерство здравоохранения осуществляет строгий медицинский и санитарный контроль в этих специальных заведениях в целях охраны здоровья как самих проституток, так и их клиентов. К каждому дому терпимости по договору с государственными органами прикреплен врач, а каждая проститутка имеет медицинскую книжку.</w:t>
      </w:r>
    </w:p>
    <w:p w:rsidR="00000000" w:rsidRDefault="00000000">
      <w:r>
        <w:t>295.</w:t>
      </w:r>
      <w:r>
        <w:tab/>
        <w:t>Кроме того, национальная программа борьбы со СПИДом обеспечила в рамках своей стратегии "Информация–Просвещение–Коммуникация" создание, производство и широкое распространение просветительских материалов с целью пропаганды использования презервативов легально работающими проститутками, а также мобилизации общественного мнения в связи с опасностью ВИЧ-инфицирования.</w:t>
      </w:r>
    </w:p>
    <w:p w:rsidR="00000000" w:rsidRDefault="00000000">
      <w:r>
        <w:t>296.</w:t>
      </w:r>
      <w:r>
        <w:tab/>
        <w:t xml:space="preserve">Вследствие толерантности тунисского общества сокращение легальной проституции может осуществляться лишь постепенно, по мере устранения социологических перекосов и укрепления отношений между мужчиной и женщиной на основе равенства и взаимности, в частности среди сельской и городской молодежи. </w:t>
      </w:r>
    </w:p>
    <w:p w:rsidR="00000000" w:rsidRDefault="00000000">
      <w:r>
        <w:t>297.</w:t>
      </w:r>
      <w:r>
        <w:tab/>
        <w:t>Тем не менее, поскольку Тунис является открытой страной и в нем широко развит туризм (более четырех миллионов туристов в год), ликвидация скрытой проституции представляется нелегкой задачей. Поэтому Министерство здравоохранения совместно с Министерством внутренних дел принимает меры в отношении этой группы риска с целью предупреждения заболеваний, передаваемых половым путем, и СПИДа, стремясь снизить вероятность заражения.</w:t>
      </w:r>
    </w:p>
    <w:p w:rsidR="00000000" w:rsidRDefault="00000000">
      <w:r>
        <w:t>298.</w:t>
      </w:r>
      <w:r>
        <w:tab/>
        <w:t>В рамках стратегии "Информация–Просвещение–Коммуникация" Союз женщин – медицинских и социальных работников, подведомственный Национальному союзу тунисских женщин, совместно с Национальным бюро по вопросам планирования семьи и народонаселения направил свою просветительско-пропагандистскую деятельность на молодых женщин, задержанных за скрытую проституцию.</w:t>
      </w:r>
    </w:p>
    <w:p w:rsidR="00000000" w:rsidRDefault="00000000">
      <w:pPr>
        <w:spacing w:line="240" w:lineRule="auto"/>
        <w:jc w:val="center"/>
        <w:rPr>
          <w:b/>
          <w:sz w:val="28"/>
        </w:rPr>
      </w:pPr>
      <w:r>
        <w:br w:type="page"/>
      </w:r>
      <w:r>
        <w:rPr>
          <w:rFonts w:ascii="Symbol" w:hAnsi="Symbol"/>
          <w:b/>
          <w:sz w:val="28"/>
        </w:rPr>
        <w:t></w:t>
      </w:r>
      <w:r>
        <w:rPr>
          <w:b/>
          <w:sz w:val="28"/>
        </w:rPr>
        <w:t xml:space="preserve"> Статья 7: Политическая и общественная жизнь</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color w:val="000000"/>
        </w:rPr>
      </w:pPr>
      <w:r>
        <w:rPr>
          <w:i/>
          <w:color w:val="000000"/>
        </w:rPr>
        <w:tab/>
        <w:t>а)</w:t>
      </w:r>
      <w:r>
        <w:rPr>
          <w:i/>
          <w:color w:val="000000"/>
        </w:rPr>
        <w:tab/>
        <w:t>голосовать на всех выборах и публичных референдумах и избираться во все публично избираемые органы;</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lang w:val="en-US"/>
        </w:rPr>
        <w:tab/>
      </w:r>
      <w:r>
        <w:rPr>
          <w:i/>
        </w:rPr>
        <w:t>b)</w:t>
      </w:r>
      <w:r>
        <w:rPr>
          <w:i/>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i/>
          <w:lang w:val="en-US"/>
        </w:rPr>
        <w:tab/>
      </w:r>
      <w:r>
        <w:rPr>
          <w:i/>
        </w:rPr>
        <w:t>с)</w:t>
      </w:r>
      <w:r>
        <w:rPr>
          <w:i/>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spacing w:before="120" w:line="240" w:lineRule="auto"/>
        <w:rPr>
          <w:b/>
          <w:sz w:val="28"/>
        </w:rPr>
      </w:pPr>
      <w:r>
        <w:rPr>
          <w:b/>
          <w:sz w:val="28"/>
        </w:rPr>
        <w:t>I.</w:t>
      </w:r>
      <w:r>
        <w:rPr>
          <w:b/>
          <w:sz w:val="28"/>
        </w:rPr>
        <w:tab/>
        <w:t>Законодательные и институциональные механизмы</w:t>
      </w:r>
    </w:p>
    <w:p w:rsidR="00000000" w:rsidRDefault="00000000">
      <w:r>
        <w:t>299.</w:t>
      </w:r>
      <w:r>
        <w:tab/>
        <w:t>Стремясь к установлению фактического равенства, тунисские законодатели продолжали внедрять законы, пропагандирующие эгалитарное понимание отношений между людьми, однако делали это постепенно, чтобы нововведения могли прочно войти в жизнь людей и получить дальнейшее развитие. Уже с середины 60-х годов законодательство уравняло женщину с мужчиной в политических и гражданских правах, но, чтобы успешнее бороться с любыми попытками ущемления этих прав на местах, необходимо было постепенно ввести в него принцип недискриминации. С 1959 года Конституция гарантирует в своих статьях 6 и 8 "одинаковые права и обязанности" всем гражданам, а в статьях 20 и 21 – право избирать и быть избранным как для мужчин, так и для женщин.</w:t>
      </w:r>
    </w:p>
    <w:p w:rsidR="00000000" w:rsidRDefault="00000000">
      <w:r>
        <w:t>300.</w:t>
      </w:r>
      <w:r>
        <w:tab/>
        <w:t xml:space="preserve">Благодаря поправкам, внесенным в Конституцию в соответствии с законом № 97-65 от 27 октября </w:t>
      </w:r>
      <w:r>
        <w:br/>
        <w:t>1997 года, был укреплен принцип равенства граждан и четко провозглашен принцип недискриминации по признаку пола.</w:t>
      </w:r>
    </w:p>
    <w:p w:rsidR="00000000" w:rsidRDefault="00000000">
      <w:pPr>
        <w:spacing w:after="120"/>
      </w:pPr>
      <w:r>
        <w:t>*</w:t>
      </w:r>
      <w:r>
        <w:tab/>
        <w:t>В соответствии с новой статьей 8 Конституции, определяющей, в частности, порядок организации политических партий, предварительными условиями для организации политической партии являются положения о соблюдении прав человека и принципов, касающихся статуса личности. В статье указывается также на необходимость "принятия партиями обязательства исключить любую форму дискриминации". Таким образом, принцип недискриминации был включен в Конституцию.</w:t>
      </w:r>
    </w:p>
    <w:p w:rsidR="00000000" w:rsidRDefault="00000000">
      <w:pPr>
        <w:spacing w:after="120"/>
      </w:pPr>
      <w:r>
        <w:rPr>
          <w:lang w:val="en-US"/>
        </w:rPr>
        <w:tab/>
      </w:r>
      <w:r>
        <w:t xml:space="preserve">В этой статье также говорится: </w:t>
      </w:r>
      <w:r>
        <w:rPr>
          <w:i/>
        </w:rPr>
        <w:t>"…Политические партии обязаны уважать суверенитет народа, ценности Республики, права человека и принципы, касающиеся статуса личности.</w:t>
      </w:r>
    </w:p>
    <w:p w:rsidR="00000000" w:rsidRDefault="00000000">
      <w:pPr>
        <w:spacing w:after="120"/>
        <w:rPr>
          <w:i/>
          <w:color w:val="000000"/>
        </w:rPr>
      </w:pPr>
      <w:r>
        <w:rPr>
          <w:color w:val="000000"/>
        </w:rPr>
        <w:tab/>
      </w:r>
      <w:r>
        <w:rPr>
          <w:i/>
          <w:color w:val="000000"/>
        </w:rPr>
        <w:t>Политические партии должны пресекать любые формы насилия, фанатизма, расизма и любые формы дискриминации.</w:t>
      </w:r>
    </w:p>
    <w:p w:rsidR="00000000" w:rsidRDefault="00000000">
      <w:pPr>
        <w:rPr>
          <w:i/>
          <w:color w:val="0000FF"/>
        </w:rPr>
      </w:pPr>
      <w:r>
        <w:rPr>
          <w:i/>
          <w:lang w:val="en-US"/>
        </w:rPr>
        <w:tab/>
      </w:r>
      <w:r>
        <w:rPr>
          <w:i/>
        </w:rPr>
        <w:t>Ни одна политическая партия не может взять за основу своих</w:t>
      </w:r>
      <w:r>
        <w:rPr>
          <w:i/>
          <w:color w:val="0000FF"/>
        </w:rPr>
        <w:t xml:space="preserve"> </w:t>
      </w:r>
      <w:r>
        <w:rPr>
          <w:i/>
        </w:rPr>
        <w:t>принципов, целей, действий и программ какую-либо религию, язык,</w:t>
      </w:r>
      <w:r>
        <w:rPr>
          <w:i/>
          <w:color w:val="0000FF"/>
        </w:rPr>
        <w:t xml:space="preserve"> </w:t>
      </w:r>
      <w:r>
        <w:rPr>
          <w:i/>
        </w:rPr>
        <w:t>расу или пол".</w:t>
      </w:r>
    </w:p>
    <w:p w:rsidR="00000000" w:rsidRDefault="00000000">
      <w:r>
        <w:t xml:space="preserve">* </w:t>
      </w:r>
      <w:r>
        <w:tab/>
        <w:t xml:space="preserve">Статья 76 Положения о выборах, в которой сформулированы требования к кандидатам в депутаты, уравнивает в правовом отношении происхождение по матери и происхождение по отцу, провозглашая: </w:t>
      </w:r>
      <w:r>
        <w:rPr>
          <w:i/>
        </w:rPr>
        <w:t>"В Палату депутатов может быть избран любой кандидат, рожденный от отца – гражданина Туниса или матери – гражданки Туниса, если ему/ей исполнилось 23 года"</w:t>
      </w:r>
      <w:r>
        <w:t>.</w:t>
      </w:r>
    </w:p>
    <w:p w:rsidR="00000000" w:rsidRDefault="00000000">
      <w:r>
        <w:t>301.</w:t>
      </w:r>
      <w:r>
        <w:tab/>
        <w:t>Законом № 67-41 от 21 ноября 1967 года Тунис ратифицировал Международную конвенцию о политических правах женщин.</w:t>
      </w:r>
    </w:p>
    <w:p w:rsidR="00000000" w:rsidRDefault="00000000">
      <w:pPr>
        <w:spacing w:after="120"/>
      </w:pPr>
      <w:r>
        <w:t>302.</w:t>
      </w:r>
      <w:r>
        <w:tab/>
        <w:t>Тунисские законодатели позаботились о том, чтобы одновременно с провозглашением равенства мужчины и женщины была создана система защиты женщины, наделив ее особыми правами как женщину и мать. За последние пять лет женщине были предоставлены некоторые новые преимущества:</w:t>
      </w:r>
    </w:p>
    <w:p w:rsidR="00000000" w:rsidRDefault="00000000">
      <w:pPr>
        <w:spacing w:after="120"/>
      </w:pPr>
      <w:r>
        <w:t>–</w:t>
      </w:r>
      <w:r>
        <w:tab/>
        <w:t>восстановление права на перерыв в работе для кормления ребенка грудью;</w:t>
      </w:r>
    </w:p>
    <w:p w:rsidR="00000000" w:rsidRDefault="00000000">
      <w:pPr>
        <w:spacing w:after="120"/>
      </w:pPr>
      <w:r>
        <w:t>–</w:t>
      </w:r>
      <w:r>
        <w:tab/>
        <w:t>компенсация расходов по содержанию и воспитанию ребенка кассами социального обеспечения;</w:t>
      </w:r>
    </w:p>
    <w:p w:rsidR="00000000" w:rsidRDefault="00000000">
      <w:pPr>
        <w:spacing w:after="120"/>
      </w:pPr>
      <w:r>
        <w:t>–</w:t>
      </w:r>
      <w:r>
        <w:tab/>
        <w:t>поощрение частных инвестиций на цели создания детских учреждений;</w:t>
      </w:r>
    </w:p>
    <w:p w:rsidR="00000000" w:rsidRDefault="00000000">
      <w:pPr>
        <w:ind w:left="680" w:hanging="680"/>
      </w:pPr>
      <w:r>
        <w:t>–</w:t>
      </w:r>
      <w:r>
        <w:tab/>
        <w:t>автоматическая выдача, в частном и в государственном секторах, семейных пособий матери, имеющей на иждивении детей, и продление до 21 года предельного возраста ребенка для получения такого пособия в обоих секторах (см. пункты 596–598).</w:t>
      </w:r>
    </w:p>
    <w:p w:rsidR="00000000" w:rsidRDefault="00000000">
      <w:r>
        <w:t>303.</w:t>
      </w:r>
      <w:r>
        <w:tab/>
        <w:t>Министерство по делам женщин и семьи, ЦНИДИЖ, Национальная комиссия по вопросам женщин и развития, созданная в 1991 году в рамках подготовки VIII национального плана развития (1992–1996 годы) и предусмотренная также в рамках IX плана, как и комиссия, которой поручено обеспечивать равенство возможностей в составе Национальной комиссии по делам женщин и семьи, являются специальными структурами, позволяющими женщинам успешнее участвовать в определении политики в разных областях.</w:t>
      </w:r>
    </w:p>
    <w:p w:rsidR="00000000" w:rsidRDefault="00000000">
      <w:r>
        <w:t>304.</w:t>
      </w:r>
      <w:r>
        <w:tab/>
        <w:t>Создание в Демократическом конституционном объединении, мажоритарной правящей партии, Постоянного секретариата по делам женщин, а также специальных местных и региональных структур оказало весьма положительное влияние на участие женщин в политической жизни.</w:t>
      </w:r>
    </w:p>
    <w:p w:rsidR="00000000" w:rsidRDefault="00000000">
      <w:pPr>
        <w:spacing w:before="120" w:line="240" w:lineRule="auto"/>
        <w:rPr>
          <w:b/>
          <w:sz w:val="28"/>
        </w:rPr>
      </w:pPr>
      <w:r>
        <w:rPr>
          <w:b/>
          <w:sz w:val="28"/>
        </w:rPr>
        <w:t>II.</w:t>
      </w:r>
      <w:r>
        <w:rPr>
          <w:b/>
          <w:sz w:val="28"/>
        </w:rPr>
        <w:tab/>
        <w:t>Женщины в выборных органах</w:t>
      </w:r>
    </w:p>
    <w:p w:rsidR="00000000" w:rsidRDefault="00000000">
      <w:r>
        <w:t>305.</w:t>
      </w:r>
      <w:r>
        <w:tab/>
        <w:t xml:space="preserve">Число женщин в Палате депутатов несколько возросло. Их доля увеличилась с 1,12 процента в </w:t>
      </w:r>
      <w:r>
        <w:br/>
        <w:t>1957 году до 4,26 процента в 1989 году, с 7 процентов в 1994 году до 11,5 процента в 1999 году.</w:t>
      </w:r>
    </w:p>
    <w:p w:rsidR="00000000" w:rsidRDefault="00000000">
      <w:r>
        <w:t>306.</w:t>
      </w:r>
      <w:r>
        <w:tab/>
        <w:t xml:space="preserve">В результате парламентских выборов, состоявшихся в октябре 1999 года, в Палате депутатов заседает </w:t>
      </w:r>
      <w:r>
        <w:br/>
        <w:t>21 женщина при общем числе депутатов, равном 182. Число женщин-избирательниц составляло 1 570 131 при общем числе зарегистрированных избирателей, равном 3 387 542.</w:t>
      </w:r>
    </w:p>
    <w:p w:rsidR="00000000" w:rsidRDefault="00000000">
      <w:pPr>
        <w:spacing w:before="120" w:after="120"/>
        <w:jc w:val="center"/>
        <w:rPr>
          <w:b/>
        </w:rPr>
      </w:pPr>
      <w:r>
        <w:rPr>
          <w:b/>
        </w:rPr>
        <w:t>Палата депутатов (1999 год)</w:t>
      </w:r>
    </w:p>
    <w:p w:rsidR="00000000" w:rsidRDefault="00000000">
      <w:pPr>
        <w:jc w:val="center"/>
      </w:pPr>
      <w:r>
        <w:rPr>
          <w:b/>
        </w:rPr>
        <w:t>Распределение мест по политической принадлежности и полу</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53"/>
        <w:gridCol w:w="1526"/>
        <w:gridCol w:w="1493"/>
      </w:tblGrid>
      <w:tr w:rsidR="00000000">
        <w:tblPrEx>
          <w:tblCellMar>
            <w:top w:w="0" w:type="dxa"/>
            <w:bottom w:w="0" w:type="dxa"/>
          </w:tblCellMar>
        </w:tblPrEx>
        <w:trPr>
          <w:cantSplit/>
          <w:jc w:val="center"/>
        </w:trPr>
        <w:tc>
          <w:tcPr>
            <w:tcW w:w="6053" w:type="dxa"/>
            <w:vMerge w:val="restart"/>
          </w:tcPr>
          <w:p w:rsidR="00000000" w:rsidRDefault="00000000">
            <w:pPr>
              <w:spacing w:before="80" w:after="80" w:line="220" w:lineRule="exact"/>
              <w:rPr>
                <w:b/>
                <w:sz w:val="18"/>
              </w:rPr>
            </w:pPr>
            <w:r>
              <w:rPr>
                <w:b/>
                <w:sz w:val="18"/>
              </w:rPr>
              <w:t>Политические партии</w:t>
            </w:r>
          </w:p>
        </w:tc>
        <w:tc>
          <w:tcPr>
            <w:tcW w:w="3019" w:type="dxa"/>
            <w:gridSpan w:val="2"/>
          </w:tcPr>
          <w:p w:rsidR="00000000" w:rsidRDefault="00000000">
            <w:pPr>
              <w:spacing w:before="80" w:after="80" w:line="220" w:lineRule="exact"/>
              <w:jc w:val="center"/>
              <w:rPr>
                <w:b/>
                <w:sz w:val="18"/>
              </w:rPr>
            </w:pPr>
            <w:r>
              <w:rPr>
                <w:b/>
                <w:sz w:val="18"/>
              </w:rPr>
              <w:t>Число депутатов</w:t>
            </w:r>
          </w:p>
        </w:tc>
      </w:tr>
      <w:tr w:rsidR="00000000">
        <w:tblPrEx>
          <w:tblCellMar>
            <w:top w:w="0" w:type="dxa"/>
            <w:bottom w:w="0" w:type="dxa"/>
          </w:tblCellMar>
        </w:tblPrEx>
        <w:trPr>
          <w:cantSplit/>
          <w:jc w:val="center"/>
        </w:trPr>
        <w:tc>
          <w:tcPr>
            <w:tcW w:w="6053" w:type="dxa"/>
            <w:vMerge/>
          </w:tcPr>
          <w:p w:rsidR="00000000" w:rsidRDefault="00000000">
            <w:pPr>
              <w:spacing w:before="80" w:after="80" w:line="220" w:lineRule="exact"/>
              <w:rPr>
                <w:b/>
                <w:sz w:val="18"/>
              </w:rPr>
            </w:pPr>
          </w:p>
        </w:tc>
        <w:tc>
          <w:tcPr>
            <w:tcW w:w="1526" w:type="dxa"/>
          </w:tcPr>
          <w:p w:rsidR="00000000" w:rsidRDefault="00000000">
            <w:pPr>
              <w:spacing w:before="80" w:after="80" w:line="220" w:lineRule="exact"/>
              <w:jc w:val="center"/>
              <w:rPr>
                <w:b/>
                <w:sz w:val="18"/>
              </w:rPr>
            </w:pPr>
            <w:r>
              <w:rPr>
                <w:b/>
                <w:sz w:val="18"/>
              </w:rPr>
              <w:t>мужчины</w:t>
            </w:r>
          </w:p>
        </w:tc>
        <w:tc>
          <w:tcPr>
            <w:tcW w:w="1493" w:type="dxa"/>
          </w:tcPr>
          <w:p w:rsidR="00000000" w:rsidRDefault="00000000">
            <w:pPr>
              <w:spacing w:before="80" w:after="80" w:line="220" w:lineRule="exact"/>
              <w:jc w:val="center"/>
              <w:rPr>
                <w:b/>
                <w:sz w:val="18"/>
              </w:rPr>
            </w:pPr>
            <w:r>
              <w:rPr>
                <w:b/>
                <w:sz w:val="18"/>
              </w:rPr>
              <w:t>женщины</w:t>
            </w:r>
          </w:p>
        </w:tc>
      </w:tr>
      <w:tr w:rsidR="00000000">
        <w:tblPrEx>
          <w:tblCellMar>
            <w:top w:w="0" w:type="dxa"/>
            <w:bottom w:w="0" w:type="dxa"/>
          </w:tblCellMar>
        </w:tblPrEx>
        <w:trPr>
          <w:jc w:val="center"/>
        </w:trPr>
        <w:tc>
          <w:tcPr>
            <w:tcW w:w="6053" w:type="dxa"/>
          </w:tcPr>
          <w:p w:rsidR="00000000" w:rsidRDefault="00000000">
            <w:pPr>
              <w:spacing w:before="80" w:after="80" w:line="220" w:lineRule="exact"/>
              <w:rPr>
                <w:sz w:val="18"/>
              </w:rPr>
            </w:pPr>
            <w:r>
              <w:rPr>
                <w:sz w:val="18"/>
              </w:rPr>
              <w:t>Демократическое конституционное объединение (ДКО)</w:t>
            </w:r>
          </w:p>
        </w:tc>
        <w:tc>
          <w:tcPr>
            <w:tcW w:w="1526" w:type="dxa"/>
          </w:tcPr>
          <w:p w:rsidR="00000000" w:rsidRDefault="00000000">
            <w:pPr>
              <w:spacing w:before="80" w:after="80" w:line="220" w:lineRule="exact"/>
              <w:ind w:right="567"/>
              <w:jc w:val="right"/>
              <w:rPr>
                <w:sz w:val="18"/>
              </w:rPr>
            </w:pPr>
            <w:r>
              <w:rPr>
                <w:sz w:val="18"/>
              </w:rPr>
              <w:t>128</w:t>
            </w:r>
          </w:p>
        </w:tc>
        <w:tc>
          <w:tcPr>
            <w:tcW w:w="1493" w:type="dxa"/>
          </w:tcPr>
          <w:p w:rsidR="00000000" w:rsidRDefault="00000000">
            <w:pPr>
              <w:spacing w:before="80" w:after="80" w:line="220" w:lineRule="exact"/>
              <w:ind w:right="567"/>
              <w:jc w:val="right"/>
              <w:rPr>
                <w:sz w:val="18"/>
              </w:rPr>
            </w:pPr>
            <w:r>
              <w:rPr>
                <w:sz w:val="18"/>
              </w:rPr>
              <w:t>20</w:t>
            </w:r>
          </w:p>
        </w:tc>
      </w:tr>
      <w:tr w:rsidR="00000000">
        <w:tblPrEx>
          <w:tblCellMar>
            <w:top w:w="0" w:type="dxa"/>
            <w:bottom w:w="0" w:type="dxa"/>
          </w:tblCellMar>
        </w:tblPrEx>
        <w:trPr>
          <w:jc w:val="center"/>
        </w:trPr>
        <w:tc>
          <w:tcPr>
            <w:tcW w:w="6053" w:type="dxa"/>
          </w:tcPr>
          <w:p w:rsidR="00000000" w:rsidRDefault="00000000">
            <w:pPr>
              <w:spacing w:before="80" w:after="80" w:line="220" w:lineRule="exact"/>
              <w:rPr>
                <w:sz w:val="18"/>
              </w:rPr>
            </w:pPr>
            <w:r>
              <w:rPr>
                <w:sz w:val="18"/>
              </w:rPr>
              <w:t>Движение обновления "Этадждид"</w:t>
            </w:r>
          </w:p>
        </w:tc>
        <w:tc>
          <w:tcPr>
            <w:tcW w:w="1526" w:type="dxa"/>
          </w:tcPr>
          <w:p w:rsidR="00000000" w:rsidRDefault="00000000">
            <w:pPr>
              <w:spacing w:before="80" w:after="80" w:line="220" w:lineRule="exact"/>
              <w:ind w:right="567"/>
              <w:jc w:val="right"/>
              <w:rPr>
                <w:sz w:val="18"/>
              </w:rPr>
            </w:pPr>
            <w:r>
              <w:rPr>
                <w:sz w:val="18"/>
              </w:rPr>
              <w:t>5</w:t>
            </w:r>
          </w:p>
        </w:tc>
        <w:tc>
          <w:tcPr>
            <w:tcW w:w="1493" w:type="dxa"/>
          </w:tcPr>
          <w:p w:rsidR="00000000" w:rsidRDefault="00000000">
            <w:pPr>
              <w:spacing w:before="80" w:after="80" w:line="220" w:lineRule="exact"/>
              <w:ind w:right="567"/>
              <w:jc w:val="right"/>
              <w:rPr>
                <w:sz w:val="18"/>
              </w:rPr>
            </w:pPr>
            <w:r>
              <w:rPr>
                <w:sz w:val="18"/>
              </w:rPr>
              <w:t>–</w:t>
            </w:r>
          </w:p>
        </w:tc>
      </w:tr>
      <w:tr w:rsidR="00000000">
        <w:tblPrEx>
          <w:tblCellMar>
            <w:top w:w="0" w:type="dxa"/>
            <w:bottom w:w="0" w:type="dxa"/>
          </w:tblCellMar>
        </w:tblPrEx>
        <w:trPr>
          <w:jc w:val="center"/>
        </w:trPr>
        <w:tc>
          <w:tcPr>
            <w:tcW w:w="6053" w:type="dxa"/>
          </w:tcPr>
          <w:p w:rsidR="00000000" w:rsidRDefault="00000000">
            <w:pPr>
              <w:spacing w:before="80" w:after="80" w:line="220" w:lineRule="exact"/>
              <w:rPr>
                <w:sz w:val="18"/>
              </w:rPr>
            </w:pPr>
            <w:r>
              <w:rPr>
                <w:sz w:val="18"/>
              </w:rPr>
              <w:t>Движение демократов-социалистов (ДДС)</w:t>
            </w:r>
          </w:p>
        </w:tc>
        <w:tc>
          <w:tcPr>
            <w:tcW w:w="1526" w:type="dxa"/>
          </w:tcPr>
          <w:p w:rsidR="00000000" w:rsidRDefault="00000000">
            <w:pPr>
              <w:spacing w:before="80" w:after="80" w:line="220" w:lineRule="exact"/>
              <w:ind w:right="567"/>
              <w:jc w:val="right"/>
              <w:rPr>
                <w:sz w:val="18"/>
              </w:rPr>
            </w:pPr>
            <w:r>
              <w:rPr>
                <w:sz w:val="18"/>
              </w:rPr>
              <w:t>13</w:t>
            </w:r>
          </w:p>
        </w:tc>
        <w:tc>
          <w:tcPr>
            <w:tcW w:w="1493" w:type="dxa"/>
          </w:tcPr>
          <w:p w:rsidR="00000000" w:rsidRDefault="00000000">
            <w:pPr>
              <w:spacing w:before="80" w:after="80" w:line="220" w:lineRule="exact"/>
              <w:ind w:right="567"/>
              <w:jc w:val="right"/>
              <w:rPr>
                <w:sz w:val="18"/>
              </w:rPr>
            </w:pPr>
            <w:r>
              <w:rPr>
                <w:sz w:val="18"/>
              </w:rPr>
              <w:t>–</w:t>
            </w:r>
          </w:p>
        </w:tc>
      </w:tr>
      <w:tr w:rsidR="00000000">
        <w:tblPrEx>
          <w:tblCellMar>
            <w:top w:w="0" w:type="dxa"/>
            <w:bottom w:w="0" w:type="dxa"/>
          </w:tblCellMar>
        </w:tblPrEx>
        <w:trPr>
          <w:jc w:val="center"/>
        </w:trPr>
        <w:tc>
          <w:tcPr>
            <w:tcW w:w="6053" w:type="dxa"/>
          </w:tcPr>
          <w:p w:rsidR="00000000" w:rsidRDefault="00000000">
            <w:pPr>
              <w:spacing w:before="80" w:after="80" w:line="220" w:lineRule="exact"/>
              <w:rPr>
                <w:sz w:val="18"/>
              </w:rPr>
            </w:pPr>
            <w:r>
              <w:rPr>
                <w:sz w:val="18"/>
              </w:rPr>
              <w:t>Партия народного единства (ПНЕ)</w:t>
            </w:r>
          </w:p>
        </w:tc>
        <w:tc>
          <w:tcPr>
            <w:tcW w:w="1526" w:type="dxa"/>
          </w:tcPr>
          <w:p w:rsidR="00000000" w:rsidRDefault="00000000">
            <w:pPr>
              <w:spacing w:before="80" w:after="80" w:line="220" w:lineRule="exact"/>
              <w:ind w:right="567"/>
              <w:jc w:val="right"/>
              <w:rPr>
                <w:sz w:val="18"/>
              </w:rPr>
            </w:pPr>
            <w:r>
              <w:rPr>
                <w:sz w:val="18"/>
              </w:rPr>
              <w:t>7</w:t>
            </w:r>
          </w:p>
        </w:tc>
        <w:tc>
          <w:tcPr>
            <w:tcW w:w="1493" w:type="dxa"/>
          </w:tcPr>
          <w:p w:rsidR="00000000" w:rsidRDefault="00000000">
            <w:pPr>
              <w:spacing w:before="80" w:after="80" w:line="220" w:lineRule="exact"/>
              <w:ind w:right="567"/>
              <w:jc w:val="right"/>
              <w:rPr>
                <w:sz w:val="18"/>
              </w:rPr>
            </w:pPr>
            <w:r>
              <w:rPr>
                <w:sz w:val="18"/>
              </w:rPr>
              <w:t>–</w:t>
            </w:r>
          </w:p>
        </w:tc>
      </w:tr>
      <w:tr w:rsidR="00000000">
        <w:tblPrEx>
          <w:tblCellMar>
            <w:top w:w="0" w:type="dxa"/>
            <w:bottom w:w="0" w:type="dxa"/>
          </w:tblCellMar>
        </w:tblPrEx>
        <w:trPr>
          <w:jc w:val="center"/>
        </w:trPr>
        <w:tc>
          <w:tcPr>
            <w:tcW w:w="6053" w:type="dxa"/>
          </w:tcPr>
          <w:p w:rsidR="00000000" w:rsidRDefault="00000000">
            <w:pPr>
              <w:spacing w:before="80" w:after="80" w:line="220" w:lineRule="exact"/>
              <w:rPr>
                <w:sz w:val="18"/>
              </w:rPr>
            </w:pPr>
            <w:r>
              <w:rPr>
                <w:sz w:val="18"/>
              </w:rPr>
              <w:t>Демократический юнионистский союз (ДЮС)</w:t>
            </w:r>
          </w:p>
        </w:tc>
        <w:tc>
          <w:tcPr>
            <w:tcW w:w="1526" w:type="dxa"/>
          </w:tcPr>
          <w:p w:rsidR="00000000" w:rsidRDefault="00000000">
            <w:pPr>
              <w:spacing w:before="80" w:after="80" w:line="220" w:lineRule="exact"/>
              <w:ind w:right="567"/>
              <w:jc w:val="right"/>
              <w:rPr>
                <w:sz w:val="18"/>
              </w:rPr>
            </w:pPr>
            <w:r>
              <w:rPr>
                <w:sz w:val="18"/>
              </w:rPr>
              <w:t>6</w:t>
            </w:r>
          </w:p>
        </w:tc>
        <w:tc>
          <w:tcPr>
            <w:tcW w:w="1493" w:type="dxa"/>
          </w:tcPr>
          <w:p w:rsidR="00000000" w:rsidRDefault="00000000">
            <w:pPr>
              <w:spacing w:before="80" w:after="80" w:line="220" w:lineRule="exact"/>
              <w:ind w:right="567"/>
              <w:jc w:val="right"/>
              <w:rPr>
                <w:sz w:val="18"/>
              </w:rPr>
            </w:pPr>
            <w:r>
              <w:rPr>
                <w:sz w:val="18"/>
              </w:rPr>
              <w:t>1</w:t>
            </w:r>
          </w:p>
        </w:tc>
      </w:tr>
      <w:tr w:rsidR="00000000">
        <w:tblPrEx>
          <w:tblCellMar>
            <w:top w:w="0" w:type="dxa"/>
            <w:bottom w:w="0" w:type="dxa"/>
          </w:tblCellMar>
        </w:tblPrEx>
        <w:trPr>
          <w:jc w:val="center"/>
        </w:trPr>
        <w:tc>
          <w:tcPr>
            <w:tcW w:w="6053" w:type="dxa"/>
          </w:tcPr>
          <w:p w:rsidR="00000000" w:rsidRDefault="00000000">
            <w:pPr>
              <w:spacing w:before="80" w:after="80" w:line="220" w:lineRule="exact"/>
              <w:rPr>
                <w:sz w:val="18"/>
              </w:rPr>
            </w:pPr>
            <w:r>
              <w:rPr>
                <w:sz w:val="18"/>
              </w:rPr>
              <w:t>Социал-либеральная партия (СЛП)</w:t>
            </w:r>
          </w:p>
        </w:tc>
        <w:tc>
          <w:tcPr>
            <w:tcW w:w="1526" w:type="dxa"/>
          </w:tcPr>
          <w:p w:rsidR="00000000" w:rsidRDefault="00000000">
            <w:pPr>
              <w:spacing w:before="80" w:after="80" w:line="220" w:lineRule="exact"/>
              <w:ind w:right="567"/>
              <w:jc w:val="right"/>
              <w:rPr>
                <w:sz w:val="18"/>
              </w:rPr>
            </w:pPr>
            <w:r>
              <w:rPr>
                <w:sz w:val="18"/>
              </w:rPr>
              <w:t>2</w:t>
            </w:r>
          </w:p>
        </w:tc>
        <w:tc>
          <w:tcPr>
            <w:tcW w:w="1493" w:type="dxa"/>
          </w:tcPr>
          <w:p w:rsidR="00000000" w:rsidRDefault="00000000">
            <w:pPr>
              <w:spacing w:before="80" w:after="80" w:line="220" w:lineRule="exact"/>
              <w:ind w:right="567"/>
              <w:jc w:val="right"/>
              <w:rPr>
                <w:sz w:val="18"/>
              </w:rPr>
            </w:pPr>
            <w:r>
              <w:rPr>
                <w:sz w:val="18"/>
              </w:rPr>
              <w:t>–</w:t>
            </w:r>
          </w:p>
        </w:tc>
      </w:tr>
      <w:tr w:rsidR="00000000">
        <w:tblPrEx>
          <w:tblCellMar>
            <w:top w:w="0" w:type="dxa"/>
            <w:bottom w:w="0" w:type="dxa"/>
          </w:tblCellMar>
        </w:tblPrEx>
        <w:trPr>
          <w:jc w:val="center"/>
        </w:trPr>
        <w:tc>
          <w:tcPr>
            <w:tcW w:w="6053" w:type="dxa"/>
          </w:tcPr>
          <w:p w:rsidR="00000000" w:rsidRDefault="00000000">
            <w:pPr>
              <w:spacing w:before="80" w:after="80" w:line="220" w:lineRule="exact"/>
              <w:rPr>
                <w:sz w:val="18"/>
              </w:rPr>
            </w:pPr>
            <w:r>
              <w:rPr>
                <w:sz w:val="18"/>
              </w:rPr>
              <w:t>Всего</w:t>
            </w:r>
          </w:p>
        </w:tc>
        <w:tc>
          <w:tcPr>
            <w:tcW w:w="1526" w:type="dxa"/>
          </w:tcPr>
          <w:p w:rsidR="00000000" w:rsidRDefault="00000000">
            <w:pPr>
              <w:spacing w:before="80" w:after="80" w:line="220" w:lineRule="exact"/>
              <w:ind w:right="567"/>
              <w:jc w:val="right"/>
              <w:rPr>
                <w:sz w:val="18"/>
              </w:rPr>
            </w:pPr>
            <w:r>
              <w:rPr>
                <w:sz w:val="18"/>
              </w:rPr>
              <w:t>161</w:t>
            </w:r>
          </w:p>
        </w:tc>
        <w:tc>
          <w:tcPr>
            <w:tcW w:w="1493" w:type="dxa"/>
          </w:tcPr>
          <w:p w:rsidR="00000000" w:rsidRDefault="00000000">
            <w:pPr>
              <w:spacing w:before="80" w:after="80" w:line="220" w:lineRule="exact"/>
              <w:ind w:right="567"/>
              <w:jc w:val="right"/>
              <w:rPr>
                <w:sz w:val="18"/>
              </w:rPr>
            </w:pPr>
            <w:r>
              <w:rPr>
                <w:sz w:val="18"/>
              </w:rPr>
              <w:t>21</w:t>
            </w:r>
          </w:p>
        </w:tc>
      </w:tr>
      <w:tr w:rsidR="00000000">
        <w:tblPrEx>
          <w:tblCellMar>
            <w:top w:w="0" w:type="dxa"/>
            <w:bottom w:w="0" w:type="dxa"/>
          </w:tblCellMar>
        </w:tblPrEx>
        <w:trPr>
          <w:jc w:val="center"/>
        </w:trPr>
        <w:tc>
          <w:tcPr>
            <w:tcW w:w="9072" w:type="dxa"/>
            <w:gridSpan w:val="3"/>
          </w:tcPr>
          <w:p w:rsidR="00000000" w:rsidRDefault="00000000">
            <w:pPr>
              <w:tabs>
                <w:tab w:val="left" w:pos="7260"/>
              </w:tabs>
              <w:spacing w:before="80" w:after="80" w:line="220" w:lineRule="exact"/>
              <w:rPr>
                <w:sz w:val="18"/>
              </w:rPr>
            </w:pPr>
            <w:r>
              <w:rPr>
                <w:sz w:val="18"/>
              </w:rPr>
              <w:t xml:space="preserve">Итого </w:t>
            </w:r>
            <w:r>
              <w:rPr>
                <w:sz w:val="18"/>
              </w:rPr>
              <w:tab/>
            </w:r>
            <w:r>
              <w:rPr>
                <w:sz w:val="18"/>
              </w:rPr>
              <w:tab/>
            </w:r>
            <w:r>
              <w:rPr>
                <w:sz w:val="18"/>
                <w:lang w:val="en-US"/>
              </w:rPr>
              <w:tab/>
              <w:t xml:space="preserve">  </w:t>
            </w:r>
            <w:r>
              <w:rPr>
                <w:sz w:val="18"/>
              </w:rPr>
              <w:t>182</w:t>
            </w:r>
          </w:p>
        </w:tc>
      </w:tr>
    </w:tbl>
    <w:p w:rsidR="00000000" w:rsidRDefault="00000000">
      <w:pPr>
        <w:spacing w:before="120" w:line="220" w:lineRule="exact"/>
        <w:ind w:right="290"/>
        <w:jc w:val="right"/>
        <w:rPr>
          <w:b/>
          <w:sz w:val="18"/>
        </w:rPr>
      </w:pPr>
      <w:r>
        <w:rPr>
          <w:b/>
          <w:sz w:val="18"/>
        </w:rPr>
        <w:t>Источник: Министерство внутренних дел</w:t>
      </w:r>
    </w:p>
    <w:p w:rsidR="00000000" w:rsidRDefault="00000000">
      <w:r>
        <w:t>307.</w:t>
      </w:r>
      <w:r>
        <w:tab/>
        <w:t>Уже более десяти лет пост вице-спикера Палаты депутатов занимает женщина, равно как и пост председателя Парламентской комиссии по оборудованию.</w:t>
      </w:r>
    </w:p>
    <w:p w:rsidR="00000000" w:rsidRDefault="00000000">
      <w:r>
        <w:t>308.</w:t>
      </w:r>
      <w:r>
        <w:tab/>
        <w:t>В муниципальных советах доля женщин повысилась с 1,29 процента в 1957 году до 13,6 процента в 1990 году, а после выборов 1995 года достигла 16,55 процента.</w:t>
      </w:r>
    </w:p>
    <w:p w:rsidR="00000000" w:rsidRDefault="00000000">
      <w:pPr>
        <w:jc w:val="center"/>
        <w:rPr>
          <w:b/>
        </w:rPr>
      </w:pPr>
      <w:r>
        <w:rPr>
          <w:b/>
        </w:rPr>
        <w:t>Рост числа женщин – муниципальных советников в 1985–2000 годах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07"/>
        <w:gridCol w:w="3458"/>
        <w:gridCol w:w="1939"/>
        <w:gridCol w:w="1768"/>
      </w:tblGrid>
      <w:tr w:rsidR="00000000">
        <w:tblPrEx>
          <w:tblCellMar>
            <w:top w:w="0" w:type="dxa"/>
            <w:bottom w:w="0" w:type="dxa"/>
          </w:tblCellMar>
        </w:tblPrEx>
        <w:trPr>
          <w:cantSplit/>
          <w:jc w:val="center"/>
        </w:trPr>
        <w:tc>
          <w:tcPr>
            <w:tcW w:w="1907" w:type="dxa"/>
            <w:vMerge w:val="restart"/>
          </w:tcPr>
          <w:p w:rsidR="00000000" w:rsidRDefault="00000000">
            <w:pPr>
              <w:spacing w:before="80" w:after="80" w:line="220" w:lineRule="exact"/>
              <w:jc w:val="center"/>
              <w:rPr>
                <w:b/>
                <w:sz w:val="18"/>
              </w:rPr>
            </w:pPr>
            <w:r>
              <w:rPr>
                <w:b/>
                <w:sz w:val="18"/>
              </w:rPr>
              <w:t>Срок полномочий</w:t>
            </w:r>
          </w:p>
        </w:tc>
        <w:tc>
          <w:tcPr>
            <w:tcW w:w="3458" w:type="dxa"/>
            <w:vMerge w:val="restart"/>
          </w:tcPr>
          <w:p w:rsidR="00000000" w:rsidRDefault="00000000">
            <w:pPr>
              <w:spacing w:before="80" w:after="80" w:line="220" w:lineRule="exact"/>
              <w:jc w:val="center"/>
              <w:rPr>
                <w:b/>
                <w:sz w:val="18"/>
              </w:rPr>
            </w:pPr>
            <w:r>
              <w:rPr>
                <w:b/>
                <w:sz w:val="18"/>
              </w:rPr>
              <w:t>Число женщин – муниципальных советников</w:t>
            </w:r>
          </w:p>
        </w:tc>
        <w:tc>
          <w:tcPr>
            <w:tcW w:w="3707" w:type="dxa"/>
            <w:gridSpan w:val="2"/>
          </w:tcPr>
          <w:p w:rsidR="00000000" w:rsidRDefault="00000000">
            <w:pPr>
              <w:spacing w:before="80" w:after="80" w:line="220" w:lineRule="exact"/>
              <w:jc w:val="center"/>
              <w:rPr>
                <w:b/>
                <w:sz w:val="18"/>
              </w:rPr>
            </w:pPr>
            <w:r>
              <w:rPr>
                <w:b/>
                <w:sz w:val="18"/>
              </w:rPr>
              <w:t>Муниципальных советников</w:t>
            </w:r>
          </w:p>
        </w:tc>
      </w:tr>
      <w:tr w:rsidR="00000000">
        <w:tblPrEx>
          <w:tblCellMar>
            <w:top w:w="0" w:type="dxa"/>
            <w:bottom w:w="0" w:type="dxa"/>
          </w:tblCellMar>
        </w:tblPrEx>
        <w:trPr>
          <w:cantSplit/>
          <w:jc w:val="center"/>
        </w:trPr>
        <w:tc>
          <w:tcPr>
            <w:tcW w:w="1907" w:type="dxa"/>
            <w:vMerge/>
          </w:tcPr>
          <w:p w:rsidR="00000000" w:rsidRDefault="00000000">
            <w:pPr>
              <w:spacing w:before="80" w:after="80" w:line="220" w:lineRule="exact"/>
              <w:rPr>
                <w:b/>
                <w:sz w:val="18"/>
              </w:rPr>
            </w:pPr>
          </w:p>
        </w:tc>
        <w:tc>
          <w:tcPr>
            <w:tcW w:w="3458" w:type="dxa"/>
            <w:vMerge/>
          </w:tcPr>
          <w:p w:rsidR="00000000" w:rsidRDefault="00000000">
            <w:pPr>
              <w:spacing w:before="80" w:after="80" w:line="220" w:lineRule="exact"/>
              <w:rPr>
                <w:b/>
                <w:sz w:val="18"/>
              </w:rPr>
            </w:pPr>
          </w:p>
        </w:tc>
        <w:tc>
          <w:tcPr>
            <w:tcW w:w="1939" w:type="dxa"/>
          </w:tcPr>
          <w:p w:rsidR="00000000" w:rsidRDefault="00000000">
            <w:pPr>
              <w:spacing w:before="80" w:after="80" w:line="220" w:lineRule="exact"/>
              <w:jc w:val="center"/>
              <w:rPr>
                <w:b/>
                <w:sz w:val="18"/>
              </w:rPr>
            </w:pPr>
            <w:r>
              <w:rPr>
                <w:b/>
                <w:sz w:val="18"/>
              </w:rPr>
              <w:t>всего</w:t>
            </w:r>
          </w:p>
        </w:tc>
        <w:tc>
          <w:tcPr>
            <w:tcW w:w="1768" w:type="dxa"/>
          </w:tcPr>
          <w:p w:rsidR="00000000" w:rsidRDefault="00000000">
            <w:pPr>
              <w:spacing w:before="80" w:after="80" w:line="220" w:lineRule="exact"/>
              <w:jc w:val="center"/>
              <w:rPr>
                <w:b/>
                <w:sz w:val="18"/>
              </w:rPr>
            </w:pPr>
            <w:r>
              <w:rPr>
                <w:b/>
                <w:sz w:val="18"/>
              </w:rPr>
              <w:t>процентная доля женщин</w:t>
            </w:r>
          </w:p>
        </w:tc>
      </w:tr>
      <w:tr w:rsidR="00000000">
        <w:tblPrEx>
          <w:tblCellMar>
            <w:top w:w="0" w:type="dxa"/>
            <w:bottom w:w="0" w:type="dxa"/>
          </w:tblCellMar>
        </w:tblPrEx>
        <w:trPr>
          <w:jc w:val="center"/>
        </w:trPr>
        <w:tc>
          <w:tcPr>
            <w:tcW w:w="1907" w:type="dxa"/>
          </w:tcPr>
          <w:p w:rsidR="00000000" w:rsidRDefault="00000000">
            <w:pPr>
              <w:spacing w:before="80" w:after="80" w:line="220" w:lineRule="exact"/>
              <w:jc w:val="center"/>
              <w:rPr>
                <w:sz w:val="18"/>
              </w:rPr>
            </w:pPr>
            <w:r>
              <w:rPr>
                <w:sz w:val="18"/>
              </w:rPr>
              <w:t>1985–1990 годы</w:t>
            </w:r>
          </w:p>
        </w:tc>
        <w:tc>
          <w:tcPr>
            <w:tcW w:w="3458" w:type="dxa"/>
          </w:tcPr>
          <w:p w:rsidR="00000000" w:rsidRDefault="00000000">
            <w:pPr>
              <w:spacing w:before="80" w:after="80" w:line="220" w:lineRule="exact"/>
              <w:jc w:val="center"/>
              <w:rPr>
                <w:sz w:val="18"/>
              </w:rPr>
            </w:pPr>
            <w:r>
              <w:rPr>
                <w:sz w:val="18"/>
              </w:rPr>
              <w:t>464</w:t>
            </w:r>
          </w:p>
        </w:tc>
        <w:tc>
          <w:tcPr>
            <w:tcW w:w="1939" w:type="dxa"/>
          </w:tcPr>
          <w:p w:rsidR="00000000" w:rsidRDefault="00000000">
            <w:pPr>
              <w:spacing w:before="80" w:after="80" w:line="220" w:lineRule="exact"/>
              <w:jc w:val="center"/>
              <w:rPr>
                <w:sz w:val="18"/>
              </w:rPr>
            </w:pPr>
            <w:r>
              <w:rPr>
                <w:sz w:val="18"/>
              </w:rPr>
              <w:t>3 548</w:t>
            </w:r>
          </w:p>
        </w:tc>
        <w:tc>
          <w:tcPr>
            <w:tcW w:w="1768" w:type="dxa"/>
          </w:tcPr>
          <w:p w:rsidR="00000000" w:rsidRDefault="00000000">
            <w:pPr>
              <w:spacing w:before="80" w:after="80" w:line="220" w:lineRule="exact"/>
              <w:jc w:val="center"/>
              <w:rPr>
                <w:sz w:val="18"/>
              </w:rPr>
            </w:pPr>
            <w:r>
              <w:rPr>
                <w:sz w:val="18"/>
              </w:rPr>
              <w:t>14</w:t>
            </w:r>
          </w:p>
        </w:tc>
      </w:tr>
      <w:tr w:rsidR="00000000">
        <w:tblPrEx>
          <w:tblCellMar>
            <w:top w:w="0" w:type="dxa"/>
            <w:bottom w:w="0" w:type="dxa"/>
          </w:tblCellMar>
        </w:tblPrEx>
        <w:trPr>
          <w:jc w:val="center"/>
        </w:trPr>
        <w:tc>
          <w:tcPr>
            <w:tcW w:w="1907" w:type="dxa"/>
          </w:tcPr>
          <w:p w:rsidR="00000000" w:rsidRDefault="00000000">
            <w:pPr>
              <w:spacing w:before="80" w:after="80" w:line="220" w:lineRule="exact"/>
              <w:jc w:val="center"/>
              <w:rPr>
                <w:sz w:val="18"/>
              </w:rPr>
            </w:pPr>
            <w:r>
              <w:rPr>
                <w:sz w:val="18"/>
              </w:rPr>
              <w:t>1990–1995 годы</w:t>
            </w:r>
          </w:p>
        </w:tc>
        <w:tc>
          <w:tcPr>
            <w:tcW w:w="3458" w:type="dxa"/>
          </w:tcPr>
          <w:p w:rsidR="00000000" w:rsidRDefault="00000000">
            <w:pPr>
              <w:spacing w:before="80" w:after="80" w:line="220" w:lineRule="exact"/>
              <w:jc w:val="center"/>
              <w:rPr>
                <w:sz w:val="18"/>
              </w:rPr>
            </w:pPr>
            <w:r>
              <w:rPr>
                <w:sz w:val="18"/>
              </w:rPr>
              <w:t>521</w:t>
            </w:r>
          </w:p>
        </w:tc>
        <w:tc>
          <w:tcPr>
            <w:tcW w:w="1939" w:type="dxa"/>
          </w:tcPr>
          <w:p w:rsidR="00000000" w:rsidRDefault="00000000">
            <w:pPr>
              <w:spacing w:before="80" w:after="80" w:line="220" w:lineRule="exact"/>
              <w:jc w:val="center"/>
              <w:rPr>
                <w:sz w:val="18"/>
              </w:rPr>
            </w:pPr>
            <w:r>
              <w:rPr>
                <w:sz w:val="18"/>
              </w:rPr>
              <w:t>3 920</w:t>
            </w:r>
          </w:p>
        </w:tc>
        <w:tc>
          <w:tcPr>
            <w:tcW w:w="1768" w:type="dxa"/>
          </w:tcPr>
          <w:p w:rsidR="00000000" w:rsidRDefault="00000000">
            <w:pPr>
              <w:spacing w:before="80" w:after="80" w:line="220" w:lineRule="exact"/>
              <w:jc w:val="center"/>
              <w:rPr>
                <w:sz w:val="18"/>
              </w:rPr>
            </w:pPr>
            <w:r>
              <w:rPr>
                <w:sz w:val="18"/>
              </w:rPr>
              <w:t>13,5</w:t>
            </w:r>
          </w:p>
        </w:tc>
      </w:tr>
      <w:tr w:rsidR="00000000">
        <w:tblPrEx>
          <w:tblCellMar>
            <w:top w:w="0" w:type="dxa"/>
            <w:bottom w:w="0" w:type="dxa"/>
          </w:tblCellMar>
        </w:tblPrEx>
        <w:trPr>
          <w:jc w:val="center"/>
        </w:trPr>
        <w:tc>
          <w:tcPr>
            <w:tcW w:w="1907" w:type="dxa"/>
          </w:tcPr>
          <w:p w:rsidR="00000000" w:rsidRDefault="00000000">
            <w:pPr>
              <w:spacing w:before="80" w:after="80" w:line="220" w:lineRule="exact"/>
              <w:jc w:val="center"/>
              <w:rPr>
                <w:sz w:val="18"/>
              </w:rPr>
            </w:pPr>
            <w:r>
              <w:rPr>
                <w:sz w:val="18"/>
              </w:rPr>
              <w:t>1995–2000 годы</w:t>
            </w:r>
          </w:p>
        </w:tc>
        <w:tc>
          <w:tcPr>
            <w:tcW w:w="3458" w:type="dxa"/>
          </w:tcPr>
          <w:p w:rsidR="00000000" w:rsidRDefault="00000000">
            <w:pPr>
              <w:spacing w:before="80" w:after="80" w:line="220" w:lineRule="exact"/>
              <w:jc w:val="center"/>
              <w:rPr>
                <w:sz w:val="18"/>
              </w:rPr>
            </w:pPr>
            <w:r>
              <w:rPr>
                <w:sz w:val="18"/>
              </w:rPr>
              <w:t>677</w:t>
            </w:r>
          </w:p>
        </w:tc>
        <w:tc>
          <w:tcPr>
            <w:tcW w:w="1939" w:type="dxa"/>
          </w:tcPr>
          <w:p w:rsidR="00000000" w:rsidRDefault="00000000">
            <w:pPr>
              <w:spacing w:before="80" w:after="80" w:line="220" w:lineRule="exact"/>
              <w:jc w:val="center"/>
              <w:rPr>
                <w:sz w:val="18"/>
              </w:rPr>
            </w:pPr>
            <w:r>
              <w:rPr>
                <w:sz w:val="18"/>
              </w:rPr>
              <w:t>4090</w:t>
            </w:r>
          </w:p>
        </w:tc>
        <w:tc>
          <w:tcPr>
            <w:tcW w:w="1768" w:type="dxa"/>
          </w:tcPr>
          <w:p w:rsidR="00000000" w:rsidRDefault="00000000">
            <w:pPr>
              <w:spacing w:before="80" w:after="80" w:line="220" w:lineRule="exact"/>
              <w:jc w:val="center"/>
              <w:rPr>
                <w:sz w:val="18"/>
              </w:rPr>
            </w:pPr>
            <w:r>
              <w:rPr>
                <w:sz w:val="18"/>
              </w:rPr>
              <w:t>16,55</w:t>
            </w:r>
          </w:p>
        </w:tc>
      </w:tr>
    </w:tbl>
    <w:p w:rsidR="00000000" w:rsidRDefault="00000000">
      <w:pPr>
        <w:spacing w:before="120" w:line="220" w:lineRule="exact"/>
        <w:ind w:right="290"/>
        <w:jc w:val="right"/>
        <w:rPr>
          <w:b/>
          <w:sz w:val="18"/>
        </w:rPr>
      </w:pPr>
      <w:r>
        <w:rPr>
          <w:b/>
          <w:sz w:val="18"/>
        </w:rPr>
        <w:t>Источник: Министерство внутренних дел</w:t>
      </w:r>
    </w:p>
    <w:p w:rsidR="00000000" w:rsidRDefault="00000000">
      <w:r>
        <w:t>309.</w:t>
      </w:r>
      <w:r>
        <w:tab/>
        <w:t>Сегодня число женщин – заместителей председателя муниципального совета достигает 110, из них 5 занимают должность первого советника председателя. Из 257 муниципальных советов страны 254 имеют в своем составе женщин-советников. Впервые женщина стала председателем муниципального совета в 1980 году.</w:t>
      </w:r>
    </w:p>
    <w:p w:rsidR="00000000" w:rsidRDefault="00000000">
      <w:pPr>
        <w:spacing w:before="120" w:line="240" w:lineRule="auto"/>
        <w:rPr>
          <w:b/>
          <w:sz w:val="28"/>
        </w:rPr>
      </w:pPr>
      <w:r>
        <w:rPr>
          <w:b/>
          <w:sz w:val="28"/>
        </w:rPr>
        <w:t>III.</w:t>
      </w:r>
      <w:r>
        <w:rPr>
          <w:b/>
          <w:sz w:val="28"/>
        </w:rPr>
        <w:tab/>
        <w:t>Женщины в высших консультативных органах</w:t>
      </w:r>
    </w:p>
    <w:p w:rsidR="00000000" w:rsidRDefault="00000000">
      <w:r>
        <w:t>310.</w:t>
      </w:r>
      <w:r>
        <w:tab/>
        <w:t>Чтобы обеспечить участие женщин в региональной политике и содействовать участию женщин-специалистов в определении политики на региональном и местном уровнях, не менее двух женщин должны быть членами региональных советов развития (РСР).</w:t>
      </w:r>
    </w:p>
    <w:p w:rsidR="00000000" w:rsidRDefault="00000000">
      <w:r>
        <w:t>311.</w:t>
      </w:r>
      <w:r>
        <w:tab/>
        <w:t>Женщины входят в состав большинства высших советов: Высшего планового совета, Экономического и социального совета, советов по образованию, здравоохранению, детству, по вопросам женщины и семьи, окружающей среде и др., но их доля все еще остается довольно ограниченной.</w:t>
      </w:r>
    </w:p>
    <w:p w:rsidR="00000000" w:rsidRDefault="00000000">
      <w:r>
        <w:t>312.</w:t>
      </w:r>
      <w:r>
        <w:tab/>
        <w:t xml:space="preserve">В 1991 году, чтобы повысить представленность женщин в отраслевых комиссиях по подготовке </w:t>
      </w:r>
      <w:r>
        <w:br/>
        <w:t>VIII плана (1992–1996 годы), Президент бен Али принял решение о создании в числе 13 плановых комиссий специальной комиссии для разработки особой стратегии в отношении женщин в рамках пятилетнего плана развития. Эта комиссия, которая ввела гендерный подход в национальное планирование, разработала также стратегию в отношении женщин в рамках IX плана (1997–2001 годы). Она ежегодно собирается, чтобы обсудить ход выполнения плана. В нее входят специалисты национального масштаба, представляющие министерства и различные учреждения, которым поручено выполнение программ по улучшению положения женщины, а также организации и ассоциации, занимающиеся женской проблематикой.</w:t>
      </w:r>
    </w:p>
    <w:p w:rsidR="00000000" w:rsidRDefault="00000000">
      <w:r>
        <w:t>313.</w:t>
      </w:r>
      <w:r>
        <w:tab/>
        <w:t>В 1998 году женщина была назначена административным посредником.</w:t>
      </w:r>
    </w:p>
    <w:p w:rsidR="00000000" w:rsidRDefault="00000000">
      <w:pPr>
        <w:spacing w:before="120" w:line="240" w:lineRule="auto"/>
        <w:rPr>
          <w:b/>
          <w:sz w:val="28"/>
        </w:rPr>
      </w:pPr>
      <w:r>
        <w:rPr>
          <w:b/>
          <w:sz w:val="28"/>
        </w:rPr>
        <w:t>IV.</w:t>
      </w:r>
      <w:r>
        <w:rPr>
          <w:b/>
          <w:sz w:val="28"/>
        </w:rPr>
        <w:tab/>
        <w:t>Женщины в судебных инстанциях</w:t>
      </w:r>
    </w:p>
    <w:p w:rsidR="00000000" w:rsidRDefault="00000000">
      <w:r>
        <w:t>314.</w:t>
      </w:r>
      <w:r>
        <w:tab/>
        <w:t>В 1998 году Высший совет магистратуры насчитывал 28 членов, среди которых были две женщины-судьи.</w:t>
      </w:r>
    </w:p>
    <w:p w:rsidR="00000000" w:rsidRDefault="00000000">
      <w:r>
        <w:t>315.</w:t>
      </w:r>
      <w:r>
        <w:tab/>
        <w:t>С 1968 года, когда женщина впервые заняла пост судьи, доля женщин в различных органах правосудия Туниса непрерывно возрастала. В частности, в 90-х годах произошел качественный скачок с появлением женщин в руководящих органах системы правосудия.</w:t>
      </w:r>
    </w:p>
    <w:p w:rsidR="00000000" w:rsidRDefault="00000000">
      <w:r>
        <w:t>316.</w:t>
      </w:r>
      <w:r>
        <w:tab/>
        <w:t>В 1984 году из 733 судей было только 77 женщин, то есть 10,5 процента. За 10 лет их доля удвоилась, составив в 1995 году 258 из 1105, то есть 23,3 процента, а затем в 1998 году достигла 24 процентов.</w:t>
      </w:r>
    </w:p>
    <w:p w:rsidR="00000000" w:rsidRDefault="00000000">
      <w:pPr>
        <w:spacing w:after="120"/>
      </w:pPr>
      <w:r>
        <w:tab/>
        <w:t>*</w:t>
      </w:r>
      <w:r>
        <w:tab/>
        <w:t>В 1997 году из 1282 судей было 290 женщин, то есть 22,6 процента. Они распределялись следующим образом:</w:t>
      </w:r>
    </w:p>
    <w:p w:rsidR="00000000" w:rsidRDefault="00000000">
      <w:pPr>
        <w:spacing w:after="120"/>
      </w:pPr>
      <w:r>
        <w:rPr>
          <w:lang w:val="en-US"/>
        </w:rPr>
        <w:tab/>
      </w:r>
      <w:r>
        <w:t>–</w:t>
      </w:r>
      <w:r>
        <w:tab/>
        <w:t>265 из 1150 судей, обладающих общей юрисдикцией, то есть 23,4 процента;</w:t>
      </w:r>
    </w:p>
    <w:p w:rsidR="00000000" w:rsidRDefault="00000000">
      <w:pPr>
        <w:spacing w:after="120"/>
      </w:pPr>
      <w:r>
        <w:tab/>
        <w:t>–</w:t>
      </w:r>
      <w:r>
        <w:tab/>
        <w:t>15 из 82 судей Счетной палаты, то есть 18,29 процента;</w:t>
      </w:r>
    </w:p>
    <w:p w:rsidR="00000000" w:rsidRDefault="00000000">
      <w:r>
        <w:tab/>
        <w:t>–</w:t>
      </w:r>
      <w:r>
        <w:tab/>
        <w:t>10 из 50 судей Административного суда, то есть 20 процентов.</w:t>
      </w:r>
    </w:p>
    <w:p w:rsidR="00000000" w:rsidRDefault="00000000">
      <w:r>
        <w:tab/>
        <w:t>*</w:t>
      </w:r>
      <w:r>
        <w:tab/>
        <w:t>В 1998 году доля женщин-судей составляла 24 процента.</w:t>
      </w:r>
    </w:p>
    <w:p w:rsidR="00000000" w:rsidRDefault="00000000">
      <w:pPr>
        <w:spacing w:before="120"/>
        <w:jc w:val="center"/>
        <w:rPr>
          <w:b/>
        </w:rPr>
      </w:pPr>
      <w:r>
        <w:rPr>
          <w:b/>
        </w:rPr>
        <w:t>Рост числа женщин-судей в 1992–1999 годах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0"/>
        <w:gridCol w:w="1938"/>
        <w:gridCol w:w="2077"/>
        <w:gridCol w:w="2215"/>
        <w:gridCol w:w="1902"/>
      </w:tblGrid>
      <w:tr w:rsidR="00000000">
        <w:tblPrEx>
          <w:tblCellMar>
            <w:top w:w="0" w:type="dxa"/>
            <w:bottom w:w="0" w:type="dxa"/>
          </w:tblCellMar>
        </w:tblPrEx>
        <w:trPr>
          <w:jc w:val="center"/>
        </w:trPr>
        <w:tc>
          <w:tcPr>
            <w:tcW w:w="940" w:type="dxa"/>
          </w:tcPr>
          <w:p w:rsidR="00000000" w:rsidRDefault="00000000">
            <w:pPr>
              <w:spacing w:before="80" w:after="80" w:line="220" w:lineRule="exact"/>
              <w:jc w:val="center"/>
              <w:rPr>
                <w:b/>
                <w:sz w:val="18"/>
              </w:rPr>
            </w:pPr>
            <w:r>
              <w:rPr>
                <w:b/>
                <w:sz w:val="18"/>
              </w:rPr>
              <w:t>Год</w:t>
            </w:r>
          </w:p>
        </w:tc>
        <w:tc>
          <w:tcPr>
            <w:tcW w:w="1938" w:type="dxa"/>
          </w:tcPr>
          <w:p w:rsidR="00000000" w:rsidRDefault="00000000">
            <w:pPr>
              <w:spacing w:before="80" w:after="80" w:line="220" w:lineRule="exact"/>
              <w:jc w:val="center"/>
              <w:rPr>
                <w:b/>
                <w:sz w:val="18"/>
              </w:rPr>
            </w:pPr>
            <w:r>
              <w:rPr>
                <w:b/>
                <w:sz w:val="18"/>
              </w:rPr>
              <w:t>Женщины-судьи</w:t>
            </w:r>
          </w:p>
        </w:tc>
        <w:tc>
          <w:tcPr>
            <w:tcW w:w="2077" w:type="dxa"/>
          </w:tcPr>
          <w:p w:rsidR="00000000" w:rsidRDefault="00000000">
            <w:pPr>
              <w:spacing w:before="80" w:after="80" w:line="220" w:lineRule="exact"/>
              <w:jc w:val="center"/>
              <w:rPr>
                <w:b/>
                <w:sz w:val="18"/>
              </w:rPr>
            </w:pPr>
            <w:r>
              <w:rPr>
                <w:b/>
                <w:sz w:val="18"/>
              </w:rPr>
              <w:t>Мужчины-судьи</w:t>
            </w:r>
          </w:p>
        </w:tc>
        <w:tc>
          <w:tcPr>
            <w:tcW w:w="2215" w:type="dxa"/>
          </w:tcPr>
          <w:p w:rsidR="00000000" w:rsidRDefault="00000000">
            <w:pPr>
              <w:spacing w:before="80" w:after="80" w:line="220" w:lineRule="exact"/>
              <w:jc w:val="center"/>
              <w:rPr>
                <w:b/>
                <w:sz w:val="18"/>
              </w:rPr>
            </w:pPr>
            <w:r>
              <w:rPr>
                <w:b/>
                <w:sz w:val="18"/>
              </w:rPr>
              <w:t>Всего</w:t>
            </w:r>
          </w:p>
        </w:tc>
        <w:tc>
          <w:tcPr>
            <w:tcW w:w="1902" w:type="dxa"/>
          </w:tcPr>
          <w:p w:rsidR="00000000" w:rsidRDefault="00000000">
            <w:pPr>
              <w:spacing w:before="80" w:after="80" w:line="220" w:lineRule="exact"/>
              <w:jc w:val="center"/>
              <w:rPr>
                <w:b/>
                <w:sz w:val="18"/>
              </w:rPr>
            </w:pPr>
            <w:r>
              <w:rPr>
                <w:b/>
                <w:sz w:val="18"/>
              </w:rPr>
              <w:t>Процентная доля женщин</w:t>
            </w:r>
          </w:p>
        </w:tc>
      </w:tr>
      <w:tr w:rsidR="00000000">
        <w:tblPrEx>
          <w:tblCellMar>
            <w:top w:w="0" w:type="dxa"/>
            <w:bottom w:w="0" w:type="dxa"/>
          </w:tblCellMar>
        </w:tblPrEx>
        <w:trPr>
          <w:jc w:val="center"/>
        </w:trPr>
        <w:tc>
          <w:tcPr>
            <w:tcW w:w="940" w:type="dxa"/>
          </w:tcPr>
          <w:p w:rsidR="00000000" w:rsidRDefault="00000000">
            <w:pPr>
              <w:spacing w:before="80" w:after="80" w:line="220" w:lineRule="exact"/>
              <w:jc w:val="center"/>
              <w:rPr>
                <w:sz w:val="18"/>
              </w:rPr>
            </w:pPr>
            <w:r>
              <w:rPr>
                <w:sz w:val="18"/>
              </w:rPr>
              <w:t>1992</w:t>
            </w:r>
          </w:p>
        </w:tc>
        <w:tc>
          <w:tcPr>
            <w:tcW w:w="1938" w:type="dxa"/>
          </w:tcPr>
          <w:p w:rsidR="00000000" w:rsidRDefault="00000000">
            <w:pPr>
              <w:spacing w:before="80" w:after="80" w:line="220" w:lineRule="exact"/>
              <w:jc w:val="center"/>
              <w:rPr>
                <w:sz w:val="18"/>
              </w:rPr>
            </w:pPr>
            <w:r>
              <w:rPr>
                <w:sz w:val="18"/>
              </w:rPr>
              <w:t>231</w:t>
            </w:r>
          </w:p>
        </w:tc>
        <w:tc>
          <w:tcPr>
            <w:tcW w:w="2077" w:type="dxa"/>
          </w:tcPr>
          <w:p w:rsidR="00000000" w:rsidRDefault="00000000">
            <w:pPr>
              <w:spacing w:before="80" w:after="80" w:line="220" w:lineRule="exact"/>
              <w:jc w:val="center"/>
              <w:rPr>
                <w:sz w:val="18"/>
              </w:rPr>
            </w:pPr>
            <w:r>
              <w:rPr>
                <w:sz w:val="18"/>
              </w:rPr>
              <w:t>786</w:t>
            </w:r>
          </w:p>
        </w:tc>
        <w:tc>
          <w:tcPr>
            <w:tcW w:w="2215" w:type="dxa"/>
          </w:tcPr>
          <w:p w:rsidR="00000000" w:rsidRDefault="00000000">
            <w:pPr>
              <w:spacing w:before="80" w:after="80" w:line="220" w:lineRule="exact"/>
              <w:jc w:val="center"/>
              <w:rPr>
                <w:sz w:val="18"/>
              </w:rPr>
            </w:pPr>
            <w:r>
              <w:rPr>
                <w:sz w:val="18"/>
              </w:rPr>
              <w:t>1 017</w:t>
            </w:r>
          </w:p>
        </w:tc>
        <w:tc>
          <w:tcPr>
            <w:tcW w:w="1902" w:type="dxa"/>
          </w:tcPr>
          <w:p w:rsidR="00000000" w:rsidRDefault="00000000">
            <w:pPr>
              <w:spacing w:before="80" w:after="80" w:line="220" w:lineRule="exact"/>
              <w:jc w:val="center"/>
              <w:rPr>
                <w:sz w:val="18"/>
              </w:rPr>
            </w:pPr>
            <w:r>
              <w:rPr>
                <w:sz w:val="18"/>
              </w:rPr>
              <w:t>22,71</w:t>
            </w:r>
          </w:p>
        </w:tc>
      </w:tr>
      <w:tr w:rsidR="00000000">
        <w:tblPrEx>
          <w:tblCellMar>
            <w:top w:w="0" w:type="dxa"/>
            <w:bottom w:w="0" w:type="dxa"/>
          </w:tblCellMar>
        </w:tblPrEx>
        <w:trPr>
          <w:jc w:val="center"/>
        </w:trPr>
        <w:tc>
          <w:tcPr>
            <w:tcW w:w="940" w:type="dxa"/>
          </w:tcPr>
          <w:p w:rsidR="00000000" w:rsidRDefault="00000000">
            <w:pPr>
              <w:spacing w:before="80" w:after="80" w:line="220" w:lineRule="exact"/>
              <w:jc w:val="center"/>
              <w:rPr>
                <w:sz w:val="18"/>
              </w:rPr>
            </w:pPr>
            <w:r>
              <w:rPr>
                <w:sz w:val="18"/>
              </w:rPr>
              <w:t>1997</w:t>
            </w:r>
          </w:p>
        </w:tc>
        <w:tc>
          <w:tcPr>
            <w:tcW w:w="1938" w:type="dxa"/>
          </w:tcPr>
          <w:p w:rsidR="00000000" w:rsidRDefault="00000000">
            <w:pPr>
              <w:spacing w:before="80" w:after="80" w:line="220" w:lineRule="exact"/>
              <w:jc w:val="center"/>
              <w:rPr>
                <w:sz w:val="18"/>
              </w:rPr>
            </w:pPr>
            <w:r>
              <w:rPr>
                <w:sz w:val="18"/>
              </w:rPr>
              <w:t>265</w:t>
            </w:r>
          </w:p>
        </w:tc>
        <w:tc>
          <w:tcPr>
            <w:tcW w:w="2077" w:type="dxa"/>
          </w:tcPr>
          <w:p w:rsidR="00000000" w:rsidRDefault="00000000">
            <w:pPr>
              <w:spacing w:before="80" w:after="80" w:line="220" w:lineRule="exact"/>
              <w:jc w:val="center"/>
              <w:rPr>
                <w:sz w:val="18"/>
              </w:rPr>
            </w:pPr>
            <w:r>
              <w:rPr>
                <w:sz w:val="18"/>
              </w:rPr>
              <w:t>885</w:t>
            </w:r>
          </w:p>
        </w:tc>
        <w:tc>
          <w:tcPr>
            <w:tcW w:w="2215" w:type="dxa"/>
          </w:tcPr>
          <w:p w:rsidR="00000000" w:rsidRDefault="00000000">
            <w:pPr>
              <w:spacing w:before="80" w:after="80" w:line="220" w:lineRule="exact"/>
              <w:jc w:val="center"/>
              <w:rPr>
                <w:sz w:val="18"/>
              </w:rPr>
            </w:pPr>
            <w:r>
              <w:rPr>
                <w:sz w:val="18"/>
              </w:rPr>
              <w:t>1 150</w:t>
            </w:r>
          </w:p>
        </w:tc>
        <w:tc>
          <w:tcPr>
            <w:tcW w:w="1902" w:type="dxa"/>
          </w:tcPr>
          <w:p w:rsidR="00000000" w:rsidRDefault="00000000">
            <w:pPr>
              <w:spacing w:before="80" w:after="80" w:line="220" w:lineRule="exact"/>
              <w:jc w:val="center"/>
              <w:rPr>
                <w:sz w:val="18"/>
              </w:rPr>
            </w:pPr>
            <w:r>
              <w:rPr>
                <w:sz w:val="18"/>
              </w:rPr>
              <w:t>23,04</w:t>
            </w:r>
          </w:p>
        </w:tc>
      </w:tr>
      <w:tr w:rsidR="00000000">
        <w:tblPrEx>
          <w:tblCellMar>
            <w:top w:w="0" w:type="dxa"/>
            <w:bottom w:w="0" w:type="dxa"/>
          </w:tblCellMar>
        </w:tblPrEx>
        <w:trPr>
          <w:jc w:val="center"/>
        </w:trPr>
        <w:tc>
          <w:tcPr>
            <w:tcW w:w="940" w:type="dxa"/>
          </w:tcPr>
          <w:p w:rsidR="00000000" w:rsidRDefault="00000000">
            <w:pPr>
              <w:spacing w:before="80" w:after="80" w:line="220" w:lineRule="exact"/>
              <w:jc w:val="center"/>
              <w:rPr>
                <w:sz w:val="18"/>
              </w:rPr>
            </w:pPr>
            <w:r>
              <w:rPr>
                <w:sz w:val="18"/>
              </w:rPr>
              <w:t>1998</w:t>
            </w:r>
          </w:p>
        </w:tc>
        <w:tc>
          <w:tcPr>
            <w:tcW w:w="1938" w:type="dxa"/>
          </w:tcPr>
          <w:p w:rsidR="00000000" w:rsidRDefault="00000000">
            <w:pPr>
              <w:spacing w:before="80" w:after="80" w:line="220" w:lineRule="exact"/>
              <w:jc w:val="center"/>
              <w:rPr>
                <w:sz w:val="18"/>
              </w:rPr>
            </w:pPr>
            <w:r>
              <w:rPr>
                <w:sz w:val="18"/>
              </w:rPr>
              <w:t>291</w:t>
            </w:r>
          </w:p>
        </w:tc>
        <w:tc>
          <w:tcPr>
            <w:tcW w:w="2077" w:type="dxa"/>
          </w:tcPr>
          <w:p w:rsidR="00000000" w:rsidRDefault="00000000">
            <w:pPr>
              <w:spacing w:before="80" w:after="80" w:line="220" w:lineRule="exact"/>
              <w:jc w:val="center"/>
              <w:rPr>
                <w:sz w:val="18"/>
              </w:rPr>
            </w:pPr>
            <w:r>
              <w:rPr>
                <w:sz w:val="18"/>
              </w:rPr>
              <w:t>921</w:t>
            </w:r>
          </w:p>
        </w:tc>
        <w:tc>
          <w:tcPr>
            <w:tcW w:w="2215" w:type="dxa"/>
          </w:tcPr>
          <w:p w:rsidR="00000000" w:rsidRDefault="00000000">
            <w:pPr>
              <w:spacing w:before="80" w:after="80" w:line="220" w:lineRule="exact"/>
              <w:jc w:val="center"/>
              <w:rPr>
                <w:sz w:val="18"/>
              </w:rPr>
            </w:pPr>
            <w:r>
              <w:rPr>
                <w:sz w:val="18"/>
              </w:rPr>
              <w:t>1 212</w:t>
            </w:r>
          </w:p>
        </w:tc>
        <w:tc>
          <w:tcPr>
            <w:tcW w:w="1902" w:type="dxa"/>
          </w:tcPr>
          <w:p w:rsidR="00000000" w:rsidRDefault="00000000">
            <w:pPr>
              <w:spacing w:before="80" w:after="80" w:line="220" w:lineRule="exact"/>
              <w:jc w:val="center"/>
              <w:rPr>
                <w:sz w:val="18"/>
              </w:rPr>
            </w:pPr>
            <w:r>
              <w:rPr>
                <w:sz w:val="18"/>
              </w:rPr>
              <w:t>24,00</w:t>
            </w:r>
          </w:p>
        </w:tc>
      </w:tr>
      <w:tr w:rsidR="00000000">
        <w:tblPrEx>
          <w:tblCellMar>
            <w:top w:w="0" w:type="dxa"/>
            <w:bottom w:w="0" w:type="dxa"/>
          </w:tblCellMar>
        </w:tblPrEx>
        <w:trPr>
          <w:jc w:val="center"/>
        </w:trPr>
        <w:tc>
          <w:tcPr>
            <w:tcW w:w="940" w:type="dxa"/>
          </w:tcPr>
          <w:p w:rsidR="00000000" w:rsidRDefault="00000000">
            <w:pPr>
              <w:spacing w:before="80" w:after="80" w:line="220" w:lineRule="exact"/>
              <w:jc w:val="center"/>
              <w:rPr>
                <w:sz w:val="18"/>
              </w:rPr>
            </w:pPr>
            <w:r>
              <w:rPr>
                <w:sz w:val="18"/>
              </w:rPr>
              <w:t>1999</w:t>
            </w:r>
          </w:p>
        </w:tc>
        <w:tc>
          <w:tcPr>
            <w:tcW w:w="1938" w:type="dxa"/>
          </w:tcPr>
          <w:p w:rsidR="00000000" w:rsidRDefault="00000000">
            <w:pPr>
              <w:spacing w:before="80" w:after="80" w:line="220" w:lineRule="exact"/>
              <w:jc w:val="center"/>
              <w:rPr>
                <w:sz w:val="18"/>
              </w:rPr>
            </w:pPr>
            <w:r>
              <w:rPr>
                <w:sz w:val="18"/>
              </w:rPr>
              <w:t>310</w:t>
            </w:r>
          </w:p>
        </w:tc>
        <w:tc>
          <w:tcPr>
            <w:tcW w:w="2077" w:type="dxa"/>
          </w:tcPr>
          <w:p w:rsidR="00000000" w:rsidRDefault="00000000">
            <w:pPr>
              <w:spacing w:before="80" w:after="80" w:line="220" w:lineRule="exact"/>
              <w:jc w:val="center"/>
              <w:rPr>
                <w:sz w:val="18"/>
              </w:rPr>
            </w:pPr>
            <w:r>
              <w:rPr>
                <w:sz w:val="18"/>
              </w:rPr>
              <w:t>993</w:t>
            </w:r>
          </w:p>
        </w:tc>
        <w:tc>
          <w:tcPr>
            <w:tcW w:w="2215" w:type="dxa"/>
          </w:tcPr>
          <w:p w:rsidR="00000000" w:rsidRDefault="00000000">
            <w:pPr>
              <w:spacing w:before="80" w:after="80" w:line="220" w:lineRule="exact"/>
              <w:jc w:val="center"/>
              <w:rPr>
                <w:sz w:val="18"/>
              </w:rPr>
            </w:pPr>
            <w:r>
              <w:rPr>
                <w:sz w:val="18"/>
              </w:rPr>
              <w:t>1 303</w:t>
            </w:r>
          </w:p>
        </w:tc>
        <w:tc>
          <w:tcPr>
            <w:tcW w:w="1902" w:type="dxa"/>
          </w:tcPr>
          <w:p w:rsidR="00000000" w:rsidRDefault="00000000">
            <w:pPr>
              <w:spacing w:before="80" w:after="80" w:line="220" w:lineRule="exact"/>
              <w:jc w:val="center"/>
              <w:rPr>
                <w:sz w:val="18"/>
              </w:rPr>
            </w:pPr>
            <w:r>
              <w:rPr>
                <w:sz w:val="18"/>
              </w:rPr>
              <w:t>23,07</w:t>
            </w:r>
          </w:p>
        </w:tc>
      </w:tr>
    </w:tbl>
    <w:p w:rsidR="00000000" w:rsidRDefault="00000000">
      <w:pPr>
        <w:spacing w:before="120" w:line="220" w:lineRule="exact"/>
        <w:ind w:right="290"/>
        <w:jc w:val="right"/>
        <w:rPr>
          <w:b/>
          <w:sz w:val="18"/>
        </w:rPr>
      </w:pPr>
      <w:r>
        <w:rPr>
          <w:b/>
          <w:sz w:val="18"/>
        </w:rPr>
        <w:t>Источник: Министерство юстиции</w:t>
      </w:r>
    </w:p>
    <w:p w:rsidR="00000000" w:rsidRDefault="00000000">
      <w:r>
        <w:t>317.</w:t>
      </w:r>
      <w:r>
        <w:tab/>
        <w:t>Должности судьи по делам семьи и судьи по делам ребенка были учреждены, соответственно, в 1993 и 1996 годах с целью способствовать соблюдению прав женщины, прав ребенка и прав всех членов семьи в целом.</w:t>
      </w:r>
    </w:p>
    <w:p w:rsidR="00000000" w:rsidRDefault="00000000">
      <w:r>
        <w:t>318.</w:t>
      </w:r>
      <w:r>
        <w:tab/>
        <w:t>Судьи-женщины назначались председателем палаты суда с 1989 года, председателем палаты в Апелляционном суде Туниса в 1994 году, генеральным директором Центра юридических и судебных исследований с 1995 года, а еще позднее и директором по уголовным делам в Министерстве юстиции.</w:t>
      </w:r>
    </w:p>
    <w:p w:rsidR="00000000" w:rsidRDefault="00000000">
      <w:r>
        <w:t>319.</w:t>
      </w:r>
      <w:r>
        <w:tab/>
      </w:r>
      <w:r>
        <w:rPr>
          <w:spacing w:val="-2"/>
        </w:rPr>
        <w:t>В настоящее время имеется 16 женщин-судей – в Кассационном суде, 7 женщин – председателей палаты суда и 40 женщин – советников на уровне Апелляционного суда, 2 женщины-председателя и 19 женщин – з</w:t>
      </w:r>
      <w:r>
        <w:t>аместителей председателя на уровне судов первой инстанции.</w:t>
      </w:r>
    </w:p>
    <w:p w:rsidR="00000000" w:rsidRDefault="00000000">
      <w:r>
        <w:tab/>
        <w:t>В марте 2000 года женщина-судья была впервые назначена первым председателем одного из Апелляционных судов.</w:t>
      </w:r>
    </w:p>
    <w:p w:rsidR="00000000" w:rsidRDefault="00000000">
      <w:r>
        <w:t>320.</w:t>
      </w:r>
      <w:r>
        <w:tab/>
        <w:t>В 1998 году женщина была впервые назначена первым председателем Счетной палаты.</w:t>
      </w:r>
    </w:p>
    <w:p w:rsidR="00000000" w:rsidRDefault="00000000">
      <w:r>
        <w:t>321.</w:t>
      </w:r>
      <w:r>
        <w:tab/>
        <w:t>Согласно последним статистическим данным, доля женщин среди адвокатов возросла до 10 процентов в 1992 году, составила 12 процентов в 1997 году и 21,60 процента в 1998 году.</w:t>
      </w:r>
    </w:p>
    <w:p w:rsidR="00000000" w:rsidRDefault="00000000">
      <w:r>
        <w:t>322.</w:t>
      </w:r>
      <w:r>
        <w:tab/>
        <w:t>В 1998 году в Высший институт магистратуры было принято 14 женщин из 75 кандидатов, участвовавших во вступительном конкурсе.</w:t>
      </w:r>
    </w:p>
    <w:p w:rsidR="00000000" w:rsidRDefault="00000000">
      <w:pPr>
        <w:spacing w:line="240" w:lineRule="auto"/>
        <w:rPr>
          <w:b/>
          <w:sz w:val="28"/>
        </w:rPr>
      </w:pPr>
      <w:r>
        <w:rPr>
          <w:b/>
          <w:sz w:val="28"/>
        </w:rPr>
        <w:br w:type="page"/>
        <w:t>V.</w:t>
      </w:r>
      <w:r>
        <w:rPr>
          <w:b/>
          <w:sz w:val="28"/>
        </w:rPr>
        <w:tab/>
        <w:t>Женщины в политических органах</w:t>
      </w:r>
    </w:p>
    <w:p w:rsidR="00000000" w:rsidRDefault="00000000">
      <w:pPr>
        <w:spacing w:line="260" w:lineRule="exact"/>
        <w:rPr>
          <w:b/>
          <w:sz w:val="22"/>
        </w:rPr>
      </w:pPr>
      <w:r>
        <w:rPr>
          <w:b/>
          <w:sz w:val="22"/>
        </w:rPr>
        <w:t>V.1.</w:t>
      </w:r>
      <w:r>
        <w:rPr>
          <w:b/>
          <w:sz w:val="22"/>
        </w:rPr>
        <w:tab/>
        <w:t xml:space="preserve">Исполнительная власть </w:t>
      </w:r>
    </w:p>
    <w:p w:rsidR="00000000" w:rsidRDefault="00000000">
      <w:r>
        <w:t>323.</w:t>
      </w:r>
      <w:r>
        <w:tab/>
        <w:t xml:space="preserve">С 1983 года две женщины занимали министерские посты, в частности министра здравоохранения и министра по делам женщины и семьи. </w:t>
      </w:r>
    </w:p>
    <w:p w:rsidR="00000000" w:rsidRDefault="00000000">
      <w:r>
        <w:t>324.</w:t>
      </w:r>
      <w:r>
        <w:tab/>
        <w:t>В настоящее время в правительстве работают две женщины-министра. Первая с 1995 года является министром по делам женщины и семьи при премьер-министре (с 1992 года этот пост занимала женщина – государственный секретарь), а вторая была назначена в апреле 1999 года министром по вопросам окружающей среды и обустройства территорий.</w:t>
      </w:r>
    </w:p>
    <w:p w:rsidR="00000000" w:rsidRDefault="00000000">
      <w:r>
        <w:t>325.</w:t>
      </w:r>
      <w:r>
        <w:tab/>
        <w:t>Одна женщина была советницей при Президенте Республики.</w:t>
      </w:r>
    </w:p>
    <w:p w:rsidR="00000000" w:rsidRDefault="00000000">
      <w:pPr>
        <w:spacing w:before="120" w:line="260" w:lineRule="exact"/>
        <w:rPr>
          <w:b/>
          <w:sz w:val="22"/>
        </w:rPr>
      </w:pPr>
      <w:r>
        <w:rPr>
          <w:b/>
          <w:sz w:val="22"/>
        </w:rPr>
        <w:t>V.2.</w:t>
      </w:r>
      <w:r>
        <w:rPr>
          <w:b/>
          <w:sz w:val="22"/>
        </w:rPr>
        <w:tab/>
        <w:t>Политические партии</w:t>
      </w:r>
    </w:p>
    <w:p w:rsidR="00000000" w:rsidRDefault="00000000">
      <w:r>
        <w:t>326.</w:t>
      </w:r>
      <w:r>
        <w:tab/>
        <w:t>Демократическое конституционное объединение (ДКО), мажоритарная правящая партия, отличалась передовой политикой в отношении женщин. По инициативе своего Председателя, г-на Зин аль-Абидина бен Али, ДКО удалось совершить настоящий прорыв, осуществляя решительную политику и стремясь в рамках целенаправленной стратегии повысить активность женщин и превратить их в действенного партнера в достижении своих политических целей.</w:t>
      </w:r>
    </w:p>
    <w:p w:rsidR="00000000" w:rsidRDefault="00000000">
      <w:r>
        <w:t>327.</w:t>
      </w:r>
      <w:r>
        <w:tab/>
        <w:t>Участие передовых женщин в политических дискуссиях поднялось на новую качественную ступень в общенациональном масштабе после создания в ДКО Постоянного секретариата по делам женщин.</w:t>
      </w:r>
    </w:p>
    <w:p w:rsidR="00000000" w:rsidRDefault="00000000">
      <w:r>
        <w:tab/>
        <w:t>Занимая второе место в партийной иерархии после Генерального секретариата, Постоянный секретариат по делам женщин руководит работой более 1500 женских ячеек и 24 ответственных работников на региональном уровне. При этом в каждом региональном координационном комитете женщина занимает пост заместителя генерального секретаря по делам женщин.</w:t>
      </w:r>
    </w:p>
    <w:p w:rsidR="00000000" w:rsidRDefault="00000000">
      <w:r>
        <w:t>328.</w:t>
      </w:r>
      <w:r>
        <w:tab/>
        <w:t>В настоящее время женщины являются мощной избирательной силой: степень их участия в парламентских и президентских выборах 1994 года была рекордной, превысив 90 процентов в некоторых регионах.</w:t>
      </w:r>
    </w:p>
    <w:p w:rsidR="00000000" w:rsidRDefault="00000000">
      <w:r>
        <w:t>329.</w:t>
      </w:r>
      <w:r>
        <w:tab/>
        <w:t>В политических бюро шести оппозиционных партий работают четыре женщины: одна в движении "Этадждид" и 3 в Прогрессивном социалистическом объединении.</w:t>
      </w:r>
    </w:p>
    <w:p w:rsidR="00000000" w:rsidRDefault="00000000">
      <w:r>
        <w:t>330.</w:t>
      </w:r>
      <w:r>
        <w:tab/>
        <w:t>ДКО опережает остальные политические партии по степени участия в нем женщин, как представительниц элиты, так и рядовых членов. Активность, наблюдаемая на уровне ДКО, в значительной степени способствует, в частности внутри страны, укреплению новых традиций и созданию нового образа женщины, основанного на таких ценностях, как уважение прав женщин, в частности права на гражданство и участие в жизни общества.</w:t>
      </w:r>
    </w:p>
    <w:p w:rsidR="00000000" w:rsidRDefault="00000000">
      <w:r>
        <w:t>331.</w:t>
      </w:r>
      <w:r>
        <w:tab/>
        <w:t>За 10 лет доля женщин в базовых руководящих органах ДКО возросла с 2 процентов в 1988 году до 16,21 процента в 1997 году на уровне первичных организаций и с 2,8 процента в 1988 году до 20 процентов в 1998 году на уровне федераций.</w:t>
      </w:r>
    </w:p>
    <w:p w:rsidR="00000000" w:rsidRDefault="00000000">
      <w:r>
        <w:t>332.</w:t>
      </w:r>
      <w:r>
        <w:tab/>
        <w:t>На уровне руководящих органов отмечался значительный прогресс в центральном комитете, где доля женщин возросла с 3,11 процента в 70–80-е годы до 21,2 процента в 1998 году, а одна женщина является членом политбюро с 1994 года (1/10).</w:t>
      </w:r>
    </w:p>
    <w:p w:rsidR="00000000" w:rsidRDefault="00000000">
      <w:pPr>
        <w:jc w:val="center"/>
        <w:rPr>
          <w:b/>
        </w:rPr>
      </w:pPr>
      <w:r>
        <w:br w:type="page"/>
      </w:r>
      <w:r>
        <w:rPr>
          <w:b/>
        </w:rPr>
        <w:t>Динамика представленности женщин в ДКО (в процентах)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2268"/>
        <w:gridCol w:w="2268"/>
        <w:gridCol w:w="2268"/>
      </w:tblGrid>
      <w:tr w:rsidR="00000000">
        <w:tblPrEx>
          <w:tblCellMar>
            <w:top w:w="0" w:type="dxa"/>
            <w:bottom w:w="0" w:type="dxa"/>
          </w:tblCellMar>
        </w:tblPrEx>
        <w:trPr>
          <w:jc w:val="center"/>
        </w:trPr>
        <w:tc>
          <w:tcPr>
            <w:tcW w:w="2268" w:type="dxa"/>
            <w:tcBorders>
              <w:top w:val="nil"/>
              <w:left w:val="nil"/>
            </w:tcBorders>
          </w:tcPr>
          <w:p w:rsidR="00000000" w:rsidRDefault="00000000">
            <w:pPr>
              <w:spacing w:before="80" w:after="80" w:line="220" w:lineRule="exact"/>
              <w:rPr>
                <w:sz w:val="18"/>
              </w:rPr>
            </w:pPr>
          </w:p>
        </w:tc>
        <w:tc>
          <w:tcPr>
            <w:tcW w:w="2268" w:type="dxa"/>
          </w:tcPr>
          <w:p w:rsidR="00000000" w:rsidRDefault="00000000">
            <w:pPr>
              <w:spacing w:before="80" w:after="80" w:line="220" w:lineRule="exact"/>
              <w:jc w:val="center"/>
              <w:rPr>
                <w:b/>
                <w:sz w:val="18"/>
              </w:rPr>
            </w:pPr>
            <w:r>
              <w:rPr>
                <w:b/>
                <w:sz w:val="18"/>
              </w:rPr>
              <w:t>1988 год</w:t>
            </w:r>
          </w:p>
        </w:tc>
        <w:tc>
          <w:tcPr>
            <w:tcW w:w="2268" w:type="dxa"/>
          </w:tcPr>
          <w:p w:rsidR="00000000" w:rsidRDefault="00000000">
            <w:pPr>
              <w:spacing w:before="80" w:after="80" w:line="220" w:lineRule="exact"/>
              <w:jc w:val="center"/>
              <w:rPr>
                <w:b/>
                <w:sz w:val="18"/>
              </w:rPr>
            </w:pPr>
            <w:r>
              <w:rPr>
                <w:b/>
                <w:sz w:val="18"/>
              </w:rPr>
              <w:t>1994 год</w:t>
            </w:r>
          </w:p>
        </w:tc>
        <w:tc>
          <w:tcPr>
            <w:tcW w:w="2268" w:type="dxa"/>
          </w:tcPr>
          <w:p w:rsidR="00000000" w:rsidRDefault="00000000">
            <w:pPr>
              <w:spacing w:before="80" w:after="80" w:line="220" w:lineRule="exact"/>
              <w:jc w:val="center"/>
              <w:rPr>
                <w:b/>
                <w:sz w:val="18"/>
              </w:rPr>
            </w:pPr>
            <w:r>
              <w:rPr>
                <w:b/>
                <w:sz w:val="18"/>
              </w:rPr>
              <w:t>1998 год</w:t>
            </w:r>
          </w:p>
        </w:tc>
      </w:tr>
      <w:tr w:rsidR="00000000">
        <w:tblPrEx>
          <w:tblCellMar>
            <w:top w:w="0" w:type="dxa"/>
            <w:bottom w:w="0" w:type="dxa"/>
          </w:tblCellMar>
        </w:tblPrEx>
        <w:trPr>
          <w:jc w:val="center"/>
        </w:trPr>
        <w:tc>
          <w:tcPr>
            <w:tcW w:w="2268" w:type="dxa"/>
          </w:tcPr>
          <w:p w:rsidR="00000000" w:rsidRDefault="00000000">
            <w:pPr>
              <w:spacing w:before="80" w:after="80" w:line="220" w:lineRule="exact"/>
              <w:rPr>
                <w:sz w:val="18"/>
              </w:rPr>
            </w:pPr>
            <w:r>
              <w:rPr>
                <w:sz w:val="18"/>
              </w:rPr>
              <w:t>Центральный комитет</w:t>
            </w:r>
          </w:p>
        </w:tc>
        <w:tc>
          <w:tcPr>
            <w:tcW w:w="2268" w:type="dxa"/>
          </w:tcPr>
          <w:p w:rsidR="00000000" w:rsidRDefault="00000000">
            <w:pPr>
              <w:spacing w:before="80" w:after="80" w:line="220" w:lineRule="exact"/>
              <w:jc w:val="center"/>
              <w:rPr>
                <w:sz w:val="18"/>
              </w:rPr>
            </w:pPr>
            <w:r>
              <w:rPr>
                <w:sz w:val="18"/>
              </w:rPr>
              <w:t>3,11</w:t>
            </w:r>
          </w:p>
        </w:tc>
        <w:tc>
          <w:tcPr>
            <w:tcW w:w="2268" w:type="dxa"/>
          </w:tcPr>
          <w:p w:rsidR="00000000" w:rsidRDefault="00000000">
            <w:pPr>
              <w:spacing w:before="80" w:after="80" w:line="220" w:lineRule="exact"/>
              <w:jc w:val="center"/>
              <w:rPr>
                <w:sz w:val="18"/>
              </w:rPr>
            </w:pPr>
            <w:r>
              <w:rPr>
                <w:sz w:val="18"/>
              </w:rPr>
              <w:t>11</w:t>
            </w:r>
          </w:p>
        </w:tc>
        <w:tc>
          <w:tcPr>
            <w:tcW w:w="2268" w:type="dxa"/>
          </w:tcPr>
          <w:p w:rsidR="00000000" w:rsidRDefault="00000000">
            <w:pPr>
              <w:spacing w:before="80" w:after="80" w:line="220" w:lineRule="exact"/>
              <w:jc w:val="center"/>
              <w:rPr>
                <w:sz w:val="18"/>
              </w:rPr>
            </w:pPr>
            <w:r>
              <w:rPr>
                <w:sz w:val="18"/>
              </w:rPr>
              <w:t>21,20</w:t>
            </w:r>
          </w:p>
        </w:tc>
      </w:tr>
      <w:tr w:rsidR="00000000">
        <w:tblPrEx>
          <w:tblCellMar>
            <w:top w:w="0" w:type="dxa"/>
            <w:bottom w:w="0" w:type="dxa"/>
          </w:tblCellMar>
        </w:tblPrEx>
        <w:trPr>
          <w:jc w:val="center"/>
        </w:trPr>
        <w:tc>
          <w:tcPr>
            <w:tcW w:w="2268" w:type="dxa"/>
          </w:tcPr>
          <w:p w:rsidR="00000000" w:rsidRDefault="00000000">
            <w:pPr>
              <w:spacing w:before="80" w:after="80" w:line="220" w:lineRule="exact"/>
              <w:rPr>
                <w:sz w:val="18"/>
              </w:rPr>
            </w:pPr>
            <w:r>
              <w:rPr>
                <w:sz w:val="18"/>
              </w:rPr>
              <w:t>Федерации</w:t>
            </w:r>
          </w:p>
        </w:tc>
        <w:tc>
          <w:tcPr>
            <w:tcW w:w="2268" w:type="dxa"/>
          </w:tcPr>
          <w:p w:rsidR="00000000" w:rsidRDefault="00000000">
            <w:pPr>
              <w:spacing w:before="80" w:after="80" w:line="220" w:lineRule="exact"/>
              <w:jc w:val="center"/>
              <w:rPr>
                <w:sz w:val="18"/>
              </w:rPr>
            </w:pPr>
            <w:r>
              <w:rPr>
                <w:sz w:val="18"/>
              </w:rPr>
              <w:t>2,8</w:t>
            </w:r>
          </w:p>
        </w:tc>
        <w:tc>
          <w:tcPr>
            <w:tcW w:w="2268" w:type="dxa"/>
          </w:tcPr>
          <w:p w:rsidR="00000000" w:rsidRDefault="00000000">
            <w:pPr>
              <w:spacing w:before="80" w:after="80" w:line="220" w:lineRule="exact"/>
              <w:jc w:val="center"/>
              <w:rPr>
                <w:sz w:val="18"/>
                <w:lang w:val="en-US"/>
              </w:rPr>
            </w:pPr>
            <w:r>
              <w:rPr>
                <w:sz w:val="18"/>
                <w:lang w:val="en-US"/>
              </w:rPr>
              <w:t>–</w:t>
            </w:r>
          </w:p>
        </w:tc>
        <w:tc>
          <w:tcPr>
            <w:tcW w:w="2268" w:type="dxa"/>
          </w:tcPr>
          <w:p w:rsidR="00000000" w:rsidRDefault="00000000">
            <w:pPr>
              <w:spacing w:before="80" w:after="80" w:line="220" w:lineRule="exact"/>
              <w:jc w:val="center"/>
              <w:rPr>
                <w:sz w:val="18"/>
              </w:rPr>
            </w:pPr>
            <w:r>
              <w:rPr>
                <w:sz w:val="18"/>
              </w:rPr>
              <w:t>20,00</w:t>
            </w:r>
          </w:p>
        </w:tc>
      </w:tr>
      <w:tr w:rsidR="00000000">
        <w:tblPrEx>
          <w:tblCellMar>
            <w:top w:w="0" w:type="dxa"/>
            <w:bottom w:w="0" w:type="dxa"/>
          </w:tblCellMar>
        </w:tblPrEx>
        <w:trPr>
          <w:jc w:val="center"/>
        </w:trPr>
        <w:tc>
          <w:tcPr>
            <w:tcW w:w="2268" w:type="dxa"/>
          </w:tcPr>
          <w:p w:rsidR="00000000" w:rsidRDefault="00000000">
            <w:pPr>
              <w:spacing w:before="80" w:after="80" w:line="220" w:lineRule="exact"/>
              <w:rPr>
                <w:sz w:val="18"/>
              </w:rPr>
            </w:pPr>
            <w:r>
              <w:rPr>
                <w:sz w:val="18"/>
              </w:rPr>
              <w:t>Первичные организации</w:t>
            </w:r>
          </w:p>
        </w:tc>
        <w:tc>
          <w:tcPr>
            <w:tcW w:w="2268" w:type="dxa"/>
          </w:tcPr>
          <w:p w:rsidR="00000000" w:rsidRDefault="00000000">
            <w:pPr>
              <w:spacing w:before="80" w:after="80" w:line="220" w:lineRule="exact"/>
              <w:jc w:val="center"/>
              <w:rPr>
                <w:sz w:val="18"/>
              </w:rPr>
            </w:pPr>
            <w:r>
              <w:rPr>
                <w:sz w:val="18"/>
              </w:rPr>
              <w:t>2</w:t>
            </w:r>
          </w:p>
        </w:tc>
        <w:tc>
          <w:tcPr>
            <w:tcW w:w="2268" w:type="dxa"/>
          </w:tcPr>
          <w:p w:rsidR="00000000" w:rsidRDefault="00000000">
            <w:pPr>
              <w:spacing w:before="80" w:after="80" w:line="220" w:lineRule="exact"/>
              <w:jc w:val="center"/>
              <w:rPr>
                <w:sz w:val="18"/>
              </w:rPr>
            </w:pPr>
            <w:r>
              <w:rPr>
                <w:sz w:val="18"/>
              </w:rPr>
              <w:t>6</w:t>
            </w:r>
          </w:p>
        </w:tc>
        <w:tc>
          <w:tcPr>
            <w:tcW w:w="2268" w:type="dxa"/>
          </w:tcPr>
          <w:p w:rsidR="00000000" w:rsidRDefault="00000000">
            <w:pPr>
              <w:spacing w:before="80" w:after="80" w:line="220" w:lineRule="exact"/>
              <w:jc w:val="center"/>
              <w:rPr>
                <w:sz w:val="18"/>
              </w:rPr>
            </w:pPr>
            <w:r>
              <w:rPr>
                <w:sz w:val="18"/>
              </w:rPr>
              <w:t>16,21</w:t>
            </w:r>
          </w:p>
        </w:tc>
      </w:tr>
    </w:tbl>
    <w:p w:rsidR="00000000" w:rsidRDefault="00000000">
      <w:pPr>
        <w:tabs>
          <w:tab w:val="left" w:pos="9356"/>
        </w:tabs>
        <w:spacing w:before="120" w:line="220" w:lineRule="exact"/>
        <w:ind w:right="289"/>
        <w:jc w:val="right"/>
        <w:rPr>
          <w:b/>
          <w:sz w:val="18"/>
        </w:rPr>
      </w:pPr>
      <w:r>
        <w:rPr>
          <w:b/>
          <w:sz w:val="18"/>
        </w:rPr>
        <w:t>Источник: ДКО</w:t>
      </w:r>
    </w:p>
    <w:p w:rsidR="00000000" w:rsidRDefault="00000000">
      <w:r>
        <w:t>333.</w:t>
      </w:r>
      <w:r>
        <w:tab/>
        <w:t>Одно из семи направлений, составивших политическую платформу ДКО на ее съезде, было посвящено женщине и семье. Резолюции, принятые по этому направлению, в основном касались развития способностей женщин, их более адекватного участия в процессе социально-экономического развития и расширения их участия в политических организациях, в частности в структурах ДКО.</w:t>
      </w:r>
    </w:p>
    <w:p w:rsidR="00000000" w:rsidRDefault="00000000">
      <w:pPr>
        <w:spacing w:before="240" w:line="240" w:lineRule="auto"/>
        <w:rPr>
          <w:b/>
          <w:sz w:val="28"/>
        </w:rPr>
      </w:pPr>
      <w:r>
        <w:rPr>
          <w:b/>
          <w:sz w:val="28"/>
        </w:rPr>
        <w:t xml:space="preserve">VI. </w:t>
      </w:r>
      <w:r>
        <w:rPr>
          <w:b/>
          <w:sz w:val="28"/>
          <w:lang w:val="en-US"/>
        </w:rPr>
        <w:tab/>
      </w:r>
      <w:r>
        <w:rPr>
          <w:b/>
          <w:sz w:val="28"/>
        </w:rPr>
        <w:t>Женщины в профсоюзных организациях</w:t>
      </w:r>
    </w:p>
    <w:p w:rsidR="00000000" w:rsidRDefault="00000000">
      <w:r>
        <w:t>334.</w:t>
      </w:r>
      <w:r>
        <w:tab/>
        <w:t>Статья 8 Конституции Туниса признает за женщиной право вступать в профсоюзы наравне с мужчиной. Кодекс законов о труде обеспечивает ей осуществление этого права.</w:t>
      </w:r>
    </w:p>
    <w:p w:rsidR="00000000" w:rsidRDefault="00000000">
      <w:pPr>
        <w:ind w:firstLine="680"/>
      </w:pPr>
      <w:r>
        <w:t>Участие женщин в профсоюзах значительно на уровне первичных организаций. Доля женщин – членов Всеобщего тунисского объединения труда (ВТОТ) растет пропорционально числу женщин, занятых в той или иной отрасли, как это видно из приведенной ниже таблицы:</w:t>
      </w:r>
    </w:p>
    <w:p w:rsidR="00000000" w:rsidRDefault="00000000">
      <w:pPr>
        <w:spacing w:before="120"/>
        <w:jc w:val="center"/>
        <w:rPr>
          <w:b/>
        </w:rPr>
      </w:pPr>
      <w:r>
        <w:rPr>
          <w:b/>
        </w:rPr>
        <w:t>Участие женщин в профсоюзах в разбивке по отраслям (1998 год)</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536"/>
      </w:tblGrid>
      <w:tr w:rsidR="00000000">
        <w:tblPrEx>
          <w:tblCellMar>
            <w:top w:w="0" w:type="dxa"/>
            <w:bottom w:w="0" w:type="dxa"/>
          </w:tblCellMar>
        </w:tblPrEx>
        <w:trPr>
          <w:jc w:val="center"/>
        </w:trPr>
        <w:tc>
          <w:tcPr>
            <w:tcW w:w="4536" w:type="dxa"/>
          </w:tcPr>
          <w:p w:rsidR="00000000" w:rsidRDefault="00000000">
            <w:pPr>
              <w:spacing w:before="80" w:after="80" w:line="220" w:lineRule="exact"/>
              <w:rPr>
                <w:b/>
                <w:sz w:val="18"/>
              </w:rPr>
            </w:pPr>
            <w:r>
              <w:rPr>
                <w:b/>
                <w:sz w:val="18"/>
              </w:rPr>
              <w:t>Отрасль</w:t>
            </w:r>
          </w:p>
        </w:tc>
        <w:tc>
          <w:tcPr>
            <w:tcW w:w="4536" w:type="dxa"/>
          </w:tcPr>
          <w:p w:rsidR="00000000" w:rsidRDefault="00000000">
            <w:pPr>
              <w:spacing w:before="80" w:after="80" w:line="220" w:lineRule="exact"/>
              <w:jc w:val="center"/>
              <w:rPr>
                <w:b/>
                <w:sz w:val="18"/>
              </w:rPr>
            </w:pPr>
            <w:r>
              <w:rPr>
                <w:b/>
                <w:sz w:val="18"/>
              </w:rPr>
              <w:t>Процентная доля женщин в профсоюзах</w:t>
            </w:r>
          </w:p>
        </w:tc>
      </w:tr>
      <w:tr w:rsidR="00000000">
        <w:tblPrEx>
          <w:tblCellMar>
            <w:top w:w="0" w:type="dxa"/>
            <w:bottom w:w="0" w:type="dxa"/>
          </w:tblCellMar>
        </w:tblPrEx>
        <w:trPr>
          <w:jc w:val="center"/>
        </w:trPr>
        <w:tc>
          <w:tcPr>
            <w:tcW w:w="4536" w:type="dxa"/>
          </w:tcPr>
          <w:p w:rsidR="00000000" w:rsidRDefault="00000000">
            <w:pPr>
              <w:spacing w:before="80" w:after="80" w:line="220" w:lineRule="exact"/>
              <w:jc w:val="left"/>
              <w:rPr>
                <w:sz w:val="18"/>
              </w:rPr>
            </w:pPr>
            <w:r>
              <w:rPr>
                <w:sz w:val="18"/>
              </w:rPr>
              <w:t>Текстильная промышленность/</w:t>
            </w:r>
            <w:r>
              <w:rPr>
                <w:sz w:val="18"/>
              </w:rPr>
              <w:br/>
              <w:t>ткачество/швейное производство</w:t>
            </w:r>
          </w:p>
          <w:p w:rsidR="00000000" w:rsidRDefault="00000000">
            <w:pPr>
              <w:spacing w:before="80" w:after="80" w:line="220" w:lineRule="exact"/>
              <w:rPr>
                <w:sz w:val="18"/>
              </w:rPr>
            </w:pPr>
            <w:r>
              <w:rPr>
                <w:sz w:val="18"/>
              </w:rPr>
              <w:t>Образование</w:t>
            </w:r>
          </w:p>
          <w:p w:rsidR="00000000" w:rsidRDefault="00000000">
            <w:pPr>
              <w:spacing w:before="80" w:after="80" w:line="220" w:lineRule="exact"/>
              <w:rPr>
                <w:sz w:val="18"/>
              </w:rPr>
            </w:pPr>
            <w:r>
              <w:rPr>
                <w:sz w:val="18"/>
              </w:rPr>
              <w:t>Сельское хозяйство</w:t>
            </w:r>
          </w:p>
          <w:p w:rsidR="00000000" w:rsidRDefault="00000000">
            <w:pPr>
              <w:spacing w:before="80" w:after="80" w:line="220" w:lineRule="exact"/>
              <w:rPr>
                <w:sz w:val="18"/>
              </w:rPr>
            </w:pPr>
            <w:r>
              <w:rPr>
                <w:sz w:val="18"/>
              </w:rPr>
              <w:t>Почта и связь</w:t>
            </w:r>
          </w:p>
        </w:tc>
        <w:tc>
          <w:tcPr>
            <w:tcW w:w="4536" w:type="dxa"/>
          </w:tcPr>
          <w:p w:rsidR="00000000" w:rsidRDefault="00000000">
            <w:pPr>
              <w:tabs>
                <w:tab w:val="clear" w:pos="680"/>
                <w:tab w:val="clear" w:pos="1021"/>
                <w:tab w:val="decimal" w:pos="2157"/>
              </w:tabs>
              <w:spacing w:before="80" w:after="80" w:line="220" w:lineRule="exact"/>
              <w:rPr>
                <w:sz w:val="18"/>
              </w:rPr>
            </w:pPr>
          </w:p>
          <w:p w:rsidR="00000000" w:rsidRDefault="00000000">
            <w:pPr>
              <w:tabs>
                <w:tab w:val="clear" w:pos="680"/>
                <w:tab w:val="clear" w:pos="1021"/>
                <w:tab w:val="decimal" w:pos="2157"/>
              </w:tabs>
              <w:spacing w:before="80" w:after="80" w:line="220" w:lineRule="exact"/>
              <w:rPr>
                <w:sz w:val="18"/>
              </w:rPr>
            </w:pPr>
            <w:r>
              <w:rPr>
                <w:sz w:val="18"/>
              </w:rPr>
              <w:t>55</w:t>
            </w:r>
          </w:p>
          <w:p w:rsidR="00000000" w:rsidRDefault="00000000">
            <w:pPr>
              <w:tabs>
                <w:tab w:val="clear" w:pos="680"/>
                <w:tab w:val="clear" w:pos="1021"/>
                <w:tab w:val="decimal" w:pos="2157"/>
              </w:tabs>
              <w:spacing w:before="80" w:after="80" w:line="220" w:lineRule="exact"/>
              <w:rPr>
                <w:sz w:val="18"/>
              </w:rPr>
            </w:pPr>
            <w:r>
              <w:rPr>
                <w:sz w:val="18"/>
              </w:rPr>
              <w:t>23</w:t>
            </w:r>
          </w:p>
          <w:p w:rsidR="00000000" w:rsidRDefault="00000000">
            <w:pPr>
              <w:tabs>
                <w:tab w:val="clear" w:pos="680"/>
                <w:tab w:val="clear" w:pos="1021"/>
                <w:tab w:val="decimal" w:pos="2157"/>
              </w:tabs>
              <w:spacing w:before="80" w:after="80" w:line="220" w:lineRule="exact"/>
              <w:rPr>
                <w:sz w:val="18"/>
              </w:rPr>
            </w:pPr>
            <w:r>
              <w:rPr>
                <w:sz w:val="18"/>
              </w:rPr>
              <w:t>3,5</w:t>
            </w:r>
          </w:p>
          <w:p w:rsidR="00000000" w:rsidRDefault="00000000">
            <w:pPr>
              <w:tabs>
                <w:tab w:val="clear" w:pos="680"/>
                <w:tab w:val="clear" w:pos="1021"/>
                <w:tab w:val="decimal" w:pos="2157"/>
              </w:tabs>
              <w:spacing w:before="80" w:after="80" w:line="220" w:lineRule="exact"/>
              <w:rPr>
                <w:sz w:val="18"/>
              </w:rPr>
            </w:pPr>
            <w:r>
              <w:rPr>
                <w:sz w:val="18"/>
              </w:rPr>
              <w:t>12</w:t>
            </w:r>
          </w:p>
        </w:tc>
      </w:tr>
    </w:tbl>
    <w:p w:rsidR="00000000" w:rsidRDefault="00000000">
      <w:pPr>
        <w:spacing w:before="120" w:line="220" w:lineRule="exact"/>
        <w:ind w:right="290"/>
        <w:jc w:val="right"/>
        <w:rPr>
          <w:b/>
          <w:sz w:val="18"/>
        </w:rPr>
      </w:pPr>
      <w:r>
        <w:rPr>
          <w:b/>
          <w:sz w:val="18"/>
        </w:rPr>
        <w:t>Источник: ВТОТ</w:t>
      </w:r>
    </w:p>
    <w:p w:rsidR="00000000" w:rsidRDefault="00000000">
      <w:r>
        <w:t>335.</w:t>
      </w:r>
      <w:r>
        <w:tab/>
        <w:t>Чтобы создать благоприятные условия для доступа женщин к руководящим должностям в профсоюзах, в 1992 году была учреждена Национальная комиссия "Женщины и труд", состоящая из кооптированных членов, которая участвует в разработке программ деятельности ВТОТ.</w:t>
      </w:r>
    </w:p>
    <w:p w:rsidR="00000000" w:rsidRDefault="00000000">
      <w:r>
        <w:t>336.</w:t>
      </w:r>
      <w:r>
        <w:tab/>
        <w:t xml:space="preserve">В 1997 году в состав исполнительного бюро ВТОТ была включена женщина для оказания помощи в подготовке резолюций </w:t>
      </w:r>
      <w:r>
        <w:rPr>
          <w:lang w:val="en-US"/>
        </w:rPr>
        <w:t>XIX</w:t>
      </w:r>
      <w:r>
        <w:t xml:space="preserve"> съезда этого профсоюзного объединения, который состоялся в апреле 1999 года.</w:t>
      </w:r>
    </w:p>
    <w:p w:rsidR="00000000" w:rsidRDefault="00000000">
      <w:r>
        <w:t>337.</w:t>
      </w:r>
      <w:r>
        <w:tab/>
        <w:t xml:space="preserve">На </w:t>
      </w:r>
      <w:r>
        <w:rPr>
          <w:lang w:val="en-US"/>
        </w:rPr>
        <w:t>XIX</w:t>
      </w:r>
      <w:r>
        <w:t xml:space="preserve"> съезде профсоюзного объединения три женщины были выдвинуты кандидатами в члены исполнительного бюро, представляя, соответственно, такие отрасли, как почта и связь, образование и здравоохранение.</w:t>
      </w:r>
    </w:p>
    <w:p w:rsidR="00000000" w:rsidRDefault="00000000">
      <w:pPr>
        <w:spacing w:line="240" w:lineRule="auto"/>
        <w:rPr>
          <w:b/>
          <w:sz w:val="28"/>
        </w:rPr>
      </w:pPr>
      <w:r>
        <w:rPr>
          <w:b/>
          <w:sz w:val="28"/>
        </w:rPr>
        <w:br w:type="page"/>
        <w:t>VII.</w:t>
      </w:r>
      <w:r>
        <w:rPr>
          <w:b/>
          <w:sz w:val="28"/>
        </w:rPr>
        <w:tab/>
        <w:t>Женщины в отраслях экономики</w:t>
      </w:r>
    </w:p>
    <w:p w:rsidR="00000000" w:rsidRDefault="00000000">
      <w:r>
        <w:t>338.</w:t>
      </w:r>
      <w:r>
        <w:tab/>
        <w:t>Женщины составляют одну четвертую часть всех государственных служащих: более 98 тыс. из 350 тыс. (28 процентов). Большинство из них относятся к возрастной категории от 25 до 45 лет. Из них 23,5 процента являются руководителями низшего звена, 31,9 процента – руководителями среднего звена и 42,5 процента – оперативными сотрудниками.</w:t>
      </w:r>
    </w:p>
    <w:p w:rsidR="00000000" w:rsidRDefault="00000000">
      <w:pPr>
        <w:jc w:val="center"/>
        <w:rPr>
          <w:b/>
        </w:rPr>
      </w:pPr>
      <w:r>
        <w:rPr>
          <w:b/>
        </w:rPr>
        <w:t>Доля женщин среди государственных служащих в 1977–1999 годах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2"/>
        <w:gridCol w:w="1962"/>
        <w:gridCol w:w="1962"/>
        <w:gridCol w:w="1838"/>
      </w:tblGrid>
      <w:tr w:rsidR="00000000">
        <w:tblPrEx>
          <w:tblCellMar>
            <w:top w:w="0" w:type="dxa"/>
            <w:bottom w:w="0" w:type="dxa"/>
          </w:tblCellMar>
        </w:tblPrEx>
        <w:trPr>
          <w:jc w:val="center"/>
        </w:trPr>
        <w:tc>
          <w:tcPr>
            <w:tcW w:w="1042" w:type="dxa"/>
          </w:tcPr>
          <w:p w:rsidR="00000000" w:rsidRDefault="00000000">
            <w:pPr>
              <w:spacing w:before="80" w:after="80" w:line="220" w:lineRule="exact"/>
              <w:rPr>
                <w:b/>
                <w:sz w:val="18"/>
              </w:rPr>
            </w:pPr>
            <w:r>
              <w:rPr>
                <w:b/>
                <w:sz w:val="18"/>
              </w:rPr>
              <w:t>Год</w:t>
            </w:r>
          </w:p>
        </w:tc>
        <w:tc>
          <w:tcPr>
            <w:tcW w:w="1962" w:type="dxa"/>
          </w:tcPr>
          <w:p w:rsidR="00000000" w:rsidRDefault="00000000">
            <w:pPr>
              <w:spacing w:before="80" w:after="80" w:line="220" w:lineRule="exact"/>
              <w:rPr>
                <w:b/>
                <w:sz w:val="18"/>
              </w:rPr>
            </w:pPr>
            <w:r>
              <w:rPr>
                <w:b/>
                <w:sz w:val="18"/>
              </w:rPr>
              <w:t>Число женщин</w:t>
            </w:r>
          </w:p>
        </w:tc>
        <w:tc>
          <w:tcPr>
            <w:tcW w:w="1962" w:type="dxa"/>
          </w:tcPr>
          <w:p w:rsidR="00000000" w:rsidRDefault="00000000">
            <w:pPr>
              <w:spacing w:before="80" w:after="80" w:line="220" w:lineRule="exact"/>
              <w:rPr>
                <w:b/>
                <w:sz w:val="18"/>
              </w:rPr>
            </w:pPr>
            <w:r>
              <w:rPr>
                <w:b/>
                <w:sz w:val="18"/>
              </w:rPr>
              <w:t>Всего служащих</w:t>
            </w:r>
          </w:p>
        </w:tc>
        <w:tc>
          <w:tcPr>
            <w:tcW w:w="1838" w:type="dxa"/>
          </w:tcPr>
          <w:p w:rsidR="00000000" w:rsidRDefault="00000000">
            <w:pPr>
              <w:spacing w:before="80" w:after="80" w:line="220" w:lineRule="exact"/>
              <w:jc w:val="center"/>
              <w:rPr>
                <w:b/>
                <w:sz w:val="18"/>
              </w:rPr>
            </w:pPr>
            <w:r>
              <w:rPr>
                <w:b/>
                <w:sz w:val="18"/>
              </w:rPr>
              <w:t>Процентная доля женщин</w:t>
            </w:r>
          </w:p>
        </w:tc>
      </w:tr>
      <w:tr w:rsidR="00000000">
        <w:tblPrEx>
          <w:tblCellMar>
            <w:top w:w="0" w:type="dxa"/>
            <w:bottom w:w="0" w:type="dxa"/>
          </w:tblCellMar>
        </w:tblPrEx>
        <w:trPr>
          <w:jc w:val="center"/>
        </w:trPr>
        <w:tc>
          <w:tcPr>
            <w:tcW w:w="1042" w:type="dxa"/>
          </w:tcPr>
          <w:p w:rsidR="00000000" w:rsidRDefault="00000000">
            <w:pPr>
              <w:spacing w:before="80" w:after="80" w:line="220" w:lineRule="exact"/>
              <w:jc w:val="center"/>
              <w:rPr>
                <w:sz w:val="18"/>
              </w:rPr>
            </w:pPr>
            <w:r>
              <w:rPr>
                <w:sz w:val="18"/>
              </w:rPr>
              <w:t>1977</w:t>
            </w:r>
          </w:p>
        </w:tc>
        <w:tc>
          <w:tcPr>
            <w:tcW w:w="1962" w:type="dxa"/>
          </w:tcPr>
          <w:p w:rsidR="00000000" w:rsidRDefault="00000000">
            <w:pPr>
              <w:spacing w:before="80" w:after="80" w:line="220" w:lineRule="exact"/>
              <w:jc w:val="center"/>
              <w:rPr>
                <w:sz w:val="18"/>
              </w:rPr>
            </w:pPr>
            <w:r>
              <w:rPr>
                <w:sz w:val="18"/>
              </w:rPr>
              <w:t>15 263</w:t>
            </w:r>
          </w:p>
        </w:tc>
        <w:tc>
          <w:tcPr>
            <w:tcW w:w="1962" w:type="dxa"/>
          </w:tcPr>
          <w:p w:rsidR="00000000" w:rsidRDefault="00000000">
            <w:pPr>
              <w:spacing w:before="80" w:after="80" w:line="220" w:lineRule="exact"/>
              <w:jc w:val="center"/>
              <w:rPr>
                <w:sz w:val="18"/>
              </w:rPr>
            </w:pPr>
            <w:r>
              <w:rPr>
                <w:sz w:val="18"/>
              </w:rPr>
              <w:t>106 325</w:t>
            </w:r>
          </w:p>
        </w:tc>
        <w:tc>
          <w:tcPr>
            <w:tcW w:w="1838" w:type="dxa"/>
          </w:tcPr>
          <w:p w:rsidR="00000000" w:rsidRDefault="00000000">
            <w:pPr>
              <w:spacing w:before="80" w:after="80" w:line="220" w:lineRule="exact"/>
              <w:jc w:val="center"/>
              <w:rPr>
                <w:sz w:val="18"/>
              </w:rPr>
            </w:pPr>
            <w:r>
              <w:rPr>
                <w:sz w:val="18"/>
              </w:rPr>
              <w:t>14,4</w:t>
            </w:r>
          </w:p>
        </w:tc>
      </w:tr>
      <w:tr w:rsidR="00000000">
        <w:tblPrEx>
          <w:tblCellMar>
            <w:top w:w="0" w:type="dxa"/>
            <w:bottom w:w="0" w:type="dxa"/>
          </w:tblCellMar>
        </w:tblPrEx>
        <w:trPr>
          <w:jc w:val="center"/>
        </w:trPr>
        <w:tc>
          <w:tcPr>
            <w:tcW w:w="1042" w:type="dxa"/>
          </w:tcPr>
          <w:p w:rsidR="00000000" w:rsidRDefault="00000000">
            <w:pPr>
              <w:spacing w:before="80" w:after="80" w:line="220" w:lineRule="exact"/>
              <w:jc w:val="center"/>
              <w:rPr>
                <w:sz w:val="18"/>
              </w:rPr>
            </w:pPr>
            <w:r>
              <w:rPr>
                <w:sz w:val="18"/>
              </w:rPr>
              <w:t>1984</w:t>
            </w:r>
          </w:p>
        </w:tc>
        <w:tc>
          <w:tcPr>
            <w:tcW w:w="1962" w:type="dxa"/>
          </w:tcPr>
          <w:p w:rsidR="00000000" w:rsidRDefault="00000000">
            <w:pPr>
              <w:spacing w:before="80" w:after="80" w:line="220" w:lineRule="exact"/>
              <w:jc w:val="center"/>
              <w:rPr>
                <w:sz w:val="18"/>
              </w:rPr>
            </w:pPr>
            <w:r>
              <w:rPr>
                <w:sz w:val="18"/>
              </w:rPr>
              <w:t>51 433</w:t>
            </w:r>
          </w:p>
        </w:tc>
        <w:tc>
          <w:tcPr>
            <w:tcW w:w="1962" w:type="dxa"/>
          </w:tcPr>
          <w:p w:rsidR="00000000" w:rsidRDefault="00000000">
            <w:pPr>
              <w:spacing w:before="80" w:after="80" w:line="220" w:lineRule="exact"/>
              <w:jc w:val="center"/>
              <w:rPr>
                <w:sz w:val="18"/>
              </w:rPr>
            </w:pPr>
            <w:r>
              <w:rPr>
                <w:sz w:val="18"/>
              </w:rPr>
              <w:t>512 772</w:t>
            </w:r>
          </w:p>
        </w:tc>
        <w:tc>
          <w:tcPr>
            <w:tcW w:w="1838" w:type="dxa"/>
          </w:tcPr>
          <w:p w:rsidR="00000000" w:rsidRDefault="00000000">
            <w:pPr>
              <w:spacing w:before="80" w:after="80" w:line="220" w:lineRule="exact"/>
              <w:jc w:val="center"/>
              <w:rPr>
                <w:sz w:val="18"/>
              </w:rPr>
            </w:pPr>
            <w:r>
              <w:rPr>
                <w:sz w:val="18"/>
              </w:rPr>
              <w:t>23,7</w:t>
            </w:r>
          </w:p>
        </w:tc>
      </w:tr>
      <w:tr w:rsidR="00000000">
        <w:tblPrEx>
          <w:tblCellMar>
            <w:top w:w="0" w:type="dxa"/>
            <w:bottom w:w="0" w:type="dxa"/>
          </w:tblCellMar>
        </w:tblPrEx>
        <w:trPr>
          <w:jc w:val="center"/>
        </w:trPr>
        <w:tc>
          <w:tcPr>
            <w:tcW w:w="1042" w:type="dxa"/>
          </w:tcPr>
          <w:p w:rsidR="00000000" w:rsidRDefault="00000000">
            <w:pPr>
              <w:spacing w:before="80" w:after="80" w:line="220" w:lineRule="exact"/>
              <w:jc w:val="center"/>
              <w:rPr>
                <w:sz w:val="18"/>
              </w:rPr>
            </w:pPr>
            <w:r>
              <w:rPr>
                <w:sz w:val="18"/>
              </w:rPr>
              <w:t>1994</w:t>
            </w:r>
          </w:p>
        </w:tc>
        <w:tc>
          <w:tcPr>
            <w:tcW w:w="1962" w:type="dxa"/>
          </w:tcPr>
          <w:p w:rsidR="00000000" w:rsidRDefault="00000000">
            <w:pPr>
              <w:spacing w:before="80" w:after="80" w:line="220" w:lineRule="exact"/>
              <w:jc w:val="center"/>
              <w:rPr>
                <w:sz w:val="18"/>
              </w:rPr>
            </w:pPr>
            <w:r>
              <w:rPr>
                <w:sz w:val="18"/>
              </w:rPr>
              <w:t>97 025</w:t>
            </w:r>
          </w:p>
        </w:tc>
        <w:tc>
          <w:tcPr>
            <w:tcW w:w="1962" w:type="dxa"/>
          </w:tcPr>
          <w:p w:rsidR="00000000" w:rsidRDefault="00000000">
            <w:pPr>
              <w:spacing w:before="80" w:after="80" w:line="220" w:lineRule="exact"/>
              <w:jc w:val="center"/>
              <w:rPr>
                <w:sz w:val="18"/>
              </w:rPr>
            </w:pPr>
            <w:r>
              <w:rPr>
                <w:sz w:val="18"/>
              </w:rPr>
              <w:t>259 913</w:t>
            </w:r>
          </w:p>
        </w:tc>
        <w:tc>
          <w:tcPr>
            <w:tcW w:w="1838" w:type="dxa"/>
          </w:tcPr>
          <w:p w:rsidR="00000000" w:rsidRDefault="00000000">
            <w:pPr>
              <w:spacing w:before="80" w:after="80" w:line="220" w:lineRule="exact"/>
              <w:jc w:val="center"/>
              <w:rPr>
                <w:sz w:val="18"/>
              </w:rPr>
            </w:pPr>
            <w:r>
              <w:rPr>
                <w:sz w:val="18"/>
              </w:rPr>
              <w:t>37,3</w:t>
            </w:r>
          </w:p>
        </w:tc>
      </w:tr>
      <w:tr w:rsidR="00000000">
        <w:tblPrEx>
          <w:tblCellMar>
            <w:top w:w="0" w:type="dxa"/>
            <w:bottom w:w="0" w:type="dxa"/>
          </w:tblCellMar>
        </w:tblPrEx>
        <w:trPr>
          <w:trHeight w:val="370"/>
          <w:jc w:val="center"/>
        </w:trPr>
        <w:tc>
          <w:tcPr>
            <w:tcW w:w="1042" w:type="dxa"/>
          </w:tcPr>
          <w:p w:rsidR="00000000" w:rsidRDefault="00000000">
            <w:pPr>
              <w:spacing w:before="80" w:after="80" w:line="220" w:lineRule="exact"/>
              <w:jc w:val="center"/>
              <w:rPr>
                <w:sz w:val="18"/>
              </w:rPr>
            </w:pPr>
            <w:r>
              <w:rPr>
                <w:sz w:val="18"/>
              </w:rPr>
              <w:t>1999</w:t>
            </w:r>
          </w:p>
        </w:tc>
        <w:tc>
          <w:tcPr>
            <w:tcW w:w="1962" w:type="dxa"/>
          </w:tcPr>
          <w:p w:rsidR="00000000" w:rsidRDefault="00000000">
            <w:pPr>
              <w:spacing w:before="80" w:after="80" w:line="220" w:lineRule="exact"/>
              <w:jc w:val="center"/>
              <w:rPr>
                <w:sz w:val="18"/>
              </w:rPr>
            </w:pPr>
            <w:r>
              <w:rPr>
                <w:sz w:val="18"/>
              </w:rPr>
              <w:t>109 575</w:t>
            </w:r>
          </w:p>
        </w:tc>
        <w:tc>
          <w:tcPr>
            <w:tcW w:w="1962" w:type="dxa"/>
          </w:tcPr>
          <w:p w:rsidR="00000000" w:rsidRDefault="00000000">
            <w:pPr>
              <w:spacing w:before="80" w:after="80" w:line="220" w:lineRule="exact"/>
              <w:jc w:val="center"/>
              <w:rPr>
                <w:sz w:val="18"/>
              </w:rPr>
            </w:pPr>
            <w:r>
              <w:rPr>
                <w:sz w:val="18"/>
              </w:rPr>
              <w:t>294 418</w:t>
            </w:r>
          </w:p>
        </w:tc>
        <w:tc>
          <w:tcPr>
            <w:tcW w:w="1838" w:type="dxa"/>
          </w:tcPr>
          <w:p w:rsidR="00000000" w:rsidRDefault="00000000">
            <w:pPr>
              <w:spacing w:before="80" w:after="80" w:line="220" w:lineRule="exact"/>
              <w:jc w:val="center"/>
              <w:rPr>
                <w:sz w:val="18"/>
              </w:rPr>
            </w:pPr>
            <w:r>
              <w:rPr>
                <w:sz w:val="18"/>
              </w:rPr>
              <w:t>37,2</w:t>
            </w:r>
          </w:p>
        </w:tc>
      </w:tr>
    </w:tbl>
    <w:p w:rsidR="00000000" w:rsidRDefault="00000000">
      <w:pPr>
        <w:spacing w:before="120" w:line="220" w:lineRule="exact"/>
        <w:ind w:right="1423"/>
        <w:jc w:val="right"/>
        <w:rPr>
          <w:b/>
          <w:sz w:val="18"/>
        </w:rPr>
      </w:pPr>
      <w:r>
        <w:rPr>
          <w:b/>
          <w:sz w:val="18"/>
        </w:rPr>
        <w:t>Источник: Государственный секретариат по государственной службе</w:t>
      </w:r>
    </w:p>
    <w:p w:rsidR="00000000" w:rsidRDefault="00000000">
      <w:r>
        <w:t>339.</w:t>
      </w:r>
      <w:r>
        <w:tab/>
        <w:t>В некоторых отраслевых министерствах отмечается довольно значительная доля женщин в руководящем составе, в частности в министерствах образования (44,5 процента), здравоохранения (48 процентов), по вопросам окружающей среды и обустройства территорий (36 процентов). В остальных министерствах число женщин в целом непрерывно растет.</w:t>
      </w:r>
    </w:p>
    <w:p w:rsidR="00000000" w:rsidRDefault="00000000">
      <w:pPr>
        <w:spacing w:before="120" w:line="260" w:lineRule="exact"/>
        <w:rPr>
          <w:b/>
          <w:sz w:val="22"/>
        </w:rPr>
      </w:pPr>
      <w:r>
        <w:rPr>
          <w:b/>
          <w:sz w:val="22"/>
        </w:rPr>
        <w:t>VII.1.</w:t>
      </w:r>
      <w:r>
        <w:rPr>
          <w:b/>
          <w:sz w:val="22"/>
        </w:rPr>
        <w:tab/>
        <w:t>Банковский сектор</w:t>
      </w:r>
    </w:p>
    <w:p w:rsidR="00000000" w:rsidRDefault="00000000">
      <w:r>
        <w:t>340.</w:t>
      </w:r>
      <w:r>
        <w:tab/>
        <w:t>В банковском секторе доля женщин резко увеличилась на всех уровнях и во всех категориях, составив в целом 34,33 процента в 1998 году. Женщины составляют 22,85 процента руководителей высшего звена, 35,4 процента руководителей низшего звена, 42,62 процента оперативных сотрудников и 20,32 процента технических агентов и обслуживающего персонала.</w:t>
      </w:r>
    </w:p>
    <w:p w:rsidR="00000000" w:rsidRDefault="00000000">
      <w:pPr>
        <w:spacing w:before="120" w:line="260" w:lineRule="exact"/>
        <w:rPr>
          <w:b/>
          <w:sz w:val="22"/>
        </w:rPr>
      </w:pPr>
      <w:r>
        <w:rPr>
          <w:b/>
          <w:sz w:val="22"/>
        </w:rPr>
        <w:t>VII.2.</w:t>
      </w:r>
      <w:r>
        <w:rPr>
          <w:b/>
          <w:sz w:val="22"/>
        </w:rPr>
        <w:tab/>
        <w:t>Здравоохранение</w:t>
      </w:r>
    </w:p>
    <w:p w:rsidR="00000000" w:rsidRDefault="00000000">
      <w:r>
        <w:t>341.</w:t>
      </w:r>
      <w:r>
        <w:tab/>
        <w:t xml:space="preserve">На протяжении многих лет женщины занимают в секторе здравоохранения высокие административные должности. Доля женщин среди работников этой отрасли весьма значительна (23 636 женщин на </w:t>
      </w:r>
      <w:r>
        <w:br/>
        <w:t>25 659 мужчин, то есть 48 процентов в 1997 году).</w:t>
      </w:r>
    </w:p>
    <w:p w:rsidR="00000000" w:rsidRDefault="00000000">
      <w:r>
        <w:t>342.</w:t>
      </w:r>
      <w:r>
        <w:tab/>
        <w:t>В 1984 году среди 2967 врачей было лишь 632 женщины, то есть 21,5 процента. Затем число женщин-врачей резко возросло, достигнув в 1997 году 2260 из общего числа 5967, то есть 37,9 процента. Доля женщин со средним медицинским образованием увеличилась с 37,1 процента (2906 женщин из общего числа 7082) до 47,61 процента в 1997 году (7102 женщины при общем числе 14 917).</w:t>
      </w:r>
    </w:p>
    <w:p w:rsidR="00000000" w:rsidRDefault="00000000">
      <w:r>
        <w:t>343.</w:t>
      </w:r>
      <w:r>
        <w:tab/>
        <w:t>Некоторые медицинские специальности стали преимущественно женскими. Например, хирургическая стоматология и фармакология, где доля женщин в медицинском персонале составляла в 1997 году, соответственно, 61,6 процента и 70 процентов.</w:t>
      </w:r>
    </w:p>
    <w:p w:rsidR="00000000" w:rsidRDefault="00000000">
      <w:pPr>
        <w:spacing w:before="120" w:line="260" w:lineRule="exact"/>
        <w:rPr>
          <w:b/>
          <w:sz w:val="22"/>
        </w:rPr>
      </w:pPr>
      <w:r>
        <w:rPr>
          <w:b/>
          <w:sz w:val="22"/>
        </w:rPr>
        <w:t>VII.3.</w:t>
      </w:r>
      <w:r>
        <w:rPr>
          <w:b/>
          <w:sz w:val="22"/>
        </w:rPr>
        <w:tab/>
        <w:t>Образование</w:t>
      </w:r>
    </w:p>
    <w:p w:rsidR="00000000" w:rsidRDefault="00000000">
      <w:r>
        <w:t>344.</w:t>
      </w:r>
      <w:r>
        <w:tab/>
        <w:t xml:space="preserve">Доля женщин среди работников образования возросла с 29,4 процента в 1984 году до 33 процентов в 1989 году и 44,5 процента в 1994 году. </w:t>
      </w:r>
    </w:p>
    <w:p w:rsidR="00000000" w:rsidRDefault="00000000">
      <w:r>
        <w:t>345.</w:t>
      </w:r>
      <w:r>
        <w:tab/>
        <w:t>Постепенно растет процент женщин среди преподавателей первой ступени базовой школы, приближаясь к процентной доле мужчин: 47,9 процента в 1995/96 и 49,2 процента в 1998/99 учебных годах.</w:t>
      </w:r>
    </w:p>
    <w:p w:rsidR="00000000" w:rsidRDefault="00000000">
      <w:r>
        <w:t>346.</w:t>
      </w:r>
      <w:r>
        <w:tab/>
        <w:t xml:space="preserve">Среди преподавателей средней школы доля женщин возросла с 39,5 процента в 1992/93 учебном году до 42,9 процента в 1996/97 учебном году. Доля женщин, имеющих право преподавать в лицеях и высших учебных заведениях, увеличилась: в 1994/95 учебном году на 15 мужчин приходилось 11 женщин, а в </w:t>
      </w:r>
      <w:r>
        <w:br/>
        <w:t>1996/97 учебном году на 22 мужчин приходилось 16 женщин.</w:t>
      </w:r>
    </w:p>
    <w:p w:rsidR="00000000" w:rsidRDefault="00000000">
      <w:r>
        <w:t>347.</w:t>
      </w:r>
      <w:r>
        <w:tab/>
        <w:t>Что касается доли женщин среди преподавателей высшей школы, она увеличилась с 15,5 процента в 1986 году до 24 процентов в 1993/94 учебном году и до 29,1 процента в 1999 году.</w:t>
      </w:r>
    </w:p>
    <w:p w:rsidR="00000000" w:rsidRDefault="00000000">
      <w:pPr>
        <w:spacing w:before="120"/>
        <w:jc w:val="center"/>
        <w:rPr>
          <w:b/>
        </w:rPr>
      </w:pPr>
      <w:r>
        <w:rPr>
          <w:b/>
        </w:rPr>
        <w:t>Рост числа женщин – преподавателей высшей школы (1986–1998 годы)</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83"/>
        <w:gridCol w:w="1417"/>
        <w:gridCol w:w="1418"/>
        <w:gridCol w:w="1418"/>
        <w:gridCol w:w="1418"/>
        <w:gridCol w:w="1418"/>
      </w:tblGrid>
      <w:tr w:rsidR="00000000">
        <w:tblPrEx>
          <w:tblCellMar>
            <w:top w:w="0" w:type="dxa"/>
            <w:bottom w:w="0" w:type="dxa"/>
          </w:tblCellMar>
        </w:tblPrEx>
        <w:trPr>
          <w:jc w:val="center"/>
        </w:trPr>
        <w:tc>
          <w:tcPr>
            <w:tcW w:w="1983" w:type="dxa"/>
          </w:tcPr>
          <w:p w:rsidR="00000000" w:rsidRDefault="00000000">
            <w:pPr>
              <w:spacing w:before="80" w:after="80" w:line="220" w:lineRule="exact"/>
              <w:rPr>
                <w:sz w:val="18"/>
              </w:rPr>
            </w:pPr>
          </w:p>
        </w:tc>
        <w:tc>
          <w:tcPr>
            <w:tcW w:w="1417" w:type="dxa"/>
          </w:tcPr>
          <w:p w:rsidR="00000000" w:rsidRDefault="00000000">
            <w:pPr>
              <w:spacing w:before="80" w:after="80" w:line="220" w:lineRule="exact"/>
              <w:jc w:val="center"/>
              <w:rPr>
                <w:b/>
                <w:sz w:val="18"/>
              </w:rPr>
            </w:pPr>
            <w:r>
              <w:rPr>
                <w:b/>
                <w:sz w:val="18"/>
              </w:rPr>
              <w:t>1986/87 год</w:t>
            </w:r>
          </w:p>
        </w:tc>
        <w:tc>
          <w:tcPr>
            <w:tcW w:w="1418" w:type="dxa"/>
          </w:tcPr>
          <w:p w:rsidR="00000000" w:rsidRDefault="00000000">
            <w:pPr>
              <w:spacing w:before="80" w:after="80" w:line="220" w:lineRule="exact"/>
              <w:jc w:val="center"/>
              <w:rPr>
                <w:b/>
                <w:sz w:val="18"/>
              </w:rPr>
            </w:pPr>
            <w:r>
              <w:rPr>
                <w:b/>
                <w:sz w:val="18"/>
              </w:rPr>
              <w:t>1993/94 год</w:t>
            </w:r>
          </w:p>
        </w:tc>
        <w:tc>
          <w:tcPr>
            <w:tcW w:w="1418" w:type="dxa"/>
          </w:tcPr>
          <w:p w:rsidR="00000000" w:rsidRDefault="00000000">
            <w:pPr>
              <w:spacing w:before="80" w:after="80" w:line="220" w:lineRule="exact"/>
              <w:jc w:val="center"/>
              <w:rPr>
                <w:b/>
                <w:sz w:val="18"/>
              </w:rPr>
            </w:pPr>
            <w:r>
              <w:rPr>
                <w:b/>
                <w:sz w:val="18"/>
              </w:rPr>
              <w:t>1996/97 год</w:t>
            </w:r>
          </w:p>
        </w:tc>
        <w:tc>
          <w:tcPr>
            <w:tcW w:w="1418" w:type="dxa"/>
          </w:tcPr>
          <w:p w:rsidR="00000000" w:rsidRDefault="00000000">
            <w:pPr>
              <w:spacing w:before="80" w:after="80" w:line="220" w:lineRule="exact"/>
              <w:jc w:val="center"/>
              <w:rPr>
                <w:b/>
                <w:sz w:val="18"/>
              </w:rPr>
            </w:pPr>
            <w:r>
              <w:rPr>
                <w:b/>
                <w:sz w:val="18"/>
              </w:rPr>
              <w:t>1997/98 год</w:t>
            </w:r>
          </w:p>
        </w:tc>
        <w:tc>
          <w:tcPr>
            <w:tcW w:w="1418" w:type="dxa"/>
          </w:tcPr>
          <w:p w:rsidR="00000000" w:rsidRDefault="00000000">
            <w:pPr>
              <w:spacing w:before="80" w:after="80" w:line="220" w:lineRule="exact"/>
              <w:jc w:val="center"/>
              <w:rPr>
                <w:b/>
                <w:sz w:val="18"/>
              </w:rPr>
            </w:pPr>
            <w:r>
              <w:rPr>
                <w:b/>
                <w:sz w:val="18"/>
              </w:rPr>
              <w:t>1998/99 год</w:t>
            </w:r>
          </w:p>
        </w:tc>
      </w:tr>
      <w:tr w:rsidR="00000000">
        <w:tblPrEx>
          <w:tblCellMar>
            <w:top w:w="0" w:type="dxa"/>
            <w:bottom w:w="0" w:type="dxa"/>
          </w:tblCellMar>
        </w:tblPrEx>
        <w:trPr>
          <w:jc w:val="center"/>
        </w:trPr>
        <w:tc>
          <w:tcPr>
            <w:tcW w:w="1983" w:type="dxa"/>
          </w:tcPr>
          <w:p w:rsidR="00000000" w:rsidRDefault="00000000">
            <w:pPr>
              <w:spacing w:before="80" w:after="80" w:line="220" w:lineRule="exact"/>
              <w:jc w:val="left"/>
              <w:rPr>
                <w:sz w:val="18"/>
              </w:rPr>
            </w:pPr>
            <w:r>
              <w:rPr>
                <w:sz w:val="18"/>
              </w:rPr>
              <w:t>Всего преподавателей</w:t>
            </w:r>
          </w:p>
        </w:tc>
        <w:tc>
          <w:tcPr>
            <w:tcW w:w="1417" w:type="dxa"/>
          </w:tcPr>
          <w:p w:rsidR="00000000" w:rsidRDefault="00000000">
            <w:pPr>
              <w:spacing w:before="80" w:after="80" w:line="220" w:lineRule="exact"/>
              <w:jc w:val="center"/>
              <w:rPr>
                <w:sz w:val="18"/>
              </w:rPr>
            </w:pPr>
            <w:r>
              <w:rPr>
                <w:sz w:val="18"/>
              </w:rPr>
              <w:t>3 650</w:t>
            </w:r>
          </w:p>
        </w:tc>
        <w:tc>
          <w:tcPr>
            <w:tcW w:w="1418" w:type="dxa"/>
          </w:tcPr>
          <w:p w:rsidR="00000000" w:rsidRDefault="00000000">
            <w:pPr>
              <w:spacing w:before="80" w:after="80" w:line="220" w:lineRule="exact"/>
              <w:jc w:val="center"/>
              <w:rPr>
                <w:sz w:val="18"/>
              </w:rPr>
            </w:pPr>
            <w:r>
              <w:rPr>
                <w:sz w:val="18"/>
              </w:rPr>
              <w:t>5 360</w:t>
            </w:r>
          </w:p>
        </w:tc>
        <w:tc>
          <w:tcPr>
            <w:tcW w:w="1418" w:type="dxa"/>
          </w:tcPr>
          <w:p w:rsidR="00000000" w:rsidRDefault="00000000">
            <w:pPr>
              <w:spacing w:before="80" w:after="80" w:line="220" w:lineRule="exact"/>
              <w:jc w:val="center"/>
              <w:rPr>
                <w:sz w:val="18"/>
              </w:rPr>
            </w:pPr>
            <w:r>
              <w:rPr>
                <w:sz w:val="18"/>
              </w:rPr>
              <w:t>6 641</w:t>
            </w:r>
          </w:p>
        </w:tc>
        <w:tc>
          <w:tcPr>
            <w:tcW w:w="1418" w:type="dxa"/>
          </w:tcPr>
          <w:p w:rsidR="00000000" w:rsidRDefault="00000000">
            <w:pPr>
              <w:spacing w:before="80" w:after="80" w:line="220" w:lineRule="exact"/>
              <w:jc w:val="center"/>
              <w:rPr>
                <w:sz w:val="18"/>
              </w:rPr>
            </w:pPr>
            <w:r>
              <w:rPr>
                <w:sz w:val="18"/>
              </w:rPr>
              <w:t>7 263</w:t>
            </w:r>
          </w:p>
        </w:tc>
        <w:tc>
          <w:tcPr>
            <w:tcW w:w="1418" w:type="dxa"/>
          </w:tcPr>
          <w:p w:rsidR="00000000" w:rsidRDefault="00000000">
            <w:pPr>
              <w:spacing w:before="80" w:after="80" w:line="220" w:lineRule="exact"/>
              <w:jc w:val="center"/>
              <w:rPr>
                <w:sz w:val="18"/>
              </w:rPr>
            </w:pPr>
            <w:r>
              <w:rPr>
                <w:sz w:val="18"/>
              </w:rPr>
              <w:t>8 261</w:t>
            </w:r>
          </w:p>
        </w:tc>
      </w:tr>
      <w:tr w:rsidR="00000000">
        <w:tblPrEx>
          <w:tblCellMar>
            <w:top w:w="0" w:type="dxa"/>
            <w:bottom w:w="0" w:type="dxa"/>
          </w:tblCellMar>
        </w:tblPrEx>
        <w:trPr>
          <w:jc w:val="center"/>
        </w:trPr>
        <w:tc>
          <w:tcPr>
            <w:tcW w:w="1983" w:type="dxa"/>
          </w:tcPr>
          <w:p w:rsidR="00000000" w:rsidRDefault="00000000">
            <w:pPr>
              <w:spacing w:before="80" w:after="80" w:line="220" w:lineRule="exact"/>
              <w:jc w:val="left"/>
              <w:rPr>
                <w:sz w:val="18"/>
              </w:rPr>
            </w:pPr>
            <w:r>
              <w:rPr>
                <w:sz w:val="18"/>
              </w:rPr>
              <w:t>Из них женщин</w:t>
            </w:r>
          </w:p>
        </w:tc>
        <w:tc>
          <w:tcPr>
            <w:tcW w:w="1417" w:type="dxa"/>
          </w:tcPr>
          <w:p w:rsidR="00000000" w:rsidRDefault="00000000">
            <w:pPr>
              <w:spacing w:before="80" w:after="80" w:line="220" w:lineRule="exact"/>
              <w:jc w:val="center"/>
              <w:rPr>
                <w:sz w:val="18"/>
              </w:rPr>
            </w:pPr>
            <w:r>
              <w:rPr>
                <w:sz w:val="18"/>
              </w:rPr>
              <w:t>564</w:t>
            </w:r>
          </w:p>
        </w:tc>
        <w:tc>
          <w:tcPr>
            <w:tcW w:w="1418" w:type="dxa"/>
          </w:tcPr>
          <w:p w:rsidR="00000000" w:rsidRDefault="00000000">
            <w:pPr>
              <w:spacing w:before="80" w:after="80" w:line="220" w:lineRule="exact"/>
              <w:jc w:val="center"/>
              <w:rPr>
                <w:sz w:val="18"/>
              </w:rPr>
            </w:pPr>
            <w:r>
              <w:rPr>
                <w:sz w:val="18"/>
              </w:rPr>
              <w:t>1 284</w:t>
            </w:r>
          </w:p>
        </w:tc>
        <w:tc>
          <w:tcPr>
            <w:tcW w:w="1418" w:type="dxa"/>
          </w:tcPr>
          <w:p w:rsidR="00000000" w:rsidRDefault="00000000">
            <w:pPr>
              <w:spacing w:before="80" w:after="80" w:line="220" w:lineRule="exact"/>
              <w:jc w:val="center"/>
              <w:rPr>
                <w:sz w:val="18"/>
              </w:rPr>
            </w:pPr>
            <w:r>
              <w:rPr>
                <w:sz w:val="18"/>
              </w:rPr>
              <w:t>1 766</w:t>
            </w:r>
          </w:p>
        </w:tc>
        <w:tc>
          <w:tcPr>
            <w:tcW w:w="1418" w:type="dxa"/>
          </w:tcPr>
          <w:p w:rsidR="00000000" w:rsidRDefault="00000000">
            <w:pPr>
              <w:spacing w:before="80" w:after="80" w:line="220" w:lineRule="exact"/>
              <w:jc w:val="center"/>
              <w:rPr>
                <w:sz w:val="18"/>
              </w:rPr>
            </w:pPr>
            <w:r>
              <w:rPr>
                <w:sz w:val="18"/>
              </w:rPr>
              <w:t>2 037</w:t>
            </w:r>
          </w:p>
        </w:tc>
        <w:tc>
          <w:tcPr>
            <w:tcW w:w="1418" w:type="dxa"/>
          </w:tcPr>
          <w:p w:rsidR="00000000" w:rsidRDefault="00000000">
            <w:pPr>
              <w:spacing w:before="80" w:after="80" w:line="220" w:lineRule="exact"/>
              <w:jc w:val="center"/>
              <w:rPr>
                <w:sz w:val="18"/>
              </w:rPr>
            </w:pPr>
            <w:r>
              <w:rPr>
                <w:sz w:val="18"/>
              </w:rPr>
              <w:t>2 400</w:t>
            </w:r>
          </w:p>
        </w:tc>
      </w:tr>
      <w:tr w:rsidR="00000000">
        <w:tblPrEx>
          <w:tblCellMar>
            <w:top w:w="0" w:type="dxa"/>
            <w:bottom w:w="0" w:type="dxa"/>
          </w:tblCellMar>
        </w:tblPrEx>
        <w:trPr>
          <w:jc w:val="center"/>
        </w:trPr>
        <w:tc>
          <w:tcPr>
            <w:tcW w:w="1983" w:type="dxa"/>
          </w:tcPr>
          <w:p w:rsidR="00000000" w:rsidRDefault="00000000">
            <w:pPr>
              <w:spacing w:before="80" w:after="80" w:line="220" w:lineRule="exact"/>
              <w:jc w:val="left"/>
              <w:rPr>
                <w:sz w:val="18"/>
              </w:rPr>
            </w:pPr>
            <w:r>
              <w:rPr>
                <w:sz w:val="18"/>
              </w:rPr>
              <w:t>Процентная доля женщин</w:t>
            </w:r>
          </w:p>
        </w:tc>
        <w:tc>
          <w:tcPr>
            <w:tcW w:w="1417" w:type="dxa"/>
          </w:tcPr>
          <w:p w:rsidR="00000000" w:rsidRDefault="00000000">
            <w:pPr>
              <w:spacing w:before="80" w:after="80" w:line="220" w:lineRule="exact"/>
              <w:jc w:val="center"/>
              <w:rPr>
                <w:sz w:val="18"/>
              </w:rPr>
            </w:pPr>
            <w:r>
              <w:rPr>
                <w:sz w:val="18"/>
              </w:rPr>
              <w:t>15,5</w:t>
            </w:r>
          </w:p>
        </w:tc>
        <w:tc>
          <w:tcPr>
            <w:tcW w:w="1418" w:type="dxa"/>
          </w:tcPr>
          <w:p w:rsidR="00000000" w:rsidRDefault="00000000">
            <w:pPr>
              <w:spacing w:before="80" w:after="80" w:line="220" w:lineRule="exact"/>
              <w:jc w:val="center"/>
              <w:rPr>
                <w:sz w:val="18"/>
              </w:rPr>
            </w:pPr>
            <w:r>
              <w:rPr>
                <w:sz w:val="18"/>
              </w:rPr>
              <w:t>24</w:t>
            </w:r>
          </w:p>
        </w:tc>
        <w:tc>
          <w:tcPr>
            <w:tcW w:w="1418" w:type="dxa"/>
          </w:tcPr>
          <w:p w:rsidR="00000000" w:rsidRDefault="00000000">
            <w:pPr>
              <w:spacing w:before="80" w:after="80" w:line="220" w:lineRule="exact"/>
              <w:jc w:val="center"/>
              <w:rPr>
                <w:sz w:val="18"/>
              </w:rPr>
            </w:pPr>
            <w:r>
              <w:rPr>
                <w:sz w:val="18"/>
              </w:rPr>
              <w:t>26,6</w:t>
            </w:r>
          </w:p>
        </w:tc>
        <w:tc>
          <w:tcPr>
            <w:tcW w:w="1418" w:type="dxa"/>
          </w:tcPr>
          <w:p w:rsidR="00000000" w:rsidRDefault="00000000">
            <w:pPr>
              <w:spacing w:before="80" w:after="80" w:line="220" w:lineRule="exact"/>
              <w:jc w:val="center"/>
              <w:rPr>
                <w:sz w:val="18"/>
              </w:rPr>
            </w:pPr>
            <w:r>
              <w:rPr>
                <w:sz w:val="18"/>
              </w:rPr>
              <w:t>28</w:t>
            </w:r>
          </w:p>
        </w:tc>
        <w:tc>
          <w:tcPr>
            <w:tcW w:w="1418" w:type="dxa"/>
          </w:tcPr>
          <w:p w:rsidR="00000000" w:rsidRDefault="00000000">
            <w:pPr>
              <w:spacing w:before="80" w:after="80" w:line="220" w:lineRule="exact"/>
              <w:jc w:val="center"/>
              <w:rPr>
                <w:sz w:val="18"/>
              </w:rPr>
            </w:pPr>
            <w:r>
              <w:rPr>
                <w:sz w:val="18"/>
              </w:rPr>
              <w:t>29,1</w:t>
            </w:r>
          </w:p>
        </w:tc>
      </w:tr>
    </w:tbl>
    <w:p w:rsidR="00000000" w:rsidRDefault="00000000">
      <w:pPr>
        <w:spacing w:before="120" w:line="220" w:lineRule="exact"/>
        <w:ind w:right="289"/>
        <w:jc w:val="right"/>
        <w:rPr>
          <w:b/>
          <w:sz w:val="18"/>
        </w:rPr>
      </w:pPr>
      <w:r>
        <w:rPr>
          <w:b/>
          <w:sz w:val="18"/>
        </w:rPr>
        <w:t>Источник: Министерство высшего образования</w:t>
      </w:r>
    </w:p>
    <w:p w:rsidR="00000000" w:rsidRDefault="00000000">
      <w:pPr>
        <w:spacing w:before="240" w:line="240" w:lineRule="auto"/>
        <w:rPr>
          <w:b/>
          <w:sz w:val="28"/>
        </w:rPr>
      </w:pPr>
      <w:r>
        <w:rPr>
          <w:b/>
          <w:sz w:val="28"/>
        </w:rPr>
        <w:t>VII</w:t>
      </w:r>
      <w:r>
        <w:rPr>
          <w:b/>
          <w:sz w:val="28"/>
          <w:lang w:val="en-US"/>
        </w:rPr>
        <w:t>I</w:t>
      </w:r>
      <w:r>
        <w:rPr>
          <w:b/>
          <w:sz w:val="28"/>
        </w:rPr>
        <w:t>.</w:t>
      </w:r>
      <w:r>
        <w:rPr>
          <w:b/>
          <w:sz w:val="28"/>
        </w:rPr>
        <w:tab/>
        <w:t>Доступ женщин к директивным должностям</w:t>
      </w:r>
    </w:p>
    <w:p w:rsidR="00000000" w:rsidRDefault="00000000">
      <w:r>
        <w:t>348.</w:t>
      </w:r>
      <w:r>
        <w:tab/>
        <w:t>С 1992 по 1998 год число женщин в государственных учреждениях заметно увеличилось. Доля женщин-руководителей, занимающих функциональные должности, возросла с 5 процентов в 1984 году до 12 процентов в 1992 году и до 14 процентов в 1998 году.</w:t>
      </w:r>
    </w:p>
    <w:p w:rsidR="00000000" w:rsidRDefault="00000000">
      <w:r>
        <w:t>349.</w:t>
      </w:r>
      <w:r>
        <w:tab/>
        <w:t>В 1984 году среди 63 генеральных директоров не было ни одной женщины, а из 373 директоров было только 13 женщин, то есть 3,5 процента. В 1998 году было уже 17 женщин среди 324 генеральных директоров, то есть 5,24 процента, а в настоящее время из 976 директоров 97 – женщины, то есть 9,93 процента.</w:t>
      </w:r>
    </w:p>
    <w:p w:rsidR="00000000" w:rsidRDefault="00000000">
      <w:pPr>
        <w:jc w:val="center"/>
        <w:rPr>
          <w:b/>
        </w:rPr>
      </w:pPr>
      <w:r>
        <w:rPr>
          <w:b/>
        </w:rPr>
        <w:t>Рост доли женщин, занимающих функциональные должности</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68"/>
        <w:gridCol w:w="1196"/>
        <w:gridCol w:w="1195"/>
        <w:gridCol w:w="1195"/>
        <w:gridCol w:w="1195"/>
        <w:gridCol w:w="1195"/>
        <w:gridCol w:w="1195"/>
      </w:tblGrid>
      <w:tr w:rsidR="00000000">
        <w:tblPrEx>
          <w:tblCellMar>
            <w:top w:w="0" w:type="dxa"/>
            <w:bottom w:w="0" w:type="dxa"/>
          </w:tblCellMar>
        </w:tblPrEx>
        <w:trPr>
          <w:jc w:val="center"/>
        </w:trPr>
        <w:tc>
          <w:tcPr>
            <w:tcW w:w="2468" w:type="dxa"/>
            <w:tcBorders>
              <w:top w:val="nil"/>
              <w:left w:val="nil"/>
              <w:right w:val="nil"/>
            </w:tcBorders>
          </w:tcPr>
          <w:p w:rsidR="00000000" w:rsidRDefault="00000000">
            <w:pPr>
              <w:spacing w:before="80" w:after="80" w:line="220" w:lineRule="exact"/>
              <w:rPr>
                <w:sz w:val="18"/>
              </w:rPr>
            </w:pPr>
          </w:p>
        </w:tc>
        <w:tc>
          <w:tcPr>
            <w:tcW w:w="2391" w:type="dxa"/>
            <w:gridSpan w:val="2"/>
            <w:tcBorders>
              <w:top w:val="nil"/>
              <w:left w:val="nil"/>
              <w:right w:val="nil"/>
            </w:tcBorders>
          </w:tcPr>
          <w:p w:rsidR="00000000" w:rsidRDefault="00000000">
            <w:pPr>
              <w:spacing w:before="80" w:after="80" w:line="220" w:lineRule="exact"/>
              <w:jc w:val="center"/>
              <w:rPr>
                <w:b/>
                <w:sz w:val="18"/>
              </w:rPr>
            </w:pPr>
            <w:r>
              <w:rPr>
                <w:b/>
                <w:sz w:val="18"/>
              </w:rPr>
              <w:t>1984 год</w:t>
            </w:r>
          </w:p>
        </w:tc>
        <w:tc>
          <w:tcPr>
            <w:tcW w:w="2390" w:type="dxa"/>
            <w:gridSpan w:val="2"/>
            <w:tcBorders>
              <w:top w:val="nil"/>
              <w:left w:val="nil"/>
              <w:right w:val="nil"/>
            </w:tcBorders>
          </w:tcPr>
          <w:p w:rsidR="00000000" w:rsidRDefault="00000000">
            <w:pPr>
              <w:spacing w:before="80" w:after="80" w:line="220" w:lineRule="exact"/>
              <w:jc w:val="center"/>
              <w:rPr>
                <w:b/>
                <w:sz w:val="18"/>
              </w:rPr>
            </w:pPr>
            <w:r>
              <w:rPr>
                <w:b/>
                <w:sz w:val="18"/>
              </w:rPr>
              <w:t>1994 год</w:t>
            </w:r>
          </w:p>
        </w:tc>
        <w:tc>
          <w:tcPr>
            <w:tcW w:w="2390" w:type="dxa"/>
            <w:gridSpan w:val="2"/>
            <w:tcBorders>
              <w:top w:val="nil"/>
              <w:left w:val="nil"/>
              <w:right w:val="nil"/>
            </w:tcBorders>
          </w:tcPr>
          <w:p w:rsidR="00000000" w:rsidRDefault="00000000">
            <w:pPr>
              <w:spacing w:before="80" w:after="80" w:line="220" w:lineRule="exact"/>
              <w:jc w:val="center"/>
              <w:rPr>
                <w:b/>
                <w:sz w:val="18"/>
              </w:rPr>
            </w:pPr>
            <w:r>
              <w:rPr>
                <w:b/>
                <w:sz w:val="18"/>
              </w:rPr>
              <w:t>1998 год</w:t>
            </w:r>
          </w:p>
        </w:tc>
      </w:tr>
      <w:tr w:rsidR="00000000">
        <w:tblPrEx>
          <w:tblCellMar>
            <w:top w:w="0" w:type="dxa"/>
            <w:bottom w:w="0" w:type="dxa"/>
          </w:tblCellMar>
        </w:tblPrEx>
        <w:trPr>
          <w:jc w:val="center"/>
        </w:trPr>
        <w:tc>
          <w:tcPr>
            <w:tcW w:w="2468" w:type="dxa"/>
          </w:tcPr>
          <w:p w:rsidR="00000000" w:rsidRDefault="00000000">
            <w:pPr>
              <w:spacing w:before="80" w:after="80" w:line="220" w:lineRule="exact"/>
              <w:rPr>
                <w:sz w:val="18"/>
              </w:rPr>
            </w:pPr>
            <w:r>
              <w:rPr>
                <w:sz w:val="18"/>
              </w:rPr>
              <w:t>Функциональная должность</w:t>
            </w:r>
          </w:p>
        </w:tc>
        <w:tc>
          <w:tcPr>
            <w:tcW w:w="1196" w:type="dxa"/>
          </w:tcPr>
          <w:p w:rsidR="00000000" w:rsidRDefault="00000000">
            <w:pPr>
              <w:spacing w:before="80" w:after="80" w:line="220" w:lineRule="exact"/>
              <w:jc w:val="center"/>
              <w:rPr>
                <w:sz w:val="18"/>
              </w:rPr>
            </w:pPr>
            <w:r>
              <w:rPr>
                <w:sz w:val="18"/>
              </w:rPr>
              <w:t>Мужчин</w:t>
            </w:r>
          </w:p>
        </w:tc>
        <w:tc>
          <w:tcPr>
            <w:tcW w:w="1195" w:type="dxa"/>
          </w:tcPr>
          <w:p w:rsidR="00000000" w:rsidRDefault="00000000">
            <w:pPr>
              <w:spacing w:before="80" w:after="80" w:line="220" w:lineRule="exact"/>
              <w:jc w:val="center"/>
              <w:rPr>
                <w:sz w:val="18"/>
              </w:rPr>
            </w:pPr>
            <w:r>
              <w:rPr>
                <w:sz w:val="18"/>
              </w:rPr>
              <w:t>Женщин</w:t>
            </w:r>
          </w:p>
        </w:tc>
        <w:tc>
          <w:tcPr>
            <w:tcW w:w="1195" w:type="dxa"/>
          </w:tcPr>
          <w:p w:rsidR="00000000" w:rsidRDefault="00000000">
            <w:pPr>
              <w:spacing w:before="80" w:after="80" w:line="220" w:lineRule="exact"/>
              <w:jc w:val="center"/>
              <w:rPr>
                <w:sz w:val="18"/>
              </w:rPr>
            </w:pPr>
            <w:r>
              <w:rPr>
                <w:sz w:val="18"/>
              </w:rPr>
              <w:t>Мужчин</w:t>
            </w:r>
          </w:p>
        </w:tc>
        <w:tc>
          <w:tcPr>
            <w:tcW w:w="1195" w:type="dxa"/>
          </w:tcPr>
          <w:p w:rsidR="00000000" w:rsidRDefault="00000000">
            <w:pPr>
              <w:spacing w:before="80" w:after="80" w:line="220" w:lineRule="exact"/>
              <w:jc w:val="center"/>
              <w:rPr>
                <w:sz w:val="18"/>
              </w:rPr>
            </w:pPr>
            <w:r>
              <w:rPr>
                <w:sz w:val="18"/>
              </w:rPr>
              <w:t>Женщин</w:t>
            </w:r>
          </w:p>
        </w:tc>
        <w:tc>
          <w:tcPr>
            <w:tcW w:w="1195" w:type="dxa"/>
          </w:tcPr>
          <w:p w:rsidR="00000000" w:rsidRDefault="00000000">
            <w:pPr>
              <w:spacing w:before="80" w:after="80" w:line="220" w:lineRule="exact"/>
              <w:jc w:val="center"/>
              <w:rPr>
                <w:sz w:val="18"/>
              </w:rPr>
            </w:pPr>
            <w:r>
              <w:rPr>
                <w:sz w:val="18"/>
              </w:rPr>
              <w:t>Мужчин</w:t>
            </w:r>
          </w:p>
        </w:tc>
        <w:tc>
          <w:tcPr>
            <w:tcW w:w="1195" w:type="dxa"/>
          </w:tcPr>
          <w:p w:rsidR="00000000" w:rsidRDefault="00000000">
            <w:pPr>
              <w:spacing w:before="80" w:after="80" w:line="220" w:lineRule="exact"/>
              <w:jc w:val="center"/>
              <w:rPr>
                <w:sz w:val="18"/>
              </w:rPr>
            </w:pPr>
            <w:r>
              <w:rPr>
                <w:sz w:val="18"/>
              </w:rPr>
              <w:t>Женщин</w:t>
            </w:r>
          </w:p>
        </w:tc>
      </w:tr>
      <w:tr w:rsidR="00000000">
        <w:tblPrEx>
          <w:tblCellMar>
            <w:top w:w="0" w:type="dxa"/>
            <w:bottom w:w="0" w:type="dxa"/>
          </w:tblCellMar>
        </w:tblPrEx>
        <w:trPr>
          <w:jc w:val="center"/>
        </w:trPr>
        <w:tc>
          <w:tcPr>
            <w:tcW w:w="2468" w:type="dxa"/>
          </w:tcPr>
          <w:p w:rsidR="00000000" w:rsidRDefault="00000000">
            <w:pPr>
              <w:spacing w:before="80" w:after="80" w:line="220" w:lineRule="exact"/>
              <w:rPr>
                <w:sz w:val="18"/>
              </w:rPr>
            </w:pPr>
            <w:r>
              <w:rPr>
                <w:sz w:val="18"/>
              </w:rPr>
              <w:t>Генеральный секретарь</w:t>
            </w:r>
          </w:p>
        </w:tc>
        <w:tc>
          <w:tcPr>
            <w:tcW w:w="1196" w:type="dxa"/>
          </w:tcPr>
          <w:p w:rsidR="00000000" w:rsidRDefault="00000000">
            <w:pPr>
              <w:spacing w:before="80" w:after="80" w:line="220" w:lineRule="exact"/>
              <w:ind w:right="284"/>
              <w:jc w:val="right"/>
              <w:rPr>
                <w:sz w:val="18"/>
              </w:rPr>
            </w:pPr>
            <w:r>
              <w:rPr>
                <w:sz w:val="18"/>
              </w:rPr>
              <w:t>45</w:t>
            </w:r>
          </w:p>
        </w:tc>
        <w:tc>
          <w:tcPr>
            <w:tcW w:w="1195" w:type="dxa"/>
          </w:tcPr>
          <w:p w:rsidR="00000000" w:rsidRDefault="00000000">
            <w:pPr>
              <w:spacing w:before="80" w:after="80" w:line="220" w:lineRule="exact"/>
              <w:ind w:right="397"/>
              <w:jc w:val="right"/>
              <w:rPr>
                <w:sz w:val="18"/>
              </w:rPr>
            </w:pPr>
            <w:r>
              <w:rPr>
                <w:sz w:val="18"/>
              </w:rPr>
              <w:t>0</w:t>
            </w:r>
          </w:p>
        </w:tc>
        <w:tc>
          <w:tcPr>
            <w:tcW w:w="1195" w:type="dxa"/>
          </w:tcPr>
          <w:p w:rsidR="00000000" w:rsidRDefault="00000000">
            <w:pPr>
              <w:spacing w:before="80" w:after="80" w:line="220" w:lineRule="exact"/>
              <w:ind w:right="340"/>
              <w:jc w:val="right"/>
              <w:rPr>
                <w:sz w:val="18"/>
              </w:rPr>
            </w:pPr>
            <w:r>
              <w:rPr>
                <w:sz w:val="18"/>
              </w:rPr>
              <w:t>47</w:t>
            </w:r>
          </w:p>
        </w:tc>
        <w:tc>
          <w:tcPr>
            <w:tcW w:w="1195" w:type="dxa"/>
          </w:tcPr>
          <w:p w:rsidR="00000000" w:rsidRDefault="00000000">
            <w:pPr>
              <w:spacing w:before="80" w:after="80" w:line="220" w:lineRule="exact"/>
              <w:ind w:right="340"/>
              <w:jc w:val="right"/>
              <w:rPr>
                <w:sz w:val="18"/>
              </w:rPr>
            </w:pPr>
            <w:r>
              <w:rPr>
                <w:sz w:val="18"/>
              </w:rPr>
              <w:t>0</w:t>
            </w:r>
          </w:p>
        </w:tc>
        <w:tc>
          <w:tcPr>
            <w:tcW w:w="1195" w:type="dxa"/>
          </w:tcPr>
          <w:p w:rsidR="00000000" w:rsidRDefault="00000000">
            <w:pPr>
              <w:spacing w:before="80" w:after="80" w:line="220" w:lineRule="exact"/>
              <w:ind w:right="284"/>
              <w:jc w:val="right"/>
              <w:rPr>
                <w:sz w:val="18"/>
              </w:rPr>
            </w:pPr>
            <w:r>
              <w:rPr>
                <w:sz w:val="18"/>
              </w:rPr>
              <w:t>19</w:t>
            </w:r>
          </w:p>
        </w:tc>
        <w:tc>
          <w:tcPr>
            <w:tcW w:w="1195" w:type="dxa"/>
          </w:tcPr>
          <w:p w:rsidR="00000000" w:rsidRDefault="00000000">
            <w:pPr>
              <w:spacing w:before="80" w:after="80" w:line="220" w:lineRule="exact"/>
              <w:ind w:right="397"/>
              <w:jc w:val="right"/>
              <w:rPr>
                <w:sz w:val="18"/>
              </w:rPr>
            </w:pPr>
            <w:r>
              <w:rPr>
                <w:sz w:val="18"/>
              </w:rPr>
              <w:t>0</w:t>
            </w:r>
          </w:p>
        </w:tc>
      </w:tr>
      <w:tr w:rsidR="00000000">
        <w:tblPrEx>
          <w:tblCellMar>
            <w:top w:w="0" w:type="dxa"/>
            <w:bottom w:w="0" w:type="dxa"/>
          </w:tblCellMar>
        </w:tblPrEx>
        <w:trPr>
          <w:jc w:val="center"/>
        </w:trPr>
        <w:tc>
          <w:tcPr>
            <w:tcW w:w="2468" w:type="dxa"/>
          </w:tcPr>
          <w:p w:rsidR="00000000" w:rsidRDefault="00000000">
            <w:pPr>
              <w:spacing w:before="80" w:after="80" w:line="220" w:lineRule="exact"/>
              <w:rPr>
                <w:sz w:val="18"/>
              </w:rPr>
            </w:pPr>
            <w:r>
              <w:rPr>
                <w:sz w:val="18"/>
              </w:rPr>
              <w:t>Генеральный директор</w:t>
            </w:r>
          </w:p>
        </w:tc>
        <w:tc>
          <w:tcPr>
            <w:tcW w:w="1196" w:type="dxa"/>
          </w:tcPr>
          <w:p w:rsidR="00000000" w:rsidRDefault="00000000">
            <w:pPr>
              <w:spacing w:before="80" w:after="80" w:line="220" w:lineRule="exact"/>
              <w:ind w:right="284"/>
              <w:jc w:val="right"/>
              <w:rPr>
                <w:sz w:val="18"/>
              </w:rPr>
            </w:pPr>
            <w:r>
              <w:rPr>
                <w:sz w:val="18"/>
              </w:rPr>
              <w:t>63</w:t>
            </w:r>
          </w:p>
        </w:tc>
        <w:tc>
          <w:tcPr>
            <w:tcW w:w="1195" w:type="dxa"/>
          </w:tcPr>
          <w:p w:rsidR="00000000" w:rsidRDefault="00000000">
            <w:pPr>
              <w:spacing w:before="80" w:after="80" w:line="220" w:lineRule="exact"/>
              <w:ind w:right="397"/>
              <w:jc w:val="right"/>
              <w:rPr>
                <w:sz w:val="18"/>
              </w:rPr>
            </w:pPr>
            <w:r>
              <w:rPr>
                <w:sz w:val="18"/>
              </w:rPr>
              <w:t>0</w:t>
            </w:r>
          </w:p>
        </w:tc>
        <w:tc>
          <w:tcPr>
            <w:tcW w:w="1195" w:type="dxa"/>
          </w:tcPr>
          <w:p w:rsidR="00000000" w:rsidRDefault="00000000">
            <w:pPr>
              <w:spacing w:before="80" w:after="80" w:line="220" w:lineRule="exact"/>
              <w:ind w:right="340"/>
              <w:jc w:val="right"/>
              <w:rPr>
                <w:sz w:val="18"/>
              </w:rPr>
            </w:pPr>
            <w:r>
              <w:rPr>
                <w:sz w:val="18"/>
              </w:rPr>
              <w:t>222</w:t>
            </w:r>
          </w:p>
        </w:tc>
        <w:tc>
          <w:tcPr>
            <w:tcW w:w="1195" w:type="dxa"/>
          </w:tcPr>
          <w:p w:rsidR="00000000" w:rsidRDefault="00000000">
            <w:pPr>
              <w:spacing w:before="80" w:after="80" w:line="220" w:lineRule="exact"/>
              <w:ind w:right="340"/>
              <w:jc w:val="right"/>
              <w:rPr>
                <w:sz w:val="18"/>
              </w:rPr>
            </w:pPr>
            <w:r>
              <w:rPr>
                <w:sz w:val="18"/>
              </w:rPr>
              <w:t>9</w:t>
            </w:r>
          </w:p>
        </w:tc>
        <w:tc>
          <w:tcPr>
            <w:tcW w:w="1195" w:type="dxa"/>
          </w:tcPr>
          <w:p w:rsidR="00000000" w:rsidRDefault="00000000">
            <w:pPr>
              <w:spacing w:before="80" w:after="80" w:line="220" w:lineRule="exact"/>
              <w:ind w:right="284"/>
              <w:jc w:val="right"/>
              <w:rPr>
                <w:sz w:val="18"/>
              </w:rPr>
            </w:pPr>
            <w:r>
              <w:rPr>
                <w:sz w:val="18"/>
              </w:rPr>
              <w:t>324</w:t>
            </w:r>
          </w:p>
        </w:tc>
        <w:tc>
          <w:tcPr>
            <w:tcW w:w="1195" w:type="dxa"/>
          </w:tcPr>
          <w:p w:rsidR="00000000" w:rsidRDefault="00000000">
            <w:pPr>
              <w:spacing w:before="80" w:after="80" w:line="220" w:lineRule="exact"/>
              <w:ind w:right="397"/>
              <w:jc w:val="right"/>
              <w:rPr>
                <w:sz w:val="18"/>
              </w:rPr>
            </w:pPr>
            <w:r>
              <w:rPr>
                <w:sz w:val="18"/>
              </w:rPr>
              <w:t>17</w:t>
            </w:r>
          </w:p>
        </w:tc>
      </w:tr>
      <w:tr w:rsidR="00000000">
        <w:tblPrEx>
          <w:tblCellMar>
            <w:top w:w="0" w:type="dxa"/>
            <w:bottom w:w="0" w:type="dxa"/>
          </w:tblCellMar>
        </w:tblPrEx>
        <w:trPr>
          <w:jc w:val="center"/>
        </w:trPr>
        <w:tc>
          <w:tcPr>
            <w:tcW w:w="2468" w:type="dxa"/>
          </w:tcPr>
          <w:p w:rsidR="00000000" w:rsidRDefault="00000000">
            <w:pPr>
              <w:spacing w:before="80" w:after="80" w:line="220" w:lineRule="exact"/>
              <w:rPr>
                <w:sz w:val="18"/>
              </w:rPr>
            </w:pPr>
            <w:r>
              <w:rPr>
                <w:sz w:val="18"/>
              </w:rPr>
              <w:t>Директор</w:t>
            </w:r>
          </w:p>
        </w:tc>
        <w:tc>
          <w:tcPr>
            <w:tcW w:w="1196" w:type="dxa"/>
          </w:tcPr>
          <w:p w:rsidR="00000000" w:rsidRDefault="00000000">
            <w:pPr>
              <w:spacing w:before="80" w:after="80" w:line="220" w:lineRule="exact"/>
              <w:ind w:right="284"/>
              <w:jc w:val="right"/>
              <w:rPr>
                <w:sz w:val="18"/>
              </w:rPr>
            </w:pPr>
            <w:r>
              <w:rPr>
                <w:sz w:val="18"/>
              </w:rPr>
              <w:t>360</w:t>
            </w:r>
          </w:p>
        </w:tc>
        <w:tc>
          <w:tcPr>
            <w:tcW w:w="1195" w:type="dxa"/>
          </w:tcPr>
          <w:p w:rsidR="00000000" w:rsidRDefault="00000000">
            <w:pPr>
              <w:spacing w:before="80" w:after="80" w:line="220" w:lineRule="exact"/>
              <w:ind w:right="397"/>
              <w:jc w:val="right"/>
              <w:rPr>
                <w:sz w:val="18"/>
              </w:rPr>
            </w:pPr>
            <w:r>
              <w:rPr>
                <w:sz w:val="18"/>
              </w:rPr>
              <w:t>13</w:t>
            </w:r>
          </w:p>
        </w:tc>
        <w:tc>
          <w:tcPr>
            <w:tcW w:w="1195" w:type="dxa"/>
          </w:tcPr>
          <w:p w:rsidR="00000000" w:rsidRDefault="00000000">
            <w:pPr>
              <w:spacing w:before="80" w:after="80" w:line="220" w:lineRule="exact"/>
              <w:ind w:right="340"/>
              <w:jc w:val="right"/>
              <w:rPr>
                <w:sz w:val="18"/>
              </w:rPr>
            </w:pPr>
            <w:r>
              <w:rPr>
                <w:sz w:val="18"/>
              </w:rPr>
              <w:t>676</w:t>
            </w:r>
          </w:p>
        </w:tc>
        <w:tc>
          <w:tcPr>
            <w:tcW w:w="1195" w:type="dxa"/>
          </w:tcPr>
          <w:p w:rsidR="00000000" w:rsidRDefault="00000000">
            <w:pPr>
              <w:spacing w:before="80" w:after="80" w:line="220" w:lineRule="exact"/>
              <w:ind w:right="340"/>
              <w:jc w:val="right"/>
              <w:rPr>
                <w:sz w:val="18"/>
              </w:rPr>
            </w:pPr>
            <w:r>
              <w:rPr>
                <w:sz w:val="18"/>
              </w:rPr>
              <w:t>37</w:t>
            </w:r>
          </w:p>
        </w:tc>
        <w:tc>
          <w:tcPr>
            <w:tcW w:w="1195" w:type="dxa"/>
          </w:tcPr>
          <w:p w:rsidR="00000000" w:rsidRDefault="00000000">
            <w:pPr>
              <w:spacing w:before="80" w:after="80" w:line="220" w:lineRule="exact"/>
              <w:ind w:right="284"/>
              <w:jc w:val="right"/>
              <w:rPr>
                <w:sz w:val="18"/>
              </w:rPr>
            </w:pPr>
            <w:r>
              <w:rPr>
                <w:sz w:val="18"/>
              </w:rPr>
              <w:t>976</w:t>
            </w:r>
          </w:p>
        </w:tc>
        <w:tc>
          <w:tcPr>
            <w:tcW w:w="1195" w:type="dxa"/>
          </w:tcPr>
          <w:p w:rsidR="00000000" w:rsidRDefault="00000000">
            <w:pPr>
              <w:spacing w:before="80" w:after="80" w:line="220" w:lineRule="exact"/>
              <w:ind w:right="397"/>
              <w:jc w:val="right"/>
              <w:rPr>
                <w:sz w:val="18"/>
              </w:rPr>
            </w:pPr>
            <w:r>
              <w:rPr>
                <w:sz w:val="18"/>
              </w:rPr>
              <w:t>97</w:t>
            </w:r>
          </w:p>
        </w:tc>
      </w:tr>
      <w:tr w:rsidR="00000000">
        <w:tblPrEx>
          <w:tblCellMar>
            <w:top w:w="0" w:type="dxa"/>
            <w:bottom w:w="0" w:type="dxa"/>
          </w:tblCellMar>
        </w:tblPrEx>
        <w:trPr>
          <w:jc w:val="center"/>
        </w:trPr>
        <w:tc>
          <w:tcPr>
            <w:tcW w:w="2468" w:type="dxa"/>
          </w:tcPr>
          <w:p w:rsidR="00000000" w:rsidRDefault="00000000">
            <w:pPr>
              <w:spacing w:before="80" w:after="80" w:line="220" w:lineRule="exact"/>
              <w:rPr>
                <w:sz w:val="18"/>
              </w:rPr>
            </w:pPr>
            <w:r>
              <w:rPr>
                <w:sz w:val="18"/>
              </w:rPr>
              <w:t>Заместитель директора</w:t>
            </w:r>
          </w:p>
        </w:tc>
        <w:tc>
          <w:tcPr>
            <w:tcW w:w="1196" w:type="dxa"/>
          </w:tcPr>
          <w:p w:rsidR="00000000" w:rsidRDefault="00000000">
            <w:pPr>
              <w:spacing w:before="80" w:after="80" w:line="220" w:lineRule="exact"/>
              <w:ind w:right="284"/>
              <w:jc w:val="right"/>
              <w:rPr>
                <w:sz w:val="18"/>
              </w:rPr>
            </w:pPr>
            <w:r>
              <w:rPr>
                <w:sz w:val="18"/>
              </w:rPr>
              <w:t>576</w:t>
            </w:r>
          </w:p>
        </w:tc>
        <w:tc>
          <w:tcPr>
            <w:tcW w:w="1195" w:type="dxa"/>
          </w:tcPr>
          <w:p w:rsidR="00000000" w:rsidRDefault="00000000">
            <w:pPr>
              <w:spacing w:before="80" w:after="80" w:line="220" w:lineRule="exact"/>
              <w:ind w:right="397"/>
              <w:jc w:val="right"/>
              <w:rPr>
                <w:sz w:val="18"/>
              </w:rPr>
            </w:pPr>
            <w:r>
              <w:rPr>
                <w:sz w:val="18"/>
              </w:rPr>
              <w:t>16</w:t>
            </w:r>
          </w:p>
        </w:tc>
        <w:tc>
          <w:tcPr>
            <w:tcW w:w="1195" w:type="dxa"/>
          </w:tcPr>
          <w:p w:rsidR="00000000" w:rsidRDefault="00000000">
            <w:pPr>
              <w:spacing w:before="80" w:after="80" w:line="220" w:lineRule="exact"/>
              <w:ind w:right="340"/>
              <w:jc w:val="right"/>
              <w:rPr>
                <w:sz w:val="18"/>
              </w:rPr>
            </w:pPr>
            <w:r>
              <w:rPr>
                <w:sz w:val="18"/>
              </w:rPr>
              <w:t>998</w:t>
            </w:r>
          </w:p>
        </w:tc>
        <w:tc>
          <w:tcPr>
            <w:tcW w:w="1195" w:type="dxa"/>
          </w:tcPr>
          <w:p w:rsidR="00000000" w:rsidRDefault="00000000">
            <w:pPr>
              <w:spacing w:before="80" w:after="80" w:line="220" w:lineRule="exact"/>
              <w:ind w:right="340"/>
              <w:jc w:val="right"/>
              <w:rPr>
                <w:sz w:val="18"/>
              </w:rPr>
            </w:pPr>
            <w:r>
              <w:rPr>
                <w:sz w:val="18"/>
              </w:rPr>
              <w:t>116</w:t>
            </w:r>
          </w:p>
        </w:tc>
        <w:tc>
          <w:tcPr>
            <w:tcW w:w="1195" w:type="dxa"/>
          </w:tcPr>
          <w:p w:rsidR="00000000" w:rsidRDefault="00000000">
            <w:pPr>
              <w:spacing w:before="80" w:after="80" w:line="220" w:lineRule="exact"/>
              <w:ind w:right="284"/>
              <w:jc w:val="right"/>
              <w:rPr>
                <w:sz w:val="18"/>
              </w:rPr>
            </w:pPr>
            <w:r>
              <w:rPr>
                <w:sz w:val="18"/>
              </w:rPr>
              <w:t>1 532</w:t>
            </w:r>
          </w:p>
        </w:tc>
        <w:tc>
          <w:tcPr>
            <w:tcW w:w="1195" w:type="dxa"/>
          </w:tcPr>
          <w:p w:rsidR="00000000" w:rsidRDefault="00000000">
            <w:pPr>
              <w:spacing w:before="80" w:after="80" w:line="220" w:lineRule="exact"/>
              <w:ind w:right="397"/>
              <w:jc w:val="right"/>
              <w:rPr>
                <w:sz w:val="18"/>
              </w:rPr>
            </w:pPr>
            <w:r>
              <w:rPr>
                <w:sz w:val="18"/>
              </w:rPr>
              <w:t>231</w:t>
            </w:r>
          </w:p>
        </w:tc>
      </w:tr>
      <w:tr w:rsidR="00000000">
        <w:tblPrEx>
          <w:tblCellMar>
            <w:top w:w="0" w:type="dxa"/>
            <w:bottom w:w="0" w:type="dxa"/>
          </w:tblCellMar>
        </w:tblPrEx>
        <w:trPr>
          <w:jc w:val="center"/>
        </w:trPr>
        <w:tc>
          <w:tcPr>
            <w:tcW w:w="2468" w:type="dxa"/>
          </w:tcPr>
          <w:p w:rsidR="00000000" w:rsidRDefault="00000000">
            <w:pPr>
              <w:spacing w:before="80" w:after="80" w:line="220" w:lineRule="exact"/>
              <w:rPr>
                <w:sz w:val="18"/>
              </w:rPr>
            </w:pPr>
            <w:r>
              <w:rPr>
                <w:sz w:val="18"/>
              </w:rPr>
              <w:t>Начальник отдела</w:t>
            </w:r>
          </w:p>
        </w:tc>
        <w:tc>
          <w:tcPr>
            <w:tcW w:w="1196" w:type="dxa"/>
          </w:tcPr>
          <w:p w:rsidR="00000000" w:rsidRDefault="00000000">
            <w:pPr>
              <w:spacing w:before="80" w:after="80" w:line="220" w:lineRule="exact"/>
              <w:ind w:right="284"/>
              <w:jc w:val="right"/>
              <w:rPr>
                <w:sz w:val="18"/>
              </w:rPr>
            </w:pPr>
            <w:r>
              <w:rPr>
                <w:sz w:val="18"/>
              </w:rPr>
              <w:t>1 260</w:t>
            </w:r>
          </w:p>
        </w:tc>
        <w:tc>
          <w:tcPr>
            <w:tcW w:w="1195" w:type="dxa"/>
          </w:tcPr>
          <w:p w:rsidR="00000000" w:rsidRDefault="00000000">
            <w:pPr>
              <w:spacing w:before="80" w:after="80" w:line="220" w:lineRule="exact"/>
              <w:ind w:right="397"/>
              <w:jc w:val="right"/>
              <w:rPr>
                <w:sz w:val="18"/>
              </w:rPr>
            </w:pPr>
            <w:r>
              <w:rPr>
                <w:sz w:val="18"/>
              </w:rPr>
              <w:t>106</w:t>
            </w:r>
          </w:p>
        </w:tc>
        <w:tc>
          <w:tcPr>
            <w:tcW w:w="1195" w:type="dxa"/>
          </w:tcPr>
          <w:p w:rsidR="00000000" w:rsidRDefault="00000000">
            <w:pPr>
              <w:spacing w:before="80" w:after="80" w:line="220" w:lineRule="exact"/>
              <w:ind w:right="340"/>
              <w:jc w:val="right"/>
              <w:rPr>
                <w:sz w:val="18"/>
              </w:rPr>
            </w:pPr>
            <w:r>
              <w:rPr>
                <w:sz w:val="18"/>
              </w:rPr>
              <w:t>1 894</w:t>
            </w:r>
          </w:p>
        </w:tc>
        <w:tc>
          <w:tcPr>
            <w:tcW w:w="1195" w:type="dxa"/>
          </w:tcPr>
          <w:p w:rsidR="00000000" w:rsidRDefault="00000000">
            <w:pPr>
              <w:spacing w:before="80" w:after="80" w:line="220" w:lineRule="exact"/>
              <w:ind w:right="340"/>
              <w:jc w:val="right"/>
              <w:rPr>
                <w:sz w:val="18"/>
              </w:rPr>
            </w:pPr>
            <w:r>
              <w:rPr>
                <w:sz w:val="18"/>
              </w:rPr>
              <w:t>362</w:t>
            </w:r>
          </w:p>
        </w:tc>
        <w:tc>
          <w:tcPr>
            <w:tcW w:w="1195" w:type="dxa"/>
          </w:tcPr>
          <w:p w:rsidR="00000000" w:rsidRDefault="00000000">
            <w:pPr>
              <w:spacing w:before="80" w:after="80" w:line="220" w:lineRule="exact"/>
              <w:ind w:right="284"/>
              <w:jc w:val="right"/>
              <w:rPr>
                <w:sz w:val="18"/>
              </w:rPr>
            </w:pPr>
            <w:r>
              <w:rPr>
                <w:sz w:val="18"/>
              </w:rPr>
              <w:t>3 147</w:t>
            </w:r>
          </w:p>
        </w:tc>
        <w:tc>
          <w:tcPr>
            <w:tcW w:w="1195" w:type="dxa"/>
          </w:tcPr>
          <w:p w:rsidR="00000000" w:rsidRDefault="00000000">
            <w:pPr>
              <w:spacing w:before="80" w:after="80" w:line="220" w:lineRule="exact"/>
              <w:ind w:right="397"/>
              <w:jc w:val="right"/>
              <w:rPr>
                <w:sz w:val="18"/>
              </w:rPr>
            </w:pPr>
            <w:r>
              <w:rPr>
                <w:sz w:val="18"/>
              </w:rPr>
              <w:t>633</w:t>
            </w:r>
          </w:p>
        </w:tc>
      </w:tr>
      <w:tr w:rsidR="00000000">
        <w:tblPrEx>
          <w:tblCellMar>
            <w:top w:w="0" w:type="dxa"/>
            <w:bottom w:w="0" w:type="dxa"/>
          </w:tblCellMar>
        </w:tblPrEx>
        <w:trPr>
          <w:jc w:val="center"/>
        </w:trPr>
        <w:tc>
          <w:tcPr>
            <w:tcW w:w="2468" w:type="dxa"/>
          </w:tcPr>
          <w:p w:rsidR="00000000" w:rsidRDefault="00000000">
            <w:pPr>
              <w:spacing w:before="80" w:after="80" w:line="220" w:lineRule="exact"/>
              <w:rPr>
                <w:sz w:val="18"/>
              </w:rPr>
            </w:pPr>
            <w:r>
              <w:rPr>
                <w:sz w:val="18"/>
              </w:rPr>
              <w:t>Всего</w:t>
            </w:r>
          </w:p>
        </w:tc>
        <w:tc>
          <w:tcPr>
            <w:tcW w:w="1196" w:type="dxa"/>
          </w:tcPr>
          <w:p w:rsidR="00000000" w:rsidRDefault="00000000">
            <w:pPr>
              <w:spacing w:before="80" w:after="80" w:line="220" w:lineRule="exact"/>
              <w:ind w:right="284"/>
              <w:jc w:val="right"/>
              <w:rPr>
                <w:sz w:val="18"/>
              </w:rPr>
            </w:pPr>
            <w:r>
              <w:rPr>
                <w:sz w:val="18"/>
              </w:rPr>
              <w:t>2 304</w:t>
            </w:r>
          </w:p>
        </w:tc>
        <w:tc>
          <w:tcPr>
            <w:tcW w:w="1195" w:type="dxa"/>
          </w:tcPr>
          <w:p w:rsidR="00000000" w:rsidRDefault="00000000">
            <w:pPr>
              <w:spacing w:before="80" w:after="80" w:line="220" w:lineRule="exact"/>
              <w:ind w:right="397"/>
              <w:jc w:val="right"/>
              <w:rPr>
                <w:sz w:val="18"/>
              </w:rPr>
            </w:pPr>
            <w:r>
              <w:rPr>
                <w:sz w:val="18"/>
              </w:rPr>
              <w:t>135</w:t>
            </w:r>
          </w:p>
        </w:tc>
        <w:tc>
          <w:tcPr>
            <w:tcW w:w="1195" w:type="dxa"/>
          </w:tcPr>
          <w:p w:rsidR="00000000" w:rsidRDefault="00000000">
            <w:pPr>
              <w:spacing w:before="80" w:after="80" w:line="220" w:lineRule="exact"/>
              <w:ind w:right="340"/>
              <w:jc w:val="right"/>
              <w:rPr>
                <w:sz w:val="18"/>
              </w:rPr>
            </w:pPr>
            <w:r>
              <w:rPr>
                <w:sz w:val="18"/>
              </w:rPr>
              <w:t>3 837</w:t>
            </w:r>
          </w:p>
        </w:tc>
        <w:tc>
          <w:tcPr>
            <w:tcW w:w="1195" w:type="dxa"/>
          </w:tcPr>
          <w:p w:rsidR="00000000" w:rsidRDefault="00000000">
            <w:pPr>
              <w:spacing w:before="80" w:after="80" w:line="220" w:lineRule="exact"/>
              <w:ind w:right="340"/>
              <w:jc w:val="right"/>
              <w:rPr>
                <w:sz w:val="18"/>
              </w:rPr>
            </w:pPr>
            <w:r>
              <w:rPr>
                <w:sz w:val="18"/>
              </w:rPr>
              <w:t>524</w:t>
            </w:r>
          </w:p>
        </w:tc>
        <w:tc>
          <w:tcPr>
            <w:tcW w:w="1195" w:type="dxa"/>
          </w:tcPr>
          <w:p w:rsidR="00000000" w:rsidRDefault="00000000">
            <w:pPr>
              <w:spacing w:before="80" w:after="80" w:line="220" w:lineRule="exact"/>
              <w:ind w:right="284"/>
              <w:jc w:val="right"/>
              <w:rPr>
                <w:sz w:val="18"/>
              </w:rPr>
            </w:pPr>
            <w:r>
              <w:rPr>
                <w:sz w:val="18"/>
              </w:rPr>
              <w:t>5 998</w:t>
            </w:r>
          </w:p>
        </w:tc>
        <w:tc>
          <w:tcPr>
            <w:tcW w:w="1195" w:type="dxa"/>
          </w:tcPr>
          <w:p w:rsidR="00000000" w:rsidRDefault="00000000">
            <w:pPr>
              <w:spacing w:before="80" w:after="80" w:line="220" w:lineRule="exact"/>
              <w:ind w:right="397"/>
              <w:jc w:val="right"/>
              <w:rPr>
                <w:sz w:val="18"/>
              </w:rPr>
            </w:pPr>
            <w:r>
              <w:rPr>
                <w:sz w:val="18"/>
              </w:rPr>
              <w:t>978</w:t>
            </w:r>
          </w:p>
        </w:tc>
      </w:tr>
      <w:tr w:rsidR="00000000">
        <w:tblPrEx>
          <w:tblCellMar>
            <w:top w:w="0" w:type="dxa"/>
            <w:bottom w:w="0" w:type="dxa"/>
          </w:tblCellMar>
        </w:tblPrEx>
        <w:trPr>
          <w:jc w:val="center"/>
        </w:trPr>
        <w:tc>
          <w:tcPr>
            <w:tcW w:w="2468" w:type="dxa"/>
          </w:tcPr>
          <w:p w:rsidR="00000000" w:rsidRDefault="00000000">
            <w:pPr>
              <w:spacing w:before="80" w:after="80" w:line="220" w:lineRule="exact"/>
              <w:rPr>
                <w:sz w:val="18"/>
              </w:rPr>
            </w:pPr>
            <w:r>
              <w:rPr>
                <w:sz w:val="18"/>
              </w:rPr>
              <w:t>Итого</w:t>
            </w:r>
          </w:p>
        </w:tc>
        <w:tc>
          <w:tcPr>
            <w:tcW w:w="2391" w:type="dxa"/>
            <w:gridSpan w:val="2"/>
          </w:tcPr>
          <w:p w:rsidR="00000000" w:rsidRDefault="00000000">
            <w:pPr>
              <w:spacing w:before="80" w:after="80" w:line="220" w:lineRule="exact"/>
              <w:jc w:val="center"/>
              <w:rPr>
                <w:sz w:val="18"/>
              </w:rPr>
            </w:pPr>
            <w:r>
              <w:rPr>
                <w:sz w:val="18"/>
              </w:rPr>
              <w:t>2 439</w:t>
            </w:r>
          </w:p>
        </w:tc>
        <w:tc>
          <w:tcPr>
            <w:tcW w:w="2390" w:type="dxa"/>
            <w:gridSpan w:val="2"/>
          </w:tcPr>
          <w:p w:rsidR="00000000" w:rsidRDefault="00000000">
            <w:pPr>
              <w:spacing w:before="80" w:after="80" w:line="220" w:lineRule="exact"/>
              <w:jc w:val="center"/>
              <w:rPr>
                <w:sz w:val="18"/>
              </w:rPr>
            </w:pPr>
            <w:r>
              <w:rPr>
                <w:sz w:val="18"/>
              </w:rPr>
              <w:t>4 361</w:t>
            </w:r>
          </w:p>
        </w:tc>
        <w:tc>
          <w:tcPr>
            <w:tcW w:w="2390" w:type="dxa"/>
            <w:gridSpan w:val="2"/>
          </w:tcPr>
          <w:p w:rsidR="00000000" w:rsidRDefault="00000000">
            <w:pPr>
              <w:spacing w:before="80" w:after="80" w:line="220" w:lineRule="exact"/>
              <w:jc w:val="center"/>
              <w:rPr>
                <w:sz w:val="18"/>
              </w:rPr>
            </w:pPr>
            <w:r>
              <w:rPr>
                <w:sz w:val="18"/>
              </w:rPr>
              <w:t>6 976</w:t>
            </w:r>
          </w:p>
        </w:tc>
      </w:tr>
      <w:tr w:rsidR="00000000">
        <w:tblPrEx>
          <w:tblCellMar>
            <w:top w:w="0" w:type="dxa"/>
            <w:bottom w:w="0" w:type="dxa"/>
          </w:tblCellMar>
        </w:tblPrEx>
        <w:trPr>
          <w:jc w:val="center"/>
        </w:trPr>
        <w:tc>
          <w:tcPr>
            <w:tcW w:w="2468" w:type="dxa"/>
          </w:tcPr>
          <w:p w:rsidR="00000000" w:rsidRDefault="00000000">
            <w:pPr>
              <w:spacing w:before="80" w:after="80" w:line="220" w:lineRule="exact"/>
              <w:rPr>
                <w:sz w:val="18"/>
              </w:rPr>
            </w:pPr>
            <w:r>
              <w:rPr>
                <w:sz w:val="18"/>
              </w:rPr>
              <w:t xml:space="preserve">Процентная доля </w:t>
            </w:r>
          </w:p>
        </w:tc>
        <w:tc>
          <w:tcPr>
            <w:tcW w:w="1196" w:type="dxa"/>
          </w:tcPr>
          <w:p w:rsidR="00000000" w:rsidRDefault="00000000">
            <w:pPr>
              <w:spacing w:before="80" w:after="80" w:line="220" w:lineRule="exact"/>
              <w:ind w:right="284"/>
              <w:jc w:val="right"/>
              <w:rPr>
                <w:sz w:val="18"/>
              </w:rPr>
            </w:pPr>
            <w:r>
              <w:rPr>
                <w:sz w:val="18"/>
              </w:rPr>
              <w:t>94,5</w:t>
            </w:r>
          </w:p>
        </w:tc>
        <w:tc>
          <w:tcPr>
            <w:tcW w:w="1195" w:type="dxa"/>
          </w:tcPr>
          <w:p w:rsidR="00000000" w:rsidRDefault="00000000">
            <w:pPr>
              <w:tabs>
                <w:tab w:val="clear" w:pos="680"/>
              </w:tabs>
              <w:spacing w:before="80" w:after="80" w:line="220" w:lineRule="exact"/>
              <w:ind w:right="397"/>
              <w:jc w:val="right"/>
              <w:rPr>
                <w:sz w:val="18"/>
              </w:rPr>
            </w:pPr>
            <w:r>
              <w:rPr>
                <w:sz w:val="18"/>
              </w:rPr>
              <w:t>5,5</w:t>
            </w:r>
          </w:p>
        </w:tc>
        <w:tc>
          <w:tcPr>
            <w:tcW w:w="1195" w:type="dxa"/>
          </w:tcPr>
          <w:p w:rsidR="00000000" w:rsidRDefault="00000000">
            <w:pPr>
              <w:spacing w:before="80" w:after="80" w:line="220" w:lineRule="exact"/>
              <w:ind w:right="284"/>
              <w:jc w:val="right"/>
              <w:rPr>
                <w:sz w:val="18"/>
              </w:rPr>
            </w:pPr>
            <w:r>
              <w:rPr>
                <w:sz w:val="18"/>
              </w:rPr>
              <w:t>87,98</w:t>
            </w:r>
          </w:p>
        </w:tc>
        <w:tc>
          <w:tcPr>
            <w:tcW w:w="1195" w:type="dxa"/>
          </w:tcPr>
          <w:p w:rsidR="00000000" w:rsidRDefault="00000000">
            <w:pPr>
              <w:spacing w:before="80" w:after="80" w:line="220" w:lineRule="exact"/>
              <w:ind w:right="284"/>
              <w:jc w:val="right"/>
              <w:rPr>
                <w:sz w:val="18"/>
              </w:rPr>
            </w:pPr>
            <w:r>
              <w:rPr>
                <w:sz w:val="18"/>
              </w:rPr>
              <w:t>12,01</w:t>
            </w:r>
          </w:p>
        </w:tc>
        <w:tc>
          <w:tcPr>
            <w:tcW w:w="1195" w:type="dxa"/>
          </w:tcPr>
          <w:p w:rsidR="00000000" w:rsidRDefault="00000000">
            <w:pPr>
              <w:spacing w:before="80" w:after="80" w:line="220" w:lineRule="exact"/>
              <w:ind w:right="284"/>
              <w:jc w:val="right"/>
              <w:rPr>
                <w:sz w:val="18"/>
              </w:rPr>
            </w:pPr>
            <w:r>
              <w:rPr>
                <w:sz w:val="18"/>
              </w:rPr>
              <w:t>85,98</w:t>
            </w:r>
          </w:p>
        </w:tc>
        <w:tc>
          <w:tcPr>
            <w:tcW w:w="1195" w:type="dxa"/>
          </w:tcPr>
          <w:p w:rsidR="00000000" w:rsidRDefault="00000000">
            <w:pPr>
              <w:spacing w:before="80" w:after="80" w:line="220" w:lineRule="exact"/>
              <w:ind w:right="397"/>
              <w:jc w:val="right"/>
              <w:rPr>
                <w:sz w:val="18"/>
              </w:rPr>
            </w:pPr>
            <w:r>
              <w:rPr>
                <w:sz w:val="18"/>
              </w:rPr>
              <w:t>14,01</w:t>
            </w:r>
          </w:p>
        </w:tc>
      </w:tr>
    </w:tbl>
    <w:p w:rsidR="00000000" w:rsidRDefault="00000000">
      <w:pPr>
        <w:spacing w:before="40" w:after="120" w:line="220" w:lineRule="exact"/>
        <w:jc w:val="right"/>
        <w:rPr>
          <w:b/>
          <w:sz w:val="18"/>
        </w:rPr>
      </w:pPr>
      <w:r>
        <w:rPr>
          <w:b/>
          <w:sz w:val="18"/>
        </w:rPr>
        <w:t>Источник: Государственный секретариат по государственной службе</w:t>
      </w:r>
    </w:p>
    <w:p w:rsidR="00000000" w:rsidRDefault="00000000">
      <w:pPr>
        <w:spacing w:before="120" w:line="260" w:lineRule="exact"/>
        <w:rPr>
          <w:b/>
          <w:sz w:val="22"/>
        </w:rPr>
      </w:pPr>
      <w:r>
        <w:rPr>
          <w:b/>
          <w:sz w:val="22"/>
        </w:rPr>
        <w:t>VIII.1. В государственных учреждениях и в экономике</w:t>
      </w:r>
    </w:p>
    <w:p w:rsidR="00000000" w:rsidRDefault="00000000">
      <w:r>
        <w:t>350.</w:t>
      </w:r>
      <w:r>
        <w:tab/>
        <w:t>В 1998 году из 234 функциональных сотрудников аппарата премьер-министра 63, то есть 26,9 процента, были женщинами. На сегодняшний день в одном лишь Генеральном управлении администрации и государственной службы женщины возглавляют семь отделов, а мужчины – четыре.</w:t>
      </w:r>
    </w:p>
    <w:p w:rsidR="00000000" w:rsidRDefault="00000000">
      <w:r>
        <w:t>351.</w:t>
      </w:r>
      <w:r>
        <w:tab/>
        <w:t>Что касается Министерства иностранных дел, то, несмотря на то что из 278 функциональных сотрудников этого ведомства женщины составляют лишь 7,9 процента (22 человека), за последние десять лет по меньшей мере восемь женщин были назначены на должность послов. В настоящий момент две женщины представляют Тунис в ранге послов: одна – в Осло, а другая – в Лиссабоне.</w:t>
      </w:r>
    </w:p>
    <w:p w:rsidR="00000000" w:rsidRDefault="00000000">
      <w:pPr>
        <w:spacing w:after="120"/>
      </w:pPr>
      <w:r>
        <w:t>352.</w:t>
      </w:r>
      <w:r>
        <w:tab/>
        <w:t>Девять женщин занимают должности президентов – генеральных директоров в таких государственных предприятиях, как:</w:t>
      </w:r>
    </w:p>
    <w:p w:rsidR="00000000" w:rsidRDefault="00000000">
      <w:pPr>
        <w:spacing w:after="120"/>
      </w:pPr>
      <w:r>
        <w:t>–</w:t>
      </w:r>
      <w:r>
        <w:tab/>
        <w:t>Агентство морских путешествий "НАВИТУР";</w:t>
      </w:r>
    </w:p>
    <w:p w:rsidR="00000000" w:rsidRDefault="00000000">
      <w:pPr>
        <w:spacing w:after="120"/>
      </w:pPr>
      <w:r>
        <w:t>–</w:t>
      </w:r>
      <w:r>
        <w:tab/>
        <w:t>Научно-исследовательский институт телекоммуникаций;</w:t>
      </w:r>
    </w:p>
    <w:p w:rsidR="00000000" w:rsidRDefault="00000000">
      <w:pPr>
        <w:spacing w:after="120"/>
      </w:pPr>
      <w:r>
        <w:t>–</w:t>
      </w:r>
      <w:r>
        <w:tab/>
        <w:t>Компания по торговле изделиями народных промыслов "СОКОПА";</w:t>
      </w:r>
    </w:p>
    <w:p w:rsidR="00000000" w:rsidRDefault="00000000">
      <w:pPr>
        <w:spacing w:after="120"/>
      </w:pPr>
      <w:r>
        <w:t>–</w:t>
      </w:r>
      <w:r>
        <w:tab/>
        <w:t>Центр по изучению правовой и судебной систем;</w:t>
      </w:r>
    </w:p>
    <w:p w:rsidR="00000000" w:rsidRDefault="00000000">
      <w:pPr>
        <w:spacing w:after="120"/>
      </w:pPr>
      <w:r>
        <w:t>–</w:t>
      </w:r>
      <w:r>
        <w:tab/>
        <w:t>Институт экономики и торговли;</w:t>
      </w:r>
    </w:p>
    <w:p w:rsidR="00000000" w:rsidRDefault="00000000">
      <w:pPr>
        <w:spacing w:after="120"/>
      </w:pPr>
      <w:r>
        <w:t>–</w:t>
      </w:r>
      <w:r>
        <w:tab/>
        <w:t>Центр научных исследований, документации и информации по вопросам женщин (ЦНИДИЖ);</w:t>
      </w:r>
    </w:p>
    <w:p w:rsidR="00000000" w:rsidRDefault="00000000">
      <w:pPr>
        <w:spacing w:after="120"/>
      </w:pPr>
      <w:r>
        <w:t>–</w:t>
      </w:r>
      <w:r>
        <w:tab/>
        <w:t>Международный центр по изучению технологий в области защиты окружающей среды;</w:t>
      </w:r>
    </w:p>
    <w:p w:rsidR="00000000" w:rsidRDefault="00000000">
      <w:pPr>
        <w:spacing w:after="120"/>
      </w:pPr>
      <w:r>
        <w:t>–</w:t>
      </w:r>
      <w:r>
        <w:tab/>
        <w:t>Национальное бюро по вопросам планирования семьи и народонаселения (НБВПСН);</w:t>
      </w:r>
    </w:p>
    <w:p w:rsidR="00000000" w:rsidRDefault="00000000">
      <w:r>
        <w:t>–</w:t>
      </w:r>
      <w:r>
        <w:tab/>
        <w:t>Тунисское Интернет-агентство (ТИА).</w:t>
      </w:r>
    </w:p>
    <w:p w:rsidR="00000000" w:rsidRDefault="00000000">
      <w:r>
        <w:t>353.</w:t>
      </w:r>
      <w:r>
        <w:tab/>
        <w:t xml:space="preserve">Следует отметить, что в ряде ведомств, например в Министерстве социальных дел, Министерстве международного сотрудничества и инвестиций, а также в Министерстве экономического развития, доля женщин, занимающих руководящие должности, составляет, соответственно, 24 процента, 26 процентов и даже 29 и 30 процентов. </w:t>
      </w:r>
    </w:p>
    <w:p w:rsidR="00000000" w:rsidRDefault="00000000">
      <w:r>
        <w:t>354.</w:t>
      </w:r>
      <w:r>
        <w:tab/>
        <w:t>В государственном секторе был принят целый ряд мер, призванных расширить возможности женщин в области профессиональной подготовки. Для этого начиная с 1993 года создавалась система заочного непрерывного обучения. В 1997–1998 годах из 2083 человек, прошедших стажировку на курсах, организованных Национальной школой администрации (НША), 843 – женщины (40 процентов от общего числа слушателей).</w:t>
      </w:r>
    </w:p>
    <w:p w:rsidR="00000000" w:rsidRDefault="00000000">
      <w:pPr>
        <w:spacing w:before="240" w:line="240" w:lineRule="auto"/>
        <w:rPr>
          <w:b/>
          <w:sz w:val="28"/>
        </w:rPr>
      </w:pPr>
      <w:r>
        <w:rPr>
          <w:b/>
          <w:sz w:val="28"/>
        </w:rPr>
        <w:t>IX.</w:t>
      </w:r>
      <w:r>
        <w:rPr>
          <w:b/>
          <w:sz w:val="28"/>
        </w:rPr>
        <w:tab/>
        <w:t>Развитие женского предпринимательства</w:t>
      </w:r>
    </w:p>
    <w:p w:rsidR="00000000" w:rsidRDefault="00000000">
      <w:r>
        <w:t>355.</w:t>
      </w:r>
      <w:r>
        <w:tab/>
        <w:t>В последние годы заметно выросло число женщин, возглавляющих предприятия в промышленности и других областях экономики. Более 1500 из них объединились в рамках Национальной палаты женщин – руководителей предприятий (НПЖРП) при Тунисском союзе промышленности, торговли и ремесел (ТСПТР).</w:t>
      </w:r>
    </w:p>
    <w:p w:rsidR="00000000" w:rsidRDefault="00000000">
      <w:r>
        <w:t>356.</w:t>
      </w:r>
      <w:r>
        <w:tab/>
        <w:t>По результатам национальной переписи населения 1994 года, 4850 женщин руководят комплексно-целевыми программами предприятий. Из них 85 процентов заняты в сфере промышленности и ремесел, 8 процентов – в торговле и 7 процентов – в сфере услуг. По оценкам НПЖРП, женщины составляют сегодня 8,5 процента от общего числа предпринимателей, а персонал руководимых ими предприятий насчитывает около 100 тыс. человек.</w:t>
      </w:r>
    </w:p>
    <w:p w:rsidR="00000000" w:rsidRDefault="00000000">
      <w:r>
        <w:t>357.</w:t>
      </w:r>
      <w:r>
        <w:tab/>
        <w:t>В 1999 году в состав исполнительного бюро ТСПТР входило три женщины: одна – в качестве члена-наблюдателя с 1992 года, а две другие – в качестве избранных членов с 1997 года.</w:t>
      </w:r>
    </w:p>
    <w:p w:rsidR="00000000" w:rsidRDefault="00000000">
      <w:pPr>
        <w:rPr>
          <w:color w:val="000000"/>
        </w:rPr>
      </w:pPr>
      <w:r>
        <w:rPr>
          <w:color w:val="000000"/>
        </w:rPr>
        <w:t>358.</w:t>
      </w:r>
      <w:r>
        <w:rPr>
          <w:color w:val="000000"/>
        </w:rPr>
        <w:tab/>
        <w:t>Национальная палата женщин – руководителей предприятий (НПЖРП) имеет несколько региональных отделений, расположенных, в частности, в таких крупных промышленных центрах, как Сфакс, Сус и Габес.</w:t>
      </w:r>
    </w:p>
    <w:p w:rsidR="00000000" w:rsidRDefault="00000000">
      <w:r>
        <w:t>359.</w:t>
      </w:r>
      <w:r>
        <w:tab/>
        <w:t>Женщины – руководители предприятий играют активную роль в работе торговых палат, где у них есть свои представители. Так, председателем тунисско-нидерландской торговой палаты является женщина. Несколько женщин стоят во главе региональных торгово-промышленных палат.</w:t>
      </w:r>
    </w:p>
    <w:p w:rsidR="00000000" w:rsidRDefault="00000000">
      <w:r>
        <w:t>360.</w:t>
      </w:r>
      <w:r>
        <w:tab/>
        <w:t xml:space="preserve">Ярким проявлением экономического потенциала женщин – руководителей предприятий служит ежегодная ярмарка "Экспофемина", проводимая НПЖРП. Эта ярмарка постепенно становится важным событием в экономической жизни Туниса. В 1998 году она прошла в третий раз. В ней приняли участие руководительницы предприятий из Европы, Африки и арабских стран. </w:t>
      </w:r>
    </w:p>
    <w:p w:rsidR="00000000" w:rsidRDefault="00000000">
      <w:r>
        <w:t>361.</w:t>
      </w:r>
      <w:r>
        <w:tab/>
        <w:t>Свидетельством успешной деятельности НПЖРП и всех женщин – руководителей предприятий явилось избрание в 1998 году председателя этой Палаты на пост президента Всемирного комитета женщин – руководителей предприятий.</w:t>
      </w:r>
    </w:p>
    <w:p w:rsidR="00000000" w:rsidRDefault="00000000">
      <w:r>
        <w:t>362.</w:t>
      </w:r>
      <w:r>
        <w:tab/>
        <w:t>Аналогичное объединение женщин, Национальная федерация сельскохозяйственных работниц (НФСР), было создано в рамках Тунисского союза сельского хозяйства и рыболовства (ТССХР). Эта Федерация имеет региональные и местные отделения, которые объединяют женщин, занятых в сельском хозяйстве.</w:t>
      </w:r>
    </w:p>
    <w:p w:rsidR="00000000" w:rsidRDefault="00000000">
      <w:pPr>
        <w:spacing w:before="240" w:line="240" w:lineRule="auto"/>
        <w:rPr>
          <w:b/>
          <w:sz w:val="28"/>
        </w:rPr>
      </w:pPr>
      <w:r>
        <w:rPr>
          <w:b/>
          <w:sz w:val="28"/>
        </w:rPr>
        <w:t>Х.</w:t>
      </w:r>
      <w:r>
        <w:rPr>
          <w:b/>
          <w:sz w:val="28"/>
        </w:rPr>
        <w:tab/>
        <w:t>Воспитательные учреждения для детей и подростков</w:t>
      </w:r>
    </w:p>
    <w:p w:rsidR="00000000" w:rsidRDefault="00000000">
      <w:r>
        <w:t>363.</w:t>
      </w:r>
      <w:r>
        <w:tab/>
        <w:t>Профессиональные устремления женщин и их карьера в государственных учреждениях – такова тема совместного опроса, проведенного в 1998 году Национальной школой государственного управления Квебекского университета, Национальной школой администрации Тунисского университета и Центром научных исследований, документации и информации по вопросам женщин. Результаты этого опроса, в котором приняла участие 181 ответственная сотрудница министерств, показали, что 90 процентов из них успешно сочетают карьеру с семейными обязанностями. Однако из-за таких факторов, как усталость, стрессы и т. д., трудно проверить на месте показатель соотношения между временем, которое они уделяет семье, и тем, которое они посвящают профессиональной деятельности.</w:t>
      </w:r>
    </w:p>
    <w:p w:rsidR="00000000" w:rsidRDefault="00000000">
      <w:r>
        <w:t>364.</w:t>
      </w:r>
      <w:r>
        <w:tab/>
        <w:t>Заметным толчком для развития детских учреждений, совершенствования их воспитательной деятельности и подготовки кадров для них послужила стратегия, осуществляемая в рамках Национальной акции по изучению поведения, защите и развитию ребенка (1992–2001 годы). Цель этих мероприятий – помочь женщине лучше совмещать свои профессиональные, общественные и семейные обязанности.</w:t>
      </w:r>
    </w:p>
    <w:p w:rsidR="00000000" w:rsidRDefault="00000000">
      <w:r>
        <w:t>365.</w:t>
      </w:r>
      <w:r>
        <w:tab/>
        <w:t>В рамках этой стратегии законом № 94-88 от 26 июля 1994 года был закреплен порядок финансирования дошкольных учреждений, предусматривающий участие Национальной кассы социального обеспечения в покрытии расходов на содержание детей, чьи матери работают вне дома.</w:t>
      </w:r>
    </w:p>
    <w:p w:rsidR="00000000" w:rsidRDefault="00000000">
      <w:r>
        <w:t>366.</w:t>
      </w:r>
      <w:r>
        <w:tab/>
        <w:t>В соответствии с той же стратегией департамент по опеке Министерства по делам молодежи и детства подписал рамочное соглашение с тремя национальными организациями, занимающимися вопросами детства, с целью помочь им в создании новых структур, особенно в сельских районах и городских кварталах с высокой плотностью населения.</w:t>
      </w:r>
    </w:p>
    <w:p w:rsidR="00000000" w:rsidRDefault="00000000">
      <w:r>
        <w:t>367.</w:t>
      </w:r>
      <w:r>
        <w:tab/>
        <w:t>Благодаря этим мерам за период с 1991 по 1997 год количество детских садов увеличилось с 692 до 1200, а число мест в них – с 45 200 до 72 316.</w:t>
      </w:r>
    </w:p>
    <w:p w:rsidR="00000000" w:rsidRDefault="00000000">
      <w:r>
        <w:t>368.</w:t>
      </w:r>
      <w:r>
        <w:tab/>
        <w:t>В 1995–1997 годах количество детских клубов и мест в них возросло, соответственно, с 244 и 37 827 до 258 и 38 035, а число воспитателей – с 678 до 749.</w:t>
      </w:r>
    </w:p>
    <w:p w:rsidR="00000000" w:rsidRDefault="00000000">
      <w:r>
        <w:t>369.</w:t>
      </w:r>
      <w:r>
        <w:tab/>
        <w:t xml:space="preserve">В настоящий момент в стране насчитывается 77 яслей на 1224 ребенка, из которых 314 в возрасте от двух месяцев до одного года. Надо отметить, правда, что расположены они в городах. </w:t>
      </w:r>
    </w:p>
    <w:p w:rsidR="00000000" w:rsidRDefault="00000000">
      <w:r>
        <w:t>370.</w:t>
      </w:r>
      <w:r>
        <w:tab/>
        <w:t xml:space="preserve">Вместе с тем как в городе, так и в сельской местности взаимопомощь членов семьи все еще остается действенным фактором и – с помощью дедушек, бабушек и соседей – помогает родителям сочетать профессиональную деятельность с воспитанием детей. </w:t>
      </w:r>
    </w:p>
    <w:p w:rsidR="00000000" w:rsidRDefault="00000000">
      <w:pPr>
        <w:spacing w:before="240" w:line="240" w:lineRule="auto"/>
        <w:rPr>
          <w:b/>
          <w:sz w:val="28"/>
        </w:rPr>
      </w:pPr>
      <w:r>
        <w:rPr>
          <w:b/>
          <w:sz w:val="28"/>
        </w:rPr>
        <w:t>XI.</w:t>
      </w:r>
      <w:r>
        <w:rPr>
          <w:b/>
          <w:sz w:val="28"/>
        </w:rPr>
        <w:tab/>
        <w:t>Участие женщин в общественной жизни</w:t>
      </w:r>
    </w:p>
    <w:p w:rsidR="00000000" w:rsidRDefault="00000000">
      <w:pPr>
        <w:spacing w:line="260" w:lineRule="exact"/>
        <w:rPr>
          <w:b/>
          <w:sz w:val="22"/>
        </w:rPr>
      </w:pPr>
      <w:r>
        <w:rPr>
          <w:b/>
          <w:sz w:val="22"/>
        </w:rPr>
        <w:t>XI.1.</w:t>
      </w:r>
      <w:r>
        <w:rPr>
          <w:b/>
          <w:sz w:val="22"/>
        </w:rPr>
        <w:tab/>
        <w:t>Рост числа женских организаций</w:t>
      </w:r>
    </w:p>
    <w:p w:rsidR="00000000" w:rsidRDefault="00000000">
      <w:r>
        <w:t>371.</w:t>
      </w:r>
      <w:r>
        <w:tab/>
        <w:t>До конца 80-х годов в Тунисе существовала только одна организация, где женщины могли общаться, выражать свои мысли и чаяния, бороться за улучшение своего положения. Речь идет о Национальном союзе тунисских женщин (НСТЖ), возникшем в ходе борьбы за национальную независимость и укрепление государственного суверенитета страны.</w:t>
      </w:r>
    </w:p>
    <w:p w:rsidR="00000000" w:rsidRDefault="00000000">
      <w:r>
        <w:t>372.</w:t>
      </w:r>
      <w:r>
        <w:tab/>
        <w:t>Начиная с середины 80-х годов стремление женщин выразить себя в рамках различных социальных структур привело к созданию помимо НСТЖ таких центров общения, как клуб культурных инициатив "Тахар Хаддад", возглавляемый женщиной, или специальная комиссия, созданная внутри Всеобщего тунисского объединения труда (ВТОТ).</w:t>
      </w:r>
    </w:p>
    <w:p w:rsidR="00000000" w:rsidRDefault="00000000">
      <w:r>
        <w:t>373.</w:t>
      </w:r>
      <w:r>
        <w:tab/>
        <w:t>Схожие процессы наблюдаются и в Национальном союзе тунисских женщин. Расширение тем, обсуждаемых в рамках НСТЖ, привело к созданию ряда общественных и профессиональных объединений с большими возможностями как по работе с кадрами, так и по привлечению новых членов. Речь идет о десятке постепенно сформировавшихся союзов, объединяющих женщин – специалистов в области медицины, образования, юриспруденции, управления, связей с общественностью, банковского дела и т. д.</w:t>
      </w:r>
    </w:p>
    <w:p w:rsidR="00000000" w:rsidRDefault="00000000">
      <w:r>
        <w:t>374.</w:t>
      </w:r>
      <w:r>
        <w:tab/>
        <w:t>Однако только благодаря политическим переменам, происшедшим 7 ноября 1987 года, стало возможно создание новых женских организаций, среди которых Тунисская ассоциация матерей (ТАМ), Тунисская ассоциация демократических женщин (ТАДЖ), Ассоциация женщин "Тунис-21" и Ассоциация женщин за долгосрочное развитие (АЖДР).</w:t>
      </w:r>
    </w:p>
    <w:p w:rsidR="00000000" w:rsidRDefault="00000000">
      <w:r>
        <w:t>375.</w:t>
      </w:r>
      <w:r>
        <w:tab/>
        <w:t>В этих условиях появление целого ряда женских организаций придало мощный импульс участию женщин в общественной жизни, добавив новые штрихи к портрету гражданского общества в Тунисе.</w:t>
      </w:r>
    </w:p>
    <w:p w:rsidR="00000000" w:rsidRDefault="00000000">
      <w:r>
        <w:t>376.</w:t>
      </w:r>
      <w:r>
        <w:tab/>
        <w:t>Начиная с 1989 года в стране возникло около двадцати общественных, экономических, культурных и научных ассоциаций, занимающихся проблемами женщин. Шесть из них были созданы за период, прошедший с 1994 года.</w:t>
      </w:r>
    </w:p>
    <w:p w:rsidR="00000000" w:rsidRDefault="00000000">
      <w:r>
        <w:t>377.</w:t>
      </w:r>
      <w:r>
        <w:tab/>
        <w:t>Благодаря своей активности женские объединения стали важным компонентом гражданского общества и общественной жизни страны.</w:t>
      </w:r>
    </w:p>
    <w:p w:rsidR="00000000" w:rsidRDefault="00000000">
      <w:r>
        <w:t>378.</w:t>
      </w:r>
      <w:r>
        <w:tab/>
        <w:t>Кроме того, эти объединения проявили себя как активные участники процессов, направленных на обеспечение долгосрочного развития. Так, большинство из них участвуют в осуществлении национальной стратегии борьбы с бедностью в рамках программы активного партнерства.</w:t>
      </w:r>
    </w:p>
    <w:p w:rsidR="00000000" w:rsidRDefault="00000000">
      <w:pPr>
        <w:spacing w:before="120" w:line="260" w:lineRule="exact"/>
        <w:rPr>
          <w:b/>
          <w:sz w:val="22"/>
        </w:rPr>
      </w:pPr>
      <w:r>
        <w:rPr>
          <w:b/>
          <w:sz w:val="22"/>
        </w:rPr>
        <w:t>XI.2.</w:t>
      </w:r>
      <w:r>
        <w:rPr>
          <w:b/>
          <w:sz w:val="22"/>
        </w:rPr>
        <w:tab/>
        <w:t>Объединения, созданные до 1987 года</w:t>
      </w:r>
    </w:p>
    <w:p w:rsidR="00000000" w:rsidRDefault="00000000">
      <w:pPr>
        <w:rPr>
          <w:b/>
        </w:rPr>
      </w:pPr>
      <w:r>
        <w:rPr>
          <w:b/>
        </w:rPr>
        <w:t>* Национальный союз тунисских женщин (НСТЖ)</w:t>
      </w:r>
    </w:p>
    <w:p w:rsidR="00000000" w:rsidRDefault="00000000">
      <w:r>
        <w:t>379.</w:t>
      </w:r>
      <w:r>
        <w:tab/>
        <w:t>Действуя на всей территории страны и объединяя в своих рядах более 100 тыс. членов, НСТЖ, оказавший поддержку борьбе за национальную независимость Туниса, безусловно, является одной из организаций, которые внесли и продолжают вносить наибольший вклад в создание общественной модели, провозглашенной Кодексом статуса личности. Благодаря своим учебным заведениям, национальным и местным структурам он принимает участие в профессиональной подготовке женщин и их интеграции в общественную и экономическую жизнь страны. Используя действующую с 1997 года программу "13 августа", НСТЖ помогает женщинам, занятым кустарными промыслами, в сбыте своей продукции. Он также способствует развитию исследований по всем вопросам, касающимся женщин, стимулирует занятия спортом среди девушек путем организации спортивных состязаний и оказывает женщинам консультативную помощь в деле соблюдения их основополагающих прав. Опираясь на свои региональные представительства, действующие в 23 провинциях страны, и свои отделения за рубежом, НСТЖ является мощной силой, мобилизующей потенциал женщин. В 1998 году Национальный союз тунисских женщин получил консультативный статус при ЭКОСОС.</w:t>
      </w:r>
    </w:p>
    <w:p w:rsidR="00000000" w:rsidRDefault="00000000">
      <w:pPr>
        <w:rPr>
          <w:b/>
        </w:rPr>
      </w:pPr>
      <w:r>
        <w:rPr>
          <w:b/>
        </w:rPr>
        <w:t>* Спортивная женская ассоциация (СЖА)</w:t>
      </w:r>
    </w:p>
    <w:p w:rsidR="00000000" w:rsidRDefault="00000000">
      <w:r>
        <w:t>380.</w:t>
      </w:r>
      <w:r>
        <w:tab/>
        <w:t>Начиная с 80-х годов СЖА выступает за развитие женского спорта, поощряя спортивные занятия среди девушек как в школьном, так и во взрослом возрасте.</w:t>
      </w:r>
    </w:p>
    <w:p w:rsidR="00000000" w:rsidRDefault="00000000">
      <w:pPr>
        <w:spacing w:before="120" w:line="260" w:lineRule="exact"/>
        <w:rPr>
          <w:b/>
          <w:sz w:val="22"/>
        </w:rPr>
      </w:pPr>
      <w:r>
        <w:rPr>
          <w:b/>
          <w:sz w:val="22"/>
        </w:rPr>
        <w:t>XI.3.</w:t>
      </w:r>
      <w:r>
        <w:rPr>
          <w:b/>
          <w:sz w:val="22"/>
        </w:rPr>
        <w:tab/>
        <w:t>Объединения, созданные после 1987 года</w:t>
      </w:r>
    </w:p>
    <w:p w:rsidR="00000000" w:rsidRDefault="00000000">
      <w:pPr>
        <w:rPr>
          <w:b/>
        </w:rPr>
      </w:pPr>
      <w:r>
        <w:rPr>
          <w:b/>
        </w:rPr>
        <w:t>* Тунисская ассоциация матерей (ТАМ)</w:t>
      </w:r>
    </w:p>
    <w:p w:rsidR="00000000" w:rsidRDefault="00000000">
      <w:r>
        <w:t>381.</w:t>
      </w:r>
      <w:r>
        <w:tab/>
        <w:t>Тунисская ассоциация матерей занимается в первую очередь вопросами социального обеспечения. Она организует многоплановые акции, помогает матерям лучше осознать свои права, проводит исследования, касающиеся социального положения домашних работниц и матерей-одиночек, а также оказывает поддержку семьям тунисских эмигрантов. ТАМ ведет работу на всей территории страны и за рубежом, в частности среди семей, проживающих в эмиграции. Она активно участвует в развитии общинных процессов, происходящих на региональном и местном уровнях. В 1997 году Тунисская ассоциация матерей получила консультативный статус при ЭКОСОС.</w:t>
      </w:r>
    </w:p>
    <w:p w:rsidR="00000000" w:rsidRDefault="00000000">
      <w:pPr>
        <w:rPr>
          <w:b/>
        </w:rPr>
      </w:pPr>
      <w:r>
        <w:rPr>
          <w:b/>
        </w:rPr>
        <w:t>* Тунисская ассоциация демократических женщин (ТАДЖ)</w:t>
      </w:r>
    </w:p>
    <w:p w:rsidR="00000000" w:rsidRDefault="00000000">
      <w:r>
        <w:t>382.</w:t>
      </w:r>
      <w:r>
        <w:tab/>
        <w:t xml:space="preserve">Тунисская ассоциация демократических женщин прежде всего занимается вопросами политики и культуры. Помимо проведения семинаров и встреч на актуальные политические темы деятельность ТАДЖ направлена на обеспечение основных прав женщин, прежде всего путем оказания материальной, правовой и психологической помощи женщинам, ставшим жертвами насилия. </w:t>
      </w:r>
    </w:p>
    <w:p w:rsidR="00000000" w:rsidRDefault="00000000">
      <w:pPr>
        <w:rPr>
          <w:b/>
        </w:rPr>
      </w:pPr>
      <w:r>
        <w:rPr>
          <w:b/>
        </w:rPr>
        <w:t>* Национальная палата женщин – руководителей предприятий (НПЖРП)</w:t>
      </w:r>
    </w:p>
    <w:p w:rsidR="00000000" w:rsidRDefault="00000000">
      <w:r>
        <w:t>383.</w:t>
      </w:r>
      <w:r>
        <w:tab/>
        <w:t>Национальная палата женщин – руководителей предприятий (НПЖРП) видит свою основную задачу в развитии экономического потенциала женщин. Кроме ежегодной ярмарки "Экспофемина" НПЖРП проводит регулярные встречи и семинары для своих членов. Председатель НПЖРП была избрана председателем Всемирного комитета женщин – руководителей предприятий.</w:t>
      </w:r>
    </w:p>
    <w:p w:rsidR="00000000" w:rsidRDefault="00000000">
      <w:pPr>
        <w:rPr>
          <w:b/>
        </w:rPr>
      </w:pPr>
      <w:r>
        <w:rPr>
          <w:b/>
        </w:rPr>
        <w:t>* Ассоциация тунисских женщин в целях научных исследований и развития (АТЖНИР)</w:t>
      </w:r>
    </w:p>
    <w:p w:rsidR="00000000" w:rsidRDefault="00000000">
      <w:r>
        <w:t>384.</w:t>
      </w:r>
      <w:r>
        <w:tab/>
        <w:t>Ассоциация была основана в 1989 году на базе одного из отделений Ассоциации африканских женщин в целях научных исследований и развития, штаб-квартира которой находится в Дакаре. АТЖНИР объединяет в своих рядах женщин – преподавателей различных дисциплин в высших учебных заведениях. Ее задача – проведение исследований по вопросам социальной и экономической интеграции женщин для обеспечения их более полного участия в принятии решений, касающихся экономического и общественного развития.</w:t>
      </w:r>
    </w:p>
    <w:p w:rsidR="00000000" w:rsidRDefault="00000000">
      <w:pPr>
        <w:spacing w:before="120" w:line="260" w:lineRule="exact"/>
        <w:rPr>
          <w:b/>
          <w:sz w:val="22"/>
        </w:rPr>
      </w:pPr>
      <w:r>
        <w:rPr>
          <w:b/>
          <w:sz w:val="22"/>
        </w:rPr>
        <w:t>XI.4.</w:t>
      </w:r>
      <w:r>
        <w:rPr>
          <w:b/>
          <w:sz w:val="22"/>
        </w:rPr>
        <w:tab/>
        <w:t>Объединения, созданные после 1992 года</w:t>
      </w:r>
    </w:p>
    <w:p w:rsidR="00000000" w:rsidRDefault="00000000">
      <w:pPr>
        <w:rPr>
          <w:b/>
        </w:rPr>
      </w:pPr>
      <w:r>
        <w:rPr>
          <w:b/>
        </w:rPr>
        <w:t>* Женская ассоциация "Тунис-21"</w:t>
      </w:r>
    </w:p>
    <w:p w:rsidR="00000000" w:rsidRDefault="00000000">
      <w:r>
        <w:t>385.</w:t>
      </w:r>
      <w:r>
        <w:tab/>
        <w:t>Женская ассоциация "Тунис-21" видит свою задачу в обеспечении полноценного участия тунисских женщин в обсуждении острейших тем современности, а также проблем социально-экономического, научного, образовательного и культурного характера, возникающих в связи с установлением нового мирового экономического и информационного порядка. В 1999 году ассоциация "Тунис-21" получила консультативный статус при ЭКОСОС.</w:t>
      </w:r>
    </w:p>
    <w:p w:rsidR="00000000" w:rsidRDefault="00000000">
      <w:pPr>
        <w:rPr>
          <w:b/>
        </w:rPr>
      </w:pPr>
      <w:r>
        <w:rPr>
          <w:b/>
        </w:rPr>
        <w:t xml:space="preserve">* Ассоциация "Акция женщин в поддержку долгосрочного развития" (АЖПДР) </w:t>
      </w:r>
    </w:p>
    <w:p w:rsidR="00000000" w:rsidRDefault="00000000">
      <w:r>
        <w:t>386.</w:t>
      </w:r>
      <w:r>
        <w:tab/>
        <w:t>Созданная в 1995 году Ассоциация "Акция женщин в поддержку долгосрочного развития" ставит своей целью защиту окружающей среды и более рациональное использование природных ресурсов. Кроме того, стимулируя производственную деятельность женщин, проживающих в сельской местности, она вносит свой вклад в борьбу за искоренение бедности и сохранение природных ресурсов.</w:t>
      </w:r>
    </w:p>
    <w:p w:rsidR="00000000" w:rsidRDefault="00000000">
      <w:pPr>
        <w:rPr>
          <w:b/>
        </w:rPr>
      </w:pPr>
      <w:r>
        <w:rPr>
          <w:b/>
        </w:rPr>
        <w:t>* Ассоциация "Женщины за долгосрочное развитие"</w:t>
      </w:r>
    </w:p>
    <w:p w:rsidR="00000000" w:rsidRDefault="00000000">
      <w:r>
        <w:t>387.</w:t>
      </w:r>
      <w:r>
        <w:tab/>
        <w:t>Ассоциация "Женщины за долгосрочное развитие" была основана в 1993 году. В ее задачи входят создание сети гуманитарных организаций, а также распространение и популяризация опыта долгосрочного экономического, социального и культурного развития.</w:t>
      </w:r>
    </w:p>
    <w:p w:rsidR="00000000" w:rsidRDefault="00000000">
      <w:pPr>
        <w:rPr>
          <w:b/>
        </w:rPr>
      </w:pPr>
      <w:r>
        <w:rPr>
          <w:b/>
        </w:rPr>
        <w:t>* Ассоциация по вопросам окружающей среды и развития в арабском мире</w:t>
      </w:r>
    </w:p>
    <w:p w:rsidR="00000000" w:rsidRDefault="00000000">
      <w:r>
        <w:t>388.</w:t>
      </w:r>
      <w:r>
        <w:tab/>
        <w:t>Ассоциация была зарегистрирована в марте 1999 года. Действуя на основе концепции долгосрочного развития, она стремится повысить общественный статус женщин – глав семей, проживающих в пригородах Хай Эттадхамен (к северо-западу от города Туниса). С этой целью Ассоциация предоставляет им микрокредиты, поддерживает небольшие проекты, организует курсы по обучению грамоте, осуществляет санитарно-гигиеническое просвещение, проводит культурные мероприятия.</w:t>
      </w:r>
    </w:p>
    <w:p w:rsidR="00000000" w:rsidRDefault="00000000">
      <w:pPr>
        <w:rPr>
          <w:b/>
        </w:rPr>
      </w:pPr>
      <w:r>
        <w:rPr>
          <w:b/>
        </w:rPr>
        <w:t>* Ассоциация "Женщина и наука"</w:t>
      </w:r>
    </w:p>
    <w:p w:rsidR="00000000" w:rsidRDefault="00000000">
      <w:r>
        <w:t>389.</w:t>
      </w:r>
      <w:r>
        <w:tab/>
        <w:t>Созданная в 1999 году Ассоциация "Женщина и наука" ориентируется в своей деятельности на женщин-ученых. Она оказывает содействие научным исследованиям, проводимым женщинами, способствуя укреплению их положения в научных кругах.</w:t>
      </w:r>
    </w:p>
    <w:p w:rsidR="00000000" w:rsidRDefault="00000000">
      <w:pPr>
        <w:spacing w:before="120"/>
        <w:rPr>
          <w:b/>
          <w:sz w:val="22"/>
        </w:rPr>
      </w:pPr>
      <w:r>
        <w:rPr>
          <w:b/>
          <w:sz w:val="22"/>
        </w:rPr>
        <w:t>XI.5.</w:t>
      </w:r>
      <w:r>
        <w:rPr>
          <w:b/>
          <w:sz w:val="22"/>
        </w:rPr>
        <w:tab/>
        <w:t>Женщина в системе общественных организаций</w:t>
      </w:r>
    </w:p>
    <w:p w:rsidR="00000000" w:rsidRDefault="00000000">
      <w:pPr>
        <w:spacing w:after="120"/>
      </w:pPr>
      <w:r>
        <w:t>390.</w:t>
      </w:r>
      <w:r>
        <w:tab/>
        <w:t>Стремление женщин к объединению проявилось также в рамках общенациональных и профессиональных организаций, в которых сформировались женские секции, например:</w:t>
      </w:r>
    </w:p>
    <w:p w:rsidR="00000000" w:rsidRDefault="00000000">
      <w:pPr>
        <w:spacing w:after="120"/>
      </w:pPr>
      <w:r>
        <w:rPr>
          <w:lang w:val="en-US"/>
        </w:rPr>
        <w:tab/>
      </w:r>
      <w:r>
        <w:t>–</w:t>
      </w:r>
      <w:r>
        <w:tab/>
        <w:t>НПЖРП внутри ТСПТР;</w:t>
      </w:r>
    </w:p>
    <w:p w:rsidR="00000000" w:rsidRDefault="00000000">
      <w:pPr>
        <w:spacing w:after="120"/>
      </w:pPr>
      <w:r>
        <w:rPr>
          <w:lang w:val="en-US"/>
        </w:rPr>
        <w:tab/>
      </w:r>
      <w:r>
        <w:t>–</w:t>
      </w:r>
      <w:r>
        <w:tab/>
        <w:t>Национальная комиссия "Женщины и труд" внутри ВТОТ;</w:t>
      </w:r>
    </w:p>
    <w:p w:rsidR="00000000" w:rsidRDefault="00000000">
      <w:pPr>
        <w:spacing w:after="120"/>
      </w:pPr>
      <w:r>
        <w:rPr>
          <w:lang w:val="en-US"/>
        </w:rPr>
        <w:tab/>
      </w:r>
      <w:r>
        <w:t>–</w:t>
      </w:r>
      <w:r>
        <w:tab/>
        <w:t>Национальная федерация сельскохозяйственных работниц внутри ТССХР;</w:t>
      </w:r>
    </w:p>
    <w:p w:rsidR="00000000" w:rsidRDefault="00000000">
      <w:r>
        <w:rPr>
          <w:lang w:val="en-US"/>
        </w:rPr>
        <w:tab/>
      </w:r>
      <w:r>
        <w:t>–</w:t>
      </w:r>
      <w:r>
        <w:tab/>
        <w:t>Женская секция Ордена тунисских адвокатов.</w:t>
      </w:r>
    </w:p>
    <w:p w:rsidR="00000000" w:rsidRDefault="00000000">
      <w:r>
        <w:t>391.</w:t>
      </w:r>
      <w:r>
        <w:tab/>
        <w:t>Схожие процессы имеют место и внутри гуманитарных организаций, а также правозащитных объединений. Это выразилось, в частности, в появлении женской секции внутри Тунисской лиги прав человека, а также в создании "Женского комитета тунисского Красного Полумесяца".</w:t>
      </w:r>
    </w:p>
    <w:p w:rsidR="00000000" w:rsidRDefault="00000000">
      <w:pPr>
        <w:spacing w:after="120"/>
      </w:pPr>
      <w:r>
        <w:t>392.</w:t>
      </w:r>
      <w:r>
        <w:tab/>
        <w:t>Вместе с этими объединениями, ведущими активную работу в различных областях экономики, политики, гуманитарной деятельности и развития, появился целый ряд ассоциаций культурного характера, которые видят свою задачу в том, чтобы способствовать обмену идеями, расширять контакты между людьми, развивать художественное творчество. Вот некоторые из них:</w:t>
      </w:r>
    </w:p>
    <w:p w:rsidR="00000000" w:rsidRDefault="00000000">
      <w:pPr>
        <w:spacing w:after="120"/>
      </w:pPr>
      <w:r>
        <w:rPr>
          <w:lang w:val="en-US"/>
        </w:rPr>
        <w:tab/>
      </w:r>
      <w:r>
        <w:t>–</w:t>
      </w:r>
      <w:r>
        <w:tab/>
        <w:t>Клуб "Тахар Хаддад" (город Тунис);</w:t>
      </w:r>
    </w:p>
    <w:p w:rsidR="00000000" w:rsidRDefault="00000000">
      <w:pPr>
        <w:spacing w:after="120"/>
      </w:pPr>
      <w:r>
        <w:tab/>
        <w:t>–</w:t>
      </w:r>
      <w:r>
        <w:tab/>
        <w:t>Клуб "Софонисбе" (город Тунис);</w:t>
      </w:r>
    </w:p>
    <w:p w:rsidR="00000000" w:rsidRDefault="00000000">
      <w:pPr>
        <w:spacing w:after="120"/>
      </w:pPr>
      <w:r>
        <w:tab/>
        <w:t>–</w:t>
      </w:r>
      <w:r>
        <w:tab/>
        <w:t>Клуб "Маджида Булила" (Сфакс);</w:t>
      </w:r>
    </w:p>
    <w:p w:rsidR="00000000" w:rsidRDefault="00000000">
      <w:pPr>
        <w:spacing w:after="120"/>
        <w:ind w:left="1021" w:hanging="1021"/>
      </w:pPr>
      <w:r>
        <w:tab/>
        <w:t>–</w:t>
      </w:r>
      <w:r>
        <w:tab/>
        <w:t>Культурная ассоциация содействия творческой и продюсерской деятельности "АКАЛИЛЬ" (город Тунис);</w:t>
      </w:r>
    </w:p>
    <w:p w:rsidR="00000000" w:rsidRDefault="00000000">
      <w:pPr>
        <w:spacing w:after="120"/>
      </w:pPr>
      <w:r>
        <w:tab/>
        <w:t>–</w:t>
      </w:r>
      <w:r>
        <w:tab/>
        <w:t>Ассоциация выпускниц с улицы Паши (город Тунис);</w:t>
      </w:r>
    </w:p>
    <w:p w:rsidR="00000000" w:rsidRDefault="00000000">
      <w:pPr>
        <w:spacing w:after="120"/>
      </w:pPr>
      <w:r>
        <w:tab/>
        <w:t>–</w:t>
      </w:r>
      <w:r>
        <w:tab/>
        <w:t>Клуб "Алиса" (Набуль);</w:t>
      </w:r>
    </w:p>
    <w:p w:rsidR="00000000" w:rsidRDefault="00000000">
      <w:pPr>
        <w:spacing w:after="120"/>
      </w:pPr>
      <w:r>
        <w:tab/>
        <w:t>–</w:t>
      </w:r>
      <w:r>
        <w:tab/>
        <w:t>Клуб Фаузия Каллель (Набуль);</w:t>
      </w:r>
    </w:p>
    <w:p w:rsidR="00000000" w:rsidRDefault="00000000">
      <w:r>
        <w:tab/>
        <w:t>–</w:t>
      </w:r>
      <w:r>
        <w:tab/>
        <w:t>Ассоциация выпускниц женского лицея в Сусе.</w:t>
      </w:r>
    </w:p>
    <w:p w:rsidR="00000000" w:rsidRDefault="00000000">
      <w:pPr>
        <w:rPr>
          <w:color w:val="000000"/>
        </w:rPr>
      </w:pPr>
      <w:r>
        <w:rPr>
          <w:color w:val="000000"/>
        </w:rPr>
        <w:t>393.</w:t>
      </w:r>
      <w:r>
        <w:rPr>
          <w:color w:val="000000"/>
        </w:rPr>
        <w:tab/>
        <w:t>Свидетельством успешной деятельности женских тунисских НПО служат премии, присужденные некоторым из них. К ним относится, в частности, НСТЖ, получивший в 1994 году премию ЮНЕСКО за борьбу с неграмотностью, и ТАМ, удостоенная в 1997 году премии пятидесятилетия МСОС за помощь, оказываемую семьям, проживающим в сельской местности. НСТЖ и ТАМ открыли десятки отделений за рубежом (прежде всего во Франции, Бельгии и Италии, где проживают немало выходцев из Туниса) с целью укрепления связей с соотечественниками, родившимися в эмиграции.</w:t>
      </w:r>
    </w:p>
    <w:p w:rsidR="00000000" w:rsidRDefault="00000000">
      <w:pPr>
        <w:rPr>
          <w:color w:val="000000"/>
        </w:rPr>
      </w:pPr>
      <w:r>
        <w:rPr>
          <w:color w:val="000000"/>
        </w:rPr>
        <w:t>394.</w:t>
      </w:r>
      <w:r>
        <w:rPr>
          <w:color w:val="000000"/>
        </w:rPr>
        <w:tab/>
        <w:t>Активность женщин проявляется не только в рамках их собственных объединений, она становится все более заметной и в общественных организациях, действующих в различных областях. Более тридцати из них возглавляют женщины.</w:t>
      </w:r>
    </w:p>
    <w:p w:rsidR="00000000" w:rsidRDefault="00000000">
      <w:pPr>
        <w:rPr>
          <w:color w:val="000000"/>
        </w:rPr>
      </w:pPr>
      <w:r>
        <w:rPr>
          <w:color w:val="000000"/>
        </w:rPr>
        <w:t>395.</w:t>
      </w:r>
      <w:r>
        <w:rPr>
          <w:color w:val="000000"/>
        </w:rPr>
        <w:tab/>
        <w:t>Следует отметить, что в профессиональных союзах представленность женщин на директивных должностях все еще ограничена. Исключение составляет</w:t>
      </w:r>
      <w:r>
        <w:t xml:space="preserve"> </w:t>
      </w:r>
      <w:r>
        <w:rPr>
          <w:color w:val="000000"/>
        </w:rPr>
        <w:t>ТСПТР, а также Ассоциация тунисских журналистов (АТЖ), которая дважды избирала женщину на пост председателя.</w:t>
      </w:r>
    </w:p>
    <w:p w:rsidR="00000000" w:rsidRDefault="00000000">
      <w:pPr>
        <w:spacing w:before="240" w:line="240" w:lineRule="auto"/>
        <w:rPr>
          <w:b/>
          <w:color w:val="000000"/>
          <w:sz w:val="28"/>
        </w:rPr>
      </w:pPr>
      <w:r>
        <w:rPr>
          <w:b/>
          <w:color w:val="000000"/>
          <w:sz w:val="28"/>
        </w:rPr>
        <w:t>XII.</w:t>
      </w:r>
      <w:r>
        <w:rPr>
          <w:b/>
          <w:color w:val="000000"/>
          <w:sz w:val="28"/>
        </w:rPr>
        <w:tab/>
        <w:t>Стратегия повышения профессиональной квалификации женщин</w:t>
      </w:r>
    </w:p>
    <w:p w:rsidR="00000000" w:rsidRDefault="00000000">
      <w:pPr>
        <w:rPr>
          <w:color w:val="000000"/>
        </w:rPr>
      </w:pPr>
      <w:r>
        <w:rPr>
          <w:color w:val="000000"/>
        </w:rPr>
        <w:t>396.</w:t>
      </w:r>
      <w:r>
        <w:rPr>
          <w:color w:val="000000"/>
        </w:rPr>
        <w:tab/>
        <w:t>В соответствии с целями, поставленными IX национальным планом развития, МДЖС ведет работу по повышению профессиональной квалификации женщин с целью лучше подготовить их к крупномасштабным процессам, происходящим в экономике и современных технологиях. Для этого МДЖС осуществляет широкую деятельность, призванную помочь женщинам понять глубину этой проблемы, обменяться мнениями по этому поводу и мобилизовать свои усилия для ее решения. Так, на семинаре, организованном в связи с днем 8 марта 1996 года, была разработана стратегия "Повышение уровня профессиональной подготовки женщин", направленная на защиту наиболее уязвимых слоев населения от негативных последствий глобализации. Речь, в частности, идет о том, чтобы, с одной стороны, предоставить женщинам как субъектам экономических отношений возможность воспользоваться</w:t>
      </w:r>
      <w:r>
        <w:t xml:space="preserve"> </w:t>
      </w:r>
      <w:r>
        <w:rPr>
          <w:color w:val="000000"/>
        </w:rPr>
        <w:t>государственными программами профессионального обучения, а с другой – улучшить координацию действий, программ и проектов, осуществляемых в интересах работающих женщин.</w:t>
      </w:r>
    </w:p>
    <w:p w:rsidR="00000000" w:rsidRDefault="00000000">
      <w:pPr>
        <w:rPr>
          <w:color w:val="000000"/>
        </w:rPr>
      </w:pPr>
      <w:r>
        <w:rPr>
          <w:color w:val="000000"/>
        </w:rPr>
        <w:t>397.</w:t>
      </w:r>
      <w:r>
        <w:rPr>
          <w:color w:val="000000"/>
        </w:rPr>
        <w:tab/>
        <w:t xml:space="preserve">В свою очередь, в рамках национальной политики по повышению эффективности людских ресурсов и при поддержке Фонда Ф. Эбера Центр научных исследований, документации и информации по вопросам женщин (ЦНИДИЖ) с 1996 года проводит циклы лекций для тунисских женщин-руководителей по управлению своим служебным ростом. Они называются "Сведения и профессиональная подготовка, необходимые женщине для успешного продвижения по службе". В 1998 году три цикла лекций были прочитаны в Тунисе (23–28 марта, 1–6 июня и 19–23 октября) и по одному в Сусе (20–25 апреля) и Сфаксе (28 сентября – 2 октября). </w:t>
      </w:r>
    </w:p>
    <w:p w:rsidR="00000000" w:rsidRDefault="00000000">
      <w:pPr>
        <w:rPr>
          <w:color w:val="000000"/>
        </w:rPr>
      </w:pPr>
      <w:r>
        <w:rPr>
          <w:color w:val="000000"/>
        </w:rPr>
        <w:t>398.</w:t>
      </w:r>
      <w:r>
        <w:rPr>
          <w:color w:val="000000"/>
        </w:rPr>
        <w:tab/>
        <w:t>Кроме того, начиная с 1997 года ЦНИДИЖ регулярно проводит встречи для женщин-руководителей, на которых они обсуждают интересующие их вопросы. Эти встречи получили название "Клуб ЦНИДИЖ".</w:t>
      </w:r>
    </w:p>
    <w:p w:rsidR="00000000" w:rsidRDefault="00000000">
      <w:pPr>
        <w:spacing w:after="0"/>
        <w:rPr>
          <w:color w:val="000000"/>
        </w:rPr>
      </w:pPr>
      <w:r>
        <w:rPr>
          <w:color w:val="000000"/>
        </w:rPr>
        <w:t>399.</w:t>
      </w:r>
      <w:r>
        <w:rPr>
          <w:color w:val="000000"/>
        </w:rPr>
        <w:tab/>
        <w:t>В рамках трехлетнего проекта сотрудничества (1997–1999 годы) между МДЖС, ЦНИДИЖ и Британским советом ряд женщин-руководителей прошли курс обучения в лондонской школе "Девелопмент Плэнинг Юнит", посвященный проблемам в области гендерных исследований и развития.</w:t>
      </w:r>
    </w:p>
    <w:p w:rsidR="00000000" w:rsidRDefault="00000000">
      <w:pPr>
        <w:rPr>
          <w:color w:val="000000"/>
        </w:rPr>
      </w:pPr>
      <w:r>
        <w:rPr>
          <w:color w:val="000000"/>
        </w:rPr>
        <w:t>400.</w:t>
      </w:r>
      <w:r>
        <w:rPr>
          <w:color w:val="000000"/>
        </w:rPr>
        <w:tab/>
        <w:t>С 1998 года ЦНИДИЖ организует для женщин-руководителей цикл занятий по психологии труда и управлению людскими ресурсами на основе программы, разработанной совместно с Лабораторией физиологической и когнитивной эргономики Высшей практической школы Парижа.</w:t>
      </w:r>
    </w:p>
    <w:p w:rsidR="00000000" w:rsidRDefault="00000000">
      <w:pPr>
        <w:spacing w:before="120" w:line="260" w:lineRule="exact"/>
        <w:rPr>
          <w:b/>
          <w:color w:val="000000"/>
          <w:sz w:val="22"/>
        </w:rPr>
      </w:pPr>
      <w:r>
        <w:rPr>
          <w:b/>
          <w:color w:val="000000"/>
          <w:sz w:val="22"/>
        </w:rPr>
        <w:t>XII.1.</w:t>
      </w:r>
      <w:r>
        <w:rPr>
          <w:b/>
          <w:color w:val="000000"/>
          <w:sz w:val="22"/>
        </w:rPr>
        <w:tab/>
        <w:t>Сотрудничество с НПО</w:t>
      </w:r>
    </w:p>
    <w:p w:rsidR="00000000" w:rsidRDefault="00000000">
      <w:pPr>
        <w:rPr>
          <w:color w:val="000000"/>
        </w:rPr>
      </w:pPr>
      <w:r>
        <w:rPr>
          <w:color w:val="000000"/>
        </w:rPr>
        <w:t>401.</w:t>
      </w:r>
      <w:r>
        <w:rPr>
          <w:color w:val="000000"/>
        </w:rPr>
        <w:tab/>
        <w:t>В 1996 году НПО приняли участие в разработке национального плана действий в поддержку семьи, а в 1998 году – плана действий, получившего название "Женщины, проживающие в сельской местности".</w:t>
      </w:r>
    </w:p>
    <w:p w:rsidR="00000000" w:rsidRDefault="00000000">
      <w:pPr>
        <w:rPr>
          <w:color w:val="000000"/>
        </w:rPr>
      </w:pPr>
      <w:r>
        <w:rPr>
          <w:color w:val="000000"/>
        </w:rPr>
        <w:t>402.</w:t>
      </w:r>
      <w:r>
        <w:rPr>
          <w:color w:val="000000"/>
        </w:rPr>
        <w:tab/>
        <w:t>Со своей стороны, руководящие сотрудники НПО проходят курс обучения, которое ЦНИДИЖ проводит для них с целью дать более полное представление о динамике гендерных показателей и проблемах планирования с учетом гендерных аспектов.</w:t>
      </w:r>
    </w:p>
    <w:p w:rsidR="00000000" w:rsidRDefault="00000000">
      <w:pPr>
        <w:rPr>
          <w:color w:val="000000"/>
        </w:rPr>
      </w:pPr>
      <w:r>
        <w:rPr>
          <w:color w:val="000000"/>
        </w:rPr>
        <w:t>403.</w:t>
      </w:r>
      <w:r>
        <w:rPr>
          <w:color w:val="000000"/>
        </w:rPr>
        <w:tab/>
        <w:t xml:space="preserve">В 1996 году для осуществления Национального плана действий в поддержку семьи (ПДПФ) была создана сеть ответственных представителей, включающая в себя сеть правительственных структур и сеть общественных организаций. К последним относятся различные ассоциации, занимающиеся проблемами семьи. </w:t>
      </w:r>
    </w:p>
    <w:p w:rsidR="00000000" w:rsidRDefault="00000000">
      <w:pPr>
        <w:rPr>
          <w:color w:val="000000"/>
        </w:rPr>
      </w:pPr>
      <w:r>
        <w:rPr>
          <w:color w:val="000000"/>
        </w:rPr>
        <w:t>404.</w:t>
      </w:r>
      <w:r>
        <w:rPr>
          <w:color w:val="000000"/>
        </w:rPr>
        <w:tab/>
        <w:t>В соответствии со своей прерогативой Министерство по делам женщин и семьи (МДЖС) ежегодно предоставляет субсидии женским объединениям и организациям, занимающимся проблемами женщин, помогая им осуществлять свою деятельность.</w:t>
      </w:r>
    </w:p>
    <w:p w:rsidR="00000000" w:rsidRDefault="00000000">
      <w:pPr>
        <w:rPr>
          <w:color w:val="000000"/>
        </w:rPr>
      </w:pPr>
      <w:r>
        <w:rPr>
          <w:color w:val="000000"/>
        </w:rPr>
        <w:t>405.</w:t>
      </w:r>
      <w:r>
        <w:rPr>
          <w:color w:val="000000"/>
        </w:rPr>
        <w:tab/>
        <w:t>Начиная с 1995 года в рамках двустороннего и многостороннего сотрудничества с НПО, занимающимися проблемами женщин, МДЖС провело сбор средств для финансирования проектов по улучшению социального положения женщин.</w:t>
      </w:r>
    </w:p>
    <w:p w:rsidR="00000000" w:rsidRDefault="00000000">
      <w:pPr>
        <w:rPr>
          <w:color w:val="000000"/>
        </w:rPr>
      </w:pPr>
      <w:r>
        <w:rPr>
          <w:color w:val="000000"/>
        </w:rPr>
        <w:t>406.</w:t>
      </w:r>
      <w:r>
        <w:rPr>
          <w:color w:val="000000"/>
        </w:rPr>
        <w:tab/>
        <w:t>МДЖС подписало с НСТЖ конвенцию о партнерстве в реализации проектов в поддержку женщин, проживающих в сельской местности. Конвенция предусматривает, в частности, оказание помощи в профессиональной подготовке, сохранение народных промыслов и ремесел, улучшение условий</w:t>
      </w:r>
      <w:r>
        <w:t xml:space="preserve"> </w:t>
      </w:r>
      <w:r>
        <w:rPr>
          <w:color w:val="000000"/>
        </w:rPr>
        <w:t xml:space="preserve">жизни малоимущих семей. </w:t>
      </w:r>
    </w:p>
    <w:p w:rsidR="00000000" w:rsidRDefault="00000000">
      <w:pPr>
        <w:rPr>
          <w:color w:val="000000"/>
        </w:rPr>
      </w:pPr>
      <w:r>
        <w:rPr>
          <w:color w:val="000000"/>
        </w:rPr>
        <w:t>407.</w:t>
      </w:r>
      <w:r>
        <w:rPr>
          <w:color w:val="000000"/>
        </w:rPr>
        <w:tab/>
        <w:t>В 1996 году это партнерство приняло форму поддержки наиболее уязвимых групп населения. В связи с этим были подписаны 20 рамочных соглашений с НПО, которые обязались взять шефство над педиатрическими отделениями столичных больниц.</w:t>
      </w:r>
    </w:p>
    <w:p w:rsidR="00000000" w:rsidRDefault="00000000">
      <w:pPr>
        <w:rPr>
          <w:color w:val="000000"/>
        </w:rPr>
      </w:pPr>
      <w:r>
        <w:rPr>
          <w:color w:val="000000"/>
        </w:rPr>
        <w:t>408.</w:t>
      </w:r>
      <w:r>
        <w:rPr>
          <w:color w:val="000000"/>
        </w:rPr>
        <w:tab/>
        <w:t>В 1997 году с женскими и иными НПО были заключены рамочные соглашения о развитии, предусматривающие за счет перераспределения долга перед Швецией осуществление новых проектов, ориентированных прежде всего на женщин с особыми потребностями.</w:t>
      </w:r>
    </w:p>
    <w:p w:rsidR="00000000" w:rsidRDefault="00000000">
      <w:pPr>
        <w:rPr>
          <w:color w:val="000000"/>
        </w:rPr>
      </w:pPr>
      <w:r>
        <w:rPr>
          <w:color w:val="000000"/>
        </w:rPr>
        <w:t>409.</w:t>
      </w:r>
      <w:r>
        <w:rPr>
          <w:color w:val="000000"/>
        </w:rPr>
        <w:tab/>
        <w:t>В 1998 году были подписаны рамочные соглашения с рядом молодежных организаций с целью привлечь внимание молодежи к проблеме прав женщин.</w:t>
      </w:r>
    </w:p>
    <w:p w:rsidR="00000000" w:rsidRDefault="00000000">
      <w:pPr>
        <w:rPr>
          <w:color w:val="000000"/>
        </w:rPr>
      </w:pPr>
      <w:r>
        <w:rPr>
          <w:color w:val="000000"/>
        </w:rPr>
        <w:t>410.</w:t>
      </w:r>
      <w:r>
        <w:rPr>
          <w:color w:val="000000"/>
        </w:rPr>
        <w:tab/>
        <w:t>В 1999 году с пятью ассоциациями были заключены договоры о партнерстве, что, в свою очередь, привело в действие механизм поддержки женского предпринимательства, разработанный МДЖС в соответствии со стратегией IX национального плана развития по улучшению социального положения женщин и первоочередными задачами, намеченными Департаментом по выполнению рекомендаций четвертой Всемирной конференции по положению женщин (Пекин, 1995 год). Цель этих договоров – обеспечить</w:t>
      </w:r>
      <w:r>
        <w:t xml:space="preserve"> </w:t>
      </w:r>
      <w:r>
        <w:rPr>
          <w:color w:val="000000"/>
        </w:rPr>
        <w:t>взаимодействие и взаимодополняемость государственных программ развития и инициатив общественных организаций по созданию новых источников доходов.</w:t>
      </w:r>
    </w:p>
    <w:p w:rsidR="00000000" w:rsidRDefault="00000000">
      <w:pPr>
        <w:spacing w:before="120" w:line="260" w:lineRule="exact"/>
        <w:rPr>
          <w:b/>
          <w:color w:val="000000"/>
          <w:sz w:val="22"/>
        </w:rPr>
      </w:pPr>
      <w:r>
        <w:rPr>
          <w:b/>
          <w:color w:val="000000"/>
          <w:sz w:val="22"/>
        </w:rPr>
        <w:t>XII.2.</w:t>
      </w:r>
      <w:r>
        <w:rPr>
          <w:b/>
          <w:color w:val="000000"/>
          <w:sz w:val="22"/>
        </w:rPr>
        <w:tab/>
        <w:t>Роль женщин в культуре и средствах массовой информации</w:t>
      </w:r>
    </w:p>
    <w:p w:rsidR="00000000" w:rsidRDefault="00000000">
      <w:pPr>
        <w:rPr>
          <w:color w:val="000000"/>
        </w:rPr>
      </w:pPr>
      <w:r>
        <w:rPr>
          <w:color w:val="000000"/>
        </w:rPr>
        <w:t>411.</w:t>
      </w:r>
      <w:r>
        <w:rPr>
          <w:color w:val="000000"/>
        </w:rPr>
        <w:tab/>
        <w:t>Важным фактором участия женщин в общественной жизни становится все более заметная роль, которую они играют в средствах массовой информации, в мире культуры и спорта.</w:t>
      </w:r>
    </w:p>
    <w:p w:rsidR="00000000" w:rsidRDefault="00000000">
      <w:pPr>
        <w:rPr>
          <w:color w:val="000000"/>
        </w:rPr>
      </w:pPr>
      <w:r>
        <w:rPr>
          <w:color w:val="000000"/>
        </w:rPr>
        <w:t>412.</w:t>
      </w:r>
      <w:r>
        <w:rPr>
          <w:color w:val="000000"/>
        </w:rPr>
        <w:tab/>
        <w:t>Опрос, касающийся культурных тенденций в жизни тунисских женщин, был проведен в 1989–</w:t>
      </w:r>
      <w:r>
        <w:rPr>
          <w:color w:val="000000"/>
        </w:rPr>
        <w:br/>
        <w:t xml:space="preserve">1990 годах Центром научных исследований и документации по вопросам развития культуры. Он показал, что женщины участвуют в самых различных культурных мероприятиях, организуемых в общественных местах. Эти тенденции должны усилиться благодаря принятым государством мерам в области семейного досуга. </w:t>
      </w:r>
    </w:p>
    <w:p w:rsidR="00000000" w:rsidRDefault="00000000">
      <w:pPr>
        <w:rPr>
          <w:color w:val="000000"/>
        </w:rPr>
      </w:pPr>
      <w:r>
        <w:rPr>
          <w:color w:val="000000"/>
        </w:rPr>
        <w:t>413.</w:t>
      </w:r>
      <w:r>
        <w:rPr>
          <w:color w:val="000000"/>
        </w:rPr>
        <w:tab/>
        <w:t>Аудиовизуальные средства массовой информации, прежде всего теле- и радиопередачи, предназначенные для молодежи, способствуют формированию нового образа женщины хотя бы уже потому, что большинство их ведущих и журналистов – девушки (60 процентов). Сегодня женщины являются не только ведущими, но и главными редакторами основных новостных программ, а эта работа, как известно, очень ответственная. Наконец, женщины ведут и ряд спортивных передач, что, несомненно, усиливает их позиции в средствах массовой</w:t>
      </w:r>
      <w:r>
        <w:t xml:space="preserve"> </w:t>
      </w:r>
      <w:r>
        <w:rPr>
          <w:color w:val="000000"/>
        </w:rPr>
        <w:t>информации.</w:t>
      </w:r>
    </w:p>
    <w:p w:rsidR="00000000" w:rsidRDefault="00000000">
      <w:pPr>
        <w:rPr>
          <w:color w:val="000000"/>
        </w:rPr>
      </w:pPr>
      <w:r>
        <w:rPr>
          <w:color w:val="000000"/>
        </w:rPr>
        <w:t>414.</w:t>
      </w:r>
      <w:r>
        <w:rPr>
          <w:color w:val="000000"/>
        </w:rPr>
        <w:tab/>
        <w:t>Председателем Ассоциации тунисских журналистов (АТЖ) дважды становилась женщина.</w:t>
      </w:r>
    </w:p>
    <w:p w:rsidR="00000000" w:rsidRDefault="00000000">
      <w:pPr>
        <w:rPr>
          <w:color w:val="000000"/>
        </w:rPr>
      </w:pPr>
      <w:r>
        <w:rPr>
          <w:color w:val="000000"/>
        </w:rPr>
        <w:t>415.</w:t>
      </w:r>
      <w:r>
        <w:rPr>
          <w:color w:val="000000"/>
        </w:rPr>
        <w:tab/>
        <w:t>Есть и другой фактор, свидетельствующий о важной роли женщин в средствах массовой информации: их можно встретить среди представителей всех профессий, участвующих в производстве аудиовизуальной продукции, – инженеров, специалистов в области информатики и программирования, техников, журналистов, продюсеров, сценаристов, операторов и т. д.</w:t>
      </w:r>
    </w:p>
    <w:p w:rsidR="00000000" w:rsidRDefault="00000000">
      <w:pPr>
        <w:rPr>
          <w:color w:val="000000"/>
        </w:rPr>
      </w:pPr>
      <w:r>
        <w:rPr>
          <w:color w:val="000000"/>
        </w:rPr>
        <w:t>416.</w:t>
      </w:r>
      <w:r>
        <w:rPr>
          <w:color w:val="000000"/>
        </w:rPr>
        <w:tab/>
        <w:t xml:space="preserve">Инициатива женщин, их творческий потенциал ярко проявились и в области культуры. Ставшие нередкими выставки женщин-художниц, вклад в обновление культурного наследия и художественных промыслов, талантливые актерские работы в театре и кино – все это признаки рождения нового поколения женщин, не просто потребляющих культурные ценности, но и влияющих на процессы, происходящие сегодня в культурной жизни страны (см. пункт 833 и далее). </w:t>
      </w:r>
    </w:p>
    <w:p w:rsidR="00000000" w:rsidRDefault="00000000">
      <w:pPr>
        <w:rPr>
          <w:color w:val="000000"/>
        </w:rPr>
      </w:pPr>
      <w:r>
        <w:rPr>
          <w:color w:val="000000"/>
        </w:rPr>
        <w:t>417.</w:t>
      </w:r>
      <w:r>
        <w:rPr>
          <w:color w:val="000000"/>
        </w:rPr>
        <w:tab/>
        <w:t>Рост числа художественных произведений, созданных женщинами, их широкое и зримое участие в общественной жизни послужили толчком для учреждения премий за выдающиеся достижения женщин в области культуры. Среди них премия имени Зубейды Бешир, присуждаемая с 1995 года ЦНИДИЖ за лучшие литературные</w:t>
      </w:r>
      <w:r>
        <w:t xml:space="preserve"> </w:t>
      </w:r>
      <w:r>
        <w:rPr>
          <w:color w:val="000000"/>
        </w:rPr>
        <w:t>произведения и лучшую исследовательскую работу года (на арабском и французском языках). Со своей стороны, компания "Картаж Турз" с 1998 года присуждает премию "Золотая Дидона" за самые заметные достижения женщин во всех областях культуры и общественной деятельности.</w:t>
      </w:r>
    </w:p>
    <w:p w:rsidR="00000000" w:rsidRDefault="00000000">
      <w:pPr>
        <w:rPr>
          <w:color w:val="000000"/>
        </w:rPr>
      </w:pPr>
      <w:r>
        <w:rPr>
          <w:color w:val="000000"/>
        </w:rPr>
        <w:t>418.</w:t>
      </w:r>
      <w:r>
        <w:rPr>
          <w:color w:val="000000"/>
        </w:rPr>
        <w:tab/>
        <w:t xml:space="preserve">В соответствии с рекомендацией Комиссии по контролю за создаваемым в средствах массовой информации образом женщины при Национальном совете по делам женщин и семьи декретом от 17 мая </w:t>
      </w:r>
      <w:r>
        <w:rPr>
          <w:color w:val="000000"/>
        </w:rPr>
        <w:br/>
        <w:t>1999 года была учреждена премия имени Тахара Хаддада за лучшее произведение, создающее положительный образ женщины в электронных СМИ.</w:t>
      </w:r>
    </w:p>
    <w:p w:rsidR="00000000" w:rsidRDefault="00000000">
      <w:pPr>
        <w:spacing w:after="120"/>
        <w:rPr>
          <w:color w:val="000000"/>
        </w:rPr>
      </w:pPr>
      <w:r>
        <w:rPr>
          <w:color w:val="000000"/>
        </w:rPr>
        <w:t>419.</w:t>
      </w:r>
      <w:r>
        <w:rPr>
          <w:color w:val="000000"/>
        </w:rPr>
        <w:tab/>
        <w:t>Способствуя усилению роли женщин в культурной и общественной жизни, МДЖС проводит целый ряд мероприятий, среди которых:</w:t>
      </w:r>
    </w:p>
    <w:p w:rsidR="00000000" w:rsidRDefault="00000000">
      <w:pPr>
        <w:spacing w:after="120"/>
        <w:rPr>
          <w:color w:val="000000"/>
        </w:rPr>
      </w:pPr>
      <w:r>
        <w:rPr>
          <w:color w:val="000000"/>
          <w:lang w:val="en-US"/>
        </w:rPr>
        <w:tab/>
      </w:r>
      <w:r>
        <w:rPr>
          <w:color w:val="000000"/>
        </w:rPr>
        <w:t>–</w:t>
      </w:r>
      <w:r>
        <w:rPr>
          <w:color w:val="000000"/>
        </w:rPr>
        <w:tab/>
        <w:t xml:space="preserve">Арабский региональный коллоквиум на тему "Женщина и ее права в современную эпоху". Этот форум, состоявшийся в 1997 году, позволил глубже понять роль законодательства в вопросах, связанных с улучшением социального положения женщины, и оценить ее место в культуре. </w:t>
      </w:r>
    </w:p>
    <w:p w:rsidR="00000000" w:rsidRDefault="00000000">
      <w:pPr>
        <w:spacing w:after="120"/>
        <w:rPr>
          <w:color w:val="000000"/>
        </w:rPr>
      </w:pPr>
      <w:r>
        <w:rPr>
          <w:color w:val="000000"/>
          <w:lang w:val="en-US"/>
        </w:rPr>
        <w:tab/>
      </w:r>
      <w:r>
        <w:t>–</w:t>
      </w:r>
      <w:r>
        <w:tab/>
      </w:r>
      <w:r>
        <w:rPr>
          <w:color w:val="000000"/>
        </w:rPr>
        <w:t>Международный семинар на тему "Литературное творчество женщин и их вклад в диалог культур" (август 1997 года). На этой встрече, организованной МДЖС в рамках национальной программы "Тунис – культурная столица региона", состоялся широкий обмен мнениями по проблемам женского художественного творчества. Был проведен сравнительный анализ арабского и средиземноморского литературного творчества, позволивший выявить их общность и различия.</w:t>
      </w:r>
    </w:p>
    <w:p w:rsidR="00000000" w:rsidRDefault="00000000">
      <w:pPr>
        <w:spacing w:after="120"/>
        <w:rPr>
          <w:color w:val="000000"/>
        </w:rPr>
      </w:pPr>
      <w:r>
        <w:rPr>
          <w:color w:val="000000"/>
          <w:lang w:val="en-US"/>
        </w:rPr>
        <w:tab/>
      </w:r>
      <w:r>
        <w:t>–</w:t>
      </w:r>
      <w:r>
        <w:tab/>
      </w:r>
      <w:r>
        <w:rPr>
          <w:color w:val="000000"/>
        </w:rPr>
        <w:t>Национальная выставка в Эль-Абделлия "Образ женщины через века", организованная совместно МДЖС и Министерством культуры в 1997 году. На ней впервые была показана роль женщины в жизни общества в пуническую эпоху, во времена Римской империи и в мусульманский период.</w:t>
      </w:r>
    </w:p>
    <w:p w:rsidR="00000000" w:rsidRDefault="00000000">
      <w:pPr>
        <w:rPr>
          <w:color w:val="000000"/>
        </w:rPr>
      </w:pPr>
      <w:r>
        <w:rPr>
          <w:color w:val="000000"/>
        </w:rPr>
        <w:tab/>
      </w:r>
      <w:r>
        <w:t>–</w:t>
      </w:r>
      <w:r>
        <w:tab/>
      </w:r>
      <w:r>
        <w:rPr>
          <w:color w:val="000000"/>
        </w:rPr>
        <w:t>Семинар "Женщина, наука и техника", проведенный в 1997 году при участии Министерства высшего образования. Он не только позволил лучше понять место женщины в науке, исследовательской деятельности и системе высшего образования, но и послужил толчком к созданию в 1998 году по инициативе МДЖС Ассоциации "Женщины и наука".</w:t>
      </w:r>
    </w:p>
    <w:p w:rsidR="00000000" w:rsidRDefault="00000000">
      <w:pPr>
        <w:spacing w:before="240" w:line="240" w:lineRule="auto"/>
        <w:rPr>
          <w:b/>
          <w:color w:val="000000"/>
          <w:sz w:val="28"/>
        </w:rPr>
      </w:pPr>
      <w:r>
        <w:rPr>
          <w:b/>
          <w:color w:val="000000"/>
          <w:sz w:val="28"/>
        </w:rPr>
        <w:t>Перспективы</w:t>
      </w:r>
    </w:p>
    <w:p w:rsidR="00000000" w:rsidRDefault="00000000">
      <w:pPr>
        <w:rPr>
          <w:color w:val="000000"/>
        </w:rPr>
      </w:pPr>
      <w:r>
        <w:rPr>
          <w:color w:val="000000"/>
        </w:rPr>
        <w:t>420.</w:t>
      </w:r>
      <w:r>
        <w:rPr>
          <w:color w:val="000000"/>
        </w:rPr>
        <w:tab/>
        <w:t>Исключительное положение, которого добились женщины благодаря своим знаниям и самоотверженному труду, способствовало изменению отношения к ним.</w:t>
      </w:r>
    </w:p>
    <w:p w:rsidR="00000000" w:rsidRDefault="00000000">
      <w:pPr>
        <w:rPr>
          <w:color w:val="000000"/>
        </w:rPr>
      </w:pPr>
      <w:r>
        <w:rPr>
          <w:color w:val="000000"/>
        </w:rPr>
        <w:t>421.</w:t>
      </w:r>
      <w:r>
        <w:rPr>
          <w:color w:val="000000"/>
        </w:rPr>
        <w:tab/>
        <w:t>Невиданный подъем творческой активности женщин в различных областях встречает признание со стороны государства и всего гражданского общества.</w:t>
      </w:r>
    </w:p>
    <w:p w:rsidR="00000000" w:rsidRDefault="00000000">
      <w:pPr>
        <w:rPr>
          <w:color w:val="000000"/>
        </w:rPr>
      </w:pPr>
      <w:r>
        <w:rPr>
          <w:color w:val="000000"/>
        </w:rPr>
        <w:t>422.</w:t>
      </w:r>
      <w:r>
        <w:rPr>
          <w:color w:val="000000"/>
        </w:rPr>
        <w:tab/>
        <w:t>Возрастающее участие женщин в развитии экономики, культуры и творчества стало особенно ощутимо в последние годы в условиях чрезвычайно благоприятной политической обстановки.</w:t>
      </w:r>
    </w:p>
    <w:p w:rsidR="00000000" w:rsidRDefault="00000000">
      <w:pPr>
        <w:rPr>
          <w:color w:val="000000"/>
        </w:rPr>
      </w:pPr>
      <w:r>
        <w:rPr>
          <w:color w:val="000000"/>
        </w:rPr>
        <w:t>423.</w:t>
      </w:r>
      <w:r>
        <w:rPr>
          <w:color w:val="000000"/>
        </w:rPr>
        <w:tab/>
        <w:t>Нет никакого сомнения в том, что осуществление целей IX плана, касающихся развития людских женских ресурсов, роста общественного движения и перемен в массовом сознании, откроет новые возможности для интеграции женщин в политическую, культурную и общественную жизнь страны.</w:t>
      </w:r>
    </w:p>
    <w:p w:rsidR="00000000" w:rsidRDefault="00000000">
      <w:pPr>
        <w:spacing w:line="360" w:lineRule="auto"/>
        <w:jc w:val="center"/>
        <w:rPr>
          <w:b/>
        </w:rPr>
      </w:pPr>
      <w:r>
        <w:rPr>
          <w:b/>
        </w:rPr>
        <w:br w:type="page"/>
      </w:r>
      <w:r>
        <w:rPr>
          <w:rFonts w:ascii="Symbol" w:hAnsi="Symbol"/>
          <w:b/>
          <w:sz w:val="28"/>
        </w:rPr>
        <w:t></w:t>
      </w:r>
      <w:r>
        <w:rPr>
          <w:b/>
          <w:sz w:val="28"/>
        </w:rPr>
        <w:t xml:space="preserve"> Статья 8 : Представленность женщин на международном уровне</w:t>
      </w:r>
    </w:p>
    <w:p w:rsidR="00000000" w:rsidRDefault="00000000">
      <w:pPr>
        <w:pBdr>
          <w:top w:val="single" w:sz="6" w:space="10" w:color="auto"/>
          <w:left w:val="single" w:sz="6" w:space="6" w:color="auto"/>
          <w:bottom w:val="single" w:sz="6" w:space="10" w:color="auto"/>
          <w:right w:val="single" w:sz="6" w:space="6" w:color="auto"/>
        </w:pBdr>
        <w:ind w:left="284" w:right="284"/>
        <w:rPr>
          <w:i/>
          <w:color w:val="000000"/>
        </w:rPr>
      </w:pPr>
      <w:r>
        <w:rPr>
          <w:i/>
          <w:color w:val="000000"/>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spacing w:before="240" w:line="240" w:lineRule="auto"/>
        <w:rPr>
          <w:b/>
          <w:sz w:val="28"/>
        </w:rPr>
      </w:pPr>
      <w:r>
        <w:rPr>
          <w:b/>
          <w:sz w:val="28"/>
        </w:rPr>
        <w:t>I.</w:t>
      </w:r>
      <w:r>
        <w:rPr>
          <w:b/>
          <w:sz w:val="28"/>
        </w:rPr>
        <w:tab/>
        <w:t>Женщина в дипломатическом корпусе</w:t>
      </w:r>
    </w:p>
    <w:p w:rsidR="00000000" w:rsidRDefault="00000000">
      <w:r>
        <w:t>424.</w:t>
      </w:r>
      <w:r>
        <w:tab/>
        <w:t>Законодательство, регламентирующее государственную службу в Тунисе, не предусматривает какой-либо дискриминации в отношении женщин. Наравне с мужчиной женщина может представлять свою страну на международном уровне как дипломат и участвовать в работе международных организаций в качестве эксперта по двустороннему и многостороннему сотрудничеству.</w:t>
      </w:r>
    </w:p>
    <w:p w:rsidR="00000000" w:rsidRDefault="00000000">
      <w:r>
        <w:t>425.</w:t>
      </w:r>
      <w:r>
        <w:tab/>
        <w:t>В 1999 году женщины-дипломаты составляли 14,35 процента дипломатического корпуса, работающего за границей, против 9,1 процента в 1993 году.</w:t>
      </w:r>
    </w:p>
    <w:p w:rsidR="00000000" w:rsidRDefault="00000000">
      <w:pPr>
        <w:spacing w:before="240" w:line="240" w:lineRule="auto"/>
        <w:rPr>
          <w:b/>
          <w:sz w:val="28"/>
        </w:rPr>
      </w:pPr>
      <w:r>
        <w:rPr>
          <w:b/>
          <w:sz w:val="28"/>
        </w:rPr>
        <w:t>II.</w:t>
      </w:r>
      <w:r>
        <w:rPr>
          <w:b/>
          <w:sz w:val="28"/>
        </w:rPr>
        <w:tab/>
        <w:t>Тунис и Организация Объединенных Наций</w:t>
      </w:r>
    </w:p>
    <w:p w:rsidR="00000000" w:rsidRDefault="00000000">
      <w:r>
        <w:t>426.</w:t>
      </w:r>
      <w:r>
        <w:tab/>
        <w:t>Тунис проявляет большой интерес ко всей деятельности Организации Объединенных Наций, и в частности к ее деятельности по утверждению прав женщины.</w:t>
      </w:r>
    </w:p>
    <w:p w:rsidR="00000000" w:rsidRDefault="00000000">
      <w:r>
        <w:t>427.</w:t>
      </w:r>
      <w:r>
        <w:tab/>
        <w:t>Благодаря своему политическому выбору Тунис сыграл роль первопроходца в разработке некоторых подходов, которые затем были закреплены международными учреждениями как предпочтительный путь, гарантирующий долговременное развитие, когда речь идет о приоритетности развития в духе соблюдения прав человека, о ключевой роли женщины как инициатора развития или о проведении национальной политики планирования и оценки с учетом гендерных факторов.</w:t>
      </w:r>
    </w:p>
    <w:p w:rsidR="00000000" w:rsidRDefault="00000000">
      <w:r>
        <w:t>428.</w:t>
      </w:r>
      <w:r>
        <w:tab/>
        <w:t>Участвуя в различных процессах, инициированных Организацией Объединенных Наций, Тунис поощрял широкое участие в них женщин, о чем свидетельствует, в частности, значительный рост представленности тунисских женщин-специалистов в международных инстанциях (Комитет по ликвидации дискриминации в отношении женщин) и неправительственных региональных органах.</w:t>
      </w:r>
    </w:p>
    <w:p w:rsidR="00000000" w:rsidRDefault="00000000">
      <w:r>
        <w:t>429.</w:t>
      </w:r>
      <w:r>
        <w:tab/>
        <w:t>Другим свидетельством активного участия Туниса было его избрание, впервые в 1994 году, членом Комиссии по положению женщин на трехлетний срок. В этом качестве Тунис участвовал в 37-м, 38-м, 39-м и 40-м заседаниях этой Комиссии.</w:t>
      </w:r>
    </w:p>
    <w:p w:rsidR="00000000" w:rsidRDefault="00000000">
      <w:pPr>
        <w:spacing w:after="120"/>
      </w:pPr>
      <w:r>
        <w:t>430.</w:t>
      </w:r>
      <w:r>
        <w:tab/>
        <w:t>Тунис активно участвовал в работе четвертой Всемирной конференции по положению женщин, состоявшейся в Пекине 4–15 сентября 1995 года, прислав на нее делегацию, насчитывавшую около 120 человек, а также в подготовительном процессе этой Конференции, организовав множество встреч на региональном уровне, например:</w:t>
      </w:r>
    </w:p>
    <w:p w:rsidR="00000000" w:rsidRDefault="00000000">
      <w:r>
        <w:t>*</w:t>
      </w:r>
      <w:r>
        <w:tab/>
        <w:t>Совещание группы африканских экспертов по подготовке пятой Дакарской конференции по положению женщин. Состоявшееся 27–29 июля 1994 года, вскоре после 30-й встречи на высшем уровне Организации африканского единства (ОАЕ), оно позволило разработать проект африканской платформы действий, которая должна была быть представлена для принятия на Дакарской региональной конференции. В работе этой встречи участвовали 30 экспертов из африканских стран, включая трех министров (Уганда, Центральноафриканская Республика и Мали), а также 10 экспертов, представлявших ОАЕ, ВОЗ, ЮНИСЕФ, ПРООН, ФАО, Африканский банк развития (АФБР) и Фонд Организации Объединенных Наций для развития в интересах женщин (ЮНИФЕМ).</w:t>
      </w:r>
    </w:p>
    <w:p w:rsidR="00000000" w:rsidRDefault="00000000">
      <w:pPr>
        <w:spacing w:after="120"/>
      </w:pPr>
      <w:r>
        <w:t xml:space="preserve">* </w:t>
      </w:r>
      <w:r>
        <w:tab/>
        <w:t>Арабо-африканский семинар на тему "Женщины и средства массовой информации: возможности выражать свое мнение и принимать решения", организованный Центром научных исследований, документации и информации по вопросам женщин (ЦНИДИЖ) в рамках подготовки международного симпозиума ЮНЕСКО, который состоялся в Торонто в ноябре 1994 года и рекомендации которого были учтены при разработке пекинской Платформы действий.</w:t>
      </w:r>
    </w:p>
    <w:p w:rsidR="00000000" w:rsidRDefault="00000000">
      <w:pPr>
        <w:spacing w:after="120"/>
      </w:pPr>
      <w:r>
        <w:t xml:space="preserve">* </w:t>
      </w:r>
      <w:r>
        <w:tab/>
        <w:t>Арабский семинар на тему "Женщина и законодательство", организованный в январе 1995 года Национальным союзом тунисских женщин (НСТЖ).</w:t>
      </w:r>
    </w:p>
    <w:p w:rsidR="00000000" w:rsidRDefault="00000000">
      <w:pPr>
        <w:spacing w:after="120"/>
      </w:pPr>
      <w:r>
        <w:t xml:space="preserve">* </w:t>
      </w:r>
      <w:r>
        <w:tab/>
        <w:t>Арабский семинар на тему "Арабская женщина и трудовое законодательство" (апрель 1995 года), организованный совместно Арабской организацией труда и Международным бюро труда (МБТ).</w:t>
      </w:r>
    </w:p>
    <w:p w:rsidR="00000000" w:rsidRDefault="00000000">
      <w:pPr>
        <w:spacing w:after="120"/>
      </w:pPr>
      <w:r>
        <w:t xml:space="preserve">* </w:t>
      </w:r>
      <w:r>
        <w:tab/>
        <w:t>Средиземноморская встреча на тему "Труд женщин: новые теоретические и методологические подходы", проведенная организацией ИЗИС МЕД-КАМПУС и университетом Тунис I.</w:t>
      </w:r>
    </w:p>
    <w:p w:rsidR="00000000" w:rsidRDefault="00000000">
      <w:pPr>
        <w:spacing w:after="120"/>
      </w:pPr>
      <w:r>
        <w:t xml:space="preserve">* </w:t>
      </w:r>
      <w:r>
        <w:tab/>
        <w:t>Заседание Международного комитета женщин – руководителей предприятий, в котором участвовали свыше 60 женщин – руководителей предприятий, приехавших с пяти континентов (май 1995 года), и которое было организовано Национальной палатой женщин – руководителей предприятий (НПЖРП).</w:t>
      </w:r>
    </w:p>
    <w:p w:rsidR="00000000" w:rsidRDefault="00000000">
      <w:r>
        <w:t xml:space="preserve">* </w:t>
      </w:r>
      <w:r>
        <w:tab/>
        <w:t>"Форум женщин Средиземноморья", организованный 2–4 июня ЦНИДИЖ совместно с институтом "Валенсия де ля Донна" (Испания), римским Итало-африканским институтом, марсельским Форумом женщин Средиземноморья и Греческим центром по изучению положения женщин в Средиземноморье. Эта встреча, в которой участвовали более сотни женщин – лидеров стран Средиземноморья, завершилась принятием политической декларации, которая должна была быть представлена на форуме НПО в Пекине в 1995 году.</w:t>
      </w:r>
    </w:p>
    <w:p w:rsidR="00000000" w:rsidRDefault="00000000">
      <w:pPr>
        <w:rPr>
          <w:spacing w:val="-2"/>
        </w:rPr>
      </w:pPr>
      <w:r>
        <w:t>431.</w:t>
      </w:r>
      <w:r>
        <w:tab/>
      </w:r>
      <w:r>
        <w:rPr>
          <w:spacing w:val="-2"/>
        </w:rPr>
        <w:t>Тунис также участвовал во многих других африканских встречах, на которых обсуждались методы подготовки национального доклада. Он также принял участие в последних встречах, организованных с целью согласования позиций в рамках арабской и африканской групп, соответственно, в Бейруте и Аддис-Абебе (июнь и июль 1995 года), а также в заседании Комиссии по положению женщин в августе 1995 года в Нью-Йорке.</w:t>
      </w:r>
    </w:p>
    <w:p w:rsidR="00000000" w:rsidRDefault="00000000">
      <w:r>
        <w:t>432.</w:t>
      </w:r>
      <w:r>
        <w:tab/>
        <w:t>Опыт, приобретенный Тунисом в осуществлении своей новой политики в отношении женщин с помощью как отраслевых стратегий, так и механизмов улучшения положения женщин, помог ему содействовать определению концепции и выработке политики учета гендерной проблематики в основных направлениях стратегий и программ, провозглашенной на четвертой Всемирной конференции по положению женщин в Пекине, касающейся систематического применения гендерного подхода в анализе, планировании и оценке на уровне как отраслевых стратегий, так и специальных стратегий, касающихся женщины и семьи.</w:t>
      </w:r>
    </w:p>
    <w:p w:rsidR="00000000" w:rsidRDefault="00000000">
      <w:r>
        <w:tab/>
        <w:t>Тунис регулярно участвовал во всех региональных и международных встречах, которые организовывались в рамках последующей деятельности по итогам Пекинской конференции, в частности Экономической комиссией для Африки (ЭКА) и Экономической и социальной комиссией для Западной Азии (ЭКСЗА), а также Арабской лигой или региональными НПО на уровне как Африканского региона, так и арабского мира или Средиземноморья.</w:t>
      </w:r>
    </w:p>
    <w:p w:rsidR="00000000" w:rsidRDefault="00000000">
      <w:r>
        <w:t>433.</w:t>
      </w:r>
      <w:r>
        <w:tab/>
        <w:t>Тунис принял участие в 39-м и 40-м заседаниях Комиссии по положению женщин в Нью-Йорке, и на каждом из этих заседаний его представительница занимала пост заместителя Председателя.</w:t>
      </w:r>
    </w:p>
    <w:p w:rsidR="00000000" w:rsidRDefault="00000000">
      <w:pPr>
        <w:spacing w:after="120"/>
      </w:pPr>
      <w:r>
        <w:t>434.</w:t>
      </w:r>
      <w:r>
        <w:tab/>
        <w:t>Тунис был также представлен женщинами-руководителями на многих других международных мероприятиях, в том числе:</w:t>
      </w:r>
    </w:p>
    <w:p w:rsidR="00000000" w:rsidRDefault="00000000">
      <w:pPr>
        <w:spacing w:after="120"/>
      </w:pPr>
      <w:r>
        <w:t xml:space="preserve">* </w:t>
      </w:r>
      <w:r>
        <w:tab/>
        <w:t>на Международной конференции по народонаселению и развитию (Каир, 1994 год);</w:t>
      </w:r>
    </w:p>
    <w:p w:rsidR="00000000" w:rsidRDefault="00000000">
      <w:pPr>
        <w:spacing w:after="120"/>
      </w:pPr>
      <w:r>
        <w:t xml:space="preserve">* </w:t>
      </w:r>
      <w:r>
        <w:tab/>
        <w:t xml:space="preserve">на 38-м заседании Комиссии по положению женщин, состоявшейся в Нью-Йорке в марте–апреле </w:t>
      </w:r>
      <w:r>
        <w:br/>
        <w:t>1995 года;</w:t>
      </w:r>
    </w:p>
    <w:p w:rsidR="00000000" w:rsidRDefault="00000000">
      <w:pPr>
        <w:spacing w:after="120"/>
      </w:pPr>
      <w:r>
        <w:t xml:space="preserve">* </w:t>
      </w:r>
      <w:r>
        <w:tab/>
        <w:t>на Всемирной конференции по социальному развитию (Копенгаген, 1995 год);</w:t>
      </w:r>
    </w:p>
    <w:p w:rsidR="00000000" w:rsidRDefault="00000000">
      <w:r>
        <w:t xml:space="preserve">* </w:t>
      </w:r>
      <w:r>
        <w:tab/>
        <w:t>на пятой Африканской региональной конференции по положению женщины, состоявшейся в ноябре 1994 года в Дакаре.</w:t>
      </w:r>
    </w:p>
    <w:p w:rsidR="00000000" w:rsidRDefault="00000000">
      <w:r>
        <w:tab/>
        <w:t>На этой Конференции представительница Туниса была избрана заместителем Председателя Конференции и председателем группы по выработке африканской платформы действий в поддержку женщин;</w:t>
      </w:r>
    </w:p>
    <w:p w:rsidR="00000000" w:rsidRDefault="00000000">
      <w:r>
        <w:t xml:space="preserve">* </w:t>
      </w:r>
      <w:r>
        <w:tab/>
        <w:t>на Арабской региональной конференции по подготовке к Пекинской конференции, Амман, 1994 год;</w:t>
      </w:r>
    </w:p>
    <w:p w:rsidR="00000000" w:rsidRDefault="00000000">
      <w:r>
        <w:t xml:space="preserve">* </w:t>
      </w:r>
      <w:r>
        <w:tab/>
        <w:t>на Международном форуме женщин, организованном в мае 1996 года в Стокгольме Институтом международных и стратегических исследований в Вашингтоне.</w:t>
      </w:r>
    </w:p>
    <w:p w:rsidR="00000000" w:rsidRDefault="00000000">
      <w:pPr>
        <w:spacing w:before="240" w:line="240" w:lineRule="auto"/>
        <w:rPr>
          <w:b/>
          <w:sz w:val="28"/>
        </w:rPr>
      </w:pPr>
      <w:r>
        <w:rPr>
          <w:b/>
          <w:sz w:val="28"/>
        </w:rPr>
        <w:t>III.</w:t>
      </w:r>
      <w:r>
        <w:rPr>
          <w:b/>
          <w:sz w:val="28"/>
        </w:rPr>
        <w:tab/>
        <w:t>Роль Туниса в регионе</w:t>
      </w:r>
    </w:p>
    <w:p w:rsidR="00000000" w:rsidRDefault="00000000">
      <w:r>
        <w:t>435.</w:t>
      </w:r>
      <w:r>
        <w:tab/>
        <w:t>В 1996 году представительница Туниса была избрана на трехлетний срок президентом Африканского координационного комитета по интеграции женщин в процесс развития "КРАК". В 1999 году во главе этого органа, переименованного в Африканский комитет "Женщина и развитие", вновь встала представительница Туниса.</w:t>
      </w:r>
    </w:p>
    <w:p w:rsidR="00000000" w:rsidRDefault="00000000">
      <w:r>
        <w:t>436.</w:t>
      </w:r>
      <w:r>
        <w:tab/>
        <w:t xml:space="preserve">Кроме того, представительница Туниса была избрана председателем Технического комитета, которому была поручена подготовка шестой Африканской конференции по положению женщин (ноябрь 1999 года), первое заседание которой прошло в Аддис-Абебе в январе 1999 года, а второе – в городе Тунисе в июне </w:t>
      </w:r>
      <w:r>
        <w:br/>
        <w:t xml:space="preserve">1999 года. </w:t>
      </w:r>
    </w:p>
    <w:p w:rsidR="00000000" w:rsidRDefault="00000000">
      <w:r>
        <w:t>437.</w:t>
      </w:r>
      <w:r>
        <w:tab/>
        <w:t>В Тунисе прошло заседание группы экспертов Организации Объединенных Наций на тему "Женщина и здоровье", организованное в конце сентября 1998 года в сотрудничестве со службами помощника Генерального секретаря по гендерным вопросам в рамках надзора Организации Объединенных Наций за ходом осуществления Пекинской платформы действий.</w:t>
      </w:r>
    </w:p>
    <w:p w:rsidR="00000000" w:rsidRDefault="00000000">
      <w:r>
        <w:t>438.</w:t>
      </w:r>
      <w:r>
        <w:tab/>
        <w:t>Отметим, наконец, что с 1994 года в Тунисе находится штаб-квартира Центра арабских женщин по исследованиям и профессиональной учебе (ЦАЖИПУ).</w:t>
      </w:r>
    </w:p>
    <w:p w:rsidR="00000000" w:rsidRDefault="00000000">
      <w:pPr>
        <w:rPr>
          <w:b/>
        </w:rPr>
      </w:pPr>
      <w:r>
        <w:rPr>
          <w:b/>
        </w:rPr>
        <w:t>Сетевая деятельность</w:t>
      </w:r>
    </w:p>
    <w:p w:rsidR="00000000" w:rsidRDefault="00000000">
      <w:r>
        <w:t>439.</w:t>
      </w:r>
      <w:r>
        <w:tab/>
        <w:t>В 1998 году были изданы и широко распространены среди соответствующих НПО два справочника с целью помочь этим НПО в их участии в региональных и международных сетях:</w:t>
      </w:r>
    </w:p>
    <w:p w:rsidR="00000000" w:rsidRDefault="00000000">
      <w:r>
        <w:t>–</w:t>
      </w:r>
      <w:r>
        <w:tab/>
        <w:t>"Реестр международных, региональных и национальных учреждений и структур". Этот документ, предназначенный для участвующих в осуществлении политики в отношении женщины и семьи, содержит сведения об учреждениях и процессах, касающихся улучшения положения женщины и семьи в международном, региональном и национальном аспектах, а также обо всех структурах Организации Объединенных Наций, занимающихся женской проблематикой.</w:t>
      </w:r>
    </w:p>
    <w:p w:rsidR="00000000" w:rsidRDefault="00000000">
      <w:r>
        <w:t>–</w:t>
      </w:r>
      <w:r>
        <w:tab/>
        <w:t xml:space="preserve">Справочник для НПО, занимающихся женской и семейной проблематикой, для облегчения доступа к международным и африканским органам и сетям. Он информирует добровольцев этих организаций о международных органах и сетях, образующих институциональную структуру для проведения политики в отношении женщин и семьи в рамках многостороннего сотрудничества и международной сетевой деятельности. </w:t>
      </w:r>
    </w:p>
    <w:p w:rsidR="00000000" w:rsidRDefault="00000000">
      <w:pPr>
        <w:spacing w:before="240" w:line="240" w:lineRule="auto"/>
        <w:rPr>
          <w:b/>
          <w:sz w:val="28"/>
        </w:rPr>
      </w:pPr>
      <w:r>
        <w:rPr>
          <w:b/>
          <w:sz w:val="28"/>
        </w:rPr>
        <w:t>IV.</w:t>
      </w:r>
      <w:r>
        <w:rPr>
          <w:b/>
          <w:sz w:val="28"/>
        </w:rPr>
        <w:tab/>
        <w:t>Вклад Туниса в развитие сотрудничества Юг–Юг</w:t>
      </w:r>
    </w:p>
    <w:p w:rsidR="00000000" w:rsidRDefault="00000000">
      <w:r>
        <w:t>440.</w:t>
      </w:r>
      <w:r>
        <w:tab/>
        <w:t>На первой встрече представителей десяти стран-учредителей, состоявшейся в Хараре в 1995 году, представитель Туниса был избран председателем Административного совета нового межправительственного альянса под названием "Партнерство в области народонаселения и развития: инициатива Юг-Юг". В этот альянс входят страны, получившие международное признание в связи с их программами и стратегиями в области репродуктивного здоровья, включая планирование размера семьи. Задача партнеров – оказывать помощь развивающимся странам в осуществлении программы действий Международной конференции по народонаселению и развитию, состоявшейся в Каире в 1994 году, с помощью проектов сотрудничества и интенсификации торгового обмена Юг–Юг.</w:t>
      </w:r>
    </w:p>
    <w:p w:rsidR="00000000" w:rsidRDefault="00000000">
      <w:r>
        <w:t>441.</w:t>
      </w:r>
      <w:r>
        <w:tab/>
        <w:t>С этого времени Тунис активно способствует развитию и повышению роли этого альянса как на региональном, так и на международном уровне.</w:t>
      </w:r>
    </w:p>
    <w:p w:rsidR="00000000" w:rsidRDefault="00000000">
      <w:r>
        <w:t>442.</w:t>
      </w:r>
      <w:r>
        <w:tab/>
        <w:t>Одновременно с осуществлением посреднической деятельности между странами-кредиторами Севера и развивающимися странами Тунис приступил в 1996 году к созданию, в рамках партнерства Юг–Юг, двух крупных сетей по обмену, а также к осуществлению проекта сотрудничества с франкоязычными странами Западной Африки. Речь идет о совместной с Алжиром и Марокко сетевой исследовательской деятельности в области заболеваний, передаваемых половым путем, и бесплодия, а также о сотрудничестве между странами Магриба и франкоязычными странами Западной Африки в предоставлении услуг в области репродуктивного здоровья.</w:t>
      </w:r>
    </w:p>
    <w:p w:rsidR="00000000" w:rsidRDefault="00000000">
      <w:r>
        <w:t>443.</w:t>
      </w:r>
      <w:r>
        <w:tab/>
        <w:t>Когда в конце 1996 года Центр научных исследований, документации и информации по вопросам женщин (ЦНИДИЖ) был избран ЮНФПА в качестве основного центра проведения работ в рамках сотрудничества Юг–Юг по вопросам гендерного анализа и гендерных исследований, он открыл международные курсы по обучению в области "гендерных проблем, народонаселения и развития". На первых двух циклах лекций присутствовали 90 женщин-руководителей из 22 стран Магриба и Африки.</w:t>
      </w:r>
    </w:p>
    <w:p w:rsidR="00000000" w:rsidRDefault="00000000">
      <w:r>
        <w:t>444.</w:t>
      </w:r>
      <w:r>
        <w:tab/>
        <w:t>Создание в ЦНИДИЖ в сотрудничестве с ЮНЕСКО 27 октября 1997 года Международной кафедры по изучению положения женщины также свидетельствует о желании Туниса способствовать сотрудничеству Север–Юг и Юг–Юг в области улучшения положения женщины и создавать благоприятные условия для передачи методов и технологий, касающихся женской проблематики.</w:t>
      </w:r>
    </w:p>
    <w:p w:rsidR="00000000" w:rsidRDefault="00000000">
      <w:pPr>
        <w:spacing w:before="240" w:line="240" w:lineRule="auto"/>
        <w:ind w:left="680" w:hanging="680"/>
        <w:jc w:val="left"/>
        <w:rPr>
          <w:b/>
          <w:sz w:val="28"/>
        </w:rPr>
      </w:pPr>
      <w:r>
        <w:rPr>
          <w:b/>
          <w:sz w:val="28"/>
        </w:rPr>
        <w:t>V.</w:t>
      </w:r>
      <w:r>
        <w:rPr>
          <w:b/>
          <w:sz w:val="28"/>
        </w:rPr>
        <w:tab/>
        <w:t xml:space="preserve">Рост числа тунисских женщин-специалистов </w:t>
      </w:r>
      <w:r>
        <w:rPr>
          <w:b/>
          <w:sz w:val="28"/>
        </w:rPr>
        <w:br/>
        <w:t>в международных органах</w:t>
      </w:r>
    </w:p>
    <w:p w:rsidR="00000000" w:rsidRDefault="00000000">
      <w:r>
        <w:t>445.</w:t>
      </w:r>
      <w:r>
        <w:tab/>
        <w:t>В 90-е годы немало тунисских женщин были избраны или назначены в региональные и международные органы или же участвовали в их работе, что свидетельствует об активности Туниса в осуществлении политики улучшения положения женщин. Например, три представительницы Туниса работают в Центральных учреждениях Организации Объединенных Наций в Нью-Йорке.</w:t>
      </w:r>
    </w:p>
    <w:p w:rsidR="00000000" w:rsidRDefault="00000000">
      <w:pPr>
        <w:spacing w:after="120"/>
        <w:rPr>
          <w:b/>
        </w:rPr>
      </w:pPr>
      <w:r>
        <w:rPr>
          <w:b/>
        </w:rPr>
        <w:t>Экономический и Социальный Совет (ЭКОСОС)</w:t>
      </w:r>
    </w:p>
    <w:p w:rsidR="00000000" w:rsidRDefault="00000000">
      <w:r>
        <w:t>446.</w:t>
      </w:r>
      <w:r>
        <w:tab/>
        <w:t>Трем НПО, занимающимся проблемами женщины и семьи, был предоставлен консультативный статус при ЭКОСОС: Тунисской ассоциации матерей в 1997 году, Тунисской организации по вопросам образования и семьи и Национальному союзу тунисских женщин (НСТЖ) в 1998 году и организации "Тунис-21" в 1999 году.</w:t>
      </w:r>
    </w:p>
    <w:p w:rsidR="00000000" w:rsidRDefault="00000000">
      <w:r>
        <w:t>447.</w:t>
      </w:r>
      <w:r>
        <w:tab/>
        <w:t>Недавно в Нью-Йорке Тунис был избран на второй четырехлетний срок (1998–2001 года) членом Комитета по неправительственным организациям ЭКОСОС. Ранее на заседании Совета в 1998 году представительница Туниса была избрана председателем Комитета по НПО на двухлетний период (1998–</w:t>
      </w:r>
      <w:r>
        <w:br/>
        <w:t>1999 годы).</w:t>
      </w:r>
    </w:p>
    <w:p w:rsidR="00000000" w:rsidRDefault="00000000">
      <w:pPr>
        <w:spacing w:after="120"/>
        <w:rPr>
          <w:b/>
        </w:rPr>
      </w:pPr>
      <w:r>
        <w:rPr>
          <w:b/>
        </w:rPr>
        <w:t>Комиссия по положению женщин (КПЖ)</w:t>
      </w:r>
    </w:p>
    <w:p w:rsidR="00000000" w:rsidRDefault="00000000">
      <w:r>
        <w:t>448.</w:t>
      </w:r>
      <w:r>
        <w:tab/>
        <w:t>Представительница Туниса избиралась заместителем Председателя этой Комиссии с 1994 по 1997 год (38-е, 39-е и 40-е заседания Комиссии).</w:t>
      </w:r>
    </w:p>
    <w:p w:rsidR="00000000" w:rsidRDefault="00000000">
      <w:pPr>
        <w:spacing w:after="120"/>
        <w:rPr>
          <w:b/>
        </w:rPr>
      </w:pPr>
      <w:r>
        <w:rPr>
          <w:b/>
        </w:rPr>
        <w:t>Комитет по ликвидации дискриминации в отношении женщин (КЛДЖ)</w:t>
      </w:r>
    </w:p>
    <w:p w:rsidR="00000000" w:rsidRDefault="00000000">
      <w:pPr>
        <w:spacing w:after="0"/>
      </w:pPr>
      <w:r>
        <w:t>449.</w:t>
      </w:r>
      <w:r>
        <w:tab/>
        <w:t>С 1990 года одним из членов – экспертов этого Комитета являлась гражданка Туниса.</w:t>
      </w:r>
    </w:p>
    <w:p w:rsidR="00000000" w:rsidRDefault="00000000">
      <w:pPr>
        <w:spacing w:after="120"/>
        <w:rPr>
          <w:b/>
        </w:rPr>
      </w:pPr>
      <w:r>
        <w:rPr>
          <w:b/>
        </w:rPr>
        <w:t>Экономическая комиссия для Африки (ЭКА)</w:t>
      </w:r>
    </w:p>
    <w:p w:rsidR="00000000" w:rsidRDefault="00000000">
      <w:r>
        <w:t>450.</w:t>
      </w:r>
      <w:r>
        <w:tab/>
        <w:t>В 1997 году две гражданки Туниса были назначены в эту Комиссию, соответственно, директором служб развития информации и региональным советником по укреплению прав человека и законодательства в отношении женщин.</w:t>
      </w:r>
    </w:p>
    <w:p w:rsidR="00000000" w:rsidRDefault="00000000">
      <w:pPr>
        <w:spacing w:after="120"/>
        <w:rPr>
          <w:b/>
        </w:rPr>
      </w:pPr>
      <w:r>
        <w:rPr>
          <w:b/>
        </w:rPr>
        <w:t>Комитет "Женщина и развитие" ЭКА</w:t>
      </w:r>
    </w:p>
    <w:p w:rsidR="00000000" w:rsidRDefault="00000000">
      <w:r>
        <w:t>451.</w:t>
      </w:r>
      <w:r>
        <w:tab/>
        <w:t>С момента создания этого Комитета в 1996 году его возглавляет представительница Туниса. Роль Комитета состоит в определении процесса оценки результатов осуществления африканской платформы действий и в организации каждые три года африканских конференций о положении женщины. Еще одна представительница Туниса является экспертом этого Комитета.</w:t>
      </w:r>
    </w:p>
    <w:p w:rsidR="00000000" w:rsidRDefault="00000000">
      <w:pPr>
        <w:spacing w:after="120"/>
        <w:rPr>
          <w:b/>
        </w:rPr>
      </w:pPr>
      <w:r>
        <w:rPr>
          <w:b/>
        </w:rPr>
        <w:t>Специализированные учреждения Организации Объединенных Наций</w:t>
      </w:r>
    </w:p>
    <w:p w:rsidR="00000000" w:rsidRDefault="00000000">
      <w:pPr>
        <w:rPr>
          <w:spacing w:val="-2"/>
        </w:rPr>
      </w:pPr>
      <w:r>
        <w:t>452.</w:t>
      </w:r>
      <w:r>
        <w:tab/>
      </w:r>
      <w:r>
        <w:rPr>
          <w:spacing w:val="-2"/>
        </w:rPr>
        <w:t>С 1997 года ЦНИДИЖ является членом Административного совета Международного учебного и научно-исследовательского института по улучшению положения женщин (МУНИУЖ) со сроком полномочий 3 года.</w:t>
      </w:r>
    </w:p>
    <w:p w:rsidR="00000000" w:rsidRDefault="00000000">
      <w:r>
        <w:rPr>
          <w:lang w:val="en-US"/>
        </w:rPr>
        <w:tab/>
      </w:r>
      <w:r>
        <w:t>Представительница Туниса является консультантом Фонда Организации Объединенных Наций для развития в интересах женщин (ЮНИФЕМ).</w:t>
      </w:r>
    </w:p>
    <w:p w:rsidR="00000000" w:rsidRDefault="00000000">
      <w:pPr>
        <w:spacing w:after="120" w:line="260" w:lineRule="exact"/>
        <w:rPr>
          <w:b/>
          <w:sz w:val="22"/>
        </w:rPr>
      </w:pPr>
      <w:r>
        <w:rPr>
          <w:b/>
          <w:sz w:val="22"/>
        </w:rPr>
        <w:t>Международные организации, связанные с Организацией Объединенных Наций</w:t>
      </w:r>
    </w:p>
    <w:p w:rsidR="00000000" w:rsidRDefault="00000000">
      <w:pPr>
        <w:spacing w:after="120"/>
        <w:rPr>
          <w:b/>
        </w:rPr>
      </w:pPr>
      <w:r>
        <w:rPr>
          <w:b/>
        </w:rPr>
        <w:t>ЮНЕСКО</w:t>
      </w:r>
    </w:p>
    <w:p w:rsidR="00000000" w:rsidRDefault="00000000">
      <w:r>
        <w:t>453.</w:t>
      </w:r>
      <w:r>
        <w:tab/>
        <w:t>Одна представительница Туниса является членом административного совета Международного института планирования образования (МИПО) при ЮНЕСКО, а другая занимает пост главного советника по проблемам африканской женщины при Генеральном директоре ЮНЕСКО.</w:t>
      </w:r>
    </w:p>
    <w:p w:rsidR="00000000" w:rsidRDefault="00000000">
      <w:pPr>
        <w:spacing w:after="120"/>
        <w:rPr>
          <w:b/>
        </w:rPr>
      </w:pPr>
      <w:r>
        <w:rPr>
          <w:b/>
        </w:rPr>
        <w:t>Всемирная организация здравоохранения (ВОЗ)</w:t>
      </w:r>
    </w:p>
    <w:p w:rsidR="00000000" w:rsidRDefault="00000000">
      <w:r>
        <w:t>454.</w:t>
      </w:r>
      <w:r>
        <w:tab/>
        <w:t>Представительница Туниса является советником ВОЗ по вопросам репродуктивного здоровья.</w:t>
      </w:r>
    </w:p>
    <w:p w:rsidR="00000000" w:rsidRDefault="00000000">
      <w:pPr>
        <w:spacing w:before="180" w:line="260" w:lineRule="exact"/>
        <w:rPr>
          <w:b/>
          <w:sz w:val="22"/>
        </w:rPr>
      </w:pPr>
      <w:r>
        <w:rPr>
          <w:b/>
          <w:sz w:val="22"/>
        </w:rPr>
        <w:t>Международные НПО</w:t>
      </w:r>
    </w:p>
    <w:p w:rsidR="00000000" w:rsidRDefault="00000000">
      <w:pPr>
        <w:spacing w:after="120"/>
        <w:jc w:val="left"/>
        <w:rPr>
          <w:b/>
        </w:rPr>
      </w:pPr>
      <w:r>
        <w:rPr>
          <w:b/>
        </w:rPr>
        <w:t xml:space="preserve">Конференция неправительственных организаций, имеющих консультативный статус </w:t>
      </w:r>
      <w:r>
        <w:rPr>
          <w:b/>
        </w:rPr>
        <w:br/>
        <w:t>при ЭКОСОС (Швейцария)</w:t>
      </w:r>
    </w:p>
    <w:p w:rsidR="00000000" w:rsidRDefault="00000000">
      <w:r>
        <w:t>455.</w:t>
      </w:r>
      <w:r>
        <w:tab/>
        <w:t>Тунисская ассоциация матерей (ТАМ), имеющая статус консультативной организации при ЭКОСОС, является членом Конференции.</w:t>
      </w:r>
    </w:p>
    <w:p w:rsidR="00000000" w:rsidRDefault="00000000">
      <w:pPr>
        <w:spacing w:after="120"/>
        <w:rPr>
          <w:b/>
        </w:rPr>
      </w:pPr>
      <w:r>
        <w:rPr>
          <w:b/>
        </w:rPr>
        <w:t>Социалистический интернационал женщин (СИЖ)</w:t>
      </w:r>
    </w:p>
    <w:p w:rsidR="00000000" w:rsidRDefault="00000000">
      <w:r>
        <w:rPr>
          <w:lang w:val="en-US"/>
        </w:rPr>
        <w:tab/>
      </w:r>
      <w:r>
        <w:t>Тунис является членом СИЖ, а пост его заместителя Председателя занимает представительница Туниса.</w:t>
      </w:r>
    </w:p>
    <w:p w:rsidR="00000000" w:rsidRDefault="00000000">
      <w:pPr>
        <w:spacing w:after="120"/>
        <w:rPr>
          <w:b/>
        </w:rPr>
      </w:pPr>
      <w:r>
        <w:rPr>
          <w:b/>
        </w:rPr>
        <w:t>Международный совет женщин (МСЖ):</w:t>
      </w:r>
    </w:p>
    <w:p w:rsidR="00000000" w:rsidRDefault="00000000">
      <w:pPr>
        <w:spacing w:after="80"/>
      </w:pPr>
      <w:r>
        <w:rPr>
          <w:lang w:val="en-US"/>
        </w:rPr>
        <w:tab/>
      </w:r>
      <w:r>
        <w:t xml:space="preserve">Четыре представительницы Туниса занимают следующие должности: </w:t>
      </w:r>
    </w:p>
    <w:p w:rsidR="00000000" w:rsidRDefault="00000000">
      <w:pPr>
        <w:spacing w:after="80"/>
      </w:pPr>
      <w:r>
        <w:t>–</w:t>
      </w:r>
      <w:r>
        <w:tab/>
        <w:t>заместителя председателя комиссии по вопросам здоровья;</w:t>
      </w:r>
    </w:p>
    <w:p w:rsidR="00000000" w:rsidRDefault="00000000">
      <w:pPr>
        <w:spacing w:after="80"/>
      </w:pPr>
      <w:r>
        <w:t>–</w:t>
      </w:r>
      <w:r>
        <w:tab/>
        <w:t>председателя комиссии по применению законов и конвенций;</w:t>
      </w:r>
    </w:p>
    <w:p w:rsidR="00000000" w:rsidRDefault="00000000">
      <w:pPr>
        <w:spacing w:after="80"/>
      </w:pPr>
      <w:r>
        <w:t>–</w:t>
      </w:r>
      <w:r>
        <w:tab/>
        <w:t>председателя музыкального комитета;</w:t>
      </w:r>
    </w:p>
    <w:p w:rsidR="00000000" w:rsidRDefault="00000000">
      <w:r>
        <w:t>–</w:t>
      </w:r>
      <w:r>
        <w:tab/>
        <w:t>председателя молодежной комиссии.</w:t>
      </w:r>
    </w:p>
    <w:p w:rsidR="00000000" w:rsidRDefault="00000000">
      <w:pPr>
        <w:spacing w:after="80"/>
        <w:rPr>
          <w:b/>
        </w:rPr>
      </w:pPr>
      <w:r>
        <w:rPr>
          <w:b/>
        </w:rPr>
        <w:t>Всемирная федерация клубов, центров и ассоциаций содействия ЮНЕСКО</w:t>
      </w:r>
    </w:p>
    <w:p w:rsidR="00000000" w:rsidRDefault="00000000">
      <w:pPr>
        <w:spacing w:after="280"/>
      </w:pPr>
      <w:r>
        <w:t>Заместителем Председателя Федерации по Арабскому региону является представительница Туниса.</w:t>
      </w:r>
    </w:p>
    <w:p w:rsidR="00000000" w:rsidRDefault="00000000">
      <w:pPr>
        <w:spacing w:after="120"/>
        <w:rPr>
          <w:b/>
        </w:rPr>
      </w:pPr>
      <w:r>
        <w:rPr>
          <w:b/>
        </w:rPr>
        <w:t>Международная федерация женщин-юристов (МФЖЮ)</w:t>
      </w:r>
    </w:p>
    <w:p w:rsidR="00000000" w:rsidRDefault="00000000">
      <w:r>
        <w:rPr>
          <w:lang w:val="en-US"/>
        </w:rPr>
        <w:tab/>
      </w:r>
      <w:r>
        <w:t>Председатель Союза женщин-юристов, связанного с Национальным союзом тунисских женщин (НСТЖ), является членом исполнительного бюро Федерации с 1998 года.</w:t>
      </w:r>
    </w:p>
    <w:p w:rsidR="00000000" w:rsidRDefault="00000000">
      <w:pPr>
        <w:spacing w:after="120"/>
        <w:jc w:val="left"/>
        <w:rPr>
          <w:b/>
        </w:rPr>
      </w:pPr>
      <w:r>
        <w:rPr>
          <w:b/>
        </w:rPr>
        <w:t xml:space="preserve">Международная организация помощи семье (МОПС), </w:t>
      </w:r>
      <w:r>
        <w:rPr>
          <w:b/>
        </w:rPr>
        <w:br/>
        <w:t>бывший Союз организаций помощи семье и устоев семьи (МСОПС)</w:t>
      </w:r>
    </w:p>
    <w:p w:rsidR="00000000" w:rsidRDefault="00000000">
      <w:pPr>
        <w:spacing w:after="80"/>
      </w:pPr>
      <w:r>
        <w:rPr>
          <w:lang w:val="en-US"/>
        </w:rPr>
        <w:tab/>
      </w:r>
      <w:r>
        <w:t>Три представительницы Туниса являются, соответственно:</w:t>
      </w:r>
    </w:p>
    <w:p w:rsidR="00000000" w:rsidRDefault="00000000">
      <w:pPr>
        <w:spacing w:after="80"/>
      </w:pPr>
      <w:r>
        <w:tab/>
        <w:t>–</w:t>
      </w:r>
      <w:r>
        <w:tab/>
        <w:t>членом руководящего совета МОПС;</w:t>
      </w:r>
    </w:p>
    <w:p w:rsidR="00000000" w:rsidRDefault="00000000">
      <w:pPr>
        <w:spacing w:after="80"/>
      </w:pPr>
      <w:r>
        <w:tab/>
        <w:t>–</w:t>
      </w:r>
      <w:r>
        <w:tab/>
        <w:t>председателем международной комиссии "Женщины, проживающие в сельской местности";</w:t>
      </w:r>
    </w:p>
    <w:p w:rsidR="00000000" w:rsidRDefault="00000000">
      <w:pPr>
        <w:spacing w:after="200"/>
      </w:pPr>
      <w:r>
        <w:tab/>
        <w:t>–</w:t>
      </w:r>
      <w:r>
        <w:tab/>
        <w:t>заместителем председателя комиссии по вопросам молодежи.</w:t>
      </w:r>
    </w:p>
    <w:p w:rsidR="00000000" w:rsidRDefault="00000000">
      <w:pPr>
        <w:spacing w:after="120"/>
        <w:rPr>
          <w:b/>
        </w:rPr>
      </w:pPr>
      <w:r>
        <w:rPr>
          <w:b/>
        </w:rPr>
        <w:t>Международная федерация по просвещению родителей (МФПР/Канада)</w:t>
      </w:r>
    </w:p>
    <w:p w:rsidR="00000000" w:rsidRDefault="00000000">
      <w:r>
        <w:tab/>
        <w:t>Одним из членов административного совета МФПР является представительница Туниса.</w:t>
      </w:r>
    </w:p>
    <w:p w:rsidR="00000000" w:rsidRDefault="00000000">
      <w:pPr>
        <w:spacing w:after="120"/>
        <w:rPr>
          <w:b/>
        </w:rPr>
      </w:pPr>
      <w:r>
        <w:rPr>
          <w:b/>
        </w:rPr>
        <w:t>Международное движение в защиту детей</w:t>
      </w:r>
    </w:p>
    <w:p w:rsidR="00000000" w:rsidRDefault="00000000">
      <w:r>
        <w:rPr>
          <w:lang w:val="en-US"/>
        </w:rPr>
        <w:tab/>
      </w:r>
      <w:r>
        <w:t>Одним из членов Международного исполнительного комитета этой организации является представительница Туниса – юрист.</w:t>
      </w:r>
    </w:p>
    <w:p w:rsidR="00000000" w:rsidRDefault="00000000">
      <w:pPr>
        <w:spacing w:after="120"/>
        <w:rPr>
          <w:b/>
        </w:rPr>
      </w:pPr>
      <w:r>
        <w:rPr>
          <w:b/>
        </w:rPr>
        <w:t>Международный совет по охране окружающей среды</w:t>
      </w:r>
    </w:p>
    <w:p w:rsidR="00000000" w:rsidRDefault="00000000">
      <w:r>
        <w:rPr>
          <w:lang w:val="en-US"/>
        </w:rPr>
        <w:tab/>
      </w:r>
      <w:r>
        <w:t>Региональным управляющим этого Совета является представительница Туниса – юрист.</w:t>
      </w:r>
    </w:p>
    <w:p w:rsidR="00000000" w:rsidRDefault="00000000">
      <w:pPr>
        <w:spacing w:after="120"/>
        <w:rPr>
          <w:b/>
        </w:rPr>
      </w:pPr>
      <w:r>
        <w:rPr>
          <w:b/>
        </w:rPr>
        <w:t>Международный союз по планированию семьи (МСПС)</w:t>
      </w:r>
    </w:p>
    <w:p w:rsidR="00000000" w:rsidRDefault="00000000">
      <w:r>
        <w:rPr>
          <w:lang w:val="en-US"/>
        </w:rPr>
        <w:tab/>
      </w:r>
      <w:r>
        <w:t>Две представительницы Туниса являются, соответственно, членом Центрального совета и членом Региональной комиссии по вопросам женщин в арабском мире.</w:t>
      </w:r>
    </w:p>
    <w:p w:rsidR="00000000" w:rsidRDefault="00000000">
      <w:pPr>
        <w:spacing w:after="120"/>
        <w:rPr>
          <w:b/>
        </w:rPr>
      </w:pPr>
      <w:r>
        <w:rPr>
          <w:b/>
        </w:rPr>
        <w:t>Международный союз журналистов и франкоязычной прессы (МСЖФП)</w:t>
      </w:r>
    </w:p>
    <w:p w:rsidR="00000000" w:rsidRDefault="00000000">
      <w:r>
        <w:rPr>
          <w:lang w:val="en-US"/>
        </w:rPr>
        <w:tab/>
      </w:r>
      <w:r>
        <w:t>В этот Союз входит представительница Туниса – журналистка.</w:t>
      </w:r>
    </w:p>
    <w:p w:rsidR="00000000" w:rsidRDefault="00000000">
      <w:pPr>
        <w:spacing w:after="120"/>
        <w:rPr>
          <w:b/>
        </w:rPr>
      </w:pPr>
      <w:r>
        <w:rPr>
          <w:b/>
        </w:rPr>
        <w:t>Форум научных работников для гуманитарных учреждений</w:t>
      </w:r>
    </w:p>
    <w:p w:rsidR="00000000" w:rsidRDefault="00000000">
      <w:pPr>
        <w:spacing w:after="200"/>
      </w:pPr>
      <w:r>
        <w:rPr>
          <w:lang w:val="en-US"/>
        </w:rPr>
        <w:tab/>
      </w:r>
      <w:r>
        <w:t>Одним из членов исполнительного бюро этого Форума является представительница Туниса.</w:t>
      </w:r>
    </w:p>
    <w:p w:rsidR="00000000" w:rsidRDefault="00000000">
      <w:pPr>
        <w:spacing w:after="120"/>
        <w:rPr>
          <w:b/>
        </w:rPr>
      </w:pPr>
      <w:r>
        <w:rPr>
          <w:b/>
        </w:rPr>
        <w:t>Ассоциация африканских женщин по исследованиям в области развития (ААЖИОР)</w:t>
      </w:r>
    </w:p>
    <w:p w:rsidR="00000000" w:rsidRDefault="00000000">
      <w:pPr>
        <w:spacing w:after="200"/>
      </w:pPr>
      <w:r>
        <w:rPr>
          <w:lang w:val="en-US"/>
        </w:rPr>
        <w:tab/>
      </w:r>
      <w:r>
        <w:t>Председатель Ассоциации тунисских женщин в целях научных исследований и развития (АТЖНИР) (женщина) является заместителем председателя этой Ассоциации.</w:t>
      </w:r>
    </w:p>
    <w:p w:rsidR="00000000" w:rsidRDefault="00000000">
      <w:pPr>
        <w:spacing w:after="120"/>
        <w:rPr>
          <w:b/>
        </w:rPr>
      </w:pPr>
      <w:r>
        <w:rPr>
          <w:b/>
        </w:rPr>
        <w:t>Африканская академия наук (ААН)</w:t>
      </w:r>
    </w:p>
    <w:p w:rsidR="00000000" w:rsidRDefault="00000000">
      <w:r>
        <w:rPr>
          <w:lang w:val="en-US"/>
        </w:rPr>
        <w:tab/>
      </w:r>
      <w:r>
        <w:t xml:space="preserve">Членом ААН, представляющим в нем Северную Африку, является гражданка Туниса. </w:t>
      </w:r>
    </w:p>
    <w:p w:rsidR="00000000" w:rsidRDefault="00000000">
      <w:pPr>
        <w:spacing w:after="120"/>
        <w:rPr>
          <w:b/>
        </w:rPr>
      </w:pPr>
      <w:r>
        <w:rPr>
          <w:b/>
        </w:rPr>
        <w:t>Всемирный комитет женщин – руководителей предприятий (ВКЖРП)</w:t>
      </w:r>
    </w:p>
    <w:p w:rsidR="00000000" w:rsidRDefault="00000000">
      <w:pPr>
        <w:spacing w:after="200"/>
      </w:pPr>
      <w:r>
        <w:rPr>
          <w:lang w:val="en-US"/>
        </w:rPr>
        <w:tab/>
      </w:r>
      <w:r>
        <w:t xml:space="preserve">Председатель Национальной палаты женщин – руководителей предприятий Туниса (женщина) была избрана в 1997 году представителем этого Комитета в Экономической комиссии для Африки, а в июне </w:t>
      </w:r>
      <w:r>
        <w:br/>
        <w:t>1998 года – председателем ВКЖРП.</w:t>
      </w:r>
    </w:p>
    <w:p w:rsidR="00000000" w:rsidRDefault="00000000">
      <w:pPr>
        <w:spacing w:before="120" w:after="120" w:line="260" w:lineRule="exact"/>
        <w:rPr>
          <w:b/>
          <w:sz w:val="22"/>
        </w:rPr>
      </w:pPr>
      <w:r>
        <w:rPr>
          <w:b/>
          <w:sz w:val="22"/>
        </w:rPr>
        <w:t>Межправительственные НПО</w:t>
      </w:r>
    </w:p>
    <w:p w:rsidR="00000000" w:rsidRDefault="00000000">
      <w:pPr>
        <w:spacing w:after="120"/>
        <w:rPr>
          <w:b/>
        </w:rPr>
      </w:pPr>
      <w:r>
        <w:rPr>
          <w:b/>
        </w:rPr>
        <w:t>Межпарламентский союз (МПС)</w:t>
      </w:r>
    </w:p>
    <w:p w:rsidR="00000000" w:rsidRDefault="00000000">
      <w:pPr>
        <w:spacing w:after="280"/>
      </w:pPr>
      <w:r>
        <w:t>456.</w:t>
      </w:r>
      <w:r>
        <w:tab/>
        <w:t>Женщина-депутат из Туниса является Председателем координационного комитета женщин-парламентариев в МПС.</w:t>
      </w:r>
    </w:p>
    <w:p w:rsidR="00000000" w:rsidRDefault="00000000">
      <w:pPr>
        <w:spacing w:after="120"/>
        <w:rPr>
          <w:b/>
        </w:rPr>
      </w:pPr>
      <w:r>
        <w:rPr>
          <w:b/>
        </w:rPr>
        <w:t>Межправительственный альянс по вопросам партнерства, народонаселения и развития</w:t>
      </w:r>
    </w:p>
    <w:p w:rsidR="00000000" w:rsidRDefault="00000000">
      <w:pPr>
        <w:spacing w:after="200"/>
      </w:pPr>
      <w:r>
        <w:rPr>
          <w:lang w:val="en-US"/>
        </w:rPr>
        <w:tab/>
      </w:r>
      <w:r>
        <w:t>Генеральный директор Национального бюро по вопросам планирования семьи и народонаселения Туниса была председателем этого Альянса с 1996 по 1998 год, отвечая за выполнение программы партнерства Юг–Юг в области народонаселения и развития. С 1999 года она стала почетным председателем этой организации.</w:t>
      </w:r>
    </w:p>
    <w:p w:rsidR="00000000" w:rsidRDefault="00000000">
      <w:pPr>
        <w:spacing w:before="120" w:after="120" w:line="260" w:lineRule="exact"/>
        <w:rPr>
          <w:b/>
          <w:sz w:val="22"/>
        </w:rPr>
      </w:pPr>
      <w:r>
        <w:rPr>
          <w:b/>
          <w:sz w:val="22"/>
        </w:rPr>
        <w:t>Региональные НПО</w:t>
      </w:r>
    </w:p>
    <w:p w:rsidR="00000000" w:rsidRDefault="00000000">
      <w:pPr>
        <w:spacing w:after="120"/>
        <w:rPr>
          <w:b/>
        </w:rPr>
      </w:pPr>
      <w:r>
        <w:rPr>
          <w:b/>
        </w:rPr>
        <w:t>Страны Магриба</w:t>
      </w:r>
    </w:p>
    <w:p w:rsidR="00000000" w:rsidRDefault="00000000">
      <w:pPr>
        <w:spacing w:after="200"/>
      </w:pPr>
      <w:r>
        <w:t>457.</w:t>
      </w:r>
      <w:r>
        <w:tab/>
        <w:t>Тунис является членом Союза магрибских ассоциаций женщин (СМАЖ) через Национальный союз тунисских женщин (НСТЖ) и Ассоциацию "Движение женщин за долговременное развитие" (ДЖСР).</w:t>
      </w:r>
    </w:p>
    <w:p w:rsidR="00000000" w:rsidRDefault="00000000">
      <w:pPr>
        <w:spacing w:after="120"/>
        <w:rPr>
          <w:b/>
        </w:rPr>
      </w:pPr>
      <w:r>
        <w:rPr>
          <w:b/>
        </w:rPr>
        <w:t>Арабский мир</w:t>
      </w:r>
    </w:p>
    <w:p w:rsidR="00000000" w:rsidRDefault="00000000">
      <w:pPr>
        <w:spacing w:after="280"/>
      </w:pPr>
      <w:r>
        <w:t>458.</w:t>
      </w:r>
      <w:r>
        <w:tab/>
        <w:t>С 1993 года в Тунисе находится Центр арабских женщин за профессиональное обучение и научные исследования (КАВТАР). С момента создания Центр возглавляет гражданка Туниса.</w:t>
      </w:r>
    </w:p>
    <w:p w:rsidR="00000000" w:rsidRDefault="00000000">
      <w:pPr>
        <w:spacing w:after="280"/>
      </w:pPr>
      <w:r>
        <w:t>–</w:t>
      </w:r>
      <w:r>
        <w:tab/>
        <w:t xml:space="preserve">Председатель Национального союза тунисских женщин (НСТЖ) (женщина) является заместителем председателя </w:t>
      </w:r>
      <w:r>
        <w:rPr>
          <w:b/>
        </w:rPr>
        <w:t>Всеобщей федерации арабских женщин</w:t>
      </w:r>
      <w:r>
        <w:t>.</w:t>
      </w:r>
    </w:p>
    <w:p w:rsidR="00000000" w:rsidRDefault="00000000">
      <w:pPr>
        <w:spacing w:after="280"/>
      </w:pPr>
      <w:r>
        <w:t>–</w:t>
      </w:r>
      <w:r>
        <w:tab/>
        <w:t xml:space="preserve">В 1998 году гражданка Туниса была избрана генеральным секретарем </w:t>
      </w:r>
      <w:r>
        <w:rPr>
          <w:b/>
        </w:rPr>
        <w:t xml:space="preserve">Арабской организации по вопросам семьи </w:t>
      </w:r>
      <w:r>
        <w:t>(АОВС), штаб-квартира которой находится в городе Тунисе.</w:t>
      </w:r>
    </w:p>
    <w:p w:rsidR="00000000" w:rsidRDefault="00000000">
      <w:pPr>
        <w:spacing w:after="120"/>
        <w:rPr>
          <w:b/>
        </w:rPr>
      </w:pPr>
      <w:r>
        <w:rPr>
          <w:b/>
        </w:rPr>
        <w:t>Африка</w:t>
      </w:r>
    </w:p>
    <w:p w:rsidR="00000000" w:rsidRDefault="00000000">
      <w:pPr>
        <w:spacing w:after="280"/>
      </w:pPr>
      <w:r>
        <w:t>459.</w:t>
      </w:r>
      <w:r>
        <w:tab/>
        <w:t xml:space="preserve">Заместителем председателя по Северной Африке </w:t>
      </w:r>
      <w:r>
        <w:rPr>
          <w:b/>
        </w:rPr>
        <w:t xml:space="preserve">Африканской сети развития и коммуникации для женщин </w:t>
      </w:r>
      <w:r>
        <w:t>(АСРКЖ) является представительница Туниса.</w:t>
      </w:r>
    </w:p>
    <w:p w:rsidR="00000000" w:rsidRDefault="00000000">
      <w:pPr>
        <w:spacing w:after="120"/>
        <w:rPr>
          <w:b/>
        </w:rPr>
      </w:pPr>
      <w:r>
        <w:rPr>
          <w:b/>
        </w:rPr>
        <w:t>Средиземноморье</w:t>
      </w:r>
    </w:p>
    <w:p w:rsidR="00000000" w:rsidRDefault="00000000">
      <w:pPr>
        <w:spacing w:after="120"/>
      </w:pPr>
      <w:r>
        <w:t>460.</w:t>
      </w:r>
      <w:r>
        <w:tab/>
        <w:t xml:space="preserve">Заместителем председателя </w:t>
      </w:r>
      <w:r>
        <w:rPr>
          <w:b/>
        </w:rPr>
        <w:t xml:space="preserve">Сети женщин-журналистов Средиземноморья </w:t>
      </w:r>
      <w:r>
        <w:t>(СЖЖС) является представительница Туниса.</w:t>
      </w:r>
    </w:p>
    <w:p w:rsidR="00000000" w:rsidRDefault="00000000">
      <w:pPr>
        <w:spacing w:after="120"/>
      </w:pPr>
      <w:r>
        <w:rPr>
          <w:lang w:val="en-US"/>
        </w:rPr>
        <w:tab/>
      </w:r>
      <w:r>
        <w:t xml:space="preserve">Одним из членов руководящего комитета </w:t>
      </w:r>
      <w:r>
        <w:rPr>
          <w:b/>
        </w:rPr>
        <w:t xml:space="preserve">Ассоциации женщин Средиземноморского региона </w:t>
      </w:r>
      <w:r>
        <w:t>(АЖСР) является представительница Туниса.</w:t>
      </w:r>
    </w:p>
    <w:p w:rsidR="00000000" w:rsidRDefault="00000000">
      <w:pPr>
        <w:spacing w:after="280"/>
      </w:pPr>
      <w:r>
        <w:tab/>
        <w:t xml:space="preserve">Представительница Туниса (Тунисская ассоциация матерей) является членом </w:t>
      </w:r>
      <w:r>
        <w:rPr>
          <w:b/>
        </w:rPr>
        <w:t xml:space="preserve">Всемирного движения матерей Средиземноморья </w:t>
      </w:r>
      <w:r>
        <w:t>(ВДМС).</w:t>
      </w:r>
    </w:p>
    <w:p w:rsidR="00000000" w:rsidRDefault="00000000">
      <w:pPr>
        <w:spacing w:after="280"/>
      </w:pPr>
      <w:r>
        <w:t>461.</w:t>
      </w:r>
      <w:r>
        <w:tab/>
        <w:t>Об активной деятельности тунисских женских ассоциаций свидетельствуют премии, полученные некоторыми из них, например НСТЖ, которому в 1994 году была присуждена премия ЮНЕСКО за борьбу с неграмотностью, и ТАМ, получившая в 1997 году премию имени 50-летия МСОПС за деятельность в поддержку семей, проживающих в сельской местности.</w:t>
      </w:r>
    </w:p>
    <w:p w:rsidR="00000000" w:rsidRDefault="00000000">
      <w:pPr>
        <w:spacing w:before="120" w:line="240" w:lineRule="auto"/>
        <w:ind w:left="680" w:hanging="680"/>
        <w:jc w:val="left"/>
        <w:rPr>
          <w:b/>
          <w:sz w:val="28"/>
        </w:rPr>
      </w:pPr>
      <w:r>
        <w:rPr>
          <w:b/>
          <w:sz w:val="28"/>
        </w:rPr>
        <w:t xml:space="preserve">VI. </w:t>
      </w:r>
      <w:r>
        <w:rPr>
          <w:b/>
          <w:sz w:val="28"/>
          <w:lang w:val="en-US"/>
        </w:rPr>
        <w:tab/>
      </w:r>
      <w:r>
        <w:rPr>
          <w:b/>
          <w:sz w:val="28"/>
        </w:rPr>
        <w:t>Улучшение положения женщин – одна из составляющих двустороннего сотрудничества</w:t>
      </w:r>
    </w:p>
    <w:p w:rsidR="00000000" w:rsidRDefault="00000000">
      <w:r>
        <w:t>462.</w:t>
      </w:r>
      <w:r>
        <w:tab/>
        <w:t>В области улучшения положения женщины и семьи Тунис подписал несколько двусторонних конвенций или программ сотрудничества с братскими и дружественными странами, в частности с Индонезией, Мали, Сенегалом, Палестиной, Мавританией, Канадой (Квебек), Норвегией, Египтом, Марокко, Германией, Швецией, Люксембургом, а также с Европейским союзом.</w:t>
      </w:r>
    </w:p>
    <w:p w:rsidR="00000000" w:rsidRDefault="00000000">
      <w:r>
        <w:t>463.</w:t>
      </w:r>
      <w:r>
        <w:tab/>
        <w:t>Тунис был приглашен на заседание Совета Европы, состоявшееся 27 мая 1997 года во Дворце Европы в Страсбурге, по теме "Тунисская женщина перед лицом меняющейся обстановки в Тунисе и Европе".</w:t>
      </w:r>
    </w:p>
    <w:p w:rsidR="00000000" w:rsidRDefault="00000000">
      <w:r>
        <w:tab/>
        <w:t>Этот день был отмечен признанием со стороны Европы достижений тунисских женщин, которые призвали к более активному участию Европы в создании единого евросредиземноморского пространства в борьбе с фундаментализмом, который угрожает основным правам женщин.</w:t>
      </w:r>
    </w:p>
    <w:p w:rsidR="00000000" w:rsidRDefault="00000000">
      <w:r>
        <w:t>464.</w:t>
      </w:r>
      <w:r>
        <w:tab/>
        <w:t>Улучшение положения женщины и семьи стало целью программы сотрудничества между Министерством по делам женщин и семьи (МДЖС) и германским агентством ГТЦ в осуществлении стратегии в области коммуникаций в поддержку тунисской женщины, имеющей целью содействовать соблюдению прав личности в семье.</w:t>
      </w:r>
    </w:p>
    <w:p w:rsidR="00000000" w:rsidRDefault="00000000">
      <w:r>
        <w:tab/>
        <w:t xml:space="preserve">Между агентством ГТЦ и Министерством профессионального образования и занятости было заключено соглашение о реструктуризации центров профессиональной подготовки девушек, проживающих в сельской местности. </w:t>
      </w:r>
    </w:p>
    <w:p w:rsidR="00000000" w:rsidRDefault="00000000">
      <w:r>
        <w:t>465.</w:t>
      </w:r>
      <w:r>
        <w:tab/>
        <w:t>НПО были осуществлены ряд проектов в поддержу женщин, проживающих в сельской местности, благодаря их финансированию в соответствии с двусторонним соглашением, заключенным со Швецией о перераспределении долга.</w:t>
      </w:r>
    </w:p>
    <w:p w:rsidR="00000000" w:rsidRDefault="00000000">
      <w:r>
        <w:t>466.</w:t>
      </w:r>
      <w:r>
        <w:tab/>
        <w:t>Тунис и Швеция начали также проводить мероприятия в рамках культурного обмена, организовав цикл лекций по женской проблематике в соответствии с программой "Евро-Ислам" и приступив к двустороннему тунисско-шведскому сотрудничеству. Первая конференция на тему "Мужчины, женщины и девочки перед лицом социально-культурных и политических изменений" состоялась в 1998 году в Стокгольме. Вторая встреча должна была состояться в 1999 году в городе Тунисе.</w:t>
      </w:r>
    </w:p>
    <w:p w:rsidR="00000000" w:rsidRDefault="00000000">
      <w:r>
        <w:t>467.</w:t>
      </w:r>
      <w:r>
        <w:tab/>
        <w:t>С момента своего создания в 1992 году ЦНИДИЖ пользовался институциональной поддержкой в виде технической и финансовой помощи Канадской организации за солидарность и развитие, в частности в создании компьютерных банков данных, разработке планов в области коммуникации и исследований на тему положения женщин. Подобная программа, подписанная в 1994 году, позволила женщинам-руководителям низшего и среднего звена проходить стажировку в области методов осуществления и разработки проектов.</w:t>
      </w:r>
    </w:p>
    <w:p w:rsidR="00000000" w:rsidRDefault="00000000">
      <w:r>
        <w:t>468.</w:t>
      </w:r>
      <w:r>
        <w:tab/>
        <w:t>В 1998 году была подписана программа сотрудничества с Квебеком на пятилетний период 1998–</w:t>
      </w:r>
      <w:r>
        <w:br/>
        <w:t>2002 годов, нацеленная на защиту прав женщин и их интеграцию в процесс социального, экономического, культурного и политического развития.</w:t>
      </w:r>
    </w:p>
    <w:p w:rsidR="00000000" w:rsidRDefault="00000000">
      <w:r>
        <w:t>469.</w:t>
      </w:r>
      <w:r>
        <w:tab/>
        <w:t>С 1998 года ЦНИДИЖ участвует в осуществлении проекта совместно с Агентством по международному сотрудничеству и развитию, предусматривающего создание курсов профессионального обучения в области управления проектами для персонала ЦНИДИЖ и финансирование двух циклов исследований: один – для женщин-ремесленниц, а другой – для женщин-предпринимателей в сельскохозяйственной сфере.</w:t>
      </w:r>
    </w:p>
    <w:p w:rsidR="00000000" w:rsidRDefault="00000000">
      <w:r>
        <w:t>470.</w:t>
      </w:r>
      <w:r>
        <w:tab/>
        <w:t xml:space="preserve">НСТЖ была оказана безвозмездная помощь в рамках сотрудничества Тунис–Люксембург для создания организации "Пространство 13 августа" и реорганизации ее центров профессионального обучения. </w:t>
      </w:r>
    </w:p>
    <w:p w:rsidR="00000000" w:rsidRDefault="00000000">
      <w:pPr>
        <w:spacing w:before="240" w:line="240" w:lineRule="auto"/>
        <w:rPr>
          <w:b/>
          <w:sz w:val="28"/>
        </w:rPr>
      </w:pPr>
      <w:r>
        <w:rPr>
          <w:b/>
          <w:sz w:val="28"/>
        </w:rPr>
        <w:t>Перспективы</w:t>
      </w:r>
    </w:p>
    <w:p w:rsidR="00000000" w:rsidRDefault="00000000">
      <w:r>
        <w:t>471.</w:t>
      </w:r>
      <w:r>
        <w:tab/>
        <w:t>За последние годы участие тунисских женщин в форумах и других встречах международного и регионального масштаба значительно возросло в рамках как государственных учреждений, так и НПО. Роль лидера, которая все чаще отводится Тунису, несомненно, уполномочивает граждан Туниса еще активнее участвовать в работе региональных и международных органов.</w:t>
      </w:r>
    </w:p>
    <w:p w:rsidR="00000000" w:rsidRDefault="00000000">
      <w:pPr>
        <w:spacing w:line="240" w:lineRule="auto"/>
        <w:jc w:val="center"/>
        <w:rPr>
          <w:b/>
          <w:sz w:val="28"/>
        </w:rPr>
      </w:pPr>
      <w:r>
        <w:rPr>
          <w:b/>
        </w:rPr>
        <w:br w:type="page"/>
      </w:r>
      <w:r>
        <w:rPr>
          <w:rFonts w:ascii="Symbol" w:hAnsi="Symbol"/>
          <w:b/>
          <w:sz w:val="28"/>
          <w:lang w:val="en-US"/>
        </w:rPr>
        <w:t></w:t>
      </w:r>
      <w:r>
        <w:rPr>
          <w:b/>
          <w:sz w:val="28"/>
          <w:lang w:val="en-US"/>
        </w:rPr>
        <w:t xml:space="preserve"> </w:t>
      </w:r>
      <w:r>
        <w:rPr>
          <w:b/>
          <w:sz w:val="28"/>
        </w:rPr>
        <w:t>Статья 9: Гражданство</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lang w:val="en-US"/>
        </w:rPr>
        <w:tab/>
      </w:r>
      <w:r>
        <w:rPr>
          <w:i/>
        </w:rPr>
        <w:t>1.</w:t>
      </w:r>
      <w:r>
        <w:rPr>
          <w:i/>
        </w:rPr>
        <w:tab/>
        <w:t>Государства-участники предоставляют женщинам равные с мужчинами права в отношении приобретения, изменения или сохранения их гражданства.</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i/>
        </w:rPr>
        <w:tab/>
        <w:t>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pBdr>
          <w:top w:val="single" w:sz="6" w:space="12" w:color="auto"/>
          <w:left w:val="single" w:sz="6" w:space="6" w:color="auto"/>
          <w:bottom w:val="single" w:sz="6" w:space="12" w:color="auto"/>
          <w:right w:val="single" w:sz="6" w:space="6" w:color="auto"/>
        </w:pBdr>
        <w:ind w:left="284" w:right="284"/>
        <w:rPr>
          <w:i/>
          <w:color w:val="000000"/>
        </w:rPr>
      </w:pPr>
      <w:r>
        <w:rPr>
          <w:i/>
          <w:color w:val="000000"/>
        </w:rPr>
        <w:tab/>
        <w:t>2.</w:t>
      </w:r>
      <w:r>
        <w:rPr>
          <w:i/>
          <w:color w:val="000000"/>
        </w:rPr>
        <w:tab/>
        <w:t>Государства-участники предоставляют женщинам равные с мужчинами права в отношении гражданства их детей.</w:t>
      </w:r>
    </w:p>
    <w:p w:rsidR="00000000" w:rsidRDefault="00000000">
      <w:r>
        <w:t>472.</w:t>
      </w:r>
      <w:r>
        <w:tab/>
        <w:t>Соответствующие положения Кодекса тунисского гражданства обеспечивают в полной мере соблюдение правосубъектности замужней женщины, не лишая ее гражданства при браке с иностранцем, а также правосубъектности мужчины, уважая желание его жены-иностранки принять или не принять тунисское гражданство.</w:t>
      </w:r>
    </w:p>
    <w:p w:rsidR="00000000" w:rsidRDefault="00000000">
      <w:pPr>
        <w:spacing w:after="120"/>
      </w:pPr>
      <w:r>
        <w:t>473.</w:t>
      </w:r>
      <w:r>
        <w:tab/>
        <w:t>Тунисское законодательство прошло в своем развитии два важных этапа:</w:t>
      </w:r>
    </w:p>
    <w:p w:rsidR="00000000" w:rsidRDefault="00000000">
      <w:pPr>
        <w:spacing w:after="80"/>
      </w:pPr>
      <w:r>
        <w:t>1.</w:t>
      </w:r>
      <w:r>
        <w:tab/>
        <w:t>Поправки, внесенные в Кодекс тунисского гражданства декретом-законом от 26 февраля 1963 года, предоставили женщине право передавать свое гражданство своему ребенку в следующих случаях, определенных в статье 6:</w:t>
      </w:r>
    </w:p>
    <w:p w:rsidR="00000000" w:rsidRDefault="00000000">
      <w:pPr>
        <w:spacing w:after="80"/>
        <w:rPr>
          <w:i/>
        </w:rPr>
      </w:pPr>
      <w:r>
        <w:tab/>
      </w:r>
      <w:r>
        <w:rPr>
          <w:i/>
        </w:rPr>
        <w:t>"Гражданином Туниса считается:</w:t>
      </w:r>
    </w:p>
    <w:p w:rsidR="00000000" w:rsidRDefault="00000000">
      <w:pPr>
        <w:spacing w:after="80"/>
        <w:rPr>
          <w:i/>
        </w:rPr>
      </w:pPr>
      <w:r>
        <w:rPr>
          <w:i/>
        </w:rPr>
        <w:tab/>
        <w:t>а)</w:t>
      </w:r>
      <w:r>
        <w:rPr>
          <w:i/>
        </w:rPr>
        <w:tab/>
        <w:t>ребенок, родившийся от отца – гражданина Туниса;</w:t>
      </w:r>
    </w:p>
    <w:p w:rsidR="00000000" w:rsidRDefault="00000000">
      <w:pPr>
        <w:spacing w:after="80"/>
        <w:ind w:left="1021" w:hanging="1021"/>
      </w:pPr>
      <w:r>
        <w:rPr>
          <w:i/>
        </w:rPr>
        <w:tab/>
        <w:t xml:space="preserve">b) </w:t>
      </w:r>
      <w:r>
        <w:rPr>
          <w:i/>
        </w:rPr>
        <w:tab/>
        <w:t>ребенок, рожденный от матери – гражданки Туниса и неизвестного отца, отца без гражданства или гражданство которого неизвестно;</w:t>
      </w:r>
    </w:p>
    <w:p w:rsidR="00000000" w:rsidRDefault="00000000">
      <w:pPr>
        <w:spacing w:after="60"/>
        <w:rPr>
          <w:i/>
        </w:rPr>
      </w:pPr>
      <w:r>
        <w:rPr>
          <w:i/>
        </w:rPr>
        <w:tab/>
        <w:t xml:space="preserve">с) </w:t>
      </w:r>
      <w:r>
        <w:rPr>
          <w:i/>
        </w:rPr>
        <w:tab/>
        <w:t>ребенок, рожденный в Тунисе от матери – гражданки Туниса и отца-иностранца".</w:t>
      </w:r>
    </w:p>
    <w:p w:rsidR="00000000" w:rsidRDefault="00000000">
      <w:pPr>
        <w:spacing w:after="120"/>
      </w:pPr>
      <w:r>
        <w:rPr>
          <w:lang w:val="en-US"/>
        </w:rPr>
        <w:tab/>
      </w:r>
      <w:r>
        <w:t>В силу этих положений женщина приобрела, разумеется, определенные права в области передачи своего гражданства своему ребенку, но, в отличие от отца, эти права зависят от некоторых условий.</w:t>
      </w:r>
    </w:p>
    <w:p w:rsidR="00000000" w:rsidRDefault="00000000">
      <w:pPr>
        <w:spacing w:after="80"/>
      </w:pPr>
      <w:r>
        <w:t xml:space="preserve">2. </w:t>
      </w:r>
      <w:r>
        <w:rPr>
          <w:lang w:val="en-US"/>
        </w:rPr>
        <w:tab/>
      </w:r>
      <w:r>
        <w:t>Закон № 93-62 от 23 июня 1993 года, вносящий поправки в некоторые статьи Кодекса тунисского гражданства, дополнил и укрепил это право, определив его в новой статье 12:</w:t>
      </w:r>
    </w:p>
    <w:p w:rsidR="00000000" w:rsidRDefault="00000000">
      <w:pPr>
        <w:rPr>
          <w:i/>
          <w:color w:val="000000"/>
        </w:rPr>
      </w:pPr>
      <w:r>
        <w:rPr>
          <w:color w:val="000000"/>
        </w:rPr>
        <w:tab/>
      </w:r>
      <w:r>
        <w:rPr>
          <w:i/>
          <w:color w:val="000000"/>
        </w:rPr>
        <w:t>"Ребенок, родившийся за границей от матери – гражданки Туниса и отца-иностранца, становится тунисским гражданином при условии, что в течение года, предшествующего его совершеннолетию, он подал заявление о предоставлении ему такого статуса".</w:t>
      </w:r>
    </w:p>
    <w:p w:rsidR="00000000" w:rsidRDefault="00000000">
      <w:r>
        <w:t>474.</w:t>
      </w:r>
      <w:r>
        <w:tab/>
        <w:t>Таким образом был сделан новый шаг вперед по пути установления равенства в правах между мужчиной и женщиной в области передачи гражданства.</w:t>
      </w:r>
    </w:p>
    <w:p w:rsidR="00000000" w:rsidRDefault="00000000">
      <w:pPr>
        <w:spacing w:after="80"/>
      </w:pPr>
      <w:r>
        <w:t>475.</w:t>
      </w:r>
      <w:r>
        <w:tab/>
        <w:t>Теперь гражданка Туниса, вышедшая замуж за иностранца, может передать свое гражданство своему ребенку, рожденному за рубежом (от известного отца), при условии, что:</w:t>
      </w:r>
    </w:p>
    <w:p w:rsidR="00000000" w:rsidRDefault="00000000">
      <w:pPr>
        <w:spacing w:after="80"/>
        <w:ind w:left="1021" w:hanging="1021"/>
      </w:pPr>
      <w:r>
        <w:tab/>
        <w:t>–</w:t>
      </w:r>
      <w:r>
        <w:tab/>
        <w:t>ребенок сам выразил такое желание в своем заявлении, поданном за год до его совершеннолетия (статья 6 закона 1964 года);</w:t>
      </w:r>
    </w:p>
    <w:p w:rsidR="00000000" w:rsidRDefault="00000000">
      <w:pPr>
        <w:rPr>
          <w:spacing w:val="-2"/>
        </w:rPr>
      </w:pPr>
      <w:r>
        <w:tab/>
        <w:t>–</w:t>
      </w:r>
      <w:r>
        <w:tab/>
      </w:r>
      <w:r>
        <w:rPr>
          <w:spacing w:val="-2"/>
        </w:rPr>
        <w:t>сразу после рождения ребенка по совместному заявлению отца и матери (статья 12 закона 1993 года).</w:t>
      </w:r>
    </w:p>
    <w:p w:rsidR="00000000" w:rsidRDefault="00000000">
      <w:pPr>
        <w:spacing w:after="0"/>
      </w:pPr>
      <w:r>
        <w:t>476.</w:t>
      </w:r>
      <w:r>
        <w:tab/>
        <w:t>Укрепление прав женщины в области гражданства было подтверждено в ходе внесения изменений в Конституцию. Поправки к Конституции на основании закона от 27 октября 1997 года устанавливают равенство происхождения по матери и по отцу, предоставляя право баллотироваться в депутаты любому гражданину Туниса, рожденному от отца – гражданина Туниса или матери – гражданки Туниса, без какой-либо дискриминации.</w:t>
      </w:r>
    </w:p>
    <w:p w:rsidR="00000000" w:rsidRDefault="00000000">
      <w:pPr>
        <w:spacing w:after="360" w:line="240" w:lineRule="auto"/>
        <w:jc w:val="center"/>
        <w:rPr>
          <w:b/>
          <w:sz w:val="28"/>
        </w:rPr>
      </w:pPr>
      <w:r>
        <w:br w:type="page"/>
      </w:r>
      <w:r>
        <w:rPr>
          <w:rFonts w:ascii="Symbol" w:hAnsi="Symbol"/>
          <w:b/>
          <w:sz w:val="28"/>
          <w:lang w:val="en-US"/>
        </w:rPr>
        <w:t></w:t>
      </w:r>
      <w:r>
        <w:rPr>
          <w:b/>
          <w:sz w:val="28"/>
          <w:lang w:val="en-US"/>
        </w:rPr>
        <w:t xml:space="preserve"> </w:t>
      </w:r>
      <w:r>
        <w:rPr>
          <w:b/>
          <w:sz w:val="28"/>
        </w:rPr>
        <w:t>Статья 10: Образование</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tab/>
      </w:r>
      <w:r>
        <w:rPr>
          <w:i/>
        </w:rPr>
        <w:t xml:space="preserve">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 </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tab/>
      </w:r>
      <w:r>
        <w:rPr>
          <w:i/>
        </w:rPr>
        <w:t>a)</w:t>
      </w:r>
      <w:r>
        <w:rPr>
          <w:i/>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rPr>
        <w:tab/>
        <w:t>b)</w:t>
      </w:r>
      <w:r>
        <w:rPr>
          <w:i/>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rPr>
        <w:tab/>
        <w:t>с)</w:t>
      </w:r>
      <w:r>
        <w:rPr>
          <w:i/>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rPr>
        <w:tab/>
        <w:t>d)</w:t>
      </w:r>
      <w:r>
        <w:rPr>
          <w:i/>
        </w:rPr>
        <w:tab/>
        <w:t xml:space="preserve"> одинаковые возможности получения стипендий и других пособий на образование;</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rPr>
        <w:tab/>
        <w:t>е)</w:t>
      </w:r>
      <w:r>
        <w:rPr>
          <w:i/>
        </w:rPr>
        <w:tab/>
        <w:t xml:space="preserve"> 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rPr>
        <w:tab/>
        <w:t xml:space="preserve">f) </w:t>
      </w:r>
      <w:r>
        <w:rPr>
          <w:i/>
        </w:rPr>
        <w:tab/>
        <w:t>сокращение числа девушек, не заканчивающих школу, и разработку программ для девушек и женщин, преждевременно покинувших школу;</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rPr>
        <w:tab/>
        <w:t xml:space="preserve">g) </w:t>
      </w:r>
      <w:r>
        <w:rPr>
          <w:i/>
        </w:rPr>
        <w:tab/>
        <w:t>одинаковые возможности активно участвовать в занятиях спортом и физической подготовкой;</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i/>
        </w:rPr>
        <w:tab/>
        <w:t xml:space="preserve">h) </w:t>
      </w:r>
      <w:r>
        <w:rPr>
          <w:i/>
        </w:rPr>
        <w:tab/>
        <w:t xml:space="preserve">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 </w:t>
      </w:r>
    </w:p>
    <w:p w:rsidR="00000000" w:rsidRDefault="00000000">
      <w:r>
        <w:t>477.</w:t>
      </w:r>
      <w:r>
        <w:tab/>
        <w:t xml:space="preserve">В своей политике Тунис всегда уделял особое внимание вопросам образования, тем более что на эти цели постоянно выделялось более одной четвертой годового бюджета государства. </w:t>
      </w:r>
    </w:p>
    <w:p w:rsidR="00000000" w:rsidRDefault="00000000">
      <w:r>
        <w:t>478.</w:t>
      </w:r>
      <w:r>
        <w:tab/>
        <w:t>За последние десять лет система образования претерпела заметные изменения как на уровне контингента учащихся, так и на уровне инфраструктуры или подготовки специалистов, необходимых для обеспечения социально-экономического развития страны.</w:t>
      </w:r>
    </w:p>
    <w:p w:rsidR="00000000" w:rsidRDefault="00000000">
      <w:r>
        <w:t>479.</w:t>
      </w:r>
      <w:r>
        <w:tab/>
        <w:t>Необходимость создания в стране соответствующей ее самобытности системы бесплатного для всех образования без какой-либо дискриминации является сегодня одной из основных задач в Тунисе.</w:t>
      </w:r>
    </w:p>
    <w:p w:rsidR="00000000" w:rsidRDefault="00000000">
      <w:pPr>
        <w:spacing w:before="240" w:line="240" w:lineRule="auto"/>
        <w:rPr>
          <w:sz w:val="28"/>
        </w:rPr>
      </w:pPr>
      <w:r>
        <w:rPr>
          <w:b/>
          <w:sz w:val="28"/>
        </w:rPr>
        <w:t>I.</w:t>
      </w:r>
      <w:r>
        <w:rPr>
          <w:b/>
          <w:sz w:val="28"/>
        </w:rPr>
        <w:tab/>
        <w:t>Дошкольное образование</w:t>
      </w:r>
      <w:r>
        <w:rPr>
          <w:sz w:val="28"/>
        </w:rPr>
        <w:t xml:space="preserve"> </w:t>
      </w:r>
    </w:p>
    <w:p w:rsidR="00000000" w:rsidRDefault="00000000">
      <w:r>
        <w:t>480.</w:t>
      </w:r>
      <w:r>
        <w:tab/>
        <w:t>Дошкольным образованием занимаются два типа учреждений, а именно ясли и детские сады.</w:t>
      </w:r>
    </w:p>
    <w:p w:rsidR="00000000" w:rsidRDefault="00000000">
      <w:pPr>
        <w:spacing w:after="180" w:line="260" w:lineRule="exact"/>
        <w:rPr>
          <w:sz w:val="22"/>
        </w:rPr>
      </w:pPr>
      <w:r>
        <w:rPr>
          <w:b/>
          <w:sz w:val="22"/>
        </w:rPr>
        <w:t>I.1.</w:t>
      </w:r>
      <w:r>
        <w:rPr>
          <w:b/>
          <w:sz w:val="22"/>
        </w:rPr>
        <w:tab/>
        <w:t>Ясли</w:t>
      </w:r>
      <w:r>
        <w:rPr>
          <w:sz w:val="22"/>
        </w:rPr>
        <w:t xml:space="preserve"> </w:t>
      </w:r>
    </w:p>
    <w:p w:rsidR="00000000" w:rsidRDefault="00000000">
      <w:pPr>
        <w:spacing w:after="0"/>
      </w:pPr>
      <w:r>
        <w:t>481.</w:t>
      </w:r>
      <w:r>
        <w:tab/>
        <w:t>В настоящее время функционируют 77 яслей, предназначенных для детей в возрасте от двух месяцев до трех лет, которые посещают 1224 ребенка, из них 314 в возрасте от двух месяцев до одного года.</w:t>
      </w:r>
    </w:p>
    <w:p w:rsidR="00000000" w:rsidRDefault="00000000">
      <w:r>
        <w:t>482.</w:t>
      </w:r>
      <w:r>
        <w:tab/>
        <w:t>В Высшем институте подготовки специалистов для детских учреждений был организован ряд курсов для воспитателей яслей с целью повышения их квалификации (теоретических, технических и практических знаний ).</w:t>
      </w:r>
    </w:p>
    <w:p w:rsidR="00000000" w:rsidRDefault="00000000">
      <w:pPr>
        <w:spacing w:before="120"/>
        <w:rPr>
          <w:sz w:val="22"/>
        </w:rPr>
      </w:pPr>
      <w:r>
        <w:rPr>
          <w:b/>
          <w:sz w:val="22"/>
        </w:rPr>
        <w:t>I.2.</w:t>
      </w:r>
      <w:r>
        <w:rPr>
          <w:b/>
          <w:sz w:val="22"/>
        </w:rPr>
        <w:tab/>
        <w:t>Детские сады</w:t>
      </w:r>
    </w:p>
    <w:p w:rsidR="00000000" w:rsidRDefault="00000000">
      <w:r>
        <w:t>483.</w:t>
      </w:r>
      <w:r>
        <w:tab/>
        <w:t xml:space="preserve">В 1997 году в стране было 1200 детских садов для детей от трех до шести лет, которые посещали </w:t>
      </w:r>
      <w:r>
        <w:br/>
        <w:t>72 316 детей (в 1991 году было 692 детских сада для 45 200 детей).</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1134"/>
        <w:gridCol w:w="1134"/>
        <w:gridCol w:w="1134"/>
      </w:tblGrid>
      <w:tr w:rsidR="00000000">
        <w:tblPrEx>
          <w:tblCellMar>
            <w:top w:w="0" w:type="dxa"/>
            <w:bottom w:w="0" w:type="dxa"/>
          </w:tblCellMar>
        </w:tblPrEx>
        <w:trPr>
          <w:jc w:val="center"/>
        </w:trPr>
        <w:tc>
          <w:tcPr>
            <w:tcW w:w="1701" w:type="dxa"/>
          </w:tcPr>
          <w:p w:rsidR="00000000" w:rsidRDefault="00000000">
            <w:pPr>
              <w:spacing w:before="40" w:after="40" w:line="220" w:lineRule="exact"/>
              <w:rPr>
                <w:b/>
                <w:sz w:val="18"/>
              </w:rPr>
            </w:pPr>
            <w:r>
              <w:rPr>
                <w:b/>
                <w:sz w:val="18"/>
              </w:rPr>
              <w:t>Год</w:t>
            </w:r>
          </w:p>
        </w:tc>
        <w:tc>
          <w:tcPr>
            <w:tcW w:w="1134" w:type="dxa"/>
          </w:tcPr>
          <w:p w:rsidR="00000000" w:rsidRDefault="00000000">
            <w:pPr>
              <w:spacing w:before="40" w:after="40" w:line="220" w:lineRule="exact"/>
              <w:jc w:val="center"/>
              <w:rPr>
                <w:b/>
                <w:sz w:val="18"/>
              </w:rPr>
            </w:pPr>
            <w:r>
              <w:rPr>
                <w:b/>
                <w:sz w:val="18"/>
              </w:rPr>
              <w:t>1991</w:t>
            </w:r>
          </w:p>
        </w:tc>
        <w:tc>
          <w:tcPr>
            <w:tcW w:w="1134" w:type="dxa"/>
          </w:tcPr>
          <w:p w:rsidR="00000000" w:rsidRDefault="00000000">
            <w:pPr>
              <w:spacing w:before="40" w:after="40" w:line="220" w:lineRule="exact"/>
              <w:jc w:val="center"/>
              <w:rPr>
                <w:b/>
                <w:sz w:val="18"/>
              </w:rPr>
            </w:pPr>
            <w:r>
              <w:rPr>
                <w:b/>
                <w:sz w:val="18"/>
              </w:rPr>
              <w:t>1995</w:t>
            </w:r>
          </w:p>
        </w:tc>
        <w:tc>
          <w:tcPr>
            <w:tcW w:w="1134" w:type="dxa"/>
          </w:tcPr>
          <w:p w:rsidR="00000000" w:rsidRDefault="00000000">
            <w:pPr>
              <w:spacing w:before="40" w:after="40" w:line="220" w:lineRule="exact"/>
              <w:jc w:val="center"/>
              <w:rPr>
                <w:sz w:val="18"/>
              </w:rPr>
            </w:pPr>
            <w:r>
              <w:rPr>
                <w:b/>
                <w:sz w:val="18"/>
              </w:rPr>
              <w:t>1997</w:t>
            </w:r>
          </w:p>
        </w:tc>
      </w:tr>
      <w:tr w:rsidR="00000000">
        <w:tblPrEx>
          <w:tblCellMar>
            <w:top w:w="0" w:type="dxa"/>
            <w:bottom w:w="0" w:type="dxa"/>
          </w:tblCellMar>
        </w:tblPrEx>
        <w:trPr>
          <w:jc w:val="center"/>
        </w:trPr>
        <w:tc>
          <w:tcPr>
            <w:tcW w:w="1701" w:type="dxa"/>
          </w:tcPr>
          <w:p w:rsidR="00000000" w:rsidRDefault="00000000">
            <w:pPr>
              <w:spacing w:before="40" w:after="40" w:line="220" w:lineRule="exact"/>
              <w:rPr>
                <w:sz w:val="18"/>
              </w:rPr>
            </w:pPr>
            <w:r>
              <w:rPr>
                <w:sz w:val="18"/>
              </w:rPr>
              <w:t>Количество детских садов</w:t>
            </w:r>
          </w:p>
        </w:tc>
        <w:tc>
          <w:tcPr>
            <w:tcW w:w="1134" w:type="dxa"/>
          </w:tcPr>
          <w:p w:rsidR="00000000" w:rsidRDefault="00000000">
            <w:pPr>
              <w:spacing w:before="40" w:after="40" w:line="220" w:lineRule="exact"/>
              <w:jc w:val="center"/>
              <w:rPr>
                <w:sz w:val="18"/>
              </w:rPr>
            </w:pPr>
            <w:r>
              <w:rPr>
                <w:sz w:val="18"/>
              </w:rPr>
              <w:t>692</w:t>
            </w:r>
          </w:p>
        </w:tc>
        <w:tc>
          <w:tcPr>
            <w:tcW w:w="1134" w:type="dxa"/>
          </w:tcPr>
          <w:p w:rsidR="00000000" w:rsidRDefault="00000000">
            <w:pPr>
              <w:spacing w:before="40" w:after="40" w:line="220" w:lineRule="exact"/>
              <w:jc w:val="center"/>
              <w:rPr>
                <w:sz w:val="18"/>
              </w:rPr>
            </w:pPr>
            <w:r>
              <w:rPr>
                <w:sz w:val="18"/>
              </w:rPr>
              <w:t>1042</w:t>
            </w:r>
          </w:p>
        </w:tc>
        <w:tc>
          <w:tcPr>
            <w:tcW w:w="1134" w:type="dxa"/>
          </w:tcPr>
          <w:p w:rsidR="00000000" w:rsidRDefault="00000000">
            <w:pPr>
              <w:spacing w:before="40" w:after="40" w:line="220" w:lineRule="exact"/>
              <w:jc w:val="center"/>
              <w:rPr>
                <w:sz w:val="18"/>
              </w:rPr>
            </w:pPr>
            <w:r>
              <w:rPr>
                <w:sz w:val="18"/>
              </w:rPr>
              <w:t>1200</w:t>
            </w:r>
          </w:p>
        </w:tc>
      </w:tr>
      <w:tr w:rsidR="00000000">
        <w:tblPrEx>
          <w:tblCellMar>
            <w:top w:w="0" w:type="dxa"/>
            <w:bottom w:w="0" w:type="dxa"/>
          </w:tblCellMar>
        </w:tblPrEx>
        <w:trPr>
          <w:jc w:val="center"/>
        </w:trPr>
        <w:tc>
          <w:tcPr>
            <w:tcW w:w="1701" w:type="dxa"/>
          </w:tcPr>
          <w:p w:rsidR="00000000" w:rsidRDefault="00000000">
            <w:pPr>
              <w:spacing w:before="40" w:after="40" w:line="220" w:lineRule="exact"/>
              <w:rPr>
                <w:sz w:val="18"/>
              </w:rPr>
            </w:pPr>
            <w:r>
              <w:rPr>
                <w:sz w:val="18"/>
              </w:rPr>
              <w:t>Число детей</w:t>
            </w:r>
          </w:p>
        </w:tc>
        <w:tc>
          <w:tcPr>
            <w:tcW w:w="1134" w:type="dxa"/>
          </w:tcPr>
          <w:p w:rsidR="00000000" w:rsidRDefault="00000000">
            <w:pPr>
              <w:spacing w:before="40" w:after="40" w:line="220" w:lineRule="exact"/>
              <w:jc w:val="center"/>
              <w:rPr>
                <w:sz w:val="18"/>
              </w:rPr>
            </w:pPr>
            <w:r>
              <w:rPr>
                <w:sz w:val="18"/>
              </w:rPr>
              <w:t>45 200</w:t>
            </w:r>
          </w:p>
        </w:tc>
        <w:tc>
          <w:tcPr>
            <w:tcW w:w="1134" w:type="dxa"/>
          </w:tcPr>
          <w:p w:rsidR="00000000" w:rsidRDefault="00000000">
            <w:pPr>
              <w:spacing w:before="40" w:after="40" w:line="220" w:lineRule="exact"/>
              <w:jc w:val="center"/>
              <w:rPr>
                <w:sz w:val="18"/>
              </w:rPr>
            </w:pPr>
            <w:r>
              <w:rPr>
                <w:sz w:val="18"/>
              </w:rPr>
              <w:t>64 490</w:t>
            </w:r>
          </w:p>
        </w:tc>
        <w:tc>
          <w:tcPr>
            <w:tcW w:w="1134" w:type="dxa"/>
          </w:tcPr>
          <w:p w:rsidR="00000000" w:rsidRDefault="00000000">
            <w:pPr>
              <w:spacing w:before="40" w:after="40" w:line="220" w:lineRule="exact"/>
              <w:jc w:val="center"/>
              <w:rPr>
                <w:sz w:val="18"/>
              </w:rPr>
            </w:pPr>
            <w:r>
              <w:rPr>
                <w:sz w:val="18"/>
              </w:rPr>
              <w:t>72 316</w:t>
            </w:r>
          </w:p>
        </w:tc>
      </w:tr>
    </w:tbl>
    <w:p w:rsidR="00000000" w:rsidRDefault="00000000">
      <w:pPr>
        <w:spacing w:before="120"/>
        <w:ind w:right="2274"/>
        <w:jc w:val="right"/>
        <w:rPr>
          <w:b/>
          <w:sz w:val="18"/>
        </w:rPr>
      </w:pPr>
      <w:r>
        <w:rPr>
          <w:b/>
          <w:sz w:val="18"/>
        </w:rPr>
        <w:t>Источник: Министерство по делам молодежи и детства</w:t>
      </w:r>
    </w:p>
    <w:p w:rsidR="00000000" w:rsidRDefault="00000000">
      <w:r>
        <w:t>484.</w:t>
      </w:r>
      <w:r>
        <w:tab/>
        <w:t>Такой прогресс в деле создания детских садов является результатом стратегии, осуществляемой в рамках Национального плана действий по выживанию, защите и развитию ребенка (1992–2001 годы), главной целью которого является количественное и качественное улучшение этих учреждений.</w:t>
      </w:r>
    </w:p>
    <w:p w:rsidR="00000000" w:rsidRDefault="00000000">
      <w:r>
        <w:t>485.</w:t>
      </w:r>
      <w:r>
        <w:tab/>
        <w:t>В связи с развитием сектора детских садов была подписана рамочная конвенция с тремя национальными организациями, занимающимися вопросами детства, с целью оказания им помощи по созданию новых учреждений, особенно в сельских районах и районах с большой плотностью населения.</w:t>
      </w:r>
    </w:p>
    <w:p w:rsidR="00000000" w:rsidRDefault="00000000">
      <w:r>
        <w:t>486.</w:t>
      </w:r>
      <w:r>
        <w:tab/>
        <w:t xml:space="preserve">Сектор дошкольного образования был включен в кодекс поощрения инвестиций (1993 год), в котором предусмотрены льготы для привлечения частных инвесторов создавать детские сады. </w:t>
      </w:r>
    </w:p>
    <w:p w:rsidR="00000000" w:rsidRDefault="00000000">
      <w:r>
        <w:t>487.</w:t>
      </w:r>
      <w:r>
        <w:tab/>
        <w:t>В результате исследования, проведенного в 1996–1997 годах, была разработана стратегия профессиональной подготовки педагогического персонала, не имеющего дипломов воспитателей дошкольных учреждений. Этот персонал состоит главным образом из женщин-культработников. Практические результаты этого исследования (печатные и аудиовизуальные пособия) будут использоваться для экстенсивной профессиональной подготовки в период 1998–2001 годов.</w:t>
      </w:r>
    </w:p>
    <w:p w:rsidR="00000000" w:rsidRDefault="00000000">
      <w:r>
        <w:t>488.</w:t>
      </w:r>
      <w:r>
        <w:tab/>
        <w:t>Была разработана программа по совершенствованию воспитательной работы с дошкольниками в целях содействия повышению квалификации педагогов и воспитателей детских садов.</w:t>
      </w:r>
    </w:p>
    <w:p w:rsidR="00000000" w:rsidRDefault="00000000">
      <w:pPr>
        <w:spacing w:before="120" w:line="240" w:lineRule="auto"/>
        <w:rPr>
          <w:b/>
          <w:sz w:val="28"/>
        </w:rPr>
      </w:pPr>
      <w:r>
        <w:rPr>
          <w:b/>
          <w:sz w:val="28"/>
        </w:rPr>
        <w:t>II.</w:t>
      </w:r>
      <w:r>
        <w:rPr>
          <w:b/>
          <w:sz w:val="28"/>
        </w:rPr>
        <w:tab/>
        <w:t>Эволюция системы образования</w:t>
      </w:r>
    </w:p>
    <w:p w:rsidR="00000000" w:rsidRDefault="00000000">
      <w:r>
        <w:t>489.</w:t>
      </w:r>
      <w:r>
        <w:tab/>
        <w:t xml:space="preserve">Чтобы идти в ногу с эволюцией в системе образования в мире, а также с целью адаптироваться к новым реалиям в стране в системе образования Туниса была проведена глубокая реформа (закон от 29 июля </w:t>
      </w:r>
      <w:r>
        <w:br/>
        <w:t>1991 года). В связи с этим и учитывая научно-техническую революцию в мире, в Тунисе начался процесс всенародного обсуждения и изучения проблемы школы завтрашнего дня, с тем чтобы определить, какие изменения следует ввести в школьную систему XXI века. Молодые люди должны получать в школе соответствующую подготовку, чтобы без труда интегрироваться в постоянно меняющемся мире, характеризующемся богатством открытий и быстрыми преобразованиями.</w:t>
      </w:r>
    </w:p>
    <w:p w:rsidR="00000000" w:rsidRDefault="00000000">
      <w:pPr>
        <w:spacing w:after="60"/>
      </w:pPr>
      <w:r>
        <w:t>490.</w:t>
      </w:r>
      <w:r>
        <w:tab/>
        <w:t xml:space="preserve">Школьная система в Тунисе включает два уровня: </w:t>
      </w:r>
    </w:p>
    <w:p w:rsidR="00000000" w:rsidRDefault="00000000">
      <w:pPr>
        <w:spacing w:after="60"/>
      </w:pPr>
      <w:r>
        <w:rPr>
          <w:lang w:val="en-US"/>
        </w:rPr>
        <w:tab/>
      </w:r>
      <w:r>
        <w:t>–</w:t>
      </w:r>
      <w:r>
        <w:tab/>
        <w:t>базовое образование;</w:t>
      </w:r>
    </w:p>
    <w:p w:rsidR="00000000" w:rsidRDefault="00000000">
      <w:r>
        <w:rPr>
          <w:lang w:val="en-US"/>
        </w:rPr>
        <w:tab/>
      </w:r>
      <w:r>
        <w:t>–</w:t>
      </w:r>
      <w:r>
        <w:tab/>
        <w:t>среднее образование.</w:t>
      </w:r>
    </w:p>
    <w:p w:rsidR="00000000" w:rsidRDefault="00000000">
      <w:pPr>
        <w:spacing w:after="200"/>
      </w:pPr>
      <w:r>
        <w:t>491.</w:t>
      </w:r>
      <w:r>
        <w:tab/>
        <w:t>В основе глобальной реформы всей системы образования и профессиональной подготовки лежит базовое образование (6–16 лет), которое обеспечивает базовый уровень, необходимый для прохождения следующей ступени, будь то общеобразовательной, технической или профессиональной, и облегчающий интеграцию молодых людей в активную жизнь. Благодаря базовой школе удается, в частности, контролировать такое явление, как преждевременный уход из школы.</w:t>
      </w:r>
    </w:p>
    <w:p w:rsidR="00000000" w:rsidRDefault="00000000">
      <w:pPr>
        <w:spacing w:after="200"/>
      </w:pPr>
      <w:r>
        <w:t>492.</w:t>
      </w:r>
      <w:r>
        <w:tab/>
        <w:t>Базовое образование включает девять лет учебы; базовые школы существуют с 1989 года. Базовое образование является бесплатным и обязательным для всех детей без какой бы то ни было дискриминации в возрасте от 6 до 16 лет. Учеба на этом уровне образования делится на два последовательных этапа.</w:t>
      </w:r>
    </w:p>
    <w:p w:rsidR="00000000" w:rsidRDefault="00000000">
      <w:pPr>
        <w:spacing w:after="200"/>
      </w:pPr>
      <w:r>
        <w:t>493.</w:t>
      </w:r>
      <w:r>
        <w:tab/>
        <w:t>Первый этап базового образования, продолжительностью в шесть лет, дает общее образование с учетом различных аспектов личности ребенка. Задача этого этапа состоит в установлении связи между размышлением и действием, являющимися двумя основными аспектами человеческой деятельности. Таким образом на этом этапе образования ребенок получает базовые знания, развивает свои способности и формирует сознание. Вместе с тем он получает образование, соответствующее национальной культуре и дающее практические навыки в области ручного труда и технической подготовки.</w:t>
      </w:r>
    </w:p>
    <w:p w:rsidR="00000000" w:rsidRDefault="00000000">
      <w:pPr>
        <w:spacing w:after="200"/>
      </w:pPr>
      <w:r>
        <w:t>494.</w:t>
      </w:r>
      <w:r>
        <w:tab/>
        <w:t>На втором этапе базового образования, продолжительностью в три года, учащиеся закрепляют приобретенные ими на первом этапе общие знания и на основе изучения различных дисциплин получают общую подготовку, развивающую их умственные способности и практические навыки, чтобы иметь возможность продолжить обучение или включиться в профессиональную жизнь в качестве высокоответственного гражданина.</w:t>
      </w:r>
    </w:p>
    <w:p w:rsidR="00000000" w:rsidRDefault="00000000">
      <w:pPr>
        <w:spacing w:after="200"/>
      </w:pPr>
      <w:r>
        <w:t>495.</w:t>
      </w:r>
      <w:r>
        <w:tab/>
        <w:t>Начиная с 1997/98 учебного года для поступления в среднюю школу учащимся девятых классов базовой образовательной школы необходимо сдать вступительный экзамен, который организуется на общенациональном уровне. Среднее образование начиная с 1998/99 учебного года имеет четырехлетний цикл обучения, включающий двухгодичный курс общеобразовательной подготовки, по завершении которого учащиеся, перешедшие в шестой класс, ориентируются на второй двухлетний курс, включающий пять дисциплин: литературу, естественные науки, математику, технические науки и экономику, а также вопросы управления. По завершении этого курса обучения учащиеся получают степень бакалавра.</w:t>
      </w:r>
    </w:p>
    <w:p w:rsidR="00000000" w:rsidRDefault="00000000">
      <w:pPr>
        <w:spacing w:after="200"/>
      </w:pPr>
      <w:r>
        <w:t>496.</w:t>
      </w:r>
      <w:r>
        <w:tab/>
        <w:t xml:space="preserve">Эта новая система была введена с 1991/92 учебного года. Ориентация по программе третьего класса прежней системы была перенесена на пятый класс новой системы, ставший вторым классом средней школы. </w:t>
      </w:r>
    </w:p>
    <w:p w:rsidR="00000000" w:rsidRDefault="00000000">
      <w:pPr>
        <w:spacing w:after="200"/>
      </w:pPr>
      <w:r>
        <w:t>497.</w:t>
      </w:r>
      <w:r>
        <w:tab/>
        <w:t>Конечная цель среднего образования заключается в том, чтобы подготовить учащихся к специализации, развивать у них навыки, умения и способности, с тем чтобы они могли идти в ногу с эволюцией в области знаний и проявлять интерес к познанию, самоподготовке и творчеству.</w:t>
      </w:r>
    </w:p>
    <w:p w:rsidR="00000000" w:rsidRDefault="00000000">
      <w:pPr>
        <w:spacing w:after="200"/>
      </w:pPr>
      <w:r>
        <w:t>498.</w:t>
      </w:r>
      <w:r>
        <w:tab/>
        <w:t>Среднее образование является бесплатным. Более того, некоторые учащиеся получают государственную стипендию для оплаты жилья и питания. В 1997/98 учебном году из 69 836 стипендиатов насчитывалось 31 777 девушек, то есть 45,5 процента (из которых 29,5 процента – в четырех сельских районах Джендуба, Кайруан, Кассерин и Сиди-Бу-Зид).</w:t>
      </w:r>
    </w:p>
    <w:p w:rsidR="00000000" w:rsidRDefault="00000000">
      <w:r>
        <w:t>499.</w:t>
      </w:r>
      <w:r>
        <w:tab/>
        <w:t xml:space="preserve">Число средних учебных заведений в 1996/97 учебном году достигло 829, то есть по сравнению с </w:t>
      </w:r>
      <w:r>
        <w:br/>
        <w:t>1992/93 учебным годом их стало на 204 заведения больше. Среди этих учебных заведений шесть являются экспериментальными лицеями, созданными в городах Ариана, Эль-Кеф, Гафса, Сус, Сфакс и Тунис. Число технических учебных заведений с 1992 года достигло 89 в 1996/97 учебном году.</w:t>
      </w:r>
    </w:p>
    <w:p w:rsidR="00000000" w:rsidRDefault="00000000">
      <w:pPr>
        <w:spacing w:before="120" w:line="260" w:lineRule="exact"/>
        <w:rPr>
          <w:b/>
          <w:sz w:val="22"/>
        </w:rPr>
      </w:pPr>
      <w:r>
        <w:rPr>
          <w:b/>
          <w:sz w:val="22"/>
        </w:rPr>
        <w:t>II.1.</w:t>
      </w:r>
      <w:r>
        <w:rPr>
          <w:b/>
          <w:sz w:val="22"/>
        </w:rPr>
        <w:tab/>
        <w:t>Статистические данные</w:t>
      </w:r>
    </w:p>
    <w:p w:rsidR="00000000" w:rsidRDefault="00000000">
      <w:pPr>
        <w:spacing w:before="120" w:line="260" w:lineRule="exact"/>
        <w:rPr>
          <w:b/>
          <w:sz w:val="22"/>
        </w:rPr>
      </w:pPr>
      <w:r>
        <w:rPr>
          <w:b/>
          <w:sz w:val="22"/>
        </w:rPr>
        <w:t>II.1.1.</w:t>
      </w:r>
      <w:r>
        <w:rPr>
          <w:b/>
          <w:sz w:val="22"/>
        </w:rPr>
        <w:tab/>
        <w:t>Динамика охвата девушек школьным обучением</w:t>
      </w:r>
    </w:p>
    <w:p w:rsidR="00000000" w:rsidRDefault="00000000">
      <w:pPr>
        <w:rPr>
          <w:b/>
        </w:rPr>
      </w:pPr>
      <w:r>
        <w:rPr>
          <w:b/>
        </w:rPr>
        <w:t xml:space="preserve">а) </w:t>
      </w:r>
      <w:r>
        <w:rPr>
          <w:b/>
        </w:rPr>
        <w:tab/>
        <w:t xml:space="preserve">Контингент школьников: </w:t>
      </w:r>
    </w:p>
    <w:p w:rsidR="00000000" w:rsidRDefault="00000000">
      <w:r>
        <w:t>500.</w:t>
      </w:r>
      <w:r>
        <w:tab/>
        <w:t>Данные об эволюции контингента школьников на всех уровнях образования показывают, что разрыв между девочками и мальчиками неуклонно и быстро сокращается с тенденцией к равному числу тех и других.</w:t>
      </w:r>
    </w:p>
    <w:p w:rsidR="00000000" w:rsidRDefault="00000000">
      <w:r>
        <w:t>501.</w:t>
      </w:r>
      <w:r>
        <w:tab/>
        <w:t>В период между 1992/93 и 1997/98 учебными годами рост контингента учащихся в начальных школах проходил значительно быстрее у девочек, чем у мальчиков, что способствовало постепенной ликвидации разрыва между ними.</w:t>
      </w:r>
    </w:p>
    <w:p w:rsidR="00000000" w:rsidRDefault="00000000">
      <w:pPr>
        <w:spacing w:before="240"/>
        <w:jc w:val="center"/>
        <w:rPr>
          <w:b/>
        </w:rPr>
      </w:pPr>
      <w:r>
        <w:rPr>
          <w:b/>
        </w:rPr>
        <w:t>Динамика роста контингента учащихся первого этапа базового образования</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34"/>
        <w:gridCol w:w="1134"/>
        <w:gridCol w:w="1134"/>
        <w:gridCol w:w="1134"/>
        <w:gridCol w:w="1134"/>
        <w:gridCol w:w="1134"/>
        <w:gridCol w:w="1134"/>
        <w:gridCol w:w="1134"/>
      </w:tblGrid>
      <w:tr w:rsidR="00000000">
        <w:tblPrEx>
          <w:tblCellMar>
            <w:top w:w="0" w:type="dxa"/>
            <w:bottom w:w="0" w:type="dxa"/>
          </w:tblCellMar>
        </w:tblPrEx>
        <w:trPr>
          <w:cantSplit/>
          <w:jc w:val="center"/>
        </w:trPr>
        <w:tc>
          <w:tcPr>
            <w:tcW w:w="1134" w:type="dxa"/>
            <w:vMerge w:val="restart"/>
          </w:tcPr>
          <w:p w:rsidR="00000000" w:rsidRDefault="00000000">
            <w:pPr>
              <w:spacing w:before="80" w:after="80" w:line="220" w:lineRule="exact"/>
              <w:jc w:val="center"/>
              <w:rPr>
                <w:b/>
                <w:sz w:val="18"/>
              </w:rPr>
            </w:pPr>
            <w:r>
              <w:rPr>
                <w:b/>
                <w:sz w:val="18"/>
              </w:rPr>
              <w:t>Учебный год</w:t>
            </w:r>
          </w:p>
        </w:tc>
        <w:tc>
          <w:tcPr>
            <w:tcW w:w="3402" w:type="dxa"/>
            <w:gridSpan w:val="3"/>
          </w:tcPr>
          <w:p w:rsidR="00000000" w:rsidRDefault="00000000">
            <w:pPr>
              <w:spacing w:before="80" w:after="80" w:line="220" w:lineRule="exact"/>
              <w:jc w:val="center"/>
              <w:rPr>
                <w:b/>
                <w:sz w:val="18"/>
              </w:rPr>
            </w:pPr>
            <w:r>
              <w:rPr>
                <w:b/>
                <w:sz w:val="18"/>
              </w:rPr>
              <w:t>Контингент учащихся</w:t>
            </w:r>
          </w:p>
        </w:tc>
        <w:tc>
          <w:tcPr>
            <w:tcW w:w="4536" w:type="dxa"/>
            <w:gridSpan w:val="4"/>
          </w:tcPr>
          <w:p w:rsidR="00000000" w:rsidRDefault="00000000">
            <w:pPr>
              <w:spacing w:before="80" w:after="80" w:line="220" w:lineRule="exact"/>
              <w:jc w:val="center"/>
              <w:rPr>
                <w:b/>
                <w:sz w:val="18"/>
              </w:rPr>
            </w:pPr>
            <w:r>
              <w:rPr>
                <w:b/>
                <w:sz w:val="18"/>
              </w:rPr>
              <w:t>Индекс роста</w:t>
            </w:r>
          </w:p>
        </w:tc>
      </w:tr>
      <w:tr w:rsidR="00000000">
        <w:tblPrEx>
          <w:tblCellMar>
            <w:top w:w="0" w:type="dxa"/>
            <w:bottom w:w="0" w:type="dxa"/>
          </w:tblCellMar>
        </w:tblPrEx>
        <w:trPr>
          <w:cantSplit/>
          <w:jc w:val="center"/>
        </w:trPr>
        <w:tc>
          <w:tcPr>
            <w:tcW w:w="1134" w:type="dxa"/>
            <w:vMerge/>
          </w:tcPr>
          <w:p w:rsidR="00000000" w:rsidRDefault="00000000">
            <w:pPr>
              <w:spacing w:before="80" w:after="80" w:line="220" w:lineRule="exact"/>
              <w:rPr>
                <w:sz w:val="18"/>
              </w:rPr>
            </w:pPr>
          </w:p>
        </w:tc>
        <w:tc>
          <w:tcPr>
            <w:tcW w:w="1134" w:type="dxa"/>
          </w:tcPr>
          <w:p w:rsidR="00000000" w:rsidRDefault="00000000">
            <w:pPr>
              <w:spacing w:before="80" w:after="80" w:line="220" w:lineRule="exact"/>
              <w:jc w:val="center"/>
              <w:rPr>
                <w:sz w:val="18"/>
              </w:rPr>
            </w:pPr>
            <w:r>
              <w:rPr>
                <w:sz w:val="18"/>
              </w:rPr>
              <w:t>мальчики</w:t>
            </w:r>
          </w:p>
        </w:tc>
        <w:tc>
          <w:tcPr>
            <w:tcW w:w="1134" w:type="dxa"/>
          </w:tcPr>
          <w:p w:rsidR="00000000" w:rsidRDefault="00000000">
            <w:pPr>
              <w:spacing w:before="80" w:after="80" w:line="220" w:lineRule="exact"/>
              <w:jc w:val="center"/>
              <w:rPr>
                <w:sz w:val="18"/>
              </w:rPr>
            </w:pPr>
            <w:r>
              <w:rPr>
                <w:sz w:val="18"/>
              </w:rPr>
              <w:t>девочки</w:t>
            </w:r>
          </w:p>
        </w:tc>
        <w:tc>
          <w:tcPr>
            <w:tcW w:w="1134" w:type="dxa"/>
          </w:tcPr>
          <w:p w:rsidR="00000000" w:rsidRDefault="00000000">
            <w:pPr>
              <w:spacing w:before="80" w:after="80" w:line="220" w:lineRule="exact"/>
              <w:jc w:val="center"/>
              <w:rPr>
                <w:sz w:val="18"/>
              </w:rPr>
            </w:pPr>
            <w:r>
              <w:rPr>
                <w:sz w:val="18"/>
              </w:rPr>
              <w:t>всего</w:t>
            </w:r>
          </w:p>
        </w:tc>
        <w:tc>
          <w:tcPr>
            <w:tcW w:w="1134" w:type="dxa"/>
          </w:tcPr>
          <w:p w:rsidR="00000000" w:rsidRDefault="00000000">
            <w:pPr>
              <w:spacing w:before="80" w:after="80" w:line="220" w:lineRule="exact"/>
              <w:jc w:val="center"/>
              <w:rPr>
                <w:sz w:val="18"/>
              </w:rPr>
            </w:pPr>
            <w:r>
              <w:rPr>
                <w:sz w:val="18"/>
              </w:rPr>
              <w:t>мальчики</w:t>
            </w:r>
          </w:p>
        </w:tc>
        <w:tc>
          <w:tcPr>
            <w:tcW w:w="1134" w:type="dxa"/>
          </w:tcPr>
          <w:p w:rsidR="00000000" w:rsidRDefault="00000000">
            <w:pPr>
              <w:spacing w:before="80" w:after="80" w:line="220" w:lineRule="exact"/>
              <w:jc w:val="center"/>
              <w:rPr>
                <w:sz w:val="18"/>
              </w:rPr>
            </w:pPr>
            <w:r>
              <w:rPr>
                <w:sz w:val="18"/>
              </w:rPr>
              <w:t>девочки</w:t>
            </w:r>
          </w:p>
        </w:tc>
        <w:tc>
          <w:tcPr>
            <w:tcW w:w="1134" w:type="dxa"/>
          </w:tcPr>
          <w:p w:rsidR="00000000" w:rsidRDefault="00000000">
            <w:pPr>
              <w:spacing w:before="80" w:after="80" w:line="220" w:lineRule="exact"/>
              <w:jc w:val="center"/>
              <w:rPr>
                <w:sz w:val="18"/>
              </w:rPr>
            </w:pPr>
            <w:r>
              <w:rPr>
                <w:sz w:val="18"/>
              </w:rPr>
              <w:t>всего</w:t>
            </w:r>
          </w:p>
        </w:tc>
        <w:tc>
          <w:tcPr>
            <w:tcW w:w="1134" w:type="dxa"/>
          </w:tcPr>
          <w:p w:rsidR="00000000" w:rsidRDefault="00000000">
            <w:pPr>
              <w:spacing w:before="80" w:after="80" w:line="220" w:lineRule="exact"/>
              <w:jc w:val="center"/>
              <w:rPr>
                <w:sz w:val="18"/>
              </w:rPr>
            </w:pPr>
            <w:r>
              <w:rPr>
                <w:sz w:val="18"/>
              </w:rPr>
              <w:t>процент-ная доля девочек</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rPr>
                <w:sz w:val="18"/>
              </w:rPr>
            </w:pPr>
            <w:r>
              <w:rPr>
                <w:sz w:val="18"/>
              </w:rPr>
              <w:t>1992/93</w:t>
            </w:r>
          </w:p>
        </w:tc>
        <w:tc>
          <w:tcPr>
            <w:tcW w:w="1134" w:type="dxa"/>
          </w:tcPr>
          <w:p w:rsidR="00000000" w:rsidRDefault="00000000">
            <w:pPr>
              <w:spacing w:before="80" w:after="80" w:line="220" w:lineRule="exact"/>
              <w:jc w:val="center"/>
              <w:rPr>
                <w:sz w:val="18"/>
              </w:rPr>
            </w:pPr>
            <w:r>
              <w:rPr>
                <w:sz w:val="18"/>
              </w:rPr>
              <w:t>768 031</w:t>
            </w:r>
          </w:p>
        </w:tc>
        <w:tc>
          <w:tcPr>
            <w:tcW w:w="1134" w:type="dxa"/>
          </w:tcPr>
          <w:p w:rsidR="00000000" w:rsidRDefault="00000000">
            <w:pPr>
              <w:spacing w:before="80" w:after="80" w:line="220" w:lineRule="exact"/>
              <w:jc w:val="center"/>
              <w:rPr>
                <w:sz w:val="18"/>
              </w:rPr>
            </w:pPr>
            <w:r>
              <w:rPr>
                <w:sz w:val="18"/>
              </w:rPr>
              <w:t>664 081</w:t>
            </w:r>
          </w:p>
        </w:tc>
        <w:tc>
          <w:tcPr>
            <w:tcW w:w="1134" w:type="dxa"/>
          </w:tcPr>
          <w:p w:rsidR="00000000" w:rsidRDefault="00000000">
            <w:pPr>
              <w:spacing w:before="80" w:after="80" w:line="220" w:lineRule="exact"/>
              <w:jc w:val="center"/>
              <w:rPr>
                <w:sz w:val="18"/>
              </w:rPr>
            </w:pPr>
            <w:r>
              <w:rPr>
                <w:sz w:val="18"/>
              </w:rPr>
              <w:t>1 432 112</w:t>
            </w:r>
          </w:p>
        </w:tc>
        <w:tc>
          <w:tcPr>
            <w:tcW w:w="1134" w:type="dxa"/>
          </w:tcPr>
          <w:p w:rsidR="00000000" w:rsidRDefault="00000000">
            <w:pPr>
              <w:spacing w:before="80" w:after="80" w:line="220" w:lineRule="exact"/>
              <w:jc w:val="center"/>
              <w:rPr>
                <w:sz w:val="18"/>
              </w:rPr>
            </w:pPr>
            <w:r>
              <w:rPr>
                <w:sz w:val="18"/>
              </w:rPr>
              <w:t>100</w:t>
            </w:r>
          </w:p>
        </w:tc>
        <w:tc>
          <w:tcPr>
            <w:tcW w:w="1134" w:type="dxa"/>
          </w:tcPr>
          <w:p w:rsidR="00000000" w:rsidRDefault="00000000">
            <w:pPr>
              <w:spacing w:before="80" w:after="80" w:line="220" w:lineRule="exact"/>
              <w:jc w:val="center"/>
              <w:rPr>
                <w:sz w:val="18"/>
              </w:rPr>
            </w:pPr>
            <w:r>
              <w:rPr>
                <w:sz w:val="18"/>
              </w:rPr>
              <w:t>100</w:t>
            </w:r>
          </w:p>
        </w:tc>
        <w:tc>
          <w:tcPr>
            <w:tcW w:w="1134" w:type="dxa"/>
          </w:tcPr>
          <w:p w:rsidR="00000000" w:rsidRDefault="00000000">
            <w:pPr>
              <w:spacing w:before="80" w:after="80" w:line="220" w:lineRule="exact"/>
              <w:jc w:val="center"/>
              <w:rPr>
                <w:sz w:val="18"/>
              </w:rPr>
            </w:pPr>
            <w:r>
              <w:rPr>
                <w:sz w:val="18"/>
              </w:rPr>
              <w:t>100</w:t>
            </w:r>
          </w:p>
        </w:tc>
        <w:tc>
          <w:tcPr>
            <w:tcW w:w="1134" w:type="dxa"/>
          </w:tcPr>
          <w:p w:rsidR="00000000" w:rsidRDefault="00000000">
            <w:pPr>
              <w:spacing w:before="80" w:after="80" w:line="220" w:lineRule="exact"/>
              <w:jc w:val="center"/>
              <w:rPr>
                <w:sz w:val="18"/>
              </w:rPr>
            </w:pPr>
            <w:r>
              <w:rPr>
                <w:sz w:val="18"/>
              </w:rPr>
              <w:t>46,4</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rPr>
                <w:sz w:val="18"/>
              </w:rPr>
            </w:pPr>
            <w:r>
              <w:rPr>
                <w:sz w:val="18"/>
              </w:rPr>
              <w:t>1993/94</w:t>
            </w:r>
          </w:p>
        </w:tc>
        <w:tc>
          <w:tcPr>
            <w:tcW w:w="1134" w:type="dxa"/>
          </w:tcPr>
          <w:p w:rsidR="00000000" w:rsidRDefault="00000000">
            <w:pPr>
              <w:spacing w:before="80" w:after="80" w:line="220" w:lineRule="exact"/>
              <w:jc w:val="center"/>
              <w:rPr>
                <w:sz w:val="18"/>
              </w:rPr>
            </w:pPr>
            <w:r>
              <w:rPr>
                <w:sz w:val="18"/>
              </w:rPr>
              <w:t>783 600</w:t>
            </w:r>
          </w:p>
        </w:tc>
        <w:tc>
          <w:tcPr>
            <w:tcW w:w="1134" w:type="dxa"/>
          </w:tcPr>
          <w:p w:rsidR="00000000" w:rsidRDefault="00000000">
            <w:pPr>
              <w:spacing w:before="80" w:after="80" w:line="220" w:lineRule="exact"/>
              <w:jc w:val="center"/>
              <w:rPr>
                <w:sz w:val="18"/>
              </w:rPr>
            </w:pPr>
            <w:r>
              <w:rPr>
                <w:sz w:val="18"/>
              </w:rPr>
              <w:t>683 811</w:t>
            </w:r>
          </w:p>
        </w:tc>
        <w:tc>
          <w:tcPr>
            <w:tcW w:w="1134" w:type="dxa"/>
          </w:tcPr>
          <w:p w:rsidR="00000000" w:rsidRDefault="00000000">
            <w:pPr>
              <w:spacing w:before="80" w:after="80" w:line="220" w:lineRule="exact"/>
              <w:jc w:val="center"/>
              <w:rPr>
                <w:sz w:val="18"/>
              </w:rPr>
            </w:pPr>
            <w:r>
              <w:rPr>
                <w:sz w:val="18"/>
              </w:rPr>
              <w:t>1 467 411</w:t>
            </w:r>
          </w:p>
        </w:tc>
        <w:tc>
          <w:tcPr>
            <w:tcW w:w="1134" w:type="dxa"/>
          </w:tcPr>
          <w:p w:rsidR="00000000" w:rsidRDefault="00000000">
            <w:pPr>
              <w:spacing w:before="80" w:after="80" w:line="220" w:lineRule="exact"/>
              <w:jc w:val="center"/>
              <w:rPr>
                <w:sz w:val="18"/>
              </w:rPr>
            </w:pPr>
            <w:r>
              <w:rPr>
                <w:sz w:val="18"/>
              </w:rPr>
              <w:t>102</w:t>
            </w:r>
          </w:p>
        </w:tc>
        <w:tc>
          <w:tcPr>
            <w:tcW w:w="1134" w:type="dxa"/>
          </w:tcPr>
          <w:p w:rsidR="00000000" w:rsidRDefault="00000000">
            <w:pPr>
              <w:spacing w:before="80" w:after="80" w:line="220" w:lineRule="exact"/>
              <w:jc w:val="center"/>
              <w:rPr>
                <w:sz w:val="18"/>
              </w:rPr>
            </w:pPr>
            <w:r>
              <w:rPr>
                <w:sz w:val="18"/>
              </w:rPr>
              <w:t>103</w:t>
            </w:r>
          </w:p>
        </w:tc>
        <w:tc>
          <w:tcPr>
            <w:tcW w:w="1134" w:type="dxa"/>
          </w:tcPr>
          <w:p w:rsidR="00000000" w:rsidRDefault="00000000">
            <w:pPr>
              <w:spacing w:before="80" w:after="80" w:line="220" w:lineRule="exact"/>
              <w:jc w:val="center"/>
              <w:rPr>
                <w:sz w:val="18"/>
              </w:rPr>
            </w:pPr>
            <w:r>
              <w:rPr>
                <w:sz w:val="18"/>
              </w:rPr>
              <w:t>102,5</w:t>
            </w:r>
          </w:p>
        </w:tc>
        <w:tc>
          <w:tcPr>
            <w:tcW w:w="1134" w:type="dxa"/>
          </w:tcPr>
          <w:p w:rsidR="00000000" w:rsidRDefault="00000000">
            <w:pPr>
              <w:spacing w:before="80" w:after="80" w:line="220" w:lineRule="exact"/>
              <w:jc w:val="center"/>
              <w:rPr>
                <w:sz w:val="18"/>
              </w:rPr>
            </w:pPr>
            <w:r>
              <w:rPr>
                <w:sz w:val="18"/>
              </w:rPr>
              <w:t>46,6</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rPr>
                <w:sz w:val="18"/>
              </w:rPr>
            </w:pPr>
            <w:r>
              <w:rPr>
                <w:sz w:val="18"/>
              </w:rPr>
              <w:t>1994/95</w:t>
            </w:r>
          </w:p>
        </w:tc>
        <w:tc>
          <w:tcPr>
            <w:tcW w:w="1134" w:type="dxa"/>
          </w:tcPr>
          <w:p w:rsidR="00000000" w:rsidRDefault="00000000">
            <w:pPr>
              <w:spacing w:before="80" w:after="80" w:line="220" w:lineRule="exact"/>
              <w:jc w:val="center"/>
              <w:rPr>
                <w:sz w:val="18"/>
              </w:rPr>
            </w:pPr>
            <w:r>
              <w:rPr>
                <w:sz w:val="18"/>
              </w:rPr>
              <w:t>782 923</w:t>
            </w:r>
          </w:p>
        </w:tc>
        <w:tc>
          <w:tcPr>
            <w:tcW w:w="1134" w:type="dxa"/>
          </w:tcPr>
          <w:p w:rsidR="00000000" w:rsidRDefault="00000000">
            <w:pPr>
              <w:spacing w:before="80" w:after="80" w:line="220" w:lineRule="exact"/>
              <w:jc w:val="center"/>
              <w:rPr>
                <w:sz w:val="18"/>
              </w:rPr>
            </w:pPr>
            <w:r>
              <w:rPr>
                <w:sz w:val="18"/>
              </w:rPr>
              <w:t>689 921</w:t>
            </w:r>
          </w:p>
        </w:tc>
        <w:tc>
          <w:tcPr>
            <w:tcW w:w="1134" w:type="dxa"/>
          </w:tcPr>
          <w:p w:rsidR="00000000" w:rsidRDefault="00000000">
            <w:pPr>
              <w:spacing w:before="80" w:after="80" w:line="220" w:lineRule="exact"/>
              <w:jc w:val="center"/>
              <w:rPr>
                <w:sz w:val="18"/>
              </w:rPr>
            </w:pPr>
            <w:r>
              <w:rPr>
                <w:sz w:val="18"/>
              </w:rPr>
              <w:t>1 472 844</w:t>
            </w:r>
          </w:p>
        </w:tc>
        <w:tc>
          <w:tcPr>
            <w:tcW w:w="1134" w:type="dxa"/>
          </w:tcPr>
          <w:p w:rsidR="00000000" w:rsidRDefault="00000000">
            <w:pPr>
              <w:spacing w:before="80" w:after="80" w:line="220" w:lineRule="exact"/>
              <w:jc w:val="center"/>
              <w:rPr>
                <w:sz w:val="18"/>
              </w:rPr>
            </w:pPr>
            <w:r>
              <w:rPr>
                <w:sz w:val="18"/>
              </w:rPr>
              <w:t>101,9</w:t>
            </w:r>
          </w:p>
        </w:tc>
        <w:tc>
          <w:tcPr>
            <w:tcW w:w="1134" w:type="dxa"/>
          </w:tcPr>
          <w:p w:rsidR="00000000" w:rsidRDefault="00000000">
            <w:pPr>
              <w:spacing w:before="80" w:after="80" w:line="220" w:lineRule="exact"/>
              <w:jc w:val="center"/>
              <w:rPr>
                <w:sz w:val="18"/>
              </w:rPr>
            </w:pPr>
            <w:r>
              <w:rPr>
                <w:sz w:val="18"/>
              </w:rPr>
              <w:t>103,9</w:t>
            </w:r>
          </w:p>
        </w:tc>
        <w:tc>
          <w:tcPr>
            <w:tcW w:w="1134" w:type="dxa"/>
          </w:tcPr>
          <w:p w:rsidR="00000000" w:rsidRDefault="00000000">
            <w:pPr>
              <w:spacing w:before="80" w:after="80" w:line="220" w:lineRule="exact"/>
              <w:jc w:val="center"/>
              <w:rPr>
                <w:sz w:val="18"/>
              </w:rPr>
            </w:pPr>
            <w:r>
              <w:rPr>
                <w:sz w:val="18"/>
              </w:rPr>
              <w:t>102,8</w:t>
            </w:r>
          </w:p>
        </w:tc>
        <w:tc>
          <w:tcPr>
            <w:tcW w:w="1134" w:type="dxa"/>
          </w:tcPr>
          <w:p w:rsidR="00000000" w:rsidRDefault="00000000">
            <w:pPr>
              <w:spacing w:before="80" w:after="80" w:line="220" w:lineRule="exact"/>
              <w:jc w:val="center"/>
              <w:rPr>
                <w:sz w:val="18"/>
              </w:rPr>
            </w:pPr>
            <w:r>
              <w:rPr>
                <w:sz w:val="18"/>
              </w:rPr>
              <w:t>46,8</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rPr>
                <w:sz w:val="18"/>
              </w:rPr>
            </w:pPr>
            <w:r>
              <w:rPr>
                <w:sz w:val="18"/>
              </w:rPr>
              <w:t>1995/96</w:t>
            </w:r>
          </w:p>
        </w:tc>
        <w:tc>
          <w:tcPr>
            <w:tcW w:w="1134" w:type="dxa"/>
          </w:tcPr>
          <w:p w:rsidR="00000000" w:rsidRDefault="00000000">
            <w:pPr>
              <w:spacing w:before="80" w:after="80" w:line="220" w:lineRule="exact"/>
              <w:jc w:val="center"/>
              <w:rPr>
                <w:sz w:val="18"/>
              </w:rPr>
            </w:pPr>
            <w:r>
              <w:rPr>
                <w:sz w:val="18"/>
              </w:rPr>
              <w:t>772 503</w:t>
            </w:r>
          </w:p>
        </w:tc>
        <w:tc>
          <w:tcPr>
            <w:tcW w:w="1134" w:type="dxa"/>
          </w:tcPr>
          <w:p w:rsidR="00000000" w:rsidRDefault="00000000">
            <w:pPr>
              <w:spacing w:before="80" w:after="80" w:line="220" w:lineRule="exact"/>
              <w:jc w:val="center"/>
              <w:rPr>
                <w:sz w:val="18"/>
              </w:rPr>
            </w:pPr>
            <w:r>
              <w:rPr>
                <w:sz w:val="18"/>
              </w:rPr>
              <w:t>687 598</w:t>
            </w:r>
          </w:p>
        </w:tc>
        <w:tc>
          <w:tcPr>
            <w:tcW w:w="1134" w:type="dxa"/>
          </w:tcPr>
          <w:p w:rsidR="00000000" w:rsidRDefault="00000000">
            <w:pPr>
              <w:spacing w:before="80" w:after="80" w:line="220" w:lineRule="exact"/>
              <w:jc w:val="center"/>
              <w:rPr>
                <w:sz w:val="18"/>
              </w:rPr>
            </w:pPr>
            <w:r>
              <w:rPr>
                <w:sz w:val="18"/>
              </w:rPr>
              <w:t>1 460 101</w:t>
            </w:r>
          </w:p>
        </w:tc>
        <w:tc>
          <w:tcPr>
            <w:tcW w:w="1134" w:type="dxa"/>
          </w:tcPr>
          <w:p w:rsidR="00000000" w:rsidRDefault="00000000">
            <w:pPr>
              <w:spacing w:before="80" w:after="80" w:line="220" w:lineRule="exact"/>
              <w:jc w:val="center"/>
              <w:rPr>
                <w:sz w:val="18"/>
              </w:rPr>
            </w:pPr>
            <w:r>
              <w:rPr>
                <w:sz w:val="18"/>
              </w:rPr>
              <w:t>100,5</w:t>
            </w:r>
          </w:p>
        </w:tc>
        <w:tc>
          <w:tcPr>
            <w:tcW w:w="1134" w:type="dxa"/>
          </w:tcPr>
          <w:p w:rsidR="00000000" w:rsidRDefault="00000000">
            <w:pPr>
              <w:spacing w:before="80" w:after="80" w:line="220" w:lineRule="exact"/>
              <w:jc w:val="center"/>
              <w:rPr>
                <w:sz w:val="18"/>
              </w:rPr>
            </w:pPr>
            <w:r>
              <w:rPr>
                <w:sz w:val="18"/>
              </w:rPr>
              <w:t>103,5</w:t>
            </w:r>
          </w:p>
        </w:tc>
        <w:tc>
          <w:tcPr>
            <w:tcW w:w="1134" w:type="dxa"/>
          </w:tcPr>
          <w:p w:rsidR="00000000" w:rsidRDefault="00000000">
            <w:pPr>
              <w:spacing w:before="80" w:after="80" w:line="220" w:lineRule="exact"/>
              <w:jc w:val="center"/>
              <w:rPr>
                <w:sz w:val="18"/>
              </w:rPr>
            </w:pPr>
            <w:r>
              <w:rPr>
                <w:sz w:val="18"/>
              </w:rPr>
              <w:t>102</w:t>
            </w:r>
          </w:p>
        </w:tc>
        <w:tc>
          <w:tcPr>
            <w:tcW w:w="1134" w:type="dxa"/>
          </w:tcPr>
          <w:p w:rsidR="00000000" w:rsidRDefault="00000000">
            <w:pPr>
              <w:spacing w:before="80" w:after="80" w:line="220" w:lineRule="exact"/>
              <w:jc w:val="center"/>
              <w:rPr>
                <w:sz w:val="18"/>
              </w:rPr>
            </w:pPr>
            <w:r>
              <w:rPr>
                <w:sz w:val="18"/>
              </w:rPr>
              <w:t>47,1</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rPr>
                <w:sz w:val="18"/>
              </w:rPr>
            </w:pPr>
            <w:r>
              <w:rPr>
                <w:sz w:val="18"/>
              </w:rPr>
              <w:t>1996/97</w:t>
            </w:r>
          </w:p>
        </w:tc>
        <w:tc>
          <w:tcPr>
            <w:tcW w:w="1134" w:type="dxa"/>
          </w:tcPr>
          <w:p w:rsidR="00000000" w:rsidRDefault="00000000">
            <w:pPr>
              <w:spacing w:before="80" w:after="80" w:line="220" w:lineRule="exact"/>
              <w:jc w:val="center"/>
              <w:rPr>
                <w:sz w:val="18"/>
              </w:rPr>
            </w:pPr>
            <w:r>
              <w:rPr>
                <w:sz w:val="18"/>
              </w:rPr>
              <w:t>759 930</w:t>
            </w:r>
          </w:p>
        </w:tc>
        <w:tc>
          <w:tcPr>
            <w:tcW w:w="1134" w:type="dxa"/>
          </w:tcPr>
          <w:p w:rsidR="00000000" w:rsidRDefault="00000000">
            <w:pPr>
              <w:spacing w:before="80" w:after="80" w:line="220" w:lineRule="exact"/>
              <w:jc w:val="center"/>
              <w:rPr>
                <w:sz w:val="18"/>
              </w:rPr>
            </w:pPr>
            <w:r>
              <w:rPr>
                <w:sz w:val="18"/>
              </w:rPr>
              <w:t>681 213</w:t>
            </w:r>
          </w:p>
        </w:tc>
        <w:tc>
          <w:tcPr>
            <w:tcW w:w="1134" w:type="dxa"/>
          </w:tcPr>
          <w:p w:rsidR="00000000" w:rsidRDefault="00000000">
            <w:pPr>
              <w:spacing w:before="80" w:after="80" w:line="220" w:lineRule="exact"/>
              <w:jc w:val="center"/>
              <w:rPr>
                <w:sz w:val="18"/>
              </w:rPr>
            </w:pPr>
            <w:r>
              <w:rPr>
                <w:sz w:val="18"/>
              </w:rPr>
              <w:t>1 441 143</w:t>
            </w:r>
          </w:p>
        </w:tc>
        <w:tc>
          <w:tcPr>
            <w:tcW w:w="1134" w:type="dxa"/>
          </w:tcPr>
          <w:p w:rsidR="00000000" w:rsidRDefault="00000000">
            <w:pPr>
              <w:spacing w:before="80" w:after="80" w:line="220" w:lineRule="exact"/>
              <w:jc w:val="center"/>
              <w:rPr>
                <w:sz w:val="18"/>
              </w:rPr>
            </w:pPr>
            <w:r>
              <w:rPr>
                <w:sz w:val="18"/>
              </w:rPr>
              <w:t>98,9</w:t>
            </w:r>
          </w:p>
        </w:tc>
        <w:tc>
          <w:tcPr>
            <w:tcW w:w="1134" w:type="dxa"/>
          </w:tcPr>
          <w:p w:rsidR="00000000" w:rsidRDefault="00000000">
            <w:pPr>
              <w:spacing w:before="80" w:after="80" w:line="220" w:lineRule="exact"/>
              <w:jc w:val="center"/>
              <w:rPr>
                <w:sz w:val="18"/>
              </w:rPr>
            </w:pPr>
            <w:r>
              <w:rPr>
                <w:sz w:val="18"/>
              </w:rPr>
              <w:t>102,6</w:t>
            </w:r>
          </w:p>
        </w:tc>
        <w:tc>
          <w:tcPr>
            <w:tcW w:w="1134" w:type="dxa"/>
          </w:tcPr>
          <w:p w:rsidR="00000000" w:rsidRDefault="00000000">
            <w:pPr>
              <w:spacing w:before="80" w:after="80" w:line="220" w:lineRule="exact"/>
              <w:jc w:val="center"/>
              <w:rPr>
                <w:sz w:val="18"/>
              </w:rPr>
            </w:pPr>
            <w:r>
              <w:rPr>
                <w:sz w:val="18"/>
              </w:rPr>
              <w:t>100,6</w:t>
            </w:r>
          </w:p>
        </w:tc>
        <w:tc>
          <w:tcPr>
            <w:tcW w:w="1134" w:type="dxa"/>
          </w:tcPr>
          <w:p w:rsidR="00000000" w:rsidRDefault="00000000">
            <w:pPr>
              <w:spacing w:before="80" w:after="80" w:line="220" w:lineRule="exact"/>
              <w:jc w:val="center"/>
              <w:rPr>
                <w:sz w:val="18"/>
              </w:rPr>
            </w:pPr>
            <w:r>
              <w:rPr>
                <w:sz w:val="18"/>
              </w:rPr>
              <w:t>47,3</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rPr>
                <w:sz w:val="18"/>
              </w:rPr>
            </w:pPr>
            <w:r>
              <w:rPr>
                <w:sz w:val="18"/>
              </w:rPr>
              <w:t>1997/98</w:t>
            </w:r>
          </w:p>
        </w:tc>
        <w:tc>
          <w:tcPr>
            <w:tcW w:w="1134" w:type="dxa"/>
          </w:tcPr>
          <w:p w:rsidR="00000000" w:rsidRDefault="00000000">
            <w:pPr>
              <w:spacing w:before="80" w:after="80" w:line="220" w:lineRule="exact"/>
              <w:jc w:val="center"/>
              <w:rPr>
                <w:sz w:val="18"/>
              </w:rPr>
            </w:pPr>
            <w:r>
              <w:rPr>
                <w:sz w:val="18"/>
              </w:rPr>
              <w:t>759 084</w:t>
            </w:r>
          </w:p>
        </w:tc>
        <w:tc>
          <w:tcPr>
            <w:tcW w:w="1134" w:type="dxa"/>
          </w:tcPr>
          <w:p w:rsidR="00000000" w:rsidRDefault="00000000">
            <w:pPr>
              <w:spacing w:before="80" w:after="80" w:line="220" w:lineRule="exact"/>
              <w:jc w:val="center"/>
              <w:rPr>
                <w:sz w:val="18"/>
              </w:rPr>
            </w:pPr>
            <w:r>
              <w:rPr>
                <w:sz w:val="18"/>
              </w:rPr>
              <w:t>681 395</w:t>
            </w:r>
          </w:p>
        </w:tc>
        <w:tc>
          <w:tcPr>
            <w:tcW w:w="1134" w:type="dxa"/>
          </w:tcPr>
          <w:p w:rsidR="00000000" w:rsidRDefault="00000000">
            <w:pPr>
              <w:spacing w:before="80" w:after="80" w:line="220" w:lineRule="exact"/>
              <w:jc w:val="center"/>
              <w:rPr>
                <w:sz w:val="18"/>
              </w:rPr>
            </w:pPr>
            <w:r>
              <w:rPr>
                <w:sz w:val="18"/>
              </w:rPr>
              <w:t>1 440 479</w:t>
            </w:r>
          </w:p>
        </w:tc>
        <w:tc>
          <w:tcPr>
            <w:tcW w:w="1134" w:type="dxa"/>
          </w:tcPr>
          <w:p w:rsidR="00000000" w:rsidRDefault="00000000">
            <w:pPr>
              <w:spacing w:before="80" w:after="80" w:line="220" w:lineRule="exact"/>
              <w:jc w:val="center"/>
              <w:rPr>
                <w:sz w:val="18"/>
              </w:rPr>
            </w:pPr>
            <w:r>
              <w:rPr>
                <w:sz w:val="18"/>
              </w:rPr>
              <w:t>98,8</w:t>
            </w:r>
          </w:p>
        </w:tc>
        <w:tc>
          <w:tcPr>
            <w:tcW w:w="1134" w:type="dxa"/>
          </w:tcPr>
          <w:p w:rsidR="00000000" w:rsidRDefault="00000000">
            <w:pPr>
              <w:spacing w:before="80" w:after="80" w:line="220" w:lineRule="exact"/>
              <w:jc w:val="center"/>
              <w:rPr>
                <w:sz w:val="18"/>
              </w:rPr>
            </w:pPr>
            <w:r>
              <w:rPr>
                <w:sz w:val="18"/>
              </w:rPr>
              <w:t>102,6</w:t>
            </w:r>
          </w:p>
        </w:tc>
        <w:tc>
          <w:tcPr>
            <w:tcW w:w="1134" w:type="dxa"/>
          </w:tcPr>
          <w:p w:rsidR="00000000" w:rsidRDefault="00000000">
            <w:pPr>
              <w:spacing w:before="80" w:after="80" w:line="220" w:lineRule="exact"/>
              <w:jc w:val="center"/>
              <w:rPr>
                <w:sz w:val="18"/>
              </w:rPr>
            </w:pPr>
            <w:r>
              <w:rPr>
                <w:sz w:val="18"/>
              </w:rPr>
              <w:t>100,6</w:t>
            </w:r>
          </w:p>
        </w:tc>
        <w:tc>
          <w:tcPr>
            <w:tcW w:w="1134" w:type="dxa"/>
          </w:tcPr>
          <w:p w:rsidR="00000000" w:rsidRDefault="00000000">
            <w:pPr>
              <w:spacing w:before="80" w:after="80" w:line="220" w:lineRule="exact"/>
              <w:jc w:val="center"/>
              <w:rPr>
                <w:sz w:val="18"/>
              </w:rPr>
            </w:pPr>
            <w:r>
              <w:rPr>
                <w:sz w:val="18"/>
              </w:rPr>
              <w:t>47,3</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rPr>
                <w:sz w:val="18"/>
              </w:rPr>
            </w:pPr>
            <w:r>
              <w:rPr>
                <w:sz w:val="18"/>
              </w:rPr>
              <w:t>1998/99</w:t>
            </w:r>
          </w:p>
        </w:tc>
        <w:tc>
          <w:tcPr>
            <w:tcW w:w="1134" w:type="dxa"/>
          </w:tcPr>
          <w:p w:rsidR="00000000" w:rsidRDefault="00000000">
            <w:pPr>
              <w:spacing w:before="80" w:after="80" w:line="220" w:lineRule="exact"/>
              <w:jc w:val="center"/>
              <w:rPr>
                <w:sz w:val="18"/>
              </w:rPr>
            </w:pPr>
            <w:r>
              <w:rPr>
                <w:sz w:val="18"/>
              </w:rPr>
              <w:t>754 076</w:t>
            </w:r>
          </w:p>
        </w:tc>
        <w:tc>
          <w:tcPr>
            <w:tcW w:w="1134" w:type="dxa"/>
          </w:tcPr>
          <w:p w:rsidR="00000000" w:rsidRDefault="00000000">
            <w:pPr>
              <w:spacing w:before="80" w:after="80" w:line="220" w:lineRule="exact"/>
              <w:jc w:val="center"/>
              <w:rPr>
                <w:sz w:val="18"/>
              </w:rPr>
            </w:pPr>
            <w:r>
              <w:rPr>
                <w:sz w:val="18"/>
              </w:rPr>
              <w:t>678 820</w:t>
            </w:r>
          </w:p>
        </w:tc>
        <w:tc>
          <w:tcPr>
            <w:tcW w:w="1134" w:type="dxa"/>
          </w:tcPr>
          <w:p w:rsidR="00000000" w:rsidRDefault="00000000">
            <w:pPr>
              <w:spacing w:before="80" w:after="80" w:line="220" w:lineRule="exact"/>
              <w:jc w:val="center"/>
              <w:rPr>
                <w:sz w:val="18"/>
              </w:rPr>
            </w:pPr>
            <w:r>
              <w:rPr>
                <w:sz w:val="18"/>
              </w:rPr>
              <w:t>1 432 896</w:t>
            </w:r>
          </w:p>
        </w:tc>
        <w:tc>
          <w:tcPr>
            <w:tcW w:w="1134" w:type="dxa"/>
          </w:tcPr>
          <w:p w:rsidR="00000000" w:rsidRDefault="00000000">
            <w:pPr>
              <w:spacing w:before="80" w:after="80" w:line="220" w:lineRule="exact"/>
              <w:jc w:val="center"/>
              <w:rPr>
                <w:sz w:val="18"/>
              </w:rPr>
            </w:pPr>
            <w:r>
              <w:rPr>
                <w:sz w:val="18"/>
              </w:rPr>
              <w:t>98,1</w:t>
            </w:r>
          </w:p>
        </w:tc>
        <w:tc>
          <w:tcPr>
            <w:tcW w:w="1134" w:type="dxa"/>
          </w:tcPr>
          <w:p w:rsidR="00000000" w:rsidRDefault="00000000">
            <w:pPr>
              <w:spacing w:before="80" w:after="80" w:line="220" w:lineRule="exact"/>
              <w:jc w:val="center"/>
              <w:rPr>
                <w:sz w:val="18"/>
              </w:rPr>
            </w:pPr>
            <w:r>
              <w:rPr>
                <w:sz w:val="18"/>
              </w:rPr>
              <w:t>102,2</w:t>
            </w:r>
          </w:p>
        </w:tc>
        <w:tc>
          <w:tcPr>
            <w:tcW w:w="1134" w:type="dxa"/>
          </w:tcPr>
          <w:p w:rsidR="00000000" w:rsidRDefault="00000000">
            <w:pPr>
              <w:spacing w:before="80" w:after="80" w:line="220" w:lineRule="exact"/>
              <w:jc w:val="center"/>
              <w:rPr>
                <w:sz w:val="18"/>
              </w:rPr>
            </w:pPr>
            <w:r>
              <w:rPr>
                <w:sz w:val="18"/>
              </w:rPr>
              <w:t>100,1</w:t>
            </w:r>
          </w:p>
        </w:tc>
        <w:tc>
          <w:tcPr>
            <w:tcW w:w="1134" w:type="dxa"/>
          </w:tcPr>
          <w:p w:rsidR="00000000" w:rsidRDefault="00000000">
            <w:pPr>
              <w:spacing w:before="80" w:after="80" w:line="220" w:lineRule="exact"/>
              <w:jc w:val="center"/>
              <w:rPr>
                <w:sz w:val="18"/>
              </w:rPr>
            </w:pPr>
            <w:r>
              <w:rPr>
                <w:sz w:val="18"/>
              </w:rPr>
              <w:t>47,4</w:t>
            </w:r>
          </w:p>
        </w:tc>
      </w:tr>
    </w:tbl>
    <w:p w:rsidR="00000000" w:rsidRDefault="00000000">
      <w:pPr>
        <w:spacing w:before="120" w:line="220" w:lineRule="exact"/>
        <w:ind w:right="289"/>
        <w:jc w:val="right"/>
        <w:rPr>
          <w:b/>
          <w:sz w:val="18"/>
        </w:rPr>
      </w:pPr>
      <w:r>
        <w:rPr>
          <w:b/>
          <w:sz w:val="18"/>
        </w:rPr>
        <w:t>Источник: Министерство образования и науки</w:t>
      </w:r>
    </w:p>
    <w:p w:rsidR="00000000" w:rsidRDefault="00000000">
      <w:r>
        <w:t>502.</w:t>
      </w:r>
      <w:r>
        <w:tab/>
        <w:t>Приведенные выше цифровые данные свидетельствуют о явном росте контингента девочек в школах в период с 1992/93 учебного года по 1998/99 учебный год. Индекс роста увеличивается у девочек (от 100 до 102,2) и сокращается у мальчиков (со 100 до 98,1), в тот же период женское население увеличилось на 1 процент – с 46,4 до 47,4 процента, что подтверждает начало стабилизации, стремящейся к равному числу мужчин и женщин (в 1995 году мужское население в Тунисе составляло по сравнению с женским 102,14 процента).</w:t>
      </w:r>
    </w:p>
    <w:p w:rsidR="00000000" w:rsidRDefault="00000000">
      <w:pPr>
        <w:spacing w:before="240"/>
        <w:jc w:val="center"/>
        <w:rPr>
          <w:b/>
        </w:rPr>
      </w:pPr>
      <w:r>
        <w:rPr>
          <w:b/>
        </w:rPr>
        <w:t>Динамика роста контингента учащихся второго этапа базового образования и среднего образования</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34"/>
        <w:gridCol w:w="1134"/>
        <w:gridCol w:w="1134"/>
        <w:gridCol w:w="1134"/>
        <w:gridCol w:w="1134"/>
        <w:gridCol w:w="1134"/>
        <w:gridCol w:w="1134"/>
        <w:gridCol w:w="1134"/>
      </w:tblGrid>
      <w:tr w:rsidR="00000000">
        <w:tblPrEx>
          <w:tblCellMar>
            <w:top w:w="0" w:type="dxa"/>
            <w:bottom w:w="0" w:type="dxa"/>
          </w:tblCellMar>
        </w:tblPrEx>
        <w:trPr>
          <w:cantSplit/>
          <w:jc w:val="center"/>
        </w:trPr>
        <w:tc>
          <w:tcPr>
            <w:tcW w:w="1134" w:type="dxa"/>
            <w:vMerge w:val="restart"/>
          </w:tcPr>
          <w:p w:rsidR="00000000" w:rsidRDefault="00000000">
            <w:pPr>
              <w:spacing w:before="80" w:after="80" w:line="220" w:lineRule="exact"/>
              <w:jc w:val="center"/>
              <w:rPr>
                <w:b/>
                <w:sz w:val="18"/>
              </w:rPr>
            </w:pPr>
            <w:r>
              <w:rPr>
                <w:b/>
                <w:sz w:val="18"/>
              </w:rPr>
              <w:t>Учебный год</w:t>
            </w:r>
          </w:p>
        </w:tc>
        <w:tc>
          <w:tcPr>
            <w:tcW w:w="3402" w:type="dxa"/>
            <w:gridSpan w:val="3"/>
          </w:tcPr>
          <w:p w:rsidR="00000000" w:rsidRDefault="00000000">
            <w:pPr>
              <w:spacing w:before="80" w:after="80" w:line="220" w:lineRule="exact"/>
              <w:jc w:val="center"/>
              <w:rPr>
                <w:b/>
                <w:sz w:val="18"/>
              </w:rPr>
            </w:pPr>
            <w:r>
              <w:rPr>
                <w:b/>
                <w:sz w:val="18"/>
              </w:rPr>
              <w:t>Контингент учащихся</w:t>
            </w:r>
          </w:p>
        </w:tc>
        <w:tc>
          <w:tcPr>
            <w:tcW w:w="4536" w:type="dxa"/>
            <w:gridSpan w:val="4"/>
          </w:tcPr>
          <w:p w:rsidR="00000000" w:rsidRDefault="00000000">
            <w:pPr>
              <w:spacing w:before="80" w:after="80" w:line="220" w:lineRule="exact"/>
              <w:jc w:val="center"/>
              <w:rPr>
                <w:b/>
                <w:sz w:val="18"/>
              </w:rPr>
            </w:pPr>
            <w:r>
              <w:rPr>
                <w:b/>
                <w:sz w:val="18"/>
              </w:rPr>
              <w:t>Индекс роста</w:t>
            </w:r>
          </w:p>
        </w:tc>
      </w:tr>
      <w:tr w:rsidR="00000000">
        <w:tblPrEx>
          <w:tblCellMar>
            <w:top w:w="0" w:type="dxa"/>
            <w:bottom w:w="0" w:type="dxa"/>
          </w:tblCellMar>
        </w:tblPrEx>
        <w:trPr>
          <w:cantSplit/>
          <w:jc w:val="center"/>
        </w:trPr>
        <w:tc>
          <w:tcPr>
            <w:tcW w:w="1134" w:type="dxa"/>
            <w:vMerge/>
          </w:tcPr>
          <w:p w:rsidR="00000000" w:rsidRDefault="00000000">
            <w:pPr>
              <w:spacing w:before="80" w:after="80" w:line="220" w:lineRule="exact"/>
              <w:rPr>
                <w:sz w:val="18"/>
              </w:rPr>
            </w:pPr>
          </w:p>
        </w:tc>
        <w:tc>
          <w:tcPr>
            <w:tcW w:w="1134" w:type="dxa"/>
          </w:tcPr>
          <w:p w:rsidR="00000000" w:rsidRDefault="00000000">
            <w:pPr>
              <w:spacing w:before="80" w:after="80" w:line="220" w:lineRule="exact"/>
              <w:jc w:val="center"/>
              <w:rPr>
                <w:sz w:val="18"/>
              </w:rPr>
            </w:pPr>
            <w:r>
              <w:rPr>
                <w:sz w:val="18"/>
              </w:rPr>
              <w:t>мальчики</w:t>
            </w:r>
          </w:p>
        </w:tc>
        <w:tc>
          <w:tcPr>
            <w:tcW w:w="1134" w:type="dxa"/>
          </w:tcPr>
          <w:p w:rsidR="00000000" w:rsidRDefault="00000000">
            <w:pPr>
              <w:spacing w:before="80" w:after="80" w:line="220" w:lineRule="exact"/>
              <w:jc w:val="center"/>
              <w:rPr>
                <w:sz w:val="18"/>
              </w:rPr>
            </w:pPr>
            <w:r>
              <w:rPr>
                <w:sz w:val="18"/>
              </w:rPr>
              <w:t>девочки</w:t>
            </w:r>
          </w:p>
        </w:tc>
        <w:tc>
          <w:tcPr>
            <w:tcW w:w="1134" w:type="dxa"/>
          </w:tcPr>
          <w:p w:rsidR="00000000" w:rsidRDefault="00000000">
            <w:pPr>
              <w:spacing w:before="80" w:after="80" w:line="220" w:lineRule="exact"/>
              <w:jc w:val="center"/>
              <w:rPr>
                <w:sz w:val="18"/>
              </w:rPr>
            </w:pPr>
            <w:r>
              <w:rPr>
                <w:sz w:val="18"/>
              </w:rPr>
              <w:t>всего</w:t>
            </w:r>
          </w:p>
        </w:tc>
        <w:tc>
          <w:tcPr>
            <w:tcW w:w="1134" w:type="dxa"/>
          </w:tcPr>
          <w:p w:rsidR="00000000" w:rsidRDefault="00000000">
            <w:pPr>
              <w:spacing w:before="80" w:after="80" w:line="220" w:lineRule="exact"/>
              <w:jc w:val="center"/>
              <w:rPr>
                <w:sz w:val="18"/>
              </w:rPr>
            </w:pPr>
            <w:r>
              <w:rPr>
                <w:sz w:val="18"/>
              </w:rPr>
              <w:t>мальчики</w:t>
            </w:r>
          </w:p>
        </w:tc>
        <w:tc>
          <w:tcPr>
            <w:tcW w:w="1134" w:type="dxa"/>
          </w:tcPr>
          <w:p w:rsidR="00000000" w:rsidRDefault="00000000">
            <w:pPr>
              <w:spacing w:before="80" w:after="80" w:line="220" w:lineRule="exact"/>
              <w:jc w:val="center"/>
              <w:rPr>
                <w:sz w:val="18"/>
              </w:rPr>
            </w:pPr>
            <w:r>
              <w:rPr>
                <w:sz w:val="18"/>
              </w:rPr>
              <w:t>девочки</w:t>
            </w:r>
          </w:p>
        </w:tc>
        <w:tc>
          <w:tcPr>
            <w:tcW w:w="1134" w:type="dxa"/>
          </w:tcPr>
          <w:p w:rsidR="00000000" w:rsidRDefault="00000000">
            <w:pPr>
              <w:spacing w:before="80" w:after="80" w:line="220" w:lineRule="exact"/>
              <w:jc w:val="center"/>
              <w:rPr>
                <w:sz w:val="18"/>
              </w:rPr>
            </w:pPr>
            <w:r>
              <w:rPr>
                <w:sz w:val="18"/>
              </w:rPr>
              <w:t>всего</w:t>
            </w:r>
          </w:p>
        </w:tc>
        <w:tc>
          <w:tcPr>
            <w:tcW w:w="1134" w:type="dxa"/>
          </w:tcPr>
          <w:p w:rsidR="00000000" w:rsidRDefault="00000000">
            <w:pPr>
              <w:spacing w:before="80" w:after="80" w:line="220" w:lineRule="exact"/>
              <w:jc w:val="center"/>
              <w:rPr>
                <w:sz w:val="18"/>
              </w:rPr>
            </w:pPr>
            <w:r>
              <w:rPr>
                <w:sz w:val="18"/>
              </w:rPr>
              <w:t>процент-ная доля девочек</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jc w:val="center"/>
              <w:rPr>
                <w:sz w:val="18"/>
              </w:rPr>
            </w:pPr>
            <w:r>
              <w:rPr>
                <w:sz w:val="18"/>
              </w:rPr>
              <w:t>1992/93</w:t>
            </w:r>
          </w:p>
        </w:tc>
        <w:tc>
          <w:tcPr>
            <w:tcW w:w="1134" w:type="dxa"/>
          </w:tcPr>
          <w:p w:rsidR="00000000" w:rsidRDefault="00000000">
            <w:pPr>
              <w:spacing w:before="80" w:after="80" w:line="220" w:lineRule="exact"/>
              <w:jc w:val="center"/>
              <w:rPr>
                <w:sz w:val="18"/>
              </w:rPr>
            </w:pPr>
            <w:r>
              <w:rPr>
                <w:sz w:val="18"/>
              </w:rPr>
              <w:t>299 499</w:t>
            </w:r>
          </w:p>
        </w:tc>
        <w:tc>
          <w:tcPr>
            <w:tcW w:w="1134" w:type="dxa"/>
          </w:tcPr>
          <w:p w:rsidR="00000000" w:rsidRDefault="00000000">
            <w:pPr>
              <w:spacing w:before="80" w:after="80" w:line="220" w:lineRule="exact"/>
              <w:jc w:val="center"/>
              <w:rPr>
                <w:sz w:val="18"/>
              </w:rPr>
            </w:pPr>
            <w:r>
              <w:rPr>
                <w:sz w:val="18"/>
              </w:rPr>
              <w:t>267 882</w:t>
            </w:r>
          </w:p>
        </w:tc>
        <w:tc>
          <w:tcPr>
            <w:tcW w:w="1134" w:type="dxa"/>
          </w:tcPr>
          <w:p w:rsidR="00000000" w:rsidRDefault="00000000">
            <w:pPr>
              <w:spacing w:before="80" w:after="80" w:line="220" w:lineRule="exact"/>
              <w:jc w:val="center"/>
              <w:rPr>
                <w:sz w:val="18"/>
              </w:rPr>
            </w:pPr>
            <w:r>
              <w:rPr>
                <w:sz w:val="18"/>
              </w:rPr>
              <w:t>567 381</w:t>
            </w:r>
          </w:p>
        </w:tc>
        <w:tc>
          <w:tcPr>
            <w:tcW w:w="1134" w:type="dxa"/>
          </w:tcPr>
          <w:p w:rsidR="00000000" w:rsidRDefault="00000000">
            <w:pPr>
              <w:spacing w:before="80" w:after="80" w:line="220" w:lineRule="exact"/>
              <w:jc w:val="center"/>
              <w:rPr>
                <w:sz w:val="18"/>
              </w:rPr>
            </w:pPr>
            <w:r>
              <w:rPr>
                <w:sz w:val="18"/>
              </w:rPr>
              <w:t>100</w:t>
            </w:r>
          </w:p>
        </w:tc>
        <w:tc>
          <w:tcPr>
            <w:tcW w:w="1134" w:type="dxa"/>
          </w:tcPr>
          <w:p w:rsidR="00000000" w:rsidRDefault="00000000">
            <w:pPr>
              <w:spacing w:before="80" w:after="80" w:line="220" w:lineRule="exact"/>
              <w:jc w:val="center"/>
              <w:rPr>
                <w:sz w:val="18"/>
              </w:rPr>
            </w:pPr>
            <w:r>
              <w:rPr>
                <w:sz w:val="18"/>
              </w:rPr>
              <w:t>100</w:t>
            </w:r>
          </w:p>
        </w:tc>
        <w:tc>
          <w:tcPr>
            <w:tcW w:w="1134" w:type="dxa"/>
          </w:tcPr>
          <w:p w:rsidR="00000000" w:rsidRDefault="00000000">
            <w:pPr>
              <w:spacing w:before="80" w:after="80" w:line="220" w:lineRule="exact"/>
              <w:jc w:val="center"/>
              <w:rPr>
                <w:sz w:val="18"/>
              </w:rPr>
            </w:pPr>
            <w:r>
              <w:rPr>
                <w:sz w:val="18"/>
              </w:rPr>
              <w:t>100</w:t>
            </w:r>
          </w:p>
        </w:tc>
        <w:tc>
          <w:tcPr>
            <w:tcW w:w="1134" w:type="dxa"/>
          </w:tcPr>
          <w:p w:rsidR="00000000" w:rsidRDefault="00000000">
            <w:pPr>
              <w:spacing w:before="80" w:after="80" w:line="220" w:lineRule="exact"/>
              <w:jc w:val="center"/>
              <w:rPr>
                <w:sz w:val="18"/>
              </w:rPr>
            </w:pPr>
            <w:r>
              <w:rPr>
                <w:sz w:val="18"/>
              </w:rPr>
              <w:t>47,2</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jc w:val="center"/>
              <w:rPr>
                <w:sz w:val="18"/>
              </w:rPr>
            </w:pPr>
            <w:r>
              <w:rPr>
                <w:sz w:val="18"/>
              </w:rPr>
              <w:t>1993/94</w:t>
            </w:r>
          </w:p>
        </w:tc>
        <w:tc>
          <w:tcPr>
            <w:tcW w:w="1134" w:type="dxa"/>
          </w:tcPr>
          <w:p w:rsidR="00000000" w:rsidRDefault="00000000">
            <w:pPr>
              <w:spacing w:before="80" w:after="80" w:line="220" w:lineRule="exact"/>
              <w:jc w:val="center"/>
              <w:rPr>
                <w:sz w:val="18"/>
              </w:rPr>
            </w:pPr>
            <w:r>
              <w:rPr>
                <w:sz w:val="18"/>
              </w:rPr>
              <w:t>315 927</w:t>
            </w:r>
          </w:p>
        </w:tc>
        <w:tc>
          <w:tcPr>
            <w:tcW w:w="1134" w:type="dxa"/>
          </w:tcPr>
          <w:p w:rsidR="00000000" w:rsidRDefault="00000000">
            <w:pPr>
              <w:spacing w:before="80" w:after="80" w:line="220" w:lineRule="exact"/>
              <w:jc w:val="center"/>
              <w:rPr>
                <w:sz w:val="18"/>
              </w:rPr>
            </w:pPr>
            <w:r>
              <w:rPr>
                <w:sz w:val="18"/>
              </w:rPr>
              <w:t>290 008</w:t>
            </w:r>
          </w:p>
        </w:tc>
        <w:tc>
          <w:tcPr>
            <w:tcW w:w="1134" w:type="dxa"/>
          </w:tcPr>
          <w:p w:rsidR="00000000" w:rsidRDefault="00000000">
            <w:pPr>
              <w:spacing w:before="80" w:after="80" w:line="220" w:lineRule="exact"/>
              <w:jc w:val="center"/>
              <w:rPr>
                <w:sz w:val="18"/>
              </w:rPr>
            </w:pPr>
            <w:r>
              <w:rPr>
                <w:sz w:val="18"/>
              </w:rPr>
              <w:t>605 935</w:t>
            </w:r>
          </w:p>
        </w:tc>
        <w:tc>
          <w:tcPr>
            <w:tcW w:w="1134" w:type="dxa"/>
          </w:tcPr>
          <w:p w:rsidR="00000000" w:rsidRDefault="00000000">
            <w:pPr>
              <w:spacing w:before="80" w:after="80" w:line="220" w:lineRule="exact"/>
              <w:jc w:val="center"/>
              <w:rPr>
                <w:sz w:val="18"/>
              </w:rPr>
            </w:pPr>
            <w:r>
              <w:rPr>
                <w:sz w:val="18"/>
              </w:rPr>
              <w:t>105,5</w:t>
            </w:r>
          </w:p>
        </w:tc>
        <w:tc>
          <w:tcPr>
            <w:tcW w:w="1134" w:type="dxa"/>
          </w:tcPr>
          <w:p w:rsidR="00000000" w:rsidRDefault="00000000">
            <w:pPr>
              <w:spacing w:before="80" w:after="80" w:line="220" w:lineRule="exact"/>
              <w:jc w:val="center"/>
              <w:rPr>
                <w:sz w:val="18"/>
              </w:rPr>
            </w:pPr>
            <w:r>
              <w:rPr>
                <w:sz w:val="18"/>
              </w:rPr>
              <w:t>108,3</w:t>
            </w:r>
          </w:p>
        </w:tc>
        <w:tc>
          <w:tcPr>
            <w:tcW w:w="1134" w:type="dxa"/>
          </w:tcPr>
          <w:p w:rsidR="00000000" w:rsidRDefault="00000000">
            <w:pPr>
              <w:spacing w:before="80" w:after="80" w:line="220" w:lineRule="exact"/>
              <w:jc w:val="center"/>
              <w:rPr>
                <w:sz w:val="18"/>
              </w:rPr>
            </w:pPr>
            <w:r>
              <w:rPr>
                <w:sz w:val="18"/>
              </w:rPr>
              <w:t>106,8</w:t>
            </w:r>
          </w:p>
        </w:tc>
        <w:tc>
          <w:tcPr>
            <w:tcW w:w="1134" w:type="dxa"/>
          </w:tcPr>
          <w:p w:rsidR="00000000" w:rsidRDefault="00000000">
            <w:pPr>
              <w:spacing w:before="80" w:after="80" w:line="220" w:lineRule="exact"/>
              <w:jc w:val="center"/>
              <w:rPr>
                <w:sz w:val="18"/>
              </w:rPr>
            </w:pPr>
            <w:r>
              <w:rPr>
                <w:sz w:val="18"/>
              </w:rPr>
              <w:t>47,9</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jc w:val="center"/>
              <w:rPr>
                <w:sz w:val="18"/>
              </w:rPr>
            </w:pPr>
            <w:r>
              <w:rPr>
                <w:sz w:val="18"/>
              </w:rPr>
              <w:t>1994/95</w:t>
            </w:r>
          </w:p>
        </w:tc>
        <w:tc>
          <w:tcPr>
            <w:tcW w:w="1134" w:type="dxa"/>
          </w:tcPr>
          <w:p w:rsidR="00000000" w:rsidRDefault="00000000">
            <w:pPr>
              <w:spacing w:before="80" w:after="80" w:line="220" w:lineRule="exact"/>
              <w:jc w:val="center"/>
              <w:rPr>
                <w:sz w:val="18"/>
              </w:rPr>
            </w:pPr>
            <w:r>
              <w:rPr>
                <w:sz w:val="18"/>
              </w:rPr>
              <w:t>342 167</w:t>
            </w:r>
          </w:p>
        </w:tc>
        <w:tc>
          <w:tcPr>
            <w:tcW w:w="1134" w:type="dxa"/>
          </w:tcPr>
          <w:p w:rsidR="00000000" w:rsidRDefault="00000000">
            <w:pPr>
              <w:spacing w:before="80" w:after="80" w:line="220" w:lineRule="exact"/>
              <w:jc w:val="center"/>
              <w:rPr>
                <w:sz w:val="18"/>
              </w:rPr>
            </w:pPr>
            <w:r>
              <w:rPr>
                <w:sz w:val="18"/>
              </w:rPr>
              <w:t>320 055</w:t>
            </w:r>
          </w:p>
        </w:tc>
        <w:tc>
          <w:tcPr>
            <w:tcW w:w="1134" w:type="dxa"/>
          </w:tcPr>
          <w:p w:rsidR="00000000" w:rsidRDefault="00000000">
            <w:pPr>
              <w:spacing w:before="80" w:after="80" w:line="220" w:lineRule="exact"/>
              <w:jc w:val="center"/>
              <w:rPr>
                <w:sz w:val="18"/>
              </w:rPr>
            </w:pPr>
            <w:r>
              <w:rPr>
                <w:sz w:val="18"/>
              </w:rPr>
              <w:t>662 222</w:t>
            </w:r>
          </w:p>
        </w:tc>
        <w:tc>
          <w:tcPr>
            <w:tcW w:w="1134" w:type="dxa"/>
          </w:tcPr>
          <w:p w:rsidR="00000000" w:rsidRDefault="00000000">
            <w:pPr>
              <w:spacing w:before="80" w:after="80" w:line="220" w:lineRule="exact"/>
              <w:jc w:val="center"/>
              <w:rPr>
                <w:sz w:val="18"/>
              </w:rPr>
            </w:pPr>
            <w:r>
              <w:rPr>
                <w:sz w:val="18"/>
              </w:rPr>
              <w:t>114,2</w:t>
            </w:r>
          </w:p>
        </w:tc>
        <w:tc>
          <w:tcPr>
            <w:tcW w:w="1134" w:type="dxa"/>
          </w:tcPr>
          <w:p w:rsidR="00000000" w:rsidRDefault="00000000">
            <w:pPr>
              <w:spacing w:before="80" w:after="80" w:line="220" w:lineRule="exact"/>
              <w:jc w:val="center"/>
              <w:rPr>
                <w:sz w:val="18"/>
              </w:rPr>
            </w:pPr>
            <w:r>
              <w:rPr>
                <w:sz w:val="18"/>
              </w:rPr>
              <w:t>119,5</w:t>
            </w:r>
          </w:p>
        </w:tc>
        <w:tc>
          <w:tcPr>
            <w:tcW w:w="1134" w:type="dxa"/>
          </w:tcPr>
          <w:p w:rsidR="00000000" w:rsidRDefault="00000000">
            <w:pPr>
              <w:spacing w:before="80" w:after="80" w:line="220" w:lineRule="exact"/>
              <w:jc w:val="center"/>
              <w:rPr>
                <w:sz w:val="18"/>
              </w:rPr>
            </w:pPr>
            <w:r>
              <w:rPr>
                <w:sz w:val="18"/>
              </w:rPr>
              <w:t>116,7</w:t>
            </w:r>
          </w:p>
        </w:tc>
        <w:tc>
          <w:tcPr>
            <w:tcW w:w="1134" w:type="dxa"/>
          </w:tcPr>
          <w:p w:rsidR="00000000" w:rsidRDefault="00000000">
            <w:pPr>
              <w:spacing w:before="80" w:after="80" w:line="220" w:lineRule="exact"/>
              <w:jc w:val="center"/>
              <w:rPr>
                <w:sz w:val="18"/>
              </w:rPr>
            </w:pPr>
            <w:r>
              <w:rPr>
                <w:sz w:val="18"/>
              </w:rPr>
              <w:t>48,3</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jc w:val="center"/>
              <w:rPr>
                <w:sz w:val="18"/>
              </w:rPr>
            </w:pPr>
            <w:r>
              <w:rPr>
                <w:sz w:val="18"/>
              </w:rPr>
              <w:t>1995/96</w:t>
            </w:r>
          </w:p>
        </w:tc>
        <w:tc>
          <w:tcPr>
            <w:tcW w:w="1134" w:type="dxa"/>
          </w:tcPr>
          <w:p w:rsidR="00000000" w:rsidRDefault="00000000">
            <w:pPr>
              <w:spacing w:before="80" w:after="80" w:line="220" w:lineRule="exact"/>
              <w:jc w:val="center"/>
              <w:rPr>
                <w:sz w:val="18"/>
              </w:rPr>
            </w:pPr>
            <w:r>
              <w:rPr>
                <w:sz w:val="18"/>
              </w:rPr>
              <w:t>371 869</w:t>
            </w:r>
          </w:p>
        </w:tc>
        <w:tc>
          <w:tcPr>
            <w:tcW w:w="1134" w:type="dxa"/>
          </w:tcPr>
          <w:p w:rsidR="00000000" w:rsidRDefault="00000000">
            <w:pPr>
              <w:spacing w:before="80" w:after="80" w:line="220" w:lineRule="exact"/>
              <w:jc w:val="center"/>
              <w:rPr>
                <w:sz w:val="18"/>
              </w:rPr>
            </w:pPr>
            <w:r>
              <w:rPr>
                <w:sz w:val="18"/>
              </w:rPr>
              <w:t>354 057</w:t>
            </w:r>
          </w:p>
        </w:tc>
        <w:tc>
          <w:tcPr>
            <w:tcW w:w="1134" w:type="dxa"/>
          </w:tcPr>
          <w:p w:rsidR="00000000" w:rsidRDefault="00000000">
            <w:pPr>
              <w:spacing w:before="80" w:after="80" w:line="220" w:lineRule="exact"/>
              <w:jc w:val="center"/>
              <w:rPr>
                <w:sz w:val="18"/>
              </w:rPr>
            </w:pPr>
            <w:r>
              <w:rPr>
                <w:sz w:val="18"/>
              </w:rPr>
              <w:t>725 926</w:t>
            </w:r>
          </w:p>
        </w:tc>
        <w:tc>
          <w:tcPr>
            <w:tcW w:w="1134" w:type="dxa"/>
          </w:tcPr>
          <w:p w:rsidR="00000000" w:rsidRDefault="00000000">
            <w:pPr>
              <w:spacing w:before="80" w:after="80" w:line="220" w:lineRule="exact"/>
              <w:jc w:val="center"/>
              <w:rPr>
                <w:sz w:val="18"/>
              </w:rPr>
            </w:pPr>
            <w:r>
              <w:rPr>
                <w:sz w:val="18"/>
              </w:rPr>
              <w:t>124,2</w:t>
            </w:r>
          </w:p>
        </w:tc>
        <w:tc>
          <w:tcPr>
            <w:tcW w:w="1134" w:type="dxa"/>
          </w:tcPr>
          <w:p w:rsidR="00000000" w:rsidRDefault="00000000">
            <w:pPr>
              <w:spacing w:before="80" w:after="80" w:line="220" w:lineRule="exact"/>
              <w:jc w:val="center"/>
              <w:rPr>
                <w:sz w:val="18"/>
              </w:rPr>
            </w:pPr>
            <w:r>
              <w:rPr>
                <w:sz w:val="18"/>
              </w:rPr>
              <w:t>132,2</w:t>
            </w:r>
          </w:p>
        </w:tc>
        <w:tc>
          <w:tcPr>
            <w:tcW w:w="1134" w:type="dxa"/>
          </w:tcPr>
          <w:p w:rsidR="00000000" w:rsidRDefault="00000000">
            <w:pPr>
              <w:spacing w:before="80" w:after="80" w:line="220" w:lineRule="exact"/>
              <w:jc w:val="center"/>
              <w:rPr>
                <w:sz w:val="18"/>
              </w:rPr>
            </w:pPr>
            <w:r>
              <w:rPr>
                <w:sz w:val="18"/>
              </w:rPr>
              <w:t>127,9</w:t>
            </w:r>
          </w:p>
        </w:tc>
        <w:tc>
          <w:tcPr>
            <w:tcW w:w="1134" w:type="dxa"/>
          </w:tcPr>
          <w:p w:rsidR="00000000" w:rsidRDefault="00000000">
            <w:pPr>
              <w:spacing w:before="80" w:after="80" w:line="220" w:lineRule="exact"/>
              <w:jc w:val="center"/>
              <w:rPr>
                <w:sz w:val="18"/>
              </w:rPr>
            </w:pPr>
            <w:r>
              <w:rPr>
                <w:sz w:val="18"/>
              </w:rPr>
              <w:t>48,8</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jc w:val="center"/>
              <w:rPr>
                <w:sz w:val="18"/>
              </w:rPr>
            </w:pPr>
            <w:r>
              <w:rPr>
                <w:sz w:val="18"/>
              </w:rPr>
              <w:t>1996/97</w:t>
            </w:r>
          </w:p>
        </w:tc>
        <w:tc>
          <w:tcPr>
            <w:tcW w:w="1134" w:type="dxa"/>
          </w:tcPr>
          <w:p w:rsidR="00000000" w:rsidRDefault="00000000">
            <w:pPr>
              <w:spacing w:before="80" w:after="80" w:line="220" w:lineRule="exact"/>
              <w:jc w:val="center"/>
              <w:rPr>
                <w:sz w:val="18"/>
              </w:rPr>
            </w:pPr>
            <w:r>
              <w:rPr>
                <w:sz w:val="18"/>
              </w:rPr>
              <w:t>399 333</w:t>
            </w:r>
          </w:p>
        </w:tc>
        <w:tc>
          <w:tcPr>
            <w:tcW w:w="1134" w:type="dxa"/>
          </w:tcPr>
          <w:p w:rsidR="00000000" w:rsidRDefault="00000000">
            <w:pPr>
              <w:spacing w:before="80" w:after="80" w:line="220" w:lineRule="exact"/>
              <w:jc w:val="center"/>
              <w:rPr>
                <w:sz w:val="18"/>
              </w:rPr>
            </w:pPr>
            <w:r>
              <w:rPr>
                <w:sz w:val="18"/>
              </w:rPr>
              <w:t>390 287</w:t>
            </w:r>
          </w:p>
        </w:tc>
        <w:tc>
          <w:tcPr>
            <w:tcW w:w="1134" w:type="dxa"/>
          </w:tcPr>
          <w:p w:rsidR="00000000" w:rsidRDefault="00000000">
            <w:pPr>
              <w:spacing w:before="80" w:after="80" w:line="220" w:lineRule="exact"/>
              <w:jc w:val="center"/>
              <w:rPr>
                <w:sz w:val="18"/>
              </w:rPr>
            </w:pPr>
            <w:r>
              <w:rPr>
                <w:sz w:val="18"/>
              </w:rPr>
              <w:t>789 620</w:t>
            </w:r>
          </w:p>
        </w:tc>
        <w:tc>
          <w:tcPr>
            <w:tcW w:w="1134" w:type="dxa"/>
          </w:tcPr>
          <w:p w:rsidR="00000000" w:rsidRDefault="00000000">
            <w:pPr>
              <w:spacing w:before="80" w:after="80" w:line="220" w:lineRule="exact"/>
              <w:jc w:val="center"/>
              <w:rPr>
                <w:sz w:val="18"/>
              </w:rPr>
            </w:pPr>
            <w:r>
              <w:rPr>
                <w:sz w:val="18"/>
              </w:rPr>
              <w:t>133,3</w:t>
            </w:r>
          </w:p>
        </w:tc>
        <w:tc>
          <w:tcPr>
            <w:tcW w:w="1134" w:type="dxa"/>
          </w:tcPr>
          <w:p w:rsidR="00000000" w:rsidRDefault="00000000">
            <w:pPr>
              <w:spacing w:before="80" w:after="80" w:line="220" w:lineRule="exact"/>
              <w:jc w:val="center"/>
              <w:rPr>
                <w:sz w:val="18"/>
              </w:rPr>
            </w:pPr>
            <w:r>
              <w:rPr>
                <w:sz w:val="18"/>
              </w:rPr>
              <w:t>145,7</w:t>
            </w:r>
          </w:p>
        </w:tc>
        <w:tc>
          <w:tcPr>
            <w:tcW w:w="1134" w:type="dxa"/>
          </w:tcPr>
          <w:p w:rsidR="00000000" w:rsidRDefault="00000000">
            <w:pPr>
              <w:spacing w:before="80" w:after="80" w:line="220" w:lineRule="exact"/>
              <w:jc w:val="center"/>
              <w:rPr>
                <w:sz w:val="18"/>
              </w:rPr>
            </w:pPr>
            <w:r>
              <w:rPr>
                <w:sz w:val="18"/>
              </w:rPr>
              <w:t>139,2</w:t>
            </w:r>
          </w:p>
        </w:tc>
        <w:tc>
          <w:tcPr>
            <w:tcW w:w="1134" w:type="dxa"/>
          </w:tcPr>
          <w:p w:rsidR="00000000" w:rsidRDefault="00000000">
            <w:pPr>
              <w:spacing w:before="80" w:after="80" w:line="220" w:lineRule="exact"/>
              <w:jc w:val="center"/>
              <w:rPr>
                <w:sz w:val="18"/>
              </w:rPr>
            </w:pPr>
            <w:r>
              <w:rPr>
                <w:sz w:val="18"/>
              </w:rPr>
              <w:t>49,4</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jc w:val="center"/>
              <w:rPr>
                <w:sz w:val="18"/>
              </w:rPr>
            </w:pPr>
            <w:r>
              <w:rPr>
                <w:sz w:val="18"/>
              </w:rPr>
              <w:t>1997/98</w:t>
            </w:r>
          </w:p>
        </w:tc>
        <w:tc>
          <w:tcPr>
            <w:tcW w:w="1134" w:type="dxa"/>
          </w:tcPr>
          <w:p w:rsidR="00000000" w:rsidRDefault="00000000">
            <w:pPr>
              <w:spacing w:before="80" w:after="80" w:line="220" w:lineRule="exact"/>
              <w:jc w:val="center"/>
              <w:rPr>
                <w:sz w:val="18"/>
              </w:rPr>
            </w:pPr>
            <w:r>
              <w:rPr>
                <w:sz w:val="18"/>
              </w:rPr>
              <w:t>414 963</w:t>
            </w:r>
          </w:p>
        </w:tc>
        <w:tc>
          <w:tcPr>
            <w:tcW w:w="1134" w:type="dxa"/>
          </w:tcPr>
          <w:p w:rsidR="00000000" w:rsidRDefault="00000000">
            <w:pPr>
              <w:spacing w:before="80" w:after="80" w:line="220" w:lineRule="exact"/>
              <w:jc w:val="center"/>
              <w:rPr>
                <w:sz w:val="18"/>
              </w:rPr>
            </w:pPr>
            <w:r>
              <w:rPr>
                <w:sz w:val="18"/>
              </w:rPr>
              <w:t>418 409</w:t>
            </w:r>
          </w:p>
        </w:tc>
        <w:tc>
          <w:tcPr>
            <w:tcW w:w="1134" w:type="dxa"/>
          </w:tcPr>
          <w:p w:rsidR="00000000" w:rsidRDefault="00000000">
            <w:pPr>
              <w:spacing w:before="80" w:after="80" w:line="220" w:lineRule="exact"/>
              <w:jc w:val="center"/>
              <w:rPr>
                <w:sz w:val="18"/>
              </w:rPr>
            </w:pPr>
            <w:r>
              <w:rPr>
                <w:sz w:val="18"/>
              </w:rPr>
              <w:t>833 372</w:t>
            </w:r>
          </w:p>
        </w:tc>
        <w:tc>
          <w:tcPr>
            <w:tcW w:w="1134" w:type="dxa"/>
          </w:tcPr>
          <w:p w:rsidR="00000000" w:rsidRDefault="00000000">
            <w:pPr>
              <w:spacing w:before="80" w:after="80" w:line="220" w:lineRule="exact"/>
              <w:jc w:val="center"/>
              <w:rPr>
                <w:sz w:val="18"/>
              </w:rPr>
            </w:pPr>
            <w:r>
              <w:rPr>
                <w:sz w:val="18"/>
              </w:rPr>
              <w:t>138,6</w:t>
            </w:r>
          </w:p>
        </w:tc>
        <w:tc>
          <w:tcPr>
            <w:tcW w:w="1134" w:type="dxa"/>
          </w:tcPr>
          <w:p w:rsidR="00000000" w:rsidRDefault="00000000">
            <w:pPr>
              <w:spacing w:before="80" w:after="80" w:line="220" w:lineRule="exact"/>
              <w:jc w:val="center"/>
              <w:rPr>
                <w:sz w:val="18"/>
              </w:rPr>
            </w:pPr>
            <w:r>
              <w:rPr>
                <w:sz w:val="18"/>
              </w:rPr>
              <w:t>156,2</w:t>
            </w:r>
          </w:p>
        </w:tc>
        <w:tc>
          <w:tcPr>
            <w:tcW w:w="1134" w:type="dxa"/>
          </w:tcPr>
          <w:p w:rsidR="00000000" w:rsidRDefault="00000000">
            <w:pPr>
              <w:spacing w:before="80" w:after="80" w:line="220" w:lineRule="exact"/>
              <w:jc w:val="center"/>
              <w:rPr>
                <w:sz w:val="18"/>
              </w:rPr>
            </w:pPr>
            <w:r>
              <w:rPr>
                <w:sz w:val="18"/>
              </w:rPr>
              <w:t>146,9</w:t>
            </w:r>
          </w:p>
        </w:tc>
        <w:tc>
          <w:tcPr>
            <w:tcW w:w="1134" w:type="dxa"/>
          </w:tcPr>
          <w:p w:rsidR="00000000" w:rsidRDefault="00000000">
            <w:pPr>
              <w:spacing w:before="80" w:after="80" w:line="220" w:lineRule="exact"/>
              <w:jc w:val="center"/>
              <w:rPr>
                <w:sz w:val="18"/>
              </w:rPr>
            </w:pPr>
            <w:r>
              <w:rPr>
                <w:sz w:val="18"/>
              </w:rPr>
              <w:t>50,2</w:t>
            </w:r>
          </w:p>
        </w:tc>
      </w:tr>
      <w:tr w:rsidR="00000000">
        <w:tblPrEx>
          <w:tblCellMar>
            <w:top w:w="0" w:type="dxa"/>
            <w:bottom w:w="0" w:type="dxa"/>
          </w:tblCellMar>
        </w:tblPrEx>
        <w:trPr>
          <w:cantSplit/>
          <w:jc w:val="center"/>
        </w:trPr>
        <w:tc>
          <w:tcPr>
            <w:tcW w:w="1134" w:type="dxa"/>
          </w:tcPr>
          <w:p w:rsidR="00000000" w:rsidRDefault="00000000">
            <w:pPr>
              <w:spacing w:before="80" w:after="80" w:line="220" w:lineRule="exact"/>
              <w:jc w:val="center"/>
              <w:rPr>
                <w:sz w:val="18"/>
              </w:rPr>
            </w:pPr>
            <w:r>
              <w:rPr>
                <w:sz w:val="18"/>
              </w:rPr>
              <w:t>1998/99</w:t>
            </w:r>
          </w:p>
        </w:tc>
        <w:tc>
          <w:tcPr>
            <w:tcW w:w="1134" w:type="dxa"/>
          </w:tcPr>
          <w:p w:rsidR="00000000" w:rsidRDefault="00000000">
            <w:pPr>
              <w:spacing w:before="80" w:after="80" w:line="220" w:lineRule="exact"/>
              <w:jc w:val="center"/>
              <w:rPr>
                <w:sz w:val="18"/>
              </w:rPr>
            </w:pPr>
            <w:r>
              <w:rPr>
                <w:sz w:val="18"/>
              </w:rPr>
              <w:t>431 797</w:t>
            </w:r>
          </w:p>
        </w:tc>
        <w:tc>
          <w:tcPr>
            <w:tcW w:w="1134" w:type="dxa"/>
          </w:tcPr>
          <w:p w:rsidR="00000000" w:rsidRDefault="00000000">
            <w:pPr>
              <w:spacing w:before="80" w:after="80" w:line="220" w:lineRule="exact"/>
              <w:jc w:val="center"/>
              <w:rPr>
                <w:sz w:val="18"/>
              </w:rPr>
            </w:pPr>
            <w:r>
              <w:rPr>
                <w:sz w:val="18"/>
              </w:rPr>
              <w:t>443 017</w:t>
            </w:r>
          </w:p>
        </w:tc>
        <w:tc>
          <w:tcPr>
            <w:tcW w:w="1134" w:type="dxa"/>
          </w:tcPr>
          <w:p w:rsidR="00000000" w:rsidRDefault="00000000">
            <w:pPr>
              <w:spacing w:before="80" w:after="80" w:line="220" w:lineRule="exact"/>
              <w:jc w:val="center"/>
              <w:rPr>
                <w:sz w:val="18"/>
              </w:rPr>
            </w:pPr>
            <w:r>
              <w:rPr>
                <w:sz w:val="18"/>
              </w:rPr>
              <w:t>874 814</w:t>
            </w:r>
          </w:p>
        </w:tc>
        <w:tc>
          <w:tcPr>
            <w:tcW w:w="1134" w:type="dxa"/>
          </w:tcPr>
          <w:p w:rsidR="00000000" w:rsidRDefault="00000000">
            <w:pPr>
              <w:spacing w:before="80" w:after="80" w:line="220" w:lineRule="exact"/>
              <w:jc w:val="center"/>
              <w:rPr>
                <w:sz w:val="18"/>
              </w:rPr>
            </w:pPr>
            <w:r>
              <w:rPr>
                <w:sz w:val="18"/>
              </w:rPr>
              <w:t>144,2</w:t>
            </w:r>
          </w:p>
        </w:tc>
        <w:tc>
          <w:tcPr>
            <w:tcW w:w="1134" w:type="dxa"/>
          </w:tcPr>
          <w:p w:rsidR="00000000" w:rsidRDefault="00000000">
            <w:pPr>
              <w:spacing w:before="80" w:after="80" w:line="220" w:lineRule="exact"/>
              <w:jc w:val="center"/>
              <w:rPr>
                <w:sz w:val="18"/>
              </w:rPr>
            </w:pPr>
            <w:r>
              <w:rPr>
                <w:sz w:val="18"/>
              </w:rPr>
              <w:t>165,4</w:t>
            </w:r>
          </w:p>
        </w:tc>
        <w:tc>
          <w:tcPr>
            <w:tcW w:w="1134" w:type="dxa"/>
          </w:tcPr>
          <w:p w:rsidR="00000000" w:rsidRDefault="00000000">
            <w:pPr>
              <w:spacing w:before="80" w:after="80" w:line="220" w:lineRule="exact"/>
              <w:jc w:val="center"/>
              <w:rPr>
                <w:sz w:val="18"/>
              </w:rPr>
            </w:pPr>
            <w:r>
              <w:rPr>
                <w:sz w:val="18"/>
              </w:rPr>
              <w:t>154,1</w:t>
            </w:r>
          </w:p>
        </w:tc>
        <w:tc>
          <w:tcPr>
            <w:tcW w:w="1134" w:type="dxa"/>
          </w:tcPr>
          <w:p w:rsidR="00000000" w:rsidRDefault="00000000">
            <w:pPr>
              <w:spacing w:before="80" w:after="80" w:line="220" w:lineRule="exact"/>
              <w:jc w:val="center"/>
              <w:rPr>
                <w:sz w:val="18"/>
              </w:rPr>
            </w:pPr>
            <w:r>
              <w:rPr>
                <w:sz w:val="18"/>
              </w:rPr>
              <w:t>50,6</w:t>
            </w:r>
          </w:p>
        </w:tc>
      </w:tr>
    </w:tbl>
    <w:p w:rsidR="00000000" w:rsidRDefault="00000000">
      <w:pPr>
        <w:spacing w:before="120" w:line="220" w:lineRule="exact"/>
        <w:ind w:right="289"/>
        <w:jc w:val="right"/>
        <w:rPr>
          <w:b/>
          <w:sz w:val="18"/>
        </w:rPr>
      </w:pPr>
      <w:r>
        <w:rPr>
          <w:b/>
          <w:sz w:val="18"/>
        </w:rPr>
        <w:t>Источник: Министерство образования и науки</w:t>
      </w:r>
    </w:p>
    <w:p w:rsidR="00000000" w:rsidRDefault="00000000">
      <w:r>
        <w:t>503.</w:t>
      </w:r>
      <w:r>
        <w:tab/>
        <w:t>На уровне среднего образования также отмечается более высокий индекс роста у девочек, чем у мальчиков, поскольку за период с 1992/93 учебного года по 1998/99 учебный год он вырос со 100 до 165,4 у девочек и до 144,2 у мальчиков, тогда как контингент девочек за тот же период увеличился с 47,2 процента до 50,6 процента, превысив контингент мальчиков начиная с 1997/98 учебного года.</w:t>
      </w:r>
    </w:p>
    <w:p w:rsidR="00000000" w:rsidRDefault="00000000">
      <w:r>
        <w:t>504.</w:t>
      </w:r>
      <w:r>
        <w:tab/>
        <w:t>Анализ, основанный на индексе роста и на соотношении контингента девочек с общим контингентом учащихся, убедительно подтверждает сокращение разрыва между мальчиками и девочками в уровне охвата школьным обучением; это сокращение происходит быстрее в преимущественно сельских районах, таких как Кассерин или Сиди-Бу-Зид, где индекс роста составляет, соответственно, 131,1 и 136,5 против 121,1 в городе Тунисе (с 1994/95 учебного года по 1997/98 учебный год).</w:t>
      </w:r>
    </w:p>
    <w:p w:rsidR="00000000" w:rsidRDefault="00000000">
      <w:r>
        <w:t>505.</w:t>
      </w:r>
      <w:r>
        <w:tab/>
        <w:t>Ликвидация разрыва как между мальчиками и девочками, так и между районами является результатом объединенных усилий одновременно по всем направлениям, а именно в области инвестиций, базовой школьной инфраструктуры, доступа к системе образования, организации обучения и даже борьбы с бедностью и децентрализации политики развития.</w:t>
      </w:r>
    </w:p>
    <w:p w:rsidR="00000000" w:rsidRDefault="00000000">
      <w:pPr>
        <w:jc w:val="center"/>
        <w:rPr>
          <w:b/>
        </w:rPr>
      </w:pPr>
      <w:r>
        <w:rPr>
          <w:b/>
        </w:rPr>
        <w:t>Динамика охвата школьным обучением девочек из сельской и городской среды</w:t>
      </w:r>
      <w:r>
        <w:rPr>
          <w:b/>
        </w:rPr>
        <w:br/>
        <w:t>(второй этап базового образования и среднее образование)</w:t>
      </w:r>
    </w:p>
    <w:tbl>
      <w:tblPr>
        <w:tblW w:w="0" w:type="auto"/>
        <w:jc w:val="center"/>
        <w:tblLayout w:type="fixed"/>
        <w:tblCellMar>
          <w:left w:w="40" w:type="dxa"/>
          <w:right w:w="40" w:type="dxa"/>
        </w:tblCellMar>
        <w:tblLook w:val="0000" w:firstRow="0" w:lastRow="0" w:firstColumn="0" w:lastColumn="0" w:noHBand="0" w:noVBand="0"/>
      </w:tblPr>
      <w:tblGrid>
        <w:gridCol w:w="1701"/>
        <w:gridCol w:w="1134"/>
        <w:gridCol w:w="1134"/>
        <w:gridCol w:w="1134"/>
        <w:gridCol w:w="1134"/>
        <w:gridCol w:w="1134"/>
        <w:gridCol w:w="1134"/>
        <w:gridCol w:w="1134"/>
      </w:tblGrid>
      <w:tr w:rsidR="00000000">
        <w:tblPrEx>
          <w:tblCellMar>
            <w:top w:w="0" w:type="dxa"/>
            <w:bottom w:w="0" w:type="dxa"/>
          </w:tblCellMar>
        </w:tblPrEx>
        <w:trPr>
          <w:cantSplit/>
          <w:trHeight w:val="20"/>
          <w:jc w:val="center"/>
        </w:trPr>
        <w:tc>
          <w:tcPr>
            <w:tcW w:w="1701" w:type="dxa"/>
            <w:vMerge w:val="restart"/>
            <w:tcBorders>
              <w:top w:val="single" w:sz="6" w:space="0" w:color="auto"/>
              <w:left w:val="single" w:sz="6" w:space="0" w:color="auto"/>
              <w:right w:val="single" w:sz="6" w:space="0" w:color="auto"/>
            </w:tcBorders>
          </w:tcPr>
          <w:p w:rsidR="00000000" w:rsidRDefault="00000000">
            <w:pPr>
              <w:spacing w:before="60" w:after="60" w:line="220" w:lineRule="exact"/>
              <w:jc w:val="center"/>
              <w:rPr>
                <w:b/>
                <w:sz w:val="18"/>
              </w:rPr>
            </w:pPr>
            <w:r>
              <w:rPr>
                <w:b/>
                <w:sz w:val="18"/>
              </w:rPr>
              <w:t>Районы</w:t>
            </w:r>
          </w:p>
        </w:tc>
        <w:tc>
          <w:tcPr>
            <w:tcW w:w="3402"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b/>
                <w:sz w:val="18"/>
              </w:rPr>
            </w:pPr>
            <w:r>
              <w:rPr>
                <w:b/>
                <w:sz w:val="18"/>
              </w:rPr>
              <w:t>1994/95 учебный год</w:t>
            </w:r>
          </w:p>
        </w:tc>
        <w:tc>
          <w:tcPr>
            <w:tcW w:w="3402"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b/>
                <w:sz w:val="18"/>
              </w:rPr>
            </w:pPr>
            <w:r>
              <w:rPr>
                <w:b/>
                <w:sz w:val="18"/>
              </w:rPr>
              <w:t>1998/99 учебный год</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b/>
                <w:sz w:val="18"/>
              </w:rPr>
            </w:pPr>
            <w:r>
              <w:rPr>
                <w:b/>
                <w:sz w:val="18"/>
              </w:rPr>
              <w:t>Индекс роста девочек</w:t>
            </w:r>
          </w:p>
        </w:tc>
      </w:tr>
      <w:tr w:rsidR="00000000">
        <w:tblPrEx>
          <w:tblCellMar>
            <w:top w:w="0" w:type="dxa"/>
            <w:bottom w:w="0" w:type="dxa"/>
          </w:tblCellMar>
        </w:tblPrEx>
        <w:trPr>
          <w:cantSplit/>
          <w:trHeight w:val="20"/>
          <w:jc w:val="center"/>
        </w:trPr>
        <w:tc>
          <w:tcPr>
            <w:tcW w:w="1701" w:type="dxa"/>
            <w:vMerge/>
            <w:tcBorders>
              <w:left w:val="single" w:sz="6" w:space="0" w:color="auto"/>
              <w:bottom w:val="single" w:sz="6" w:space="0" w:color="auto"/>
              <w:right w:val="single" w:sz="6" w:space="0" w:color="auto"/>
            </w:tcBorders>
          </w:tcPr>
          <w:p w:rsidR="00000000" w:rsidRDefault="00000000">
            <w:pPr>
              <w:spacing w:before="60" w:after="60" w:line="220" w:lineRule="exact"/>
              <w:rPr>
                <w:sz w:val="18"/>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всего учеников</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из них девочек</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процентная доля девочек</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всего</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из них девочек</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процентная доля девочек</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1994/95 –1998/99</w:t>
            </w:r>
          </w:p>
        </w:tc>
      </w:tr>
      <w:tr w:rsidR="00000000">
        <w:tblPrEx>
          <w:tblCellMar>
            <w:top w:w="0" w:type="dxa"/>
            <w:bottom w:w="0" w:type="dxa"/>
          </w:tblCellMar>
        </w:tblPrEx>
        <w:trPr>
          <w:trHeight w:val="20"/>
          <w:jc w:val="center"/>
        </w:trPr>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город Тунис</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72 681</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38 022</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52,31</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89 939</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47 570</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52,9</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125,1</w:t>
            </w:r>
          </w:p>
        </w:tc>
      </w:tr>
      <w:tr w:rsidR="00000000">
        <w:tblPrEx>
          <w:tblCellMar>
            <w:top w:w="0" w:type="dxa"/>
            <w:bottom w:w="0" w:type="dxa"/>
          </w:tblCellMar>
        </w:tblPrEx>
        <w:trPr>
          <w:trHeight w:val="20"/>
          <w:jc w:val="center"/>
        </w:trPr>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Кассерин</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25 936</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10 970</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42,29</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34 602</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15 677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45,3</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142,9</w:t>
            </w:r>
          </w:p>
        </w:tc>
      </w:tr>
      <w:tr w:rsidR="00000000">
        <w:tblPrEx>
          <w:tblCellMar>
            <w:top w:w="0" w:type="dxa"/>
            <w:bottom w:w="0" w:type="dxa"/>
          </w:tblCellMar>
        </w:tblPrEx>
        <w:trPr>
          <w:trHeight w:val="20"/>
          <w:jc w:val="center"/>
        </w:trPr>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Сиди-Бу-Зид</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28 908</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12 084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41,80</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37 941</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17 536</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46,2</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145,1</w:t>
            </w:r>
          </w:p>
        </w:tc>
      </w:tr>
      <w:tr w:rsidR="00000000">
        <w:tblPrEx>
          <w:tblCellMar>
            <w:top w:w="0" w:type="dxa"/>
            <w:bottom w:w="0" w:type="dxa"/>
          </w:tblCellMar>
        </w:tblPrEx>
        <w:trPr>
          <w:trHeight w:val="20"/>
          <w:jc w:val="center"/>
        </w:trPr>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Всего</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662 222</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320 055</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48,33</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874 814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443 017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50,6</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jc w:val="center"/>
              <w:rPr>
                <w:sz w:val="18"/>
              </w:rPr>
            </w:pPr>
            <w:r>
              <w:rPr>
                <w:sz w:val="18"/>
              </w:rPr>
              <w:t>138,4</w:t>
            </w:r>
          </w:p>
        </w:tc>
      </w:tr>
    </w:tbl>
    <w:p w:rsidR="00000000" w:rsidRDefault="00000000">
      <w:pPr>
        <w:spacing w:before="80" w:after="180" w:line="220" w:lineRule="exact"/>
        <w:jc w:val="right"/>
        <w:rPr>
          <w:b/>
          <w:sz w:val="18"/>
        </w:rPr>
      </w:pPr>
      <w:r>
        <w:rPr>
          <w:b/>
          <w:sz w:val="18"/>
        </w:rPr>
        <w:t>Источник: Министерство образования и науки</w:t>
      </w:r>
    </w:p>
    <w:p w:rsidR="00000000" w:rsidRDefault="00000000">
      <w:pPr>
        <w:spacing w:after="120"/>
        <w:rPr>
          <w:b/>
        </w:rPr>
      </w:pPr>
      <w:r>
        <w:rPr>
          <w:b/>
        </w:rPr>
        <w:t>b)</w:t>
      </w:r>
      <w:r>
        <w:rPr>
          <w:b/>
        </w:rPr>
        <w:tab/>
        <w:t>Индекс охвата школьным обучением</w:t>
      </w:r>
    </w:p>
    <w:p w:rsidR="00000000" w:rsidRDefault="00000000">
      <w:r>
        <w:t>506.</w:t>
      </w:r>
      <w:r>
        <w:tab/>
        <w:t xml:space="preserve">Рост доступа к образованию показывает в таблицах, ниже, более быстрый охват девочек школьным обучением, что позволяет обеспечить полное численное равенство контингента мальчиков и девочек в возрасте шести лет и значительный прогресс в этом отношении возрастной группы школьников от 6 до 12 лет, поскольку разрыв между мальчиками и девочками сократился с 6,8 пункта в 1992/93 учебном году до 1 пункта в </w:t>
      </w:r>
      <w:r>
        <w:br/>
        <w:t>1998/99 учебном году.</w:t>
      </w:r>
    </w:p>
    <w:p w:rsidR="00000000" w:rsidRDefault="00000000">
      <w:pPr>
        <w:spacing w:after="120"/>
        <w:jc w:val="center"/>
        <w:rPr>
          <w:b/>
        </w:rPr>
      </w:pPr>
      <w:r>
        <w:rPr>
          <w:b/>
        </w:rPr>
        <w:t>Динамика индекса охвата школьным обучением детей в возрасте шести лет</w:t>
      </w:r>
    </w:p>
    <w:tbl>
      <w:tblPr>
        <w:tblW w:w="0" w:type="auto"/>
        <w:jc w:val="center"/>
        <w:tblLayout w:type="fixed"/>
        <w:tblCellMar>
          <w:left w:w="40" w:type="dxa"/>
          <w:right w:w="40" w:type="dxa"/>
        </w:tblCellMar>
        <w:tblLook w:val="0000" w:firstRow="0" w:lastRow="0" w:firstColumn="0" w:lastColumn="0" w:noHBand="0" w:noVBand="0"/>
      </w:tblPr>
      <w:tblGrid>
        <w:gridCol w:w="1139"/>
        <w:gridCol w:w="1121"/>
        <w:gridCol w:w="1138"/>
        <w:gridCol w:w="1138"/>
      </w:tblGrid>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lang w:val="en-US"/>
              </w:rPr>
            </w:pPr>
            <w:r>
              <w:rPr>
                <w:b/>
                <w:sz w:val="18"/>
              </w:rPr>
              <w:t>Учебный год</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Мальчики</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Девочки</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Всего</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1992/93</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96,6</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93,3</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95,0</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1993/94</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97,7</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94,5</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96,1</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1994/95</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99,1</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96,9</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98,0</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1995/96</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99,1</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98,9</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99,0</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1996/97</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99,1</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99,0</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99,1</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1997/98</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99,0</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99,0</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99,0</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1998/99</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99,1</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99,1</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99,1</w:t>
            </w:r>
          </w:p>
        </w:tc>
      </w:tr>
    </w:tbl>
    <w:p w:rsidR="00000000" w:rsidRDefault="00000000">
      <w:pPr>
        <w:ind w:right="2558"/>
        <w:jc w:val="right"/>
        <w:rPr>
          <w:b/>
          <w:sz w:val="18"/>
        </w:rPr>
      </w:pPr>
      <w:r>
        <w:rPr>
          <w:b/>
          <w:sz w:val="18"/>
        </w:rPr>
        <w:t>Источник: Министерство образования и науки</w:t>
      </w:r>
    </w:p>
    <w:p w:rsidR="00000000" w:rsidRDefault="00000000">
      <w:pPr>
        <w:spacing w:after="120"/>
        <w:jc w:val="center"/>
        <w:rPr>
          <w:b/>
        </w:rPr>
      </w:pPr>
      <w:r>
        <w:rPr>
          <w:b/>
        </w:rPr>
        <w:t>Динамика индекса охвата школьным обучением детей в возрасте от 6 до 12 лет</w:t>
      </w:r>
    </w:p>
    <w:tbl>
      <w:tblPr>
        <w:tblW w:w="0" w:type="auto"/>
        <w:jc w:val="center"/>
        <w:tblLayout w:type="fixed"/>
        <w:tblCellMar>
          <w:left w:w="40" w:type="dxa"/>
          <w:right w:w="40" w:type="dxa"/>
        </w:tblCellMar>
        <w:tblLook w:val="0000" w:firstRow="0" w:lastRow="0" w:firstColumn="0" w:lastColumn="0" w:noHBand="0" w:noVBand="0"/>
      </w:tblPr>
      <w:tblGrid>
        <w:gridCol w:w="1139"/>
        <w:gridCol w:w="1121"/>
        <w:gridCol w:w="1138"/>
        <w:gridCol w:w="1138"/>
      </w:tblGrid>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lang w:val="en-US"/>
              </w:rPr>
            </w:pPr>
            <w:r>
              <w:rPr>
                <w:b/>
                <w:sz w:val="18"/>
              </w:rPr>
              <w:t>Учебный год</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Мальчики</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Девочки</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Всего</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1992/93</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92,0</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85,2</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88,7</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1993/94</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94,1</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87,0</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90,6</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1994/95</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94,5</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87,4</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91,0</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1995/96</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94,4</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89,4</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92,0</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1996/97</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93,7</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90,8</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92,3</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1997/98</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93,0</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91,5</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92,3</w:t>
            </w:r>
          </w:p>
        </w:tc>
      </w:tr>
      <w:tr w:rsidR="00000000">
        <w:tblPrEx>
          <w:tblCellMar>
            <w:top w:w="0" w:type="dxa"/>
            <w:bottom w:w="0" w:type="dxa"/>
          </w:tblCellMar>
        </w:tblPrEx>
        <w:trPr>
          <w:trHeight w:val="284"/>
          <w:jc w:val="center"/>
        </w:trPr>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1998/99</w:t>
            </w:r>
          </w:p>
        </w:tc>
        <w:tc>
          <w:tcPr>
            <w:tcW w:w="112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92,8</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91,8</w:t>
            </w:r>
          </w:p>
        </w:tc>
        <w:tc>
          <w:tcPr>
            <w:tcW w:w="11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92,3</w:t>
            </w:r>
          </w:p>
        </w:tc>
      </w:tr>
    </w:tbl>
    <w:p w:rsidR="00000000" w:rsidRDefault="00000000">
      <w:pPr>
        <w:spacing w:before="60" w:after="180" w:line="220" w:lineRule="exact"/>
        <w:ind w:right="2557"/>
        <w:jc w:val="right"/>
        <w:rPr>
          <w:b/>
          <w:sz w:val="18"/>
        </w:rPr>
      </w:pPr>
      <w:r>
        <w:rPr>
          <w:b/>
          <w:sz w:val="18"/>
        </w:rPr>
        <w:t>Источник: Министерство образования и науки</w:t>
      </w:r>
    </w:p>
    <w:p w:rsidR="00000000" w:rsidRDefault="00000000">
      <w:pPr>
        <w:spacing w:after="180" w:line="260" w:lineRule="exact"/>
        <w:rPr>
          <w:b/>
          <w:sz w:val="22"/>
        </w:rPr>
      </w:pPr>
      <w:r>
        <w:rPr>
          <w:b/>
          <w:sz w:val="22"/>
        </w:rPr>
        <w:t>II.1.2.</w:t>
      </w:r>
      <w:r>
        <w:rPr>
          <w:b/>
          <w:sz w:val="22"/>
        </w:rPr>
        <w:tab/>
        <w:t>Повышение школьной успеваемости у девочек</w:t>
      </w:r>
    </w:p>
    <w:p w:rsidR="00000000" w:rsidRDefault="00000000">
      <w:pPr>
        <w:spacing w:after="180"/>
      </w:pPr>
      <w:r>
        <w:t>507.</w:t>
      </w:r>
      <w:r>
        <w:tab/>
        <w:t>В рамках базового образования процент перевода мальчиков и девочек в следующий класс почти одинаковый, как показано в таблице, ниже, охватывающей период с 1992/93 учебного года до 1996/97 учебного года; однако девочки удерживают первое место, поскольку процент их перевода в следующий класс систематически выше на 1–4 и даже 6 пунктов.</w:t>
      </w:r>
    </w:p>
    <w:p w:rsidR="00000000" w:rsidRDefault="00000000">
      <w:pPr>
        <w:spacing w:after="120"/>
        <w:rPr>
          <w:b/>
        </w:rPr>
      </w:pPr>
      <w:r>
        <w:rPr>
          <w:b/>
        </w:rPr>
        <w:t>а)</w:t>
      </w:r>
      <w:r>
        <w:rPr>
          <w:b/>
        </w:rPr>
        <w:tab/>
        <w:t>На первом этапе базового образования:</w:t>
      </w:r>
    </w:p>
    <w:p w:rsidR="00000000" w:rsidRDefault="00000000">
      <w:pPr>
        <w:spacing w:after="120"/>
        <w:jc w:val="center"/>
        <w:rPr>
          <w:b/>
        </w:rPr>
      </w:pPr>
      <w:r>
        <w:rPr>
          <w:b/>
        </w:rPr>
        <w:t>Показатель перевода в следующий класс, в разбивке по полу</w:t>
      </w:r>
    </w:p>
    <w:tbl>
      <w:tblPr>
        <w:tblW w:w="0" w:type="auto"/>
        <w:jc w:val="center"/>
        <w:tblLayout w:type="fixed"/>
        <w:tblCellMar>
          <w:left w:w="40" w:type="dxa"/>
          <w:right w:w="40" w:type="dxa"/>
        </w:tblCellMar>
        <w:tblLook w:val="0000" w:firstRow="0" w:lastRow="0" w:firstColumn="0" w:lastColumn="0" w:noHBand="0" w:noVBand="0"/>
      </w:tblPr>
      <w:tblGrid>
        <w:gridCol w:w="1060"/>
        <w:gridCol w:w="738"/>
        <w:gridCol w:w="761"/>
        <w:gridCol w:w="576"/>
        <w:gridCol w:w="600"/>
        <w:gridCol w:w="738"/>
        <w:gridCol w:w="600"/>
        <w:gridCol w:w="738"/>
        <w:gridCol w:w="761"/>
        <w:gridCol w:w="899"/>
        <w:gridCol w:w="761"/>
        <w:gridCol w:w="669"/>
        <w:gridCol w:w="738"/>
      </w:tblGrid>
      <w:tr w:rsidR="00000000">
        <w:tblPrEx>
          <w:tblCellMar>
            <w:top w:w="0" w:type="dxa"/>
            <w:bottom w:w="0" w:type="dxa"/>
          </w:tblCellMar>
        </w:tblPrEx>
        <w:trPr>
          <w:cantSplit/>
          <w:trHeight w:val="20"/>
          <w:jc w:val="center"/>
        </w:trPr>
        <w:tc>
          <w:tcPr>
            <w:tcW w:w="1060" w:type="dxa"/>
            <w:vMerge w:val="restart"/>
            <w:tcBorders>
              <w:top w:val="single" w:sz="6" w:space="0" w:color="auto"/>
              <w:left w:val="single" w:sz="6" w:space="0" w:color="auto"/>
              <w:right w:val="single" w:sz="6" w:space="0" w:color="auto"/>
            </w:tcBorders>
          </w:tcPr>
          <w:p w:rsidR="00000000" w:rsidRDefault="00000000">
            <w:pPr>
              <w:spacing w:before="40" w:after="40" w:line="220" w:lineRule="exact"/>
              <w:jc w:val="center"/>
              <w:rPr>
                <w:b/>
                <w:sz w:val="18"/>
              </w:rPr>
            </w:pPr>
            <w:r>
              <w:rPr>
                <w:b/>
                <w:sz w:val="18"/>
              </w:rPr>
              <w:t>Учебный год</w:t>
            </w:r>
          </w:p>
        </w:tc>
        <w:tc>
          <w:tcPr>
            <w:tcW w:w="149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1-й класс</w:t>
            </w:r>
          </w:p>
        </w:tc>
        <w:tc>
          <w:tcPr>
            <w:tcW w:w="117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2-й класс</w:t>
            </w:r>
          </w:p>
        </w:tc>
        <w:tc>
          <w:tcPr>
            <w:tcW w:w="133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3-й класс</w:t>
            </w:r>
          </w:p>
        </w:tc>
        <w:tc>
          <w:tcPr>
            <w:tcW w:w="149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4-й класс</w:t>
            </w:r>
          </w:p>
        </w:tc>
        <w:tc>
          <w:tcPr>
            <w:tcW w:w="166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5-й класс</w:t>
            </w:r>
          </w:p>
        </w:tc>
        <w:tc>
          <w:tcPr>
            <w:tcW w:w="1407"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6-й класс</w:t>
            </w:r>
          </w:p>
        </w:tc>
      </w:tr>
      <w:tr w:rsidR="00000000">
        <w:tblPrEx>
          <w:tblCellMar>
            <w:top w:w="0" w:type="dxa"/>
            <w:bottom w:w="0" w:type="dxa"/>
          </w:tblCellMar>
        </w:tblPrEx>
        <w:trPr>
          <w:cantSplit/>
          <w:trHeight w:val="20"/>
          <w:jc w:val="center"/>
        </w:trPr>
        <w:tc>
          <w:tcPr>
            <w:tcW w:w="1060" w:type="dxa"/>
            <w:vMerge/>
            <w:tcBorders>
              <w:left w:val="single" w:sz="6" w:space="0" w:color="auto"/>
              <w:bottom w:val="single" w:sz="6" w:space="0" w:color="auto"/>
              <w:right w:val="single" w:sz="6" w:space="0" w:color="auto"/>
            </w:tcBorders>
          </w:tcPr>
          <w:p w:rsidR="00000000" w:rsidRDefault="00000000">
            <w:pPr>
              <w:spacing w:before="40" w:after="40" w:line="220" w:lineRule="exact"/>
              <w:jc w:val="center"/>
              <w:rPr>
                <w:b/>
                <w:sz w:val="18"/>
                <w:lang w:val="en-US"/>
              </w:rPr>
            </w:pP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5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89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6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r>
      <w:tr w:rsidR="00000000">
        <w:tblPrEx>
          <w:tblCellMar>
            <w:top w:w="0" w:type="dxa"/>
            <w:bottom w:w="0" w:type="dxa"/>
          </w:tblCellMar>
        </w:tblPrEx>
        <w:trPr>
          <w:trHeight w:val="20"/>
          <w:jc w:val="center"/>
        </w:trPr>
        <w:tc>
          <w:tcPr>
            <w:tcW w:w="10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1992/93</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84,4</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85,8</w:t>
            </w:r>
          </w:p>
        </w:tc>
        <w:tc>
          <w:tcPr>
            <w:tcW w:w="5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82,2</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84,7</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76,9</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81,1</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78,4</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82,9</w:t>
            </w:r>
          </w:p>
        </w:tc>
        <w:tc>
          <w:tcPr>
            <w:tcW w:w="89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72,9</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77,5</w:t>
            </w:r>
          </w:p>
        </w:tc>
        <w:tc>
          <w:tcPr>
            <w:tcW w:w="66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53,0</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57,2</w:t>
            </w:r>
          </w:p>
        </w:tc>
      </w:tr>
      <w:tr w:rsidR="00000000">
        <w:tblPrEx>
          <w:tblCellMar>
            <w:top w:w="0" w:type="dxa"/>
            <w:bottom w:w="0" w:type="dxa"/>
          </w:tblCellMar>
        </w:tblPrEx>
        <w:trPr>
          <w:trHeight w:val="20"/>
          <w:jc w:val="center"/>
        </w:trPr>
        <w:tc>
          <w:tcPr>
            <w:tcW w:w="10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1993/94</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84,4</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85,9</w:t>
            </w:r>
          </w:p>
        </w:tc>
        <w:tc>
          <w:tcPr>
            <w:tcW w:w="5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83,5</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86,4</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79,1</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83,9</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80,5</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84,9</w:t>
            </w:r>
          </w:p>
        </w:tc>
        <w:tc>
          <w:tcPr>
            <w:tcW w:w="89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76,9</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80,8</w:t>
            </w:r>
          </w:p>
        </w:tc>
        <w:tc>
          <w:tcPr>
            <w:tcW w:w="66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57,9</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60,9</w:t>
            </w:r>
          </w:p>
        </w:tc>
      </w:tr>
      <w:tr w:rsidR="00000000">
        <w:tblPrEx>
          <w:tblCellMar>
            <w:top w:w="0" w:type="dxa"/>
            <w:bottom w:w="0" w:type="dxa"/>
          </w:tblCellMar>
        </w:tblPrEx>
        <w:trPr>
          <w:trHeight w:val="20"/>
          <w:jc w:val="center"/>
        </w:trPr>
        <w:tc>
          <w:tcPr>
            <w:tcW w:w="10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1994/95</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84,3</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86,2</w:t>
            </w:r>
          </w:p>
        </w:tc>
        <w:tc>
          <w:tcPr>
            <w:tcW w:w="5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83,3</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86,1</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79,3</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84,0</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80,0</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85,2</w:t>
            </w:r>
          </w:p>
        </w:tc>
        <w:tc>
          <w:tcPr>
            <w:tcW w:w="89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74,9</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79,9</w:t>
            </w:r>
          </w:p>
        </w:tc>
        <w:tc>
          <w:tcPr>
            <w:tcW w:w="66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57,3</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60,6</w:t>
            </w:r>
          </w:p>
        </w:tc>
      </w:tr>
      <w:tr w:rsidR="00000000">
        <w:tblPrEx>
          <w:tblCellMar>
            <w:top w:w="0" w:type="dxa"/>
            <w:bottom w:w="0" w:type="dxa"/>
          </w:tblCellMar>
        </w:tblPrEx>
        <w:trPr>
          <w:trHeight w:val="20"/>
          <w:jc w:val="center"/>
        </w:trPr>
        <w:tc>
          <w:tcPr>
            <w:tcW w:w="10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1995/96</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85,0</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86,8</w:t>
            </w:r>
          </w:p>
        </w:tc>
        <w:tc>
          <w:tcPr>
            <w:tcW w:w="5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83,8</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86,5</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80,6</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85,1</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80,8</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85,6</w:t>
            </w:r>
          </w:p>
        </w:tc>
        <w:tc>
          <w:tcPr>
            <w:tcW w:w="89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75,9</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79,9</w:t>
            </w:r>
          </w:p>
        </w:tc>
        <w:tc>
          <w:tcPr>
            <w:tcW w:w="66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61,7</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65,2</w:t>
            </w:r>
          </w:p>
        </w:tc>
      </w:tr>
      <w:tr w:rsidR="00000000">
        <w:tblPrEx>
          <w:tblCellMar>
            <w:top w:w="0" w:type="dxa"/>
            <w:bottom w:w="0" w:type="dxa"/>
          </w:tblCellMar>
        </w:tblPrEx>
        <w:trPr>
          <w:trHeight w:val="20"/>
          <w:jc w:val="center"/>
        </w:trPr>
        <w:tc>
          <w:tcPr>
            <w:tcW w:w="10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1996/97</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83,7</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85,7</w:t>
            </w:r>
          </w:p>
        </w:tc>
        <w:tc>
          <w:tcPr>
            <w:tcW w:w="5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81,4</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85,4</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77,0</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83,2</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77,4</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83,5</w:t>
            </w:r>
          </w:p>
        </w:tc>
        <w:tc>
          <w:tcPr>
            <w:tcW w:w="89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70,5</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77,1</w:t>
            </w:r>
          </w:p>
        </w:tc>
        <w:tc>
          <w:tcPr>
            <w:tcW w:w="66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59,1</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63,9</w:t>
            </w:r>
          </w:p>
        </w:tc>
      </w:tr>
      <w:tr w:rsidR="00000000">
        <w:tblPrEx>
          <w:tblCellMar>
            <w:top w:w="0" w:type="dxa"/>
            <w:bottom w:w="0" w:type="dxa"/>
          </w:tblCellMar>
        </w:tblPrEx>
        <w:trPr>
          <w:trHeight w:val="20"/>
          <w:jc w:val="center"/>
        </w:trPr>
        <w:tc>
          <w:tcPr>
            <w:tcW w:w="106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1997/98</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84,1</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86,4</w:t>
            </w:r>
          </w:p>
        </w:tc>
        <w:tc>
          <w:tcPr>
            <w:tcW w:w="5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82,8</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86,2</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78,8</w:t>
            </w:r>
          </w:p>
        </w:tc>
        <w:tc>
          <w:tcPr>
            <w:tcW w:w="60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84,2</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80,2</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84,9</w:t>
            </w:r>
          </w:p>
        </w:tc>
        <w:tc>
          <w:tcPr>
            <w:tcW w:w="89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73,8</w:t>
            </w:r>
          </w:p>
        </w:tc>
        <w:tc>
          <w:tcPr>
            <w:tcW w:w="7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79,3</w:t>
            </w:r>
          </w:p>
        </w:tc>
        <w:tc>
          <w:tcPr>
            <w:tcW w:w="66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60,0</w:t>
            </w:r>
          </w:p>
        </w:tc>
        <w:tc>
          <w:tcPr>
            <w:tcW w:w="73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63,7</w:t>
            </w:r>
          </w:p>
        </w:tc>
      </w:tr>
    </w:tbl>
    <w:p w:rsidR="00000000" w:rsidRDefault="00000000">
      <w:pPr>
        <w:spacing w:before="60" w:after="180" w:line="220" w:lineRule="exact"/>
        <w:jc w:val="right"/>
        <w:rPr>
          <w:b/>
          <w:sz w:val="18"/>
        </w:rPr>
      </w:pPr>
      <w:r>
        <w:rPr>
          <w:b/>
          <w:sz w:val="18"/>
        </w:rPr>
        <w:t>Источник: Министерство образования и науки</w:t>
      </w:r>
    </w:p>
    <w:p w:rsidR="00000000" w:rsidRDefault="00000000">
      <w:pPr>
        <w:spacing w:after="180"/>
      </w:pPr>
      <w:r>
        <w:t>508.</w:t>
      </w:r>
      <w:r>
        <w:tab/>
        <w:t>В 1997/98 учебном году региональный переводной экзамен в шестом классе успешно сдали 63,7 процента девочек против 60 процентов мальчиков.</w:t>
      </w:r>
    </w:p>
    <w:p w:rsidR="00000000" w:rsidRDefault="00000000">
      <w:pPr>
        <w:spacing w:after="180"/>
      </w:pPr>
      <w:r>
        <w:t>509.</w:t>
      </w:r>
      <w:r>
        <w:tab/>
        <w:t>Процент перевода учащихся в следующий класс постепенно возрастал параллельно с развитием базового образования, и особенно это касается девочек.</w:t>
      </w:r>
    </w:p>
    <w:p w:rsidR="00000000" w:rsidRDefault="00000000">
      <w:pPr>
        <w:spacing w:after="120"/>
        <w:jc w:val="center"/>
        <w:rPr>
          <w:b/>
        </w:rPr>
      </w:pPr>
      <w:r>
        <w:rPr>
          <w:b/>
        </w:rPr>
        <w:t>Показатель успеваемости в шестом классе базовой школы</w:t>
      </w:r>
    </w:p>
    <w:tbl>
      <w:tblPr>
        <w:tblW w:w="0" w:type="auto"/>
        <w:jc w:val="center"/>
        <w:tblLayout w:type="fixed"/>
        <w:tblCellMar>
          <w:left w:w="40" w:type="dxa"/>
          <w:right w:w="40" w:type="dxa"/>
        </w:tblCellMar>
        <w:tblLook w:val="0000" w:firstRow="0" w:lastRow="0" w:firstColumn="0" w:lastColumn="0" w:noHBand="0" w:noVBand="0"/>
      </w:tblPr>
      <w:tblGrid>
        <w:gridCol w:w="1196"/>
        <w:gridCol w:w="1043"/>
        <w:gridCol w:w="1139"/>
        <w:gridCol w:w="1158"/>
      </w:tblGrid>
      <w:tr w:rsidR="00000000">
        <w:tblPrEx>
          <w:tblCellMar>
            <w:top w:w="0" w:type="dxa"/>
            <w:bottom w:w="0" w:type="dxa"/>
          </w:tblCellMar>
        </w:tblPrEx>
        <w:trPr>
          <w:trHeight w:val="284"/>
          <w:jc w:val="center"/>
        </w:trPr>
        <w:tc>
          <w:tcPr>
            <w:tcW w:w="119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lang w:val="en-US"/>
              </w:rPr>
            </w:pPr>
          </w:p>
        </w:tc>
        <w:tc>
          <w:tcPr>
            <w:tcW w:w="104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Мальчики</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Девочки</w:t>
            </w:r>
          </w:p>
        </w:tc>
        <w:tc>
          <w:tcPr>
            <w:tcW w:w="115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Всего</w:t>
            </w:r>
          </w:p>
        </w:tc>
      </w:tr>
      <w:tr w:rsidR="00000000">
        <w:tblPrEx>
          <w:tblCellMar>
            <w:top w:w="0" w:type="dxa"/>
            <w:bottom w:w="0" w:type="dxa"/>
          </w:tblCellMar>
        </w:tblPrEx>
        <w:trPr>
          <w:trHeight w:val="284"/>
          <w:jc w:val="center"/>
        </w:trPr>
        <w:tc>
          <w:tcPr>
            <w:tcW w:w="119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Июнь 1993</w:t>
            </w:r>
          </w:p>
        </w:tc>
        <w:tc>
          <w:tcPr>
            <w:tcW w:w="104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54,1</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58,2</w:t>
            </w:r>
          </w:p>
        </w:tc>
        <w:tc>
          <w:tcPr>
            <w:tcW w:w="115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56,0</w:t>
            </w:r>
          </w:p>
        </w:tc>
      </w:tr>
      <w:tr w:rsidR="00000000">
        <w:tblPrEx>
          <w:tblCellMar>
            <w:top w:w="0" w:type="dxa"/>
            <w:bottom w:w="0" w:type="dxa"/>
          </w:tblCellMar>
        </w:tblPrEx>
        <w:trPr>
          <w:trHeight w:val="284"/>
          <w:jc w:val="center"/>
        </w:trPr>
        <w:tc>
          <w:tcPr>
            <w:tcW w:w="119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Июнь 1994</w:t>
            </w:r>
          </w:p>
        </w:tc>
        <w:tc>
          <w:tcPr>
            <w:tcW w:w="104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58,7</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61,7</w:t>
            </w:r>
          </w:p>
        </w:tc>
        <w:tc>
          <w:tcPr>
            <w:tcW w:w="115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60,1</w:t>
            </w:r>
          </w:p>
        </w:tc>
      </w:tr>
      <w:tr w:rsidR="00000000">
        <w:tblPrEx>
          <w:tblCellMar>
            <w:top w:w="0" w:type="dxa"/>
            <w:bottom w:w="0" w:type="dxa"/>
          </w:tblCellMar>
        </w:tblPrEx>
        <w:trPr>
          <w:trHeight w:val="284"/>
          <w:jc w:val="center"/>
        </w:trPr>
        <w:tc>
          <w:tcPr>
            <w:tcW w:w="119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Июнь 1995</w:t>
            </w:r>
          </w:p>
        </w:tc>
        <w:tc>
          <w:tcPr>
            <w:tcW w:w="104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58,1</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61,4</w:t>
            </w:r>
          </w:p>
        </w:tc>
        <w:tc>
          <w:tcPr>
            <w:tcW w:w="115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59,7</w:t>
            </w:r>
          </w:p>
        </w:tc>
      </w:tr>
      <w:tr w:rsidR="00000000">
        <w:tblPrEx>
          <w:tblCellMar>
            <w:top w:w="0" w:type="dxa"/>
            <w:bottom w:w="0" w:type="dxa"/>
          </w:tblCellMar>
        </w:tblPrEx>
        <w:trPr>
          <w:trHeight w:val="284"/>
          <w:jc w:val="center"/>
        </w:trPr>
        <w:tc>
          <w:tcPr>
            <w:tcW w:w="119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Июнь 1996</w:t>
            </w:r>
          </w:p>
        </w:tc>
        <w:tc>
          <w:tcPr>
            <w:tcW w:w="104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62,2</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65,8</w:t>
            </w:r>
          </w:p>
        </w:tc>
        <w:tc>
          <w:tcPr>
            <w:tcW w:w="115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64,0</w:t>
            </w:r>
          </w:p>
        </w:tc>
      </w:tr>
      <w:tr w:rsidR="00000000">
        <w:tblPrEx>
          <w:tblCellMar>
            <w:top w:w="0" w:type="dxa"/>
            <w:bottom w:w="0" w:type="dxa"/>
          </w:tblCellMar>
        </w:tblPrEx>
        <w:trPr>
          <w:trHeight w:val="284"/>
          <w:jc w:val="center"/>
        </w:trPr>
        <w:tc>
          <w:tcPr>
            <w:tcW w:w="119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Июнь 1997</w:t>
            </w:r>
          </w:p>
        </w:tc>
        <w:tc>
          <w:tcPr>
            <w:tcW w:w="104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59,9</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64,6</w:t>
            </w:r>
          </w:p>
        </w:tc>
        <w:tc>
          <w:tcPr>
            <w:tcW w:w="115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62,1</w:t>
            </w:r>
          </w:p>
        </w:tc>
      </w:tr>
      <w:tr w:rsidR="00000000">
        <w:tblPrEx>
          <w:tblCellMar>
            <w:top w:w="0" w:type="dxa"/>
            <w:bottom w:w="0" w:type="dxa"/>
          </w:tblCellMar>
        </w:tblPrEx>
        <w:trPr>
          <w:trHeight w:val="284"/>
          <w:jc w:val="center"/>
        </w:trPr>
        <w:tc>
          <w:tcPr>
            <w:tcW w:w="119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Июнь 1998</w:t>
            </w:r>
          </w:p>
        </w:tc>
        <w:tc>
          <w:tcPr>
            <w:tcW w:w="104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61,0</w:t>
            </w:r>
          </w:p>
        </w:tc>
        <w:tc>
          <w:tcPr>
            <w:tcW w:w="113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64,6</w:t>
            </w:r>
          </w:p>
        </w:tc>
        <w:tc>
          <w:tcPr>
            <w:tcW w:w="115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62,7</w:t>
            </w:r>
          </w:p>
        </w:tc>
      </w:tr>
    </w:tbl>
    <w:p w:rsidR="00000000" w:rsidRDefault="00000000">
      <w:pPr>
        <w:spacing w:before="40" w:after="0" w:line="220" w:lineRule="exact"/>
        <w:ind w:right="2557"/>
        <w:jc w:val="right"/>
        <w:rPr>
          <w:sz w:val="18"/>
        </w:rPr>
      </w:pPr>
      <w:r>
        <w:rPr>
          <w:b/>
          <w:sz w:val="18"/>
        </w:rPr>
        <w:t>Источник: Министерство образования и науки</w:t>
      </w:r>
    </w:p>
    <w:p w:rsidR="00000000" w:rsidRDefault="00000000">
      <w:r>
        <w:t>510.</w:t>
      </w:r>
      <w:r>
        <w:tab/>
        <w:t>С тех пор как благодаря реформе образования 1989 года девочки получили одинаковые с мальчиками возможности обучения в школе, они продолжают максимально использовать эти возможности и процент их успеваемости выше, чем у мальчиков. Это четко видно из таблицы, выше, показывающей, что показатель успеваемости в шестом классе базовой школы у девочек значительно выше, чем у мальчиков.</w:t>
      </w:r>
    </w:p>
    <w:p w:rsidR="00000000" w:rsidRDefault="00000000">
      <w:r>
        <w:t>511.</w:t>
      </w:r>
      <w:r>
        <w:tab/>
        <w:t xml:space="preserve">В девятом классе базовой школы девочки подтверждают свое преимущество, поскольку результат успешной сдачи выпускного экзамена для получения диплома о базовом образовании у девочек в июне </w:t>
      </w:r>
      <w:r>
        <w:br/>
        <w:t>1998 года достиг 68,8 процента, а у мальчиков – 66,8 процента.</w:t>
      </w:r>
    </w:p>
    <w:p w:rsidR="00000000" w:rsidRDefault="00000000">
      <w:r>
        <w:rPr>
          <w:b/>
        </w:rPr>
        <w:t>b)</w:t>
      </w:r>
      <w:r>
        <w:rPr>
          <w:b/>
        </w:rPr>
        <w:tab/>
        <w:t>На втором этапе базового образования и в средней школе:</w:t>
      </w:r>
    </w:p>
    <w:p w:rsidR="00000000" w:rsidRDefault="00000000">
      <w:r>
        <w:t>512.</w:t>
      </w:r>
      <w:r>
        <w:tab/>
        <w:t>Процент перевода в следующий класс у девочек также выше, чем у мальчиков, почти на всех уровнях среднего образования.</w:t>
      </w:r>
    </w:p>
    <w:p w:rsidR="00000000" w:rsidRDefault="00000000">
      <w:pPr>
        <w:spacing w:after="120"/>
        <w:jc w:val="center"/>
        <w:rPr>
          <w:b/>
        </w:rPr>
      </w:pPr>
      <w:r>
        <w:rPr>
          <w:b/>
        </w:rPr>
        <w:t>Показатель перевода в следующий класс (среднее образование) в разбивке по годам обучения и по полу</w:t>
      </w:r>
      <w:r>
        <w:rPr>
          <w:b/>
        </w:rPr>
        <w:br/>
        <w:t>(в процентах)</w:t>
      </w:r>
    </w:p>
    <w:tbl>
      <w:tblPr>
        <w:tblW w:w="0" w:type="auto"/>
        <w:jc w:val="center"/>
        <w:tblLayout w:type="fixed"/>
        <w:tblCellMar>
          <w:left w:w="40" w:type="dxa"/>
          <w:right w:w="40" w:type="dxa"/>
        </w:tblCellMar>
        <w:tblLook w:val="0000" w:firstRow="0" w:lastRow="0" w:firstColumn="0" w:lastColumn="0" w:noHBand="0" w:noVBand="0"/>
      </w:tblPr>
      <w:tblGrid>
        <w:gridCol w:w="1111"/>
        <w:gridCol w:w="610"/>
        <w:gridCol w:w="610"/>
        <w:gridCol w:w="587"/>
        <w:gridCol w:w="609"/>
        <w:gridCol w:w="587"/>
        <w:gridCol w:w="609"/>
        <w:gridCol w:w="609"/>
        <w:gridCol w:w="609"/>
        <w:gridCol w:w="609"/>
        <w:gridCol w:w="609"/>
        <w:gridCol w:w="609"/>
        <w:gridCol w:w="609"/>
        <w:gridCol w:w="609"/>
        <w:gridCol w:w="653"/>
      </w:tblGrid>
      <w:tr w:rsidR="00000000">
        <w:tblPrEx>
          <w:tblCellMar>
            <w:top w:w="0" w:type="dxa"/>
            <w:bottom w:w="0" w:type="dxa"/>
          </w:tblCellMar>
        </w:tblPrEx>
        <w:trPr>
          <w:cantSplit/>
          <w:trHeight w:val="284"/>
          <w:jc w:val="center"/>
        </w:trPr>
        <w:tc>
          <w:tcPr>
            <w:tcW w:w="1111" w:type="dxa"/>
            <w:vMerge w:val="restart"/>
            <w:tcBorders>
              <w:top w:val="single" w:sz="6" w:space="0" w:color="auto"/>
              <w:left w:val="single" w:sz="6" w:space="0" w:color="auto"/>
              <w:bottom w:val="nil"/>
              <w:right w:val="single" w:sz="6" w:space="0" w:color="auto"/>
            </w:tcBorders>
          </w:tcPr>
          <w:p w:rsidR="00000000" w:rsidRDefault="00000000">
            <w:pPr>
              <w:spacing w:before="40" w:after="40" w:line="220" w:lineRule="exact"/>
              <w:jc w:val="left"/>
              <w:rPr>
                <w:b/>
                <w:sz w:val="18"/>
              </w:rPr>
            </w:pPr>
            <w:r>
              <w:rPr>
                <w:b/>
                <w:sz w:val="18"/>
              </w:rPr>
              <w:t>Учебный год</w:t>
            </w:r>
          </w:p>
        </w:tc>
        <w:tc>
          <w:tcPr>
            <w:tcW w:w="122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1991/92</w:t>
            </w:r>
          </w:p>
        </w:tc>
        <w:tc>
          <w:tcPr>
            <w:tcW w:w="119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1992/93</w:t>
            </w:r>
          </w:p>
        </w:tc>
        <w:tc>
          <w:tcPr>
            <w:tcW w:w="119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1993/94</w:t>
            </w:r>
          </w:p>
        </w:tc>
        <w:tc>
          <w:tcPr>
            <w:tcW w:w="121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1994/95</w:t>
            </w:r>
          </w:p>
        </w:tc>
        <w:tc>
          <w:tcPr>
            <w:tcW w:w="121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1995/96</w:t>
            </w:r>
          </w:p>
        </w:tc>
        <w:tc>
          <w:tcPr>
            <w:tcW w:w="121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1996/97</w:t>
            </w:r>
          </w:p>
        </w:tc>
        <w:tc>
          <w:tcPr>
            <w:tcW w:w="126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1997/98</w:t>
            </w:r>
          </w:p>
        </w:tc>
      </w:tr>
      <w:tr w:rsidR="00000000">
        <w:tblPrEx>
          <w:tblCellMar>
            <w:top w:w="0" w:type="dxa"/>
            <w:bottom w:w="0" w:type="dxa"/>
          </w:tblCellMar>
        </w:tblPrEx>
        <w:trPr>
          <w:cantSplit/>
          <w:trHeight w:val="284"/>
          <w:jc w:val="center"/>
        </w:trPr>
        <w:tc>
          <w:tcPr>
            <w:tcW w:w="1111" w:type="dxa"/>
            <w:vMerge/>
            <w:tcBorders>
              <w:top w:val="nil"/>
              <w:left w:val="single" w:sz="6" w:space="0" w:color="auto"/>
              <w:bottom w:val="single" w:sz="6" w:space="0" w:color="auto"/>
              <w:right w:val="single" w:sz="6" w:space="0" w:color="auto"/>
            </w:tcBorders>
          </w:tcPr>
          <w:p w:rsidR="00000000" w:rsidRDefault="00000000">
            <w:pPr>
              <w:spacing w:before="40" w:after="40" w:line="220" w:lineRule="exact"/>
              <w:rPr>
                <w:b/>
                <w:sz w:val="18"/>
              </w:rPr>
            </w:pP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r>
      <w:tr w:rsidR="00000000">
        <w:tblPrEx>
          <w:tblCellMar>
            <w:top w:w="0" w:type="dxa"/>
            <w:bottom w:w="0" w:type="dxa"/>
          </w:tblCellMar>
        </w:tblPrEx>
        <w:trPr>
          <w:cantSplit/>
          <w:trHeight w:val="284"/>
          <w:jc w:val="center"/>
        </w:trPr>
        <w:tc>
          <w:tcPr>
            <w:tcW w:w="111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1-й класс</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76,5</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84,5</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71,3</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80,5</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72,7</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81,2</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73,1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82,4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67,0</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77,4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63,1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75,4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62,1</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75,0</w:t>
            </w:r>
          </w:p>
        </w:tc>
      </w:tr>
      <w:tr w:rsidR="00000000">
        <w:tblPrEx>
          <w:tblCellMar>
            <w:top w:w="0" w:type="dxa"/>
            <w:bottom w:w="0" w:type="dxa"/>
          </w:tblCellMar>
        </w:tblPrEx>
        <w:trPr>
          <w:cantSplit/>
          <w:trHeight w:val="284"/>
          <w:jc w:val="center"/>
        </w:trPr>
        <w:tc>
          <w:tcPr>
            <w:tcW w:w="111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2-й класс</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75,6</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84,5</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79,0</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86,6</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77,4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85,3</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77,1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85,3</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75,4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84,5</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59,5</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73,3</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59,3</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71,8</w:t>
            </w:r>
          </w:p>
        </w:tc>
      </w:tr>
      <w:tr w:rsidR="00000000">
        <w:tblPrEx>
          <w:tblCellMar>
            <w:top w:w="0" w:type="dxa"/>
            <w:bottom w:w="0" w:type="dxa"/>
          </w:tblCellMar>
        </w:tblPrEx>
        <w:trPr>
          <w:cantSplit/>
          <w:trHeight w:val="284"/>
          <w:jc w:val="center"/>
        </w:trPr>
        <w:tc>
          <w:tcPr>
            <w:tcW w:w="111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3-й класс</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68,2</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72,1</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71,1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76,5</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73,8</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79,8</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82,2</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87,6</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78,7</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83,7</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89,9</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67,2</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69,2</w:t>
            </w:r>
          </w:p>
        </w:tc>
      </w:tr>
      <w:tr w:rsidR="00000000">
        <w:tblPrEx>
          <w:tblCellMar>
            <w:top w:w="0" w:type="dxa"/>
            <w:bottom w:w="0" w:type="dxa"/>
          </w:tblCellMar>
        </w:tblPrEx>
        <w:trPr>
          <w:cantSplit/>
          <w:trHeight w:val="284"/>
          <w:jc w:val="center"/>
        </w:trPr>
        <w:tc>
          <w:tcPr>
            <w:tcW w:w="111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4-й класс</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72,1</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75,2</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71,7</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75,2</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73,4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75,7</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73,3</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76,8</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67,1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72,3</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66,2</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72,2</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64,3</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70,1</w:t>
            </w:r>
          </w:p>
        </w:tc>
      </w:tr>
      <w:tr w:rsidR="00000000">
        <w:tblPrEx>
          <w:tblCellMar>
            <w:top w:w="0" w:type="dxa"/>
            <w:bottom w:w="0" w:type="dxa"/>
          </w:tblCellMar>
        </w:tblPrEx>
        <w:trPr>
          <w:cantSplit/>
          <w:trHeight w:val="284"/>
          <w:jc w:val="center"/>
        </w:trPr>
        <w:tc>
          <w:tcPr>
            <w:tcW w:w="111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5-й класс</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79,1</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86,1</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70,5</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69,3</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66,3</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65,5</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64,4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64,1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62,7</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63,9</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62,9</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63,9</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63,3</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66,2</w:t>
            </w:r>
          </w:p>
        </w:tc>
      </w:tr>
      <w:tr w:rsidR="00000000">
        <w:tblPrEx>
          <w:tblCellMar>
            <w:top w:w="0" w:type="dxa"/>
            <w:bottom w:w="0" w:type="dxa"/>
          </w:tblCellMar>
        </w:tblPrEx>
        <w:trPr>
          <w:cantSplit/>
          <w:trHeight w:val="284"/>
          <w:jc w:val="center"/>
        </w:trPr>
        <w:tc>
          <w:tcPr>
            <w:tcW w:w="111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6-й класс</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73,5</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82,6</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75,2</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85,2</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74,5</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83,8</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74,4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83,3</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74,1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75,1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83,6</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74,3</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84,1</w:t>
            </w:r>
          </w:p>
        </w:tc>
      </w:tr>
      <w:tr w:rsidR="00000000">
        <w:tblPrEx>
          <w:tblCellMar>
            <w:top w:w="0" w:type="dxa"/>
            <w:bottom w:w="0" w:type="dxa"/>
          </w:tblCellMar>
        </w:tblPrEx>
        <w:trPr>
          <w:cantSplit/>
          <w:trHeight w:val="284"/>
          <w:jc w:val="center"/>
        </w:trPr>
        <w:tc>
          <w:tcPr>
            <w:tcW w:w="111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7-й класс</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45,3</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40,2</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45,0</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37,5</w:t>
            </w:r>
          </w:p>
        </w:tc>
        <w:tc>
          <w:tcPr>
            <w:tcW w:w="58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42,7</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38,1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45,1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39,1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42,6</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38,4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49,9</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44,2</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49,8</w:t>
            </w:r>
          </w:p>
        </w:tc>
        <w:tc>
          <w:tcPr>
            <w:tcW w:w="6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48,9</w:t>
            </w:r>
          </w:p>
        </w:tc>
      </w:tr>
    </w:tbl>
    <w:p w:rsidR="00000000" w:rsidRDefault="00000000">
      <w:pPr>
        <w:spacing w:before="80"/>
        <w:jc w:val="right"/>
        <w:rPr>
          <w:b/>
          <w:sz w:val="18"/>
        </w:rPr>
      </w:pPr>
      <w:r>
        <w:rPr>
          <w:b/>
          <w:sz w:val="18"/>
        </w:rPr>
        <w:t>Источник: Министерство образования и науки</w:t>
      </w:r>
    </w:p>
    <w:p w:rsidR="00000000" w:rsidRDefault="00000000">
      <w:pPr>
        <w:spacing w:after="120"/>
        <w:jc w:val="center"/>
        <w:rPr>
          <w:b/>
        </w:rPr>
      </w:pPr>
      <w:r>
        <w:rPr>
          <w:b/>
        </w:rPr>
        <w:t>Показатель успешной сдачи экзаменов на степень бакалавра, 1994–1999 годы (в процентах)</w:t>
      </w:r>
    </w:p>
    <w:tbl>
      <w:tblPr>
        <w:tblW w:w="0" w:type="auto"/>
        <w:jc w:val="center"/>
        <w:tblLayout w:type="fixed"/>
        <w:tblCellMar>
          <w:left w:w="40" w:type="dxa"/>
          <w:right w:w="40" w:type="dxa"/>
        </w:tblCellMar>
        <w:tblLook w:val="0000" w:firstRow="0" w:lastRow="0" w:firstColumn="0" w:lastColumn="0" w:noHBand="0" w:noVBand="0"/>
      </w:tblPr>
      <w:tblGrid>
        <w:gridCol w:w="1432"/>
        <w:gridCol w:w="681"/>
        <w:gridCol w:w="703"/>
        <w:gridCol w:w="681"/>
        <w:gridCol w:w="702"/>
        <w:gridCol w:w="680"/>
        <w:gridCol w:w="680"/>
        <w:gridCol w:w="702"/>
        <w:gridCol w:w="680"/>
        <w:gridCol w:w="680"/>
        <w:gridCol w:w="702"/>
        <w:gridCol w:w="680"/>
        <w:gridCol w:w="636"/>
      </w:tblGrid>
      <w:tr w:rsidR="00000000">
        <w:tblPrEx>
          <w:tblCellMar>
            <w:top w:w="0" w:type="dxa"/>
            <w:bottom w:w="0" w:type="dxa"/>
          </w:tblCellMar>
        </w:tblPrEx>
        <w:trPr>
          <w:cantSplit/>
          <w:trHeight w:val="284"/>
          <w:jc w:val="center"/>
        </w:trPr>
        <w:tc>
          <w:tcPr>
            <w:tcW w:w="1432" w:type="dxa"/>
            <w:vMerge w:val="restart"/>
            <w:tcBorders>
              <w:top w:val="single" w:sz="6" w:space="0" w:color="auto"/>
              <w:left w:val="single" w:sz="6" w:space="0" w:color="auto"/>
              <w:right w:val="single" w:sz="6" w:space="0" w:color="auto"/>
            </w:tcBorders>
          </w:tcPr>
          <w:p w:rsidR="00000000" w:rsidRDefault="00000000">
            <w:pPr>
              <w:spacing w:before="40" w:after="40" w:line="220" w:lineRule="exact"/>
              <w:rPr>
                <w:b/>
                <w:sz w:val="18"/>
              </w:rPr>
            </w:pPr>
            <w:r>
              <w:rPr>
                <w:b/>
                <w:sz w:val="18"/>
              </w:rPr>
              <w:t>Год</w:t>
            </w:r>
          </w:p>
        </w:tc>
        <w:tc>
          <w:tcPr>
            <w:tcW w:w="138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Июнь 1994</w:t>
            </w:r>
          </w:p>
        </w:tc>
        <w:tc>
          <w:tcPr>
            <w:tcW w:w="1383"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Июнь 1995</w:t>
            </w:r>
          </w:p>
        </w:tc>
        <w:tc>
          <w:tcPr>
            <w:tcW w:w="136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Июнь 1996</w:t>
            </w:r>
          </w:p>
        </w:tc>
        <w:tc>
          <w:tcPr>
            <w:tcW w:w="138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Июнь 1997</w:t>
            </w:r>
          </w:p>
        </w:tc>
        <w:tc>
          <w:tcPr>
            <w:tcW w:w="138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Июнь 1998</w:t>
            </w:r>
          </w:p>
        </w:tc>
        <w:tc>
          <w:tcPr>
            <w:tcW w:w="131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Июнь 1999</w:t>
            </w:r>
          </w:p>
        </w:tc>
      </w:tr>
      <w:tr w:rsidR="00000000">
        <w:tblPrEx>
          <w:tblCellMar>
            <w:top w:w="0" w:type="dxa"/>
            <w:bottom w:w="0" w:type="dxa"/>
          </w:tblCellMar>
        </w:tblPrEx>
        <w:trPr>
          <w:cantSplit/>
          <w:trHeight w:val="284"/>
          <w:jc w:val="center"/>
        </w:trPr>
        <w:tc>
          <w:tcPr>
            <w:tcW w:w="1432" w:type="dxa"/>
            <w:vMerge/>
            <w:tcBorders>
              <w:left w:val="single" w:sz="6" w:space="0" w:color="auto"/>
              <w:bottom w:val="single" w:sz="6" w:space="0" w:color="auto"/>
              <w:right w:val="single" w:sz="6" w:space="0" w:color="auto"/>
            </w:tcBorders>
          </w:tcPr>
          <w:p w:rsidR="00000000" w:rsidRDefault="00000000">
            <w:pPr>
              <w:spacing w:before="40" w:after="40" w:line="220" w:lineRule="exact"/>
              <w:rPr>
                <w:b/>
                <w:sz w:val="18"/>
              </w:rPr>
            </w:pP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3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r>
      <w:tr w:rsidR="00000000">
        <w:tblPrEx>
          <w:tblCellMar>
            <w:top w:w="0" w:type="dxa"/>
            <w:bottom w:w="0" w:type="dxa"/>
          </w:tblCellMar>
        </w:tblPrEx>
        <w:trPr>
          <w:trHeight w:val="284"/>
          <w:jc w:val="center"/>
        </w:trPr>
        <w:tc>
          <w:tcPr>
            <w:tcW w:w="143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Литература</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41,3</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36,9</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38,1</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33,2</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38,5</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41,3</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36,9</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38,1</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33,2</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38,5</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56,3</w:t>
            </w:r>
          </w:p>
        </w:tc>
        <w:tc>
          <w:tcPr>
            <w:tcW w:w="63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58,0</w:t>
            </w:r>
          </w:p>
        </w:tc>
      </w:tr>
      <w:tr w:rsidR="00000000">
        <w:tblPrEx>
          <w:tblCellMar>
            <w:top w:w="0" w:type="dxa"/>
            <w:bottom w:w="0" w:type="dxa"/>
          </w:tblCellMar>
        </w:tblPrEx>
        <w:trPr>
          <w:trHeight w:val="284"/>
          <w:jc w:val="center"/>
        </w:trPr>
        <w:tc>
          <w:tcPr>
            <w:tcW w:w="143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Математика</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66,7</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68,8</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56,9</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61,4</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58,2</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66,7</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68,8</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56,9</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61,4</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58,2</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66,6</w:t>
            </w:r>
          </w:p>
        </w:tc>
        <w:tc>
          <w:tcPr>
            <w:tcW w:w="63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68,3</w:t>
            </w:r>
          </w:p>
        </w:tc>
      </w:tr>
      <w:tr w:rsidR="00000000">
        <w:tblPrEx>
          <w:tblCellMar>
            <w:top w:w="0" w:type="dxa"/>
            <w:bottom w:w="0" w:type="dxa"/>
          </w:tblCellMar>
        </w:tblPrEx>
        <w:trPr>
          <w:trHeight w:val="284"/>
          <w:jc w:val="center"/>
        </w:trPr>
        <w:tc>
          <w:tcPr>
            <w:tcW w:w="143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Ест. науки</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36,5</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37,5</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50,7</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51,8</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40,8</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36,5</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37,5</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50,7</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51,8</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40,8</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54,6</w:t>
            </w:r>
          </w:p>
        </w:tc>
        <w:tc>
          <w:tcPr>
            <w:tcW w:w="63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57,3</w:t>
            </w:r>
          </w:p>
        </w:tc>
      </w:tr>
      <w:tr w:rsidR="00000000">
        <w:tblPrEx>
          <w:tblCellMar>
            <w:top w:w="0" w:type="dxa"/>
            <w:bottom w:w="0" w:type="dxa"/>
          </w:tblCellMar>
        </w:tblPrEx>
        <w:trPr>
          <w:trHeight w:val="284"/>
          <w:jc w:val="center"/>
        </w:trPr>
        <w:tc>
          <w:tcPr>
            <w:tcW w:w="143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Мат.-тех.</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48,0</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24,3</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74,0</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66,1</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lang w:val="en-US"/>
              </w:rPr>
              <w:t>–</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48,0</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24,3</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74,0</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66,1</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lang w:val="en-US"/>
              </w:rPr>
              <w:t>–</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lang w:val="en-US"/>
              </w:rPr>
              <w:t>–</w:t>
            </w:r>
          </w:p>
        </w:tc>
        <w:tc>
          <w:tcPr>
            <w:tcW w:w="63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lang w:val="en-US"/>
              </w:rPr>
              <w:t>–</w:t>
            </w:r>
          </w:p>
        </w:tc>
      </w:tr>
      <w:tr w:rsidR="00000000">
        <w:tblPrEx>
          <w:tblCellMar>
            <w:top w:w="0" w:type="dxa"/>
            <w:bottom w:w="0" w:type="dxa"/>
          </w:tblCellMar>
        </w:tblPrEx>
        <w:trPr>
          <w:trHeight w:val="284"/>
          <w:jc w:val="center"/>
        </w:trPr>
        <w:tc>
          <w:tcPr>
            <w:tcW w:w="143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Техника</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lang w:val="en-US"/>
              </w:rPr>
            </w:pPr>
            <w:r>
              <w:rPr>
                <w:sz w:val="18"/>
                <w:lang w:val="en-US"/>
              </w:rPr>
              <w:t>–</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lang w:val="en-US"/>
              </w:rPr>
              <w:t>–</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39,5</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26,2</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42,7</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lang w:val="en-US"/>
              </w:rPr>
              <w:t>–</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lang w:val="en-US"/>
              </w:rPr>
              <w:t>–</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39,5</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26,2</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42,7</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60,4</w:t>
            </w:r>
          </w:p>
        </w:tc>
        <w:tc>
          <w:tcPr>
            <w:tcW w:w="63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55,1</w:t>
            </w:r>
          </w:p>
        </w:tc>
      </w:tr>
      <w:tr w:rsidR="00000000">
        <w:tblPrEx>
          <w:tblCellMar>
            <w:top w:w="0" w:type="dxa"/>
            <w:bottom w:w="0" w:type="dxa"/>
          </w:tblCellMar>
        </w:tblPrEx>
        <w:trPr>
          <w:trHeight w:val="284"/>
          <w:jc w:val="center"/>
        </w:trPr>
        <w:tc>
          <w:tcPr>
            <w:tcW w:w="143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Экономика и управление</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28,8</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26,8</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32,7</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lang w:val="en-US"/>
              </w:rPr>
              <w:t>–</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lang w:val="en-US"/>
              </w:rPr>
              <w:t>–</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28,8</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26,8</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32,7</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58,2</w:t>
            </w:r>
          </w:p>
        </w:tc>
        <w:tc>
          <w:tcPr>
            <w:tcW w:w="63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59,6</w:t>
            </w:r>
          </w:p>
        </w:tc>
      </w:tr>
      <w:tr w:rsidR="00000000">
        <w:tblPrEx>
          <w:tblCellMar>
            <w:top w:w="0" w:type="dxa"/>
            <w:bottom w:w="0" w:type="dxa"/>
          </w:tblCellMar>
        </w:tblPrEx>
        <w:trPr>
          <w:trHeight w:val="284"/>
          <w:jc w:val="center"/>
        </w:trPr>
        <w:tc>
          <w:tcPr>
            <w:tcW w:w="143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ИТОГО</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43,1</w:t>
            </w:r>
          </w:p>
        </w:tc>
        <w:tc>
          <w:tcPr>
            <w:tcW w:w="70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38,3</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45,5</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39,7</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43,3</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43,1</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38,3</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45,5</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39,7</w:t>
            </w:r>
          </w:p>
        </w:tc>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43,3</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59,8</w:t>
            </w:r>
          </w:p>
        </w:tc>
        <w:tc>
          <w:tcPr>
            <w:tcW w:w="63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59,3</w:t>
            </w:r>
          </w:p>
        </w:tc>
      </w:tr>
    </w:tbl>
    <w:p w:rsidR="00000000" w:rsidRDefault="00000000">
      <w:pPr>
        <w:spacing w:before="80" w:line="220" w:lineRule="exact"/>
        <w:jc w:val="right"/>
        <w:rPr>
          <w:b/>
          <w:sz w:val="18"/>
        </w:rPr>
      </w:pPr>
      <w:r>
        <w:rPr>
          <w:b/>
          <w:sz w:val="18"/>
        </w:rPr>
        <w:t>Источник: Министерство образования и науки</w:t>
      </w:r>
    </w:p>
    <w:p w:rsidR="00000000" w:rsidRDefault="00000000">
      <w:r>
        <w:t>513.</w:t>
      </w:r>
      <w:r>
        <w:rPr>
          <w:b/>
        </w:rPr>
        <w:tab/>
      </w:r>
      <w:r>
        <w:t>Общие результаты экзаменов на степень бакалавра с июня 1993 года по июнь 1998 года свидетельствуют, что показатель успешной сдачи экзаменов у девочек ниже, чем у мальчиков; однако разрыв постепенно сокращается от 7,3 в 1993 году до 4,3 в 1996 году и до 1 в 1998 году, то есть в июне 1998 года показатель у девочек – 49,1 процента, а у мальчиков – 50,1 процента.</w:t>
      </w:r>
    </w:p>
    <w:p w:rsidR="00000000" w:rsidRDefault="00000000">
      <w:r>
        <w:t>514.</w:t>
      </w:r>
      <w:r>
        <w:tab/>
        <w:t>Однако показатели сдачи экзаменов по математике и естественным наукам выше у девочек. В июне 1998 года 65 процентов девочек и 62 процента мальчиков успешно сдали экзамены по математике; экзамен на степень бакалавра по естественным наукам успешно сдали 59,8 процента девочек и 56 процентов мальчиков. Показатель успешных результатов сдачи экзаменов на степень бакалавра по техническим и экономическим наукам из года в год постепенно возрастает. Так, показатель успешной сдачи девочками экзаменов на степень бакалавра по техническим наукам вырос с 26,2 процента в июне 1995 года до 37,5 процента в июне 1998 года. Показатель успешной сдачи экзаменов ими на степень бакалавра по экономике и управлению также вырос с 26,8 процента в июне 1995 года до 28,7 процента в июне 1998 года.</w:t>
      </w:r>
    </w:p>
    <w:p w:rsidR="00000000" w:rsidRDefault="00000000">
      <w:r>
        <w:t>515.</w:t>
      </w:r>
      <w:r>
        <w:tab/>
        <w:t>Что касается национального конкурса для поступления в экспериментальные лицеи подготовки будущей элиты, куда отбираются самые способные абитуриенты, то и здесь можно отметить, что девушки показывают лучшие результаты. Успешных результатов в июне 1997 года добились 62,8 процента девушек и только 37,2 процента юношей. Эта тенденция подтвердилась в июне 1998 и 1999 годов. Такие же успешные результаты девушки демонстрируют также на экзаменах на степень бакалавра по литературе, естественным наукам и экономике и управлению.</w:t>
      </w:r>
    </w:p>
    <w:p w:rsidR="00000000" w:rsidRDefault="00000000">
      <w:pPr>
        <w:spacing w:before="120" w:after="180" w:line="260" w:lineRule="exact"/>
        <w:rPr>
          <w:b/>
          <w:sz w:val="22"/>
        </w:rPr>
      </w:pPr>
      <w:r>
        <w:rPr>
          <w:b/>
          <w:sz w:val="22"/>
        </w:rPr>
        <w:t>II.2.</w:t>
      </w:r>
      <w:r>
        <w:rPr>
          <w:b/>
          <w:sz w:val="22"/>
        </w:rPr>
        <w:tab/>
        <w:t>Новая система ориентации</w:t>
      </w:r>
    </w:p>
    <w:p w:rsidR="00000000" w:rsidRDefault="00000000">
      <w:r>
        <w:t>516.</w:t>
      </w:r>
      <w:r>
        <w:tab/>
        <w:t>Развитие в сторону равномерного по всей стране охвата школьным образованием как мальчиков, так и девочек сопровождалось заботой о равной представленности обоих полов в различных видах образования. Система образования дает возможность учащимся выбирать без какой-либо дискриминации любую специализацию. Во всех нормативных документах, касающихся системы образования, подчеркивается и поощряется это равенство учащихся.</w:t>
      </w:r>
    </w:p>
    <w:p w:rsidR="00000000" w:rsidRDefault="00000000">
      <w:r>
        <w:t>517.</w:t>
      </w:r>
      <w:r>
        <w:tab/>
        <w:t>Стремясь содействовать равенству возможностей мальчиков и девочек в том, что касается специализации обучения, Министерство образования и науки создало в 1995/96 учебном году группу советников по вопросам ориентации, в задачу которых входит доходчивое разъяснение девушкам возможностей их обучения в различных областях естественных наук и особенно их поступления на технические отделения учебных заведений, тем самым развивая в них чувство собственного достоинства и помогая им найти себя в жизни.</w:t>
      </w:r>
    </w:p>
    <w:p w:rsidR="00000000" w:rsidRDefault="00000000">
      <w:r>
        <w:t>518.</w:t>
      </w:r>
      <w:r>
        <w:tab/>
        <w:t>Были приняты организационные меры с целью создания стимулов для девушек в плане их ориентации на изучение различных естественных наук и получение технического образования. С этой целью была развернута кампания в средствах массовой информации.</w:t>
      </w:r>
    </w:p>
    <w:p w:rsidR="00000000" w:rsidRDefault="00000000">
      <w:r>
        <w:t>519.</w:t>
      </w:r>
      <w:r>
        <w:tab/>
        <w:t>Эти новые меры способствовали ориентации девушек в направлении экономического и технического образования, а также изучения естественных наук, что привело к некоторому сокращению контингента девушек на филологических отделениях.</w:t>
      </w:r>
    </w:p>
    <w:p w:rsidR="00000000" w:rsidRDefault="00000000">
      <w:pPr>
        <w:spacing w:after="120"/>
        <w:jc w:val="center"/>
        <w:rPr>
          <w:b/>
        </w:rPr>
      </w:pPr>
      <w:r>
        <w:rPr>
          <w:b/>
        </w:rPr>
        <w:t>Динамика ориентации в области среднего образования</w:t>
      </w:r>
    </w:p>
    <w:tbl>
      <w:tblPr>
        <w:tblW w:w="0" w:type="auto"/>
        <w:jc w:val="center"/>
        <w:tblLayout w:type="fixed"/>
        <w:tblCellMar>
          <w:left w:w="40" w:type="dxa"/>
          <w:right w:w="40" w:type="dxa"/>
        </w:tblCellMar>
        <w:tblLook w:val="0000" w:firstRow="0" w:lastRow="0" w:firstColumn="0" w:lastColumn="0" w:noHBand="0" w:noVBand="0"/>
      </w:tblPr>
      <w:tblGrid>
        <w:gridCol w:w="1861"/>
        <w:gridCol w:w="802"/>
        <w:gridCol w:w="802"/>
        <w:gridCol w:w="801"/>
        <w:gridCol w:w="801"/>
        <w:gridCol w:w="801"/>
        <w:gridCol w:w="801"/>
        <w:gridCol w:w="801"/>
        <w:gridCol w:w="801"/>
        <w:gridCol w:w="801"/>
      </w:tblGrid>
      <w:tr w:rsidR="00000000">
        <w:tblPrEx>
          <w:tblCellMar>
            <w:top w:w="0" w:type="dxa"/>
            <w:bottom w:w="0" w:type="dxa"/>
          </w:tblCellMar>
        </w:tblPrEx>
        <w:trPr>
          <w:cantSplit/>
          <w:trHeight w:val="284"/>
          <w:jc w:val="center"/>
        </w:trPr>
        <w:tc>
          <w:tcPr>
            <w:tcW w:w="1861" w:type="dxa"/>
            <w:vMerge w:val="restart"/>
            <w:tcBorders>
              <w:top w:val="single" w:sz="6" w:space="0" w:color="auto"/>
              <w:left w:val="single" w:sz="6" w:space="0" w:color="auto"/>
              <w:right w:val="single" w:sz="6" w:space="0" w:color="auto"/>
            </w:tcBorders>
          </w:tcPr>
          <w:p w:rsidR="00000000" w:rsidRDefault="00000000">
            <w:pPr>
              <w:spacing w:before="40" w:after="40" w:line="220" w:lineRule="exact"/>
              <w:rPr>
                <w:b/>
                <w:sz w:val="18"/>
              </w:rPr>
            </w:pPr>
            <w:r>
              <w:rPr>
                <w:b/>
                <w:sz w:val="18"/>
              </w:rPr>
              <w:t>Учебный год</w:t>
            </w:r>
          </w:p>
        </w:tc>
        <w:tc>
          <w:tcPr>
            <w:tcW w:w="2405"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1994/95</w:t>
            </w:r>
          </w:p>
        </w:tc>
        <w:tc>
          <w:tcPr>
            <w:tcW w:w="2403"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1996/97</w:t>
            </w:r>
          </w:p>
        </w:tc>
        <w:tc>
          <w:tcPr>
            <w:tcW w:w="2403"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1998/99</w:t>
            </w:r>
          </w:p>
        </w:tc>
      </w:tr>
      <w:tr w:rsidR="00000000">
        <w:tblPrEx>
          <w:tblCellMar>
            <w:top w:w="0" w:type="dxa"/>
            <w:bottom w:w="0" w:type="dxa"/>
          </w:tblCellMar>
        </w:tblPrEx>
        <w:trPr>
          <w:cantSplit/>
          <w:trHeight w:val="284"/>
          <w:jc w:val="center"/>
        </w:trPr>
        <w:tc>
          <w:tcPr>
            <w:tcW w:w="1861" w:type="dxa"/>
            <w:vMerge/>
            <w:tcBorders>
              <w:left w:val="single" w:sz="6" w:space="0" w:color="auto"/>
              <w:bottom w:val="single" w:sz="6" w:space="0" w:color="auto"/>
              <w:right w:val="single" w:sz="6" w:space="0" w:color="auto"/>
            </w:tcBorders>
          </w:tcPr>
          <w:p w:rsidR="00000000" w:rsidRDefault="00000000">
            <w:pPr>
              <w:spacing w:before="40" w:after="40" w:line="220" w:lineRule="exact"/>
              <w:rPr>
                <w:sz w:val="18"/>
              </w:rPr>
            </w:pP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всего</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всего</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всего</w:t>
            </w:r>
          </w:p>
        </w:tc>
      </w:tr>
      <w:tr w:rsidR="00000000">
        <w:tblPrEx>
          <w:tblCellMar>
            <w:top w:w="0" w:type="dxa"/>
            <w:bottom w:w="0" w:type="dxa"/>
          </w:tblCellMar>
        </w:tblPrEx>
        <w:trPr>
          <w:trHeight w:val="284"/>
          <w:jc w:val="center"/>
        </w:trPr>
        <w:tc>
          <w:tcPr>
            <w:tcW w:w="1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Филология</w:t>
            </w: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18,3</w:t>
            </w: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43,8</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30,8</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16,7</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41,0</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29,2</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16,1</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37,3</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27,5</w:t>
            </w:r>
          </w:p>
        </w:tc>
      </w:tr>
      <w:tr w:rsidR="00000000">
        <w:tblPrEx>
          <w:tblCellMar>
            <w:top w:w="0" w:type="dxa"/>
            <w:bottom w:w="0" w:type="dxa"/>
          </w:tblCellMar>
        </w:tblPrEx>
        <w:trPr>
          <w:trHeight w:val="284"/>
          <w:jc w:val="center"/>
        </w:trPr>
        <w:tc>
          <w:tcPr>
            <w:tcW w:w="1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Математика</w:t>
            </w: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24,6</w:t>
            </w: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12,0</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18,3</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28,1</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14,1</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20,9</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28,2</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15,8</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21,5</w:t>
            </w:r>
          </w:p>
        </w:tc>
      </w:tr>
      <w:tr w:rsidR="00000000">
        <w:tblPrEx>
          <w:tblCellMar>
            <w:top w:w="0" w:type="dxa"/>
            <w:bottom w:w="0" w:type="dxa"/>
          </w:tblCellMar>
        </w:tblPrEx>
        <w:trPr>
          <w:trHeight w:val="284"/>
          <w:jc w:val="center"/>
        </w:trPr>
        <w:tc>
          <w:tcPr>
            <w:tcW w:w="1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Ест. науки</w:t>
            </w: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21,4</w:t>
            </w: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22,6</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22,0</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20,7</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25,0</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23,0</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19,3</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24,8</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22,2</w:t>
            </w:r>
          </w:p>
        </w:tc>
      </w:tr>
      <w:tr w:rsidR="00000000">
        <w:tblPrEx>
          <w:tblCellMar>
            <w:top w:w="0" w:type="dxa"/>
            <w:bottom w:w="0" w:type="dxa"/>
          </w:tblCellMar>
        </w:tblPrEx>
        <w:trPr>
          <w:trHeight w:val="284"/>
          <w:jc w:val="center"/>
        </w:trPr>
        <w:tc>
          <w:tcPr>
            <w:tcW w:w="1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Тех. науки</w:t>
            </w: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20,9</w:t>
            </w: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4,3</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12,8</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20,9</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4,5</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12,4</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22,6</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4,5</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12,9</w:t>
            </w:r>
          </w:p>
        </w:tc>
      </w:tr>
      <w:tr w:rsidR="00000000">
        <w:tblPrEx>
          <w:tblCellMar>
            <w:top w:w="0" w:type="dxa"/>
            <w:bottom w:w="0" w:type="dxa"/>
          </w:tblCellMar>
        </w:tblPrEx>
        <w:trPr>
          <w:trHeight w:val="284"/>
          <w:jc w:val="center"/>
        </w:trPr>
        <w:tc>
          <w:tcPr>
            <w:tcW w:w="1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 xml:space="preserve">Экономика </w:t>
            </w:r>
            <w:r>
              <w:rPr>
                <w:sz w:val="18"/>
              </w:rPr>
              <w:br/>
              <w:t>и управление</w:t>
            </w: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14,8</w:t>
            </w: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17,3</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16,1</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13,6</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15,4</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14,5</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13,7</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17,6</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15,8</w:t>
            </w:r>
          </w:p>
        </w:tc>
      </w:tr>
      <w:tr w:rsidR="00000000">
        <w:tblPrEx>
          <w:tblCellMar>
            <w:top w:w="0" w:type="dxa"/>
            <w:bottom w:w="0" w:type="dxa"/>
          </w:tblCellMar>
        </w:tblPrEx>
        <w:trPr>
          <w:trHeight w:val="284"/>
          <w:jc w:val="center"/>
        </w:trPr>
        <w:tc>
          <w:tcPr>
            <w:tcW w:w="186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ВСЕГО</w:t>
            </w: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100</w:t>
            </w:r>
          </w:p>
        </w:tc>
        <w:tc>
          <w:tcPr>
            <w:tcW w:w="8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100</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100</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100</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100</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100</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100</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100</w:t>
            </w:r>
          </w:p>
        </w:tc>
        <w:tc>
          <w:tcPr>
            <w:tcW w:w="8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100</w:t>
            </w:r>
          </w:p>
        </w:tc>
      </w:tr>
    </w:tbl>
    <w:p w:rsidR="00000000" w:rsidRDefault="00000000">
      <w:pPr>
        <w:spacing w:before="80" w:after="180" w:line="220" w:lineRule="exact"/>
        <w:ind w:right="289"/>
        <w:jc w:val="right"/>
        <w:rPr>
          <w:b/>
          <w:sz w:val="18"/>
        </w:rPr>
      </w:pPr>
      <w:r>
        <w:rPr>
          <w:b/>
          <w:sz w:val="18"/>
        </w:rPr>
        <w:t>Источник: Министерство образования и науки</w:t>
      </w:r>
    </w:p>
    <w:p w:rsidR="00000000" w:rsidRDefault="00000000">
      <w:r>
        <w:t>520.</w:t>
      </w:r>
      <w:r>
        <w:tab/>
        <w:t>Цифровые показатели в таблице, выше, позволяют констатировать положительную динамику в области ориентации девушек на специализацию в технических и естественных науках.</w:t>
      </w:r>
    </w:p>
    <w:p w:rsidR="00000000" w:rsidRDefault="00000000">
      <w:r>
        <w:t>521.</w:t>
      </w:r>
      <w:r>
        <w:tab/>
        <w:t xml:space="preserve">Действительно, процентная доля девушек, ориентированных на специализацию в области филологии, сократилась с 43,8 процента в 1994/95 учебном году до 37,3 процента в 1998/99 учебном году, тогда как за тот же период доля девушек, ориентированных на специализацию в математике, выросла с 12 процентов до 15,8 процента, а ориентированных на естественные науки – с 22,6 процента до 24,8 процента. Однако, что касается специализации в области технических наук, рост был незначительным (с 4,3 процента в </w:t>
      </w:r>
      <w:r>
        <w:br/>
        <w:t xml:space="preserve">1994/95 учебном году до 4,5 процента в 1998/99 учебном году). </w:t>
      </w:r>
    </w:p>
    <w:p w:rsidR="00000000" w:rsidRDefault="00000000">
      <w:r>
        <w:t>522.</w:t>
      </w:r>
      <w:r>
        <w:tab/>
        <w:t>Следует отметить, что доля девушек, ориентированных на экономику – управление, выше, чем у мальчиков (17,6 процента у девушек против 13,7 процента у мальчиков).</w:t>
      </w:r>
    </w:p>
    <w:p w:rsidR="00000000" w:rsidRDefault="00000000">
      <w:r>
        <w:t>523.</w:t>
      </w:r>
      <w:r>
        <w:tab/>
        <w:t>Филология по-прежнему привлекает все большее число девушек из сельских районов, например их доля в 1998/99 учебном году составила: из района Кассерин – 52,2 процента, Кайруан – 44,1 процента против среднего количества по стране у девушек – 37,3 процента.</w:t>
      </w:r>
    </w:p>
    <w:p w:rsidR="00000000" w:rsidRDefault="00000000">
      <w:r>
        <w:t>524.</w:t>
      </w:r>
      <w:r>
        <w:tab/>
        <w:t>В результате создания в декабре 1997 года в Министерстве образования и науки секции, которой поручается следить за правильным осуществлением мер в области школьной ориентации и предпринимать действия в этом направлении, можно осуществить более гармоничное распределение девушек по различным специальностям в системе образования.</w:t>
      </w:r>
    </w:p>
    <w:p w:rsidR="00000000" w:rsidRDefault="00000000">
      <w:pPr>
        <w:spacing w:before="120" w:line="260" w:lineRule="exact"/>
        <w:rPr>
          <w:b/>
          <w:sz w:val="22"/>
        </w:rPr>
      </w:pPr>
      <w:r>
        <w:rPr>
          <w:b/>
          <w:sz w:val="22"/>
        </w:rPr>
        <w:t>II.3.</w:t>
      </w:r>
      <w:r>
        <w:rPr>
          <w:b/>
          <w:sz w:val="22"/>
        </w:rPr>
        <w:tab/>
        <w:t>Борьба с отсевом учащихся из школы</w:t>
      </w:r>
    </w:p>
    <w:p w:rsidR="00000000" w:rsidRDefault="00000000">
      <w:r>
        <w:t>525.</w:t>
      </w:r>
      <w:r>
        <w:tab/>
        <w:t>Эта информация, иллюстрирующая отсев девочек из школы, приводится в ответ на соответствующую рекомендацию Комитета, рассмотревшего в 1995 году первоначальный и второй периодический доклады Туниса.</w:t>
      </w:r>
    </w:p>
    <w:p w:rsidR="00000000" w:rsidRDefault="00000000">
      <w:r>
        <w:t>526.</w:t>
      </w:r>
      <w:r>
        <w:tab/>
        <w:t>Приводимые ниже статистические данные говорят о сохраняющейся тенденции снижения числа учеников, бросающих учебу в начальной, средней и высшей школе, особенно это касается девочек и девушек.</w:t>
      </w:r>
    </w:p>
    <w:p w:rsidR="00000000" w:rsidRDefault="00000000">
      <w:pPr>
        <w:spacing w:before="120" w:line="260" w:lineRule="exact"/>
        <w:rPr>
          <w:b/>
        </w:rPr>
      </w:pPr>
      <w:r>
        <w:rPr>
          <w:b/>
          <w:sz w:val="22"/>
        </w:rPr>
        <w:t>II.3.1.</w:t>
      </w:r>
      <w:r>
        <w:rPr>
          <w:b/>
          <w:sz w:val="22"/>
        </w:rPr>
        <w:tab/>
        <w:t>На первом этапе базового образования</w:t>
      </w:r>
    </w:p>
    <w:p w:rsidR="00000000" w:rsidRDefault="00000000">
      <w:pPr>
        <w:spacing w:after="200"/>
        <w:jc w:val="center"/>
        <w:rPr>
          <w:b/>
        </w:rPr>
      </w:pPr>
      <w:r>
        <w:rPr>
          <w:b/>
        </w:rPr>
        <w:t xml:space="preserve">Показатель отсева в разбивке по годам обучения и по полу </w:t>
      </w:r>
      <w:r>
        <w:rPr>
          <w:b/>
        </w:rPr>
        <w:br/>
        <w:t>(первый этап базового образования)</w:t>
      </w:r>
    </w:p>
    <w:tbl>
      <w:tblPr>
        <w:tblW w:w="0" w:type="auto"/>
        <w:jc w:val="center"/>
        <w:tblLayout w:type="fixed"/>
        <w:tblCellMar>
          <w:left w:w="40" w:type="dxa"/>
          <w:right w:w="40" w:type="dxa"/>
        </w:tblCellMar>
        <w:tblLook w:val="0000" w:firstRow="0" w:lastRow="0" w:firstColumn="0" w:lastColumn="0" w:noHBand="0" w:noVBand="0"/>
      </w:tblPr>
      <w:tblGrid>
        <w:gridCol w:w="1104"/>
        <w:gridCol w:w="609"/>
        <w:gridCol w:w="609"/>
        <w:gridCol w:w="609"/>
        <w:gridCol w:w="609"/>
        <w:gridCol w:w="609"/>
        <w:gridCol w:w="610"/>
        <w:gridCol w:w="610"/>
        <w:gridCol w:w="610"/>
        <w:gridCol w:w="610"/>
        <w:gridCol w:w="610"/>
        <w:gridCol w:w="610"/>
        <w:gridCol w:w="610"/>
        <w:gridCol w:w="610"/>
        <w:gridCol w:w="610"/>
      </w:tblGrid>
      <w:tr w:rsidR="00000000">
        <w:tblPrEx>
          <w:tblCellMar>
            <w:top w:w="0" w:type="dxa"/>
            <w:bottom w:w="0" w:type="dxa"/>
          </w:tblCellMar>
        </w:tblPrEx>
        <w:trPr>
          <w:cantSplit/>
          <w:trHeight w:val="20"/>
          <w:jc w:val="center"/>
        </w:trPr>
        <w:tc>
          <w:tcPr>
            <w:tcW w:w="1104" w:type="dxa"/>
            <w:vMerge w:val="restart"/>
            <w:tcBorders>
              <w:top w:val="single" w:sz="6" w:space="0" w:color="auto"/>
              <w:left w:val="single" w:sz="6" w:space="0" w:color="auto"/>
              <w:right w:val="single" w:sz="6" w:space="0" w:color="auto"/>
            </w:tcBorders>
          </w:tcPr>
          <w:p w:rsidR="00000000" w:rsidRDefault="00000000">
            <w:pPr>
              <w:spacing w:before="80" w:after="80" w:line="220" w:lineRule="exact"/>
              <w:jc w:val="left"/>
              <w:rPr>
                <w:b/>
                <w:sz w:val="18"/>
              </w:rPr>
            </w:pPr>
            <w:r>
              <w:rPr>
                <w:b/>
                <w:sz w:val="18"/>
              </w:rPr>
              <w:t>Учебный год</w:t>
            </w:r>
          </w:p>
        </w:tc>
        <w:tc>
          <w:tcPr>
            <w:tcW w:w="121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1-й класс</w:t>
            </w:r>
          </w:p>
        </w:tc>
        <w:tc>
          <w:tcPr>
            <w:tcW w:w="121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2-й класс</w:t>
            </w:r>
          </w:p>
        </w:tc>
        <w:tc>
          <w:tcPr>
            <w:tcW w:w="121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3-й класс</w:t>
            </w:r>
          </w:p>
        </w:tc>
        <w:tc>
          <w:tcPr>
            <w:tcW w:w="122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4-й класс</w:t>
            </w:r>
          </w:p>
        </w:tc>
        <w:tc>
          <w:tcPr>
            <w:tcW w:w="122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5-й класс</w:t>
            </w:r>
          </w:p>
        </w:tc>
        <w:tc>
          <w:tcPr>
            <w:tcW w:w="122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6-й класс</w:t>
            </w:r>
          </w:p>
        </w:tc>
        <w:tc>
          <w:tcPr>
            <w:tcW w:w="1220"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Итого</w:t>
            </w:r>
          </w:p>
        </w:tc>
      </w:tr>
      <w:tr w:rsidR="00000000">
        <w:tblPrEx>
          <w:tblCellMar>
            <w:top w:w="0" w:type="dxa"/>
            <w:bottom w:w="0" w:type="dxa"/>
          </w:tblCellMar>
        </w:tblPrEx>
        <w:trPr>
          <w:cantSplit/>
          <w:trHeight w:val="20"/>
          <w:jc w:val="center"/>
        </w:trPr>
        <w:tc>
          <w:tcPr>
            <w:tcW w:w="1104" w:type="dxa"/>
            <w:vMerge/>
            <w:tcBorders>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м.</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д.</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м.</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д.</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м.</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д.</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м.</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д.</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м.</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д.</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м.</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д.</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м.</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д.</w:t>
            </w:r>
          </w:p>
        </w:tc>
      </w:tr>
      <w:tr w:rsidR="00000000">
        <w:tblPrEx>
          <w:tblCellMar>
            <w:top w:w="0" w:type="dxa"/>
            <w:bottom w:w="0" w:type="dxa"/>
          </w:tblCellMar>
        </w:tblPrEx>
        <w:trPr>
          <w:trHeight w:val="20"/>
          <w:jc w:val="center"/>
        </w:trPr>
        <w:tc>
          <w:tcPr>
            <w:tcW w:w="1104"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1992/93</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0,9</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1,2</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0,7</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2,4</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2,7</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3,4</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3,1</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6,2</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5,5</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18,2</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14,9</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4,9</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4,4</w:t>
            </w:r>
          </w:p>
        </w:tc>
      </w:tr>
      <w:tr w:rsidR="00000000">
        <w:tblPrEx>
          <w:tblCellMar>
            <w:top w:w="0" w:type="dxa"/>
            <w:bottom w:w="0" w:type="dxa"/>
          </w:tblCellMar>
        </w:tblPrEx>
        <w:trPr>
          <w:trHeight w:val="20"/>
          <w:jc w:val="center"/>
        </w:trPr>
        <w:tc>
          <w:tcPr>
            <w:tcW w:w="1104"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1993/94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0,6</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0,8</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2,3</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2,0</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3,1</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2,7</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5,2</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4,8</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17,8</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15,5</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4,8</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4,3</w:t>
            </w:r>
          </w:p>
        </w:tc>
      </w:tr>
      <w:tr w:rsidR="00000000">
        <w:tblPrEx>
          <w:tblCellMar>
            <w:top w:w="0" w:type="dxa"/>
            <w:bottom w:w="0" w:type="dxa"/>
          </w:tblCellMar>
        </w:tblPrEx>
        <w:trPr>
          <w:trHeight w:val="20"/>
          <w:jc w:val="center"/>
        </w:trPr>
        <w:tc>
          <w:tcPr>
            <w:tcW w:w="1104"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1994/95</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0,9</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0,5</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0,8</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2,0</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2,0</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2,9</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2,2</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5,0</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4,3</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17,4</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13,9</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4,7</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4,0</w:t>
            </w:r>
          </w:p>
        </w:tc>
      </w:tr>
      <w:tr w:rsidR="00000000">
        <w:tblPrEx>
          <w:tblCellMar>
            <w:top w:w="0" w:type="dxa"/>
            <w:bottom w:w="0" w:type="dxa"/>
          </w:tblCellMar>
        </w:tblPrEx>
        <w:trPr>
          <w:trHeight w:val="20"/>
          <w:jc w:val="center"/>
        </w:trPr>
        <w:tc>
          <w:tcPr>
            <w:tcW w:w="1104"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1995/96</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0,8</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1,2</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2,3</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1,9</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3,6</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2,8</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5,8</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4,7</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15,0</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12,2</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4,9</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4,1</w:t>
            </w:r>
          </w:p>
        </w:tc>
      </w:tr>
      <w:tr w:rsidR="00000000">
        <w:tblPrEx>
          <w:tblCellMar>
            <w:top w:w="0" w:type="dxa"/>
            <w:bottom w:w="0" w:type="dxa"/>
          </w:tblCellMar>
        </w:tblPrEx>
        <w:trPr>
          <w:trHeight w:val="20"/>
          <w:jc w:val="center"/>
        </w:trPr>
        <w:tc>
          <w:tcPr>
            <w:tcW w:w="1104"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1996/97</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1,2</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1,4</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0,8</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1,0</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2,2</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1,9</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3,4</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2,7</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5,1</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4,2</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8,3</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7,0</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3,5</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3,1</w:t>
            </w:r>
          </w:p>
        </w:tc>
      </w:tr>
      <w:tr w:rsidR="00000000">
        <w:tblPrEx>
          <w:tblCellMar>
            <w:top w:w="0" w:type="dxa"/>
            <w:bottom w:w="0" w:type="dxa"/>
          </w:tblCellMar>
        </w:tblPrEx>
        <w:trPr>
          <w:trHeight w:val="20"/>
          <w:jc w:val="center"/>
        </w:trPr>
        <w:tc>
          <w:tcPr>
            <w:tcW w:w="1104"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1997/98</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1,1</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1,0</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0,8</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1,0</w:t>
            </w:r>
          </w:p>
        </w:tc>
        <w:tc>
          <w:tcPr>
            <w:tcW w:w="60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2,4</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1,9</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3,1</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2,7</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5,0</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3,9</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9,2</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7,8</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3,7</w:t>
            </w:r>
          </w:p>
        </w:tc>
        <w:tc>
          <w:tcPr>
            <w:tcW w:w="61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3,2</w:t>
            </w:r>
          </w:p>
        </w:tc>
      </w:tr>
    </w:tbl>
    <w:p w:rsidR="00000000" w:rsidRDefault="00000000">
      <w:pPr>
        <w:spacing w:before="80" w:after="180" w:line="220" w:lineRule="exact"/>
        <w:jc w:val="right"/>
      </w:pPr>
      <w:r>
        <w:rPr>
          <w:b/>
          <w:sz w:val="18"/>
        </w:rPr>
        <w:t>Источник: Министерство образования и науки</w:t>
      </w:r>
    </w:p>
    <w:p w:rsidR="00000000" w:rsidRDefault="00000000">
      <w:r>
        <w:t>527.</w:t>
      </w:r>
      <w:r>
        <w:tab/>
        <w:t xml:space="preserve">На первом этапе базового образования показатель отсева девочек из школы значительно снизился начиная с 1992/93 учебного года. Хотя этот показатель был выше у девочек до реформы в области образования (7,5 процента в 1979/80 учебном году), он снизился до 4,4 процента в 1992/93 учебном году и достиг 3,2 процента в 1997/98 учебном году. Показатель отсева мальчиков за этот же период также снизился, однако остается несколько выше, чем у девочек. </w:t>
      </w:r>
    </w:p>
    <w:p w:rsidR="00000000" w:rsidRDefault="00000000">
      <w:pPr>
        <w:spacing w:before="120" w:line="260" w:lineRule="exact"/>
        <w:rPr>
          <w:b/>
          <w:sz w:val="22"/>
        </w:rPr>
      </w:pPr>
      <w:r>
        <w:rPr>
          <w:b/>
          <w:sz w:val="22"/>
        </w:rPr>
        <w:t>II.3.2.</w:t>
      </w:r>
      <w:r>
        <w:rPr>
          <w:b/>
          <w:sz w:val="22"/>
        </w:rPr>
        <w:tab/>
        <w:t>На втором этапе базового образования и в средней школе</w:t>
      </w:r>
    </w:p>
    <w:p w:rsidR="00000000" w:rsidRDefault="00000000">
      <w:pPr>
        <w:spacing w:before="120"/>
        <w:jc w:val="center"/>
        <w:rPr>
          <w:b/>
        </w:rPr>
      </w:pPr>
      <w:r>
        <w:rPr>
          <w:b/>
        </w:rPr>
        <w:t xml:space="preserve">Показатель отсева в разбивке по годам обучения и по полу </w:t>
      </w:r>
      <w:r>
        <w:rPr>
          <w:b/>
        </w:rPr>
        <w:br/>
        <w:t>(второй этап базового образования и среднее образование)</w:t>
      </w:r>
    </w:p>
    <w:tbl>
      <w:tblPr>
        <w:tblW w:w="0" w:type="auto"/>
        <w:jc w:val="center"/>
        <w:tblLayout w:type="fixed"/>
        <w:tblCellMar>
          <w:left w:w="40" w:type="dxa"/>
          <w:right w:w="40" w:type="dxa"/>
        </w:tblCellMar>
        <w:tblLook w:val="0000" w:firstRow="0" w:lastRow="0" w:firstColumn="0" w:lastColumn="0" w:noHBand="0" w:noVBand="0"/>
      </w:tblPr>
      <w:tblGrid>
        <w:gridCol w:w="1057"/>
        <w:gridCol w:w="613"/>
        <w:gridCol w:w="613"/>
        <w:gridCol w:w="613"/>
        <w:gridCol w:w="613"/>
        <w:gridCol w:w="613"/>
        <w:gridCol w:w="613"/>
        <w:gridCol w:w="613"/>
        <w:gridCol w:w="613"/>
        <w:gridCol w:w="613"/>
        <w:gridCol w:w="613"/>
        <w:gridCol w:w="613"/>
        <w:gridCol w:w="613"/>
        <w:gridCol w:w="613"/>
        <w:gridCol w:w="613"/>
      </w:tblGrid>
      <w:tr w:rsidR="00000000">
        <w:tblPrEx>
          <w:tblCellMar>
            <w:top w:w="0" w:type="dxa"/>
            <w:bottom w:w="0" w:type="dxa"/>
          </w:tblCellMar>
        </w:tblPrEx>
        <w:trPr>
          <w:cantSplit/>
          <w:trHeight w:val="284"/>
          <w:jc w:val="center"/>
        </w:trPr>
        <w:tc>
          <w:tcPr>
            <w:tcW w:w="1057" w:type="dxa"/>
            <w:vMerge w:val="restart"/>
            <w:tcBorders>
              <w:top w:val="single" w:sz="6" w:space="0" w:color="auto"/>
              <w:left w:val="single" w:sz="6" w:space="0" w:color="auto"/>
              <w:bottom w:val="nil"/>
              <w:right w:val="single" w:sz="6" w:space="0" w:color="auto"/>
            </w:tcBorders>
          </w:tcPr>
          <w:p w:rsidR="00000000" w:rsidRDefault="00000000">
            <w:pPr>
              <w:spacing w:before="40" w:after="40" w:line="220" w:lineRule="exact"/>
              <w:jc w:val="left"/>
              <w:rPr>
                <w:b/>
                <w:sz w:val="18"/>
              </w:rPr>
            </w:pPr>
            <w:r>
              <w:rPr>
                <w:b/>
                <w:sz w:val="18"/>
              </w:rPr>
              <w:t>Учебный год</w:t>
            </w:r>
          </w:p>
        </w:tc>
        <w:tc>
          <w:tcPr>
            <w:tcW w:w="122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1998/99</w:t>
            </w:r>
          </w:p>
        </w:tc>
        <w:tc>
          <w:tcPr>
            <w:tcW w:w="122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1992/93</w:t>
            </w:r>
          </w:p>
        </w:tc>
        <w:tc>
          <w:tcPr>
            <w:tcW w:w="122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1993/94</w:t>
            </w:r>
          </w:p>
        </w:tc>
        <w:tc>
          <w:tcPr>
            <w:tcW w:w="122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1994/95</w:t>
            </w:r>
          </w:p>
        </w:tc>
        <w:tc>
          <w:tcPr>
            <w:tcW w:w="122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1995/96</w:t>
            </w:r>
          </w:p>
        </w:tc>
        <w:tc>
          <w:tcPr>
            <w:tcW w:w="122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1996/97</w:t>
            </w:r>
          </w:p>
        </w:tc>
        <w:tc>
          <w:tcPr>
            <w:tcW w:w="122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1997/98</w:t>
            </w:r>
          </w:p>
        </w:tc>
      </w:tr>
      <w:tr w:rsidR="00000000">
        <w:tblPrEx>
          <w:tblCellMar>
            <w:top w:w="0" w:type="dxa"/>
            <w:bottom w:w="0" w:type="dxa"/>
          </w:tblCellMar>
        </w:tblPrEx>
        <w:trPr>
          <w:cantSplit/>
          <w:trHeight w:val="284"/>
          <w:jc w:val="center"/>
        </w:trPr>
        <w:tc>
          <w:tcPr>
            <w:tcW w:w="1057" w:type="dxa"/>
            <w:vMerge/>
            <w:tcBorders>
              <w:top w:val="nil"/>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д.</w:t>
            </w:r>
          </w:p>
        </w:tc>
      </w:tr>
      <w:tr w:rsidR="00000000">
        <w:tblPrEx>
          <w:tblCellMar>
            <w:top w:w="0" w:type="dxa"/>
            <w:bottom w:w="0" w:type="dxa"/>
          </w:tblCellMar>
        </w:tblPrEx>
        <w:trPr>
          <w:cantSplit/>
          <w:trHeight w:val="284"/>
          <w:jc w:val="center"/>
        </w:trPr>
        <w:tc>
          <w:tcPr>
            <w:tcW w:w="105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1-й кл.</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6,5</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5,3</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5,5</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10,4</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6,5</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10,4</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6,5</w:t>
            </w:r>
          </w:p>
        </w:tc>
      </w:tr>
      <w:tr w:rsidR="00000000">
        <w:tblPrEx>
          <w:tblCellMar>
            <w:top w:w="0" w:type="dxa"/>
            <w:bottom w:w="0" w:type="dxa"/>
          </w:tblCellMar>
        </w:tblPrEx>
        <w:trPr>
          <w:cantSplit/>
          <w:trHeight w:val="284"/>
          <w:jc w:val="center"/>
        </w:trPr>
        <w:tc>
          <w:tcPr>
            <w:tcW w:w="105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2-й кл.</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6,9</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4,9</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13,0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13,0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7,6</w:t>
            </w:r>
          </w:p>
        </w:tc>
      </w:tr>
      <w:tr w:rsidR="00000000">
        <w:tblPrEx>
          <w:tblCellMar>
            <w:top w:w="0" w:type="dxa"/>
            <w:bottom w:w="0" w:type="dxa"/>
          </w:tblCellMar>
        </w:tblPrEx>
        <w:trPr>
          <w:cantSplit/>
          <w:trHeight w:val="284"/>
          <w:jc w:val="center"/>
        </w:trPr>
        <w:tc>
          <w:tcPr>
            <w:tcW w:w="105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3-й кл.</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9,8</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10,8</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10,8</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8,7</w:t>
            </w:r>
          </w:p>
        </w:tc>
      </w:tr>
      <w:tr w:rsidR="00000000">
        <w:tblPrEx>
          <w:tblCellMar>
            <w:top w:w="0" w:type="dxa"/>
            <w:bottom w:w="0" w:type="dxa"/>
          </w:tblCellMar>
        </w:tblPrEx>
        <w:trPr>
          <w:cantSplit/>
          <w:trHeight w:val="284"/>
          <w:jc w:val="center"/>
        </w:trPr>
        <w:tc>
          <w:tcPr>
            <w:tcW w:w="105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4-й кл.</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9,5</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10,9</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13,3</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8,8</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15,2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14,7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10,9</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14,7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10,9</w:t>
            </w:r>
          </w:p>
        </w:tc>
      </w:tr>
      <w:tr w:rsidR="00000000">
        <w:tblPrEx>
          <w:tblCellMar>
            <w:top w:w="0" w:type="dxa"/>
            <w:bottom w:w="0" w:type="dxa"/>
          </w:tblCellMar>
        </w:tblPrEx>
        <w:trPr>
          <w:cantSplit/>
          <w:trHeight w:val="284"/>
          <w:jc w:val="center"/>
        </w:trPr>
        <w:tc>
          <w:tcPr>
            <w:tcW w:w="105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5-й кл.</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9,9</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14,2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13,6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16,2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16,0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15,3</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14,2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14,9</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13,3</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13,6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13,6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12,2</w:t>
            </w:r>
          </w:p>
        </w:tc>
      </w:tr>
      <w:tr w:rsidR="00000000">
        <w:tblPrEx>
          <w:tblCellMar>
            <w:top w:w="0" w:type="dxa"/>
            <w:bottom w:w="0" w:type="dxa"/>
          </w:tblCellMar>
        </w:tblPrEx>
        <w:trPr>
          <w:cantSplit/>
          <w:trHeight w:val="284"/>
          <w:jc w:val="center"/>
        </w:trPr>
        <w:tc>
          <w:tcPr>
            <w:tcW w:w="105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6-й кл.</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15,9</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5,4</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11,1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5,5</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9,4</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7,4</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7,4</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3,6</w:t>
            </w:r>
          </w:p>
        </w:tc>
      </w:tr>
      <w:tr w:rsidR="00000000">
        <w:tblPrEx>
          <w:tblCellMar>
            <w:top w:w="0" w:type="dxa"/>
            <w:bottom w:w="0" w:type="dxa"/>
          </w:tblCellMar>
        </w:tblPrEx>
        <w:trPr>
          <w:cantSplit/>
          <w:trHeight w:val="284"/>
          <w:jc w:val="center"/>
        </w:trPr>
        <w:tc>
          <w:tcPr>
            <w:tcW w:w="105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7-й кл.</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22,0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17,0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17,6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14,8</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17,8</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19,8</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17,7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17,2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10,5</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10,5</w:t>
            </w:r>
          </w:p>
        </w:tc>
      </w:tr>
      <w:tr w:rsidR="00000000">
        <w:tblPrEx>
          <w:tblCellMar>
            <w:top w:w="0" w:type="dxa"/>
            <w:bottom w:w="0" w:type="dxa"/>
          </w:tblCellMar>
        </w:tblPrEx>
        <w:trPr>
          <w:cantSplit/>
          <w:trHeight w:val="284"/>
          <w:jc w:val="center"/>
        </w:trPr>
        <w:tc>
          <w:tcPr>
            <w:tcW w:w="105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ИТОГО</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10,5</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10,5</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10,9</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11,5</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11,7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11,7</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8,5</w:t>
            </w:r>
          </w:p>
        </w:tc>
      </w:tr>
    </w:tbl>
    <w:p w:rsidR="00000000" w:rsidRDefault="00000000">
      <w:pPr>
        <w:spacing w:before="120"/>
        <w:jc w:val="right"/>
      </w:pPr>
      <w:r>
        <w:rPr>
          <w:b/>
        </w:rPr>
        <w:t>Источник: Министерство образования и науки</w:t>
      </w:r>
    </w:p>
    <w:p w:rsidR="00000000" w:rsidRDefault="00000000">
      <w:r>
        <w:t>528.</w:t>
      </w:r>
      <w:r>
        <w:tab/>
        <w:t xml:space="preserve">В системе среднего образования показатель отсева девочек начиная с 1992/93 учебного года на всех уровнях образования значительно ниже, чем процент отсева мальчиков. Уход из школы в связи с прекращением действия права на школьное обучение отмечается на уровне седьмого класса, где процент отсева девочек равен или несколько превышает процент отсева мальчиков. </w:t>
      </w:r>
    </w:p>
    <w:p w:rsidR="00000000" w:rsidRDefault="00000000">
      <w:pPr>
        <w:spacing w:before="120" w:line="260" w:lineRule="exact"/>
        <w:rPr>
          <w:b/>
          <w:sz w:val="22"/>
        </w:rPr>
      </w:pPr>
      <w:r>
        <w:rPr>
          <w:b/>
          <w:sz w:val="22"/>
        </w:rPr>
        <w:t>II.3.3.</w:t>
      </w:r>
      <w:r>
        <w:rPr>
          <w:b/>
          <w:sz w:val="22"/>
        </w:rPr>
        <w:tab/>
        <w:t>Основные факторы сокращения отсева из школы девочек</w:t>
      </w:r>
    </w:p>
    <w:p w:rsidR="00000000" w:rsidRDefault="00000000">
      <w:r>
        <w:t>529.</w:t>
      </w:r>
      <w:r>
        <w:tab/>
        <w:t>Преждевременный уход из школы девочек становится все более редким явлением, и это особенно заметно на уровне как первого, так и второго этапа базового образования, а также на уровне среднего образования.</w:t>
      </w:r>
    </w:p>
    <w:p w:rsidR="00000000" w:rsidRDefault="00000000">
      <w:r>
        <w:t>530.</w:t>
      </w:r>
      <w:r>
        <w:tab/>
        <w:t>На уровне первого и второго этапов базового образования меры, принятые государством с целью введения обязательного образования (закон от 29 июля 1991 года), подкрепленные усилиями по увеличению количества школ в сельских районах и их приближению к местам проживания (с помощью Фонда национальной солидарности было построено 2626 школ в наиболее неблагоприятных районах), а также по составлению удобного расписания уроков (ограничение изменений в расписании в сельских школах), привели к значительному сокращению случаев, когда семья преждевременно забирала девочек из школы.</w:t>
      </w:r>
    </w:p>
    <w:p w:rsidR="00000000" w:rsidRDefault="00000000">
      <w:r>
        <w:t>531.</w:t>
      </w:r>
      <w:r>
        <w:tab/>
        <w:t>На уровне среднего образования преждевременный уход из школы девочек, который реже, чем у мальчиков, и имеет явную тенденцию к снижению, объясняется скорее всего прекращением действия права на школьное обучение.</w:t>
      </w:r>
    </w:p>
    <w:p w:rsidR="00000000" w:rsidRDefault="00000000">
      <w:r>
        <w:t>532.</w:t>
      </w:r>
      <w:r>
        <w:tab/>
        <w:t>Значительное число таких учащихся идут в частные учебные заведения. В 1998/99 учебном году на первом этапе базового образования в 42 частных учебных заведениях насчитывалось 10 008 учащихся (в том числе 47,7 процента девочек); на втором этапе базового образования и в средней школе в 324 учебных заведениях в 1998/99 учебном году насчитывалось 63 912 учащихся (в том числе 34,7 процента девочек).</w:t>
      </w:r>
    </w:p>
    <w:p w:rsidR="00000000" w:rsidRDefault="00000000">
      <w:r>
        <w:t>533.</w:t>
      </w:r>
      <w:r>
        <w:tab/>
        <w:t>Программа социального действия в школьной среде, дополнившая реформу системы образования, нашла свое конкретное воплощение прежде всего в создании комитетов, деятельность которых направлена на предупреждение школьной неуспеваемости и преждевременного ухода из школы; подобные случаи, обнаруженные в школьной среде, рассматриваются в рамках многодисциплинарного и многосекторального подхода (здоровье, социальные вопросы, молодежь и дети).</w:t>
      </w:r>
    </w:p>
    <w:p w:rsidR="00000000" w:rsidRDefault="00000000">
      <w:pPr>
        <w:rPr>
          <w:spacing w:val="4"/>
        </w:rPr>
      </w:pPr>
      <w:r>
        <w:t>534.</w:t>
      </w:r>
      <w:r>
        <w:tab/>
      </w:r>
      <w:r>
        <w:rPr>
          <w:spacing w:val="4"/>
        </w:rPr>
        <w:t xml:space="preserve">Число комитетов социального действия в школьной среде в 1995/96 учебном году достигло 1364. В соответствии с этой программой, охватившей в 1997/98 учебном году 909 учебных заведений </w:t>
      </w:r>
      <w:r>
        <w:rPr>
          <w:spacing w:val="4"/>
        </w:rPr>
        <w:br/>
        <w:t>(672 начальные школы и 237 средних школ, то есть всего 715 709 учащихся), были проведены оценка и координация в целях совершенствования средств воздействия и создания региональных групп по профессиональной подготовке и надзору.</w:t>
      </w:r>
    </w:p>
    <w:p w:rsidR="00000000" w:rsidRDefault="00000000">
      <w:r>
        <w:t>535.</w:t>
      </w:r>
      <w:r>
        <w:tab/>
        <w:t>Хотя результаты обследования, проведенного в 1990/91 году Национальным союзом тунисских женщин (НСТЖ) при участии ЮНИСЕФ и Министерства образования и науки, показали, что главными причинами отсева девочек из начальной школы являются проблемы семейного характера (52,1 процента), педагогического характера (19,3 процента) и экономического характера (11,8 процента), сегодня совершенно очевидно, что характерные для 1990 года факторы, лежавшие в основе ухода учащихся из школы, оказывают иное влияние в условиях нынешней системы образования. Фактор семьи, стоявший на первом месте в 1990 году, в настоящее время, естественно, оказывает наименьшее влияние.</w:t>
      </w:r>
    </w:p>
    <w:p w:rsidR="00000000" w:rsidRDefault="00000000">
      <w:r>
        <w:t>536.</w:t>
      </w:r>
      <w:r>
        <w:tab/>
        <w:t xml:space="preserve">Несмотря на значительное снижение показателя преждевременного отсева из школы, государственные власти ставят перед собой задачу в настоящее время удержать всех учащихся в рамках системы базового образования. В этой связи в течение 1998 года одна из комиссий занималась рассмотрением способов достижения этой цели. Министерство образования и науки разрабатывает в настоящее время важный механизм педагогической реформы, которая предусматривает разработку комплекса базовых знаний и умений, которыми должны овладеть учащиеся в возрасте от 6 до 16 лет, и создание сети приоритетных образовательных зон с целью скорейшей ликвидации несоответствий в различных районах страны. </w:t>
      </w:r>
    </w:p>
    <w:p w:rsidR="00000000" w:rsidRDefault="00000000">
      <w:r>
        <w:t>537.</w:t>
      </w:r>
      <w:r>
        <w:tab/>
        <w:t>Отсев из школы, который уже значительно сократился, должен стать еще меньше благодаря разработанным государственным многоплановым стратегиям и программам солидарности.</w:t>
      </w:r>
    </w:p>
    <w:p w:rsidR="00000000" w:rsidRDefault="00000000">
      <w:pPr>
        <w:rPr>
          <w:spacing w:val="4"/>
        </w:rPr>
      </w:pPr>
      <w:r>
        <w:t>538.</w:t>
      </w:r>
      <w:r>
        <w:tab/>
      </w:r>
      <w:r>
        <w:rPr>
          <w:spacing w:val="4"/>
        </w:rPr>
        <w:t>Центр научных исследований, документации и информации по вопросам женщин (ЦНИДИЖ) содействует усилиям, направленным на сокращение неравенства по признаку пола путем проведения исследования на тему "Неравенство между девочками и мальчиками в области образования". Это исследование будет проводиться в рамках нынешнего плана развития, и цель его – лучше изучить и оценить причины неуспеваемости девочек и их ухода из школы в районах, где по-прежнему существует неравенство. Оно будет содействовать корректировке деятельности государственных властей по решению этой проблемы.</w:t>
      </w:r>
    </w:p>
    <w:p w:rsidR="00000000" w:rsidRDefault="00000000">
      <w:pPr>
        <w:spacing w:before="160" w:after="280" w:line="260" w:lineRule="exact"/>
        <w:ind w:left="680" w:hanging="680"/>
        <w:jc w:val="left"/>
        <w:rPr>
          <w:b/>
          <w:sz w:val="22"/>
        </w:rPr>
      </w:pPr>
      <w:r>
        <w:rPr>
          <w:b/>
          <w:sz w:val="22"/>
        </w:rPr>
        <w:t>II.5.</w:t>
      </w:r>
      <w:r>
        <w:rPr>
          <w:b/>
          <w:sz w:val="22"/>
        </w:rPr>
        <w:tab/>
        <w:t xml:space="preserve">Изменение образа женщины в рамках образовательных программ </w:t>
      </w:r>
      <w:r>
        <w:rPr>
          <w:b/>
          <w:sz w:val="22"/>
        </w:rPr>
        <w:br/>
        <w:t>и в школьных учебниках</w:t>
      </w:r>
    </w:p>
    <w:p w:rsidR="00000000" w:rsidRDefault="00000000">
      <w:r>
        <w:t>539.</w:t>
      </w:r>
      <w:r>
        <w:tab/>
        <w:t>Начатая в 1989 году реформа системы, опираясь на заложенные в ней принципы, привела к глубоким изменениям всех школьных учебников, из которых было изъято все, что принижает образ женщины.</w:t>
      </w:r>
    </w:p>
    <w:p w:rsidR="00000000" w:rsidRDefault="00000000">
      <w:r>
        <w:t>540.</w:t>
      </w:r>
      <w:r>
        <w:tab/>
        <w:t xml:space="preserve">Одной из целей системы образования, говорится в пункте 3 статьи первой закона № 91-65 от 29 июля 1991 года, является </w:t>
      </w:r>
      <w:r>
        <w:rPr>
          <w:i/>
        </w:rPr>
        <w:t>"подготовка учащихся к жизни, в которой нет места какой бы то ни было форме дискриминации или сегрегации по признакам пола, социального происхождения, расы или религии"</w:t>
      </w:r>
      <w:r>
        <w:t>.</w:t>
      </w:r>
    </w:p>
    <w:p w:rsidR="00000000" w:rsidRDefault="00000000">
      <w:r>
        <w:t>541.</w:t>
      </w:r>
      <w:r>
        <w:tab/>
        <w:t>Анализ содержания программ и школьных учебников, разработанных в соответствии с направлениями образовательной реформы и созданием системы базового образования, позволил закрепить принцип равенства между полами.</w:t>
      </w:r>
    </w:p>
    <w:p w:rsidR="00000000" w:rsidRDefault="00000000">
      <w:r>
        <w:t>542.</w:t>
      </w:r>
      <w:r>
        <w:tab/>
        <w:t>Из нормативных текстов, определяющих условия образования, четко следует, что женщина признается равной мужчине и является партнером как в семье, так и в социальной жизни, занимающим свое естественное место в структуре общества. Это положение со всей очевидностью отражено во всех школьных учебниках с первого по пятый класс путем соответствующего использования образа женщины многократно и в разных ситуациях, что убеждает учащихся в равенстве мужчин и женщин. Эта идея пронизывает всю систему образования и весь учебный процесс от начала до конца.</w:t>
      </w:r>
    </w:p>
    <w:p w:rsidR="00000000" w:rsidRDefault="00000000">
      <w:r>
        <w:t>543.</w:t>
      </w:r>
      <w:r>
        <w:tab/>
        <w:t>Образы, связанные с традиционным разделением социальных ролей мужчин и женщин, уступают место видению более равных отношений между мужчиной и женщиной, где женщина выступает также в качестве участника производственного и творческого процессов.</w:t>
      </w:r>
    </w:p>
    <w:p w:rsidR="00000000" w:rsidRDefault="00000000">
      <w:pPr>
        <w:spacing w:before="120" w:line="260" w:lineRule="exact"/>
        <w:rPr>
          <w:sz w:val="22"/>
        </w:rPr>
      </w:pPr>
      <w:r>
        <w:rPr>
          <w:b/>
          <w:sz w:val="22"/>
        </w:rPr>
        <w:t>II.6.</w:t>
      </w:r>
      <w:r>
        <w:rPr>
          <w:b/>
          <w:sz w:val="22"/>
        </w:rPr>
        <w:tab/>
        <w:t>Динамика роста контингента преподавателей</w:t>
      </w:r>
      <w:r>
        <w:rPr>
          <w:sz w:val="22"/>
        </w:rPr>
        <w:t xml:space="preserve"> (см. пункты 344–347)</w:t>
      </w:r>
    </w:p>
    <w:p w:rsidR="00000000" w:rsidRDefault="00000000">
      <w:pPr>
        <w:spacing w:before="240" w:line="240" w:lineRule="auto"/>
        <w:rPr>
          <w:b/>
          <w:sz w:val="28"/>
        </w:rPr>
      </w:pPr>
      <w:r>
        <w:rPr>
          <w:b/>
          <w:sz w:val="28"/>
        </w:rPr>
        <w:t>Ш.</w:t>
      </w:r>
      <w:r>
        <w:rPr>
          <w:b/>
          <w:sz w:val="28"/>
        </w:rPr>
        <w:tab/>
        <w:t>Высшее образование</w:t>
      </w:r>
    </w:p>
    <w:p w:rsidR="00000000" w:rsidRDefault="00000000">
      <w:r>
        <w:t>544.</w:t>
      </w:r>
      <w:r>
        <w:tab/>
        <w:t>Высшее образование рассматривается в Тунисе как решающий этап в профессиональной подготовке молодежи и конкретное осуществление ее прав на доступ к знаниям и науке.</w:t>
      </w:r>
    </w:p>
    <w:p w:rsidR="00000000" w:rsidRDefault="00000000">
      <w:pPr>
        <w:rPr>
          <w:spacing w:val="-4"/>
        </w:rPr>
      </w:pPr>
      <w:r>
        <w:t>545.</w:t>
      </w:r>
      <w:r>
        <w:tab/>
      </w:r>
      <w:r>
        <w:rPr>
          <w:spacing w:val="-4"/>
        </w:rPr>
        <w:t>Целями высшего образования являются воспитание у молодежи уважения прав человека, принципов демократии, свободы и терпимости и подготовка для Туниса кадров, способных содействовать развитию страны.</w:t>
      </w:r>
    </w:p>
    <w:p w:rsidR="00000000" w:rsidRDefault="00000000">
      <w:pPr>
        <w:spacing w:before="200"/>
        <w:rPr>
          <w:sz w:val="22"/>
        </w:rPr>
      </w:pPr>
      <w:r>
        <w:rPr>
          <w:b/>
          <w:sz w:val="22"/>
        </w:rPr>
        <w:t xml:space="preserve">Ш.1. </w:t>
      </w:r>
      <w:r>
        <w:rPr>
          <w:b/>
          <w:sz w:val="22"/>
          <w:lang w:val="en-US"/>
        </w:rPr>
        <w:tab/>
      </w:r>
      <w:r>
        <w:rPr>
          <w:b/>
          <w:sz w:val="22"/>
        </w:rPr>
        <w:t>Новые реформы в сфере высшего образования</w:t>
      </w:r>
      <w:r>
        <w:rPr>
          <w:sz w:val="22"/>
        </w:rPr>
        <w:t xml:space="preserve"> </w:t>
      </w:r>
    </w:p>
    <w:p w:rsidR="00000000" w:rsidRDefault="00000000">
      <w:pPr>
        <w:spacing w:after="180"/>
      </w:pPr>
      <w:r>
        <w:t>546.</w:t>
      </w:r>
      <w:r>
        <w:tab/>
        <w:t>В начале 90-х годов была проведена серия реформ в сфере высшего образования, в частности создание сети институтов и высших учебных заведений по подготовке кадров среднего уровня (технических специалистов) в области технологии и управления, таких как Высший институт технологических исследований (ВИТИ) или высшие учебные заведения по подготовке высококвалифицированных инженеров, такие как Институт по подготовке научно-технических специалистов (ИПНТС), Тунисское политехническое училище (ТПУ) и Национальный институт прикладных и технических наук (НИПТН), а также высшее учебное заведение по подготовке высококвалифицированных преподавателей, такое как Высшее педагогическое училище. Эти реформы затронули также существующую систему магистратуры, включая Университет Эцитуна, специализирующийся в области теологии, в частности на уровне программ, методики обучения и оценки знаний, с целью их адаптации к потребностям экономики и общества.</w:t>
      </w:r>
    </w:p>
    <w:p w:rsidR="00000000" w:rsidRDefault="00000000">
      <w:r>
        <w:t>547.</w:t>
      </w:r>
      <w:r>
        <w:tab/>
        <w:t>Цели этих реформ – воспитать у тунисской молодежи уважение прав человека, принципов демократии, свободы и терпимости, а также подготовить для Туниса кадры на основе новых технологий, что обеспечит им лучшие условия вступления в современный меняющийся мир, и содействовать обогащению мирового культурного достояния и универсальных знаний.</w:t>
      </w:r>
    </w:p>
    <w:p w:rsidR="00000000" w:rsidRDefault="00000000">
      <w:pPr>
        <w:spacing w:before="200" w:after="320" w:line="260" w:lineRule="exact"/>
        <w:rPr>
          <w:b/>
          <w:sz w:val="22"/>
        </w:rPr>
      </w:pPr>
      <w:r>
        <w:rPr>
          <w:b/>
          <w:sz w:val="22"/>
        </w:rPr>
        <w:t>Ш.2.</w:t>
      </w:r>
      <w:r>
        <w:rPr>
          <w:b/>
          <w:sz w:val="22"/>
        </w:rPr>
        <w:tab/>
        <w:t>Положение женщины в системе высшего образования</w:t>
      </w:r>
    </w:p>
    <w:p w:rsidR="00000000" w:rsidRDefault="00000000">
      <w:pPr>
        <w:spacing w:line="260" w:lineRule="exact"/>
        <w:rPr>
          <w:b/>
        </w:rPr>
      </w:pPr>
      <w:r>
        <w:rPr>
          <w:b/>
        </w:rPr>
        <w:t>Студенты</w:t>
      </w:r>
    </w:p>
    <w:p w:rsidR="00000000" w:rsidRDefault="00000000">
      <w:pPr>
        <w:spacing w:after="180"/>
      </w:pPr>
      <w:r>
        <w:t>548.</w:t>
      </w:r>
      <w:r>
        <w:tab/>
        <w:t>Число студентов, составлявшее в 1978 году около 27 тыс. человек, достигло в 1998/99 учебном году 155 120 человек. За двадцать лет число студентов увеличилось более чем в пять раз. Однако наиболее значительный рост произошел главным образом в последнее десятилетие. Если с 1977 по 1987 год контингент студентов вырос только на 63,5 процента, то с 1987 по 1997 год рост составил около 200 процентов.</w:t>
      </w:r>
    </w:p>
    <w:p w:rsidR="00000000" w:rsidRDefault="00000000">
      <w:pPr>
        <w:jc w:val="center"/>
        <w:rPr>
          <w:b/>
        </w:rPr>
      </w:pPr>
      <w:r>
        <w:rPr>
          <w:b/>
        </w:rPr>
        <w:t>Рост контингента студентов с 1988 по 1999 год</w:t>
      </w:r>
    </w:p>
    <w:tbl>
      <w:tblPr>
        <w:tblW w:w="0" w:type="auto"/>
        <w:jc w:val="center"/>
        <w:tblLayout w:type="fixed"/>
        <w:tblCellMar>
          <w:left w:w="40" w:type="dxa"/>
          <w:right w:w="40" w:type="dxa"/>
        </w:tblCellMar>
        <w:tblLook w:val="0000" w:firstRow="0" w:lastRow="0" w:firstColumn="0" w:lastColumn="0" w:noHBand="0" w:noVBand="0"/>
      </w:tblPr>
      <w:tblGrid>
        <w:gridCol w:w="1298"/>
        <w:gridCol w:w="677"/>
        <w:gridCol w:w="677"/>
        <w:gridCol w:w="677"/>
        <w:gridCol w:w="676"/>
        <w:gridCol w:w="676"/>
        <w:gridCol w:w="676"/>
        <w:gridCol w:w="676"/>
        <w:gridCol w:w="676"/>
        <w:gridCol w:w="676"/>
        <w:gridCol w:w="676"/>
        <w:gridCol w:w="676"/>
        <w:gridCol w:w="902"/>
      </w:tblGrid>
      <w:tr w:rsidR="00000000">
        <w:tblPrEx>
          <w:tblCellMar>
            <w:top w:w="0" w:type="dxa"/>
            <w:bottom w:w="0" w:type="dxa"/>
          </w:tblCellMar>
        </w:tblPrEx>
        <w:trPr>
          <w:trHeight w:val="284"/>
          <w:jc w:val="center"/>
        </w:trPr>
        <w:tc>
          <w:tcPr>
            <w:tcW w:w="129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b/>
                <w:sz w:val="18"/>
              </w:rPr>
            </w:pPr>
            <w:r>
              <w:rPr>
                <w:b/>
                <w:sz w:val="18"/>
              </w:rPr>
              <w:t>Учебный год</w:t>
            </w:r>
          </w:p>
        </w:tc>
        <w:tc>
          <w:tcPr>
            <w:tcW w:w="6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b/>
                <w:sz w:val="18"/>
              </w:rPr>
            </w:pPr>
            <w:r>
              <w:rPr>
                <w:b/>
                <w:sz w:val="18"/>
              </w:rPr>
              <w:t>1988/89</w:t>
            </w:r>
          </w:p>
        </w:tc>
        <w:tc>
          <w:tcPr>
            <w:tcW w:w="6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b/>
                <w:sz w:val="18"/>
              </w:rPr>
            </w:pPr>
            <w:r>
              <w:rPr>
                <w:b/>
                <w:sz w:val="18"/>
              </w:rPr>
              <w:t>1989/90</w:t>
            </w:r>
          </w:p>
        </w:tc>
        <w:tc>
          <w:tcPr>
            <w:tcW w:w="6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b/>
                <w:sz w:val="18"/>
              </w:rPr>
            </w:pPr>
            <w:r>
              <w:rPr>
                <w:b/>
                <w:sz w:val="18"/>
              </w:rPr>
              <w:t>1990/91</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b/>
                <w:sz w:val="18"/>
              </w:rPr>
            </w:pPr>
            <w:r>
              <w:rPr>
                <w:b/>
                <w:sz w:val="18"/>
              </w:rPr>
              <w:t>1991/92</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b/>
                <w:sz w:val="18"/>
              </w:rPr>
            </w:pPr>
            <w:r>
              <w:rPr>
                <w:b/>
                <w:sz w:val="18"/>
              </w:rPr>
              <w:t>1992/93</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b/>
                <w:sz w:val="18"/>
              </w:rPr>
            </w:pPr>
            <w:r>
              <w:rPr>
                <w:b/>
                <w:sz w:val="18"/>
              </w:rPr>
              <w:t>1993/94</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b/>
                <w:sz w:val="18"/>
              </w:rPr>
            </w:pPr>
            <w:r>
              <w:rPr>
                <w:b/>
                <w:sz w:val="18"/>
              </w:rPr>
              <w:t>1994/95</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b/>
                <w:sz w:val="18"/>
              </w:rPr>
            </w:pPr>
            <w:r>
              <w:rPr>
                <w:b/>
                <w:sz w:val="18"/>
              </w:rPr>
              <w:t>1995/96</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b/>
                <w:sz w:val="18"/>
              </w:rPr>
            </w:pPr>
            <w:r>
              <w:rPr>
                <w:b/>
                <w:sz w:val="18"/>
              </w:rPr>
              <w:t>1996/97</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b/>
                <w:sz w:val="18"/>
              </w:rPr>
            </w:pPr>
            <w:r>
              <w:rPr>
                <w:b/>
                <w:sz w:val="18"/>
              </w:rPr>
              <w:t>1997/98</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b/>
                <w:sz w:val="18"/>
              </w:rPr>
            </w:pPr>
            <w:r>
              <w:rPr>
                <w:b/>
                <w:sz w:val="18"/>
              </w:rPr>
              <w:t>1998/99</w:t>
            </w:r>
          </w:p>
        </w:tc>
        <w:tc>
          <w:tcPr>
            <w:tcW w:w="9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b/>
                <w:sz w:val="18"/>
              </w:rPr>
            </w:pPr>
            <w:r>
              <w:rPr>
                <w:b/>
                <w:sz w:val="18"/>
              </w:rPr>
              <w:t>1999/2000</w:t>
            </w:r>
          </w:p>
        </w:tc>
      </w:tr>
      <w:tr w:rsidR="00000000">
        <w:tblPrEx>
          <w:tblCellMar>
            <w:top w:w="0" w:type="dxa"/>
            <w:bottom w:w="0" w:type="dxa"/>
          </w:tblCellMar>
        </w:tblPrEx>
        <w:trPr>
          <w:trHeight w:val="284"/>
          <w:jc w:val="center"/>
        </w:trPr>
        <w:tc>
          <w:tcPr>
            <w:tcW w:w="129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b/>
                <w:sz w:val="18"/>
              </w:rPr>
            </w:pPr>
            <w:r>
              <w:rPr>
                <w:b/>
                <w:sz w:val="18"/>
              </w:rPr>
              <w:t>Студенты</w:t>
            </w:r>
          </w:p>
        </w:tc>
        <w:tc>
          <w:tcPr>
            <w:tcW w:w="6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54 466</w:t>
            </w:r>
          </w:p>
        </w:tc>
        <w:tc>
          <w:tcPr>
            <w:tcW w:w="6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62 658</w:t>
            </w:r>
          </w:p>
        </w:tc>
        <w:tc>
          <w:tcPr>
            <w:tcW w:w="6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68 535</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76 097</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87 780</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96 101</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102 682</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112 634</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121 787</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137 024</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155 120</w:t>
            </w:r>
          </w:p>
        </w:tc>
        <w:tc>
          <w:tcPr>
            <w:tcW w:w="9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left="113"/>
              <w:jc w:val="left"/>
              <w:rPr>
                <w:sz w:val="18"/>
              </w:rPr>
            </w:pPr>
            <w:r>
              <w:rPr>
                <w:sz w:val="18"/>
              </w:rPr>
              <w:t>180 044</w:t>
            </w:r>
          </w:p>
        </w:tc>
      </w:tr>
      <w:tr w:rsidR="00000000">
        <w:tblPrEx>
          <w:tblCellMar>
            <w:top w:w="0" w:type="dxa"/>
            <w:bottom w:w="0" w:type="dxa"/>
          </w:tblCellMar>
        </w:tblPrEx>
        <w:trPr>
          <w:trHeight w:val="284"/>
          <w:jc w:val="center"/>
        </w:trPr>
        <w:tc>
          <w:tcPr>
            <w:tcW w:w="129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b/>
                <w:sz w:val="18"/>
              </w:rPr>
            </w:pPr>
            <w:r>
              <w:rPr>
                <w:b/>
                <w:sz w:val="18"/>
              </w:rPr>
              <w:t>В том числе девушки</w:t>
            </w:r>
          </w:p>
        </w:tc>
        <w:tc>
          <w:tcPr>
            <w:tcW w:w="6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20 596</w:t>
            </w:r>
          </w:p>
        </w:tc>
        <w:tc>
          <w:tcPr>
            <w:tcW w:w="6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23 989</w:t>
            </w:r>
          </w:p>
        </w:tc>
        <w:tc>
          <w:tcPr>
            <w:tcW w:w="6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26 989</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30 832</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36 121</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40 570</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44 230</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49 242</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54 278</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62 901</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74 924</w:t>
            </w:r>
          </w:p>
        </w:tc>
        <w:tc>
          <w:tcPr>
            <w:tcW w:w="9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left="113"/>
              <w:jc w:val="left"/>
              <w:rPr>
                <w:sz w:val="18"/>
              </w:rPr>
            </w:pPr>
            <w:r>
              <w:rPr>
                <w:sz w:val="18"/>
              </w:rPr>
              <w:t>90 694</w:t>
            </w:r>
          </w:p>
        </w:tc>
      </w:tr>
      <w:tr w:rsidR="00000000">
        <w:tblPrEx>
          <w:tblCellMar>
            <w:top w:w="0" w:type="dxa"/>
            <w:bottom w:w="0" w:type="dxa"/>
          </w:tblCellMar>
        </w:tblPrEx>
        <w:trPr>
          <w:trHeight w:val="284"/>
          <w:jc w:val="center"/>
        </w:trPr>
        <w:tc>
          <w:tcPr>
            <w:tcW w:w="129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b/>
                <w:sz w:val="18"/>
              </w:rPr>
            </w:pPr>
            <w:r>
              <w:rPr>
                <w:b/>
                <w:sz w:val="18"/>
              </w:rPr>
              <w:t>% девушек</w:t>
            </w:r>
          </w:p>
        </w:tc>
        <w:tc>
          <w:tcPr>
            <w:tcW w:w="6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37,8</w:t>
            </w:r>
          </w:p>
        </w:tc>
        <w:tc>
          <w:tcPr>
            <w:tcW w:w="6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38,3</w:t>
            </w:r>
          </w:p>
        </w:tc>
        <w:tc>
          <w:tcPr>
            <w:tcW w:w="6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39,4</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40,5</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41,1</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42,2</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43,1</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43,7</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44,6</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45,9</w:t>
            </w:r>
          </w:p>
        </w:tc>
        <w:tc>
          <w:tcPr>
            <w:tcW w:w="67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48,3</w:t>
            </w:r>
          </w:p>
        </w:tc>
        <w:tc>
          <w:tcPr>
            <w:tcW w:w="9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left="113"/>
              <w:jc w:val="left"/>
              <w:rPr>
                <w:sz w:val="18"/>
              </w:rPr>
            </w:pPr>
            <w:r>
              <w:rPr>
                <w:sz w:val="18"/>
              </w:rPr>
              <w:t>50,4</w:t>
            </w:r>
          </w:p>
        </w:tc>
      </w:tr>
    </w:tbl>
    <w:p w:rsidR="00000000" w:rsidRDefault="00000000">
      <w:pPr>
        <w:spacing w:before="120" w:line="220" w:lineRule="exact"/>
        <w:jc w:val="right"/>
        <w:rPr>
          <w:b/>
          <w:sz w:val="18"/>
        </w:rPr>
      </w:pPr>
      <w:r>
        <w:rPr>
          <w:b/>
          <w:sz w:val="18"/>
        </w:rPr>
        <w:t>Источник: Министерство образования и науки</w:t>
      </w:r>
    </w:p>
    <w:p w:rsidR="00000000" w:rsidRDefault="00000000">
      <w:pPr>
        <w:spacing w:after="180"/>
      </w:pPr>
      <w:r>
        <w:t>549.</w:t>
      </w:r>
      <w:r>
        <w:tab/>
        <w:t xml:space="preserve">Этот рост сопровождался увеличением числа студенток, их доля постоянно увеличивалась и выросла с 37,2 процента в 1987/88 учебном году до 48,3 процента в 1998/99 учебном году и до 50,4 процента в </w:t>
      </w:r>
      <w:r>
        <w:br/>
        <w:t>1999/2000 учебном году. Вследствие этого роста показатель охвата образованием населения от 20 до 24 лет, который был очень низким, значительно увеличился.</w:t>
      </w:r>
    </w:p>
    <w:p w:rsidR="00000000" w:rsidRDefault="00000000">
      <w:pPr>
        <w:spacing w:before="240"/>
        <w:jc w:val="center"/>
        <w:rPr>
          <w:b/>
        </w:rPr>
      </w:pPr>
      <w:r>
        <w:rPr>
          <w:b/>
        </w:rPr>
        <w:t xml:space="preserve">Абсолютные цифры и индекс роста контингента студентов </w:t>
      </w:r>
      <w:r>
        <w:rPr>
          <w:b/>
        </w:rPr>
        <w:br/>
        <w:t>в разбивке по полу</w:t>
      </w:r>
    </w:p>
    <w:tbl>
      <w:tblPr>
        <w:tblW w:w="0" w:type="auto"/>
        <w:jc w:val="center"/>
        <w:tblLayout w:type="fixed"/>
        <w:tblCellMar>
          <w:left w:w="40" w:type="dxa"/>
          <w:right w:w="40" w:type="dxa"/>
        </w:tblCellMar>
        <w:tblLook w:val="0000" w:firstRow="0" w:lastRow="0" w:firstColumn="0" w:lastColumn="0" w:noHBand="0" w:noVBand="0"/>
      </w:tblPr>
      <w:tblGrid>
        <w:gridCol w:w="1132"/>
        <w:gridCol w:w="850"/>
        <w:gridCol w:w="851"/>
        <w:gridCol w:w="851"/>
        <w:gridCol w:w="851"/>
        <w:gridCol w:w="851"/>
        <w:gridCol w:w="851"/>
      </w:tblGrid>
      <w:tr w:rsidR="00000000">
        <w:tblPrEx>
          <w:tblCellMar>
            <w:top w:w="0" w:type="dxa"/>
            <w:bottom w:w="0" w:type="dxa"/>
          </w:tblCellMar>
        </w:tblPrEx>
        <w:trPr>
          <w:cantSplit/>
          <w:trHeight w:val="20"/>
          <w:jc w:val="center"/>
        </w:trPr>
        <w:tc>
          <w:tcPr>
            <w:tcW w:w="1132" w:type="dxa"/>
            <w:vMerge w:val="restart"/>
            <w:tcBorders>
              <w:top w:val="single" w:sz="6" w:space="0" w:color="auto"/>
              <w:left w:val="single" w:sz="6" w:space="0" w:color="auto"/>
              <w:right w:val="single" w:sz="6" w:space="0" w:color="auto"/>
            </w:tcBorders>
          </w:tcPr>
          <w:p w:rsidR="00000000" w:rsidRDefault="00000000">
            <w:pPr>
              <w:spacing w:before="120" w:after="120" w:line="220" w:lineRule="exact"/>
              <w:jc w:val="center"/>
              <w:rPr>
                <w:b/>
                <w:sz w:val="18"/>
              </w:rPr>
            </w:pPr>
            <w:r>
              <w:rPr>
                <w:b/>
                <w:sz w:val="18"/>
              </w:rPr>
              <w:t>Учебный год</w:t>
            </w:r>
          </w:p>
        </w:tc>
        <w:tc>
          <w:tcPr>
            <w:tcW w:w="2552" w:type="dxa"/>
            <w:gridSpan w:val="3"/>
            <w:tcBorders>
              <w:top w:val="single" w:sz="6" w:space="0" w:color="auto"/>
              <w:left w:val="single" w:sz="6" w:space="0" w:color="auto"/>
              <w:bottom w:val="nil"/>
              <w:right w:val="single" w:sz="6" w:space="0" w:color="auto"/>
            </w:tcBorders>
          </w:tcPr>
          <w:p w:rsidR="00000000" w:rsidRDefault="00000000">
            <w:pPr>
              <w:spacing w:before="120" w:after="120" w:line="220" w:lineRule="exact"/>
              <w:jc w:val="center"/>
              <w:rPr>
                <w:b/>
                <w:sz w:val="18"/>
              </w:rPr>
            </w:pPr>
            <w:r>
              <w:rPr>
                <w:b/>
                <w:sz w:val="18"/>
              </w:rPr>
              <w:t>Контингент</w:t>
            </w:r>
          </w:p>
        </w:tc>
        <w:tc>
          <w:tcPr>
            <w:tcW w:w="1702" w:type="dxa"/>
            <w:gridSpan w:val="2"/>
            <w:tcBorders>
              <w:top w:val="single" w:sz="6" w:space="0" w:color="auto"/>
              <w:left w:val="single" w:sz="6" w:space="0" w:color="auto"/>
              <w:bottom w:val="nil"/>
              <w:right w:val="single" w:sz="6" w:space="0" w:color="auto"/>
            </w:tcBorders>
          </w:tcPr>
          <w:p w:rsidR="00000000" w:rsidRDefault="00000000">
            <w:pPr>
              <w:spacing w:before="120" w:after="120" w:line="220" w:lineRule="exact"/>
              <w:jc w:val="center"/>
              <w:rPr>
                <w:b/>
                <w:sz w:val="18"/>
              </w:rPr>
            </w:pPr>
            <w:r>
              <w:rPr>
                <w:b/>
                <w:sz w:val="18"/>
              </w:rPr>
              <w:t>Индекс роста</w:t>
            </w:r>
          </w:p>
        </w:tc>
        <w:tc>
          <w:tcPr>
            <w:tcW w:w="851" w:type="dxa"/>
            <w:vMerge w:val="restart"/>
            <w:tcBorders>
              <w:top w:val="single" w:sz="6" w:space="0" w:color="auto"/>
              <w:left w:val="single" w:sz="6" w:space="0" w:color="auto"/>
              <w:right w:val="single" w:sz="6" w:space="0" w:color="auto"/>
            </w:tcBorders>
          </w:tcPr>
          <w:p w:rsidR="00000000" w:rsidRDefault="00000000">
            <w:pPr>
              <w:spacing w:before="120" w:after="120" w:line="220" w:lineRule="exact"/>
              <w:jc w:val="center"/>
              <w:rPr>
                <w:b/>
                <w:sz w:val="18"/>
              </w:rPr>
            </w:pPr>
            <w:r>
              <w:rPr>
                <w:b/>
                <w:sz w:val="18"/>
              </w:rPr>
              <w:t>Процент-ная доля девушек</w:t>
            </w:r>
          </w:p>
        </w:tc>
      </w:tr>
      <w:tr w:rsidR="00000000">
        <w:tblPrEx>
          <w:tblCellMar>
            <w:top w:w="0" w:type="dxa"/>
            <w:bottom w:w="0" w:type="dxa"/>
          </w:tblCellMar>
        </w:tblPrEx>
        <w:trPr>
          <w:cantSplit/>
          <w:trHeight w:val="20"/>
          <w:jc w:val="center"/>
        </w:trPr>
        <w:tc>
          <w:tcPr>
            <w:tcW w:w="1132" w:type="dxa"/>
            <w:vMerge/>
            <w:tcBorders>
              <w:left w:val="single" w:sz="6" w:space="0" w:color="auto"/>
              <w:bottom w:val="nil"/>
              <w:right w:val="single" w:sz="6" w:space="0" w:color="auto"/>
            </w:tcBorders>
          </w:tcPr>
          <w:p w:rsidR="00000000" w:rsidRDefault="00000000">
            <w:pPr>
              <w:spacing w:before="120" w:after="120" w:line="220" w:lineRule="exact"/>
              <w:jc w:val="center"/>
              <w:rPr>
                <w:b/>
                <w:sz w:val="18"/>
              </w:rPr>
            </w:pPr>
          </w:p>
        </w:tc>
        <w:tc>
          <w:tcPr>
            <w:tcW w:w="850" w:type="dxa"/>
            <w:tcBorders>
              <w:top w:val="single" w:sz="6" w:space="0" w:color="auto"/>
              <w:left w:val="single" w:sz="6" w:space="0" w:color="auto"/>
              <w:bottom w:val="nil"/>
              <w:right w:val="single" w:sz="6" w:space="0" w:color="auto"/>
            </w:tcBorders>
          </w:tcPr>
          <w:p w:rsidR="00000000" w:rsidRDefault="00000000">
            <w:pPr>
              <w:spacing w:before="120" w:after="120" w:line="220" w:lineRule="exact"/>
              <w:jc w:val="center"/>
              <w:rPr>
                <w:b/>
                <w:sz w:val="18"/>
              </w:rPr>
            </w:pPr>
            <w:r>
              <w:rPr>
                <w:b/>
                <w:sz w:val="18"/>
              </w:rPr>
              <w:t>муж.</w:t>
            </w:r>
          </w:p>
        </w:tc>
        <w:tc>
          <w:tcPr>
            <w:tcW w:w="851" w:type="dxa"/>
            <w:tcBorders>
              <w:top w:val="single" w:sz="6" w:space="0" w:color="auto"/>
              <w:left w:val="single" w:sz="6" w:space="0" w:color="auto"/>
              <w:bottom w:val="nil"/>
              <w:right w:val="single" w:sz="6" w:space="0" w:color="auto"/>
            </w:tcBorders>
          </w:tcPr>
          <w:p w:rsidR="00000000" w:rsidRDefault="00000000">
            <w:pPr>
              <w:spacing w:before="120" w:after="120" w:line="220" w:lineRule="exact"/>
              <w:jc w:val="center"/>
              <w:rPr>
                <w:b/>
                <w:sz w:val="18"/>
              </w:rPr>
            </w:pPr>
            <w:r>
              <w:rPr>
                <w:b/>
                <w:sz w:val="18"/>
              </w:rPr>
              <w:t>жен.</w:t>
            </w:r>
          </w:p>
        </w:tc>
        <w:tc>
          <w:tcPr>
            <w:tcW w:w="851" w:type="dxa"/>
            <w:tcBorders>
              <w:top w:val="single" w:sz="6" w:space="0" w:color="auto"/>
              <w:left w:val="single" w:sz="6" w:space="0" w:color="auto"/>
              <w:bottom w:val="nil"/>
              <w:right w:val="single" w:sz="6" w:space="0" w:color="auto"/>
            </w:tcBorders>
          </w:tcPr>
          <w:p w:rsidR="00000000" w:rsidRDefault="00000000">
            <w:pPr>
              <w:spacing w:before="120" w:after="120" w:line="220" w:lineRule="exact"/>
              <w:jc w:val="center"/>
              <w:rPr>
                <w:b/>
                <w:sz w:val="18"/>
              </w:rPr>
            </w:pPr>
            <w:r>
              <w:rPr>
                <w:b/>
                <w:sz w:val="18"/>
              </w:rPr>
              <w:t>итого</w:t>
            </w:r>
          </w:p>
        </w:tc>
        <w:tc>
          <w:tcPr>
            <w:tcW w:w="851" w:type="dxa"/>
            <w:tcBorders>
              <w:top w:val="single" w:sz="6" w:space="0" w:color="auto"/>
              <w:left w:val="single" w:sz="6" w:space="0" w:color="auto"/>
              <w:bottom w:val="nil"/>
              <w:right w:val="single" w:sz="6" w:space="0" w:color="auto"/>
            </w:tcBorders>
          </w:tcPr>
          <w:p w:rsidR="00000000" w:rsidRDefault="00000000">
            <w:pPr>
              <w:spacing w:before="120" w:after="120" w:line="220" w:lineRule="exact"/>
              <w:jc w:val="center"/>
              <w:rPr>
                <w:b/>
                <w:sz w:val="18"/>
              </w:rPr>
            </w:pPr>
            <w:r>
              <w:rPr>
                <w:b/>
                <w:sz w:val="18"/>
              </w:rPr>
              <w:t>муж.</w:t>
            </w:r>
          </w:p>
        </w:tc>
        <w:tc>
          <w:tcPr>
            <w:tcW w:w="851" w:type="dxa"/>
            <w:tcBorders>
              <w:top w:val="single" w:sz="6" w:space="0" w:color="auto"/>
              <w:left w:val="single" w:sz="6" w:space="0" w:color="auto"/>
              <w:bottom w:val="nil"/>
              <w:right w:val="single" w:sz="6" w:space="0" w:color="auto"/>
            </w:tcBorders>
          </w:tcPr>
          <w:p w:rsidR="00000000" w:rsidRDefault="00000000">
            <w:pPr>
              <w:spacing w:before="120" w:after="120" w:line="220" w:lineRule="exact"/>
              <w:jc w:val="center"/>
              <w:rPr>
                <w:b/>
                <w:sz w:val="18"/>
              </w:rPr>
            </w:pPr>
            <w:r>
              <w:rPr>
                <w:b/>
                <w:sz w:val="18"/>
              </w:rPr>
              <w:t>жен.</w:t>
            </w:r>
          </w:p>
        </w:tc>
        <w:tc>
          <w:tcPr>
            <w:tcW w:w="851" w:type="dxa"/>
            <w:vMerge/>
            <w:tcBorders>
              <w:left w:val="single" w:sz="6" w:space="0" w:color="auto"/>
              <w:bottom w:val="nil"/>
              <w:right w:val="single" w:sz="6" w:space="0" w:color="auto"/>
            </w:tcBorders>
          </w:tcPr>
          <w:p w:rsidR="00000000" w:rsidRDefault="00000000">
            <w:pPr>
              <w:spacing w:before="120" w:after="120" w:line="220" w:lineRule="exact"/>
              <w:jc w:val="center"/>
              <w:rPr>
                <w:b/>
                <w:sz w:val="18"/>
                <w:lang w:val="en-US"/>
              </w:rPr>
            </w:pPr>
          </w:p>
        </w:tc>
      </w:tr>
      <w:tr w:rsidR="00000000">
        <w:tblPrEx>
          <w:tblCellMar>
            <w:top w:w="0" w:type="dxa"/>
            <w:bottom w:w="0" w:type="dxa"/>
          </w:tblCellMar>
        </w:tblPrEx>
        <w:trPr>
          <w:trHeight w:val="20"/>
          <w:jc w:val="center"/>
        </w:trPr>
        <w:tc>
          <w:tcPr>
            <w:tcW w:w="1132" w:type="dxa"/>
            <w:tcBorders>
              <w:top w:val="single" w:sz="6" w:space="0" w:color="auto"/>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1980/81</w:t>
            </w:r>
          </w:p>
        </w:tc>
        <w:tc>
          <w:tcPr>
            <w:tcW w:w="850" w:type="dxa"/>
            <w:tcBorders>
              <w:top w:val="single" w:sz="6" w:space="0" w:color="auto"/>
              <w:left w:val="single" w:sz="6" w:space="0" w:color="auto"/>
              <w:bottom w:val="nil"/>
              <w:right w:val="single" w:sz="6" w:space="0" w:color="auto"/>
            </w:tcBorders>
          </w:tcPr>
          <w:p w:rsidR="00000000" w:rsidRDefault="00000000">
            <w:pPr>
              <w:spacing w:before="120" w:after="120" w:line="220" w:lineRule="exact"/>
              <w:ind w:right="142"/>
              <w:jc w:val="right"/>
              <w:rPr>
                <w:sz w:val="18"/>
              </w:rPr>
            </w:pPr>
            <w:r>
              <w:rPr>
                <w:sz w:val="18"/>
              </w:rPr>
              <w:t>22 390</w:t>
            </w:r>
          </w:p>
        </w:tc>
        <w:tc>
          <w:tcPr>
            <w:tcW w:w="851" w:type="dxa"/>
            <w:tcBorders>
              <w:top w:val="single" w:sz="6" w:space="0" w:color="auto"/>
              <w:left w:val="single" w:sz="6" w:space="0" w:color="auto"/>
              <w:bottom w:val="nil"/>
              <w:right w:val="single" w:sz="6" w:space="0" w:color="auto"/>
            </w:tcBorders>
          </w:tcPr>
          <w:p w:rsidR="00000000" w:rsidRDefault="00000000">
            <w:pPr>
              <w:spacing w:before="120" w:after="120" w:line="220" w:lineRule="exact"/>
              <w:ind w:right="142"/>
              <w:jc w:val="right"/>
              <w:rPr>
                <w:sz w:val="18"/>
              </w:rPr>
            </w:pPr>
            <w:r>
              <w:rPr>
                <w:sz w:val="18"/>
              </w:rPr>
              <w:t>9 437</w:t>
            </w:r>
          </w:p>
        </w:tc>
        <w:tc>
          <w:tcPr>
            <w:tcW w:w="851" w:type="dxa"/>
            <w:tcBorders>
              <w:top w:val="single" w:sz="6" w:space="0" w:color="auto"/>
              <w:left w:val="single" w:sz="6" w:space="0" w:color="auto"/>
              <w:bottom w:val="nil"/>
              <w:right w:val="single" w:sz="6" w:space="0" w:color="auto"/>
            </w:tcBorders>
          </w:tcPr>
          <w:p w:rsidR="00000000" w:rsidRDefault="00000000">
            <w:pPr>
              <w:spacing w:before="120" w:after="120" w:line="220" w:lineRule="exact"/>
              <w:ind w:right="113"/>
              <w:jc w:val="right"/>
              <w:rPr>
                <w:sz w:val="18"/>
              </w:rPr>
            </w:pPr>
            <w:r>
              <w:rPr>
                <w:sz w:val="18"/>
              </w:rPr>
              <w:t>31 827</w:t>
            </w:r>
          </w:p>
        </w:tc>
        <w:tc>
          <w:tcPr>
            <w:tcW w:w="851" w:type="dxa"/>
            <w:tcBorders>
              <w:top w:val="single" w:sz="6" w:space="0" w:color="auto"/>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100</w:t>
            </w:r>
          </w:p>
        </w:tc>
        <w:tc>
          <w:tcPr>
            <w:tcW w:w="851" w:type="dxa"/>
            <w:tcBorders>
              <w:top w:val="single" w:sz="6" w:space="0" w:color="auto"/>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100</w:t>
            </w:r>
          </w:p>
        </w:tc>
        <w:tc>
          <w:tcPr>
            <w:tcW w:w="851" w:type="dxa"/>
            <w:tcBorders>
              <w:top w:val="single" w:sz="6" w:space="0" w:color="auto"/>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29,7</w:t>
            </w:r>
          </w:p>
        </w:tc>
      </w:tr>
      <w:tr w:rsidR="00000000">
        <w:tblPrEx>
          <w:tblCellMar>
            <w:top w:w="0" w:type="dxa"/>
            <w:bottom w:w="0" w:type="dxa"/>
          </w:tblCellMar>
        </w:tblPrEx>
        <w:trPr>
          <w:trHeight w:val="20"/>
          <w:jc w:val="center"/>
        </w:trPr>
        <w:tc>
          <w:tcPr>
            <w:tcW w:w="1132"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1985/86</w:t>
            </w:r>
          </w:p>
        </w:tc>
        <w:tc>
          <w:tcPr>
            <w:tcW w:w="850" w:type="dxa"/>
            <w:tcBorders>
              <w:top w:val="nil"/>
              <w:left w:val="single" w:sz="6" w:space="0" w:color="auto"/>
              <w:bottom w:val="nil"/>
              <w:right w:val="single" w:sz="6" w:space="0" w:color="auto"/>
            </w:tcBorders>
          </w:tcPr>
          <w:p w:rsidR="00000000" w:rsidRDefault="00000000">
            <w:pPr>
              <w:spacing w:before="120" w:after="120" w:line="220" w:lineRule="exact"/>
              <w:ind w:right="142"/>
              <w:jc w:val="right"/>
              <w:rPr>
                <w:sz w:val="18"/>
              </w:rPr>
            </w:pPr>
            <w:r>
              <w:rPr>
                <w:sz w:val="18"/>
              </w:rPr>
              <w:t>26 770</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ind w:right="142"/>
              <w:jc w:val="right"/>
              <w:rPr>
                <w:sz w:val="18"/>
              </w:rPr>
            </w:pPr>
            <w:r>
              <w:rPr>
                <w:sz w:val="18"/>
              </w:rPr>
              <w:t>14 824</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ind w:right="113"/>
              <w:jc w:val="right"/>
              <w:rPr>
                <w:sz w:val="18"/>
              </w:rPr>
            </w:pPr>
            <w:r>
              <w:rPr>
                <w:sz w:val="18"/>
              </w:rPr>
              <w:t>41 594</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120</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157</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35,6</w:t>
            </w:r>
          </w:p>
        </w:tc>
      </w:tr>
      <w:tr w:rsidR="00000000">
        <w:tblPrEx>
          <w:tblCellMar>
            <w:top w:w="0" w:type="dxa"/>
            <w:bottom w:w="0" w:type="dxa"/>
          </w:tblCellMar>
        </w:tblPrEx>
        <w:trPr>
          <w:trHeight w:val="20"/>
          <w:jc w:val="center"/>
        </w:trPr>
        <w:tc>
          <w:tcPr>
            <w:tcW w:w="1132"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1990/91</w:t>
            </w:r>
          </w:p>
        </w:tc>
        <w:tc>
          <w:tcPr>
            <w:tcW w:w="850" w:type="dxa"/>
            <w:tcBorders>
              <w:top w:val="nil"/>
              <w:left w:val="single" w:sz="6" w:space="0" w:color="auto"/>
              <w:bottom w:val="nil"/>
              <w:right w:val="single" w:sz="6" w:space="0" w:color="auto"/>
            </w:tcBorders>
          </w:tcPr>
          <w:p w:rsidR="00000000" w:rsidRDefault="00000000">
            <w:pPr>
              <w:spacing w:before="120" w:after="120" w:line="220" w:lineRule="exact"/>
              <w:ind w:right="142"/>
              <w:jc w:val="right"/>
              <w:rPr>
                <w:sz w:val="18"/>
              </w:rPr>
            </w:pPr>
            <w:r>
              <w:rPr>
                <w:sz w:val="18"/>
              </w:rPr>
              <w:t>41 546</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ind w:right="142"/>
              <w:jc w:val="right"/>
              <w:rPr>
                <w:sz w:val="18"/>
              </w:rPr>
            </w:pPr>
            <w:r>
              <w:rPr>
                <w:sz w:val="18"/>
              </w:rPr>
              <w:t>26 989</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ind w:right="113"/>
              <w:jc w:val="right"/>
              <w:rPr>
                <w:sz w:val="18"/>
              </w:rPr>
            </w:pPr>
            <w:r>
              <w:rPr>
                <w:sz w:val="18"/>
              </w:rPr>
              <w:t>68 535</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186</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286</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39,4</w:t>
            </w:r>
          </w:p>
        </w:tc>
      </w:tr>
      <w:tr w:rsidR="00000000">
        <w:tblPrEx>
          <w:tblCellMar>
            <w:top w:w="0" w:type="dxa"/>
            <w:bottom w:w="0" w:type="dxa"/>
          </w:tblCellMar>
        </w:tblPrEx>
        <w:trPr>
          <w:trHeight w:val="20"/>
          <w:jc w:val="center"/>
        </w:trPr>
        <w:tc>
          <w:tcPr>
            <w:tcW w:w="1132"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1995/96</w:t>
            </w:r>
          </w:p>
        </w:tc>
        <w:tc>
          <w:tcPr>
            <w:tcW w:w="850" w:type="dxa"/>
            <w:tcBorders>
              <w:top w:val="nil"/>
              <w:left w:val="single" w:sz="6" w:space="0" w:color="auto"/>
              <w:bottom w:val="nil"/>
              <w:right w:val="single" w:sz="6" w:space="0" w:color="auto"/>
            </w:tcBorders>
          </w:tcPr>
          <w:p w:rsidR="00000000" w:rsidRDefault="00000000">
            <w:pPr>
              <w:spacing w:before="120" w:after="120" w:line="220" w:lineRule="exact"/>
              <w:ind w:right="142"/>
              <w:jc w:val="right"/>
              <w:rPr>
                <w:sz w:val="18"/>
              </w:rPr>
            </w:pPr>
            <w:r>
              <w:rPr>
                <w:sz w:val="18"/>
              </w:rPr>
              <w:t>63 392</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ind w:right="142"/>
              <w:jc w:val="right"/>
              <w:rPr>
                <w:sz w:val="18"/>
              </w:rPr>
            </w:pPr>
            <w:r>
              <w:rPr>
                <w:sz w:val="18"/>
              </w:rPr>
              <w:t>49 242</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ind w:right="113"/>
              <w:jc w:val="right"/>
              <w:rPr>
                <w:sz w:val="18"/>
              </w:rPr>
            </w:pPr>
            <w:r>
              <w:rPr>
                <w:sz w:val="18"/>
              </w:rPr>
              <w:t>112 634</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283</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522</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43,7</w:t>
            </w:r>
          </w:p>
        </w:tc>
      </w:tr>
      <w:tr w:rsidR="00000000">
        <w:tblPrEx>
          <w:tblCellMar>
            <w:top w:w="0" w:type="dxa"/>
            <w:bottom w:w="0" w:type="dxa"/>
          </w:tblCellMar>
        </w:tblPrEx>
        <w:trPr>
          <w:trHeight w:val="20"/>
          <w:jc w:val="center"/>
        </w:trPr>
        <w:tc>
          <w:tcPr>
            <w:tcW w:w="1132"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1996/97</w:t>
            </w:r>
          </w:p>
        </w:tc>
        <w:tc>
          <w:tcPr>
            <w:tcW w:w="850" w:type="dxa"/>
            <w:tcBorders>
              <w:top w:val="nil"/>
              <w:left w:val="single" w:sz="6" w:space="0" w:color="auto"/>
              <w:bottom w:val="nil"/>
              <w:right w:val="single" w:sz="6" w:space="0" w:color="auto"/>
            </w:tcBorders>
          </w:tcPr>
          <w:p w:rsidR="00000000" w:rsidRDefault="00000000">
            <w:pPr>
              <w:spacing w:before="120" w:after="120" w:line="220" w:lineRule="exact"/>
              <w:ind w:right="142"/>
              <w:jc w:val="right"/>
              <w:rPr>
                <w:sz w:val="18"/>
              </w:rPr>
            </w:pPr>
            <w:r>
              <w:rPr>
                <w:sz w:val="18"/>
              </w:rPr>
              <w:t>67 509</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ind w:right="142"/>
              <w:jc w:val="right"/>
              <w:rPr>
                <w:sz w:val="18"/>
              </w:rPr>
            </w:pPr>
            <w:r>
              <w:rPr>
                <w:sz w:val="18"/>
              </w:rPr>
              <w:t>54 278</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ind w:right="113"/>
              <w:jc w:val="right"/>
              <w:rPr>
                <w:sz w:val="18"/>
              </w:rPr>
            </w:pPr>
            <w:r>
              <w:rPr>
                <w:sz w:val="18"/>
              </w:rPr>
              <w:t>121 787</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302</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575</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44,6</w:t>
            </w:r>
          </w:p>
        </w:tc>
      </w:tr>
      <w:tr w:rsidR="00000000">
        <w:tblPrEx>
          <w:tblCellMar>
            <w:top w:w="0" w:type="dxa"/>
            <w:bottom w:w="0" w:type="dxa"/>
          </w:tblCellMar>
        </w:tblPrEx>
        <w:trPr>
          <w:trHeight w:val="20"/>
          <w:jc w:val="center"/>
        </w:trPr>
        <w:tc>
          <w:tcPr>
            <w:tcW w:w="1132"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1997/98</w:t>
            </w:r>
          </w:p>
        </w:tc>
        <w:tc>
          <w:tcPr>
            <w:tcW w:w="850" w:type="dxa"/>
            <w:tcBorders>
              <w:top w:val="nil"/>
              <w:left w:val="single" w:sz="6" w:space="0" w:color="auto"/>
              <w:bottom w:val="nil"/>
              <w:right w:val="single" w:sz="6" w:space="0" w:color="auto"/>
            </w:tcBorders>
          </w:tcPr>
          <w:p w:rsidR="00000000" w:rsidRDefault="00000000">
            <w:pPr>
              <w:spacing w:before="120" w:after="120" w:line="220" w:lineRule="exact"/>
              <w:ind w:right="142"/>
              <w:jc w:val="right"/>
              <w:rPr>
                <w:sz w:val="18"/>
              </w:rPr>
            </w:pPr>
            <w:r>
              <w:rPr>
                <w:sz w:val="18"/>
              </w:rPr>
              <w:t>74 123</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ind w:right="142"/>
              <w:jc w:val="right"/>
              <w:rPr>
                <w:sz w:val="18"/>
              </w:rPr>
            </w:pPr>
            <w:r>
              <w:rPr>
                <w:sz w:val="18"/>
              </w:rPr>
              <w:t>62 901</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ind w:right="113"/>
              <w:jc w:val="right"/>
              <w:rPr>
                <w:sz w:val="18"/>
              </w:rPr>
            </w:pPr>
            <w:r>
              <w:rPr>
                <w:sz w:val="18"/>
              </w:rPr>
              <w:t>137 024</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331</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666</w:t>
            </w:r>
          </w:p>
        </w:tc>
        <w:tc>
          <w:tcPr>
            <w:tcW w:w="851" w:type="dxa"/>
            <w:tcBorders>
              <w:top w:val="nil"/>
              <w:left w:val="single" w:sz="6" w:space="0" w:color="auto"/>
              <w:bottom w:val="nil"/>
              <w:right w:val="single" w:sz="6" w:space="0" w:color="auto"/>
            </w:tcBorders>
          </w:tcPr>
          <w:p w:rsidR="00000000" w:rsidRDefault="00000000">
            <w:pPr>
              <w:spacing w:before="120" w:after="120" w:line="220" w:lineRule="exact"/>
              <w:jc w:val="center"/>
              <w:rPr>
                <w:sz w:val="18"/>
              </w:rPr>
            </w:pPr>
            <w:r>
              <w:rPr>
                <w:sz w:val="18"/>
              </w:rPr>
              <w:t>45,9</w:t>
            </w:r>
          </w:p>
        </w:tc>
      </w:tr>
      <w:tr w:rsidR="00000000">
        <w:tblPrEx>
          <w:tblCellMar>
            <w:top w:w="0" w:type="dxa"/>
            <w:bottom w:w="0" w:type="dxa"/>
          </w:tblCellMar>
        </w:tblPrEx>
        <w:trPr>
          <w:trHeight w:val="20"/>
          <w:jc w:val="center"/>
        </w:trPr>
        <w:tc>
          <w:tcPr>
            <w:tcW w:w="1132" w:type="dxa"/>
            <w:tcBorders>
              <w:top w:val="nil"/>
              <w:left w:val="single" w:sz="6" w:space="0" w:color="auto"/>
              <w:bottom w:val="single" w:sz="6" w:space="0" w:color="auto"/>
              <w:right w:val="single" w:sz="6" w:space="0" w:color="auto"/>
            </w:tcBorders>
          </w:tcPr>
          <w:p w:rsidR="00000000" w:rsidRDefault="00000000">
            <w:pPr>
              <w:spacing w:before="120" w:after="120" w:line="220" w:lineRule="exact"/>
              <w:jc w:val="center"/>
              <w:rPr>
                <w:sz w:val="18"/>
              </w:rPr>
            </w:pPr>
            <w:r>
              <w:rPr>
                <w:sz w:val="18"/>
              </w:rPr>
              <w:t>1998/99</w:t>
            </w:r>
          </w:p>
        </w:tc>
        <w:tc>
          <w:tcPr>
            <w:tcW w:w="850" w:type="dxa"/>
            <w:tcBorders>
              <w:top w:val="nil"/>
              <w:left w:val="single" w:sz="6" w:space="0" w:color="auto"/>
              <w:bottom w:val="single" w:sz="6" w:space="0" w:color="auto"/>
              <w:right w:val="single" w:sz="6" w:space="0" w:color="auto"/>
            </w:tcBorders>
          </w:tcPr>
          <w:p w:rsidR="00000000" w:rsidRDefault="00000000">
            <w:pPr>
              <w:spacing w:before="120" w:after="120" w:line="220" w:lineRule="exact"/>
              <w:ind w:right="142"/>
              <w:jc w:val="right"/>
              <w:rPr>
                <w:sz w:val="18"/>
              </w:rPr>
            </w:pPr>
            <w:r>
              <w:rPr>
                <w:sz w:val="18"/>
              </w:rPr>
              <w:t>80 196</w:t>
            </w:r>
          </w:p>
        </w:tc>
        <w:tc>
          <w:tcPr>
            <w:tcW w:w="851" w:type="dxa"/>
            <w:tcBorders>
              <w:top w:val="nil"/>
              <w:left w:val="single" w:sz="6" w:space="0" w:color="auto"/>
              <w:bottom w:val="single" w:sz="6" w:space="0" w:color="auto"/>
              <w:right w:val="single" w:sz="6" w:space="0" w:color="auto"/>
            </w:tcBorders>
          </w:tcPr>
          <w:p w:rsidR="00000000" w:rsidRDefault="00000000">
            <w:pPr>
              <w:spacing w:before="120" w:after="120" w:line="220" w:lineRule="exact"/>
              <w:ind w:right="142"/>
              <w:jc w:val="right"/>
              <w:rPr>
                <w:sz w:val="18"/>
              </w:rPr>
            </w:pPr>
            <w:r>
              <w:rPr>
                <w:sz w:val="18"/>
              </w:rPr>
              <w:t>74 924</w:t>
            </w:r>
          </w:p>
        </w:tc>
        <w:tc>
          <w:tcPr>
            <w:tcW w:w="851" w:type="dxa"/>
            <w:tcBorders>
              <w:top w:val="nil"/>
              <w:left w:val="single" w:sz="6" w:space="0" w:color="auto"/>
              <w:bottom w:val="single" w:sz="6" w:space="0" w:color="auto"/>
              <w:right w:val="single" w:sz="6" w:space="0" w:color="auto"/>
            </w:tcBorders>
          </w:tcPr>
          <w:p w:rsidR="00000000" w:rsidRDefault="00000000">
            <w:pPr>
              <w:spacing w:before="120" w:after="120" w:line="220" w:lineRule="exact"/>
              <w:ind w:right="113"/>
              <w:jc w:val="right"/>
              <w:rPr>
                <w:sz w:val="18"/>
              </w:rPr>
            </w:pPr>
            <w:r>
              <w:rPr>
                <w:sz w:val="18"/>
              </w:rPr>
              <w:t>155 120</w:t>
            </w:r>
          </w:p>
        </w:tc>
        <w:tc>
          <w:tcPr>
            <w:tcW w:w="851" w:type="dxa"/>
            <w:tcBorders>
              <w:top w:val="nil"/>
              <w:left w:val="single" w:sz="6" w:space="0" w:color="auto"/>
              <w:bottom w:val="single" w:sz="6" w:space="0" w:color="auto"/>
              <w:right w:val="single" w:sz="6" w:space="0" w:color="auto"/>
            </w:tcBorders>
          </w:tcPr>
          <w:p w:rsidR="00000000" w:rsidRDefault="00000000">
            <w:pPr>
              <w:spacing w:before="120" w:after="120" w:line="220" w:lineRule="exact"/>
              <w:jc w:val="center"/>
              <w:rPr>
                <w:sz w:val="18"/>
              </w:rPr>
            </w:pPr>
            <w:r>
              <w:rPr>
                <w:sz w:val="18"/>
              </w:rPr>
              <w:t>358</w:t>
            </w:r>
          </w:p>
        </w:tc>
        <w:tc>
          <w:tcPr>
            <w:tcW w:w="851" w:type="dxa"/>
            <w:tcBorders>
              <w:top w:val="nil"/>
              <w:left w:val="single" w:sz="6" w:space="0" w:color="auto"/>
              <w:bottom w:val="single" w:sz="6" w:space="0" w:color="auto"/>
              <w:right w:val="single" w:sz="6" w:space="0" w:color="auto"/>
            </w:tcBorders>
          </w:tcPr>
          <w:p w:rsidR="00000000" w:rsidRDefault="00000000">
            <w:pPr>
              <w:spacing w:before="120" w:after="120" w:line="220" w:lineRule="exact"/>
              <w:jc w:val="center"/>
              <w:rPr>
                <w:sz w:val="18"/>
              </w:rPr>
            </w:pPr>
            <w:r>
              <w:rPr>
                <w:sz w:val="18"/>
              </w:rPr>
              <w:t>793</w:t>
            </w:r>
          </w:p>
        </w:tc>
        <w:tc>
          <w:tcPr>
            <w:tcW w:w="851" w:type="dxa"/>
            <w:tcBorders>
              <w:top w:val="nil"/>
              <w:left w:val="single" w:sz="6" w:space="0" w:color="auto"/>
              <w:bottom w:val="single" w:sz="6" w:space="0" w:color="auto"/>
              <w:right w:val="single" w:sz="6" w:space="0" w:color="auto"/>
            </w:tcBorders>
          </w:tcPr>
          <w:p w:rsidR="00000000" w:rsidRDefault="00000000">
            <w:pPr>
              <w:spacing w:before="120" w:after="120" w:line="220" w:lineRule="exact"/>
              <w:jc w:val="center"/>
              <w:rPr>
                <w:sz w:val="18"/>
              </w:rPr>
            </w:pPr>
            <w:r>
              <w:rPr>
                <w:sz w:val="18"/>
              </w:rPr>
              <w:t>48,3</w:t>
            </w:r>
          </w:p>
        </w:tc>
      </w:tr>
    </w:tbl>
    <w:p w:rsidR="00000000" w:rsidRDefault="00000000">
      <w:pPr>
        <w:spacing w:before="120" w:line="220" w:lineRule="exact"/>
        <w:ind w:right="1707"/>
        <w:jc w:val="right"/>
        <w:rPr>
          <w:b/>
          <w:sz w:val="18"/>
        </w:rPr>
      </w:pPr>
      <w:r>
        <w:rPr>
          <w:b/>
          <w:sz w:val="18"/>
        </w:rPr>
        <w:t>Источник: Министерство образования и науки</w:t>
      </w:r>
    </w:p>
    <w:p w:rsidR="00000000" w:rsidRDefault="00000000">
      <w:r>
        <w:t>550.</w:t>
      </w:r>
      <w:r>
        <w:tab/>
        <w:t>С 1980 по 1998 год женский контингент вырос в 7,9 раза, тогда как темпы роста мужского контингента, который увеличился только в 3,5 раза, были в два раза медленнее. Темпы роста женского контингента значительно увеличились особенно в период с 1990 по 2000 год до достижения женским контингентом в 1999/2000 учебном году 50,4 процента, то есть полного паритета.</w:t>
      </w:r>
    </w:p>
    <w:p w:rsidR="00000000" w:rsidRDefault="00000000">
      <w:pPr>
        <w:spacing w:before="120"/>
        <w:rPr>
          <w:b/>
        </w:rPr>
      </w:pPr>
      <w:r>
        <w:rPr>
          <w:b/>
        </w:rPr>
        <w:t>Ориентация</w:t>
      </w:r>
    </w:p>
    <w:p w:rsidR="00000000" w:rsidRDefault="00000000">
      <w:pPr>
        <w:spacing w:after="360"/>
      </w:pPr>
      <w:r>
        <w:t xml:space="preserve">551. </w:t>
      </w:r>
      <w:r>
        <w:rPr>
          <w:lang w:val="en-US"/>
        </w:rPr>
        <w:tab/>
      </w:r>
      <w:r>
        <w:t>Хотя доступ в университет является правом, гарантированным всем лицам, имеющим степень бакалавра, выбор профиля обучения осуществляется с помощью национальной системы ориентации, задача которой – обеспечить наилучшим образом и на основе имеющихся заслуг удовлетворение желаний абитуриента (после консультации с советниками по ориентации) в сочетании с учетом потребностей национальной экономики, что находит свое выражение в наличии вакансий в учреждениях и на предприятиях. Эта система, предполагающая абсолютную открытость, за последние годы была усовершенствована и в нее были внесены коррективы, устранившие имевшиеся недостатки. Это – введение систем квот, зарезервированных во всех профилях обучения за каждым типом экзамена на степень бакалавра; организация нескольких туров, чтобы помочь абитуриентам продумать свой выбор; предоставление льгот для поощрения студентов, выбирающих учебные заведения, близко расположенные к их месту жительства (мера, поощряющая девушек из внутренних районов страны продолжать свое обучение в близлежащих городах).</w:t>
      </w:r>
    </w:p>
    <w:p w:rsidR="00000000" w:rsidRDefault="00000000">
      <w:pPr>
        <w:spacing w:after="360"/>
      </w:pPr>
      <w:r>
        <w:t>552.</w:t>
      </w:r>
      <w:r>
        <w:tab/>
        <w:t>Обеспечение для представителей обоих полов равных возможностей обучаться в учебных заведениях неотделимо от стремления обеспечить равенство на уровне различных типов и профилей как среднего, так и высшего образования.</w:t>
      </w:r>
    </w:p>
    <w:p w:rsidR="00000000" w:rsidRDefault="00000000">
      <w:pPr>
        <w:jc w:val="center"/>
        <w:rPr>
          <w:b/>
        </w:rPr>
      </w:pPr>
      <w:r>
        <w:rPr>
          <w:b/>
        </w:rPr>
        <w:t xml:space="preserve">Динамика получения дипломов об окончании высшего учебного заведения </w:t>
      </w:r>
      <w:r>
        <w:rPr>
          <w:b/>
        </w:rPr>
        <w:br/>
        <w:t>в разбивке по специальностям и полу</w:t>
      </w:r>
    </w:p>
    <w:tbl>
      <w:tblPr>
        <w:tblW w:w="0" w:type="auto"/>
        <w:jc w:val="center"/>
        <w:tblLayout w:type="fixed"/>
        <w:tblCellMar>
          <w:left w:w="40" w:type="dxa"/>
          <w:right w:w="40" w:type="dxa"/>
        </w:tblCellMar>
        <w:tblLook w:val="0000" w:firstRow="0" w:lastRow="0" w:firstColumn="0" w:lastColumn="0" w:noHBand="0" w:noVBand="0"/>
      </w:tblPr>
      <w:tblGrid>
        <w:gridCol w:w="1964"/>
        <w:gridCol w:w="1309"/>
        <w:gridCol w:w="1308"/>
        <w:gridCol w:w="1308"/>
        <w:gridCol w:w="1308"/>
        <w:gridCol w:w="1308"/>
      </w:tblGrid>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b/>
                <w:sz w:val="18"/>
              </w:rPr>
            </w:pPr>
            <w:r>
              <w:rPr>
                <w:b/>
                <w:sz w:val="18"/>
              </w:rPr>
              <w:t>Специализация</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1992/93</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1993/94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1994/95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1995/96</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1996/97</w:t>
            </w:r>
          </w:p>
        </w:tc>
      </w:tr>
      <w:tr w:rsidR="00000000">
        <w:tblPrEx>
          <w:tblCellMar>
            <w:top w:w="0" w:type="dxa"/>
            <w:bottom w:w="0" w:type="dxa"/>
          </w:tblCellMar>
        </w:tblPrEx>
        <w:trPr>
          <w:cantSplit/>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p>
        </w:tc>
        <w:tc>
          <w:tcPr>
            <w:tcW w:w="6541"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 Фундаментальные науки</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Всего дипломов</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554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1119</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1265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1748</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 том числе девушки</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161</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259</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312</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345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629</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процентная доля девушек</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29,1</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31</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27,9</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27,3</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36</w:t>
            </w:r>
          </w:p>
        </w:tc>
      </w:tr>
      <w:tr w:rsidR="00000000">
        <w:tblPrEx>
          <w:tblCellMar>
            <w:top w:w="0" w:type="dxa"/>
            <w:bottom w:w="0" w:type="dxa"/>
          </w:tblCellMar>
        </w:tblPrEx>
        <w:trPr>
          <w:cantSplit/>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p>
        </w:tc>
        <w:tc>
          <w:tcPr>
            <w:tcW w:w="6541"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2. Технические науки</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Всего дипломов</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1 326</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1 324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1 411</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1 317</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1 443</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 том числе девушки</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164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167</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241</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201</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230</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процентная доля девушек</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12,6</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17,1</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15,3</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15,9</w:t>
            </w:r>
          </w:p>
        </w:tc>
      </w:tr>
      <w:tr w:rsidR="00000000">
        <w:tblPrEx>
          <w:tblCellMar>
            <w:top w:w="0" w:type="dxa"/>
            <w:bottom w:w="0" w:type="dxa"/>
          </w:tblCellMar>
        </w:tblPrEx>
        <w:trPr>
          <w:cantSplit/>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p>
        </w:tc>
        <w:tc>
          <w:tcPr>
            <w:tcW w:w="6541"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3. Филология и гуманитарные науки</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Всего дипломов</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3 265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4 082</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4 514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5 005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5 278</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 том числе девушки</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1 737</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2 128</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2 415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2 616</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2 718</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процентная доля девушек</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53,2</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52,1</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53,5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52,3</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51,5</w:t>
            </w:r>
          </w:p>
        </w:tc>
      </w:tr>
      <w:tr w:rsidR="00000000">
        <w:tblPrEx>
          <w:tblCellMar>
            <w:top w:w="0" w:type="dxa"/>
            <w:bottom w:w="0" w:type="dxa"/>
          </w:tblCellMar>
        </w:tblPrEx>
        <w:trPr>
          <w:cantSplit/>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p>
        </w:tc>
        <w:tc>
          <w:tcPr>
            <w:tcW w:w="6541"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4. Юридические науки, экономические науки и управление</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Всего дипломов</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3 177</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3 681</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4 243</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4 504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5 513</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 том числе девушки</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1 277</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1 555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1 741</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1 864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2 240</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процентная доля девушек</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40,2</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42,2</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41,0</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41,4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40,6</w:t>
            </w:r>
          </w:p>
        </w:tc>
      </w:tr>
      <w:tr w:rsidR="00000000">
        <w:tblPrEx>
          <w:tblCellMar>
            <w:top w:w="0" w:type="dxa"/>
            <w:bottom w:w="0" w:type="dxa"/>
          </w:tblCellMar>
        </w:tblPrEx>
        <w:trPr>
          <w:cantSplit/>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p>
        </w:tc>
        <w:tc>
          <w:tcPr>
            <w:tcW w:w="6541"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5. Медицинские и биологические науки</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Всего дипломов</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1 412</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1 508</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1 712</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1 946</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1 275</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 том числе девушки</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829</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972</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1134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757</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процентная доля девушек</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58,7</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56,0</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57,0</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58,3</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59,4</w:t>
            </w:r>
          </w:p>
        </w:tc>
      </w:tr>
      <w:tr w:rsidR="00000000">
        <w:tblPrEx>
          <w:tblCellMar>
            <w:top w:w="0" w:type="dxa"/>
            <w:bottom w:w="0" w:type="dxa"/>
          </w:tblCellMar>
        </w:tblPrEx>
        <w:trPr>
          <w:cantSplit/>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p>
        </w:tc>
        <w:tc>
          <w:tcPr>
            <w:tcW w:w="6541"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6. Агрономические науки</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Всего дипломов</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330</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224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395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510</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342</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 том числе девушки</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81</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60</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126</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175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111</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процентная доля девушек</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24,5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26,8</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31,9</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34,3</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32,5</w:t>
            </w:r>
          </w:p>
        </w:tc>
      </w:tr>
      <w:tr w:rsidR="00000000">
        <w:tblPrEx>
          <w:tblCellMar>
            <w:top w:w="0" w:type="dxa"/>
            <w:bottom w:w="0" w:type="dxa"/>
          </w:tblCellMar>
        </w:tblPrEx>
        <w:trPr>
          <w:cantSplit/>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p>
        </w:tc>
        <w:tc>
          <w:tcPr>
            <w:tcW w:w="6541"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По всем специальностям</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Всего дипломов</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10 064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11 654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13 649</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14 565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15 599</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в том числе девушки</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4 249</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5 014</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5 810</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6 335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6 685</w:t>
            </w:r>
          </w:p>
        </w:tc>
      </w:tr>
      <w:tr w:rsidR="00000000">
        <w:tblPrEx>
          <w:tblCellMar>
            <w:top w:w="0" w:type="dxa"/>
            <w:bottom w:w="0" w:type="dxa"/>
          </w:tblCellMar>
        </w:tblPrEx>
        <w:trPr>
          <w:trHeight w:val="20"/>
          <w:jc w:val="center"/>
        </w:trPr>
        <w:tc>
          <w:tcPr>
            <w:tcW w:w="1964" w:type="dxa"/>
            <w:tcBorders>
              <w:top w:val="single" w:sz="6" w:space="0" w:color="auto"/>
              <w:left w:val="single" w:sz="6" w:space="0" w:color="auto"/>
              <w:bottom w:val="single" w:sz="6" w:space="0" w:color="auto"/>
              <w:right w:val="single" w:sz="6" w:space="0" w:color="auto"/>
            </w:tcBorders>
          </w:tcPr>
          <w:p w:rsidR="00000000" w:rsidRDefault="00000000">
            <w:pPr>
              <w:spacing w:before="40" w:after="80" w:line="220" w:lineRule="exact"/>
              <w:jc w:val="left"/>
              <w:rPr>
                <w:sz w:val="18"/>
              </w:rPr>
            </w:pPr>
            <w:r>
              <w:rPr>
                <w:sz w:val="18"/>
              </w:rPr>
              <w:t>процентная доля девушек</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40" w:after="80" w:line="220" w:lineRule="exact"/>
              <w:jc w:val="center"/>
              <w:rPr>
                <w:sz w:val="18"/>
              </w:rPr>
            </w:pPr>
            <w:r>
              <w:rPr>
                <w:sz w:val="18"/>
              </w:rPr>
              <w:t>42,2</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80" w:line="220" w:lineRule="exact"/>
              <w:jc w:val="center"/>
              <w:rPr>
                <w:sz w:val="18"/>
              </w:rPr>
            </w:pPr>
            <w:r>
              <w:rPr>
                <w:sz w:val="18"/>
              </w:rPr>
              <w:t>43,0</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80" w:line="220" w:lineRule="exact"/>
              <w:jc w:val="center"/>
              <w:rPr>
                <w:sz w:val="18"/>
              </w:rPr>
            </w:pPr>
            <w:r>
              <w:rPr>
                <w:sz w:val="18"/>
              </w:rPr>
              <w:t>42,6</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80" w:line="220" w:lineRule="exact"/>
              <w:jc w:val="center"/>
              <w:rPr>
                <w:sz w:val="18"/>
              </w:rPr>
            </w:pPr>
            <w:r>
              <w:rPr>
                <w:sz w:val="18"/>
              </w:rPr>
              <w:t>43,5</w:t>
            </w:r>
          </w:p>
        </w:tc>
        <w:tc>
          <w:tcPr>
            <w:tcW w:w="1308" w:type="dxa"/>
            <w:tcBorders>
              <w:top w:val="single" w:sz="6" w:space="0" w:color="auto"/>
              <w:left w:val="single" w:sz="6" w:space="0" w:color="auto"/>
              <w:bottom w:val="single" w:sz="6" w:space="0" w:color="auto"/>
              <w:right w:val="single" w:sz="6" w:space="0" w:color="auto"/>
            </w:tcBorders>
          </w:tcPr>
          <w:p w:rsidR="00000000" w:rsidRDefault="00000000">
            <w:pPr>
              <w:spacing w:before="40" w:after="80" w:line="220" w:lineRule="exact"/>
              <w:jc w:val="center"/>
              <w:rPr>
                <w:sz w:val="18"/>
              </w:rPr>
            </w:pPr>
            <w:r>
              <w:rPr>
                <w:sz w:val="18"/>
              </w:rPr>
              <w:t>42,4</w:t>
            </w:r>
          </w:p>
        </w:tc>
      </w:tr>
    </w:tbl>
    <w:p w:rsidR="00000000" w:rsidRDefault="00000000">
      <w:pPr>
        <w:spacing w:before="120"/>
        <w:ind w:right="573"/>
        <w:jc w:val="right"/>
        <w:rPr>
          <w:b/>
          <w:sz w:val="18"/>
        </w:rPr>
      </w:pPr>
      <w:r>
        <w:rPr>
          <w:b/>
          <w:sz w:val="18"/>
        </w:rPr>
        <w:t>Источник: Министерство образования и науки</w:t>
      </w:r>
    </w:p>
    <w:p w:rsidR="00000000" w:rsidRDefault="00000000">
      <w:r>
        <w:t>553.</w:t>
      </w:r>
      <w:r>
        <w:tab/>
        <w:t>Что касается распределения по профилю, следует отметить, что в период между 1980/81 учебным годом и 1997/98 учебным годом доля женского контингента значительно выросла по всем специальностям, и особенно в области филологии, гуманитарных, медицинских, юридических и экономических наук.</w:t>
      </w:r>
    </w:p>
    <w:p w:rsidR="00000000" w:rsidRDefault="00000000">
      <w:pPr>
        <w:spacing w:after="120"/>
        <w:rPr>
          <w:b/>
        </w:rPr>
      </w:pPr>
      <w:r>
        <w:rPr>
          <w:b/>
        </w:rPr>
        <w:t>Доступ к получению дипломов</w:t>
      </w:r>
    </w:p>
    <w:p w:rsidR="00000000" w:rsidRDefault="00000000">
      <w:r>
        <w:t>554.</w:t>
      </w:r>
      <w:r>
        <w:tab/>
        <w:t xml:space="preserve">Из таблицы, выше, следует, что девушки все чаще выбирают научную и техническую специализацию. В период между 1992/93 учебным годом и 1996/97 учебным годом их доля в области фундаментальных наук выросла с 29,1 процента до 36 процентов, агрономических наук – с 24,5 процента до 32,5 процента и технических наук – с 12,4 процента до 15,9 процента. Переориентация девушек, начатая в рамках среднего образования, получает отражение в высшем образовании, так что непрерывно растет процентная доля девушек, специализирующихся по фундаментальным и техническим наукам. </w:t>
      </w:r>
    </w:p>
    <w:p w:rsidR="00000000" w:rsidRDefault="00000000">
      <w:pPr>
        <w:spacing w:after="180"/>
        <w:rPr>
          <w:b/>
        </w:rPr>
      </w:pPr>
      <w:r>
        <w:rPr>
          <w:b/>
        </w:rPr>
        <w:t>Доступ к университетским пособиям и льготам</w:t>
      </w:r>
    </w:p>
    <w:p w:rsidR="00000000" w:rsidRDefault="00000000">
      <w:r>
        <w:t>555.</w:t>
      </w:r>
      <w:r>
        <w:tab/>
        <w:t>Что касается университетских пособий и льгот, девушки получают почти в одинаковой пропорции с юношами стипендии и университетские ссуды, которые выдаются в соответствии с потребностями студентов и возможностями Министерства высшего образования. Условия проживания в общежитиях для девушек несколько более благоприятны по сравнению с юношами вследствие так называемой позитивной дискриминации в этой области.</w:t>
      </w:r>
    </w:p>
    <w:p w:rsidR="00000000" w:rsidRDefault="00000000">
      <w:pPr>
        <w:spacing w:after="40"/>
      </w:pPr>
      <w:r>
        <w:t>556.</w:t>
      </w:r>
      <w:r>
        <w:tab/>
        <w:t xml:space="preserve">В 1998/99 учебном году общее число студентов, проживающих в общежитиях, составляло 45 061, из них 27 099 человек – девушки (то есть 60,1 процента). Распределение студентов по срокам проживания в общежитиях показывает, что девушки находятся в гораздо лучшем положении по сравнению с юношами: </w:t>
      </w:r>
    </w:p>
    <w:p w:rsidR="00000000" w:rsidRDefault="00000000">
      <w:pPr>
        <w:tabs>
          <w:tab w:val="clear" w:pos="1021"/>
          <w:tab w:val="left" w:pos="1276"/>
        </w:tabs>
        <w:spacing w:after="40"/>
      </w:pPr>
      <w:r>
        <w:tab/>
        <w:t>58,41</w:t>
      </w:r>
      <w:r>
        <w:tab/>
        <w:t>процента студентов проживают в общежитиях первый год (в том числе 53,1 процента девушки;</w:t>
      </w:r>
    </w:p>
    <w:p w:rsidR="00000000" w:rsidRDefault="00000000">
      <w:pPr>
        <w:tabs>
          <w:tab w:val="clear" w:pos="1021"/>
          <w:tab w:val="left" w:pos="1276"/>
        </w:tabs>
        <w:spacing w:after="40"/>
      </w:pPr>
      <w:r>
        <w:tab/>
        <w:t>28,55 </w:t>
      </w:r>
      <w:r>
        <w:tab/>
        <w:t>процента проживают второй год (в том числе 64,5 процента девушки);</w:t>
      </w:r>
    </w:p>
    <w:p w:rsidR="00000000" w:rsidRDefault="00000000">
      <w:pPr>
        <w:tabs>
          <w:tab w:val="clear" w:pos="1021"/>
          <w:tab w:val="left" w:pos="1276"/>
        </w:tabs>
        <w:spacing w:after="40"/>
      </w:pPr>
      <w:r>
        <w:tab/>
        <w:t>10,02 </w:t>
      </w:r>
      <w:r>
        <w:tab/>
        <w:t>процента проживают третий год (в том числе 82,6 процента девушки);</w:t>
      </w:r>
    </w:p>
    <w:p w:rsidR="00000000" w:rsidRDefault="00000000">
      <w:pPr>
        <w:tabs>
          <w:tab w:val="clear" w:pos="1021"/>
          <w:tab w:val="left" w:pos="1276"/>
        </w:tabs>
        <w:spacing w:after="40"/>
      </w:pPr>
      <w:r>
        <w:tab/>
        <w:t>2,72 </w:t>
      </w:r>
      <w:r>
        <w:tab/>
        <w:t>процента проживают четвертый год (в том числе 80,4 процента девушки);</w:t>
      </w:r>
    </w:p>
    <w:p w:rsidR="00000000" w:rsidRDefault="00000000">
      <w:pPr>
        <w:tabs>
          <w:tab w:val="clear" w:pos="1021"/>
          <w:tab w:val="left" w:pos="1276"/>
        </w:tabs>
      </w:pPr>
      <w:r>
        <w:tab/>
        <w:t>0,30 </w:t>
      </w:r>
      <w:r>
        <w:tab/>
        <w:t>процента проживают пятый год (в том числе 79,7 процента девушки).</w:t>
      </w:r>
    </w:p>
    <w:p w:rsidR="00000000" w:rsidRDefault="00000000">
      <w:pPr>
        <w:spacing w:after="180"/>
        <w:rPr>
          <w:b/>
        </w:rPr>
      </w:pPr>
      <w:r>
        <w:rPr>
          <w:b/>
        </w:rPr>
        <w:t>Отсев из высших учебных заведений</w:t>
      </w:r>
    </w:p>
    <w:p w:rsidR="00000000" w:rsidRDefault="00000000">
      <w:pPr>
        <w:spacing w:after="120"/>
      </w:pPr>
      <w:r>
        <w:t>557.</w:t>
      </w:r>
      <w:r>
        <w:tab/>
        <w:t>Процент отсева за последние годы значительно сократился в результате повышения внутренней эффективности системы, поскольку существуют возрастные ограничения в праве поступления в высшее учебное заведение. Таблица, ниже, показывает динамику отсева из университетов в 1994/95 и 1995/96 учебных годах. Отсюда следует, что показатель отсева снижается и наименьшим является у девушек на первом, втором и третьем годах обучения.</w:t>
      </w:r>
    </w:p>
    <w:p w:rsidR="00000000" w:rsidRDefault="00000000">
      <w:pPr>
        <w:spacing w:after="120"/>
        <w:jc w:val="center"/>
        <w:rPr>
          <w:b/>
        </w:rPr>
      </w:pPr>
      <w:r>
        <w:rPr>
          <w:b/>
        </w:rPr>
        <w:t>Отсев студентов из высших учебных заведений</w:t>
      </w:r>
    </w:p>
    <w:tbl>
      <w:tblPr>
        <w:tblW w:w="0" w:type="auto"/>
        <w:jc w:val="center"/>
        <w:tblLayout w:type="fixed"/>
        <w:tblCellMar>
          <w:left w:w="40" w:type="dxa"/>
          <w:right w:w="40" w:type="dxa"/>
        </w:tblCellMar>
        <w:tblLook w:val="0000" w:firstRow="0" w:lastRow="0" w:firstColumn="0" w:lastColumn="0" w:noHBand="0" w:noVBand="0"/>
      </w:tblPr>
      <w:tblGrid>
        <w:gridCol w:w="1557"/>
        <w:gridCol w:w="936"/>
        <w:gridCol w:w="1020"/>
        <w:gridCol w:w="1021"/>
        <w:gridCol w:w="1021"/>
        <w:gridCol w:w="1021"/>
        <w:gridCol w:w="1021"/>
        <w:gridCol w:w="1021"/>
        <w:gridCol w:w="1021"/>
      </w:tblGrid>
      <w:tr w:rsidR="00000000">
        <w:tblPrEx>
          <w:tblCellMar>
            <w:top w:w="0" w:type="dxa"/>
            <w:bottom w:w="0" w:type="dxa"/>
          </w:tblCellMar>
        </w:tblPrEx>
        <w:trPr>
          <w:cantSplit/>
          <w:trHeight w:val="20"/>
          <w:jc w:val="center"/>
        </w:trPr>
        <w:tc>
          <w:tcPr>
            <w:tcW w:w="5555"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1994/95 учебный год</w:t>
            </w:r>
          </w:p>
        </w:tc>
        <w:tc>
          <w:tcPr>
            <w:tcW w:w="4084" w:type="dxa"/>
            <w:gridSpan w:val="4"/>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1995/96 учебный год</w:t>
            </w:r>
          </w:p>
        </w:tc>
      </w:tr>
      <w:tr w:rsidR="00000000">
        <w:tblPrEx>
          <w:tblCellMar>
            <w:top w:w="0" w:type="dxa"/>
            <w:bottom w:w="0" w:type="dxa"/>
          </w:tblCellMar>
        </w:tblPrEx>
        <w:trPr>
          <w:cantSplit/>
          <w:trHeight w:val="20"/>
          <w:jc w:val="center"/>
        </w:trPr>
        <w:tc>
          <w:tcPr>
            <w:tcW w:w="1557"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rPr>
                <w:sz w:val="16"/>
              </w:rPr>
            </w:pPr>
          </w:p>
        </w:tc>
        <w:tc>
          <w:tcPr>
            <w:tcW w:w="195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юноши</w:t>
            </w:r>
          </w:p>
        </w:tc>
        <w:tc>
          <w:tcPr>
            <w:tcW w:w="204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девушки</w:t>
            </w:r>
          </w:p>
        </w:tc>
        <w:tc>
          <w:tcPr>
            <w:tcW w:w="204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юноши</w:t>
            </w:r>
          </w:p>
        </w:tc>
        <w:tc>
          <w:tcPr>
            <w:tcW w:w="204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девушки</w:t>
            </w:r>
          </w:p>
        </w:tc>
      </w:tr>
      <w:tr w:rsidR="00000000">
        <w:tblPrEx>
          <w:tblCellMar>
            <w:top w:w="0" w:type="dxa"/>
            <w:bottom w:w="0" w:type="dxa"/>
          </w:tblCellMar>
        </w:tblPrEx>
        <w:trPr>
          <w:trHeight w:val="20"/>
          <w:jc w:val="center"/>
        </w:trPr>
        <w:tc>
          <w:tcPr>
            <w:tcW w:w="1557"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rPr>
                <w:sz w:val="16"/>
              </w:rPr>
            </w:pP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отсев</w:t>
            </w:r>
          </w:p>
        </w:tc>
        <w:tc>
          <w:tcPr>
            <w:tcW w:w="1020"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ind w:right="-57"/>
              <w:jc w:val="center"/>
              <w:rPr>
                <w:b/>
                <w:sz w:val="16"/>
              </w:rPr>
            </w:pPr>
            <w:r>
              <w:rPr>
                <w:b/>
                <w:sz w:val="16"/>
              </w:rPr>
              <w:t>показатель отсева</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отсев</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ind w:right="-57"/>
              <w:jc w:val="center"/>
              <w:rPr>
                <w:b/>
                <w:sz w:val="16"/>
              </w:rPr>
            </w:pPr>
            <w:r>
              <w:rPr>
                <w:b/>
                <w:sz w:val="16"/>
              </w:rPr>
              <w:t>показатель отсева</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отсев</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ind w:right="-57"/>
              <w:jc w:val="center"/>
              <w:rPr>
                <w:b/>
                <w:sz w:val="16"/>
              </w:rPr>
            </w:pPr>
            <w:r>
              <w:rPr>
                <w:b/>
                <w:sz w:val="16"/>
              </w:rPr>
              <w:t>показатель отсева</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отсев</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ind w:right="-57"/>
              <w:jc w:val="center"/>
              <w:rPr>
                <w:b/>
                <w:sz w:val="16"/>
              </w:rPr>
            </w:pPr>
            <w:r>
              <w:rPr>
                <w:b/>
                <w:sz w:val="16"/>
              </w:rPr>
              <w:t>показатель отсева</w:t>
            </w:r>
          </w:p>
        </w:tc>
      </w:tr>
      <w:tr w:rsidR="00000000">
        <w:tblPrEx>
          <w:tblCellMar>
            <w:top w:w="0" w:type="dxa"/>
            <w:bottom w:w="0" w:type="dxa"/>
          </w:tblCellMar>
        </w:tblPrEx>
        <w:trPr>
          <w:trHeight w:val="20"/>
          <w:jc w:val="center"/>
        </w:trPr>
        <w:tc>
          <w:tcPr>
            <w:tcW w:w="1557"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left"/>
              <w:rPr>
                <w:b/>
                <w:sz w:val="16"/>
              </w:rPr>
            </w:pPr>
            <w:r>
              <w:rPr>
                <w:b/>
                <w:sz w:val="16"/>
              </w:rPr>
              <w:t>1-й год обучения*</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2 236</w:t>
            </w:r>
          </w:p>
        </w:tc>
        <w:tc>
          <w:tcPr>
            <w:tcW w:w="1020"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6,6%</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1 411</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5%</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2 133</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5,8%</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1 407</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4,6%</w:t>
            </w:r>
          </w:p>
        </w:tc>
      </w:tr>
      <w:tr w:rsidR="00000000">
        <w:tblPrEx>
          <w:tblCellMar>
            <w:top w:w="0" w:type="dxa"/>
            <w:bottom w:w="0" w:type="dxa"/>
          </w:tblCellMar>
        </w:tblPrEx>
        <w:trPr>
          <w:trHeight w:val="20"/>
          <w:jc w:val="center"/>
        </w:trPr>
        <w:tc>
          <w:tcPr>
            <w:tcW w:w="1557"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left"/>
              <w:rPr>
                <w:b/>
                <w:sz w:val="16"/>
              </w:rPr>
            </w:pPr>
            <w:r>
              <w:rPr>
                <w:b/>
                <w:sz w:val="16"/>
              </w:rPr>
              <w:t xml:space="preserve">2-й и 3-й годы обучения </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105</w:t>
            </w:r>
          </w:p>
        </w:tc>
        <w:tc>
          <w:tcPr>
            <w:tcW w:w="1020"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0,6%</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69</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0,5%</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53</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0,3%</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17</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0,1%</w:t>
            </w:r>
          </w:p>
        </w:tc>
      </w:tr>
      <w:tr w:rsidR="00000000">
        <w:tblPrEx>
          <w:tblCellMar>
            <w:top w:w="0" w:type="dxa"/>
            <w:bottom w:w="0" w:type="dxa"/>
          </w:tblCellMar>
        </w:tblPrEx>
        <w:trPr>
          <w:trHeight w:val="20"/>
          <w:jc w:val="center"/>
        </w:trPr>
        <w:tc>
          <w:tcPr>
            <w:tcW w:w="1557"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left"/>
              <w:rPr>
                <w:b/>
                <w:sz w:val="16"/>
              </w:rPr>
            </w:pPr>
            <w:r>
              <w:rPr>
                <w:b/>
                <w:sz w:val="16"/>
              </w:rPr>
              <w:t>Итого</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2 341</w:t>
            </w:r>
          </w:p>
        </w:tc>
        <w:tc>
          <w:tcPr>
            <w:tcW w:w="1020"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4,5%</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1 480</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3,6%</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2 186</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3,9%</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1 424</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2,9%</w:t>
            </w:r>
          </w:p>
        </w:tc>
      </w:tr>
      <w:tr w:rsidR="00000000">
        <w:tblPrEx>
          <w:tblCellMar>
            <w:top w:w="0" w:type="dxa"/>
            <w:bottom w:w="0" w:type="dxa"/>
          </w:tblCellMar>
        </w:tblPrEx>
        <w:trPr>
          <w:cantSplit/>
          <w:trHeight w:val="20"/>
          <w:jc w:val="center"/>
        </w:trPr>
        <w:tc>
          <w:tcPr>
            <w:tcW w:w="5555"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1997/98 учебный год</w:t>
            </w:r>
          </w:p>
        </w:tc>
        <w:tc>
          <w:tcPr>
            <w:tcW w:w="4084" w:type="dxa"/>
            <w:gridSpan w:val="4"/>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1998/99 учебный год</w:t>
            </w:r>
          </w:p>
        </w:tc>
      </w:tr>
      <w:tr w:rsidR="00000000">
        <w:tblPrEx>
          <w:tblCellMar>
            <w:top w:w="0" w:type="dxa"/>
            <w:bottom w:w="0" w:type="dxa"/>
          </w:tblCellMar>
        </w:tblPrEx>
        <w:trPr>
          <w:cantSplit/>
          <w:trHeight w:val="20"/>
          <w:jc w:val="center"/>
        </w:trPr>
        <w:tc>
          <w:tcPr>
            <w:tcW w:w="1557"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lang w:val="en-US"/>
              </w:rPr>
            </w:pPr>
          </w:p>
        </w:tc>
        <w:tc>
          <w:tcPr>
            <w:tcW w:w="195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юноши</w:t>
            </w:r>
          </w:p>
        </w:tc>
        <w:tc>
          <w:tcPr>
            <w:tcW w:w="204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девушки</w:t>
            </w:r>
          </w:p>
        </w:tc>
        <w:tc>
          <w:tcPr>
            <w:tcW w:w="204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юноши</w:t>
            </w:r>
          </w:p>
        </w:tc>
        <w:tc>
          <w:tcPr>
            <w:tcW w:w="204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девушки</w:t>
            </w:r>
          </w:p>
        </w:tc>
      </w:tr>
      <w:tr w:rsidR="00000000">
        <w:tblPrEx>
          <w:tblCellMar>
            <w:top w:w="0" w:type="dxa"/>
            <w:bottom w:w="0" w:type="dxa"/>
          </w:tblCellMar>
        </w:tblPrEx>
        <w:trPr>
          <w:trHeight w:val="20"/>
          <w:jc w:val="center"/>
        </w:trPr>
        <w:tc>
          <w:tcPr>
            <w:tcW w:w="1557"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отсев</w:t>
            </w:r>
          </w:p>
        </w:tc>
        <w:tc>
          <w:tcPr>
            <w:tcW w:w="1020"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ind w:right="-57"/>
              <w:jc w:val="center"/>
              <w:rPr>
                <w:b/>
                <w:sz w:val="16"/>
              </w:rPr>
            </w:pPr>
            <w:r>
              <w:rPr>
                <w:b/>
                <w:sz w:val="16"/>
              </w:rPr>
              <w:t>показатель отсева</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отсев</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ind w:right="-57"/>
              <w:jc w:val="center"/>
              <w:rPr>
                <w:b/>
                <w:sz w:val="16"/>
              </w:rPr>
            </w:pPr>
            <w:r>
              <w:rPr>
                <w:b/>
                <w:sz w:val="16"/>
              </w:rPr>
              <w:t>показатель отсева</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отсев</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ind w:right="-57"/>
              <w:jc w:val="center"/>
              <w:rPr>
                <w:b/>
                <w:sz w:val="16"/>
              </w:rPr>
            </w:pPr>
            <w:r>
              <w:rPr>
                <w:b/>
                <w:sz w:val="16"/>
              </w:rPr>
              <w:t>показатель отсева</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b/>
                <w:sz w:val="16"/>
              </w:rPr>
            </w:pPr>
            <w:r>
              <w:rPr>
                <w:b/>
                <w:sz w:val="16"/>
              </w:rPr>
              <w:t>отсев</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ind w:right="-57"/>
              <w:jc w:val="center"/>
              <w:rPr>
                <w:b/>
                <w:sz w:val="16"/>
              </w:rPr>
            </w:pPr>
            <w:r>
              <w:rPr>
                <w:b/>
                <w:sz w:val="16"/>
              </w:rPr>
              <w:t>показатель отсева</w:t>
            </w:r>
          </w:p>
        </w:tc>
      </w:tr>
      <w:tr w:rsidR="00000000">
        <w:tblPrEx>
          <w:tblCellMar>
            <w:top w:w="0" w:type="dxa"/>
            <w:bottom w:w="0" w:type="dxa"/>
          </w:tblCellMar>
        </w:tblPrEx>
        <w:trPr>
          <w:trHeight w:val="20"/>
          <w:jc w:val="center"/>
        </w:trPr>
        <w:tc>
          <w:tcPr>
            <w:tcW w:w="1557"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left"/>
              <w:rPr>
                <w:b/>
                <w:sz w:val="16"/>
                <w:lang w:val="en-US"/>
              </w:rPr>
            </w:pPr>
            <w:r>
              <w:rPr>
                <w:b/>
                <w:sz w:val="16"/>
              </w:rPr>
              <w:t>1-й год обучения*</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2 215</w:t>
            </w:r>
          </w:p>
        </w:tc>
        <w:tc>
          <w:tcPr>
            <w:tcW w:w="1020"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5,6%</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1 563</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3,9%</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3 000</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6,1%</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2 286</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4,7%</w:t>
            </w:r>
          </w:p>
        </w:tc>
      </w:tr>
      <w:tr w:rsidR="00000000">
        <w:tblPrEx>
          <w:tblCellMar>
            <w:top w:w="0" w:type="dxa"/>
            <w:bottom w:w="0" w:type="dxa"/>
          </w:tblCellMar>
        </w:tblPrEx>
        <w:trPr>
          <w:trHeight w:val="20"/>
          <w:jc w:val="center"/>
        </w:trPr>
        <w:tc>
          <w:tcPr>
            <w:tcW w:w="1557"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left"/>
              <w:rPr>
                <w:b/>
                <w:sz w:val="16"/>
              </w:rPr>
            </w:pPr>
            <w:r>
              <w:rPr>
                <w:b/>
                <w:sz w:val="16"/>
              </w:rPr>
              <w:t xml:space="preserve">2-й и 3-й годы обучения </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81</w:t>
            </w:r>
          </w:p>
        </w:tc>
        <w:tc>
          <w:tcPr>
            <w:tcW w:w="1020"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0,3%</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58</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0,3%</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152</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0,5%</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48</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0,2%</w:t>
            </w:r>
          </w:p>
        </w:tc>
      </w:tr>
      <w:tr w:rsidR="00000000">
        <w:tblPrEx>
          <w:tblCellMar>
            <w:top w:w="0" w:type="dxa"/>
            <w:bottom w:w="0" w:type="dxa"/>
          </w:tblCellMar>
        </w:tblPrEx>
        <w:trPr>
          <w:trHeight w:val="20"/>
          <w:jc w:val="center"/>
        </w:trPr>
        <w:tc>
          <w:tcPr>
            <w:tcW w:w="1557"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left"/>
              <w:rPr>
                <w:b/>
                <w:sz w:val="16"/>
              </w:rPr>
            </w:pPr>
            <w:r>
              <w:rPr>
                <w:b/>
                <w:sz w:val="16"/>
              </w:rPr>
              <w:t>Итого</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2 296</w:t>
            </w:r>
          </w:p>
        </w:tc>
        <w:tc>
          <w:tcPr>
            <w:tcW w:w="1020"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3,3%</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1621</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2,7%</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3152</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4,2%</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2334</w:t>
            </w:r>
          </w:p>
        </w:tc>
        <w:tc>
          <w:tcPr>
            <w:tcW w:w="1021" w:type="dxa"/>
            <w:tcBorders>
              <w:top w:val="single" w:sz="6" w:space="0" w:color="auto"/>
              <w:left w:val="single" w:sz="6" w:space="0" w:color="auto"/>
              <w:bottom w:val="single" w:sz="6" w:space="0" w:color="auto"/>
              <w:right w:val="single" w:sz="6" w:space="0" w:color="auto"/>
            </w:tcBorders>
          </w:tcPr>
          <w:p w:rsidR="00000000" w:rsidRDefault="00000000">
            <w:pPr>
              <w:spacing w:before="40" w:after="30" w:line="200" w:lineRule="exact"/>
              <w:jc w:val="center"/>
              <w:rPr>
                <w:sz w:val="16"/>
              </w:rPr>
            </w:pPr>
            <w:r>
              <w:rPr>
                <w:sz w:val="16"/>
              </w:rPr>
              <w:t>3,3%</w:t>
            </w:r>
          </w:p>
        </w:tc>
      </w:tr>
    </w:tbl>
    <w:p w:rsidR="00000000" w:rsidRDefault="00000000">
      <w:pPr>
        <w:spacing w:before="120"/>
      </w:pPr>
      <w:r>
        <w:t>* Речь идет о студентах, исключенных до конца года в связи с истечением их права числиться студентами.</w:t>
      </w:r>
    </w:p>
    <w:p w:rsidR="00000000" w:rsidRDefault="00000000">
      <w:pPr>
        <w:rPr>
          <w:b/>
        </w:rPr>
      </w:pPr>
      <w:r>
        <w:rPr>
          <w:b/>
        </w:rPr>
        <w:t>Место женщины в контингенте преподавателей</w:t>
      </w:r>
    </w:p>
    <w:p w:rsidR="00000000" w:rsidRDefault="00000000">
      <w:pPr>
        <w:spacing w:after="0"/>
        <w:rPr>
          <w:spacing w:val="2"/>
        </w:rPr>
      </w:pPr>
      <w:r>
        <w:t>558.</w:t>
      </w:r>
      <w:r>
        <w:tab/>
      </w:r>
      <w:r>
        <w:rPr>
          <w:spacing w:val="2"/>
        </w:rPr>
        <w:t xml:space="preserve">Процентная доля женщин, как показывает таблица, ниже, в контингенте преподавателей высших учебных заведений значительно выросла. Их доля увеличилась с 21,66 процента в 1991/92 учебном году до 26,5 процента в 1994/95 учебном году и до 29,1 процента в 1998/99 учебном году; рост составил почти </w:t>
      </w:r>
      <w:r>
        <w:rPr>
          <w:spacing w:val="2"/>
        </w:rPr>
        <w:br/>
        <w:t>9 пунктов за семь лет, а это замечательный результат. Число женщин, разумеется, гораздо больше на должностях преподавателей, не имеющих ученых степеней, поскольку оно удвоилось за тот же период, однако ничто не мешает их продвижению по службе.</w:t>
      </w:r>
    </w:p>
    <w:p w:rsidR="00000000" w:rsidRDefault="00000000">
      <w:pPr>
        <w:spacing w:after="0"/>
        <w:rPr>
          <w:spacing w:val="2"/>
        </w:rPr>
      </w:pPr>
    </w:p>
    <w:p w:rsidR="00000000" w:rsidRDefault="00000000">
      <w:pPr>
        <w:spacing w:before="120" w:after="120"/>
        <w:jc w:val="center"/>
        <w:rPr>
          <w:b/>
          <w:spacing w:val="2"/>
        </w:rPr>
      </w:pPr>
      <w:r>
        <w:rPr>
          <w:b/>
          <w:spacing w:val="2"/>
          <w:lang/>
        </w:rPr>
        <w:t>Число ж</w:t>
      </w:r>
      <w:r>
        <w:rPr>
          <w:b/>
          <w:spacing w:val="2"/>
        </w:rPr>
        <w:t>енщин среди преподавателей учебных заведений</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169"/>
        <w:gridCol w:w="653"/>
        <w:gridCol w:w="541"/>
        <w:gridCol w:w="500"/>
        <w:gridCol w:w="653"/>
        <w:gridCol w:w="541"/>
        <w:gridCol w:w="500"/>
        <w:gridCol w:w="653"/>
        <w:gridCol w:w="541"/>
        <w:gridCol w:w="500"/>
        <w:gridCol w:w="653"/>
        <w:gridCol w:w="541"/>
        <w:gridCol w:w="500"/>
        <w:gridCol w:w="653"/>
        <w:gridCol w:w="541"/>
        <w:gridCol w:w="500"/>
      </w:tblGrid>
      <w:tr w:rsidR="00000000">
        <w:tblPrEx>
          <w:tblCellMar>
            <w:top w:w="0" w:type="dxa"/>
            <w:bottom w:w="0" w:type="dxa"/>
          </w:tblCellMar>
        </w:tblPrEx>
        <w:trPr>
          <w:cantSplit/>
          <w:jc w:val="center"/>
        </w:trPr>
        <w:tc>
          <w:tcPr>
            <w:tcW w:w="1169" w:type="dxa"/>
            <w:vMerge w:val="restart"/>
          </w:tcPr>
          <w:p w:rsidR="00000000" w:rsidRDefault="00000000">
            <w:pPr>
              <w:spacing w:before="40" w:after="40" w:line="200" w:lineRule="exact"/>
              <w:jc w:val="left"/>
              <w:rPr>
                <w:spacing w:val="2"/>
                <w:sz w:val="16"/>
              </w:rPr>
            </w:pPr>
          </w:p>
        </w:tc>
        <w:tc>
          <w:tcPr>
            <w:tcW w:w="1694" w:type="dxa"/>
            <w:gridSpan w:val="3"/>
          </w:tcPr>
          <w:p w:rsidR="00000000" w:rsidRDefault="00000000">
            <w:pPr>
              <w:spacing w:before="40" w:after="40" w:line="200" w:lineRule="exact"/>
              <w:jc w:val="center"/>
              <w:rPr>
                <w:b/>
                <w:spacing w:val="2"/>
                <w:sz w:val="16"/>
              </w:rPr>
            </w:pPr>
            <w:r>
              <w:rPr>
                <w:b/>
                <w:spacing w:val="2"/>
                <w:sz w:val="16"/>
              </w:rPr>
              <w:t>1994/95 уч. год</w:t>
            </w:r>
          </w:p>
        </w:tc>
        <w:tc>
          <w:tcPr>
            <w:tcW w:w="1694" w:type="dxa"/>
            <w:gridSpan w:val="3"/>
          </w:tcPr>
          <w:p w:rsidR="00000000" w:rsidRDefault="00000000">
            <w:pPr>
              <w:spacing w:before="40" w:after="40" w:line="200" w:lineRule="exact"/>
              <w:jc w:val="center"/>
              <w:rPr>
                <w:b/>
                <w:spacing w:val="2"/>
                <w:sz w:val="16"/>
              </w:rPr>
            </w:pPr>
            <w:r>
              <w:rPr>
                <w:b/>
                <w:spacing w:val="2"/>
                <w:sz w:val="16"/>
              </w:rPr>
              <w:t>1995/96 уч. год</w:t>
            </w:r>
          </w:p>
        </w:tc>
        <w:tc>
          <w:tcPr>
            <w:tcW w:w="1694" w:type="dxa"/>
            <w:gridSpan w:val="3"/>
          </w:tcPr>
          <w:p w:rsidR="00000000" w:rsidRDefault="00000000">
            <w:pPr>
              <w:spacing w:before="40" w:after="40" w:line="200" w:lineRule="exact"/>
              <w:jc w:val="center"/>
              <w:rPr>
                <w:b/>
                <w:spacing w:val="2"/>
                <w:sz w:val="16"/>
              </w:rPr>
            </w:pPr>
            <w:r>
              <w:rPr>
                <w:b/>
                <w:spacing w:val="2"/>
                <w:sz w:val="16"/>
              </w:rPr>
              <w:t>1996/97 уч. год</w:t>
            </w:r>
          </w:p>
        </w:tc>
        <w:tc>
          <w:tcPr>
            <w:tcW w:w="1694" w:type="dxa"/>
            <w:gridSpan w:val="3"/>
          </w:tcPr>
          <w:p w:rsidR="00000000" w:rsidRDefault="00000000">
            <w:pPr>
              <w:spacing w:before="40" w:after="40" w:line="200" w:lineRule="exact"/>
              <w:jc w:val="center"/>
              <w:rPr>
                <w:b/>
                <w:spacing w:val="2"/>
                <w:sz w:val="16"/>
              </w:rPr>
            </w:pPr>
            <w:r>
              <w:rPr>
                <w:b/>
                <w:spacing w:val="2"/>
                <w:sz w:val="16"/>
              </w:rPr>
              <w:t>1997/98 уч. год</w:t>
            </w:r>
          </w:p>
        </w:tc>
        <w:tc>
          <w:tcPr>
            <w:tcW w:w="1694" w:type="dxa"/>
            <w:gridSpan w:val="3"/>
          </w:tcPr>
          <w:p w:rsidR="00000000" w:rsidRDefault="00000000">
            <w:pPr>
              <w:spacing w:before="40" w:after="40" w:line="200" w:lineRule="exact"/>
              <w:jc w:val="center"/>
              <w:rPr>
                <w:b/>
                <w:spacing w:val="2"/>
                <w:sz w:val="16"/>
              </w:rPr>
            </w:pPr>
            <w:r>
              <w:rPr>
                <w:b/>
                <w:spacing w:val="2"/>
                <w:sz w:val="16"/>
              </w:rPr>
              <w:t>1998/99 уч. год</w:t>
            </w:r>
          </w:p>
        </w:tc>
      </w:tr>
      <w:tr w:rsidR="00000000">
        <w:tblPrEx>
          <w:tblCellMar>
            <w:top w:w="0" w:type="dxa"/>
            <w:bottom w:w="0" w:type="dxa"/>
          </w:tblCellMar>
        </w:tblPrEx>
        <w:trPr>
          <w:cantSplit/>
          <w:jc w:val="center"/>
        </w:trPr>
        <w:tc>
          <w:tcPr>
            <w:tcW w:w="1169" w:type="dxa"/>
            <w:vMerge/>
          </w:tcPr>
          <w:p w:rsidR="00000000" w:rsidRDefault="00000000">
            <w:pPr>
              <w:spacing w:before="40" w:after="40" w:line="200" w:lineRule="exact"/>
              <w:jc w:val="left"/>
              <w:rPr>
                <w:spacing w:val="2"/>
                <w:sz w:val="16"/>
              </w:rPr>
            </w:pPr>
          </w:p>
        </w:tc>
        <w:tc>
          <w:tcPr>
            <w:tcW w:w="653" w:type="dxa"/>
          </w:tcPr>
          <w:p w:rsidR="00000000" w:rsidRDefault="00000000">
            <w:pPr>
              <w:spacing w:before="40" w:after="40" w:line="200" w:lineRule="exact"/>
              <w:jc w:val="center"/>
              <w:rPr>
                <w:b/>
                <w:spacing w:val="2"/>
                <w:sz w:val="16"/>
              </w:rPr>
            </w:pPr>
            <w:r>
              <w:rPr>
                <w:b/>
                <w:spacing w:val="2"/>
                <w:sz w:val="16"/>
              </w:rPr>
              <w:t>жен-щины</w:t>
            </w:r>
          </w:p>
        </w:tc>
        <w:tc>
          <w:tcPr>
            <w:tcW w:w="541" w:type="dxa"/>
          </w:tcPr>
          <w:p w:rsidR="00000000" w:rsidRDefault="00000000">
            <w:pPr>
              <w:spacing w:before="40" w:after="40" w:line="200" w:lineRule="exact"/>
              <w:jc w:val="center"/>
              <w:rPr>
                <w:b/>
                <w:spacing w:val="2"/>
                <w:sz w:val="16"/>
              </w:rPr>
            </w:pPr>
            <w:r>
              <w:rPr>
                <w:b/>
                <w:spacing w:val="2"/>
                <w:sz w:val="16"/>
              </w:rPr>
              <w:t>всего</w:t>
            </w:r>
          </w:p>
        </w:tc>
        <w:tc>
          <w:tcPr>
            <w:tcW w:w="500" w:type="dxa"/>
          </w:tcPr>
          <w:p w:rsidR="00000000" w:rsidRDefault="00000000">
            <w:pPr>
              <w:spacing w:before="40" w:after="40" w:line="200" w:lineRule="exact"/>
              <w:jc w:val="center"/>
              <w:rPr>
                <w:b/>
                <w:spacing w:val="2"/>
                <w:sz w:val="16"/>
              </w:rPr>
            </w:pPr>
            <w:r>
              <w:rPr>
                <w:b/>
                <w:spacing w:val="2"/>
                <w:sz w:val="16"/>
              </w:rPr>
              <w:t>% жен-щин</w:t>
            </w:r>
          </w:p>
        </w:tc>
        <w:tc>
          <w:tcPr>
            <w:tcW w:w="653" w:type="dxa"/>
          </w:tcPr>
          <w:p w:rsidR="00000000" w:rsidRDefault="00000000">
            <w:pPr>
              <w:spacing w:before="40" w:after="40" w:line="200" w:lineRule="exact"/>
              <w:jc w:val="center"/>
              <w:rPr>
                <w:b/>
                <w:spacing w:val="2"/>
                <w:sz w:val="16"/>
              </w:rPr>
            </w:pPr>
            <w:r>
              <w:rPr>
                <w:b/>
                <w:spacing w:val="2"/>
                <w:sz w:val="16"/>
              </w:rPr>
              <w:t>жен-щины</w:t>
            </w:r>
          </w:p>
        </w:tc>
        <w:tc>
          <w:tcPr>
            <w:tcW w:w="541" w:type="dxa"/>
          </w:tcPr>
          <w:p w:rsidR="00000000" w:rsidRDefault="00000000">
            <w:pPr>
              <w:spacing w:before="40" w:after="40" w:line="200" w:lineRule="exact"/>
              <w:jc w:val="center"/>
              <w:rPr>
                <w:b/>
                <w:spacing w:val="2"/>
                <w:sz w:val="16"/>
              </w:rPr>
            </w:pPr>
            <w:r>
              <w:rPr>
                <w:b/>
                <w:spacing w:val="2"/>
                <w:sz w:val="16"/>
              </w:rPr>
              <w:t>всего</w:t>
            </w:r>
          </w:p>
        </w:tc>
        <w:tc>
          <w:tcPr>
            <w:tcW w:w="500" w:type="dxa"/>
          </w:tcPr>
          <w:p w:rsidR="00000000" w:rsidRDefault="00000000">
            <w:pPr>
              <w:spacing w:before="40" w:after="40" w:line="200" w:lineRule="exact"/>
              <w:jc w:val="center"/>
              <w:rPr>
                <w:b/>
                <w:spacing w:val="2"/>
                <w:sz w:val="16"/>
              </w:rPr>
            </w:pPr>
            <w:r>
              <w:rPr>
                <w:b/>
                <w:spacing w:val="2"/>
                <w:sz w:val="16"/>
              </w:rPr>
              <w:t>% жен-щин</w:t>
            </w:r>
          </w:p>
        </w:tc>
        <w:tc>
          <w:tcPr>
            <w:tcW w:w="653" w:type="dxa"/>
          </w:tcPr>
          <w:p w:rsidR="00000000" w:rsidRDefault="00000000">
            <w:pPr>
              <w:spacing w:before="40" w:after="40" w:line="200" w:lineRule="exact"/>
              <w:jc w:val="center"/>
              <w:rPr>
                <w:b/>
                <w:spacing w:val="2"/>
                <w:sz w:val="16"/>
              </w:rPr>
            </w:pPr>
            <w:r>
              <w:rPr>
                <w:b/>
                <w:spacing w:val="2"/>
                <w:sz w:val="16"/>
              </w:rPr>
              <w:t>жен-щины</w:t>
            </w:r>
          </w:p>
        </w:tc>
        <w:tc>
          <w:tcPr>
            <w:tcW w:w="541" w:type="dxa"/>
          </w:tcPr>
          <w:p w:rsidR="00000000" w:rsidRDefault="00000000">
            <w:pPr>
              <w:spacing w:before="40" w:after="40" w:line="200" w:lineRule="exact"/>
              <w:jc w:val="center"/>
              <w:rPr>
                <w:b/>
                <w:spacing w:val="2"/>
                <w:sz w:val="16"/>
              </w:rPr>
            </w:pPr>
            <w:r>
              <w:rPr>
                <w:b/>
                <w:spacing w:val="2"/>
                <w:sz w:val="16"/>
              </w:rPr>
              <w:t>всего</w:t>
            </w:r>
          </w:p>
        </w:tc>
        <w:tc>
          <w:tcPr>
            <w:tcW w:w="500" w:type="dxa"/>
          </w:tcPr>
          <w:p w:rsidR="00000000" w:rsidRDefault="00000000">
            <w:pPr>
              <w:spacing w:before="40" w:after="40" w:line="200" w:lineRule="exact"/>
              <w:jc w:val="center"/>
              <w:rPr>
                <w:b/>
                <w:spacing w:val="2"/>
                <w:sz w:val="16"/>
              </w:rPr>
            </w:pPr>
            <w:r>
              <w:rPr>
                <w:b/>
                <w:spacing w:val="2"/>
                <w:sz w:val="16"/>
              </w:rPr>
              <w:t>% жен-щин</w:t>
            </w:r>
          </w:p>
        </w:tc>
        <w:tc>
          <w:tcPr>
            <w:tcW w:w="653" w:type="dxa"/>
          </w:tcPr>
          <w:p w:rsidR="00000000" w:rsidRDefault="00000000">
            <w:pPr>
              <w:spacing w:before="40" w:after="40" w:line="200" w:lineRule="exact"/>
              <w:jc w:val="center"/>
              <w:rPr>
                <w:b/>
                <w:spacing w:val="2"/>
                <w:sz w:val="16"/>
              </w:rPr>
            </w:pPr>
            <w:r>
              <w:rPr>
                <w:b/>
                <w:spacing w:val="2"/>
                <w:sz w:val="16"/>
              </w:rPr>
              <w:t>жен-щины</w:t>
            </w:r>
          </w:p>
        </w:tc>
        <w:tc>
          <w:tcPr>
            <w:tcW w:w="541" w:type="dxa"/>
          </w:tcPr>
          <w:p w:rsidR="00000000" w:rsidRDefault="00000000">
            <w:pPr>
              <w:spacing w:before="40" w:after="40" w:line="200" w:lineRule="exact"/>
              <w:jc w:val="center"/>
              <w:rPr>
                <w:b/>
                <w:spacing w:val="2"/>
                <w:sz w:val="16"/>
              </w:rPr>
            </w:pPr>
            <w:r>
              <w:rPr>
                <w:b/>
                <w:spacing w:val="2"/>
                <w:sz w:val="16"/>
              </w:rPr>
              <w:t>всего</w:t>
            </w:r>
          </w:p>
        </w:tc>
        <w:tc>
          <w:tcPr>
            <w:tcW w:w="500" w:type="dxa"/>
          </w:tcPr>
          <w:p w:rsidR="00000000" w:rsidRDefault="00000000">
            <w:pPr>
              <w:spacing w:before="40" w:after="40" w:line="200" w:lineRule="exact"/>
              <w:jc w:val="center"/>
              <w:rPr>
                <w:b/>
                <w:spacing w:val="2"/>
                <w:sz w:val="16"/>
              </w:rPr>
            </w:pPr>
            <w:r>
              <w:rPr>
                <w:b/>
                <w:spacing w:val="2"/>
                <w:sz w:val="16"/>
              </w:rPr>
              <w:t>% жен-щин</w:t>
            </w:r>
          </w:p>
        </w:tc>
        <w:tc>
          <w:tcPr>
            <w:tcW w:w="653" w:type="dxa"/>
          </w:tcPr>
          <w:p w:rsidR="00000000" w:rsidRDefault="00000000">
            <w:pPr>
              <w:spacing w:before="40" w:after="40" w:line="200" w:lineRule="exact"/>
              <w:jc w:val="center"/>
              <w:rPr>
                <w:b/>
                <w:spacing w:val="2"/>
                <w:sz w:val="16"/>
              </w:rPr>
            </w:pPr>
            <w:r>
              <w:rPr>
                <w:b/>
                <w:spacing w:val="2"/>
                <w:sz w:val="16"/>
              </w:rPr>
              <w:t>жен-щины</w:t>
            </w:r>
          </w:p>
        </w:tc>
        <w:tc>
          <w:tcPr>
            <w:tcW w:w="541" w:type="dxa"/>
          </w:tcPr>
          <w:p w:rsidR="00000000" w:rsidRDefault="00000000">
            <w:pPr>
              <w:spacing w:before="40" w:after="40" w:line="200" w:lineRule="exact"/>
              <w:jc w:val="center"/>
              <w:rPr>
                <w:b/>
                <w:spacing w:val="2"/>
                <w:sz w:val="16"/>
              </w:rPr>
            </w:pPr>
            <w:r>
              <w:rPr>
                <w:b/>
                <w:spacing w:val="2"/>
                <w:sz w:val="16"/>
              </w:rPr>
              <w:t>всего</w:t>
            </w:r>
          </w:p>
        </w:tc>
        <w:tc>
          <w:tcPr>
            <w:tcW w:w="500" w:type="dxa"/>
          </w:tcPr>
          <w:p w:rsidR="00000000" w:rsidRDefault="00000000">
            <w:pPr>
              <w:spacing w:before="40" w:after="40" w:line="200" w:lineRule="exact"/>
              <w:jc w:val="center"/>
              <w:rPr>
                <w:b/>
                <w:spacing w:val="2"/>
                <w:sz w:val="16"/>
              </w:rPr>
            </w:pPr>
            <w:r>
              <w:rPr>
                <w:b/>
                <w:spacing w:val="2"/>
                <w:sz w:val="16"/>
              </w:rPr>
              <w:t>% жен-щин</w:t>
            </w:r>
          </w:p>
        </w:tc>
      </w:tr>
      <w:tr w:rsidR="00000000">
        <w:tblPrEx>
          <w:tblCellMar>
            <w:top w:w="0" w:type="dxa"/>
            <w:bottom w:w="0" w:type="dxa"/>
          </w:tblCellMar>
        </w:tblPrEx>
        <w:trPr>
          <w:jc w:val="center"/>
        </w:trPr>
        <w:tc>
          <w:tcPr>
            <w:tcW w:w="1169" w:type="dxa"/>
          </w:tcPr>
          <w:p w:rsidR="00000000" w:rsidRDefault="00000000">
            <w:pPr>
              <w:spacing w:before="40" w:after="40" w:line="200" w:lineRule="exact"/>
              <w:jc w:val="left"/>
              <w:rPr>
                <w:spacing w:val="2"/>
                <w:sz w:val="16"/>
              </w:rPr>
            </w:pPr>
            <w:r>
              <w:rPr>
                <w:spacing w:val="2"/>
                <w:sz w:val="16"/>
              </w:rPr>
              <w:t>Профессор вуза</w:t>
            </w:r>
          </w:p>
        </w:tc>
        <w:tc>
          <w:tcPr>
            <w:tcW w:w="653" w:type="dxa"/>
          </w:tcPr>
          <w:p w:rsidR="00000000" w:rsidRDefault="00000000">
            <w:pPr>
              <w:spacing w:before="40" w:after="40" w:line="200" w:lineRule="exact"/>
              <w:jc w:val="center"/>
              <w:rPr>
                <w:spacing w:val="2"/>
                <w:sz w:val="16"/>
              </w:rPr>
            </w:pPr>
            <w:r>
              <w:rPr>
                <w:spacing w:val="2"/>
                <w:sz w:val="16"/>
              </w:rPr>
              <w:t>41</w:t>
            </w:r>
          </w:p>
        </w:tc>
        <w:tc>
          <w:tcPr>
            <w:tcW w:w="541" w:type="dxa"/>
          </w:tcPr>
          <w:p w:rsidR="00000000" w:rsidRDefault="00000000">
            <w:pPr>
              <w:spacing w:before="40" w:after="40" w:line="200" w:lineRule="exact"/>
              <w:jc w:val="center"/>
              <w:rPr>
                <w:spacing w:val="2"/>
                <w:sz w:val="16"/>
              </w:rPr>
            </w:pPr>
            <w:r>
              <w:rPr>
                <w:spacing w:val="2"/>
                <w:sz w:val="16"/>
              </w:rPr>
              <w:t>417</w:t>
            </w:r>
          </w:p>
        </w:tc>
        <w:tc>
          <w:tcPr>
            <w:tcW w:w="500" w:type="dxa"/>
          </w:tcPr>
          <w:p w:rsidR="00000000" w:rsidRDefault="00000000">
            <w:pPr>
              <w:spacing w:before="40" w:after="40" w:line="200" w:lineRule="exact"/>
              <w:jc w:val="center"/>
              <w:rPr>
                <w:spacing w:val="2"/>
                <w:sz w:val="16"/>
              </w:rPr>
            </w:pPr>
            <w:r>
              <w:rPr>
                <w:spacing w:val="2"/>
                <w:sz w:val="16"/>
              </w:rPr>
              <w:t>9,8</w:t>
            </w:r>
          </w:p>
        </w:tc>
        <w:tc>
          <w:tcPr>
            <w:tcW w:w="653" w:type="dxa"/>
          </w:tcPr>
          <w:p w:rsidR="00000000" w:rsidRDefault="00000000">
            <w:pPr>
              <w:spacing w:before="40" w:after="40" w:line="200" w:lineRule="exact"/>
              <w:jc w:val="center"/>
              <w:rPr>
                <w:spacing w:val="2"/>
                <w:sz w:val="16"/>
              </w:rPr>
            </w:pPr>
            <w:r>
              <w:rPr>
                <w:spacing w:val="2"/>
                <w:sz w:val="16"/>
              </w:rPr>
              <w:t>37</w:t>
            </w:r>
          </w:p>
        </w:tc>
        <w:tc>
          <w:tcPr>
            <w:tcW w:w="541" w:type="dxa"/>
          </w:tcPr>
          <w:p w:rsidR="00000000" w:rsidRDefault="00000000">
            <w:pPr>
              <w:spacing w:before="40" w:after="40" w:line="200" w:lineRule="exact"/>
              <w:jc w:val="center"/>
              <w:rPr>
                <w:spacing w:val="2"/>
                <w:sz w:val="16"/>
              </w:rPr>
            </w:pPr>
            <w:r>
              <w:rPr>
                <w:spacing w:val="2"/>
                <w:sz w:val="16"/>
              </w:rPr>
              <w:t>408</w:t>
            </w:r>
          </w:p>
        </w:tc>
        <w:tc>
          <w:tcPr>
            <w:tcW w:w="500" w:type="dxa"/>
          </w:tcPr>
          <w:p w:rsidR="00000000" w:rsidRDefault="00000000">
            <w:pPr>
              <w:spacing w:before="40" w:after="40" w:line="200" w:lineRule="exact"/>
              <w:jc w:val="center"/>
              <w:rPr>
                <w:spacing w:val="2"/>
                <w:sz w:val="16"/>
              </w:rPr>
            </w:pPr>
            <w:r>
              <w:rPr>
                <w:spacing w:val="2"/>
                <w:sz w:val="16"/>
              </w:rPr>
              <w:t>9,1</w:t>
            </w:r>
          </w:p>
        </w:tc>
        <w:tc>
          <w:tcPr>
            <w:tcW w:w="653" w:type="dxa"/>
          </w:tcPr>
          <w:p w:rsidR="00000000" w:rsidRDefault="00000000">
            <w:pPr>
              <w:spacing w:before="40" w:after="40" w:line="200" w:lineRule="exact"/>
              <w:jc w:val="center"/>
              <w:rPr>
                <w:spacing w:val="2"/>
                <w:sz w:val="16"/>
              </w:rPr>
            </w:pPr>
            <w:r>
              <w:rPr>
                <w:spacing w:val="2"/>
                <w:sz w:val="16"/>
              </w:rPr>
              <w:t>39</w:t>
            </w:r>
          </w:p>
        </w:tc>
        <w:tc>
          <w:tcPr>
            <w:tcW w:w="541" w:type="dxa"/>
          </w:tcPr>
          <w:p w:rsidR="00000000" w:rsidRDefault="00000000">
            <w:pPr>
              <w:spacing w:before="40" w:after="40" w:line="200" w:lineRule="exact"/>
              <w:jc w:val="center"/>
              <w:rPr>
                <w:spacing w:val="2"/>
                <w:sz w:val="16"/>
              </w:rPr>
            </w:pPr>
            <w:r>
              <w:rPr>
                <w:spacing w:val="2"/>
                <w:sz w:val="16"/>
              </w:rPr>
              <w:t>407</w:t>
            </w:r>
          </w:p>
        </w:tc>
        <w:tc>
          <w:tcPr>
            <w:tcW w:w="500" w:type="dxa"/>
          </w:tcPr>
          <w:p w:rsidR="00000000" w:rsidRDefault="00000000">
            <w:pPr>
              <w:spacing w:before="40" w:after="40" w:line="200" w:lineRule="exact"/>
              <w:jc w:val="center"/>
              <w:rPr>
                <w:spacing w:val="2"/>
                <w:sz w:val="16"/>
              </w:rPr>
            </w:pPr>
            <w:r>
              <w:rPr>
                <w:spacing w:val="2"/>
                <w:sz w:val="16"/>
              </w:rPr>
              <w:t>9,6</w:t>
            </w:r>
          </w:p>
        </w:tc>
        <w:tc>
          <w:tcPr>
            <w:tcW w:w="653" w:type="dxa"/>
          </w:tcPr>
          <w:p w:rsidR="00000000" w:rsidRDefault="00000000">
            <w:pPr>
              <w:spacing w:before="40" w:after="40" w:line="200" w:lineRule="exact"/>
              <w:jc w:val="center"/>
              <w:rPr>
                <w:spacing w:val="2"/>
                <w:sz w:val="16"/>
              </w:rPr>
            </w:pPr>
            <w:r>
              <w:rPr>
                <w:spacing w:val="2"/>
                <w:sz w:val="16"/>
              </w:rPr>
              <w:t>40</w:t>
            </w:r>
          </w:p>
        </w:tc>
        <w:tc>
          <w:tcPr>
            <w:tcW w:w="541" w:type="dxa"/>
          </w:tcPr>
          <w:p w:rsidR="00000000" w:rsidRDefault="00000000">
            <w:pPr>
              <w:spacing w:before="40" w:after="40" w:line="200" w:lineRule="exact"/>
              <w:jc w:val="center"/>
              <w:rPr>
                <w:spacing w:val="2"/>
                <w:sz w:val="16"/>
              </w:rPr>
            </w:pPr>
            <w:r>
              <w:rPr>
                <w:spacing w:val="2"/>
                <w:sz w:val="16"/>
              </w:rPr>
              <w:t>414</w:t>
            </w:r>
          </w:p>
        </w:tc>
        <w:tc>
          <w:tcPr>
            <w:tcW w:w="500" w:type="dxa"/>
          </w:tcPr>
          <w:p w:rsidR="00000000" w:rsidRDefault="00000000">
            <w:pPr>
              <w:spacing w:before="40" w:after="40" w:line="200" w:lineRule="exact"/>
              <w:jc w:val="center"/>
              <w:rPr>
                <w:spacing w:val="2"/>
                <w:sz w:val="16"/>
              </w:rPr>
            </w:pPr>
            <w:r>
              <w:rPr>
                <w:spacing w:val="2"/>
                <w:sz w:val="16"/>
              </w:rPr>
              <w:t>9,7</w:t>
            </w:r>
          </w:p>
        </w:tc>
        <w:tc>
          <w:tcPr>
            <w:tcW w:w="653" w:type="dxa"/>
          </w:tcPr>
          <w:p w:rsidR="00000000" w:rsidRDefault="00000000">
            <w:pPr>
              <w:spacing w:before="40" w:after="40" w:line="200" w:lineRule="exact"/>
              <w:jc w:val="center"/>
              <w:rPr>
                <w:spacing w:val="2"/>
                <w:sz w:val="16"/>
              </w:rPr>
            </w:pPr>
            <w:r>
              <w:rPr>
                <w:spacing w:val="2"/>
                <w:sz w:val="16"/>
              </w:rPr>
              <w:t>37</w:t>
            </w:r>
          </w:p>
        </w:tc>
        <w:tc>
          <w:tcPr>
            <w:tcW w:w="541" w:type="dxa"/>
          </w:tcPr>
          <w:p w:rsidR="00000000" w:rsidRDefault="00000000">
            <w:pPr>
              <w:spacing w:before="40" w:after="40" w:line="200" w:lineRule="exact"/>
              <w:jc w:val="center"/>
              <w:rPr>
                <w:spacing w:val="2"/>
                <w:sz w:val="16"/>
              </w:rPr>
            </w:pPr>
            <w:r>
              <w:rPr>
                <w:spacing w:val="2"/>
                <w:sz w:val="16"/>
              </w:rPr>
              <w:t>454</w:t>
            </w:r>
          </w:p>
        </w:tc>
        <w:tc>
          <w:tcPr>
            <w:tcW w:w="500" w:type="dxa"/>
          </w:tcPr>
          <w:p w:rsidR="00000000" w:rsidRDefault="00000000">
            <w:pPr>
              <w:spacing w:before="40" w:after="40" w:line="200" w:lineRule="exact"/>
              <w:jc w:val="center"/>
              <w:rPr>
                <w:spacing w:val="2"/>
                <w:sz w:val="16"/>
              </w:rPr>
            </w:pPr>
            <w:r>
              <w:rPr>
                <w:spacing w:val="2"/>
                <w:sz w:val="16"/>
              </w:rPr>
              <w:t>8,1</w:t>
            </w:r>
          </w:p>
        </w:tc>
      </w:tr>
      <w:tr w:rsidR="00000000">
        <w:tblPrEx>
          <w:tblCellMar>
            <w:top w:w="0" w:type="dxa"/>
            <w:bottom w:w="0" w:type="dxa"/>
          </w:tblCellMar>
        </w:tblPrEx>
        <w:trPr>
          <w:jc w:val="center"/>
        </w:trPr>
        <w:tc>
          <w:tcPr>
            <w:tcW w:w="1169" w:type="dxa"/>
          </w:tcPr>
          <w:p w:rsidR="00000000" w:rsidRDefault="00000000">
            <w:pPr>
              <w:spacing w:before="40" w:after="40" w:line="200" w:lineRule="exact"/>
              <w:jc w:val="left"/>
              <w:rPr>
                <w:spacing w:val="2"/>
                <w:sz w:val="16"/>
              </w:rPr>
            </w:pPr>
            <w:r>
              <w:rPr>
                <w:spacing w:val="2"/>
                <w:sz w:val="16"/>
              </w:rPr>
              <w:t>Старший лектор, доцент</w:t>
            </w:r>
          </w:p>
        </w:tc>
        <w:tc>
          <w:tcPr>
            <w:tcW w:w="653" w:type="dxa"/>
          </w:tcPr>
          <w:p w:rsidR="00000000" w:rsidRDefault="00000000">
            <w:pPr>
              <w:spacing w:before="40" w:after="40" w:line="200" w:lineRule="exact"/>
              <w:jc w:val="center"/>
              <w:rPr>
                <w:spacing w:val="2"/>
                <w:sz w:val="16"/>
              </w:rPr>
            </w:pPr>
            <w:r>
              <w:rPr>
                <w:spacing w:val="2"/>
                <w:sz w:val="16"/>
              </w:rPr>
              <w:t>26</w:t>
            </w:r>
          </w:p>
        </w:tc>
        <w:tc>
          <w:tcPr>
            <w:tcW w:w="541" w:type="dxa"/>
          </w:tcPr>
          <w:p w:rsidR="00000000" w:rsidRDefault="00000000">
            <w:pPr>
              <w:spacing w:before="40" w:after="40" w:line="200" w:lineRule="exact"/>
              <w:jc w:val="center"/>
              <w:rPr>
                <w:spacing w:val="2"/>
                <w:sz w:val="16"/>
              </w:rPr>
            </w:pPr>
            <w:r>
              <w:rPr>
                <w:spacing w:val="2"/>
                <w:sz w:val="16"/>
              </w:rPr>
              <w:t>322</w:t>
            </w:r>
          </w:p>
        </w:tc>
        <w:tc>
          <w:tcPr>
            <w:tcW w:w="500" w:type="dxa"/>
          </w:tcPr>
          <w:p w:rsidR="00000000" w:rsidRDefault="00000000">
            <w:pPr>
              <w:spacing w:before="40" w:after="40" w:line="200" w:lineRule="exact"/>
              <w:jc w:val="center"/>
              <w:rPr>
                <w:spacing w:val="2"/>
                <w:sz w:val="16"/>
              </w:rPr>
            </w:pPr>
            <w:r>
              <w:rPr>
                <w:spacing w:val="2"/>
                <w:sz w:val="16"/>
              </w:rPr>
              <w:t>8,1</w:t>
            </w:r>
          </w:p>
        </w:tc>
        <w:tc>
          <w:tcPr>
            <w:tcW w:w="653" w:type="dxa"/>
          </w:tcPr>
          <w:p w:rsidR="00000000" w:rsidRDefault="00000000">
            <w:pPr>
              <w:spacing w:before="40" w:after="40" w:line="200" w:lineRule="exact"/>
              <w:jc w:val="center"/>
              <w:rPr>
                <w:spacing w:val="2"/>
                <w:sz w:val="16"/>
              </w:rPr>
            </w:pPr>
            <w:r>
              <w:rPr>
                <w:spacing w:val="2"/>
                <w:sz w:val="16"/>
              </w:rPr>
              <w:t>24</w:t>
            </w:r>
          </w:p>
        </w:tc>
        <w:tc>
          <w:tcPr>
            <w:tcW w:w="541" w:type="dxa"/>
          </w:tcPr>
          <w:p w:rsidR="00000000" w:rsidRDefault="00000000">
            <w:pPr>
              <w:spacing w:before="40" w:after="40" w:line="200" w:lineRule="exact"/>
              <w:jc w:val="center"/>
              <w:rPr>
                <w:spacing w:val="2"/>
                <w:sz w:val="16"/>
              </w:rPr>
            </w:pPr>
            <w:r>
              <w:rPr>
                <w:spacing w:val="2"/>
                <w:sz w:val="16"/>
              </w:rPr>
              <w:t>307</w:t>
            </w:r>
          </w:p>
        </w:tc>
        <w:tc>
          <w:tcPr>
            <w:tcW w:w="500" w:type="dxa"/>
          </w:tcPr>
          <w:p w:rsidR="00000000" w:rsidRDefault="00000000">
            <w:pPr>
              <w:spacing w:before="40" w:after="40" w:line="200" w:lineRule="exact"/>
              <w:jc w:val="center"/>
              <w:rPr>
                <w:spacing w:val="2"/>
                <w:sz w:val="16"/>
              </w:rPr>
            </w:pPr>
            <w:r>
              <w:rPr>
                <w:spacing w:val="2"/>
                <w:sz w:val="16"/>
              </w:rPr>
              <w:t>7,8</w:t>
            </w:r>
          </w:p>
        </w:tc>
        <w:tc>
          <w:tcPr>
            <w:tcW w:w="653" w:type="dxa"/>
          </w:tcPr>
          <w:p w:rsidR="00000000" w:rsidRDefault="00000000">
            <w:pPr>
              <w:spacing w:before="40" w:after="40" w:line="200" w:lineRule="exact"/>
              <w:jc w:val="center"/>
              <w:rPr>
                <w:spacing w:val="2"/>
                <w:sz w:val="16"/>
              </w:rPr>
            </w:pPr>
            <w:r>
              <w:rPr>
                <w:spacing w:val="2"/>
                <w:sz w:val="16"/>
              </w:rPr>
              <w:t>34</w:t>
            </w:r>
          </w:p>
        </w:tc>
        <w:tc>
          <w:tcPr>
            <w:tcW w:w="541" w:type="dxa"/>
          </w:tcPr>
          <w:p w:rsidR="00000000" w:rsidRDefault="00000000">
            <w:pPr>
              <w:spacing w:before="40" w:after="40" w:line="200" w:lineRule="exact"/>
              <w:jc w:val="center"/>
              <w:rPr>
                <w:spacing w:val="2"/>
                <w:sz w:val="16"/>
              </w:rPr>
            </w:pPr>
            <w:r>
              <w:rPr>
                <w:spacing w:val="2"/>
                <w:sz w:val="16"/>
              </w:rPr>
              <w:t>339</w:t>
            </w:r>
          </w:p>
        </w:tc>
        <w:tc>
          <w:tcPr>
            <w:tcW w:w="500" w:type="dxa"/>
          </w:tcPr>
          <w:p w:rsidR="00000000" w:rsidRDefault="00000000">
            <w:pPr>
              <w:spacing w:before="40" w:after="40" w:line="200" w:lineRule="exact"/>
              <w:jc w:val="center"/>
              <w:rPr>
                <w:spacing w:val="2"/>
                <w:sz w:val="16"/>
              </w:rPr>
            </w:pPr>
            <w:r>
              <w:rPr>
                <w:spacing w:val="2"/>
                <w:sz w:val="16"/>
              </w:rPr>
              <w:t>10,0</w:t>
            </w:r>
          </w:p>
        </w:tc>
        <w:tc>
          <w:tcPr>
            <w:tcW w:w="653" w:type="dxa"/>
          </w:tcPr>
          <w:p w:rsidR="00000000" w:rsidRDefault="00000000">
            <w:pPr>
              <w:spacing w:before="40" w:after="40" w:line="200" w:lineRule="exact"/>
              <w:jc w:val="center"/>
              <w:rPr>
                <w:spacing w:val="2"/>
                <w:sz w:val="16"/>
              </w:rPr>
            </w:pPr>
            <w:r>
              <w:rPr>
                <w:spacing w:val="2"/>
                <w:sz w:val="16"/>
              </w:rPr>
              <w:t>27</w:t>
            </w:r>
          </w:p>
        </w:tc>
        <w:tc>
          <w:tcPr>
            <w:tcW w:w="541" w:type="dxa"/>
          </w:tcPr>
          <w:p w:rsidR="00000000" w:rsidRDefault="00000000">
            <w:pPr>
              <w:spacing w:before="40" w:after="40" w:line="200" w:lineRule="exact"/>
              <w:jc w:val="center"/>
              <w:rPr>
                <w:spacing w:val="2"/>
                <w:sz w:val="16"/>
              </w:rPr>
            </w:pPr>
            <w:r>
              <w:rPr>
                <w:spacing w:val="2"/>
                <w:sz w:val="16"/>
              </w:rPr>
              <w:t>312</w:t>
            </w:r>
          </w:p>
        </w:tc>
        <w:tc>
          <w:tcPr>
            <w:tcW w:w="500" w:type="dxa"/>
          </w:tcPr>
          <w:p w:rsidR="00000000" w:rsidRDefault="00000000">
            <w:pPr>
              <w:spacing w:before="40" w:after="40" w:line="200" w:lineRule="exact"/>
              <w:jc w:val="center"/>
              <w:rPr>
                <w:spacing w:val="2"/>
                <w:sz w:val="16"/>
              </w:rPr>
            </w:pPr>
            <w:r>
              <w:rPr>
                <w:spacing w:val="2"/>
                <w:sz w:val="16"/>
              </w:rPr>
              <w:t>8,7</w:t>
            </w:r>
          </w:p>
        </w:tc>
        <w:tc>
          <w:tcPr>
            <w:tcW w:w="653" w:type="dxa"/>
          </w:tcPr>
          <w:p w:rsidR="00000000" w:rsidRDefault="00000000">
            <w:pPr>
              <w:spacing w:before="40" w:after="40" w:line="200" w:lineRule="exact"/>
              <w:jc w:val="center"/>
              <w:rPr>
                <w:spacing w:val="2"/>
                <w:sz w:val="16"/>
              </w:rPr>
            </w:pPr>
            <w:r>
              <w:rPr>
                <w:spacing w:val="2"/>
                <w:sz w:val="16"/>
              </w:rPr>
              <w:t>36</w:t>
            </w:r>
          </w:p>
        </w:tc>
        <w:tc>
          <w:tcPr>
            <w:tcW w:w="541" w:type="dxa"/>
          </w:tcPr>
          <w:p w:rsidR="00000000" w:rsidRDefault="00000000">
            <w:pPr>
              <w:spacing w:before="40" w:after="40" w:line="200" w:lineRule="exact"/>
              <w:jc w:val="center"/>
              <w:rPr>
                <w:spacing w:val="2"/>
                <w:sz w:val="16"/>
              </w:rPr>
            </w:pPr>
            <w:r>
              <w:rPr>
                <w:spacing w:val="2"/>
                <w:sz w:val="16"/>
              </w:rPr>
              <w:t>329</w:t>
            </w:r>
          </w:p>
        </w:tc>
        <w:tc>
          <w:tcPr>
            <w:tcW w:w="500" w:type="dxa"/>
          </w:tcPr>
          <w:p w:rsidR="00000000" w:rsidRDefault="00000000">
            <w:pPr>
              <w:spacing w:before="40" w:after="40" w:line="200" w:lineRule="exact"/>
              <w:jc w:val="center"/>
              <w:rPr>
                <w:spacing w:val="2"/>
                <w:sz w:val="16"/>
              </w:rPr>
            </w:pPr>
            <w:r>
              <w:rPr>
                <w:spacing w:val="2"/>
                <w:sz w:val="16"/>
              </w:rPr>
              <w:t>10,9</w:t>
            </w:r>
          </w:p>
        </w:tc>
      </w:tr>
      <w:tr w:rsidR="00000000">
        <w:tblPrEx>
          <w:tblCellMar>
            <w:top w:w="0" w:type="dxa"/>
            <w:bottom w:w="0" w:type="dxa"/>
          </w:tblCellMar>
        </w:tblPrEx>
        <w:trPr>
          <w:jc w:val="center"/>
        </w:trPr>
        <w:tc>
          <w:tcPr>
            <w:tcW w:w="1169" w:type="dxa"/>
          </w:tcPr>
          <w:p w:rsidR="00000000" w:rsidRDefault="00000000">
            <w:pPr>
              <w:spacing w:before="40" w:after="40" w:line="200" w:lineRule="exact"/>
              <w:jc w:val="left"/>
              <w:rPr>
                <w:spacing w:val="2"/>
                <w:sz w:val="16"/>
              </w:rPr>
            </w:pPr>
            <w:r>
              <w:rPr>
                <w:spacing w:val="2"/>
                <w:sz w:val="16"/>
              </w:rPr>
              <w:t>Старший преподаватель</w:t>
            </w:r>
          </w:p>
        </w:tc>
        <w:tc>
          <w:tcPr>
            <w:tcW w:w="653" w:type="dxa"/>
          </w:tcPr>
          <w:p w:rsidR="00000000" w:rsidRDefault="00000000">
            <w:pPr>
              <w:spacing w:before="40" w:after="40" w:line="200" w:lineRule="exact"/>
              <w:jc w:val="center"/>
              <w:rPr>
                <w:spacing w:val="2"/>
                <w:sz w:val="16"/>
              </w:rPr>
            </w:pPr>
            <w:r>
              <w:rPr>
                <w:spacing w:val="2"/>
                <w:sz w:val="16"/>
              </w:rPr>
              <w:t>384</w:t>
            </w:r>
          </w:p>
        </w:tc>
        <w:tc>
          <w:tcPr>
            <w:tcW w:w="541" w:type="dxa"/>
          </w:tcPr>
          <w:p w:rsidR="00000000" w:rsidRDefault="00000000">
            <w:pPr>
              <w:spacing w:before="40" w:after="40" w:line="200" w:lineRule="exact"/>
              <w:jc w:val="center"/>
              <w:rPr>
                <w:spacing w:val="2"/>
                <w:sz w:val="16"/>
              </w:rPr>
            </w:pPr>
            <w:r>
              <w:rPr>
                <w:spacing w:val="2"/>
                <w:sz w:val="16"/>
              </w:rPr>
              <w:t>1547</w:t>
            </w:r>
          </w:p>
        </w:tc>
        <w:tc>
          <w:tcPr>
            <w:tcW w:w="500" w:type="dxa"/>
          </w:tcPr>
          <w:p w:rsidR="00000000" w:rsidRDefault="00000000">
            <w:pPr>
              <w:spacing w:before="40" w:after="40" w:line="200" w:lineRule="exact"/>
              <w:jc w:val="center"/>
              <w:rPr>
                <w:spacing w:val="2"/>
                <w:sz w:val="16"/>
              </w:rPr>
            </w:pPr>
            <w:r>
              <w:rPr>
                <w:spacing w:val="2"/>
                <w:sz w:val="16"/>
              </w:rPr>
              <w:t>24,8</w:t>
            </w:r>
          </w:p>
        </w:tc>
        <w:tc>
          <w:tcPr>
            <w:tcW w:w="653" w:type="dxa"/>
          </w:tcPr>
          <w:p w:rsidR="00000000" w:rsidRDefault="00000000">
            <w:pPr>
              <w:spacing w:before="40" w:after="40" w:line="200" w:lineRule="exact"/>
              <w:jc w:val="center"/>
              <w:rPr>
                <w:spacing w:val="2"/>
                <w:sz w:val="16"/>
              </w:rPr>
            </w:pPr>
            <w:r>
              <w:rPr>
                <w:spacing w:val="2"/>
                <w:sz w:val="16"/>
              </w:rPr>
              <w:t>361</w:t>
            </w:r>
          </w:p>
        </w:tc>
        <w:tc>
          <w:tcPr>
            <w:tcW w:w="541" w:type="dxa"/>
          </w:tcPr>
          <w:p w:rsidR="00000000" w:rsidRDefault="00000000">
            <w:pPr>
              <w:spacing w:before="40" w:after="40" w:line="200" w:lineRule="exact"/>
              <w:jc w:val="center"/>
              <w:rPr>
                <w:spacing w:val="2"/>
                <w:sz w:val="16"/>
              </w:rPr>
            </w:pPr>
            <w:r>
              <w:rPr>
                <w:spacing w:val="2"/>
                <w:sz w:val="16"/>
              </w:rPr>
              <w:t>1696</w:t>
            </w:r>
          </w:p>
        </w:tc>
        <w:tc>
          <w:tcPr>
            <w:tcW w:w="500" w:type="dxa"/>
          </w:tcPr>
          <w:p w:rsidR="00000000" w:rsidRDefault="00000000">
            <w:pPr>
              <w:spacing w:before="40" w:after="40" w:line="200" w:lineRule="exact"/>
              <w:jc w:val="center"/>
              <w:rPr>
                <w:spacing w:val="2"/>
                <w:sz w:val="16"/>
              </w:rPr>
            </w:pPr>
            <w:r>
              <w:rPr>
                <w:spacing w:val="2"/>
                <w:sz w:val="16"/>
              </w:rPr>
              <w:t>21,3</w:t>
            </w:r>
          </w:p>
        </w:tc>
        <w:tc>
          <w:tcPr>
            <w:tcW w:w="653" w:type="dxa"/>
          </w:tcPr>
          <w:p w:rsidR="00000000" w:rsidRDefault="00000000">
            <w:pPr>
              <w:spacing w:before="40" w:after="40" w:line="200" w:lineRule="exact"/>
              <w:jc w:val="center"/>
              <w:rPr>
                <w:spacing w:val="2"/>
                <w:sz w:val="16"/>
              </w:rPr>
            </w:pPr>
            <w:r>
              <w:rPr>
                <w:spacing w:val="2"/>
                <w:sz w:val="16"/>
              </w:rPr>
              <w:t>376</w:t>
            </w:r>
          </w:p>
        </w:tc>
        <w:tc>
          <w:tcPr>
            <w:tcW w:w="541" w:type="dxa"/>
          </w:tcPr>
          <w:p w:rsidR="00000000" w:rsidRDefault="00000000">
            <w:pPr>
              <w:spacing w:before="40" w:after="40" w:line="200" w:lineRule="exact"/>
              <w:jc w:val="center"/>
              <w:rPr>
                <w:spacing w:val="2"/>
                <w:sz w:val="16"/>
              </w:rPr>
            </w:pPr>
            <w:r>
              <w:rPr>
                <w:spacing w:val="2"/>
                <w:sz w:val="16"/>
              </w:rPr>
              <w:t>1818</w:t>
            </w:r>
          </w:p>
        </w:tc>
        <w:tc>
          <w:tcPr>
            <w:tcW w:w="500" w:type="dxa"/>
          </w:tcPr>
          <w:p w:rsidR="00000000" w:rsidRDefault="00000000">
            <w:pPr>
              <w:spacing w:before="40" w:after="40" w:line="200" w:lineRule="exact"/>
              <w:jc w:val="center"/>
              <w:rPr>
                <w:spacing w:val="2"/>
                <w:sz w:val="16"/>
              </w:rPr>
            </w:pPr>
            <w:r>
              <w:rPr>
                <w:spacing w:val="2"/>
                <w:sz w:val="16"/>
              </w:rPr>
              <w:t>20,7</w:t>
            </w:r>
          </w:p>
        </w:tc>
        <w:tc>
          <w:tcPr>
            <w:tcW w:w="653" w:type="dxa"/>
          </w:tcPr>
          <w:p w:rsidR="00000000" w:rsidRDefault="00000000">
            <w:pPr>
              <w:spacing w:before="40" w:after="40" w:line="200" w:lineRule="exact"/>
              <w:jc w:val="center"/>
              <w:rPr>
                <w:spacing w:val="2"/>
                <w:sz w:val="16"/>
              </w:rPr>
            </w:pPr>
            <w:r>
              <w:rPr>
                <w:spacing w:val="2"/>
                <w:sz w:val="16"/>
              </w:rPr>
              <w:t>479</w:t>
            </w:r>
          </w:p>
        </w:tc>
        <w:tc>
          <w:tcPr>
            <w:tcW w:w="541" w:type="dxa"/>
          </w:tcPr>
          <w:p w:rsidR="00000000" w:rsidRDefault="00000000">
            <w:pPr>
              <w:spacing w:before="40" w:after="40" w:line="200" w:lineRule="exact"/>
              <w:jc w:val="center"/>
              <w:rPr>
                <w:spacing w:val="2"/>
                <w:sz w:val="16"/>
              </w:rPr>
            </w:pPr>
            <w:r>
              <w:rPr>
                <w:spacing w:val="2"/>
                <w:sz w:val="16"/>
              </w:rPr>
              <w:t>2133</w:t>
            </w:r>
          </w:p>
        </w:tc>
        <w:tc>
          <w:tcPr>
            <w:tcW w:w="500" w:type="dxa"/>
          </w:tcPr>
          <w:p w:rsidR="00000000" w:rsidRDefault="00000000">
            <w:pPr>
              <w:spacing w:before="40" w:after="40" w:line="200" w:lineRule="exact"/>
              <w:jc w:val="center"/>
              <w:rPr>
                <w:spacing w:val="2"/>
                <w:sz w:val="16"/>
              </w:rPr>
            </w:pPr>
            <w:r>
              <w:rPr>
                <w:spacing w:val="2"/>
                <w:sz w:val="16"/>
              </w:rPr>
              <w:t>22,5</w:t>
            </w:r>
          </w:p>
        </w:tc>
        <w:tc>
          <w:tcPr>
            <w:tcW w:w="653" w:type="dxa"/>
          </w:tcPr>
          <w:p w:rsidR="00000000" w:rsidRDefault="00000000">
            <w:pPr>
              <w:spacing w:before="40" w:after="40" w:line="200" w:lineRule="exact"/>
              <w:jc w:val="center"/>
              <w:rPr>
                <w:spacing w:val="2"/>
                <w:sz w:val="16"/>
              </w:rPr>
            </w:pPr>
            <w:r>
              <w:rPr>
                <w:spacing w:val="2"/>
                <w:sz w:val="16"/>
              </w:rPr>
              <w:t>483</w:t>
            </w:r>
          </w:p>
        </w:tc>
        <w:tc>
          <w:tcPr>
            <w:tcW w:w="541" w:type="dxa"/>
          </w:tcPr>
          <w:p w:rsidR="00000000" w:rsidRDefault="00000000">
            <w:pPr>
              <w:spacing w:before="40" w:after="40" w:line="200" w:lineRule="exact"/>
              <w:jc w:val="center"/>
              <w:rPr>
                <w:spacing w:val="2"/>
                <w:sz w:val="16"/>
              </w:rPr>
            </w:pPr>
            <w:r>
              <w:rPr>
                <w:spacing w:val="2"/>
                <w:sz w:val="16"/>
              </w:rPr>
              <w:t>2163</w:t>
            </w:r>
          </w:p>
        </w:tc>
        <w:tc>
          <w:tcPr>
            <w:tcW w:w="500" w:type="dxa"/>
          </w:tcPr>
          <w:p w:rsidR="00000000" w:rsidRDefault="00000000">
            <w:pPr>
              <w:spacing w:before="40" w:after="40" w:line="200" w:lineRule="exact"/>
              <w:jc w:val="center"/>
              <w:rPr>
                <w:spacing w:val="2"/>
                <w:sz w:val="16"/>
              </w:rPr>
            </w:pPr>
            <w:r>
              <w:rPr>
                <w:spacing w:val="2"/>
                <w:sz w:val="16"/>
              </w:rPr>
              <w:t>22,3</w:t>
            </w:r>
          </w:p>
        </w:tc>
      </w:tr>
      <w:tr w:rsidR="00000000">
        <w:tblPrEx>
          <w:tblCellMar>
            <w:top w:w="0" w:type="dxa"/>
            <w:bottom w:w="0" w:type="dxa"/>
          </w:tblCellMar>
        </w:tblPrEx>
        <w:trPr>
          <w:jc w:val="center"/>
        </w:trPr>
        <w:tc>
          <w:tcPr>
            <w:tcW w:w="1169" w:type="dxa"/>
          </w:tcPr>
          <w:p w:rsidR="00000000" w:rsidRDefault="00000000">
            <w:pPr>
              <w:spacing w:before="40" w:after="40" w:line="200" w:lineRule="exact"/>
              <w:jc w:val="left"/>
              <w:rPr>
                <w:spacing w:val="2"/>
                <w:sz w:val="16"/>
              </w:rPr>
            </w:pPr>
            <w:r>
              <w:rPr>
                <w:spacing w:val="2"/>
                <w:sz w:val="16"/>
              </w:rPr>
              <w:t>Преподаватель</w:t>
            </w:r>
          </w:p>
        </w:tc>
        <w:tc>
          <w:tcPr>
            <w:tcW w:w="653" w:type="dxa"/>
          </w:tcPr>
          <w:p w:rsidR="00000000" w:rsidRDefault="00000000">
            <w:pPr>
              <w:spacing w:before="40" w:after="40" w:line="200" w:lineRule="exact"/>
              <w:jc w:val="center"/>
              <w:rPr>
                <w:spacing w:val="2"/>
                <w:sz w:val="16"/>
              </w:rPr>
            </w:pPr>
            <w:r>
              <w:rPr>
                <w:spacing w:val="2"/>
                <w:sz w:val="16"/>
              </w:rPr>
              <w:t>471</w:t>
            </w:r>
          </w:p>
        </w:tc>
        <w:tc>
          <w:tcPr>
            <w:tcW w:w="541" w:type="dxa"/>
          </w:tcPr>
          <w:p w:rsidR="00000000" w:rsidRDefault="00000000">
            <w:pPr>
              <w:spacing w:before="40" w:after="40" w:line="200" w:lineRule="exact"/>
              <w:jc w:val="center"/>
              <w:rPr>
                <w:spacing w:val="2"/>
                <w:sz w:val="16"/>
              </w:rPr>
            </w:pPr>
            <w:r>
              <w:rPr>
                <w:spacing w:val="2"/>
                <w:sz w:val="16"/>
              </w:rPr>
              <w:t>1564</w:t>
            </w:r>
          </w:p>
        </w:tc>
        <w:tc>
          <w:tcPr>
            <w:tcW w:w="500" w:type="dxa"/>
          </w:tcPr>
          <w:p w:rsidR="00000000" w:rsidRDefault="00000000">
            <w:pPr>
              <w:spacing w:before="40" w:after="40" w:line="200" w:lineRule="exact"/>
              <w:jc w:val="center"/>
              <w:rPr>
                <w:spacing w:val="2"/>
                <w:sz w:val="16"/>
              </w:rPr>
            </w:pPr>
            <w:r>
              <w:rPr>
                <w:spacing w:val="2"/>
                <w:sz w:val="16"/>
              </w:rPr>
              <w:t>30,5</w:t>
            </w:r>
          </w:p>
        </w:tc>
        <w:tc>
          <w:tcPr>
            <w:tcW w:w="653" w:type="dxa"/>
          </w:tcPr>
          <w:p w:rsidR="00000000" w:rsidRDefault="00000000">
            <w:pPr>
              <w:spacing w:before="40" w:after="40" w:line="200" w:lineRule="exact"/>
              <w:jc w:val="center"/>
              <w:rPr>
                <w:spacing w:val="2"/>
                <w:sz w:val="16"/>
              </w:rPr>
            </w:pPr>
            <w:r>
              <w:rPr>
                <w:spacing w:val="2"/>
                <w:sz w:val="16"/>
              </w:rPr>
              <w:t>569</w:t>
            </w:r>
          </w:p>
        </w:tc>
        <w:tc>
          <w:tcPr>
            <w:tcW w:w="541" w:type="dxa"/>
          </w:tcPr>
          <w:p w:rsidR="00000000" w:rsidRDefault="00000000">
            <w:pPr>
              <w:spacing w:before="40" w:after="40" w:line="200" w:lineRule="exact"/>
              <w:jc w:val="center"/>
              <w:rPr>
                <w:spacing w:val="2"/>
                <w:sz w:val="16"/>
              </w:rPr>
            </w:pPr>
            <w:r>
              <w:rPr>
                <w:spacing w:val="2"/>
                <w:sz w:val="16"/>
              </w:rPr>
              <w:t>1762</w:t>
            </w:r>
          </w:p>
        </w:tc>
        <w:tc>
          <w:tcPr>
            <w:tcW w:w="500" w:type="dxa"/>
          </w:tcPr>
          <w:p w:rsidR="00000000" w:rsidRDefault="00000000">
            <w:pPr>
              <w:spacing w:before="40" w:after="40" w:line="200" w:lineRule="exact"/>
              <w:jc w:val="center"/>
              <w:rPr>
                <w:spacing w:val="2"/>
                <w:sz w:val="16"/>
              </w:rPr>
            </w:pPr>
            <w:r>
              <w:rPr>
                <w:spacing w:val="2"/>
                <w:sz w:val="16"/>
              </w:rPr>
              <w:t>32,3</w:t>
            </w:r>
          </w:p>
        </w:tc>
        <w:tc>
          <w:tcPr>
            <w:tcW w:w="653" w:type="dxa"/>
          </w:tcPr>
          <w:p w:rsidR="00000000" w:rsidRDefault="00000000">
            <w:pPr>
              <w:spacing w:before="40" w:after="40" w:line="200" w:lineRule="exact"/>
              <w:jc w:val="center"/>
              <w:rPr>
                <w:spacing w:val="2"/>
                <w:sz w:val="16"/>
              </w:rPr>
            </w:pPr>
            <w:r>
              <w:rPr>
                <w:spacing w:val="2"/>
                <w:sz w:val="16"/>
              </w:rPr>
              <w:t>543</w:t>
            </w:r>
          </w:p>
        </w:tc>
        <w:tc>
          <w:tcPr>
            <w:tcW w:w="541" w:type="dxa"/>
          </w:tcPr>
          <w:p w:rsidR="00000000" w:rsidRDefault="00000000">
            <w:pPr>
              <w:spacing w:before="40" w:after="40" w:line="200" w:lineRule="exact"/>
              <w:jc w:val="center"/>
              <w:rPr>
                <w:spacing w:val="2"/>
                <w:sz w:val="16"/>
              </w:rPr>
            </w:pPr>
            <w:r>
              <w:rPr>
                <w:spacing w:val="2"/>
                <w:sz w:val="16"/>
              </w:rPr>
              <w:t>1715</w:t>
            </w:r>
          </w:p>
        </w:tc>
        <w:tc>
          <w:tcPr>
            <w:tcW w:w="500" w:type="dxa"/>
          </w:tcPr>
          <w:p w:rsidR="00000000" w:rsidRDefault="00000000">
            <w:pPr>
              <w:spacing w:before="40" w:after="40" w:line="200" w:lineRule="exact"/>
              <w:jc w:val="center"/>
              <w:rPr>
                <w:spacing w:val="2"/>
                <w:sz w:val="16"/>
              </w:rPr>
            </w:pPr>
            <w:r>
              <w:rPr>
                <w:spacing w:val="2"/>
                <w:sz w:val="16"/>
              </w:rPr>
              <w:t>31,7</w:t>
            </w:r>
          </w:p>
        </w:tc>
        <w:tc>
          <w:tcPr>
            <w:tcW w:w="653" w:type="dxa"/>
          </w:tcPr>
          <w:p w:rsidR="00000000" w:rsidRDefault="00000000">
            <w:pPr>
              <w:spacing w:before="40" w:after="40" w:line="200" w:lineRule="exact"/>
              <w:jc w:val="center"/>
              <w:rPr>
                <w:spacing w:val="2"/>
                <w:sz w:val="16"/>
              </w:rPr>
            </w:pPr>
            <w:r>
              <w:rPr>
                <w:spacing w:val="2"/>
                <w:sz w:val="16"/>
              </w:rPr>
              <w:t>663</w:t>
            </w:r>
          </w:p>
        </w:tc>
        <w:tc>
          <w:tcPr>
            <w:tcW w:w="541" w:type="dxa"/>
          </w:tcPr>
          <w:p w:rsidR="00000000" w:rsidRDefault="00000000">
            <w:pPr>
              <w:spacing w:before="40" w:after="40" w:line="200" w:lineRule="exact"/>
              <w:jc w:val="center"/>
              <w:rPr>
                <w:spacing w:val="2"/>
                <w:sz w:val="16"/>
              </w:rPr>
            </w:pPr>
            <w:r>
              <w:rPr>
                <w:spacing w:val="2"/>
                <w:sz w:val="16"/>
              </w:rPr>
              <w:t>1861</w:t>
            </w:r>
          </w:p>
        </w:tc>
        <w:tc>
          <w:tcPr>
            <w:tcW w:w="500" w:type="dxa"/>
          </w:tcPr>
          <w:p w:rsidR="00000000" w:rsidRDefault="00000000">
            <w:pPr>
              <w:spacing w:before="40" w:after="40" w:line="200" w:lineRule="exact"/>
              <w:jc w:val="center"/>
              <w:rPr>
                <w:spacing w:val="2"/>
                <w:sz w:val="16"/>
              </w:rPr>
            </w:pPr>
            <w:r>
              <w:rPr>
                <w:spacing w:val="2"/>
                <w:sz w:val="16"/>
              </w:rPr>
              <w:t>35,6</w:t>
            </w:r>
          </w:p>
        </w:tc>
        <w:tc>
          <w:tcPr>
            <w:tcW w:w="653" w:type="dxa"/>
          </w:tcPr>
          <w:p w:rsidR="00000000" w:rsidRDefault="00000000">
            <w:pPr>
              <w:spacing w:before="40" w:after="40" w:line="200" w:lineRule="exact"/>
              <w:jc w:val="center"/>
              <w:rPr>
                <w:spacing w:val="2"/>
                <w:sz w:val="16"/>
              </w:rPr>
            </w:pPr>
            <w:r>
              <w:rPr>
                <w:spacing w:val="2"/>
                <w:sz w:val="16"/>
              </w:rPr>
              <w:t>854</w:t>
            </w:r>
          </w:p>
        </w:tc>
        <w:tc>
          <w:tcPr>
            <w:tcW w:w="541" w:type="dxa"/>
          </w:tcPr>
          <w:p w:rsidR="00000000" w:rsidRDefault="00000000">
            <w:pPr>
              <w:spacing w:before="40" w:after="40" w:line="200" w:lineRule="exact"/>
              <w:jc w:val="center"/>
              <w:rPr>
                <w:spacing w:val="2"/>
                <w:sz w:val="16"/>
              </w:rPr>
            </w:pPr>
            <w:r>
              <w:rPr>
                <w:spacing w:val="2"/>
                <w:sz w:val="16"/>
              </w:rPr>
              <w:t>2218</w:t>
            </w:r>
          </w:p>
        </w:tc>
        <w:tc>
          <w:tcPr>
            <w:tcW w:w="500" w:type="dxa"/>
          </w:tcPr>
          <w:p w:rsidR="00000000" w:rsidRDefault="00000000">
            <w:pPr>
              <w:spacing w:before="40" w:after="40" w:line="200" w:lineRule="exact"/>
              <w:jc w:val="center"/>
              <w:rPr>
                <w:spacing w:val="2"/>
                <w:sz w:val="16"/>
              </w:rPr>
            </w:pPr>
            <w:r>
              <w:rPr>
                <w:spacing w:val="2"/>
                <w:sz w:val="16"/>
              </w:rPr>
              <w:t>38,5</w:t>
            </w:r>
          </w:p>
        </w:tc>
      </w:tr>
      <w:tr w:rsidR="00000000">
        <w:tblPrEx>
          <w:tblCellMar>
            <w:top w:w="0" w:type="dxa"/>
            <w:bottom w:w="0" w:type="dxa"/>
          </w:tblCellMar>
        </w:tblPrEx>
        <w:trPr>
          <w:jc w:val="center"/>
        </w:trPr>
        <w:tc>
          <w:tcPr>
            <w:tcW w:w="1169" w:type="dxa"/>
          </w:tcPr>
          <w:p w:rsidR="00000000" w:rsidRDefault="00000000">
            <w:pPr>
              <w:spacing w:before="40" w:after="40" w:line="200" w:lineRule="exact"/>
              <w:jc w:val="left"/>
              <w:rPr>
                <w:spacing w:val="2"/>
                <w:sz w:val="16"/>
              </w:rPr>
            </w:pPr>
            <w:r>
              <w:rPr>
                <w:spacing w:val="2"/>
                <w:sz w:val="16"/>
              </w:rPr>
              <w:t>Преподаватель средней школы</w:t>
            </w:r>
          </w:p>
        </w:tc>
        <w:tc>
          <w:tcPr>
            <w:tcW w:w="653" w:type="dxa"/>
          </w:tcPr>
          <w:p w:rsidR="00000000" w:rsidRDefault="00000000">
            <w:pPr>
              <w:spacing w:before="40" w:after="40" w:line="200" w:lineRule="exact"/>
              <w:jc w:val="center"/>
              <w:rPr>
                <w:spacing w:val="2"/>
                <w:sz w:val="16"/>
              </w:rPr>
            </w:pPr>
            <w:r>
              <w:rPr>
                <w:spacing w:val="2"/>
                <w:sz w:val="16"/>
              </w:rPr>
              <w:t>350</w:t>
            </w:r>
          </w:p>
        </w:tc>
        <w:tc>
          <w:tcPr>
            <w:tcW w:w="541" w:type="dxa"/>
          </w:tcPr>
          <w:p w:rsidR="00000000" w:rsidRDefault="00000000">
            <w:pPr>
              <w:spacing w:before="40" w:after="40" w:line="200" w:lineRule="exact"/>
              <w:jc w:val="center"/>
              <w:rPr>
                <w:spacing w:val="2"/>
                <w:sz w:val="16"/>
              </w:rPr>
            </w:pPr>
            <w:r>
              <w:rPr>
                <w:spacing w:val="2"/>
                <w:sz w:val="16"/>
              </w:rPr>
              <w:t>951</w:t>
            </w:r>
          </w:p>
        </w:tc>
        <w:tc>
          <w:tcPr>
            <w:tcW w:w="500" w:type="dxa"/>
          </w:tcPr>
          <w:p w:rsidR="00000000" w:rsidRDefault="00000000">
            <w:pPr>
              <w:spacing w:before="40" w:after="40" w:line="200" w:lineRule="exact"/>
              <w:jc w:val="center"/>
              <w:rPr>
                <w:spacing w:val="2"/>
                <w:sz w:val="16"/>
              </w:rPr>
            </w:pPr>
            <w:r>
              <w:rPr>
                <w:spacing w:val="2"/>
                <w:sz w:val="16"/>
              </w:rPr>
              <w:t>36,8</w:t>
            </w:r>
          </w:p>
        </w:tc>
        <w:tc>
          <w:tcPr>
            <w:tcW w:w="653" w:type="dxa"/>
          </w:tcPr>
          <w:p w:rsidR="00000000" w:rsidRDefault="00000000">
            <w:pPr>
              <w:spacing w:before="40" w:after="40" w:line="200" w:lineRule="exact"/>
              <w:jc w:val="center"/>
              <w:rPr>
                <w:spacing w:val="2"/>
                <w:sz w:val="16"/>
              </w:rPr>
            </w:pPr>
            <w:r>
              <w:rPr>
                <w:spacing w:val="2"/>
                <w:sz w:val="16"/>
              </w:rPr>
              <w:t>360</w:t>
            </w:r>
          </w:p>
        </w:tc>
        <w:tc>
          <w:tcPr>
            <w:tcW w:w="541" w:type="dxa"/>
          </w:tcPr>
          <w:p w:rsidR="00000000" w:rsidRDefault="00000000">
            <w:pPr>
              <w:spacing w:before="40" w:after="40" w:line="200" w:lineRule="exact"/>
              <w:jc w:val="center"/>
              <w:rPr>
                <w:spacing w:val="2"/>
                <w:sz w:val="16"/>
              </w:rPr>
            </w:pPr>
            <w:r>
              <w:rPr>
                <w:spacing w:val="2"/>
                <w:sz w:val="16"/>
              </w:rPr>
              <w:t>932</w:t>
            </w:r>
          </w:p>
        </w:tc>
        <w:tc>
          <w:tcPr>
            <w:tcW w:w="500" w:type="dxa"/>
          </w:tcPr>
          <w:p w:rsidR="00000000" w:rsidRDefault="00000000">
            <w:pPr>
              <w:spacing w:before="40" w:after="40" w:line="200" w:lineRule="exact"/>
              <w:jc w:val="center"/>
              <w:rPr>
                <w:spacing w:val="2"/>
                <w:sz w:val="16"/>
                <w:lang w:val="en-US"/>
              </w:rPr>
            </w:pPr>
            <w:r>
              <w:rPr>
                <w:spacing w:val="2"/>
                <w:sz w:val="16"/>
                <w:lang w:val="en-US"/>
              </w:rPr>
              <w:t>38,6</w:t>
            </w:r>
          </w:p>
        </w:tc>
        <w:tc>
          <w:tcPr>
            <w:tcW w:w="653" w:type="dxa"/>
          </w:tcPr>
          <w:p w:rsidR="00000000" w:rsidRDefault="00000000">
            <w:pPr>
              <w:spacing w:before="40" w:after="40" w:line="200" w:lineRule="exact"/>
              <w:jc w:val="center"/>
              <w:rPr>
                <w:spacing w:val="2"/>
                <w:sz w:val="16"/>
                <w:lang w:val="en-US"/>
              </w:rPr>
            </w:pPr>
            <w:r>
              <w:rPr>
                <w:spacing w:val="2"/>
                <w:sz w:val="16"/>
                <w:lang w:val="en-US"/>
              </w:rPr>
              <w:t>389</w:t>
            </w:r>
          </w:p>
        </w:tc>
        <w:tc>
          <w:tcPr>
            <w:tcW w:w="541" w:type="dxa"/>
          </w:tcPr>
          <w:p w:rsidR="00000000" w:rsidRDefault="00000000">
            <w:pPr>
              <w:spacing w:before="40" w:after="40" w:line="200" w:lineRule="exact"/>
              <w:jc w:val="center"/>
              <w:rPr>
                <w:spacing w:val="2"/>
                <w:sz w:val="16"/>
              </w:rPr>
            </w:pPr>
            <w:r>
              <w:rPr>
                <w:spacing w:val="2"/>
                <w:sz w:val="16"/>
              </w:rPr>
              <w:t>956</w:t>
            </w:r>
          </w:p>
        </w:tc>
        <w:tc>
          <w:tcPr>
            <w:tcW w:w="500" w:type="dxa"/>
          </w:tcPr>
          <w:p w:rsidR="00000000" w:rsidRDefault="00000000">
            <w:pPr>
              <w:spacing w:before="40" w:after="40" w:line="200" w:lineRule="exact"/>
              <w:jc w:val="center"/>
              <w:rPr>
                <w:spacing w:val="2"/>
                <w:sz w:val="16"/>
              </w:rPr>
            </w:pPr>
            <w:r>
              <w:rPr>
                <w:spacing w:val="2"/>
                <w:sz w:val="16"/>
              </w:rPr>
              <w:t>40,7</w:t>
            </w:r>
          </w:p>
        </w:tc>
        <w:tc>
          <w:tcPr>
            <w:tcW w:w="653" w:type="dxa"/>
          </w:tcPr>
          <w:p w:rsidR="00000000" w:rsidRDefault="00000000">
            <w:pPr>
              <w:spacing w:before="40" w:after="40" w:line="200" w:lineRule="exact"/>
              <w:jc w:val="center"/>
              <w:rPr>
                <w:spacing w:val="2"/>
                <w:sz w:val="16"/>
              </w:rPr>
            </w:pPr>
            <w:r>
              <w:rPr>
                <w:spacing w:val="2"/>
                <w:sz w:val="16"/>
              </w:rPr>
              <w:t>364</w:t>
            </w:r>
          </w:p>
        </w:tc>
        <w:tc>
          <w:tcPr>
            <w:tcW w:w="541" w:type="dxa"/>
          </w:tcPr>
          <w:p w:rsidR="00000000" w:rsidRDefault="00000000">
            <w:pPr>
              <w:spacing w:before="40" w:after="40" w:line="200" w:lineRule="exact"/>
              <w:jc w:val="center"/>
              <w:rPr>
                <w:spacing w:val="2"/>
                <w:sz w:val="16"/>
              </w:rPr>
            </w:pPr>
            <w:r>
              <w:rPr>
                <w:spacing w:val="2"/>
                <w:sz w:val="16"/>
              </w:rPr>
              <w:t>887</w:t>
            </w:r>
          </w:p>
        </w:tc>
        <w:tc>
          <w:tcPr>
            <w:tcW w:w="500" w:type="dxa"/>
          </w:tcPr>
          <w:p w:rsidR="00000000" w:rsidRDefault="00000000">
            <w:pPr>
              <w:spacing w:before="40" w:after="40" w:line="200" w:lineRule="exact"/>
              <w:jc w:val="center"/>
              <w:rPr>
                <w:spacing w:val="2"/>
                <w:sz w:val="16"/>
              </w:rPr>
            </w:pPr>
            <w:r>
              <w:rPr>
                <w:spacing w:val="2"/>
                <w:sz w:val="16"/>
              </w:rPr>
              <w:t>41,0</w:t>
            </w:r>
          </w:p>
        </w:tc>
        <w:tc>
          <w:tcPr>
            <w:tcW w:w="653" w:type="dxa"/>
          </w:tcPr>
          <w:p w:rsidR="00000000" w:rsidRDefault="00000000">
            <w:pPr>
              <w:spacing w:before="40" w:after="40" w:line="200" w:lineRule="exact"/>
              <w:jc w:val="center"/>
              <w:rPr>
                <w:spacing w:val="2"/>
                <w:sz w:val="16"/>
              </w:rPr>
            </w:pPr>
            <w:r>
              <w:rPr>
                <w:spacing w:val="2"/>
                <w:sz w:val="16"/>
              </w:rPr>
              <w:t>466</w:t>
            </w:r>
          </w:p>
        </w:tc>
        <w:tc>
          <w:tcPr>
            <w:tcW w:w="541" w:type="dxa"/>
          </w:tcPr>
          <w:p w:rsidR="00000000" w:rsidRDefault="00000000">
            <w:pPr>
              <w:spacing w:before="40" w:after="40" w:line="200" w:lineRule="exact"/>
              <w:jc w:val="center"/>
              <w:rPr>
                <w:spacing w:val="2"/>
                <w:sz w:val="16"/>
                <w:lang w:val="en-US"/>
              </w:rPr>
            </w:pPr>
            <w:r>
              <w:rPr>
                <w:spacing w:val="2"/>
                <w:sz w:val="16"/>
                <w:lang w:val="en-US"/>
              </w:rPr>
              <w:t>1113</w:t>
            </w:r>
          </w:p>
        </w:tc>
        <w:tc>
          <w:tcPr>
            <w:tcW w:w="500" w:type="dxa"/>
          </w:tcPr>
          <w:p w:rsidR="00000000" w:rsidRDefault="00000000">
            <w:pPr>
              <w:spacing w:before="40" w:after="40" w:line="200" w:lineRule="exact"/>
              <w:jc w:val="center"/>
              <w:rPr>
                <w:spacing w:val="2"/>
                <w:sz w:val="16"/>
                <w:lang w:val="en-US"/>
              </w:rPr>
            </w:pPr>
            <w:r>
              <w:rPr>
                <w:spacing w:val="2"/>
                <w:sz w:val="16"/>
                <w:lang w:val="en-US"/>
              </w:rPr>
              <w:t>41,9</w:t>
            </w:r>
          </w:p>
        </w:tc>
      </w:tr>
      <w:tr w:rsidR="00000000">
        <w:tblPrEx>
          <w:tblCellMar>
            <w:top w:w="0" w:type="dxa"/>
            <w:bottom w:w="0" w:type="dxa"/>
          </w:tblCellMar>
        </w:tblPrEx>
        <w:trPr>
          <w:jc w:val="center"/>
        </w:trPr>
        <w:tc>
          <w:tcPr>
            <w:tcW w:w="1169" w:type="dxa"/>
          </w:tcPr>
          <w:p w:rsidR="00000000" w:rsidRDefault="00000000">
            <w:pPr>
              <w:spacing w:before="40" w:after="40" w:line="200" w:lineRule="exact"/>
              <w:jc w:val="left"/>
              <w:rPr>
                <w:spacing w:val="2"/>
                <w:sz w:val="16"/>
              </w:rPr>
            </w:pPr>
            <w:r>
              <w:rPr>
                <w:spacing w:val="2"/>
                <w:sz w:val="16"/>
              </w:rPr>
              <w:t>Профессор медицинского факультета</w:t>
            </w:r>
          </w:p>
        </w:tc>
        <w:tc>
          <w:tcPr>
            <w:tcW w:w="653" w:type="dxa"/>
          </w:tcPr>
          <w:p w:rsidR="00000000" w:rsidRDefault="00000000">
            <w:pPr>
              <w:spacing w:before="40" w:after="40" w:line="200" w:lineRule="exact"/>
              <w:jc w:val="center"/>
              <w:rPr>
                <w:spacing w:val="2"/>
                <w:sz w:val="16"/>
              </w:rPr>
            </w:pPr>
            <w:r>
              <w:rPr>
                <w:spacing w:val="2"/>
                <w:sz w:val="16"/>
              </w:rPr>
              <w:t>19</w:t>
            </w:r>
          </w:p>
        </w:tc>
        <w:tc>
          <w:tcPr>
            <w:tcW w:w="541" w:type="dxa"/>
          </w:tcPr>
          <w:p w:rsidR="00000000" w:rsidRDefault="00000000">
            <w:pPr>
              <w:spacing w:before="40" w:after="40" w:line="200" w:lineRule="exact"/>
              <w:jc w:val="center"/>
              <w:rPr>
                <w:spacing w:val="2"/>
                <w:sz w:val="16"/>
              </w:rPr>
            </w:pPr>
            <w:r>
              <w:rPr>
                <w:spacing w:val="2"/>
                <w:sz w:val="16"/>
              </w:rPr>
              <w:t>140</w:t>
            </w:r>
          </w:p>
        </w:tc>
        <w:tc>
          <w:tcPr>
            <w:tcW w:w="500" w:type="dxa"/>
          </w:tcPr>
          <w:p w:rsidR="00000000" w:rsidRDefault="00000000">
            <w:pPr>
              <w:spacing w:before="40" w:after="40" w:line="200" w:lineRule="exact"/>
              <w:jc w:val="center"/>
              <w:rPr>
                <w:spacing w:val="2"/>
                <w:sz w:val="16"/>
              </w:rPr>
            </w:pPr>
            <w:r>
              <w:rPr>
                <w:spacing w:val="2"/>
                <w:sz w:val="16"/>
              </w:rPr>
              <w:t>13,6</w:t>
            </w:r>
          </w:p>
        </w:tc>
        <w:tc>
          <w:tcPr>
            <w:tcW w:w="653" w:type="dxa"/>
          </w:tcPr>
          <w:p w:rsidR="00000000" w:rsidRDefault="00000000">
            <w:pPr>
              <w:spacing w:before="40" w:after="40" w:line="200" w:lineRule="exact"/>
              <w:jc w:val="center"/>
              <w:rPr>
                <w:spacing w:val="2"/>
                <w:sz w:val="16"/>
              </w:rPr>
            </w:pPr>
            <w:r>
              <w:rPr>
                <w:spacing w:val="2"/>
                <w:sz w:val="16"/>
              </w:rPr>
              <w:t>27</w:t>
            </w:r>
          </w:p>
        </w:tc>
        <w:tc>
          <w:tcPr>
            <w:tcW w:w="541" w:type="dxa"/>
          </w:tcPr>
          <w:p w:rsidR="00000000" w:rsidRDefault="00000000">
            <w:pPr>
              <w:spacing w:before="40" w:after="40" w:line="200" w:lineRule="exact"/>
              <w:jc w:val="center"/>
              <w:rPr>
                <w:spacing w:val="2"/>
                <w:sz w:val="16"/>
              </w:rPr>
            </w:pPr>
            <w:r>
              <w:rPr>
                <w:spacing w:val="2"/>
                <w:sz w:val="16"/>
              </w:rPr>
              <w:t>170</w:t>
            </w:r>
          </w:p>
        </w:tc>
        <w:tc>
          <w:tcPr>
            <w:tcW w:w="500" w:type="dxa"/>
          </w:tcPr>
          <w:p w:rsidR="00000000" w:rsidRDefault="00000000">
            <w:pPr>
              <w:spacing w:before="40" w:after="40" w:line="200" w:lineRule="exact"/>
              <w:jc w:val="center"/>
              <w:rPr>
                <w:spacing w:val="2"/>
                <w:sz w:val="16"/>
              </w:rPr>
            </w:pPr>
            <w:r>
              <w:rPr>
                <w:spacing w:val="2"/>
                <w:sz w:val="16"/>
              </w:rPr>
              <w:t>15,9</w:t>
            </w:r>
          </w:p>
        </w:tc>
        <w:tc>
          <w:tcPr>
            <w:tcW w:w="653" w:type="dxa"/>
          </w:tcPr>
          <w:p w:rsidR="00000000" w:rsidRDefault="00000000">
            <w:pPr>
              <w:spacing w:before="40" w:after="40" w:line="200" w:lineRule="exact"/>
              <w:jc w:val="center"/>
              <w:rPr>
                <w:spacing w:val="2"/>
                <w:sz w:val="16"/>
              </w:rPr>
            </w:pPr>
            <w:r>
              <w:rPr>
                <w:spacing w:val="2"/>
                <w:sz w:val="16"/>
              </w:rPr>
              <w:t>24</w:t>
            </w:r>
          </w:p>
        </w:tc>
        <w:tc>
          <w:tcPr>
            <w:tcW w:w="541" w:type="dxa"/>
          </w:tcPr>
          <w:p w:rsidR="00000000" w:rsidRDefault="00000000">
            <w:pPr>
              <w:spacing w:before="40" w:after="40" w:line="200" w:lineRule="exact"/>
              <w:jc w:val="center"/>
              <w:rPr>
                <w:spacing w:val="2"/>
                <w:sz w:val="16"/>
              </w:rPr>
            </w:pPr>
            <w:r>
              <w:rPr>
                <w:spacing w:val="2"/>
                <w:sz w:val="16"/>
              </w:rPr>
              <w:t>167</w:t>
            </w:r>
          </w:p>
        </w:tc>
        <w:tc>
          <w:tcPr>
            <w:tcW w:w="500" w:type="dxa"/>
          </w:tcPr>
          <w:p w:rsidR="00000000" w:rsidRDefault="00000000">
            <w:pPr>
              <w:spacing w:before="40" w:after="40" w:line="200" w:lineRule="exact"/>
              <w:jc w:val="center"/>
              <w:rPr>
                <w:spacing w:val="2"/>
                <w:sz w:val="16"/>
              </w:rPr>
            </w:pPr>
            <w:r>
              <w:rPr>
                <w:spacing w:val="2"/>
                <w:sz w:val="16"/>
              </w:rPr>
              <w:t>14,4</w:t>
            </w:r>
          </w:p>
        </w:tc>
        <w:tc>
          <w:tcPr>
            <w:tcW w:w="653" w:type="dxa"/>
          </w:tcPr>
          <w:p w:rsidR="00000000" w:rsidRDefault="00000000">
            <w:pPr>
              <w:spacing w:before="40" w:after="40" w:line="200" w:lineRule="exact"/>
              <w:jc w:val="center"/>
              <w:rPr>
                <w:spacing w:val="2"/>
                <w:sz w:val="16"/>
              </w:rPr>
            </w:pPr>
            <w:r>
              <w:rPr>
                <w:spacing w:val="2"/>
                <w:sz w:val="16"/>
              </w:rPr>
              <w:t>38</w:t>
            </w:r>
          </w:p>
        </w:tc>
        <w:tc>
          <w:tcPr>
            <w:tcW w:w="541" w:type="dxa"/>
          </w:tcPr>
          <w:p w:rsidR="00000000" w:rsidRDefault="00000000">
            <w:pPr>
              <w:spacing w:before="40" w:after="40" w:line="200" w:lineRule="exact"/>
              <w:jc w:val="center"/>
              <w:rPr>
                <w:spacing w:val="2"/>
                <w:sz w:val="16"/>
              </w:rPr>
            </w:pPr>
            <w:r>
              <w:rPr>
                <w:spacing w:val="2"/>
                <w:sz w:val="16"/>
              </w:rPr>
              <w:t>232</w:t>
            </w:r>
          </w:p>
        </w:tc>
        <w:tc>
          <w:tcPr>
            <w:tcW w:w="500" w:type="dxa"/>
          </w:tcPr>
          <w:p w:rsidR="00000000" w:rsidRDefault="00000000">
            <w:pPr>
              <w:spacing w:before="40" w:after="40" w:line="200" w:lineRule="exact"/>
              <w:jc w:val="center"/>
              <w:rPr>
                <w:spacing w:val="2"/>
                <w:sz w:val="16"/>
              </w:rPr>
            </w:pPr>
            <w:r>
              <w:rPr>
                <w:spacing w:val="2"/>
                <w:sz w:val="16"/>
              </w:rPr>
              <w:t>16,4</w:t>
            </w:r>
          </w:p>
        </w:tc>
        <w:tc>
          <w:tcPr>
            <w:tcW w:w="653" w:type="dxa"/>
          </w:tcPr>
          <w:p w:rsidR="00000000" w:rsidRDefault="00000000">
            <w:pPr>
              <w:spacing w:before="40" w:after="40" w:line="200" w:lineRule="exact"/>
              <w:jc w:val="center"/>
              <w:rPr>
                <w:spacing w:val="2"/>
                <w:sz w:val="16"/>
              </w:rPr>
            </w:pPr>
            <w:r>
              <w:rPr>
                <w:spacing w:val="2"/>
                <w:sz w:val="16"/>
              </w:rPr>
              <w:t>40</w:t>
            </w:r>
          </w:p>
        </w:tc>
        <w:tc>
          <w:tcPr>
            <w:tcW w:w="541" w:type="dxa"/>
          </w:tcPr>
          <w:p w:rsidR="00000000" w:rsidRDefault="00000000">
            <w:pPr>
              <w:spacing w:before="40" w:after="40" w:line="200" w:lineRule="exact"/>
              <w:jc w:val="center"/>
              <w:rPr>
                <w:spacing w:val="2"/>
                <w:sz w:val="16"/>
              </w:rPr>
            </w:pPr>
            <w:r>
              <w:rPr>
                <w:spacing w:val="2"/>
                <w:sz w:val="16"/>
              </w:rPr>
              <w:t>246</w:t>
            </w:r>
          </w:p>
        </w:tc>
        <w:tc>
          <w:tcPr>
            <w:tcW w:w="500" w:type="dxa"/>
          </w:tcPr>
          <w:p w:rsidR="00000000" w:rsidRDefault="00000000">
            <w:pPr>
              <w:spacing w:before="40" w:after="40" w:line="200" w:lineRule="exact"/>
              <w:jc w:val="center"/>
              <w:rPr>
                <w:spacing w:val="2"/>
                <w:sz w:val="16"/>
              </w:rPr>
            </w:pPr>
            <w:r>
              <w:rPr>
                <w:spacing w:val="2"/>
                <w:sz w:val="16"/>
              </w:rPr>
              <w:t>16,3</w:t>
            </w:r>
          </w:p>
        </w:tc>
      </w:tr>
      <w:tr w:rsidR="00000000">
        <w:tblPrEx>
          <w:tblCellMar>
            <w:top w:w="0" w:type="dxa"/>
            <w:bottom w:w="0" w:type="dxa"/>
          </w:tblCellMar>
        </w:tblPrEx>
        <w:trPr>
          <w:jc w:val="center"/>
        </w:trPr>
        <w:tc>
          <w:tcPr>
            <w:tcW w:w="1169" w:type="dxa"/>
          </w:tcPr>
          <w:p w:rsidR="00000000" w:rsidRDefault="00000000">
            <w:pPr>
              <w:spacing w:before="40" w:after="40" w:line="200" w:lineRule="exact"/>
              <w:jc w:val="left"/>
              <w:rPr>
                <w:spacing w:val="2"/>
                <w:sz w:val="16"/>
              </w:rPr>
            </w:pPr>
            <w:r>
              <w:rPr>
                <w:spacing w:val="2"/>
                <w:sz w:val="16"/>
              </w:rPr>
              <w:t xml:space="preserve">Старший лектор, </w:t>
            </w:r>
            <w:r>
              <w:rPr>
                <w:spacing w:val="2"/>
                <w:sz w:val="16"/>
              </w:rPr>
              <w:br/>
              <w:t>доцент мед. факультета</w:t>
            </w:r>
          </w:p>
        </w:tc>
        <w:tc>
          <w:tcPr>
            <w:tcW w:w="653" w:type="dxa"/>
          </w:tcPr>
          <w:p w:rsidR="00000000" w:rsidRDefault="00000000">
            <w:pPr>
              <w:spacing w:before="40" w:after="40" w:line="200" w:lineRule="exact"/>
              <w:jc w:val="center"/>
              <w:rPr>
                <w:spacing w:val="2"/>
                <w:sz w:val="16"/>
              </w:rPr>
            </w:pPr>
            <w:r>
              <w:rPr>
                <w:spacing w:val="2"/>
                <w:sz w:val="16"/>
              </w:rPr>
              <w:t>56</w:t>
            </w:r>
          </w:p>
        </w:tc>
        <w:tc>
          <w:tcPr>
            <w:tcW w:w="541" w:type="dxa"/>
          </w:tcPr>
          <w:p w:rsidR="00000000" w:rsidRDefault="00000000">
            <w:pPr>
              <w:spacing w:before="40" w:after="40" w:line="200" w:lineRule="exact"/>
              <w:jc w:val="center"/>
              <w:rPr>
                <w:spacing w:val="2"/>
                <w:sz w:val="16"/>
              </w:rPr>
            </w:pPr>
            <w:r>
              <w:rPr>
                <w:spacing w:val="2"/>
                <w:sz w:val="16"/>
              </w:rPr>
              <w:t>283</w:t>
            </w:r>
          </w:p>
        </w:tc>
        <w:tc>
          <w:tcPr>
            <w:tcW w:w="500" w:type="dxa"/>
          </w:tcPr>
          <w:p w:rsidR="00000000" w:rsidRDefault="00000000">
            <w:pPr>
              <w:spacing w:before="40" w:after="40" w:line="200" w:lineRule="exact"/>
              <w:jc w:val="center"/>
              <w:rPr>
                <w:spacing w:val="2"/>
                <w:sz w:val="16"/>
              </w:rPr>
            </w:pPr>
            <w:r>
              <w:rPr>
                <w:spacing w:val="2"/>
                <w:sz w:val="16"/>
              </w:rPr>
              <w:t>19,8</w:t>
            </w:r>
          </w:p>
        </w:tc>
        <w:tc>
          <w:tcPr>
            <w:tcW w:w="653" w:type="dxa"/>
          </w:tcPr>
          <w:p w:rsidR="00000000" w:rsidRDefault="00000000">
            <w:pPr>
              <w:spacing w:before="40" w:after="40" w:line="200" w:lineRule="exact"/>
              <w:jc w:val="center"/>
              <w:rPr>
                <w:spacing w:val="2"/>
                <w:sz w:val="16"/>
              </w:rPr>
            </w:pPr>
            <w:r>
              <w:rPr>
                <w:spacing w:val="2"/>
                <w:sz w:val="16"/>
              </w:rPr>
              <w:t>60</w:t>
            </w:r>
          </w:p>
        </w:tc>
        <w:tc>
          <w:tcPr>
            <w:tcW w:w="541" w:type="dxa"/>
          </w:tcPr>
          <w:p w:rsidR="00000000" w:rsidRDefault="00000000">
            <w:pPr>
              <w:spacing w:before="40" w:after="40" w:line="200" w:lineRule="exact"/>
              <w:jc w:val="center"/>
              <w:rPr>
                <w:spacing w:val="2"/>
                <w:sz w:val="16"/>
              </w:rPr>
            </w:pPr>
            <w:r>
              <w:rPr>
                <w:spacing w:val="2"/>
                <w:sz w:val="16"/>
              </w:rPr>
              <w:t>311</w:t>
            </w:r>
          </w:p>
        </w:tc>
        <w:tc>
          <w:tcPr>
            <w:tcW w:w="500" w:type="dxa"/>
          </w:tcPr>
          <w:p w:rsidR="00000000" w:rsidRDefault="00000000">
            <w:pPr>
              <w:spacing w:before="40" w:after="40" w:line="200" w:lineRule="exact"/>
              <w:jc w:val="center"/>
              <w:rPr>
                <w:spacing w:val="2"/>
                <w:sz w:val="16"/>
              </w:rPr>
            </w:pPr>
            <w:r>
              <w:rPr>
                <w:spacing w:val="2"/>
                <w:sz w:val="16"/>
              </w:rPr>
              <w:t>19,3</w:t>
            </w:r>
          </w:p>
        </w:tc>
        <w:tc>
          <w:tcPr>
            <w:tcW w:w="653" w:type="dxa"/>
          </w:tcPr>
          <w:p w:rsidR="00000000" w:rsidRDefault="00000000">
            <w:pPr>
              <w:spacing w:before="40" w:after="40" w:line="200" w:lineRule="exact"/>
              <w:jc w:val="center"/>
              <w:rPr>
                <w:spacing w:val="2"/>
                <w:sz w:val="16"/>
              </w:rPr>
            </w:pPr>
            <w:r>
              <w:rPr>
                <w:spacing w:val="2"/>
                <w:sz w:val="16"/>
              </w:rPr>
              <w:t>71</w:t>
            </w:r>
          </w:p>
        </w:tc>
        <w:tc>
          <w:tcPr>
            <w:tcW w:w="541" w:type="dxa"/>
          </w:tcPr>
          <w:p w:rsidR="00000000" w:rsidRDefault="00000000">
            <w:pPr>
              <w:spacing w:before="40" w:after="40" w:line="200" w:lineRule="exact"/>
              <w:jc w:val="center"/>
              <w:rPr>
                <w:spacing w:val="2"/>
                <w:sz w:val="16"/>
              </w:rPr>
            </w:pPr>
            <w:r>
              <w:rPr>
                <w:spacing w:val="2"/>
                <w:sz w:val="16"/>
              </w:rPr>
              <w:t>337</w:t>
            </w:r>
          </w:p>
        </w:tc>
        <w:tc>
          <w:tcPr>
            <w:tcW w:w="500" w:type="dxa"/>
          </w:tcPr>
          <w:p w:rsidR="00000000" w:rsidRDefault="00000000">
            <w:pPr>
              <w:spacing w:before="40" w:after="40" w:line="200" w:lineRule="exact"/>
              <w:jc w:val="center"/>
              <w:rPr>
                <w:spacing w:val="2"/>
                <w:sz w:val="16"/>
              </w:rPr>
            </w:pPr>
            <w:r>
              <w:rPr>
                <w:spacing w:val="2"/>
                <w:sz w:val="16"/>
              </w:rPr>
              <w:t>21,1</w:t>
            </w:r>
          </w:p>
        </w:tc>
        <w:tc>
          <w:tcPr>
            <w:tcW w:w="653" w:type="dxa"/>
          </w:tcPr>
          <w:p w:rsidR="00000000" w:rsidRDefault="00000000">
            <w:pPr>
              <w:spacing w:before="40" w:after="40" w:line="200" w:lineRule="exact"/>
              <w:jc w:val="center"/>
              <w:rPr>
                <w:spacing w:val="2"/>
                <w:sz w:val="16"/>
              </w:rPr>
            </w:pPr>
            <w:r>
              <w:rPr>
                <w:spacing w:val="2"/>
                <w:sz w:val="16"/>
              </w:rPr>
              <w:t>67</w:t>
            </w:r>
          </w:p>
        </w:tc>
        <w:tc>
          <w:tcPr>
            <w:tcW w:w="541" w:type="dxa"/>
          </w:tcPr>
          <w:p w:rsidR="00000000" w:rsidRDefault="00000000">
            <w:pPr>
              <w:spacing w:before="40" w:after="40" w:line="200" w:lineRule="exact"/>
              <w:jc w:val="center"/>
              <w:rPr>
                <w:spacing w:val="2"/>
                <w:sz w:val="16"/>
              </w:rPr>
            </w:pPr>
            <w:r>
              <w:rPr>
                <w:spacing w:val="2"/>
                <w:sz w:val="16"/>
              </w:rPr>
              <w:t>327</w:t>
            </w:r>
          </w:p>
        </w:tc>
        <w:tc>
          <w:tcPr>
            <w:tcW w:w="500" w:type="dxa"/>
          </w:tcPr>
          <w:p w:rsidR="00000000" w:rsidRDefault="00000000">
            <w:pPr>
              <w:spacing w:before="40" w:after="40" w:line="200" w:lineRule="exact"/>
              <w:jc w:val="center"/>
              <w:rPr>
                <w:spacing w:val="2"/>
                <w:sz w:val="16"/>
              </w:rPr>
            </w:pPr>
            <w:r>
              <w:rPr>
                <w:spacing w:val="2"/>
                <w:sz w:val="16"/>
              </w:rPr>
              <w:t>20,5</w:t>
            </w:r>
          </w:p>
        </w:tc>
        <w:tc>
          <w:tcPr>
            <w:tcW w:w="653" w:type="dxa"/>
          </w:tcPr>
          <w:p w:rsidR="00000000" w:rsidRDefault="00000000">
            <w:pPr>
              <w:spacing w:before="40" w:after="40" w:line="200" w:lineRule="exact"/>
              <w:jc w:val="center"/>
              <w:rPr>
                <w:spacing w:val="2"/>
                <w:sz w:val="16"/>
              </w:rPr>
            </w:pPr>
            <w:r>
              <w:rPr>
                <w:spacing w:val="2"/>
                <w:sz w:val="16"/>
              </w:rPr>
              <w:t>80</w:t>
            </w:r>
          </w:p>
        </w:tc>
        <w:tc>
          <w:tcPr>
            <w:tcW w:w="541" w:type="dxa"/>
          </w:tcPr>
          <w:p w:rsidR="00000000" w:rsidRDefault="00000000">
            <w:pPr>
              <w:spacing w:before="40" w:after="40" w:line="200" w:lineRule="exact"/>
              <w:jc w:val="center"/>
              <w:rPr>
                <w:spacing w:val="2"/>
                <w:sz w:val="16"/>
              </w:rPr>
            </w:pPr>
            <w:r>
              <w:rPr>
                <w:spacing w:val="2"/>
                <w:sz w:val="16"/>
              </w:rPr>
              <w:t>361</w:t>
            </w:r>
          </w:p>
        </w:tc>
        <w:tc>
          <w:tcPr>
            <w:tcW w:w="500" w:type="dxa"/>
          </w:tcPr>
          <w:p w:rsidR="00000000" w:rsidRDefault="00000000">
            <w:pPr>
              <w:spacing w:before="40" w:after="40" w:line="200" w:lineRule="exact"/>
              <w:jc w:val="center"/>
              <w:rPr>
                <w:spacing w:val="2"/>
                <w:sz w:val="16"/>
              </w:rPr>
            </w:pPr>
            <w:r>
              <w:rPr>
                <w:spacing w:val="2"/>
                <w:sz w:val="16"/>
              </w:rPr>
              <w:t>22,2</w:t>
            </w:r>
          </w:p>
        </w:tc>
      </w:tr>
      <w:tr w:rsidR="00000000">
        <w:tblPrEx>
          <w:tblCellMar>
            <w:top w:w="0" w:type="dxa"/>
            <w:bottom w:w="0" w:type="dxa"/>
          </w:tblCellMar>
        </w:tblPrEx>
        <w:trPr>
          <w:jc w:val="center"/>
        </w:trPr>
        <w:tc>
          <w:tcPr>
            <w:tcW w:w="1169" w:type="dxa"/>
          </w:tcPr>
          <w:p w:rsidR="00000000" w:rsidRDefault="00000000">
            <w:pPr>
              <w:spacing w:before="40" w:after="40" w:line="200" w:lineRule="exact"/>
              <w:jc w:val="left"/>
              <w:rPr>
                <w:spacing w:val="2"/>
                <w:sz w:val="16"/>
              </w:rPr>
            </w:pPr>
            <w:r>
              <w:rPr>
                <w:spacing w:val="2"/>
                <w:sz w:val="16"/>
              </w:rPr>
              <w:t>Преподаватель медицинского факультета</w:t>
            </w:r>
          </w:p>
        </w:tc>
        <w:tc>
          <w:tcPr>
            <w:tcW w:w="653" w:type="dxa"/>
          </w:tcPr>
          <w:p w:rsidR="00000000" w:rsidRDefault="00000000">
            <w:pPr>
              <w:spacing w:before="40" w:after="40" w:line="200" w:lineRule="exact"/>
              <w:jc w:val="center"/>
              <w:rPr>
                <w:spacing w:val="2"/>
                <w:sz w:val="16"/>
              </w:rPr>
            </w:pPr>
            <w:r>
              <w:rPr>
                <w:spacing w:val="2"/>
                <w:sz w:val="16"/>
              </w:rPr>
              <w:t>72</w:t>
            </w:r>
          </w:p>
        </w:tc>
        <w:tc>
          <w:tcPr>
            <w:tcW w:w="541" w:type="dxa"/>
          </w:tcPr>
          <w:p w:rsidR="00000000" w:rsidRDefault="00000000">
            <w:pPr>
              <w:spacing w:before="40" w:after="40" w:line="200" w:lineRule="exact"/>
              <w:jc w:val="center"/>
              <w:rPr>
                <w:spacing w:val="2"/>
                <w:sz w:val="16"/>
              </w:rPr>
            </w:pPr>
            <w:r>
              <w:rPr>
                <w:spacing w:val="2"/>
                <w:sz w:val="16"/>
              </w:rPr>
              <w:t>398</w:t>
            </w:r>
          </w:p>
        </w:tc>
        <w:tc>
          <w:tcPr>
            <w:tcW w:w="500" w:type="dxa"/>
          </w:tcPr>
          <w:p w:rsidR="00000000" w:rsidRDefault="00000000">
            <w:pPr>
              <w:spacing w:before="40" w:after="40" w:line="200" w:lineRule="exact"/>
              <w:jc w:val="center"/>
              <w:rPr>
                <w:spacing w:val="2"/>
                <w:sz w:val="16"/>
              </w:rPr>
            </w:pPr>
            <w:r>
              <w:rPr>
                <w:spacing w:val="2"/>
                <w:sz w:val="16"/>
              </w:rPr>
              <w:t>18,1</w:t>
            </w:r>
          </w:p>
        </w:tc>
        <w:tc>
          <w:tcPr>
            <w:tcW w:w="653" w:type="dxa"/>
          </w:tcPr>
          <w:p w:rsidR="00000000" w:rsidRDefault="00000000">
            <w:pPr>
              <w:spacing w:before="40" w:after="40" w:line="200" w:lineRule="exact"/>
              <w:jc w:val="center"/>
              <w:rPr>
                <w:spacing w:val="2"/>
                <w:sz w:val="16"/>
              </w:rPr>
            </w:pPr>
            <w:r>
              <w:rPr>
                <w:spacing w:val="2"/>
                <w:sz w:val="16"/>
              </w:rPr>
              <w:t>109</w:t>
            </w:r>
          </w:p>
        </w:tc>
        <w:tc>
          <w:tcPr>
            <w:tcW w:w="541" w:type="dxa"/>
          </w:tcPr>
          <w:p w:rsidR="00000000" w:rsidRDefault="00000000">
            <w:pPr>
              <w:spacing w:before="40" w:after="40" w:line="200" w:lineRule="exact"/>
              <w:jc w:val="center"/>
              <w:rPr>
                <w:spacing w:val="2"/>
                <w:sz w:val="16"/>
              </w:rPr>
            </w:pPr>
            <w:r>
              <w:rPr>
                <w:spacing w:val="2"/>
                <w:sz w:val="16"/>
              </w:rPr>
              <w:t>437</w:t>
            </w:r>
          </w:p>
        </w:tc>
        <w:tc>
          <w:tcPr>
            <w:tcW w:w="500" w:type="dxa"/>
          </w:tcPr>
          <w:p w:rsidR="00000000" w:rsidRDefault="00000000">
            <w:pPr>
              <w:spacing w:before="40" w:after="40" w:line="200" w:lineRule="exact"/>
              <w:jc w:val="center"/>
              <w:rPr>
                <w:spacing w:val="2"/>
                <w:sz w:val="16"/>
              </w:rPr>
            </w:pPr>
            <w:r>
              <w:rPr>
                <w:spacing w:val="2"/>
                <w:sz w:val="16"/>
              </w:rPr>
              <w:t>24,9</w:t>
            </w:r>
          </w:p>
        </w:tc>
        <w:tc>
          <w:tcPr>
            <w:tcW w:w="653" w:type="dxa"/>
          </w:tcPr>
          <w:p w:rsidR="00000000" w:rsidRDefault="00000000">
            <w:pPr>
              <w:spacing w:before="40" w:after="40" w:line="200" w:lineRule="exact"/>
              <w:jc w:val="center"/>
              <w:rPr>
                <w:spacing w:val="2"/>
                <w:sz w:val="16"/>
              </w:rPr>
            </w:pPr>
            <w:r>
              <w:rPr>
                <w:spacing w:val="2"/>
                <w:sz w:val="16"/>
              </w:rPr>
              <w:t>116</w:t>
            </w:r>
          </w:p>
        </w:tc>
        <w:tc>
          <w:tcPr>
            <w:tcW w:w="541" w:type="dxa"/>
          </w:tcPr>
          <w:p w:rsidR="00000000" w:rsidRDefault="00000000">
            <w:pPr>
              <w:spacing w:before="40" w:after="40" w:line="200" w:lineRule="exact"/>
              <w:jc w:val="center"/>
              <w:rPr>
                <w:spacing w:val="2"/>
                <w:sz w:val="16"/>
              </w:rPr>
            </w:pPr>
            <w:r>
              <w:rPr>
                <w:spacing w:val="2"/>
                <w:sz w:val="16"/>
              </w:rPr>
              <w:t>411</w:t>
            </w:r>
          </w:p>
        </w:tc>
        <w:tc>
          <w:tcPr>
            <w:tcW w:w="500" w:type="dxa"/>
          </w:tcPr>
          <w:p w:rsidR="00000000" w:rsidRDefault="00000000">
            <w:pPr>
              <w:spacing w:before="40" w:after="40" w:line="200" w:lineRule="exact"/>
              <w:jc w:val="center"/>
              <w:rPr>
                <w:spacing w:val="2"/>
                <w:sz w:val="16"/>
              </w:rPr>
            </w:pPr>
            <w:r>
              <w:rPr>
                <w:spacing w:val="2"/>
                <w:sz w:val="16"/>
              </w:rPr>
              <w:t>28,2</w:t>
            </w:r>
          </w:p>
        </w:tc>
        <w:tc>
          <w:tcPr>
            <w:tcW w:w="653" w:type="dxa"/>
          </w:tcPr>
          <w:p w:rsidR="00000000" w:rsidRDefault="00000000">
            <w:pPr>
              <w:spacing w:before="40" w:after="40" w:line="200" w:lineRule="exact"/>
              <w:jc w:val="center"/>
              <w:rPr>
                <w:spacing w:val="2"/>
                <w:sz w:val="16"/>
              </w:rPr>
            </w:pPr>
            <w:r>
              <w:rPr>
                <w:spacing w:val="2"/>
                <w:sz w:val="16"/>
              </w:rPr>
              <w:t>141</w:t>
            </w:r>
          </w:p>
        </w:tc>
        <w:tc>
          <w:tcPr>
            <w:tcW w:w="541" w:type="dxa"/>
          </w:tcPr>
          <w:p w:rsidR="00000000" w:rsidRDefault="00000000">
            <w:pPr>
              <w:spacing w:before="40" w:after="40" w:line="200" w:lineRule="exact"/>
              <w:jc w:val="center"/>
              <w:rPr>
                <w:spacing w:val="2"/>
                <w:sz w:val="16"/>
              </w:rPr>
            </w:pPr>
            <w:r>
              <w:rPr>
                <w:spacing w:val="2"/>
                <w:sz w:val="16"/>
              </w:rPr>
              <w:t>472</w:t>
            </w:r>
          </w:p>
        </w:tc>
        <w:tc>
          <w:tcPr>
            <w:tcW w:w="500" w:type="dxa"/>
          </w:tcPr>
          <w:p w:rsidR="00000000" w:rsidRDefault="00000000">
            <w:pPr>
              <w:spacing w:before="40" w:after="40" w:line="200" w:lineRule="exact"/>
              <w:jc w:val="center"/>
              <w:rPr>
                <w:spacing w:val="2"/>
                <w:sz w:val="16"/>
              </w:rPr>
            </w:pPr>
            <w:r>
              <w:rPr>
                <w:spacing w:val="2"/>
                <w:sz w:val="16"/>
              </w:rPr>
              <w:t>29,9</w:t>
            </w:r>
          </w:p>
        </w:tc>
        <w:tc>
          <w:tcPr>
            <w:tcW w:w="653" w:type="dxa"/>
          </w:tcPr>
          <w:p w:rsidR="00000000" w:rsidRDefault="00000000">
            <w:pPr>
              <w:spacing w:before="40" w:after="40" w:line="200" w:lineRule="exact"/>
              <w:jc w:val="center"/>
              <w:rPr>
                <w:spacing w:val="2"/>
                <w:sz w:val="16"/>
              </w:rPr>
            </w:pPr>
            <w:r>
              <w:rPr>
                <w:spacing w:val="2"/>
                <w:sz w:val="16"/>
              </w:rPr>
              <w:t>157</w:t>
            </w:r>
          </w:p>
        </w:tc>
        <w:tc>
          <w:tcPr>
            <w:tcW w:w="541" w:type="dxa"/>
          </w:tcPr>
          <w:p w:rsidR="00000000" w:rsidRDefault="00000000">
            <w:pPr>
              <w:spacing w:before="40" w:after="40" w:line="200" w:lineRule="exact"/>
              <w:jc w:val="center"/>
              <w:rPr>
                <w:spacing w:val="2"/>
                <w:sz w:val="16"/>
              </w:rPr>
            </w:pPr>
            <w:r>
              <w:rPr>
                <w:spacing w:val="2"/>
                <w:sz w:val="16"/>
              </w:rPr>
              <w:t>526</w:t>
            </w:r>
          </w:p>
        </w:tc>
        <w:tc>
          <w:tcPr>
            <w:tcW w:w="500" w:type="dxa"/>
          </w:tcPr>
          <w:p w:rsidR="00000000" w:rsidRDefault="00000000">
            <w:pPr>
              <w:spacing w:before="40" w:after="40" w:line="200" w:lineRule="exact"/>
              <w:jc w:val="center"/>
              <w:rPr>
                <w:spacing w:val="2"/>
                <w:sz w:val="16"/>
              </w:rPr>
            </w:pPr>
            <w:r>
              <w:rPr>
                <w:spacing w:val="2"/>
                <w:sz w:val="16"/>
              </w:rPr>
              <w:t>29,8</w:t>
            </w:r>
          </w:p>
        </w:tc>
      </w:tr>
      <w:tr w:rsidR="00000000">
        <w:tblPrEx>
          <w:tblCellMar>
            <w:top w:w="0" w:type="dxa"/>
            <w:bottom w:w="0" w:type="dxa"/>
          </w:tblCellMar>
        </w:tblPrEx>
        <w:trPr>
          <w:jc w:val="center"/>
        </w:trPr>
        <w:tc>
          <w:tcPr>
            <w:tcW w:w="1169" w:type="dxa"/>
          </w:tcPr>
          <w:p w:rsidR="00000000" w:rsidRDefault="00000000">
            <w:pPr>
              <w:spacing w:before="40" w:after="40" w:line="200" w:lineRule="exact"/>
              <w:jc w:val="left"/>
              <w:rPr>
                <w:spacing w:val="2"/>
                <w:sz w:val="16"/>
              </w:rPr>
            </w:pPr>
            <w:r>
              <w:rPr>
                <w:spacing w:val="2"/>
                <w:sz w:val="16"/>
              </w:rPr>
              <w:t>Прочие</w:t>
            </w:r>
          </w:p>
        </w:tc>
        <w:tc>
          <w:tcPr>
            <w:tcW w:w="653" w:type="dxa"/>
          </w:tcPr>
          <w:p w:rsidR="00000000" w:rsidRDefault="00000000">
            <w:pPr>
              <w:spacing w:before="40" w:after="40" w:line="200" w:lineRule="exact"/>
              <w:jc w:val="center"/>
              <w:rPr>
                <w:spacing w:val="2"/>
                <w:sz w:val="16"/>
              </w:rPr>
            </w:pPr>
            <w:r>
              <w:rPr>
                <w:spacing w:val="2"/>
                <w:sz w:val="16"/>
              </w:rPr>
              <w:t>100</w:t>
            </w:r>
          </w:p>
        </w:tc>
        <w:tc>
          <w:tcPr>
            <w:tcW w:w="541" w:type="dxa"/>
          </w:tcPr>
          <w:p w:rsidR="00000000" w:rsidRDefault="00000000">
            <w:pPr>
              <w:spacing w:before="40" w:after="40" w:line="200" w:lineRule="exact"/>
              <w:jc w:val="center"/>
              <w:rPr>
                <w:spacing w:val="2"/>
                <w:sz w:val="16"/>
              </w:rPr>
            </w:pPr>
            <w:r>
              <w:rPr>
                <w:spacing w:val="2"/>
                <w:sz w:val="16"/>
              </w:rPr>
              <w:t>340</w:t>
            </w:r>
          </w:p>
        </w:tc>
        <w:tc>
          <w:tcPr>
            <w:tcW w:w="500" w:type="dxa"/>
          </w:tcPr>
          <w:p w:rsidR="00000000" w:rsidRDefault="00000000">
            <w:pPr>
              <w:spacing w:before="40" w:after="40" w:line="200" w:lineRule="exact"/>
              <w:jc w:val="center"/>
              <w:rPr>
                <w:spacing w:val="2"/>
                <w:sz w:val="16"/>
              </w:rPr>
            </w:pPr>
            <w:r>
              <w:rPr>
                <w:spacing w:val="2"/>
                <w:sz w:val="16"/>
              </w:rPr>
              <w:t>29,4</w:t>
            </w:r>
          </w:p>
        </w:tc>
        <w:tc>
          <w:tcPr>
            <w:tcW w:w="653" w:type="dxa"/>
          </w:tcPr>
          <w:p w:rsidR="00000000" w:rsidRDefault="00000000">
            <w:pPr>
              <w:spacing w:before="40" w:after="40" w:line="200" w:lineRule="exact"/>
              <w:jc w:val="center"/>
              <w:rPr>
                <w:spacing w:val="2"/>
                <w:sz w:val="16"/>
              </w:rPr>
            </w:pPr>
            <w:r>
              <w:rPr>
                <w:spacing w:val="2"/>
                <w:sz w:val="16"/>
              </w:rPr>
              <w:t>147</w:t>
            </w:r>
          </w:p>
        </w:tc>
        <w:tc>
          <w:tcPr>
            <w:tcW w:w="541" w:type="dxa"/>
          </w:tcPr>
          <w:p w:rsidR="00000000" w:rsidRDefault="00000000">
            <w:pPr>
              <w:spacing w:before="40" w:after="40" w:line="200" w:lineRule="exact"/>
              <w:jc w:val="center"/>
              <w:rPr>
                <w:spacing w:val="2"/>
                <w:sz w:val="16"/>
              </w:rPr>
            </w:pPr>
            <w:r>
              <w:rPr>
                <w:spacing w:val="2"/>
                <w:sz w:val="16"/>
              </w:rPr>
              <w:t>458</w:t>
            </w:r>
          </w:p>
        </w:tc>
        <w:tc>
          <w:tcPr>
            <w:tcW w:w="500" w:type="dxa"/>
          </w:tcPr>
          <w:p w:rsidR="00000000" w:rsidRDefault="00000000">
            <w:pPr>
              <w:spacing w:before="40" w:after="40" w:line="200" w:lineRule="exact"/>
              <w:jc w:val="center"/>
              <w:rPr>
                <w:spacing w:val="2"/>
                <w:sz w:val="16"/>
              </w:rPr>
            </w:pPr>
            <w:r>
              <w:rPr>
                <w:spacing w:val="2"/>
                <w:sz w:val="16"/>
              </w:rPr>
              <w:t>32,1</w:t>
            </w:r>
          </w:p>
        </w:tc>
        <w:tc>
          <w:tcPr>
            <w:tcW w:w="653" w:type="dxa"/>
          </w:tcPr>
          <w:p w:rsidR="00000000" w:rsidRDefault="00000000">
            <w:pPr>
              <w:spacing w:before="40" w:after="40" w:line="200" w:lineRule="exact"/>
              <w:jc w:val="center"/>
              <w:rPr>
                <w:spacing w:val="2"/>
                <w:sz w:val="16"/>
              </w:rPr>
            </w:pPr>
            <w:r>
              <w:rPr>
                <w:spacing w:val="2"/>
                <w:sz w:val="16"/>
              </w:rPr>
              <w:t>174</w:t>
            </w:r>
          </w:p>
        </w:tc>
        <w:tc>
          <w:tcPr>
            <w:tcW w:w="541" w:type="dxa"/>
          </w:tcPr>
          <w:p w:rsidR="00000000" w:rsidRDefault="00000000">
            <w:pPr>
              <w:spacing w:before="40" w:after="40" w:line="200" w:lineRule="exact"/>
              <w:jc w:val="center"/>
              <w:rPr>
                <w:spacing w:val="2"/>
                <w:sz w:val="16"/>
              </w:rPr>
            </w:pPr>
            <w:r>
              <w:rPr>
                <w:spacing w:val="2"/>
                <w:sz w:val="16"/>
              </w:rPr>
              <w:t>491</w:t>
            </w:r>
          </w:p>
        </w:tc>
        <w:tc>
          <w:tcPr>
            <w:tcW w:w="500" w:type="dxa"/>
          </w:tcPr>
          <w:p w:rsidR="00000000" w:rsidRDefault="00000000">
            <w:pPr>
              <w:spacing w:before="40" w:after="40" w:line="200" w:lineRule="exact"/>
              <w:jc w:val="center"/>
              <w:rPr>
                <w:spacing w:val="2"/>
                <w:sz w:val="16"/>
              </w:rPr>
            </w:pPr>
            <w:r>
              <w:rPr>
                <w:spacing w:val="2"/>
                <w:sz w:val="16"/>
              </w:rPr>
              <w:t>35,4</w:t>
            </w:r>
          </w:p>
        </w:tc>
        <w:tc>
          <w:tcPr>
            <w:tcW w:w="653" w:type="dxa"/>
          </w:tcPr>
          <w:p w:rsidR="00000000" w:rsidRDefault="00000000">
            <w:pPr>
              <w:spacing w:before="40" w:after="40" w:line="200" w:lineRule="exact"/>
              <w:jc w:val="center"/>
              <w:rPr>
                <w:spacing w:val="2"/>
                <w:sz w:val="16"/>
              </w:rPr>
            </w:pPr>
            <w:r>
              <w:rPr>
                <w:spacing w:val="2"/>
                <w:sz w:val="16"/>
              </w:rPr>
              <w:t>218</w:t>
            </w:r>
          </w:p>
        </w:tc>
        <w:tc>
          <w:tcPr>
            <w:tcW w:w="541" w:type="dxa"/>
          </w:tcPr>
          <w:p w:rsidR="00000000" w:rsidRDefault="00000000">
            <w:pPr>
              <w:spacing w:before="40" w:after="40" w:line="200" w:lineRule="exact"/>
              <w:jc w:val="center"/>
              <w:rPr>
                <w:spacing w:val="2"/>
                <w:sz w:val="16"/>
              </w:rPr>
            </w:pPr>
            <w:r>
              <w:rPr>
                <w:spacing w:val="2"/>
                <w:sz w:val="16"/>
              </w:rPr>
              <w:t>625</w:t>
            </w:r>
          </w:p>
        </w:tc>
        <w:tc>
          <w:tcPr>
            <w:tcW w:w="500" w:type="dxa"/>
          </w:tcPr>
          <w:p w:rsidR="00000000" w:rsidRDefault="00000000">
            <w:pPr>
              <w:spacing w:before="40" w:after="40" w:line="200" w:lineRule="exact"/>
              <w:jc w:val="center"/>
              <w:rPr>
                <w:spacing w:val="2"/>
                <w:sz w:val="16"/>
              </w:rPr>
            </w:pPr>
            <w:r>
              <w:rPr>
                <w:spacing w:val="2"/>
                <w:sz w:val="16"/>
              </w:rPr>
              <w:t>34,9</w:t>
            </w:r>
          </w:p>
        </w:tc>
        <w:tc>
          <w:tcPr>
            <w:tcW w:w="653" w:type="dxa"/>
          </w:tcPr>
          <w:p w:rsidR="00000000" w:rsidRDefault="00000000">
            <w:pPr>
              <w:spacing w:before="40" w:after="40" w:line="200" w:lineRule="exact"/>
              <w:jc w:val="center"/>
              <w:rPr>
                <w:spacing w:val="2"/>
                <w:sz w:val="16"/>
              </w:rPr>
            </w:pPr>
            <w:r>
              <w:rPr>
                <w:spacing w:val="2"/>
                <w:sz w:val="16"/>
              </w:rPr>
              <w:t>247</w:t>
            </w:r>
          </w:p>
        </w:tc>
        <w:tc>
          <w:tcPr>
            <w:tcW w:w="541" w:type="dxa"/>
          </w:tcPr>
          <w:p w:rsidR="00000000" w:rsidRDefault="00000000">
            <w:pPr>
              <w:spacing w:before="40" w:after="40" w:line="200" w:lineRule="exact"/>
              <w:jc w:val="center"/>
              <w:rPr>
                <w:spacing w:val="2"/>
                <w:sz w:val="16"/>
              </w:rPr>
            </w:pPr>
            <w:r>
              <w:rPr>
                <w:spacing w:val="2"/>
                <w:sz w:val="16"/>
              </w:rPr>
              <w:t>851</w:t>
            </w:r>
          </w:p>
        </w:tc>
        <w:tc>
          <w:tcPr>
            <w:tcW w:w="500" w:type="dxa"/>
          </w:tcPr>
          <w:p w:rsidR="00000000" w:rsidRDefault="00000000">
            <w:pPr>
              <w:spacing w:before="40" w:after="40" w:line="200" w:lineRule="exact"/>
              <w:jc w:val="center"/>
              <w:rPr>
                <w:spacing w:val="2"/>
                <w:sz w:val="16"/>
              </w:rPr>
            </w:pPr>
            <w:r>
              <w:rPr>
                <w:spacing w:val="2"/>
                <w:sz w:val="16"/>
              </w:rPr>
              <w:t>29,0</w:t>
            </w:r>
          </w:p>
        </w:tc>
      </w:tr>
      <w:tr w:rsidR="00000000">
        <w:tblPrEx>
          <w:tblCellMar>
            <w:top w:w="0" w:type="dxa"/>
            <w:bottom w:w="0" w:type="dxa"/>
          </w:tblCellMar>
        </w:tblPrEx>
        <w:trPr>
          <w:jc w:val="center"/>
        </w:trPr>
        <w:tc>
          <w:tcPr>
            <w:tcW w:w="1169" w:type="dxa"/>
          </w:tcPr>
          <w:p w:rsidR="00000000" w:rsidRDefault="00000000">
            <w:pPr>
              <w:spacing w:before="40" w:after="80" w:line="200" w:lineRule="exact"/>
              <w:jc w:val="left"/>
              <w:rPr>
                <w:spacing w:val="2"/>
                <w:sz w:val="16"/>
              </w:rPr>
            </w:pPr>
            <w:r>
              <w:rPr>
                <w:spacing w:val="2"/>
                <w:sz w:val="16"/>
              </w:rPr>
              <w:t>Всего</w:t>
            </w:r>
          </w:p>
        </w:tc>
        <w:tc>
          <w:tcPr>
            <w:tcW w:w="653" w:type="dxa"/>
          </w:tcPr>
          <w:p w:rsidR="00000000" w:rsidRDefault="00000000">
            <w:pPr>
              <w:spacing w:before="40" w:after="80" w:line="200" w:lineRule="exact"/>
              <w:jc w:val="center"/>
              <w:rPr>
                <w:spacing w:val="2"/>
                <w:sz w:val="16"/>
              </w:rPr>
            </w:pPr>
            <w:r>
              <w:rPr>
                <w:spacing w:val="2"/>
                <w:sz w:val="16"/>
              </w:rPr>
              <w:t>1519</w:t>
            </w:r>
          </w:p>
        </w:tc>
        <w:tc>
          <w:tcPr>
            <w:tcW w:w="541" w:type="dxa"/>
          </w:tcPr>
          <w:p w:rsidR="00000000" w:rsidRDefault="00000000">
            <w:pPr>
              <w:spacing w:before="40" w:after="80" w:line="200" w:lineRule="exact"/>
              <w:jc w:val="center"/>
              <w:rPr>
                <w:spacing w:val="2"/>
                <w:sz w:val="16"/>
              </w:rPr>
            </w:pPr>
            <w:r>
              <w:rPr>
                <w:spacing w:val="2"/>
                <w:sz w:val="16"/>
              </w:rPr>
              <w:t>5944</w:t>
            </w:r>
          </w:p>
        </w:tc>
        <w:tc>
          <w:tcPr>
            <w:tcW w:w="500" w:type="dxa"/>
          </w:tcPr>
          <w:p w:rsidR="00000000" w:rsidRDefault="00000000">
            <w:pPr>
              <w:spacing w:before="40" w:after="80" w:line="200" w:lineRule="exact"/>
              <w:jc w:val="center"/>
              <w:rPr>
                <w:spacing w:val="2"/>
                <w:sz w:val="16"/>
              </w:rPr>
            </w:pPr>
            <w:r>
              <w:rPr>
                <w:spacing w:val="2"/>
                <w:sz w:val="16"/>
              </w:rPr>
              <w:t>26,5</w:t>
            </w:r>
          </w:p>
        </w:tc>
        <w:tc>
          <w:tcPr>
            <w:tcW w:w="653" w:type="dxa"/>
          </w:tcPr>
          <w:p w:rsidR="00000000" w:rsidRDefault="00000000">
            <w:pPr>
              <w:spacing w:before="40" w:after="80" w:line="200" w:lineRule="exact"/>
              <w:jc w:val="center"/>
              <w:rPr>
                <w:spacing w:val="2"/>
                <w:sz w:val="16"/>
              </w:rPr>
            </w:pPr>
            <w:r>
              <w:rPr>
                <w:spacing w:val="2"/>
                <w:sz w:val="16"/>
              </w:rPr>
              <w:t>1694</w:t>
            </w:r>
          </w:p>
        </w:tc>
        <w:tc>
          <w:tcPr>
            <w:tcW w:w="541" w:type="dxa"/>
          </w:tcPr>
          <w:p w:rsidR="00000000" w:rsidRDefault="00000000">
            <w:pPr>
              <w:spacing w:before="40" w:after="80" w:line="200" w:lineRule="exact"/>
              <w:jc w:val="center"/>
              <w:rPr>
                <w:spacing w:val="2"/>
                <w:sz w:val="16"/>
              </w:rPr>
            </w:pPr>
            <w:r>
              <w:rPr>
                <w:spacing w:val="2"/>
                <w:sz w:val="16"/>
              </w:rPr>
              <w:t>6481</w:t>
            </w:r>
          </w:p>
        </w:tc>
        <w:tc>
          <w:tcPr>
            <w:tcW w:w="500" w:type="dxa"/>
          </w:tcPr>
          <w:p w:rsidR="00000000" w:rsidRDefault="00000000">
            <w:pPr>
              <w:spacing w:before="40" w:after="80" w:line="200" w:lineRule="exact"/>
              <w:jc w:val="center"/>
              <w:rPr>
                <w:spacing w:val="2"/>
                <w:sz w:val="16"/>
              </w:rPr>
            </w:pPr>
            <w:r>
              <w:rPr>
                <w:spacing w:val="2"/>
                <w:sz w:val="16"/>
              </w:rPr>
              <w:t>26,1</w:t>
            </w:r>
          </w:p>
        </w:tc>
        <w:tc>
          <w:tcPr>
            <w:tcW w:w="653" w:type="dxa"/>
          </w:tcPr>
          <w:p w:rsidR="00000000" w:rsidRDefault="00000000">
            <w:pPr>
              <w:spacing w:before="40" w:after="80" w:line="200" w:lineRule="exact"/>
              <w:jc w:val="center"/>
              <w:rPr>
                <w:spacing w:val="2"/>
                <w:sz w:val="16"/>
              </w:rPr>
            </w:pPr>
            <w:r>
              <w:rPr>
                <w:spacing w:val="2"/>
                <w:sz w:val="16"/>
              </w:rPr>
              <w:t>1766</w:t>
            </w:r>
          </w:p>
        </w:tc>
        <w:tc>
          <w:tcPr>
            <w:tcW w:w="541" w:type="dxa"/>
          </w:tcPr>
          <w:p w:rsidR="00000000" w:rsidRDefault="00000000">
            <w:pPr>
              <w:spacing w:before="40" w:after="80" w:line="200" w:lineRule="exact"/>
              <w:jc w:val="center"/>
              <w:rPr>
                <w:spacing w:val="2"/>
                <w:sz w:val="16"/>
              </w:rPr>
            </w:pPr>
            <w:r>
              <w:rPr>
                <w:spacing w:val="2"/>
                <w:sz w:val="16"/>
              </w:rPr>
              <w:t>6641</w:t>
            </w:r>
          </w:p>
        </w:tc>
        <w:tc>
          <w:tcPr>
            <w:tcW w:w="500" w:type="dxa"/>
          </w:tcPr>
          <w:p w:rsidR="00000000" w:rsidRDefault="00000000">
            <w:pPr>
              <w:spacing w:before="40" w:after="80" w:line="200" w:lineRule="exact"/>
              <w:jc w:val="center"/>
              <w:rPr>
                <w:spacing w:val="2"/>
                <w:sz w:val="16"/>
              </w:rPr>
            </w:pPr>
            <w:r>
              <w:rPr>
                <w:spacing w:val="2"/>
                <w:sz w:val="16"/>
              </w:rPr>
              <w:t>26,6</w:t>
            </w:r>
          </w:p>
        </w:tc>
        <w:tc>
          <w:tcPr>
            <w:tcW w:w="653" w:type="dxa"/>
          </w:tcPr>
          <w:p w:rsidR="00000000" w:rsidRDefault="00000000">
            <w:pPr>
              <w:spacing w:before="40" w:after="80" w:line="200" w:lineRule="exact"/>
              <w:jc w:val="center"/>
              <w:rPr>
                <w:spacing w:val="2"/>
                <w:sz w:val="16"/>
              </w:rPr>
            </w:pPr>
            <w:r>
              <w:rPr>
                <w:spacing w:val="2"/>
                <w:sz w:val="16"/>
              </w:rPr>
              <w:t>2037</w:t>
            </w:r>
          </w:p>
        </w:tc>
        <w:tc>
          <w:tcPr>
            <w:tcW w:w="541" w:type="dxa"/>
          </w:tcPr>
          <w:p w:rsidR="00000000" w:rsidRDefault="00000000">
            <w:pPr>
              <w:spacing w:before="40" w:after="80" w:line="200" w:lineRule="exact"/>
              <w:jc w:val="center"/>
              <w:rPr>
                <w:spacing w:val="2"/>
                <w:sz w:val="16"/>
              </w:rPr>
            </w:pPr>
            <w:r>
              <w:rPr>
                <w:spacing w:val="2"/>
                <w:sz w:val="16"/>
              </w:rPr>
              <w:t>7263</w:t>
            </w:r>
          </w:p>
        </w:tc>
        <w:tc>
          <w:tcPr>
            <w:tcW w:w="500" w:type="dxa"/>
          </w:tcPr>
          <w:p w:rsidR="00000000" w:rsidRDefault="00000000">
            <w:pPr>
              <w:spacing w:before="40" w:after="80" w:line="200" w:lineRule="exact"/>
              <w:jc w:val="center"/>
              <w:rPr>
                <w:spacing w:val="2"/>
                <w:sz w:val="16"/>
              </w:rPr>
            </w:pPr>
            <w:r>
              <w:rPr>
                <w:spacing w:val="2"/>
                <w:sz w:val="16"/>
              </w:rPr>
              <w:t>28,0</w:t>
            </w:r>
          </w:p>
        </w:tc>
        <w:tc>
          <w:tcPr>
            <w:tcW w:w="653" w:type="dxa"/>
          </w:tcPr>
          <w:p w:rsidR="00000000" w:rsidRDefault="00000000">
            <w:pPr>
              <w:spacing w:before="40" w:after="80" w:line="200" w:lineRule="exact"/>
              <w:jc w:val="center"/>
              <w:rPr>
                <w:spacing w:val="2"/>
                <w:sz w:val="16"/>
              </w:rPr>
            </w:pPr>
            <w:r>
              <w:rPr>
                <w:spacing w:val="2"/>
                <w:sz w:val="16"/>
              </w:rPr>
              <w:t>2400</w:t>
            </w:r>
          </w:p>
        </w:tc>
        <w:tc>
          <w:tcPr>
            <w:tcW w:w="541" w:type="dxa"/>
          </w:tcPr>
          <w:p w:rsidR="00000000" w:rsidRDefault="00000000">
            <w:pPr>
              <w:spacing w:before="40" w:after="80" w:line="200" w:lineRule="exact"/>
              <w:jc w:val="center"/>
              <w:rPr>
                <w:spacing w:val="2"/>
                <w:sz w:val="16"/>
              </w:rPr>
            </w:pPr>
            <w:r>
              <w:rPr>
                <w:spacing w:val="2"/>
                <w:sz w:val="16"/>
              </w:rPr>
              <w:t>8261</w:t>
            </w:r>
          </w:p>
        </w:tc>
        <w:tc>
          <w:tcPr>
            <w:tcW w:w="500" w:type="dxa"/>
          </w:tcPr>
          <w:p w:rsidR="00000000" w:rsidRDefault="00000000">
            <w:pPr>
              <w:spacing w:before="40" w:after="80" w:line="200" w:lineRule="exact"/>
              <w:jc w:val="center"/>
              <w:rPr>
                <w:spacing w:val="2"/>
                <w:sz w:val="16"/>
              </w:rPr>
            </w:pPr>
            <w:r>
              <w:rPr>
                <w:spacing w:val="2"/>
                <w:sz w:val="16"/>
              </w:rPr>
              <w:t>29,1</w:t>
            </w:r>
          </w:p>
        </w:tc>
      </w:tr>
    </w:tbl>
    <w:p w:rsidR="00000000" w:rsidRDefault="00000000">
      <w:pPr>
        <w:spacing w:before="120" w:after="120" w:line="220" w:lineRule="exact"/>
        <w:jc w:val="right"/>
        <w:rPr>
          <w:b/>
          <w:spacing w:val="2"/>
          <w:sz w:val="18"/>
        </w:rPr>
      </w:pPr>
      <w:r>
        <w:rPr>
          <w:b/>
          <w:spacing w:val="2"/>
          <w:sz w:val="18"/>
        </w:rPr>
        <w:t>Источник: Министерство высшего образования</w:t>
      </w:r>
    </w:p>
    <w:p w:rsidR="00000000" w:rsidRDefault="00000000">
      <w:pPr>
        <w:spacing w:before="120" w:line="240" w:lineRule="auto"/>
        <w:rPr>
          <w:b/>
          <w:sz w:val="28"/>
        </w:rPr>
      </w:pPr>
      <w:r>
        <w:rPr>
          <w:b/>
          <w:sz w:val="28"/>
        </w:rPr>
        <w:t xml:space="preserve">IV. </w:t>
      </w:r>
      <w:r>
        <w:rPr>
          <w:b/>
          <w:sz w:val="28"/>
          <w:lang w:val="en-US"/>
        </w:rPr>
        <w:tab/>
      </w:r>
      <w:r>
        <w:rPr>
          <w:b/>
          <w:sz w:val="28"/>
        </w:rPr>
        <w:t>Школьный и университетский спорт</w:t>
      </w:r>
    </w:p>
    <w:p w:rsidR="00000000" w:rsidRDefault="00000000">
      <w:pPr>
        <w:rPr>
          <w:b/>
          <w:sz w:val="22"/>
        </w:rPr>
      </w:pPr>
      <w:r>
        <w:rPr>
          <w:b/>
          <w:sz w:val="22"/>
        </w:rPr>
        <w:t xml:space="preserve">IV.1. </w:t>
      </w:r>
      <w:r>
        <w:rPr>
          <w:b/>
          <w:sz w:val="22"/>
          <w:lang w:val="en-US"/>
        </w:rPr>
        <w:tab/>
      </w:r>
      <w:r>
        <w:rPr>
          <w:b/>
          <w:sz w:val="22"/>
        </w:rPr>
        <w:t>Преподавание физкультуры</w:t>
      </w:r>
    </w:p>
    <w:p w:rsidR="00000000" w:rsidRDefault="00000000">
      <w:r>
        <w:t>559.</w:t>
      </w:r>
      <w:r>
        <w:tab/>
        <w:t>Реформа системы образования превратила физкультуру в полноправную, а значит, обязательную дисциплину на различных этапах обучения как для мальчиков, так и для девочек.</w:t>
      </w:r>
    </w:p>
    <w:p w:rsidR="00000000" w:rsidRDefault="00000000">
      <w:pPr>
        <w:rPr>
          <w:b/>
          <w:sz w:val="22"/>
        </w:rPr>
      </w:pPr>
      <w:r>
        <w:rPr>
          <w:b/>
          <w:sz w:val="22"/>
        </w:rPr>
        <w:t xml:space="preserve">IV.2. </w:t>
      </w:r>
      <w:r>
        <w:rPr>
          <w:b/>
          <w:sz w:val="22"/>
          <w:lang w:val="en-US"/>
        </w:rPr>
        <w:tab/>
      </w:r>
      <w:r>
        <w:rPr>
          <w:b/>
          <w:sz w:val="22"/>
        </w:rPr>
        <w:t>Занятия физической культурой и спортом</w:t>
      </w:r>
    </w:p>
    <w:p w:rsidR="00000000" w:rsidRDefault="00000000">
      <w:r>
        <w:t>560.</w:t>
      </w:r>
      <w:r>
        <w:tab/>
        <w:t>Занятия физической культурой и спортом являются неотъемлемой частью системы образования и в качестве одной из задач реформы направлены, как и школьные программы, на то, чтобы дать учащимся всеобъемлющее образование. Школьные программы были расширены путем включения в них различных культурно-воспитательных предметов, таких как музыкальное воспитание, художественное творчество, театральное воспитание. Школа открыта для культурных контактов и устанавливает двусторонние связи с культурно-воспитательными учреждениями.</w:t>
      </w:r>
    </w:p>
    <w:p w:rsidR="00000000" w:rsidRDefault="00000000">
      <w:r>
        <w:t>561.</w:t>
      </w:r>
      <w:r>
        <w:tab/>
        <w:t>Проводимая политика в области образования способствовала усилению культурного воспитания в школе путем введения системы поощрения творческой деятельности. Так была учреждена премия Президента Республики за художественное творчество в школах и университетах (декрет № 1274 от 7 июля 1992 года). И здесь число девочек, получивших эту премию, превышает число мальчиков.</w:t>
      </w:r>
    </w:p>
    <w:p w:rsidR="00000000" w:rsidRDefault="00000000">
      <w:r>
        <w:t>562.</w:t>
      </w:r>
      <w:r>
        <w:tab/>
        <w:t>В лицеях и коллежах существуют спортивные общества, где девочки, как и мальчики, занимаются любимыми видами спорта. Нередко девочек отбирают для поступления в спортивный лицей или включают в школьные, региональные или национальные сборные спортивные команды. Девочки могут вступать в спортивные общества своих любимых команд.</w:t>
      </w:r>
    </w:p>
    <w:p w:rsidR="00000000" w:rsidRDefault="00000000">
      <w:r>
        <w:t>563.</w:t>
      </w:r>
      <w:r>
        <w:tab/>
        <w:t xml:space="preserve">Таким образом тунисская семья сегодня имеет больше стимулов для занятий спортом и получения всех связанных с этим преимуществ. Развитие женских спортивных клубов и рост числа девочек, которые их посещают, свидетельствуют о возросшем в их среде интересе к занятиям спортом. </w:t>
      </w:r>
    </w:p>
    <w:p w:rsidR="00000000" w:rsidRDefault="00000000">
      <w:pPr>
        <w:spacing w:before="120" w:line="240" w:lineRule="auto"/>
        <w:rPr>
          <w:b/>
          <w:sz w:val="28"/>
        </w:rPr>
      </w:pPr>
      <w:r>
        <w:rPr>
          <w:b/>
          <w:sz w:val="28"/>
        </w:rPr>
        <w:t xml:space="preserve">V. </w:t>
      </w:r>
      <w:r>
        <w:rPr>
          <w:b/>
          <w:sz w:val="28"/>
          <w:lang w:val="en-US"/>
        </w:rPr>
        <w:tab/>
      </w:r>
      <w:r>
        <w:rPr>
          <w:b/>
          <w:sz w:val="28"/>
        </w:rPr>
        <w:t>Борьба с неграмотностью</w:t>
      </w:r>
    </w:p>
    <w:p w:rsidR="00000000" w:rsidRDefault="00000000">
      <w:r>
        <w:t>564.</w:t>
      </w:r>
      <w:r>
        <w:tab/>
        <w:t>После рассмотрения первоначального и второго периодического докладов в 1995 году члены Комитета пожелали получить больше информации о борьбе с неграмотностью и об усилиях Туниса в этом направлении. Приводимая ниже информация является ответом на эту просьбу.</w:t>
      </w:r>
    </w:p>
    <w:p w:rsidR="00000000" w:rsidRDefault="00000000">
      <w:pPr>
        <w:spacing w:before="80" w:after="180" w:line="260" w:lineRule="exact"/>
        <w:rPr>
          <w:b/>
          <w:sz w:val="22"/>
        </w:rPr>
      </w:pPr>
      <w:r>
        <w:rPr>
          <w:b/>
          <w:sz w:val="22"/>
        </w:rPr>
        <w:t xml:space="preserve">V.1. </w:t>
      </w:r>
      <w:r>
        <w:rPr>
          <w:b/>
          <w:sz w:val="22"/>
          <w:lang w:val="en-US"/>
        </w:rPr>
        <w:tab/>
      </w:r>
      <w:r>
        <w:rPr>
          <w:b/>
          <w:sz w:val="22"/>
        </w:rPr>
        <w:t>Статистические показатели</w:t>
      </w:r>
    </w:p>
    <w:p w:rsidR="00000000" w:rsidRDefault="00000000">
      <w:r>
        <w:t>565.</w:t>
      </w:r>
      <w:r>
        <w:tab/>
        <w:t>Согласно общей переписи населения и жилого фонда, проведенной в 1994 году, показатель неграмотности снизился с 37,2 процента в 1989 году до 31,7 процента в 1994 году; неграмотных среди женского населения было 48,3 процента в 1989 году, и в 1994 году они составили 42,3 процента.</w:t>
      </w:r>
    </w:p>
    <w:p w:rsidR="00000000" w:rsidRDefault="00000000">
      <w:r>
        <w:t>566.</w:t>
      </w:r>
      <w:r>
        <w:tab/>
        <w:t>В соответствии с национальным опросом по проблемам народонаселения и занятости, проведенным в 1999 году, показатель неграмотности составил 27 процентов в отношении населения в возрасте 10 лет и старше и 9,1 процента в отношении населения в возрасте до 30 лет, что подтверждает значительное снижение показателя неграмотности по сравнению с результатами национальной переписи 1994 года. Этот показатель сократился до 36 процентов у женщин и до 17,7 процента у мужчин (составив 53,2 процента в сельской местности и 26,4 процента в городе).</w:t>
      </w:r>
    </w:p>
    <w:p w:rsidR="00000000" w:rsidRDefault="00000000">
      <w:r>
        <w:t>567.</w:t>
      </w:r>
      <w:r>
        <w:tab/>
        <w:t>За последние 30 лет в Тунисе снизился уровень неграмотности среди женщин. Он сократился с 82,4 процента в 1966 году до 42,3 процента в 1994 году, то есть на чуть менее 50 процентов.</w:t>
      </w:r>
    </w:p>
    <w:p w:rsidR="00000000" w:rsidRDefault="00000000">
      <w:pPr>
        <w:spacing w:after="120"/>
        <w:jc w:val="center"/>
        <w:rPr>
          <w:b/>
        </w:rPr>
      </w:pPr>
      <w:r>
        <w:rPr>
          <w:b/>
        </w:rPr>
        <w:t>Динамика показателя неграмотности с 1966 года (в процентах)</w:t>
      </w:r>
    </w:p>
    <w:tbl>
      <w:tblPr>
        <w:tblW w:w="0" w:type="auto"/>
        <w:jc w:val="center"/>
        <w:tblLayout w:type="fixed"/>
        <w:tblCellMar>
          <w:left w:w="40" w:type="dxa"/>
          <w:right w:w="40" w:type="dxa"/>
        </w:tblCellMar>
        <w:tblLook w:val="0000" w:firstRow="0" w:lastRow="0" w:firstColumn="0" w:lastColumn="0" w:noHBand="0" w:noVBand="0"/>
      </w:tblPr>
      <w:tblGrid>
        <w:gridCol w:w="965"/>
        <w:gridCol w:w="681"/>
        <w:gridCol w:w="680"/>
        <w:gridCol w:w="680"/>
        <w:gridCol w:w="680"/>
        <w:gridCol w:w="680"/>
        <w:gridCol w:w="851"/>
        <w:gridCol w:w="680"/>
        <w:gridCol w:w="680"/>
        <w:gridCol w:w="851"/>
        <w:gridCol w:w="680"/>
        <w:gridCol w:w="680"/>
        <w:gridCol w:w="851"/>
      </w:tblGrid>
      <w:tr w:rsidR="00000000">
        <w:tblPrEx>
          <w:tblCellMar>
            <w:top w:w="0" w:type="dxa"/>
            <w:bottom w:w="0" w:type="dxa"/>
          </w:tblCellMar>
        </w:tblPrEx>
        <w:trPr>
          <w:cantSplit/>
          <w:trHeight w:val="20"/>
          <w:jc w:val="center"/>
        </w:trPr>
        <w:tc>
          <w:tcPr>
            <w:tcW w:w="965" w:type="dxa"/>
            <w:vMerge w:val="restart"/>
            <w:tcBorders>
              <w:top w:val="single" w:sz="6" w:space="0" w:color="auto"/>
              <w:left w:val="single" w:sz="6" w:space="0" w:color="auto"/>
              <w:right w:val="single" w:sz="6" w:space="0" w:color="auto"/>
            </w:tcBorders>
          </w:tcPr>
          <w:p w:rsidR="00000000" w:rsidRDefault="00000000">
            <w:pPr>
              <w:spacing w:before="40" w:after="40" w:line="200" w:lineRule="exact"/>
              <w:rPr>
                <w:b/>
                <w:sz w:val="16"/>
              </w:rPr>
            </w:pPr>
            <w:r>
              <w:rPr>
                <w:b/>
                <w:sz w:val="16"/>
              </w:rPr>
              <w:t>Перепись населения</w:t>
            </w:r>
          </w:p>
        </w:tc>
        <w:tc>
          <w:tcPr>
            <w:tcW w:w="681" w:type="dxa"/>
            <w:vMerge w:val="restart"/>
            <w:tcBorders>
              <w:top w:val="single" w:sz="6" w:space="0" w:color="auto"/>
              <w:left w:val="single" w:sz="6" w:space="0" w:color="auto"/>
              <w:right w:val="single" w:sz="6" w:space="0" w:color="auto"/>
            </w:tcBorders>
          </w:tcPr>
          <w:p w:rsidR="00000000" w:rsidRDefault="00000000">
            <w:pPr>
              <w:spacing w:before="40" w:after="40" w:line="200" w:lineRule="exact"/>
              <w:jc w:val="center"/>
              <w:rPr>
                <w:b/>
                <w:sz w:val="16"/>
              </w:rPr>
            </w:pPr>
            <w:r>
              <w:rPr>
                <w:b/>
                <w:sz w:val="16"/>
              </w:rPr>
              <w:t>1966 год</w:t>
            </w:r>
          </w:p>
        </w:tc>
        <w:tc>
          <w:tcPr>
            <w:tcW w:w="680" w:type="dxa"/>
            <w:vMerge w:val="restart"/>
            <w:tcBorders>
              <w:top w:val="single" w:sz="6" w:space="0" w:color="auto"/>
              <w:left w:val="single" w:sz="6" w:space="0" w:color="auto"/>
              <w:right w:val="single" w:sz="6" w:space="0" w:color="auto"/>
            </w:tcBorders>
          </w:tcPr>
          <w:p w:rsidR="00000000" w:rsidRDefault="00000000">
            <w:pPr>
              <w:spacing w:before="40" w:after="40" w:line="200" w:lineRule="exact"/>
              <w:jc w:val="center"/>
              <w:rPr>
                <w:b/>
                <w:sz w:val="16"/>
              </w:rPr>
            </w:pPr>
            <w:r>
              <w:rPr>
                <w:b/>
                <w:sz w:val="16"/>
              </w:rPr>
              <w:t>1975 год</w:t>
            </w:r>
          </w:p>
        </w:tc>
        <w:tc>
          <w:tcPr>
            <w:tcW w:w="680" w:type="dxa"/>
            <w:vMerge w:val="restart"/>
            <w:tcBorders>
              <w:top w:val="single" w:sz="6" w:space="0" w:color="auto"/>
              <w:left w:val="single" w:sz="6" w:space="0" w:color="auto"/>
              <w:right w:val="single" w:sz="6" w:space="0" w:color="auto"/>
            </w:tcBorders>
          </w:tcPr>
          <w:p w:rsidR="00000000" w:rsidRDefault="00000000">
            <w:pPr>
              <w:spacing w:before="40" w:after="40" w:line="200" w:lineRule="exact"/>
              <w:jc w:val="center"/>
              <w:rPr>
                <w:b/>
                <w:sz w:val="16"/>
              </w:rPr>
            </w:pPr>
            <w:r>
              <w:rPr>
                <w:b/>
                <w:sz w:val="16"/>
              </w:rPr>
              <w:t>1984 год</w:t>
            </w:r>
          </w:p>
        </w:tc>
        <w:tc>
          <w:tcPr>
            <w:tcW w:w="2211"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r>
              <w:rPr>
                <w:b/>
                <w:sz w:val="16"/>
              </w:rPr>
              <w:t>1989 год</w:t>
            </w:r>
          </w:p>
        </w:tc>
        <w:tc>
          <w:tcPr>
            <w:tcW w:w="2211"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r>
              <w:rPr>
                <w:b/>
                <w:sz w:val="16"/>
              </w:rPr>
              <w:t>1994 год</w:t>
            </w:r>
          </w:p>
        </w:tc>
        <w:tc>
          <w:tcPr>
            <w:tcW w:w="2211"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r>
              <w:rPr>
                <w:b/>
                <w:sz w:val="16"/>
              </w:rPr>
              <w:t>1999 год</w:t>
            </w:r>
          </w:p>
        </w:tc>
      </w:tr>
      <w:tr w:rsidR="00000000">
        <w:tblPrEx>
          <w:tblCellMar>
            <w:top w:w="0" w:type="dxa"/>
            <w:bottom w:w="0" w:type="dxa"/>
          </w:tblCellMar>
        </w:tblPrEx>
        <w:trPr>
          <w:cantSplit/>
          <w:trHeight w:val="20"/>
          <w:jc w:val="center"/>
        </w:trPr>
        <w:tc>
          <w:tcPr>
            <w:tcW w:w="965" w:type="dxa"/>
            <w:vMerge/>
            <w:tcBorders>
              <w:left w:val="single" w:sz="6" w:space="0" w:color="auto"/>
              <w:bottom w:val="single" w:sz="6" w:space="0" w:color="auto"/>
              <w:right w:val="single" w:sz="6" w:space="0" w:color="auto"/>
            </w:tcBorders>
          </w:tcPr>
          <w:p w:rsidR="00000000" w:rsidRDefault="00000000">
            <w:pPr>
              <w:spacing w:before="40" w:after="40" w:line="220" w:lineRule="exact"/>
              <w:rPr>
                <w:b/>
                <w:sz w:val="18"/>
              </w:rPr>
            </w:pPr>
          </w:p>
        </w:tc>
        <w:tc>
          <w:tcPr>
            <w:tcW w:w="681" w:type="dxa"/>
            <w:vMerge/>
            <w:tcBorders>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p>
        </w:tc>
        <w:tc>
          <w:tcPr>
            <w:tcW w:w="680" w:type="dxa"/>
            <w:vMerge/>
            <w:tcBorders>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p>
        </w:tc>
        <w:tc>
          <w:tcPr>
            <w:tcW w:w="680" w:type="dxa"/>
            <w:vMerge/>
            <w:tcBorders>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r>
              <w:rPr>
                <w:b/>
                <w:sz w:val="16"/>
              </w:rPr>
              <w:t>всего</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r>
              <w:rPr>
                <w:b/>
                <w:sz w:val="16"/>
              </w:rPr>
              <w:t>город</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r>
              <w:rPr>
                <w:b/>
                <w:sz w:val="16"/>
              </w:rPr>
              <w:t>сельская местн.</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r>
              <w:rPr>
                <w:b/>
                <w:sz w:val="16"/>
              </w:rPr>
              <w:t>всего</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r>
              <w:rPr>
                <w:b/>
                <w:sz w:val="16"/>
              </w:rPr>
              <w:t>город</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r>
              <w:rPr>
                <w:b/>
                <w:sz w:val="16"/>
              </w:rPr>
              <w:t>сельская местн.</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r>
              <w:rPr>
                <w:b/>
                <w:sz w:val="16"/>
              </w:rPr>
              <w:t>всего</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r>
              <w:rPr>
                <w:b/>
                <w:sz w:val="16"/>
              </w:rPr>
              <w:t>город</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00" w:lineRule="exact"/>
              <w:jc w:val="center"/>
              <w:rPr>
                <w:b/>
                <w:sz w:val="16"/>
              </w:rPr>
            </w:pPr>
            <w:r>
              <w:rPr>
                <w:b/>
                <w:sz w:val="16"/>
              </w:rPr>
              <w:t>сельская местн.</w:t>
            </w:r>
          </w:p>
        </w:tc>
      </w:tr>
      <w:tr w:rsidR="00000000">
        <w:tblPrEx>
          <w:tblCellMar>
            <w:top w:w="0" w:type="dxa"/>
            <w:bottom w:w="0" w:type="dxa"/>
          </w:tblCellMar>
        </w:tblPrEx>
        <w:trPr>
          <w:trHeight w:val="20"/>
          <w:jc w:val="center"/>
        </w:trPr>
        <w:tc>
          <w:tcPr>
            <w:tcW w:w="96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Мужчины</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53,9</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42,3</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34,6</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26,4</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19,1</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37,6</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21,2</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14,5</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32,2</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17,7</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11,8</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28,2</w:t>
            </w:r>
          </w:p>
        </w:tc>
      </w:tr>
      <w:tr w:rsidR="00000000">
        <w:tblPrEx>
          <w:tblCellMar>
            <w:top w:w="0" w:type="dxa"/>
            <w:bottom w:w="0" w:type="dxa"/>
          </w:tblCellMar>
        </w:tblPrEx>
        <w:trPr>
          <w:trHeight w:val="20"/>
          <w:jc w:val="center"/>
        </w:trPr>
        <w:tc>
          <w:tcPr>
            <w:tcW w:w="96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Женщины</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82,4</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67,9</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58,1</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48,3</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36,6</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66,1</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42,3</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31,3</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60,1</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36,2</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26,4</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53,2</w:t>
            </w:r>
          </w:p>
        </w:tc>
      </w:tr>
      <w:tr w:rsidR="00000000">
        <w:tblPrEx>
          <w:tblCellMar>
            <w:top w:w="0" w:type="dxa"/>
            <w:bottom w:w="0" w:type="dxa"/>
          </w:tblCellMar>
        </w:tblPrEx>
        <w:trPr>
          <w:trHeight w:val="20"/>
          <w:jc w:val="center"/>
        </w:trPr>
        <w:tc>
          <w:tcPr>
            <w:tcW w:w="96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Всего</w:t>
            </w:r>
          </w:p>
        </w:tc>
        <w:tc>
          <w:tcPr>
            <w:tcW w:w="68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67,9</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54,9</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46,2</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37,2</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27,7</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51,7</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31,7</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22,8</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46,2</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27,0</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19,0</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40,8</w:t>
            </w:r>
          </w:p>
        </w:tc>
      </w:tr>
    </w:tbl>
    <w:p w:rsidR="00000000" w:rsidRDefault="00000000">
      <w:pPr>
        <w:spacing w:before="60" w:line="220" w:lineRule="exact"/>
        <w:jc w:val="right"/>
        <w:rPr>
          <w:b/>
          <w:sz w:val="18"/>
        </w:rPr>
      </w:pPr>
      <w:r>
        <w:rPr>
          <w:b/>
          <w:sz w:val="18"/>
        </w:rPr>
        <w:t>Источник: НСИ, Доклад ЦНИДИЖ о женщинах, проживающих в сельской местности</w:t>
      </w:r>
    </w:p>
    <w:p w:rsidR="00000000" w:rsidRDefault="00000000">
      <w:r>
        <w:t>568.</w:t>
      </w:r>
      <w:r>
        <w:tab/>
        <w:t>С возрастом наблюдается рост уровня неграмотности. У подростков (10–14 лет) показатель равен только 6,3 процента, для возрастной группы 40–44 лет он составляет 40 процентов и достигает 69,2 процента для возрастной группы старше 50 лет.</w:t>
      </w:r>
    </w:p>
    <w:p w:rsidR="00000000" w:rsidRDefault="00000000">
      <w:r>
        <w:t>569.</w:t>
      </w:r>
      <w:r>
        <w:tab/>
        <w:t>Национальный опрос по проблемам народонаселения и занятости, проводившийся в 1999 году, показал значительное снижение показателя неграмотности по стране, который снизился до 27 процентов в отношении населения в возрасте старше 10 лет. Уровень неграмотности среди женщин остается, однако, высоким – 36,3 процента против 17,7 процента у мужчин из той же категории населения.</w:t>
      </w:r>
    </w:p>
    <w:p w:rsidR="00000000" w:rsidRDefault="00000000">
      <w:pPr>
        <w:spacing w:after="120"/>
        <w:jc w:val="center"/>
        <w:rPr>
          <w:b/>
        </w:rPr>
      </w:pPr>
      <w:r>
        <w:rPr>
          <w:b/>
        </w:rPr>
        <w:t xml:space="preserve">Показатель неграмотности в разбивке по полу и месту проживания у первой возрастной группы </w:t>
      </w:r>
      <w:r>
        <w:rPr>
          <w:b/>
        </w:rPr>
        <w:br/>
        <w:t>(1989 год)</w:t>
      </w:r>
    </w:p>
    <w:tbl>
      <w:tblPr>
        <w:tblW w:w="0" w:type="auto"/>
        <w:jc w:val="center"/>
        <w:tblLayout w:type="fixed"/>
        <w:tblCellMar>
          <w:left w:w="40" w:type="dxa"/>
          <w:right w:w="40" w:type="dxa"/>
        </w:tblCellMar>
        <w:tblLook w:val="0000" w:firstRow="0" w:lastRow="0" w:firstColumn="0" w:lastColumn="0" w:noHBand="0" w:noVBand="0"/>
      </w:tblPr>
      <w:tblGrid>
        <w:gridCol w:w="1526"/>
        <w:gridCol w:w="1078"/>
        <w:gridCol w:w="1078"/>
        <w:gridCol w:w="1078"/>
        <w:gridCol w:w="1078"/>
        <w:gridCol w:w="1078"/>
        <w:gridCol w:w="1078"/>
        <w:gridCol w:w="1078"/>
      </w:tblGrid>
      <w:tr w:rsidR="00000000">
        <w:tblPrEx>
          <w:tblCellMar>
            <w:top w:w="0" w:type="dxa"/>
            <w:bottom w:w="0" w:type="dxa"/>
          </w:tblCellMar>
        </w:tblPrEx>
        <w:trPr>
          <w:cantSplit/>
          <w:trHeight w:val="20"/>
          <w:jc w:val="center"/>
        </w:trPr>
        <w:tc>
          <w:tcPr>
            <w:tcW w:w="1526" w:type="dxa"/>
            <w:vMerge w:val="restart"/>
            <w:tcBorders>
              <w:top w:val="single" w:sz="6" w:space="0" w:color="auto"/>
              <w:left w:val="single" w:sz="6" w:space="0" w:color="auto"/>
              <w:right w:val="single" w:sz="6" w:space="0" w:color="auto"/>
            </w:tcBorders>
          </w:tcPr>
          <w:p w:rsidR="00000000" w:rsidRDefault="00000000">
            <w:pPr>
              <w:spacing w:before="40" w:after="40" w:line="220" w:lineRule="exact"/>
              <w:rPr>
                <w:b/>
                <w:sz w:val="18"/>
              </w:rPr>
            </w:pPr>
            <w:r>
              <w:rPr>
                <w:b/>
                <w:sz w:val="18"/>
              </w:rPr>
              <w:t>Возрастная группа</w:t>
            </w:r>
          </w:p>
        </w:tc>
        <w:tc>
          <w:tcPr>
            <w:tcW w:w="215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Город</w:t>
            </w:r>
          </w:p>
        </w:tc>
        <w:tc>
          <w:tcPr>
            <w:tcW w:w="215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Сельская местность</w:t>
            </w:r>
          </w:p>
        </w:tc>
        <w:tc>
          <w:tcPr>
            <w:tcW w:w="3234"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Всего</w:t>
            </w:r>
          </w:p>
        </w:tc>
      </w:tr>
      <w:tr w:rsidR="00000000">
        <w:tblPrEx>
          <w:tblCellMar>
            <w:top w:w="0" w:type="dxa"/>
            <w:bottom w:w="0" w:type="dxa"/>
          </w:tblCellMar>
        </w:tblPrEx>
        <w:trPr>
          <w:cantSplit/>
          <w:trHeight w:val="20"/>
          <w:jc w:val="center"/>
        </w:trPr>
        <w:tc>
          <w:tcPr>
            <w:tcW w:w="1526" w:type="dxa"/>
            <w:vMerge/>
            <w:tcBorders>
              <w:left w:val="single" w:sz="6" w:space="0" w:color="auto"/>
              <w:bottom w:val="single" w:sz="6" w:space="0" w:color="auto"/>
              <w:right w:val="single" w:sz="6" w:space="0" w:color="auto"/>
            </w:tcBorders>
          </w:tcPr>
          <w:p w:rsidR="00000000" w:rsidRDefault="00000000">
            <w:pPr>
              <w:spacing w:before="40" w:after="40" w:line="220" w:lineRule="exact"/>
              <w:rPr>
                <w:b/>
                <w:sz w:val="18"/>
              </w:rPr>
            </w:pP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мужчины</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женщины</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мужчины</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женщины</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мужчины</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женщины</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всего</w:t>
            </w:r>
          </w:p>
        </w:tc>
      </w:tr>
      <w:tr w:rsidR="00000000">
        <w:tblPrEx>
          <w:tblCellMar>
            <w:top w:w="0" w:type="dxa"/>
            <w:bottom w:w="0" w:type="dxa"/>
          </w:tblCellMar>
        </w:tblPrEx>
        <w:trPr>
          <w:trHeight w:val="20"/>
          <w:jc w:val="center"/>
        </w:trPr>
        <w:tc>
          <w:tcPr>
            <w:tcW w:w="152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10–I4 лет</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3,4</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5,6</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25,2</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3,5</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13,3</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8,3</w:t>
            </w:r>
          </w:p>
        </w:tc>
      </w:tr>
      <w:tr w:rsidR="00000000">
        <w:tblPrEx>
          <w:tblCellMar>
            <w:top w:w="0" w:type="dxa"/>
            <w:bottom w:w="0" w:type="dxa"/>
          </w:tblCellMar>
        </w:tblPrEx>
        <w:trPr>
          <w:trHeight w:val="20"/>
          <w:jc w:val="center"/>
        </w:trPr>
        <w:tc>
          <w:tcPr>
            <w:tcW w:w="152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I5–19 лет</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2,4</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7,6</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9,3</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42,5</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5,3</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22,4</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13,7</w:t>
            </w:r>
          </w:p>
        </w:tc>
      </w:tr>
      <w:tr w:rsidR="00000000">
        <w:tblPrEx>
          <w:tblCellMar>
            <w:top w:w="0" w:type="dxa"/>
            <w:bottom w:w="0" w:type="dxa"/>
          </w:tblCellMar>
        </w:tblPrEx>
        <w:trPr>
          <w:trHeight w:val="20"/>
          <w:jc w:val="center"/>
        </w:trPr>
        <w:tc>
          <w:tcPr>
            <w:tcW w:w="152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20–24 года</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4,0</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15,5</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18,8</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62,8</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9,7</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33,9</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21,6</w:t>
            </w:r>
          </w:p>
        </w:tc>
      </w:tr>
      <w:tr w:rsidR="00000000">
        <w:tblPrEx>
          <w:tblCellMar>
            <w:top w:w="0" w:type="dxa"/>
            <w:bottom w:w="0" w:type="dxa"/>
          </w:tblCellMar>
        </w:tblPrEx>
        <w:trPr>
          <w:trHeight w:val="20"/>
          <w:jc w:val="center"/>
        </w:trPr>
        <w:tc>
          <w:tcPr>
            <w:tcW w:w="152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25–29 лет</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5,4</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19,6</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22,1</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65,2</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11,7</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35,7</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23,5</w:t>
            </w:r>
          </w:p>
        </w:tc>
      </w:tr>
    </w:tbl>
    <w:p w:rsidR="00000000" w:rsidRDefault="00000000">
      <w:pPr>
        <w:spacing w:before="60" w:after="180" w:line="220" w:lineRule="exact"/>
        <w:ind w:right="289"/>
        <w:jc w:val="right"/>
        <w:rPr>
          <w:b/>
          <w:sz w:val="18"/>
        </w:rPr>
      </w:pPr>
      <w:r>
        <w:rPr>
          <w:b/>
          <w:sz w:val="18"/>
        </w:rPr>
        <w:t>Источник: НИС, Доклад ЦНИДИЖ о женщинах, проживающих в сельской местности</w:t>
      </w:r>
    </w:p>
    <w:p w:rsidR="00000000" w:rsidRDefault="00000000">
      <w:pPr>
        <w:spacing w:after="120"/>
        <w:jc w:val="center"/>
        <w:rPr>
          <w:b/>
        </w:rPr>
      </w:pPr>
      <w:r>
        <w:rPr>
          <w:b/>
        </w:rPr>
        <w:t xml:space="preserve">Показатель неграмотности в разбивке по полу и месту проживания у первой возрастной группы </w:t>
      </w:r>
      <w:r>
        <w:rPr>
          <w:b/>
        </w:rPr>
        <w:br/>
        <w:t>(1994 год)</w:t>
      </w:r>
    </w:p>
    <w:tbl>
      <w:tblPr>
        <w:tblW w:w="0" w:type="auto"/>
        <w:jc w:val="center"/>
        <w:tblLayout w:type="fixed"/>
        <w:tblCellMar>
          <w:left w:w="40" w:type="dxa"/>
          <w:right w:w="40" w:type="dxa"/>
        </w:tblCellMar>
        <w:tblLook w:val="0000" w:firstRow="0" w:lastRow="0" w:firstColumn="0" w:lastColumn="0" w:noHBand="0" w:noVBand="0"/>
      </w:tblPr>
      <w:tblGrid>
        <w:gridCol w:w="1532"/>
        <w:gridCol w:w="1078"/>
        <w:gridCol w:w="1077"/>
        <w:gridCol w:w="1077"/>
        <w:gridCol w:w="1077"/>
        <w:gridCol w:w="1077"/>
        <w:gridCol w:w="1077"/>
        <w:gridCol w:w="1077"/>
      </w:tblGrid>
      <w:tr w:rsidR="00000000">
        <w:tblPrEx>
          <w:tblCellMar>
            <w:top w:w="0" w:type="dxa"/>
            <w:bottom w:w="0" w:type="dxa"/>
          </w:tblCellMar>
        </w:tblPrEx>
        <w:trPr>
          <w:cantSplit/>
          <w:trHeight w:val="20"/>
          <w:jc w:val="center"/>
        </w:trPr>
        <w:tc>
          <w:tcPr>
            <w:tcW w:w="1532" w:type="dxa"/>
            <w:vMerge w:val="restart"/>
            <w:tcBorders>
              <w:top w:val="single" w:sz="6" w:space="0" w:color="auto"/>
              <w:left w:val="single" w:sz="6" w:space="0" w:color="auto"/>
              <w:right w:val="single" w:sz="6" w:space="0" w:color="auto"/>
            </w:tcBorders>
          </w:tcPr>
          <w:p w:rsidR="00000000" w:rsidRDefault="00000000">
            <w:pPr>
              <w:spacing w:before="40" w:after="40" w:line="220" w:lineRule="exact"/>
              <w:rPr>
                <w:b/>
                <w:sz w:val="18"/>
              </w:rPr>
            </w:pPr>
            <w:r>
              <w:rPr>
                <w:b/>
                <w:sz w:val="18"/>
              </w:rPr>
              <w:t>Возрастная группа</w:t>
            </w:r>
          </w:p>
        </w:tc>
        <w:tc>
          <w:tcPr>
            <w:tcW w:w="2155"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Город</w:t>
            </w:r>
          </w:p>
        </w:tc>
        <w:tc>
          <w:tcPr>
            <w:tcW w:w="2154"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Сельская местность</w:t>
            </w:r>
          </w:p>
        </w:tc>
        <w:tc>
          <w:tcPr>
            <w:tcW w:w="3231"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Всего</w:t>
            </w:r>
          </w:p>
        </w:tc>
      </w:tr>
      <w:tr w:rsidR="00000000">
        <w:tblPrEx>
          <w:tblCellMar>
            <w:top w:w="0" w:type="dxa"/>
            <w:bottom w:w="0" w:type="dxa"/>
          </w:tblCellMar>
        </w:tblPrEx>
        <w:trPr>
          <w:cantSplit/>
          <w:trHeight w:val="20"/>
          <w:jc w:val="center"/>
        </w:trPr>
        <w:tc>
          <w:tcPr>
            <w:tcW w:w="1532" w:type="dxa"/>
            <w:vMerge/>
            <w:tcBorders>
              <w:left w:val="single" w:sz="6" w:space="0" w:color="auto"/>
              <w:bottom w:val="single" w:sz="6" w:space="0" w:color="auto"/>
              <w:right w:val="single" w:sz="6" w:space="0" w:color="auto"/>
            </w:tcBorders>
          </w:tcPr>
          <w:p w:rsidR="00000000" w:rsidRDefault="00000000">
            <w:pPr>
              <w:spacing w:before="40" w:after="40" w:line="220" w:lineRule="exact"/>
              <w:rPr>
                <w:b/>
                <w:sz w:val="18"/>
              </w:rPr>
            </w:pP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мужчины</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женщины</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мужчины</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женщины</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мужчины</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женщины</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всего</w:t>
            </w:r>
          </w:p>
        </w:tc>
      </w:tr>
      <w:tr w:rsidR="00000000">
        <w:tblPrEx>
          <w:tblCellMar>
            <w:top w:w="0" w:type="dxa"/>
            <w:bottom w:w="0" w:type="dxa"/>
          </w:tblCellMar>
        </w:tblPrEx>
        <w:trPr>
          <w:trHeight w:val="20"/>
          <w:jc w:val="center"/>
        </w:trPr>
        <w:tc>
          <w:tcPr>
            <w:tcW w:w="153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10– I4 лет</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1,7</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2,5</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5,7</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19,3</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3,4</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9,4</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6,3</w:t>
            </w:r>
          </w:p>
        </w:tc>
      </w:tr>
      <w:tr w:rsidR="00000000">
        <w:tblPrEx>
          <w:tblCellMar>
            <w:top w:w="0" w:type="dxa"/>
            <w:bottom w:w="0" w:type="dxa"/>
          </w:tblCellMar>
        </w:tblPrEx>
        <w:trPr>
          <w:trHeight w:val="20"/>
          <w:jc w:val="center"/>
        </w:trPr>
        <w:tc>
          <w:tcPr>
            <w:tcW w:w="153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I5–19 лет</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1,8</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4,5</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8,1</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29,1</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4,4</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14,9</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9,6</w:t>
            </w:r>
          </w:p>
        </w:tc>
      </w:tr>
      <w:tr w:rsidR="00000000">
        <w:tblPrEx>
          <w:tblCellMar>
            <w:top w:w="0" w:type="dxa"/>
            <w:bottom w:w="0" w:type="dxa"/>
          </w:tblCellMar>
        </w:tblPrEx>
        <w:trPr>
          <w:trHeight w:val="20"/>
          <w:jc w:val="center"/>
        </w:trPr>
        <w:tc>
          <w:tcPr>
            <w:tcW w:w="153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20–24 года</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2,9</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9,4</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12,5</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46,1</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6,6</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24,1</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15,3</w:t>
            </w:r>
          </w:p>
        </w:tc>
      </w:tr>
      <w:tr w:rsidR="00000000">
        <w:tblPrEx>
          <w:tblCellMar>
            <w:top w:w="0" w:type="dxa"/>
            <w:bottom w:w="0" w:type="dxa"/>
          </w:tblCellMar>
        </w:tblPrEx>
        <w:trPr>
          <w:trHeight w:val="20"/>
          <w:jc w:val="center"/>
        </w:trPr>
        <w:tc>
          <w:tcPr>
            <w:tcW w:w="153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25–29 лет</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5,3</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22,7</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22,7</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64,6</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11,4</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34,7</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23,3</w:t>
            </w:r>
          </w:p>
        </w:tc>
      </w:tr>
    </w:tbl>
    <w:p w:rsidR="00000000" w:rsidRDefault="00000000">
      <w:pPr>
        <w:spacing w:before="40" w:after="120" w:line="220" w:lineRule="exact"/>
        <w:ind w:right="289"/>
        <w:jc w:val="right"/>
        <w:rPr>
          <w:b/>
          <w:sz w:val="18"/>
        </w:rPr>
      </w:pPr>
      <w:r>
        <w:rPr>
          <w:b/>
          <w:sz w:val="18"/>
        </w:rPr>
        <w:t>Источник: НИС, Доклад ЦНИДИЖ о женщинах, проживающих в сельской местности</w:t>
      </w:r>
    </w:p>
    <w:p w:rsidR="00000000" w:rsidRDefault="00000000">
      <w:r>
        <w:t>570.</w:t>
      </w:r>
      <w:r>
        <w:tab/>
        <w:t>Национальный опрос по проблемам народонаселения и занятости, проводившийся в 1999 году, показал также, что неграмотность среди женщин в возрастной категории моложе 30 лет по стране составляет 13,6 процента, то есть 27,1 процента в сельской местности (8,8 процента у мужчин) и 5 процентов в городе (2,2 процента у мужчин).</w:t>
      </w:r>
    </w:p>
    <w:p w:rsidR="00000000" w:rsidRDefault="00000000">
      <w:pPr>
        <w:rPr>
          <w:spacing w:val="-4"/>
        </w:rPr>
      </w:pPr>
      <w:r>
        <w:t>571.</w:t>
      </w:r>
      <w:r>
        <w:tab/>
      </w:r>
      <w:r>
        <w:rPr>
          <w:spacing w:val="-4"/>
        </w:rPr>
        <w:t>Сохраняющиеся диспропорции между мужчинами и женщинами в отношении неграмотности, несмотря на значительное улучшение показателя охвата девочек образованием, объясняются наличием небольшой категории лиц преклонного возраста, именуемых "неподдающимися", среди которых женщин больше, чем мужчин.</w:t>
      </w:r>
    </w:p>
    <w:p w:rsidR="00000000" w:rsidRDefault="00000000">
      <w:pPr>
        <w:spacing w:before="120" w:after="180" w:line="260" w:lineRule="exact"/>
        <w:rPr>
          <w:b/>
          <w:sz w:val="22"/>
        </w:rPr>
      </w:pPr>
      <w:r>
        <w:rPr>
          <w:b/>
          <w:sz w:val="22"/>
        </w:rPr>
        <w:t xml:space="preserve">V.2 </w:t>
      </w:r>
      <w:r>
        <w:rPr>
          <w:b/>
          <w:sz w:val="22"/>
        </w:rPr>
        <w:tab/>
        <w:t>Национальная стратегия борьбы с неграмотностью</w:t>
      </w:r>
    </w:p>
    <w:p w:rsidR="00000000" w:rsidRDefault="00000000">
      <w:pPr>
        <w:spacing w:after="40"/>
      </w:pPr>
      <w:r>
        <w:t>572.</w:t>
      </w:r>
      <w:r>
        <w:tab/>
        <w:t>Была разработана национальная программа борьбы с неграмотностью в рамках VШ, IX и X планов экономического и социального развития (1992–2006 годы), имеющая целью:</w:t>
      </w:r>
    </w:p>
    <w:p w:rsidR="00000000" w:rsidRDefault="00000000">
      <w:pPr>
        <w:spacing w:after="40"/>
      </w:pPr>
      <w:r>
        <w:rPr>
          <w:lang w:val="en-US"/>
        </w:rPr>
        <w:tab/>
      </w:r>
      <w:r>
        <w:t xml:space="preserve">– </w:t>
      </w:r>
      <w:r>
        <w:tab/>
        <w:t>искоренение неграмотности в возрастной категории 15–44 лет;</w:t>
      </w:r>
    </w:p>
    <w:p w:rsidR="00000000" w:rsidRDefault="00000000">
      <w:pPr>
        <w:spacing w:after="40"/>
        <w:ind w:left="1021" w:hanging="1021"/>
      </w:pPr>
      <w:r>
        <w:tab/>
        <w:t xml:space="preserve">– </w:t>
      </w:r>
      <w:r>
        <w:tab/>
        <w:t>сокращение диспропорций в показателях неграмотности между мужчинами и женщинами</w:t>
      </w:r>
      <w:r>
        <w:rPr>
          <w:b/>
        </w:rPr>
        <w:t xml:space="preserve"> </w:t>
      </w:r>
      <w:r>
        <w:t>путем снижения уровня неграмотности, в частности у женщин, проживающих в сельской местности;</w:t>
      </w:r>
    </w:p>
    <w:p w:rsidR="00000000" w:rsidRDefault="00000000">
      <w:r>
        <w:tab/>
        <w:t xml:space="preserve">– </w:t>
      </w:r>
      <w:r>
        <w:tab/>
        <w:t>предупреждение возможной неграмотности.</w:t>
      </w:r>
    </w:p>
    <w:p w:rsidR="00000000" w:rsidRDefault="00000000">
      <w:pPr>
        <w:rPr>
          <w:spacing w:val="-2"/>
        </w:rPr>
      </w:pPr>
      <w:r>
        <w:t>573.</w:t>
      </w:r>
      <w:r>
        <w:tab/>
      </w:r>
      <w:r>
        <w:rPr>
          <w:spacing w:val="-2"/>
        </w:rPr>
        <w:t>Для</w:t>
      </w:r>
      <w:r>
        <w:rPr>
          <w:b/>
          <w:spacing w:val="-2"/>
        </w:rPr>
        <w:t xml:space="preserve"> </w:t>
      </w:r>
      <w:r>
        <w:rPr>
          <w:spacing w:val="-2"/>
        </w:rPr>
        <w:t>содействия этой программе и обеспечения ее выполнения в 1993 году были созданы Национальная комиссия по борьбе с неграмотностью и местные и региональные комиссии, главной задачей которых является контроль за осуществлением программ на местном, региональном и национальном уровнях. В Министерстве по социальным делам было также создано центральное управление по борьбе с неграмотностью и образованию для взрослых, которому поручена подготовка национальных программ борьбы с неграмотностью, обеспечение оценки и контроля и оказание необходимой технической помощи социальным партнерам и общественному сектору.</w:t>
      </w:r>
    </w:p>
    <w:p w:rsidR="00000000" w:rsidRDefault="00000000">
      <w:pPr>
        <w:spacing w:after="60"/>
      </w:pPr>
      <w:r>
        <w:t>574.</w:t>
      </w:r>
      <w:r>
        <w:tab/>
        <w:t>В рамках национальной программы борьбы с неграмотностью</w:t>
      </w:r>
      <w:r>
        <w:rPr>
          <w:b/>
        </w:rPr>
        <w:t xml:space="preserve"> </w:t>
      </w:r>
      <w:r>
        <w:t>была развернута широкая деятельность в период 1994–1998 годов, в том числе:</w:t>
      </w:r>
    </w:p>
    <w:p w:rsidR="00000000" w:rsidRDefault="00000000">
      <w:pPr>
        <w:spacing w:after="60"/>
        <w:ind w:left="1021" w:hanging="1021"/>
      </w:pPr>
      <w:r>
        <w:tab/>
        <w:t>–</w:t>
      </w:r>
      <w:r>
        <w:tab/>
        <w:t>разработка системы планирования, оценки и контроля с целью рационализации мероприятий по осуществлению поставленных задач;</w:t>
      </w:r>
    </w:p>
    <w:p w:rsidR="00000000" w:rsidRDefault="00000000">
      <w:pPr>
        <w:spacing w:after="60"/>
        <w:ind w:left="1021" w:hanging="1021"/>
        <w:rPr>
          <w:b/>
        </w:rPr>
      </w:pPr>
      <w:r>
        <w:rPr>
          <w:lang w:val="en-US"/>
        </w:rPr>
        <w:tab/>
      </w:r>
      <w:r>
        <w:t>–</w:t>
      </w:r>
      <w:r>
        <w:tab/>
        <w:t>осуществление совместно с партнерами программы включения мероприятий по борьбе с неграмотностью в проекты развития;</w:t>
      </w:r>
      <w:r>
        <w:rPr>
          <w:b/>
        </w:rPr>
        <w:t xml:space="preserve"> </w:t>
      </w:r>
    </w:p>
    <w:p w:rsidR="00000000" w:rsidRDefault="00000000">
      <w:r>
        <w:rPr>
          <w:b/>
        </w:rPr>
        <w:tab/>
        <w:t>–</w:t>
      </w:r>
      <w:r>
        <w:rPr>
          <w:b/>
        </w:rPr>
        <w:tab/>
      </w:r>
      <w:r>
        <w:t>создание системы партнерства с НПО.</w:t>
      </w:r>
    </w:p>
    <w:p w:rsidR="00000000" w:rsidRDefault="00000000">
      <w:r>
        <w:t>575.</w:t>
      </w:r>
      <w:r>
        <w:tab/>
        <w:t>Параллельно с обучением чтению, письму и счету (функциональная грамотность) для обучающихся в программе предусмотрены занятия по социальному воспитанию: здоровье, семья, подготовка по социальным вопросам (общение в коллективе), а также базовые навыки, швейное ремесло, сельское хозяйство (технические операции и навыки ручного труда); все это позволяет женщинам легче адаптироваться в той или иной социальной среде. Курсы рассчитаны на три года и состоят из базового этапа, дополнительного этапа и этапа закрепления пройденного материала.</w:t>
      </w:r>
    </w:p>
    <w:p w:rsidR="00000000" w:rsidRDefault="00000000">
      <w:r>
        <w:t>576.</w:t>
      </w:r>
      <w:r>
        <w:tab/>
        <w:t>Осуществление программ борьбы с неграмотностью в рамках нового интегрированного подхода дополняет некоторые специальные программы</w:t>
      </w:r>
      <w:r>
        <w:rPr>
          <w:b/>
        </w:rPr>
        <w:t xml:space="preserve"> </w:t>
      </w:r>
      <w:r>
        <w:t>по распространению грамотности главным образом среди девушек, которые дают им практическую подготовку в центрах, принадлежащих некоторым НПО (НСТЖ, ТООЖ), а также программы регионального развития в центрах для девушек, проживающих в сельской местности, и/или в центрах сельскохозяйственной подготовки.</w:t>
      </w:r>
    </w:p>
    <w:p w:rsidR="00000000" w:rsidRDefault="00000000">
      <w:r>
        <w:t>577.</w:t>
      </w:r>
      <w:r>
        <w:tab/>
        <w:t>Усилия, которые прилагались в период действия VШ плана экономического и социального развития (1992–1996 годы), по осуществлению целей Первой национальной программы борьбы с неграмотностью, способствовали привлечению большого числа неграмотного населения и особенно женщин и девушек старше 15 лет.</w:t>
      </w:r>
    </w:p>
    <w:p w:rsidR="00000000" w:rsidRDefault="00000000">
      <w:r>
        <w:t>578.</w:t>
      </w:r>
      <w:r>
        <w:tab/>
        <w:t>В целях дальнейшего укрепления и расширения тех усилий, которые прилагались в период действия Первой программы борьбы с неграмотностью, стратегия Министерства социальных дел, в ходе выполнения IX плана, была направлена на закрепление того, что было достигнуто на втором этапе и на этапе, следующем за обучением грамоте, на усиление подготовки педагогического персонала, расширение сети центров и увеличение числа учащихся.</w:t>
      </w:r>
    </w:p>
    <w:p w:rsidR="00000000" w:rsidRDefault="00000000">
      <w:r>
        <w:t>579.</w:t>
      </w:r>
      <w:r>
        <w:tab/>
        <w:t>Благодаря предпринятым действиям со времени эффективного осуществления упомянутой программы (1993–1994 годы) число обучающихся грамоте быстро росло, особенно среди девушек и женщин, о чем свидетельствует таблица, ниже:</w:t>
      </w:r>
    </w:p>
    <w:p w:rsidR="00000000" w:rsidRDefault="00000000">
      <w:pPr>
        <w:spacing w:after="120"/>
        <w:jc w:val="center"/>
        <w:rPr>
          <w:b/>
        </w:rPr>
      </w:pPr>
      <w:r>
        <w:rPr>
          <w:b/>
        </w:rPr>
        <w:t>Динамика охвата обучающихся программой в период 1993–1998 годов</w:t>
      </w:r>
    </w:p>
    <w:tbl>
      <w:tblPr>
        <w:tblW w:w="0" w:type="auto"/>
        <w:jc w:val="center"/>
        <w:tblLayout w:type="fixed"/>
        <w:tblCellMar>
          <w:left w:w="40" w:type="dxa"/>
          <w:right w:w="40" w:type="dxa"/>
        </w:tblCellMar>
        <w:tblLook w:val="0000" w:firstRow="0" w:lastRow="0" w:firstColumn="0" w:lastColumn="0" w:noHBand="0" w:noVBand="0"/>
      </w:tblPr>
      <w:tblGrid>
        <w:gridCol w:w="1872"/>
        <w:gridCol w:w="1248"/>
        <w:gridCol w:w="936"/>
        <w:gridCol w:w="1248"/>
        <w:gridCol w:w="936"/>
      </w:tblGrid>
      <w:tr w:rsidR="00000000">
        <w:tblPrEx>
          <w:tblCellMar>
            <w:top w:w="0" w:type="dxa"/>
            <w:bottom w:w="0" w:type="dxa"/>
          </w:tblCellMar>
        </w:tblPrEx>
        <w:trPr>
          <w:cantSplit/>
          <w:trHeight w:val="20"/>
          <w:jc w:val="center"/>
        </w:trPr>
        <w:tc>
          <w:tcPr>
            <w:tcW w:w="1872" w:type="dxa"/>
            <w:vMerge w:val="restart"/>
            <w:tcBorders>
              <w:top w:val="single" w:sz="6" w:space="0" w:color="auto"/>
              <w:left w:val="single" w:sz="6" w:space="0" w:color="auto"/>
              <w:right w:val="single" w:sz="6" w:space="0" w:color="auto"/>
            </w:tcBorders>
          </w:tcPr>
          <w:p w:rsidR="00000000" w:rsidRDefault="00000000">
            <w:pPr>
              <w:spacing w:before="80" w:after="80" w:line="220" w:lineRule="exact"/>
              <w:jc w:val="center"/>
              <w:rPr>
                <w:b/>
                <w:sz w:val="18"/>
              </w:rPr>
            </w:pPr>
            <w:r>
              <w:rPr>
                <w:b/>
                <w:sz w:val="18"/>
              </w:rPr>
              <w:t>Учебный год</w:t>
            </w:r>
          </w:p>
        </w:tc>
        <w:tc>
          <w:tcPr>
            <w:tcW w:w="1248" w:type="dxa"/>
            <w:vMerge w:val="restart"/>
            <w:tcBorders>
              <w:top w:val="single" w:sz="6" w:space="0" w:color="auto"/>
              <w:left w:val="single" w:sz="6" w:space="0" w:color="auto"/>
              <w:right w:val="single" w:sz="6" w:space="0" w:color="auto"/>
            </w:tcBorders>
          </w:tcPr>
          <w:p w:rsidR="00000000" w:rsidRDefault="00000000">
            <w:pPr>
              <w:spacing w:before="80" w:after="80" w:line="220" w:lineRule="exact"/>
              <w:jc w:val="center"/>
              <w:rPr>
                <w:b/>
                <w:sz w:val="18"/>
              </w:rPr>
            </w:pPr>
            <w:r>
              <w:rPr>
                <w:b/>
                <w:sz w:val="18"/>
              </w:rPr>
              <w:t>Число центров</w:t>
            </w:r>
          </w:p>
        </w:tc>
        <w:tc>
          <w:tcPr>
            <w:tcW w:w="3120"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b/>
                <w:sz w:val="18"/>
              </w:rPr>
              <w:t>Число обучающихся грамоте</w:t>
            </w:r>
          </w:p>
        </w:tc>
      </w:tr>
      <w:tr w:rsidR="00000000">
        <w:tblPrEx>
          <w:tblCellMar>
            <w:top w:w="0" w:type="dxa"/>
            <w:bottom w:w="0" w:type="dxa"/>
          </w:tblCellMar>
        </w:tblPrEx>
        <w:trPr>
          <w:cantSplit/>
          <w:trHeight w:val="20"/>
          <w:jc w:val="center"/>
        </w:trPr>
        <w:tc>
          <w:tcPr>
            <w:tcW w:w="1872" w:type="dxa"/>
            <w:vMerge/>
            <w:tcBorders>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p>
        </w:tc>
        <w:tc>
          <w:tcPr>
            <w:tcW w:w="1248" w:type="dxa"/>
            <w:vMerge/>
            <w:tcBorders>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всего</w:t>
            </w:r>
          </w:p>
        </w:tc>
        <w:tc>
          <w:tcPr>
            <w:tcW w:w="124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женщины</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w:t>
            </w:r>
          </w:p>
        </w:tc>
      </w:tr>
      <w:tr w:rsidR="00000000">
        <w:tblPrEx>
          <w:tblCellMar>
            <w:top w:w="0" w:type="dxa"/>
            <w:bottom w:w="0" w:type="dxa"/>
          </w:tblCellMar>
        </w:tblPrEx>
        <w:trPr>
          <w:trHeight w:val="20"/>
          <w:jc w:val="center"/>
        </w:trPr>
        <w:tc>
          <w:tcPr>
            <w:tcW w:w="1872"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1993/94</w:t>
            </w:r>
          </w:p>
        </w:tc>
        <w:tc>
          <w:tcPr>
            <w:tcW w:w="124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153</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sz w:val="18"/>
              </w:rPr>
            </w:pPr>
            <w:r>
              <w:rPr>
                <w:sz w:val="18"/>
              </w:rPr>
              <w:t>4 505</w:t>
            </w:r>
          </w:p>
        </w:tc>
        <w:tc>
          <w:tcPr>
            <w:tcW w:w="124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sz w:val="18"/>
              </w:rPr>
            </w:pPr>
            <w:r>
              <w:rPr>
                <w:sz w:val="18"/>
              </w:rPr>
              <w:t>2 789</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61,9</w:t>
            </w:r>
          </w:p>
        </w:tc>
      </w:tr>
      <w:tr w:rsidR="00000000">
        <w:tblPrEx>
          <w:tblCellMar>
            <w:top w:w="0" w:type="dxa"/>
            <w:bottom w:w="0" w:type="dxa"/>
          </w:tblCellMar>
        </w:tblPrEx>
        <w:trPr>
          <w:trHeight w:val="20"/>
          <w:jc w:val="center"/>
        </w:trPr>
        <w:tc>
          <w:tcPr>
            <w:tcW w:w="1872"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1994/95</w:t>
            </w:r>
          </w:p>
        </w:tc>
        <w:tc>
          <w:tcPr>
            <w:tcW w:w="124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433</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sz w:val="18"/>
              </w:rPr>
            </w:pPr>
            <w:r>
              <w:rPr>
                <w:sz w:val="18"/>
              </w:rPr>
              <w:t>17 063</w:t>
            </w:r>
          </w:p>
        </w:tc>
        <w:tc>
          <w:tcPr>
            <w:tcW w:w="124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sz w:val="18"/>
              </w:rPr>
            </w:pPr>
            <w:r>
              <w:rPr>
                <w:sz w:val="18"/>
              </w:rPr>
              <w:t>11 050</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64,8</w:t>
            </w:r>
          </w:p>
        </w:tc>
      </w:tr>
      <w:tr w:rsidR="00000000">
        <w:tblPrEx>
          <w:tblCellMar>
            <w:top w:w="0" w:type="dxa"/>
            <w:bottom w:w="0" w:type="dxa"/>
          </w:tblCellMar>
        </w:tblPrEx>
        <w:trPr>
          <w:trHeight w:val="20"/>
          <w:jc w:val="center"/>
        </w:trPr>
        <w:tc>
          <w:tcPr>
            <w:tcW w:w="1872"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1995/96</w:t>
            </w:r>
          </w:p>
        </w:tc>
        <w:tc>
          <w:tcPr>
            <w:tcW w:w="124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485</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sz w:val="18"/>
              </w:rPr>
            </w:pPr>
            <w:r>
              <w:rPr>
                <w:sz w:val="18"/>
              </w:rPr>
              <w:t>16 484</w:t>
            </w:r>
          </w:p>
        </w:tc>
        <w:tc>
          <w:tcPr>
            <w:tcW w:w="124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sz w:val="18"/>
              </w:rPr>
            </w:pPr>
            <w:r>
              <w:rPr>
                <w:sz w:val="18"/>
              </w:rPr>
              <w:t>10 326</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62,6</w:t>
            </w:r>
          </w:p>
        </w:tc>
      </w:tr>
      <w:tr w:rsidR="00000000">
        <w:tblPrEx>
          <w:tblCellMar>
            <w:top w:w="0" w:type="dxa"/>
            <w:bottom w:w="0" w:type="dxa"/>
          </w:tblCellMar>
        </w:tblPrEx>
        <w:trPr>
          <w:trHeight w:val="20"/>
          <w:jc w:val="center"/>
        </w:trPr>
        <w:tc>
          <w:tcPr>
            <w:tcW w:w="1872"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1996/97</w:t>
            </w:r>
          </w:p>
        </w:tc>
        <w:tc>
          <w:tcPr>
            <w:tcW w:w="124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591</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sz w:val="18"/>
              </w:rPr>
            </w:pPr>
            <w:r>
              <w:rPr>
                <w:sz w:val="18"/>
              </w:rPr>
              <w:t>16 346</w:t>
            </w:r>
          </w:p>
        </w:tc>
        <w:tc>
          <w:tcPr>
            <w:tcW w:w="124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sz w:val="18"/>
              </w:rPr>
            </w:pPr>
            <w:r>
              <w:rPr>
                <w:sz w:val="18"/>
              </w:rPr>
              <w:t>13 469</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82,4</w:t>
            </w:r>
          </w:p>
        </w:tc>
      </w:tr>
      <w:tr w:rsidR="00000000">
        <w:tblPrEx>
          <w:tblCellMar>
            <w:top w:w="0" w:type="dxa"/>
            <w:bottom w:w="0" w:type="dxa"/>
          </w:tblCellMar>
        </w:tblPrEx>
        <w:trPr>
          <w:trHeight w:val="20"/>
          <w:jc w:val="center"/>
        </w:trPr>
        <w:tc>
          <w:tcPr>
            <w:tcW w:w="1872"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1997/98</w:t>
            </w:r>
          </w:p>
        </w:tc>
        <w:tc>
          <w:tcPr>
            <w:tcW w:w="124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872</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sz w:val="18"/>
              </w:rPr>
            </w:pPr>
            <w:r>
              <w:rPr>
                <w:sz w:val="18"/>
              </w:rPr>
              <w:t>25 532</w:t>
            </w:r>
          </w:p>
        </w:tc>
        <w:tc>
          <w:tcPr>
            <w:tcW w:w="124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sz w:val="18"/>
              </w:rPr>
            </w:pPr>
            <w:r>
              <w:rPr>
                <w:sz w:val="18"/>
              </w:rPr>
              <w:t>21 903</w:t>
            </w:r>
          </w:p>
        </w:tc>
        <w:tc>
          <w:tcPr>
            <w:tcW w:w="9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85,8</w:t>
            </w:r>
          </w:p>
        </w:tc>
      </w:tr>
    </w:tbl>
    <w:p w:rsidR="00000000" w:rsidRDefault="00000000">
      <w:pPr>
        <w:spacing w:before="120" w:line="220" w:lineRule="exact"/>
        <w:ind w:right="1707"/>
        <w:jc w:val="right"/>
        <w:rPr>
          <w:b/>
          <w:sz w:val="18"/>
        </w:rPr>
      </w:pPr>
      <w:r>
        <w:rPr>
          <w:b/>
          <w:sz w:val="18"/>
        </w:rPr>
        <w:t>Источник: Министерство социальных дел</w:t>
      </w:r>
    </w:p>
    <w:p w:rsidR="00000000" w:rsidRDefault="00000000">
      <w:pPr>
        <w:rPr>
          <w:b/>
        </w:rPr>
      </w:pPr>
      <w:r>
        <w:t>580.</w:t>
      </w:r>
      <w:r>
        <w:tab/>
        <w:t xml:space="preserve">Вторая программа борьбы с неграмотностью в рамках IX плана (1997–2001 годы) нацелена в первую очередь на молодых людей в возрасте от 15 до 29 лет. В соответствии с этим планом предполагалось охватить около 160 тыс. неграмотных, в частности женщин, проживающих в сельской местности, где отмечается самый высокий уровень неграмотности, ограничить показатель отсева обучающихся на втором этапе и продолжать обучение по программе, следующей за обучением грамоте. </w:t>
      </w:r>
    </w:p>
    <w:p w:rsidR="00000000" w:rsidRDefault="00000000">
      <w:pPr>
        <w:spacing w:before="120" w:line="240" w:lineRule="auto"/>
        <w:rPr>
          <w:b/>
          <w:sz w:val="28"/>
        </w:rPr>
      </w:pPr>
      <w:r>
        <w:rPr>
          <w:b/>
          <w:sz w:val="28"/>
        </w:rPr>
        <w:t>Выводы и перспективы</w:t>
      </w:r>
    </w:p>
    <w:p w:rsidR="00000000" w:rsidRDefault="00000000">
      <w:r>
        <w:t>581.</w:t>
      </w:r>
      <w:r>
        <w:tab/>
        <w:t>Реформа системы образования в Тунисе, будучи неотъемлемой частью процесса глобальной реформы в области социального развития, позволила обеспечить равенство возможностей для девочек и мальчиков, а также живущим в сельской местности и городе. Все показатели явно свидетельствуют о положительной динамике показателей в отношении женского контингента как в доступе к системе образования, так и в ее эффективности. Разрывы в показателях в отношении девочек и мальчиков не только были ликвидированы, они изменились в пользу девочек в том, что касается успешного перехода из класса в класс и снижения отсева из школы.</w:t>
      </w:r>
    </w:p>
    <w:p w:rsidR="00000000" w:rsidRDefault="00000000">
      <w:r>
        <w:t>582.</w:t>
      </w:r>
      <w:r>
        <w:tab/>
        <w:t>90-е годы были, несомненно, отмечены достижением цели обеспечения равенства полов в системе базового образования и средней школы. Эта тенденция логически должна продолжаться в системе высшего образования в ходе предстоящего десятилетия, а возможно, и в период нынешнего пятилетия.</w:t>
      </w:r>
    </w:p>
    <w:p w:rsidR="00000000" w:rsidRDefault="00000000">
      <w:r>
        <w:t>583.</w:t>
      </w:r>
      <w:r>
        <w:tab/>
        <w:t>В этом контексте перед системой образования стоит задача в рамках утвержденной стратегии на предстоящее десятилетие и в рамках IX плана достигнуть новых рубежей и добиться успеха в повышении эффективности системы образования в области качества подготовки и ориентации учащихся.</w:t>
      </w:r>
    </w:p>
    <w:p w:rsidR="00000000" w:rsidRDefault="00000000">
      <w:r>
        <w:t>584.</w:t>
      </w:r>
      <w:r>
        <w:tab/>
        <w:t>Создание двух механизмов: одного – для борьбы с преждевременным отсевом из школы, и другого – для разработки программы оценки в перспективе 2000 года, в задачу которой входит обеспечение контроля и оценки всех мероприятий системы, ее целей и средств, что должно способствовать достижению полного равенства возможностей и вместе с тем большей эффективности системы.</w:t>
      </w:r>
    </w:p>
    <w:p w:rsidR="00000000" w:rsidRDefault="00000000">
      <w:r>
        <w:t>585.</w:t>
      </w:r>
      <w:r>
        <w:tab/>
        <w:t>К тому же в перспективе дать возможность молодым поколениям, впитавшим в себя ценности труда, успеха и совершенства, уверенно вступить в новый век; подключение лицеев и коллежей к сети Интернет уже началось и будет продолжено в ходе выполнения IX плана. Подключение начальных школ к сети Интернет будет проведено в ближайшее время.</w:t>
      </w:r>
    </w:p>
    <w:p w:rsidR="00000000" w:rsidRDefault="00000000">
      <w:r>
        <w:t>586.</w:t>
      </w:r>
      <w:r>
        <w:tab/>
        <w:t xml:space="preserve">Национальный опрос о школе завтрашнего дня, начавшийся в первые дни апреля 1999 года, должен стать важным этапом осуществления этих целей и испытанием на прочность в преддверии XXI века, в условиях глобализации и формирования информационного общества. </w:t>
      </w:r>
    </w:p>
    <w:p w:rsidR="00000000" w:rsidRDefault="00000000">
      <w:pPr>
        <w:spacing w:after="360" w:line="240" w:lineRule="auto"/>
        <w:jc w:val="center"/>
        <w:rPr>
          <w:rStyle w:val="PageNumber"/>
          <w:b/>
          <w:sz w:val="28"/>
        </w:rPr>
      </w:pPr>
      <w:r>
        <w:br w:type="page"/>
      </w:r>
      <w:r>
        <w:rPr>
          <w:rFonts w:ascii="Symbol" w:hAnsi="Symbol"/>
          <w:b/>
          <w:sz w:val="28"/>
          <w:lang w:val="en-US"/>
        </w:rPr>
        <w:t></w:t>
      </w:r>
      <w:r>
        <w:rPr>
          <w:b/>
          <w:sz w:val="28"/>
          <w:lang w:val="en-US"/>
        </w:rPr>
        <w:t xml:space="preserve"> </w:t>
      </w:r>
      <w:r>
        <w:rPr>
          <w:rStyle w:val="PageNumber"/>
          <w:b/>
          <w:sz w:val="28"/>
        </w:rPr>
        <w:t>Статья 11: Занятость</w:t>
      </w:r>
    </w:p>
    <w:p w:rsidR="00000000" w:rsidRDefault="00000000">
      <w:pPr>
        <w:pBdr>
          <w:top w:val="single" w:sz="6" w:space="12" w:color="auto"/>
          <w:left w:val="single" w:sz="6" w:space="6" w:color="auto"/>
          <w:bottom w:val="single" w:sz="6" w:space="12" w:color="auto"/>
          <w:right w:val="single" w:sz="6" w:space="6" w:color="auto"/>
        </w:pBdr>
        <w:ind w:left="284" w:right="284"/>
        <w:rPr>
          <w:rStyle w:val="PageNumber"/>
          <w:i/>
        </w:rPr>
      </w:pPr>
      <w:r>
        <w:rPr>
          <w:rStyle w:val="PageNumber"/>
          <w:i/>
        </w:rPr>
        <w:tab/>
        <w:t>1.</w:t>
      </w:r>
      <w:r>
        <w:rPr>
          <w:rStyle w:val="PageNumber"/>
          <w:i/>
        </w:rPr>
        <w:tab/>
        <w:t xml:space="preserve"> 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pBdr>
          <w:top w:val="single" w:sz="6" w:space="12" w:color="auto"/>
          <w:left w:val="single" w:sz="6" w:space="6" w:color="auto"/>
          <w:bottom w:val="single" w:sz="6" w:space="12" w:color="auto"/>
          <w:right w:val="single" w:sz="6" w:space="6" w:color="auto"/>
        </w:pBdr>
        <w:ind w:left="284" w:right="284"/>
        <w:rPr>
          <w:rStyle w:val="PageNumber"/>
          <w:i/>
        </w:rPr>
      </w:pPr>
      <w:r>
        <w:rPr>
          <w:rStyle w:val="PageNumber"/>
          <w:i/>
        </w:rPr>
        <w:tab/>
        <w:t>a)</w:t>
      </w:r>
      <w:r>
        <w:rPr>
          <w:rStyle w:val="PageNumber"/>
          <w:i/>
        </w:rPr>
        <w:tab/>
        <w:t>право на труд как неотъемлемое право всех людей;</w:t>
      </w:r>
    </w:p>
    <w:p w:rsidR="00000000" w:rsidRDefault="00000000">
      <w:pPr>
        <w:pBdr>
          <w:top w:val="single" w:sz="6" w:space="12" w:color="auto"/>
          <w:left w:val="single" w:sz="6" w:space="6" w:color="auto"/>
          <w:bottom w:val="single" w:sz="6" w:space="12" w:color="auto"/>
          <w:right w:val="single" w:sz="6" w:space="6" w:color="auto"/>
        </w:pBdr>
        <w:ind w:left="1021" w:right="284" w:hanging="737"/>
        <w:rPr>
          <w:rStyle w:val="PageNumber"/>
          <w:i/>
        </w:rPr>
      </w:pPr>
      <w:r>
        <w:rPr>
          <w:rStyle w:val="PageNumber"/>
          <w:i/>
        </w:rPr>
        <w:tab/>
        <w:t>b)</w:t>
      </w:r>
      <w:r>
        <w:rPr>
          <w:rStyle w:val="PageNumber"/>
          <w:i/>
        </w:rPr>
        <w:tab/>
        <w:t>право на одинаковые возможности при найме на работу, в том числе применение одинаковых критериев отбора при найме;</w:t>
      </w:r>
    </w:p>
    <w:p w:rsidR="00000000" w:rsidRDefault="00000000">
      <w:pPr>
        <w:pBdr>
          <w:top w:val="single" w:sz="6" w:space="12" w:color="auto"/>
          <w:left w:val="single" w:sz="6" w:space="6" w:color="auto"/>
          <w:bottom w:val="single" w:sz="6" w:space="12" w:color="auto"/>
          <w:right w:val="single" w:sz="6" w:space="6" w:color="auto"/>
        </w:pBdr>
        <w:ind w:left="1021" w:right="284" w:hanging="737"/>
        <w:rPr>
          <w:rStyle w:val="PageNumber"/>
          <w:i/>
        </w:rPr>
      </w:pPr>
      <w:r>
        <w:rPr>
          <w:rStyle w:val="PageNumber"/>
          <w:i/>
        </w:rPr>
        <w:tab/>
        <w:t>с)</w:t>
      </w:r>
      <w:r>
        <w:rPr>
          <w:rStyle w:val="PageNumber"/>
          <w:i/>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pBdr>
          <w:top w:val="single" w:sz="6" w:space="12" w:color="auto"/>
          <w:left w:val="single" w:sz="6" w:space="6" w:color="auto"/>
          <w:bottom w:val="single" w:sz="6" w:space="12" w:color="auto"/>
          <w:right w:val="single" w:sz="6" w:space="6" w:color="auto"/>
        </w:pBdr>
        <w:ind w:left="1021" w:right="284" w:hanging="737"/>
        <w:rPr>
          <w:rStyle w:val="PageNumber"/>
          <w:i/>
        </w:rPr>
      </w:pPr>
      <w:r>
        <w:rPr>
          <w:rStyle w:val="PageNumber"/>
          <w:i/>
        </w:rPr>
        <w:tab/>
        <w:t>d)</w:t>
      </w:r>
      <w:r>
        <w:rPr>
          <w:rStyle w:val="PageNumber"/>
          <w:i/>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pBdr>
          <w:top w:val="single" w:sz="6" w:space="12" w:color="auto"/>
          <w:left w:val="single" w:sz="6" w:space="6" w:color="auto"/>
          <w:bottom w:val="single" w:sz="6" w:space="12" w:color="auto"/>
          <w:right w:val="single" w:sz="6" w:space="6" w:color="auto"/>
        </w:pBdr>
        <w:ind w:left="1021" w:right="284" w:hanging="737"/>
        <w:rPr>
          <w:rStyle w:val="PageNumber"/>
          <w:i/>
        </w:rPr>
      </w:pPr>
      <w:r>
        <w:rPr>
          <w:rStyle w:val="PageNumber"/>
          <w:i/>
        </w:rPr>
        <w:tab/>
        <w:t>e)</w:t>
      </w:r>
      <w:r>
        <w:rPr>
          <w:rStyle w:val="PageNumber"/>
          <w:i/>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pBdr>
          <w:top w:val="single" w:sz="6" w:space="12" w:color="auto"/>
          <w:left w:val="single" w:sz="6" w:space="6" w:color="auto"/>
          <w:bottom w:val="single" w:sz="6" w:space="12" w:color="auto"/>
          <w:right w:val="single" w:sz="6" w:space="6" w:color="auto"/>
        </w:pBdr>
        <w:ind w:left="1021" w:right="284" w:hanging="737"/>
        <w:rPr>
          <w:rStyle w:val="PageNumber"/>
          <w:i/>
        </w:rPr>
      </w:pPr>
      <w:r>
        <w:rPr>
          <w:rStyle w:val="PageNumber"/>
          <w:i/>
        </w:rPr>
        <w:tab/>
        <w:t>f)</w:t>
      </w:r>
      <w:r>
        <w:rPr>
          <w:rStyle w:val="PageNumber"/>
          <w:i/>
        </w:rPr>
        <w:tab/>
        <w:t>право на охрану здоровья и безопасные условия труда, в том числе по сохранению функции продолжения рода.</w:t>
      </w:r>
    </w:p>
    <w:p w:rsidR="00000000" w:rsidRDefault="00000000">
      <w:pPr>
        <w:pBdr>
          <w:top w:val="single" w:sz="6" w:space="12" w:color="auto"/>
          <w:left w:val="single" w:sz="6" w:space="6" w:color="auto"/>
          <w:bottom w:val="single" w:sz="6" w:space="12" w:color="auto"/>
          <w:right w:val="single" w:sz="6" w:space="6" w:color="auto"/>
        </w:pBdr>
        <w:ind w:left="284" w:right="284"/>
        <w:rPr>
          <w:rStyle w:val="PageNumber"/>
          <w:i/>
        </w:rPr>
      </w:pPr>
      <w:r>
        <w:rPr>
          <w:rStyle w:val="PageNumber"/>
          <w:i/>
        </w:rPr>
        <w:tab/>
        <w:t>2.</w:t>
      </w:r>
      <w:r>
        <w:rPr>
          <w:rStyle w:val="PageNumber"/>
          <w:i/>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pBdr>
          <w:top w:val="single" w:sz="6" w:space="12" w:color="auto"/>
          <w:left w:val="single" w:sz="6" w:space="6" w:color="auto"/>
          <w:bottom w:val="single" w:sz="6" w:space="12" w:color="auto"/>
          <w:right w:val="single" w:sz="6" w:space="6" w:color="auto"/>
        </w:pBdr>
        <w:ind w:left="1021" w:right="284" w:hanging="737"/>
        <w:rPr>
          <w:rStyle w:val="PageNumber"/>
          <w:i/>
        </w:rPr>
      </w:pPr>
      <w:r>
        <w:rPr>
          <w:rStyle w:val="PageNumber"/>
          <w:i/>
        </w:rPr>
        <w:tab/>
        <w:t>а)</w:t>
      </w:r>
      <w:r>
        <w:rPr>
          <w:rStyle w:val="PageNumber"/>
          <w:i/>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000000" w:rsidRDefault="00000000">
      <w:pPr>
        <w:pBdr>
          <w:top w:val="single" w:sz="6" w:space="12" w:color="auto"/>
          <w:left w:val="single" w:sz="6" w:space="6" w:color="auto"/>
          <w:bottom w:val="single" w:sz="6" w:space="12" w:color="auto"/>
          <w:right w:val="single" w:sz="6" w:space="6" w:color="auto"/>
        </w:pBdr>
        <w:ind w:left="1021" w:right="284" w:hanging="737"/>
        <w:rPr>
          <w:rStyle w:val="PageNumber"/>
          <w:i/>
        </w:rPr>
      </w:pPr>
      <w:r>
        <w:rPr>
          <w:rStyle w:val="PageNumber"/>
          <w:i/>
        </w:rPr>
        <w:tab/>
        <w:t>b)</w:t>
      </w:r>
      <w:r>
        <w:rPr>
          <w:rStyle w:val="PageNumber"/>
          <w:i/>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pBdr>
          <w:top w:val="single" w:sz="6" w:space="12" w:color="auto"/>
          <w:left w:val="single" w:sz="6" w:space="6" w:color="auto"/>
          <w:bottom w:val="single" w:sz="6" w:space="12" w:color="auto"/>
          <w:right w:val="single" w:sz="6" w:space="6" w:color="auto"/>
        </w:pBdr>
        <w:ind w:left="1021" w:right="284" w:hanging="737"/>
        <w:rPr>
          <w:rStyle w:val="PageNumber"/>
          <w:i/>
        </w:rPr>
      </w:pPr>
      <w:r>
        <w:rPr>
          <w:rStyle w:val="PageNumber"/>
          <w:i/>
        </w:rPr>
        <w:tab/>
        <w:t>с)</w:t>
      </w:r>
      <w:r>
        <w:rPr>
          <w:rStyle w:val="PageNumber"/>
          <w:i/>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pBdr>
          <w:top w:val="single" w:sz="6" w:space="12" w:color="auto"/>
          <w:left w:val="single" w:sz="6" w:space="6" w:color="auto"/>
          <w:bottom w:val="single" w:sz="6" w:space="12" w:color="auto"/>
          <w:right w:val="single" w:sz="6" w:space="6" w:color="auto"/>
        </w:pBdr>
        <w:ind w:left="1021" w:right="284" w:hanging="737"/>
        <w:rPr>
          <w:rStyle w:val="PageNumber"/>
          <w:i/>
        </w:rPr>
      </w:pPr>
      <w:r>
        <w:rPr>
          <w:rStyle w:val="PageNumber"/>
          <w:i/>
        </w:rPr>
        <w:tab/>
        <w:t>d)</w:t>
      </w:r>
      <w:r>
        <w:rPr>
          <w:rStyle w:val="PageNumber"/>
          <w:i/>
        </w:rP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pBdr>
          <w:top w:val="single" w:sz="6" w:space="12" w:color="auto"/>
          <w:left w:val="single" w:sz="6" w:space="6" w:color="auto"/>
          <w:bottom w:val="single" w:sz="6" w:space="12" w:color="auto"/>
          <w:right w:val="single" w:sz="6" w:space="6" w:color="auto"/>
        </w:pBdr>
        <w:ind w:left="284" w:right="284"/>
        <w:rPr>
          <w:rStyle w:val="PageNumber"/>
          <w:i/>
        </w:rPr>
      </w:pPr>
      <w:r>
        <w:rPr>
          <w:rStyle w:val="PageNumber"/>
          <w:i/>
        </w:rPr>
        <w:tab/>
        <w:t>3.</w:t>
      </w:r>
      <w:r>
        <w:rPr>
          <w:rStyle w:val="PageNumber"/>
          <w:i/>
        </w:rPr>
        <w:tab/>
        <w:t xml:space="preserve">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 </w:t>
      </w:r>
    </w:p>
    <w:p w:rsidR="00000000" w:rsidRDefault="00000000">
      <w:pPr>
        <w:spacing w:line="240" w:lineRule="auto"/>
        <w:rPr>
          <w:rStyle w:val="PageNumber"/>
          <w:b/>
          <w:sz w:val="28"/>
        </w:rPr>
      </w:pPr>
      <w:r>
        <w:rPr>
          <w:rStyle w:val="PageNumber"/>
        </w:rPr>
        <w:br w:type="page"/>
      </w:r>
      <w:r>
        <w:rPr>
          <w:rStyle w:val="PageNumber"/>
          <w:b/>
          <w:sz w:val="28"/>
        </w:rPr>
        <w:t>Труд: Основное право</w:t>
      </w:r>
    </w:p>
    <w:p w:rsidR="00000000" w:rsidRDefault="00000000">
      <w:pPr>
        <w:spacing w:after="200"/>
        <w:rPr>
          <w:rStyle w:val="PageNumber"/>
        </w:rPr>
      </w:pPr>
      <w:r>
        <w:rPr>
          <w:rStyle w:val="PageNumber"/>
        </w:rPr>
        <w:t>587.</w:t>
      </w:r>
      <w:r>
        <w:rPr>
          <w:rStyle w:val="PageNumber"/>
        </w:rPr>
        <w:tab/>
        <w:t>Право женщины на труд гарантируется всеми юридическими документами, регламентирующими сектор занятости. Тунис присоединился также ко многим международным актам, закрепляющим это основное право.</w:t>
      </w:r>
    </w:p>
    <w:p w:rsidR="00000000" w:rsidRDefault="00000000">
      <w:pPr>
        <w:rPr>
          <w:rStyle w:val="PageNumber"/>
        </w:rPr>
      </w:pPr>
      <w:r>
        <w:rPr>
          <w:rStyle w:val="PageNumber"/>
        </w:rPr>
        <w:t>588.</w:t>
      </w:r>
      <w:r>
        <w:rPr>
          <w:rStyle w:val="PageNumber"/>
        </w:rPr>
        <w:tab/>
        <w:t>В условиях политической демократизации и экономической перестройки участие женщин в экономике считается очень важным. Не допускается никакой неясности относительно права женщины на труд, которое рассматривается одновременно в юридическом аспекте индивидуального права человеческой личности и в историческом аспекте стратегического выбора, диктуемого развитием.</w:t>
      </w:r>
    </w:p>
    <w:p w:rsidR="00000000" w:rsidRDefault="00000000">
      <w:pPr>
        <w:rPr>
          <w:rStyle w:val="PageNumber"/>
        </w:rPr>
      </w:pPr>
      <w:r>
        <w:rPr>
          <w:rStyle w:val="PageNumber"/>
        </w:rPr>
        <w:t>589.</w:t>
      </w:r>
      <w:r>
        <w:rPr>
          <w:rStyle w:val="PageNumber"/>
        </w:rPr>
        <w:tab/>
        <w:t>В соответствии с политической волей относительно осуществления права женщины на труд постоянно улучшаются условия для профессиональной деятельности женщин, а также социальные условия в целях более эффективной интеграции женских ресурсов во всех областях деятельности. Необходимо было ориентировать законодательные акты, условия труда и инфраструктуру детских учреждений на волну претворения в жизнь политической воли.</w:t>
      </w:r>
    </w:p>
    <w:p w:rsidR="00000000" w:rsidRDefault="00000000">
      <w:pPr>
        <w:spacing w:before="120" w:line="240" w:lineRule="auto"/>
        <w:rPr>
          <w:rStyle w:val="PageNumber"/>
          <w:b/>
          <w:sz w:val="28"/>
        </w:rPr>
      </w:pPr>
      <w:r>
        <w:rPr>
          <w:rStyle w:val="PageNumber"/>
          <w:b/>
          <w:sz w:val="28"/>
        </w:rPr>
        <w:t xml:space="preserve">I. </w:t>
      </w:r>
      <w:r>
        <w:rPr>
          <w:rStyle w:val="PageNumber"/>
          <w:b/>
          <w:sz w:val="28"/>
        </w:rPr>
        <w:tab/>
        <w:t>Законодательство</w:t>
      </w:r>
    </w:p>
    <w:p w:rsidR="00000000" w:rsidRDefault="00000000">
      <w:pPr>
        <w:rPr>
          <w:rStyle w:val="PageNumber"/>
          <w:b/>
          <w:sz w:val="22"/>
        </w:rPr>
      </w:pPr>
      <w:r>
        <w:rPr>
          <w:rStyle w:val="PageNumber"/>
          <w:b/>
          <w:sz w:val="22"/>
        </w:rPr>
        <w:t>I.1.</w:t>
      </w:r>
      <w:r>
        <w:rPr>
          <w:rStyle w:val="PageNumber"/>
          <w:b/>
          <w:sz w:val="22"/>
        </w:rPr>
        <w:tab/>
        <w:t>Борьба против дискриминации</w:t>
      </w:r>
    </w:p>
    <w:p w:rsidR="00000000" w:rsidRDefault="00000000">
      <w:pPr>
        <w:rPr>
          <w:rStyle w:val="PageNumber"/>
        </w:rPr>
      </w:pPr>
      <w:r>
        <w:rPr>
          <w:rStyle w:val="PageNumber"/>
        </w:rPr>
        <w:t>590.</w:t>
      </w:r>
      <w:r>
        <w:rPr>
          <w:rStyle w:val="PageNumber"/>
        </w:rPr>
        <w:tab/>
        <w:t>Во всех документах, принятых после достижения независимости, четко закрепляется принцип равенства между мужчиной и женщиной в области занятости и предусматриваются особые права для женщин. В этих документах содержатся положения, закрепляющие равенство обоих полов и защищающие женщину, женщину-мать и ребенка, укрепляя вместе с тем производственную роль женских ресурсов, в которых выявляется все большая потребность во всех секторах экономики.</w:t>
      </w:r>
    </w:p>
    <w:p w:rsidR="00000000" w:rsidRDefault="00000000">
      <w:pPr>
        <w:rPr>
          <w:rStyle w:val="PageNumber"/>
        </w:rPr>
      </w:pPr>
      <w:r>
        <w:rPr>
          <w:rStyle w:val="PageNumber"/>
        </w:rPr>
        <w:t>591.</w:t>
      </w:r>
      <w:r>
        <w:rPr>
          <w:rStyle w:val="PageNumber"/>
        </w:rPr>
        <w:tab/>
        <w:t xml:space="preserve">В связи с поправками в соответствии с законом № 93-66 от 5 июля 1993 года в преамбулу Кодекса законов о труде была включена общая статья (статья 5-бис), четко закрепляющая принцип равенства между мужчиной и женщиной. В статье 5-бис говорится: </w:t>
      </w:r>
      <w:r>
        <w:rPr>
          <w:rStyle w:val="PageNumber"/>
          <w:i/>
        </w:rPr>
        <w:t>"При применении положений настоящего Кодекса и документов, принятых для его применения, не должна проводиться дискриминация между мужчинами и женщинами".</w:t>
      </w:r>
    </w:p>
    <w:p w:rsidR="00000000" w:rsidRDefault="00000000">
      <w:pPr>
        <w:rPr>
          <w:rStyle w:val="PageNumber"/>
        </w:rPr>
      </w:pPr>
      <w:r>
        <w:rPr>
          <w:rStyle w:val="PageNumber"/>
        </w:rPr>
        <w:t>592.</w:t>
      </w:r>
      <w:r>
        <w:rPr>
          <w:rStyle w:val="PageNumber"/>
        </w:rPr>
        <w:tab/>
        <w:t>Принцип "равная оплата за равноценный труд" является на государственной службе действующим принципом.</w:t>
      </w:r>
    </w:p>
    <w:p w:rsidR="00000000" w:rsidRDefault="00000000">
      <w:pPr>
        <w:rPr>
          <w:rStyle w:val="PageNumber"/>
        </w:rPr>
      </w:pPr>
      <w:r>
        <w:rPr>
          <w:rStyle w:val="PageNumber"/>
        </w:rPr>
        <w:t>593.</w:t>
      </w:r>
      <w:r>
        <w:rPr>
          <w:rStyle w:val="PageNumber"/>
        </w:rPr>
        <w:tab/>
        <w:t>Также в соответствии с законом № 93-66 от 5 июля 1993 года о внесении поправки в Кодекс законов о труде были отменены положения прежней статьи 135 о минимальной гарантированной заработной плате (МГЗП) в сельскохозяйственном секторе, которые могли рассматриваться как дискриминационные, особенно те положения, в которых особо упоминалось вознаграждение женщин за выполнение сезонных сельскохозяйственных работ. Заработная плата женщин за сезонные работы в сельскохозяйственном секторе отныне регламентируется положениями о минимальной заработной плате сельскохозяйственного работника, не имеющего профессиональной квалификации.</w:t>
      </w:r>
    </w:p>
    <w:p w:rsidR="00000000" w:rsidRDefault="00000000">
      <w:pPr>
        <w:rPr>
          <w:rStyle w:val="PageNumber"/>
        </w:rPr>
      </w:pPr>
      <w:r>
        <w:rPr>
          <w:rStyle w:val="PageNumber"/>
        </w:rPr>
        <w:t>594.</w:t>
      </w:r>
      <w:r>
        <w:rPr>
          <w:rStyle w:val="PageNumber"/>
        </w:rPr>
        <w:tab/>
        <w:t>Реформа Кодекса законов о труде ликвидировала последний пережиток прежней юридической системы в отношении труда женщин, однако другие юридические документы были уже и тогда достаточно ясными и четкими в отношении принципа недискриминации, как и международные соглашения в этой области, ратифицированные Тунисом.</w:t>
      </w:r>
    </w:p>
    <w:p w:rsidR="00000000" w:rsidRDefault="00000000">
      <w:pPr>
        <w:rPr>
          <w:rStyle w:val="PageNumber"/>
        </w:rPr>
      </w:pPr>
      <w:r>
        <w:rPr>
          <w:rStyle w:val="PageNumber"/>
        </w:rPr>
        <w:t>595.</w:t>
      </w:r>
      <w:r>
        <w:rPr>
          <w:rStyle w:val="PageNumber"/>
        </w:rPr>
        <w:tab/>
        <w:t>Палата депутатов приняла закон № 2000-17 от 7 февраля 2000 года об отмене положений, которые требовали предварительного разрешения супруга для поступления жены на работу (статья 831 КОД), а также его разрешения в случае поручительства (пункт 2 статьи 1481 КОД) и в случае обязательства явиться в суд замужней женщине (пункт 2 статьи 1524 КОД).</w:t>
      </w:r>
    </w:p>
    <w:p w:rsidR="00000000" w:rsidRDefault="00000000">
      <w:pPr>
        <w:rPr>
          <w:rStyle w:val="PageNumber"/>
          <w:b/>
          <w:sz w:val="22"/>
        </w:rPr>
      </w:pPr>
      <w:r>
        <w:rPr>
          <w:rStyle w:val="PageNumber"/>
          <w:b/>
          <w:sz w:val="22"/>
        </w:rPr>
        <w:t>I.2.</w:t>
      </w:r>
      <w:r>
        <w:rPr>
          <w:rStyle w:val="PageNumber"/>
          <w:b/>
          <w:sz w:val="22"/>
        </w:rPr>
        <w:tab/>
        <w:t>Особые права трудящихся-женщин</w:t>
      </w:r>
    </w:p>
    <w:p w:rsidR="00000000" w:rsidRDefault="00000000">
      <w:pPr>
        <w:spacing w:after="180"/>
        <w:rPr>
          <w:rStyle w:val="PageNumber"/>
          <w:b/>
          <w:sz w:val="22"/>
        </w:rPr>
      </w:pPr>
      <w:r>
        <w:rPr>
          <w:rStyle w:val="PageNumber"/>
          <w:b/>
          <w:sz w:val="22"/>
        </w:rPr>
        <w:t>I.2.1.</w:t>
      </w:r>
      <w:r>
        <w:rPr>
          <w:rStyle w:val="PageNumber"/>
          <w:b/>
          <w:sz w:val="22"/>
        </w:rPr>
        <w:tab/>
        <w:t>Права, связанные с материнством</w:t>
      </w:r>
    </w:p>
    <w:p w:rsidR="00000000" w:rsidRDefault="00000000">
      <w:pPr>
        <w:rPr>
          <w:rStyle w:val="PageNumber"/>
        </w:rPr>
      </w:pPr>
      <w:r>
        <w:rPr>
          <w:rStyle w:val="PageNumber"/>
        </w:rPr>
        <w:t>596.</w:t>
      </w:r>
      <w:r>
        <w:rPr>
          <w:rStyle w:val="PageNumber"/>
        </w:rPr>
        <w:tab/>
        <w:t>В рамках государственного сектора женщине предоставляется двухмесячный отпуск по беременности и родам с сохранением в полном объеме заработной платы, который может быть продлен на четыре месяца с сохранением половины заработной платы, при этом не подвергаются изменениям ее права на служебный рост и на пенсию (закон № 83-112 от 12 декабря 1983 года). В частном секторе женщине предоставляется отпуск по беременности и родам сроком на 30 дней с сохранением двух третей ее заработной платы, который можно при предъявлении медицинской справки продлить еще на 30 дней.</w:t>
      </w:r>
    </w:p>
    <w:p w:rsidR="00000000" w:rsidRDefault="00000000">
      <w:pPr>
        <w:rPr>
          <w:rStyle w:val="PageNumber"/>
        </w:rPr>
      </w:pPr>
      <w:r>
        <w:rPr>
          <w:rStyle w:val="PageNumber"/>
        </w:rPr>
        <w:t>597.</w:t>
      </w:r>
      <w:r>
        <w:rPr>
          <w:rStyle w:val="PageNumber"/>
        </w:rPr>
        <w:tab/>
        <w:t>В соответствии с законом помимо возможностей в отношении отпуска по беременности, родам и грудному вскармливанию младенца предусмотрено также право на работу неполный рабочий день, которым могут пользоваться женщины по их заявлению, с целью более успешного сочетания производственных и семейных обязанностей. Эта особая мера не оказывает влияния на их права на отпуск, служебный рост, пособия и пенсионный режим.</w:t>
      </w:r>
    </w:p>
    <w:p w:rsidR="00000000" w:rsidRDefault="00000000">
      <w:pPr>
        <w:spacing w:after="80"/>
        <w:rPr>
          <w:rStyle w:val="PageNumber"/>
        </w:rPr>
      </w:pPr>
      <w:r>
        <w:rPr>
          <w:rStyle w:val="PageNumber"/>
        </w:rPr>
        <w:t>598.</w:t>
      </w:r>
      <w:r>
        <w:rPr>
          <w:rStyle w:val="PageNumber"/>
        </w:rPr>
        <w:tab/>
        <w:t xml:space="preserve">Согласно статье 48-бис Общего устава государственных служащих, дополнившей закон № 97-83 от </w:t>
      </w:r>
      <w:r>
        <w:rPr>
          <w:rStyle w:val="PageNumber"/>
        </w:rPr>
        <w:br/>
        <w:t>20 декабря 1997 года и изменившей закон № 83-112 от 12 декабря 1983 года о введении Общего устава государственных служащих (ОУГС):</w:t>
      </w:r>
    </w:p>
    <w:p w:rsidR="00000000" w:rsidRDefault="00000000">
      <w:pPr>
        <w:spacing w:after="80"/>
        <w:ind w:left="680" w:hanging="680"/>
        <w:rPr>
          <w:rStyle w:val="PageNumber"/>
        </w:rPr>
      </w:pPr>
      <w:r>
        <w:rPr>
          <w:rStyle w:val="PageNumber"/>
        </w:rPr>
        <w:t>–</w:t>
      </w:r>
      <w:r>
        <w:rPr>
          <w:rStyle w:val="PageNumber"/>
        </w:rPr>
        <w:tab/>
        <w:t>женщины, работающие на государственной службе, имеют право на один перерыв продолжительностью в один час для кормления грудью ребенка в начале или в конце рабочего дня при продолжительности рабочего дня не менее четырех часов;</w:t>
      </w:r>
    </w:p>
    <w:p w:rsidR="00000000" w:rsidRDefault="00000000">
      <w:pPr>
        <w:spacing w:after="80"/>
        <w:ind w:left="680" w:hanging="680"/>
        <w:rPr>
          <w:rStyle w:val="PageNumber"/>
        </w:rPr>
      </w:pPr>
      <w:r>
        <w:rPr>
          <w:rStyle w:val="PageNumber"/>
        </w:rPr>
        <w:t>–</w:t>
      </w:r>
      <w:r>
        <w:rPr>
          <w:rStyle w:val="PageNumber"/>
        </w:rPr>
        <w:tab/>
        <w:t>если рабочий день разделен на два периода, то женщине предоставляются два перерыва продолжительностью в один час каждый в начале или в конце каждого периода рабочего дня, при условии что общая минимальная продолжительность рабочего дня составляет семь часов;</w:t>
      </w:r>
    </w:p>
    <w:p w:rsidR="00000000" w:rsidRDefault="00000000">
      <w:pPr>
        <w:ind w:left="680" w:hanging="680"/>
        <w:rPr>
          <w:rStyle w:val="PageNumber"/>
        </w:rPr>
      </w:pPr>
      <w:r>
        <w:rPr>
          <w:rStyle w:val="PageNumber"/>
        </w:rPr>
        <w:t>–</w:t>
      </w:r>
      <w:r>
        <w:rPr>
          <w:rStyle w:val="PageNumber"/>
        </w:rPr>
        <w:tab/>
        <w:t>перерыв для кормления грудью предоставляется на срок не более шести месяцев, начиная с окончания отпуска по беременности и родам.</w:t>
      </w:r>
    </w:p>
    <w:p w:rsidR="00000000" w:rsidRDefault="00000000">
      <w:pPr>
        <w:spacing w:before="80" w:after="200" w:line="260" w:lineRule="exact"/>
        <w:ind w:left="680" w:hanging="680"/>
        <w:jc w:val="left"/>
        <w:rPr>
          <w:rStyle w:val="PageNumber"/>
          <w:b/>
          <w:sz w:val="22"/>
        </w:rPr>
      </w:pPr>
      <w:r>
        <w:rPr>
          <w:rStyle w:val="PageNumber"/>
          <w:b/>
          <w:sz w:val="22"/>
        </w:rPr>
        <w:t xml:space="preserve">I.2.2. </w:t>
      </w:r>
      <w:r>
        <w:rPr>
          <w:rStyle w:val="PageNumber"/>
          <w:b/>
          <w:sz w:val="22"/>
          <w:lang w:val="en-US"/>
        </w:rPr>
        <w:tab/>
      </w:r>
      <w:r>
        <w:rPr>
          <w:rStyle w:val="PageNumber"/>
          <w:b/>
          <w:sz w:val="22"/>
        </w:rPr>
        <w:t xml:space="preserve">Юридические положения, касающиеся защиты здоровья и безопасности </w:t>
      </w:r>
      <w:r>
        <w:rPr>
          <w:rStyle w:val="PageNumber"/>
          <w:b/>
          <w:sz w:val="22"/>
        </w:rPr>
        <w:br/>
        <w:t>трудящихся-женщин</w:t>
      </w:r>
    </w:p>
    <w:p w:rsidR="00000000" w:rsidRDefault="00000000">
      <w:pPr>
        <w:rPr>
          <w:rStyle w:val="PageNumber"/>
        </w:rPr>
      </w:pPr>
      <w:r>
        <w:rPr>
          <w:rStyle w:val="PageNumber"/>
        </w:rPr>
        <w:t>599.</w:t>
      </w:r>
      <w:r>
        <w:rPr>
          <w:rStyle w:val="PageNumber"/>
        </w:rPr>
        <w:tab/>
        <w:t xml:space="preserve">В статье 77 Кодекса законов о труде говорится, что </w:t>
      </w:r>
      <w:r>
        <w:rPr>
          <w:rStyle w:val="PageNumber"/>
          <w:i/>
        </w:rPr>
        <w:t>"женщины независимо от их возраста... не должны быть заняты на подземных работах, шахтах и в карьерах".</w:t>
      </w:r>
      <w:r>
        <w:rPr>
          <w:rStyle w:val="PageNumber"/>
        </w:rPr>
        <w:t xml:space="preserve"> Это положение соответствует международной конвенции о труде № 45 относительно применения женского труда на подземных работах.</w:t>
      </w:r>
    </w:p>
    <w:p w:rsidR="00000000" w:rsidRDefault="00000000">
      <w:pPr>
        <w:rPr>
          <w:rStyle w:val="PageNumber"/>
        </w:rPr>
      </w:pPr>
      <w:r>
        <w:rPr>
          <w:rStyle w:val="PageNumber"/>
        </w:rPr>
        <w:t xml:space="preserve">600. </w:t>
      </w:r>
      <w:r>
        <w:rPr>
          <w:rStyle w:val="PageNumber"/>
        </w:rPr>
        <w:tab/>
        <w:t>Кроме того, тунисским законодательством запрещается труд женщин в ночное время, однако предусмотрены некоторые исключения из этого принципа.</w:t>
      </w:r>
    </w:p>
    <w:p w:rsidR="00000000" w:rsidRDefault="00000000">
      <w:pPr>
        <w:rPr>
          <w:rStyle w:val="PageNumber"/>
        </w:rPr>
      </w:pPr>
      <w:r>
        <w:rPr>
          <w:rStyle w:val="PageNumber"/>
        </w:rPr>
        <w:t xml:space="preserve">601. </w:t>
      </w:r>
      <w:r>
        <w:rPr>
          <w:rStyle w:val="PageNumber"/>
        </w:rPr>
        <w:tab/>
        <w:t xml:space="preserve">В этом отношении в статье 66 Кодекса законов о труде говорится, что "... </w:t>
      </w:r>
      <w:r>
        <w:rPr>
          <w:rStyle w:val="PageNumber"/>
          <w:i/>
        </w:rPr>
        <w:t>труд женщин в ночное время не должен использоваться в течение по меньшей мере 12 часов подряд, охватывающих промежуток времени с 10 часов вечера до 6 часов утра</w:t>
      </w:r>
      <w:r>
        <w:rPr>
          <w:rStyle w:val="PageNumber"/>
        </w:rPr>
        <w:t>".</w:t>
      </w:r>
    </w:p>
    <w:p w:rsidR="00000000" w:rsidRDefault="00000000">
      <w:pPr>
        <w:spacing w:after="80"/>
        <w:rPr>
          <w:rStyle w:val="PageNumber"/>
        </w:rPr>
      </w:pPr>
      <w:r>
        <w:rPr>
          <w:rStyle w:val="PageNumber"/>
        </w:rPr>
        <w:t xml:space="preserve">602. </w:t>
      </w:r>
      <w:r>
        <w:rPr>
          <w:rStyle w:val="PageNumber"/>
        </w:rPr>
        <w:tab/>
        <w:t>Согласно статьям 68 и 71 Кодекса законов о труде отступления от принципа, запрещающего труд женщин в ночное время, действуют только в случае чрезвычайных обстоятельств, а именно:</w:t>
      </w:r>
    </w:p>
    <w:p w:rsidR="00000000" w:rsidRDefault="00000000">
      <w:pPr>
        <w:spacing w:after="80"/>
        <w:ind w:left="680" w:hanging="680"/>
        <w:rPr>
          <w:rStyle w:val="PageNumber"/>
        </w:rPr>
      </w:pPr>
      <w:r>
        <w:rPr>
          <w:rStyle w:val="PageNumber"/>
        </w:rPr>
        <w:t>*</w:t>
      </w:r>
      <w:r>
        <w:rPr>
          <w:rStyle w:val="PageNumber"/>
        </w:rPr>
        <w:tab/>
        <w:t>когда труд женщин связан либо с сырьем, либо с незавершенной продукцией, которые подвержены чрезвычайно быстрым изменениям, если это необходимо, чтобы предотвратить их неизбежную порчу;</w:t>
      </w:r>
    </w:p>
    <w:p w:rsidR="00000000" w:rsidRDefault="00000000">
      <w:pPr>
        <w:spacing w:after="80"/>
        <w:ind w:left="680" w:hanging="680"/>
        <w:rPr>
          <w:rStyle w:val="PageNumber"/>
        </w:rPr>
      </w:pPr>
      <w:r>
        <w:rPr>
          <w:rStyle w:val="PageNumber"/>
        </w:rPr>
        <w:t>*</w:t>
      </w:r>
      <w:r>
        <w:rPr>
          <w:rStyle w:val="PageNumber"/>
        </w:rPr>
        <w:tab/>
        <w:t>когда женщина занимает руководящую или техническую должность, налагающую особую ответственность;</w:t>
      </w:r>
    </w:p>
    <w:p w:rsidR="00000000" w:rsidRDefault="00000000">
      <w:pPr>
        <w:spacing w:after="80"/>
        <w:rPr>
          <w:rStyle w:val="PageNumber"/>
        </w:rPr>
      </w:pPr>
      <w:r>
        <w:rPr>
          <w:rStyle w:val="PageNumber"/>
        </w:rPr>
        <w:t>*</w:t>
      </w:r>
      <w:r>
        <w:rPr>
          <w:rStyle w:val="PageNumber"/>
        </w:rPr>
        <w:tab/>
        <w:t>когда женщина занята в сфере социальных услуг и обычно не связана с ручным трудом;</w:t>
      </w:r>
    </w:p>
    <w:p w:rsidR="00000000" w:rsidRDefault="00000000">
      <w:pPr>
        <w:spacing w:after="0"/>
        <w:ind w:left="680" w:hanging="680"/>
        <w:rPr>
          <w:rStyle w:val="PageNumber"/>
        </w:rPr>
      </w:pPr>
      <w:r>
        <w:rPr>
          <w:rStyle w:val="PageNumber"/>
        </w:rPr>
        <w:t>*</w:t>
      </w:r>
      <w:r>
        <w:rPr>
          <w:rStyle w:val="PageNumber"/>
        </w:rPr>
        <w:tab/>
        <w:t>в особо тяжелых обстоятельствах, когда того требуют национальные интересы, запрет на труд женщин в ночное время может быть отменен соответствующим декретом.</w:t>
      </w:r>
    </w:p>
    <w:p w:rsidR="00000000" w:rsidRDefault="00000000">
      <w:pPr>
        <w:spacing w:after="120"/>
        <w:rPr>
          <w:rStyle w:val="PageNumber"/>
        </w:rPr>
      </w:pPr>
      <w:r>
        <w:rPr>
          <w:rStyle w:val="PageNumber"/>
        </w:rPr>
        <w:t>603.</w:t>
      </w:r>
      <w:r>
        <w:rPr>
          <w:rStyle w:val="PageNumber"/>
        </w:rPr>
        <w:tab/>
        <w:t>В соответствии с протоколом от 1990 года и помимо этих отступлений в статье 68-2 Кодекса законов о труде (добавленной согласно закону № 96-62 от 15 июля 1996 года) была расширена возможность женщин работать в ночное время в следующих случаях:</w:t>
      </w:r>
    </w:p>
    <w:p w:rsidR="00000000" w:rsidRDefault="00000000">
      <w:pPr>
        <w:spacing w:after="120"/>
        <w:rPr>
          <w:rStyle w:val="PageNumber"/>
        </w:rPr>
      </w:pPr>
      <w:r>
        <w:rPr>
          <w:rStyle w:val="PageNumber"/>
        </w:rPr>
        <w:tab/>
        <w:t>1)</w:t>
      </w:r>
      <w:r>
        <w:rPr>
          <w:rStyle w:val="PageNumber"/>
        </w:rPr>
        <w:tab/>
        <w:t>в отрасли деятельности или в профессии, определенной приказом министра по социальным делам по согласованию с профессиональными организациями, представляющими работодателей и трудящихся;</w:t>
      </w:r>
    </w:p>
    <w:p w:rsidR="00000000" w:rsidRDefault="00000000">
      <w:pPr>
        <w:spacing w:after="120"/>
        <w:rPr>
          <w:rStyle w:val="PageNumber"/>
        </w:rPr>
      </w:pPr>
      <w:r>
        <w:rPr>
          <w:rStyle w:val="PageNumber"/>
        </w:rPr>
        <w:tab/>
        <w:t>2)</w:t>
      </w:r>
      <w:r>
        <w:rPr>
          <w:rStyle w:val="PageNumber"/>
        </w:rPr>
        <w:tab/>
        <w:t>на одном или на нескольких предприятиях, не подпадающих под вышеупомянутый приказ, с разрешения начальника соответствующей территориальной инспекции по труду, полученного на основании соглашения, заключенного между руководителем предприятия и представителями соответствующего профсоюза трудящихся или представителями работников предприятия после консультации с соответствующими представительными профессиональными организациями работодателей и трудящихся;</w:t>
      </w:r>
    </w:p>
    <w:p w:rsidR="00000000" w:rsidRDefault="00000000">
      <w:pPr>
        <w:spacing w:after="60"/>
        <w:rPr>
          <w:rStyle w:val="PageNumber"/>
        </w:rPr>
      </w:pPr>
      <w:r>
        <w:rPr>
          <w:rStyle w:val="PageNumber"/>
          <w:lang w:val="en-US"/>
        </w:rPr>
        <w:tab/>
      </w:r>
      <w:r>
        <w:rPr>
          <w:rStyle w:val="PageNumber"/>
        </w:rPr>
        <w:t>3)</w:t>
      </w:r>
      <w:r>
        <w:rPr>
          <w:rStyle w:val="PageNumber"/>
        </w:rPr>
        <w:tab/>
        <w:t>на предприятии, не подпадающем под вышеупомянутый приказ, на котором не было заключено соглашение об изменении ночного периода или не был снят запрет на ночной труд женщин, с разрешения начальника медицинской инспекции по труду и при соблюдении следующих условий:</w:t>
      </w:r>
    </w:p>
    <w:p w:rsidR="00000000" w:rsidRDefault="00000000">
      <w:pPr>
        <w:spacing w:after="60"/>
        <w:ind w:left="1021" w:hanging="1021"/>
        <w:rPr>
          <w:rStyle w:val="PageNumber"/>
        </w:rPr>
      </w:pPr>
      <w:r>
        <w:rPr>
          <w:rStyle w:val="PageNumber"/>
        </w:rPr>
        <w:tab/>
        <w:t>*</w:t>
      </w:r>
      <w:r>
        <w:rPr>
          <w:rStyle w:val="PageNumber"/>
        </w:rPr>
        <w:tab/>
        <w:t>после консультации с соответствующими представительными профессиональными организациями работодателей и трудящихся;</w:t>
      </w:r>
    </w:p>
    <w:p w:rsidR="00000000" w:rsidRDefault="00000000">
      <w:pPr>
        <w:spacing w:after="60"/>
        <w:ind w:left="1021" w:hanging="1021"/>
        <w:rPr>
          <w:rStyle w:val="PageNumber"/>
        </w:rPr>
      </w:pPr>
      <w:r>
        <w:rPr>
          <w:rStyle w:val="PageNumber"/>
          <w:lang w:val="en-US"/>
        </w:rPr>
        <w:tab/>
      </w:r>
      <w:r>
        <w:rPr>
          <w:rStyle w:val="PageNumber"/>
        </w:rPr>
        <w:t>*</w:t>
      </w:r>
      <w:r>
        <w:rPr>
          <w:rStyle w:val="PageNumber"/>
        </w:rPr>
        <w:tab/>
        <w:t>после проверки наличия достаточных гарантий на предприятии для работающих женщин в отношении здоровья, безопасности труда, социальных служб и равенства возможностей и обращения;</w:t>
      </w:r>
    </w:p>
    <w:p w:rsidR="00000000" w:rsidRDefault="00000000">
      <w:pPr>
        <w:spacing w:after="60"/>
        <w:rPr>
          <w:rStyle w:val="PageNumber"/>
        </w:rPr>
      </w:pPr>
      <w:r>
        <w:rPr>
          <w:rStyle w:val="PageNumber"/>
        </w:rPr>
        <w:tab/>
        <w:t>*</w:t>
      </w:r>
      <w:r>
        <w:rPr>
          <w:rStyle w:val="PageNumber"/>
        </w:rPr>
        <w:tab/>
        <w:t>после проверки наличия достаточных гарантий в отношении поездок женщин по служебным делам;</w:t>
      </w:r>
    </w:p>
    <w:p w:rsidR="00000000" w:rsidRDefault="00000000">
      <w:pPr>
        <w:rPr>
          <w:rStyle w:val="PageNumber"/>
        </w:rPr>
      </w:pPr>
      <w:r>
        <w:rPr>
          <w:rStyle w:val="PageNumber"/>
          <w:lang w:val="en-US"/>
        </w:rPr>
        <w:tab/>
      </w:r>
      <w:r>
        <w:rPr>
          <w:rStyle w:val="PageNumber"/>
        </w:rPr>
        <w:t>*</w:t>
      </w:r>
      <w:r>
        <w:rPr>
          <w:rStyle w:val="PageNumber"/>
        </w:rPr>
        <w:tab/>
        <w:t>при установлении срока действия разрешения, который может быть продлен на тех же условиях.</w:t>
      </w:r>
    </w:p>
    <w:p w:rsidR="00000000" w:rsidRDefault="00000000">
      <w:pPr>
        <w:spacing w:before="120" w:line="260" w:lineRule="exact"/>
        <w:rPr>
          <w:rStyle w:val="PageNumber"/>
          <w:b/>
          <w:sz w:val="22"/>
        </w:rPr>
      </w:pPr>
      <w:r>
        <w:rPr>
          <w:rStyle w:val="PageNumber"/>
          <w:b/>
          <w:sz w:val="22"/>
        </w:rPr>
        <w:t xml:space="preserve">I.2.3. </w:t>
      </w:r>
      <w:r>
        <w:rPr>
          <w:rStyle w:val="PageNumber"/>
          <w:b/>
          <w:sz w:val="22"/>
          <w:lang w:val="en-US"/>
        </w:rPr>
        <w:tab/>
      </w:r>
      <w:r>
        <w:rPr>
          <w:rStyle w:val="PageNumber"/>
          <w:b/>
          <w:sz w:val="22"/>
        </w:rPr>
        <w:t>Права на социальные пособия</w:t>
      </w:r>
    </w:p>
    <w:p w:rsidR="00000000" w:rsidRDefault="00000000">
      <w:pPr>
        <w:spacing w:after="200"/>
        <w:rPr>
          <w:rStyle w:val="PageNumber"/>
        </w:rPr>
      </w:pPr>
      <w:r>
        <w:rPr>
          <w:rStyle w:val="PageNumber"/>
        </w:rPr>
        <w:t>604.</w:t>
      </w:r>
      <w:r>
        <w:rPr>
          <w:rStyle w:val="PageNumber"/>
        </w:rPr>
        <w:tab/>
        <w:t>Трудящиеся-женщины, охваченные системой социального обеспечения, получают пособия по социальному страхованию наравне с мужчинами при условии, что они не получают одновременно с этим других пособий, например семейных пособий, которые выплачиваются только один раз на одно домашнее хозяйство. Кроме этого случая, женщины, охваченные системой социального обеспечения, получают другие пособия по социальному страхованию (пособие по болезни и на лечение), пенсию по старости, пособия по инвалидности, пособия в случае производственного травматизма и возмещения в случаях профессиональных заболеваний. В случае кончины женщины ее права могут передаваться ее супругу или ее детям, имеющим на это право.</w:t>
      </w:r>
    </w:p>
    <w:p w:rsidR="00000000" w:rsidRDefault="00000000">
      <w:pPr>
        <w:spacing w:after="200"/>
        <w:rPr>
          <w:rStyle w:val="PageNumber"/>
        </w:rPr>
      </w:pPr>
      <w:r>
        <w:rPr>
          <w:rStyle w:val="PageNumber"/>
        </w:rPr>
        <w:t>605.</w:t>
      </w:r>
      <w:r>
        <w:rPr>
          <w:rStyle w:val="PageNumber"/>
        </w:rPr>
        <w:tab/>
        <w:t>Кроме того, женщина, охваченная системой социального обеспечения, пользуется особыми правами, связанными с ее положением, в частности правом на отпуск или пособие по беременности и родам, а также может досрочно уходить на пенсию, если у нее не менее трех детей в возрасте до 20 лет или один ребенок-инвалид, при условии наличия у нее трудового стажа не менее 15 лет.</w:t>
      </w:r>
    </w:p>
    <w:p w:rsidR="00000000" w:rsidRDefault="00000000">
      <w:pPr>
        <w:rPr>
          <w:rStyle w:val="PageNumber"/>
        </w:rPr>
      </w:pPr>
      <w:r>
        <w:rPr>
          <w:rStyle w:val="PageNumber"/>
        </w:rPr>
        <w:t>606.</w:t>
      </w:r>
      <w:r>
        <w:rPr>
          <w:rStyle w:val="PageNumber"/>
        </w:rPr>
        <w:tab/>
        <w:t>Законом № 94-88 от 26 июля 1994 года устанавливаются условия участия Национальной кассы социального обеспечения в финансировании яслей посредством взносов на расходы по содержанию детей женщин, работающих вне дома.</w:t>
      </w:r>
    </w:p>
    <w:p w:rsidR="00000000" w:rsidRDefault="00000000">
      <w:pPr>
        <w:spacing w:before="240" w:line="240" w:lineRule="auto"/>
        <w:rPr>
          <w:rStyle w:val="PageNumber"/>
          <w:b/>
          <w:sz w:val="28"/>
        </w:rPr>
      </w:pPr>
      <w:r>
        <w:rPr>
          <w:rStyle w:val="PageNumber"/>
          <w:b/>
          <w:sz w:val="28"/>
        </w:rPr>
        <w:t>II.</w:t>
      </w:r>
      <w:r>
        <w:rPr>
          <w:rStyle w:val="PageNumber"/>
          <w:b/>
          <w:sz w:val="28"/>
        </w:rPr>
        <w:tab/>
        <w:t>Возможности для женщин в профессиональной области</w:t>
      </w:r>
    </w:p>
    <w:p w:rsidR="00000000" w:rsidRDefault="00000000">
      <w:pPr>
        <w:rPr>
          <w:rStyle w:val="PageNumber"/>
          <w:b/>
          <w:sz w:val="22"/>
        </w:rPr>
      </w:pPr>
      <w:r>
        <w:rPr>
          <w:rStyle w:val="PageNumber"/>
          <w:b/>
          <w:sz w:val="22"/>
        </w:rPr>
        <w:t>II.1.</w:t>
      </w:r>
      <w:r>
        <w:rPr>
          <w:rStyle w:val="PageNumber"/>
          <w:b/>
          <w:sz w:val="22"/>
        </w:rPr>
        <w:tab/>
        <w:t>Закон об ориентации в профессиональной подготовке</w:t>
      </w:r>
    </w:p>
    <w:p w:rsidR="00000000" w:rsidRDefault="00000000">
      <w:pPr>
        <w:rPr>
          <w:rStyle w:val="PageNumber"/>
        </w:rPr>
      </w:pPr>
      <w:r>
        <w:rPr>
          <w:rStyle w:val="PageNumber"/>
        </w:rPr>
        <w:t>607.</w:t>
      </w:r>
      <w:r>
        <w:rPr>
          <w:rStyle w:val="PageNumber"/>
        </w:rPr>
        <w:tab/>
        <w:t>Система профессиональной подготовки была поднята в Тунисе на надлежащий уровень путем обновления соответствующих законодательных и нормативных рамок, изменения структуры учебных заведений, готовящих трудовые кадры, и введения нового педагогического подхода, использующего предприятие в качестве центра, где организуется начальная подготовка, периодическая переподготовка, производственная подготовка и регулярное повышение квалификации.</w:t>
      </w:r>
    </w:p>
    <w:p w:rsidR="00000000" w:rsidRDefault="00000000">
      <w:pPr>
        <w:spacing w:after="80"/>
        <w:rPr>
          <w:rStyle w:val="PageNumber"/>
        </w:rPr>
      </w:pPr>
      <w:r>
        <w:rPr>
          <w:rStyle w:val="PageNumber"/>
        </w:rPr>
        <w:t>608.</w:t>
      </w:r>
      <w:r>
        <w:rPr>
          <w:rStyle w:val="PageNumber"/>
        </w:rPr>
        <w:tab/>
        <w:t>Эта реформа, начавшаяся в 1990 году, ставит, в частности, следующие задачи:</w:t>
      </w:r>
    </w:p>
    <w:p w:rsidR="00000000" w:rsidRDefault="00000000">
      <w:pPr>
        <w:spacing w:after="120"/>
        <w:rPr>
          <w:rStyle w:val="PageNumber"/>
        </w:rPr>
      </w:pPr>
      <w:r>
        <w:rPr>
          <w:rStyle w:val="PageNumber"/>
        </w:rPr>
        <w:tab/>
        <w:t xml:space="preserve">* </w:t>
      </w:r>
      <w:r>
        <w:rPr>
          <w:rStyle w:val="PageNumber"/>
        </w:rPr>
        <w:tab/>
        <w:t>повышение уровня занятости путем модернизации служб по трудоустройству;</w:t>
      </w:r>
    </w:p>
    <w:p w:rsidR="00000000" w:rsidRDefault="00000000">
      <w:pPr>
        <w:spacing w:after="120"/>
        <w:rPr>
          <w:rStyle w:val="PageNumber"/>
        </w:rPr>
      </w:pPr>
      <w:r>
        <w:rPr>
          <w:rStyle w:val="PageNumber"/>
        </w:rPr>
        <w:tab/>
        <w:t xml:space="preserve">* </w:t>
      </w:r>
      <w:r>
        <w:rPr>
          <w:rStyle w:val="PageNumber"/>
        </w:rPr>
        <w:tab/>
        <w:t>расширение профессиональной информации;</w:t>
      </w:r>
    </w:p>
    <w:p w:rsidR="00000000" w:rsidRDefault="00000000">
      <w:pPr>
        <w:rPr>
          <w:rStyle w:val="PageNumber"/>
        </w:rPr>
      </w:pPr>
      <w:r>
        <w:rPr>
          <w:rStyle w:val="PageNumber"/>
        </w:rPr>
        <w:tab/>
        <w:t xml:space="preserve">* </w:t>
      </w:r>
      <w:r>
        <w:rPr>
          <w:rStyle w:val="PageNumber"/>
        </w:rPr>
        <w:tab/>
        <w:t>развитие деятельности по трудоустройству и помощи в адаптации в трудовом коллективе.</w:t>
      </w:r>
    </w:p>
    <w:p w:rsidR="00000000" w:rsidRDefault="00000000">
      <w:pPr>
        <w:rPr>
          <w:rStyle w:val="PageNumber"/>
        </w:rPr>
      </w:pPr>
      <w:r>
        <w:rPr>
          <w:rStyle w:val="PageNumber"/>
        </w:rPr>
        <w:t>609.</w:t>
      </w:r>
      <w:r>
        <w:rPr>
          <w:rStyle w:val="PageNumber"/>
        </w:rPr>
        <w:tab/>
        <w:t>Закон об ориентации в области профессиональной подготовки и занятости, устанавливающий юридические и организационные рамки для новой национальной системы профессиональной подготовки, которая была бы эффективной и пользовалась всеобщим признанием, придает большее значение ориентации и информированности как мужчин, так и женщин.</w:t>
      </w:r>
    </w:p>
    <w:p w:rsidR="00000000" w:rsidRDefault="00000000">
      <w:pPr>
        <w:rPr>
          <w:rStyle w:val="PageNumber"/>
        </w:rPr>
      </w:pPr>
      <w:r>
        <w:rPr>
          <w:rStyle w:val="PageNumber"/>
        </w:rPr>
        <w:t>610.</w:t>
      </w:r>
      <w:r>
        <w:rPr>
          <w:rStyle w:val="PageNumber"/>
        </w:rPr>
        <w:tab/>
        <w:t>Как и в системе образования, в системе профессиональной подготовки в Тунисе не проводится различия между полами, поскольку концепция человеческих ресурсов распространяется как на мужчин, так и на женщин. Однако в отношении ориентации и информированности в законе уточняется необходимость охватывать взрослое население "обоих полов" и, учитывая особые потребности женщин в этом отношении, содействовать равенству возможностей мужчин и женщин.</w:t>
      </w:r>
    </w:p>
    <w:p w:rsidR="00000000" w:rsidRDefault="00000000">
      <w:pPr>
        <w:spacing w:after="80"/>
        <w:rPr>
          <w:rStyle w:val="PageNumber"/>
        </w:rPr>
      </w:pPr>
      <w:r>
        <w:rPr>
          <w:rStyle w:val="PageNumber"/>
        </w:rPr>
        <w:t>611.</w:t>
      </w:r>
      <w:r>
        <w:rPr>
          <w:rStyle w:val="PageNumber"/>
        </w:rPr>
        <w:tab/>
        <w:t xml:space="preserve">Закон об ориентации в области профессиональной подготовки и занятости нашел свое выражение: </w:t>
      </w:r>
    </w:p>
    <w:p w:rsidR="00000000" w:rsidRDefault="00000000">
      <w:pPr>
        <w:spacing w:after="80"/>
        <w:rPr>
          <w:rStyle w:val="PageNumber"/>
        </w:rPr>
      </w:pPr>
      <w:r>
        <w:rPr>
          <w:rStyle w:val="PageNumber"/>
        </w:rPr>
        <w:tab/>
        <w:t>–</w:t>
      </w:r>
      <w:r>
        <w:rPr>
          <w:rStyle w:val="PageNumber"/>
        </w:rPr>
        <w:tab/>
        <w:t>в улучшении адаптации юношей и особенно девушек;</w:t>
      </w:r>
    </w:p>
    <w:p w:rsidR="00000000" w:rsidRDefault="00000000">
      <w:pPr>
        <w:spacing w:after="80"/>
        <w:rPr>
          <w:rStyle w:val="PageNumber"/>
        </w:rPr>
      </w:pPr>
      <w:r>
        <w:rPr>
          <w:rStyle w:val="PageNumber"/>
        </w:rPr>
        <w:tab/>
        <w:t>–</w:t>
      </w:r>
      <w:r>
        <w:rPr>
          <w:rStyle w:val="PageNumber"/>
        </w:rPr>
        <w:tab/>
        <w:t>в усилении конкурентоспособности экономики в целом;</w:t>
      </w:r>
    </w:p>
    <w:p w:rsidR="00000000" w:rsidRDefault="00000000">
      <w:pPr>
        <w:ind w:left="1021" w:hanging="1021"/>
        <w:rPr>
          <w:rStyle w:val="PageNumber"/>
        </w:rPr>
      </w:pPr>
      <w:r>
        <w:rPr>
          <w:rStyle w:val="PageNumber"/>
        </w:rPr>
        <w:tab/>
        <w:t>–</w:t>
      </w:r>
      <w:r>
        <w:rPr>
          <w:rStyle w:val="PageNumber"/>
        </w:rPr>
        <w:tab/>
        <w:t>в представлении комплекса инновационных мер, в том числе направленных на координацию действий и сотрудничество с различными социальными партнерами (НСТЖ, ТСПТР, ВСТТ) и способствующих их привлечению к разработке, осуществлению и оценке мероприятий, связанных с профессиональной подготовкой.</w:t>
      </w:r>
    </w:p>
    <w:p w:rsidR="00000000" w:rsidRDefault="00000000">
      <w:pPr>
        <w:spacing w:before="120" w:line="260" w:lineRule="exact"/>
        <w:rPr>
          <w:rStyle w:val="PageNumber"/>
          <w:b/>
          <w:sz w:val="22"/>
        </w:rPr>
      </w:pPr>
      <w:r>
        <w:rPr>
          <w:rStyle w:val="PageNumber"/>
          <w:b/>
          <w:sz w:val="22"/>
        </w:rPr>
        <w:t xml:space="preserve">II.2. </w:t>
      </w:r>
      <w:r>
        <w:rPr>
          <w:rStyle w:val="PageNumber"/>
          <w:b/>
          <w:sz w:val="22"/>
          <w:lang w:val="en-US"/>
        </w:rPr>
        <w:tab/>
      </w:r>
      <w:r>
        <w:rPr>
          <w:rStyle w:val="PageNumber"/>
          <w:b/>
          <w:sz w:val="22"/>
        </w:rPr>
        <w:t>Социально-образовательные структуры по уходу за детьми (см. пункты 363–370)</w:t>
      </w:r>
    </w:p>
    <w:p w:rsidR="00000000" w:rsidRDefault="00000000">
      <w:pPr>
        <w:spacing w:before="120" w:line="260" w:lineRule="exact"/>
        <w:rPr>
          <w:rStyle w:val="PageNumber"/>
          <w:b/>
          <w:sz w:val="22"/>
        </w:rPr>
      </w:pPr>
      <w:r>
        <w:rPr>
          <w:rStyle w:val="PageNumber"/>
          <w:b/>
          <w:sz w:val="22"/>
        </w:rPr>
        <w:t xml:space="preserve">II.3. </w:t>
      </w:r>
      <w:r>
        <w:rPr>
          <w:rStyle w:val="PageNumber"/>
          <w:b/>
          <w:sz w:val="22"/>
          <w:lang w:val="en-US"/>
        </w:rPr>
        <w:tab/>
      </w:r>
      <w:r>
        <w:rPr>
          <w:rStyle w:val="PageNumber"/>
          <w:b/>
          <w:sz w:val="22"/>
        </w:rPr>
        <w:t>Программы содействия занятости</w:t>
      </w:r>
    </w:p>
    <w:p w:rsidR="00000000" w:rsidRDefault="00000000">
      <w:pPr>
        <w:rPr>
          <w:rStyle w:val="PageNumber"/>
        </w:rPr>
      </w:pPr>
      <w:r>
        <w:rPr>
          <w:rStyle w:val="PageNumber"/>
        </w:rPr>
        <w:t>612.</w:t>
      </w:r>
      <w:r>
        <w:rPr>
          <w:rStyle w:val="PageNumber"/>
        </w:rPr>
        <w:tab/>
        <w:t>Программы содействия занятости направлены на то, чтобы дать молодым людям возможность получить необходимую квалификацию либо путем стажировок по вопросам интеграции в профессиональную жизнь на государственных или частных предприятиях или в местных органах и структурах, либо организуя профессиональную подготовку, содержание которой определяется совместно с предприятием – ДНО (договор о найме-обучении).</w:t>
      </w:r>
    </w:p>
    <w:p w:rsidR="00000000" w:rsidRDefault="00000000">
      <w:pPr>
        <w:rPr>
          <w:rStyle w:val="PageNumber"/>
        </w:rPr>
      </w:pPr>
      <w:r>
        <w:rPr>
          <w:rStyle w:val="PageNumber"/>
        </w:rPr>
        <w:t>613.</w:t>
      </w:r>
      <w:r>
        <w:rPr>
          <w:rStyle w:val="PageNumber"/>
        </w:rPr>
        <w:tab/>
        <w:t xml:space="preserve">С 1994 по 1997 год 13 552 девушки были охвачены программами ознакомления с профессией, адаптации и интеграции, причем 55 процентов – в рамках ФИПА (Фонд интеграции и профессиональной адаптации), 30–35 процентов – в рамках СИПЖ-2 (Стратегия интеграции в профессиональную жизнь, средний уровень), 55–56 процентов – в рамках программ СИПЖ-1 (Стратегия интеграции в профессиональную жизнь, высший уровень) и ДНО (договор о найме-обучении). Девушки наравне с юношами участвуют в этих программах интеграции в профессиональную жизнь, например в 1997 году 55 процентов – в рамках ФИПА, </w:t>
      </w:r>
      <w:r>
        <w:rPr>
          <w:rStyle w:val="PageNumber"/>
        </w:rPr>
        <w:br/>
        <w:t>35 процентов – в рамках СИПЖ-2, 55 процентов – в рамках СИПЖ-1 и 56 процентов в рамках ДНО.</w:t>
      </w:r>
    </w:p>
    <w:p w:rsidR="00000000" w:rsidRDefault="00000000">
      <w:pPr>
        <w:spacing w:before="240" w:line="240" w:lineRule="auto"/>
        <w:rPr>
          <w:rStyle w:val="PageNumber"/>
          <w:b/>
          <w:sz w:val="28"/>
        </w:rPr>
      </w:pPr>
      <w:r>
        <w:rPr>
          <w:rStyle w:val="PageNumber"/>
          <w:b/>
          <w:sz w:val="28"/>
        </w:rPr>
        <w:t xml:space="preserve">Ш. </w:t>
      </w:r>
      <w:r>
        <w:rPr>
          <w:rStyle w:val="PageNumber"/>
          <w:b/>
          <w:sz w:val="28"/>
          <w:lang w:val="en-US"/>
        </w:rPr>
        <w:tab/>
      </w:r>
      <w:r>
        <w:rPr>
          <w:rStyle w:val="PageNumber"/>
          <w:b/>
          <w:sz w:val="28"/>
        </w:rPr>
        <w:t>Экономически активное женское население</w:t>
      </w:r>
    </w:p>
    <w:p w:rsidR="00000000" w:rsidRDefault="00000000">
      <w:pPr>
        <w:spacing w:before="120" w:line="260" w:lineRule="exact"/>
        <w:rPr>
          <w:rStyle w:val="PageNumber"/>
          <w:b/>
          <w:sz w:val="22"/>
        </w:rPr>
      </w:pPr>
      <w:r>
        <w:rPr>
          <w:rStyle w:val="PageNumber"/>
          <w:b/>
          <w:sz w:val="22"/>
          <w:lang w:val="en-US"/>
        </w:rPr>
        <w:t>III</w:t>
      </w:r>
      <w:r>
        <w:rPr>
          <w:rStyle w:val="PageNumber"/>
          <w:b/>
          <w:sz w:val="22"/>
        </w:rPr>
        <w:t>.1.</w:t>
      </w:r>
      <w:r>
        <w:rPr>
          <w:rStyle w:val="PageNumber"/>
          <w:b/>
          <w:sz w:val="22"/>
        </w:rPr>
        <w:tab/>
        <w:t>Динамика роста экономически активного женского населения</w:t>
      </w:r>
    </w:p>
    <w:p w:rsidR="00000000" w:rsidRDefault="00000000">
      <w:pPr>
        <w:spacing w:after="0"/>
        <w:rPr>
          <w:rStyle w:val="PageNumber"/>
        </w:rPr>
      </w:pPr>
      <w:r>
        <w:rPr>
          <w:rStyle w:val="PageNumber"/>
        </w:rPr>
        <w:t>614.</w:t>
      </w:r>
      <w:r>
        <w:rPr>
          <w:rStyle w:val="PageNumber"/>
        </w:rPr>
        <w:tab/>
        <w:t>Согласно последней переписи населения, проведенной в Тунисе в 1994 году, рост экономически активного населения происходил быстрее общего роста населения страны, ежегодный прирост экономически активного населения составил 2,6 процента, а общий рост населения – 2,3 процента.</w:t>
      </w:r>
    </w:p>
    <w:p w:rsidR="00000000" w:rsidRDefault="00000000">
      <w:pPr>
        <w:rPr>
          <w:rStyle w:val="PageNumber"/>
        </w:rPr>
      </w:pPr>
      <w:r>
        <w:rPr>
          <w:rStyle w:val="PageNumber"/>
        </w:rPr>
        <w:t>615.</w:t>
      </w:r>
      <w:r>
        <w:rPr>
          <w:rStyle w:val="PageNumber"/>
        </w:rPr>
        <w:tab/>
        <w:t>Анализ изменения структуры экономически активного населения в разбивке по полу свидетельствует о тенденции роста доли женщин в экономически активном населении страны в целом. Этот показатель вырос с 18,7 процента в 1975 году до 21,3 процента в 1984 году и до 23,6 процента в 1994 году.</w:t>
      </w:r>
    </w:p>
    <w:p w:rsidR="00000000" w:rsidRDefault="00000000">
      <w:pPr>
        <w:spacing w:before="240" w:after="360"/>
        <w:jc w:val="center"/>
        <w:rPr>
          <w:rStyle w:val="PageNumber"/>
          <w:b/>
        </w:rPr>
      </w:pPr>
      <w:r>
        <w:rPr>
          <w:rStyle w:val="PageNumber"/>
          <w:b/>
        </w:rPr>
        <w:t>Рост экономически активного населения в разбивке по полу (в процентах)</w:t>
      </w:r>
    </w:p>
    <w:tbl>
      <w:tblPr>
        <w:tblW w:w="0" w:type="auto"/>
        <w:jc w:val="center"/>
        <w:tblLayout w:type="fixed"/>
        <w:tblCellMar>
          <w:left w:w="40" w:type="dxa"/>
          <w:right w:w="40" w:type="dxa"/>
        </w:tblCellMar>
        <w:tblLook w:val="0000" w:firstRow="0" w:lastRow="0" w:firstColumn="0" w:lastColumn="0" w:noHBand="0" w:noVBand="0"/>
      </w:tblPr>
      <w:tblGrid>
        <w:gridCol w:w="1700"/>
        <w:gridCol w:w="1418"/>
        <w:gridCol w:w="1418"/>
        <w:gridCol w:w="1418"/>
      </w:tblGrid>
      <w:tr w:rsidR="00000000">
        <w:tblPrEx>
          <w:tblCellMar>
            <w:top w:w="0" w:type="dxa"/>
            <w:bottom w:w="0" w:type="dxa"/>
          </w:tblCellMar>
        </w:tblPrEx>
        <w:trPr>
          <w:trHeight w:val="20"/>
          <w:jc w:val="center"/>
        </w:trPr>
        <w:tc>
          <w:tcPr>
            <w:tcW w:w="17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rPr>
                <w:rStyle w:val="PageNumber"/>
                <w:b/>
                <w:sz w:val="18"/>
              </w:rPr>
            </w:pPr>
            <w:r>
              <w:rPr>
                <w:rStyle w:val="PageNumber"/>
                <w:b/>
                <w:sz w:val="18"/>
              </w:rPr>
              <w:t xml:space="preserve">Пол </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jc w:val="center"/>
              <w:rPr>
                <w:rStyle w:val="PageNumber"/>
                <w:b/>
                <w:sz w:val="18"/>
              </w:rPr>
            </w:pPr>
            <w:r>
              <w:rPr>
                <w:rStyle w:val="PageNumber"/>
                <w:b/>
                <w:sz w:val="18"/>
              </w:rPr>
              <w:t>1975 год</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jc w:val="center"/>
              <w:rPr>
                <w:rStyle w:val="PageNumber"/>
                <w:b/>
                <w:sz w:val="18"/>
              </w:rPr>
            </w:pPr>
            <w:r>
              <w:rPr>
                <w:rStyle w:val="PageNumber"/>
                <w:b/>
                <w:sz w:val="18"/>
              </w:rPr>
              <w:t>1984 год</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jc w:val="center"/>
              <w:rPr>
                <w:rStyle w:val="PageNumber"/>
                <w:b/>
                <w:sz w:val="18"/>
              </w:rPr>
            </w:pPr>
            <w:r>
              <w:rPr>
                <w:rStyle w:val="PageNumber"/>
                <w:b/>
                <w:sz w:val="18"/>
              </w:rPr>
              <w:t>1994 год</w:t>
            </w:r>
          </w:p>
        </w:tc>
      </w:tr>
      <w:tr w:rsidR="00000000">
        <w:tblPrEx>
          <w:tblCellMar>
            <w:top w:w="0" w:type="dxa"/>
            <w:bottom w:w="0" w:type="dxa"/>
          </w:tblCellMar>
        </w:tblPrEx>
        <w:trPr>
          <w:trHeight w:val="20"/>
          <w:jc w:val="center"/>
        </w:trPr>
        <w:tc>
          <w:tcPr>
            <w:tcW w:w="17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rPr>
                <w:rStyle w:val="PageNumber"/>
                <w:sz w:val="18"/>
              </w:rPr>
            </w:pPr>
            <w:r>
              <w:rPr>
                <w:rStyle w:val="PageNumber"/>
                <w:sz w:val="18"/>
              </w:rPr>
              <w:t>Женщины</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jc w:val="center"/>
              <w:rPr>
                <w:rStyle w:val="PageNumber"/>
                <w:sz w:val="18"/>
              </w:rPr>
            </w:pPr>
            <w:r>
              <w:rPr>
                <w:rStyle w:val="PageNumber"/>
                <w:sz w:val="18"/>
              </w:rPr>
              <w:t>18,7</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jc w:val="center"/>
              <w:rPr>
                <w:rStyle w:val="PageNumber"/>
                <w:sz w:val="18"/>
              </w:rPr>
            </w:pPr>
            <w:r>
              <w:rPr>
                <w:rStyle w:val="PageNumber"/>
                <w:sz w:val="18"/>
              </w:rPr>
              <w:t>21,3</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jc w:val="center"/>
              <w:rPr>
                <w:rStyle w:val="PageNumber"/>
                <w:sz w:val="18"/>
              </w:rPr>
            </w:pPr>
            <w:r>
              <w:rPr>
                <w:rStyle w:val="PageNumber"/>
                <w:sz w:val="18"/>
              </w:rPr>
              <w:t>23,1</w:t>
            </w:r>
          </w:p>
        </w:tc>
      </w:tr>
      <w:tr w:rsidR="00000000">
        <w:tblPrEx>
          <w:tblCellMar>
            <w:top w:w="0" w:type="dxa"/>
            <w:bottom w:w="0" w:type="dxa"/>
          </w:tblCellMar>
        </w:tblPrEx>
        <w:trPr>
          <w:trHeight w:val="20"/>
          <w:jc w:val="center"/>
        </w:trPr>
        <w:tc>
          <w:tcPr>
            <w:tcW w:w="17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rPr>
                <w:rStyle w:val="PageNumber"/>
                <w:sz w:val="18"/>
              </w:rPr>
            </w:pPr>
            <w:r>
              <w:rPr>
                <w:rStyle w:val="PageNumber"/>
                <w:sz w:val="18"/>
              </w:rPr>
              <w:t>Мужчины</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jc w:val="center"/>
              <w:rPr>
                <w:rStyle w:val="PageNumber"/>
                <w:sz w:val="18"/>
              </w:rPr>
            </w:pPr>
            <w:r>
              <w:rPr>
                <w:rStyle w:val="PageNumber"/>
                <w:sz w:val="18"/>
              </w:rPr>
              <w:t>81,3</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jc w:val="center"/>
              <w:rPr>
                <w:rStyle w:val="PageNumber"/>
                <w:sz w:val="18"/>
              </w:rPr>
            </w:pPr>
            <w:r>
              <w:rPr>
                <w:rStyle w:val="PageNumber"/>
                <w:sz w:val="18"/>
              </w:rPr>
              <w:t>78,7</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jc w:val="center"/>
              <w:rPr>
                <w:rStyle w:val="PageNumber"/>
                <w:sz w:val="18"/>
              </w:rPr>
            </w:pPr>
            <w:r>
              <w:rPr>
                <w:rStyle w:val="PageNumber"/>
                <w:sz w:val="18"/>
              </w:rPr>
              <w:t>76,9</w:t>
            </w:r>
          </w:p>
        </w:tc>
      </w:tr>
      <w:tr w:rsidR="00000000">
        <w:tblPrEx>
          <w:tblCellMar>
            <w:top w:w="0" w:type="dxa"/>
            <w:bottom w:w="0" w:type="dxa"/>
          </w:tblCellMar>
        </w:tblPrEx>
        <w:trPr>
          <w:trHeight w:val="20"/>
          <w:jc w:val="center"/>
        </w:trPr>
        <w:tc>
          <w:tcPr>
            <w:tcW w:w="1700"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rPr>
                <w:rStyle w:val="PageNumber"/>
                <w:sz w:val="18"/>
              </w:rPr>
            </w:pPr>
            <w:r>
              <w:rPr>
                <w:rStyle w:val="PageNumber"/>
                <w:sz w:val="18"/>
              </w:rPr>
              <w:t>Всего</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jc w:val="center"/>
              <w:rPr>
                <w:rStyle w:val="PageNumber"/>
                <w:sz w:val="18"/>
              </w:rPr>
            </w:pPr>
            <w:r>
              <w:rPr>
                <w:rStyle w:val="PageNumber"/>
                <w:sz w:val="18"/>
              </w:rPr>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jc w:val="center"/>
              <w:rPr>
                <w:rStyle w:val="PageNumber"/>
                <w:sz w:val="18"/>
              </w:rPr>
            </w:pPr>
            <w:r>
              <w:rPr>
                <w:rStyle w:val="PageNumber"/>
                <w:sz w:val="18"/>
              </w:rPr>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line="220" w:lineRule="exact"/>
              <w:jc w:val="center"/>
              <w:rPr>
                <w:rStyle w:val="PageNumber"/>
                <w:sz w:val="18"/>
              </w:rPr>
            </w:pPr>
            <w:r>
              <w:rPr>
                <w:rStyle w:val="PageNumber"/>
                <w:sz w:val="18"/>
              </w:rPr>
              <w:t>100</w:t>
            </w:r>
          </w:p>
        </w:tc>
      </w:tr>
    </w:tbl>
    <w:p w:rsidR="00000000" w:rsidRDefault="00000000">
      <w:pPr>
        <w:spacing w:before="120" w:line="220" w:lineRule="exact"/>
        <w:ind w:right="1848"/>
        <w:jc w:val="right"/>
        <w:rPr>
          <w:rStyle w:val="PageNumber"/>
          <w:b/>
          <w:sz w:val="18"/>
        </w:rPr>
      </w:pPr>
      <w:r>
        <w:rPr>
          <w:rStyle w:val="PageNumber"/>
          <w:b/>
          <w:sz w:val="18"/>
        </w:rPr>
        <w:t>Источник: Перепись 1994 года, НИС</w:t>
      </w:r>
    </w:p>
    <w:p w:rsidR="00000000" w:rsidRDefault="00000000">
      <w:pPr>
        <w:spacing w:after="280"/>
        <w:rPr>
          <w:rStyle w:val="PageNumber"/>
        </w:rPr>
      </w:pPr>
      <w:r>
        <w:rPr>
          <w:rStyle w:val="PageNumber"/>
        </w:rPr>
        <w:t>616.</w:t>
      </w:r>
      <w:r>
        <w:rPr>
          <w:rStyle w:val="PageNumber"/>
        </w:rPr>
        <w:tab/>
        <w:t>На момент переписи работающее экономически активное население выросло до 2 320 610 человек, из которых 1 785 730 – мужчины и 534 880 – женщины, то есть, соответственно, 76,9 процента и 23,1 процента.</w:t>
      </w:r>
    </w:p>
    <w:p w:rsidR="00000000" w:rsidRDefault="00000000">
      <w:pPr>
        <w:spacing w:after="280"/>
        <w:rPr>
          <w:rStyle w:val="PageNumber"/>
        </w:rPr>
      </w:pPr>
      <w:r>
        <w:rPr>
          <w:rStyle w:val="PageNumber"/>
        </w:rPr>
        <w:t>617.</w:t>
      </w:r>
      <w:r>
        <w:rPr>
          <w:rStyle w:val="PageNumber"/>
        </w:rPr>
        <w:tab/>
        <w:t>Статистические данные показывают некоторое увеличение (с 40,3 процента до 40,5 процента) показателя работающего взрослого населения в период с 1989 по 1994 год, что объясняется ростом показателя трудящихся-женщин (с 16 процентов до 18,7 процента), и некоторое снижение показателя трудящихся-мужчин (с 62,6 процента до 62,1 процента).</w:t>
      </w:r>
    </w:p>
    <w:p w:rsidR="00000000" w:rsidRDefault="00000000">
      <w:pPr>
        <w:spacing w:after="280"/>
        <w:rPr>
          <w:rStyle w:val="PageNumber"/>
        </w:rPr>
      </w:pPr>
      <w:r>
        <w:rPr>
          <w:rStyle w:val="PageNumber"/>
        </w:rPr>
        <w:t>618.</w:t>
      </w:r>
      <w:r>
        <w:rPr>
          <w:rStyle w:val="PageNumber"/>
        </w:rPr>
        <w:tab/>
        <w:t xml:space="preserve">В этом контингенте насчитывается 1 785 730 мужчин и 534 880 женщин, то есть, соответственно, </w:t>
      </w:r>
      <w:r>
        <w:rPr>
          <w:rStyle w:val="PageNumber"/>
        </w:rPr>
        <w:br/>
        <w:t xml:space="preserve">77 процентов и 23 процента от общего числа работающего активного населения против, соответственно, </w:t>
      </w:r>
      <w:r>
        <w:rPr>
          <w:rStyle w:val="PageNumber"/>
        </w:rPr>
        <w:br/>
        <w:t>79,1 процента и 20,9 процента в 1989 году (опрос по вопросам занятости населения) и 21,3 процента по переписи 1984 года.</w:t>
      </w:r>
    </w:p>
    <w:p w:rsidR="00000000" w:rsidRDefault="00000000">
      <w:pPr>
        <w:spacing w:before="240" w:line="260" w:lineRule="exact"/>
        <w:ind w:left="680" w:hanging="680"/>
        <w:jc w:val="left"/>
        <w:rPr>
          <w:rStyle w:val="PageNumber"/>
          <w:b/>
          <w:sz w:val="22"/>
        </w:rPr>
      </w:pPr>
      <w:r>
        <w:rPr>
          <w:rStyle w:val="PageNumber"/>
          <w:b/>
          <w:sz w:val="22"/>
        </w:rPr>
        <w:t>Ш.2.</w:t>
      </w:r>
      <w:r>
        <w:rPr>
          <w:rStyle w:val="PageNumber"/>
          <w:b/>
          <w:sz w:val="22"/>
        </w:rPr>
        <w:tab/>
        <w:t xml:space="preserve">Работающее экономически активное население в разбивке </w:t>
      </w:r>
      <w:r>
        <w:rPr>
          <w:rStyle w:val="PageNumber"/>
          <w:b/>
          <w:sz w:val="22"/>
        </w:rPr>
        <w:br/>
        <w:t>по отраслям деятельности и по положению</w:t>
      </w:r>
    </w:p>
    <w:p w:rsidR="00000000" w:rsidRDefault="00000000">
      <w:pPr>
        <w:spacing w:after="280"/>
        <w:rPr>
          <w:rStyle w:val="PageNumber"/>
        </w:rPr>
      </w:pPr>
      <w:r>
        <w:rPr>
          <w:rStyle w:val="PageNumber"/>
        </w:rPr>
        <w:t>619.</w:t>
      </w:r>
      <w:r>
        <w:rPr>
          <w:rStyle w:val="PageNumber"/>
        </w:rPr>
        <w:tab/>
        <w:t>Контингент трудящихся-женщин вырос с 21,3 процента в 1984 году до 23,1 процента в 1994 году. Это население распределяется следующим образом: 69,7 процента – наемные работницы, 13,4 процента – самостоятельные, 15,1 процента – домашние работницы, 0,9 процента – предприниматели и 0,9 процента ученицы в различных секторах.</w:t>
      </w:r>
    </w:p>
    <w:p w:rsidR="00000000" w:rsidRDefault="00000000">
      <w:pPr>
        <w:spacing w:after="280"/>
        <w:rPr>
          <w:rStyle w:val="PageNumber"/>
        </w:rPr>
      </w:pPr>
      <w:r>
        <w:rPr>
          <w:rStyle w:val="PageNumber"/>
        </w:rPr>
        <w:t>620.</w:t>
      </w:r>
      <w:r>
        <w:rPr>
          <w:rStyle w:val="PageNumber"/>
        </w:rPr>
        <w:tab/>
        <w:t xml:space="preserve">Анализ занятости женщин по секторам, по отраслям деятельности и по статусу, как это следует из приводимой ниже таблицы, показывает, что из числа женщин 7,32 процента – предприниматели, </w:t>
      </w:r>
      <w:r>
        <w:rPr>
          <w:rStyle w:val="PageNumber"/>
        </w:rPr>
        <w:br/>
        <w:t>15,4 процента – самостоятельные работницы, 11,96 процента – наемные работницы, 20,9 процента – ученицы и 33 процента – занятые в неформальном секторе.</w:t>
      </w:r>
    </w:p>
    <w:p w:rsidR="00000000" w:rsidRDefault="00000000">
      <w:pPr>
        <w:spacing w:after="280"/>
        <w:rPr>
          <w:rStyle w:val="PageNumber"/>
        </w:rPr>
      </w:pPr>
      <w:r>
        <w:rPr>
          <w:rStyle w:val="PageNumber"/>
        </w:rPr>
        <w:t>621.</w:t>
      </w:r>
      <w:r>
        <w:rPr>
          <w:rStyle w:val="PageNumber"/>
        </w:rPr>
        <w:tab/>
        <w:t>Экономически активное работающее женское население в 1994 году распределялось по различным секторам следующим образом: сельское хозяйство – 20,4 процента, промышленность – 41,2 процента и административные органы и сфера услуг – 38,4 процента.</w:t>
      </w:r>
    </w:p>
    <w:p w:rsidR="00000000" w:rsidRDefault="00000000">
      <w:pPr>
        <w:spacing w:after="0"/>
        <w:rPr>
          <w:rStyle w:val="PageNumber"/>
        </w:rPr>
      </w:pPr>
      <w:r>
        <w:rPr>
          <w:rStyle w:val="PageNumber"/>
        </w:rPr>
        <w:t>622.</w:t>
      </w:r>
      <w:r>
        <w:rPr>
          <w:rStyle w:val="PageNumber"/>
        </w:rPr>
        <w:tab/>
        <w:t>Динамика занятости женщин по отраслям с 1984 года имеет три основные особенности: снижение показателя в сельском хозяйстве с 24,7 процента в 1984 году до 20,1 процента в 1994 году, снижение показателя в производственной сфере (с 45,7 процента до 39,4 процента) и, напротив, значительное его увеличение в сфере услуг и администрации (с 23,9 процента до 37,6 процента).</w:t>
      </w:r>
    </w:p>
    <w:p w:rsidR="00000000" w:rsidRDefault="00000000">
      <w:pPr>
        <w:jc w:val="center"/>
        <w:rPr>
          <w:rStyle w:val="PageNumber"/>
          <w:b/>
        </w:rPr>
      </w:pPr>
      <w:r>
        <w:rPr>
          <w:rStyle w:val="PageNumber"/>
          <w:b/>
        </w:rPr>
        <w:t>Распределение работающего активного населения в возрасте от 15 лет и старше в разбивке по полу, обычной отрасли деятельности и статусу, в процентах (1994 год)</w:t>
      </w:r>
    </w:p>
    <w:tbl>
      <w:tblPr>
        <w:tblW w:w="0" w:type="auto"/>
        <w:jc w:val="center"/>
        <w:tblLayout w:type="fixed"/>
        <w:tblCellMar>
          <w:left w:w="40" w:type="dxa"/>
          <w:right w:w="40" w:type="dxa"/>
        </w:tblCellMar>
        <w:tblLook w:val="0000" w:firstRow="0" w:lastRow="0" w:firstColumn="0" w:lastColumn="0" w:noHBand="0" w:noVBand="0"/>
      </w:tblPr>
      <w:tblGrid>
        <w:gridCol w:w="1984"/>
        <w:gridCol w:w="1133"/>
        <w:gridCol w:w="1701"/>
        <w:gridCol w:w="1418"/>
        <w:gridCol w:w="1418"/>
        <w:gridCol w:w="1418"/>
      </w:tblGrid>
      <w:tr w:rsidR="00000000">
        <w:tblPrEx>
          <w:tblCellMar>
            <w:top w:w="0" w:type="dxa"/>
            <w:bottom w:w="0" w:type="dxa"/>
          </w:tblCellMar>
        </w:tblPrEx>
        <w:trPr>
          <w:trHeight w:val="20"/>
          <w:jc w:val="center"/>
        </w:trPr>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Профессиональный статус</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Сельское хозяйство</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Самостоятельная деятельность</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Услуги</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Объявленное число</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Всего</w:t>
            </w:r>
          </w:p>
        </w:tc>
      </w:tr>
      <w:tr w:rsidR="00000000">
        <w:tblPrEx>
          <w:tblCellMar>
            <w:top w:w="0" w:type="dxa"/>
            <w:bottom w:w="0" w:type="dxa"/>
          </w:tblCellMar>
        </w:tblPrEx>
        <w:trPr>
          <w:trHeight w:val="20"/>
          <w:jc w:val="center"/>
        </w:trPr>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after="0" w:line="220" w:lineRule="exact"/>
              <w:jc w:val="left"/>
              <w:rPr>
                <w:rStyle w:val="PageNumber"/>
                <w:sz w:val="18"/>
              </w:rPr>
            </w:pPr>
            <w:r>
              <w:rPr>
                <w:rStyle w:val="PageNumber"/>
                <w:sz w:val="18"/>
              </w:rPr>
              <w:t>Предприниматели</w:t>
            </w:r>
            <w:r>
              <w:rPr>
                <w:rStyle w:val="PageNumber"/>
                <w:sz w:val="18"/>
              </w:rPr>
              <w:br/>
              <w:t>Мужчины</w:t>
            </w:r>
            <w:r>
              <w:rPr>
                <w:rStyle w:val="PageNumber"/>
                <w:sz w:val="18"/>
              </w:rPr>
              <w:br/>
              <w:t>Женщины</w:t>
            </w:r>
          </w:p>
          <w:p w:rsidR="00000000" w:rsidRDefault="00000000">
            <w:pPr>
              <w:spacing w:after="0" w:line="220" w:lineRule="exact"/>
              <w:jc w:val="left"/>
              <w:rPr>
                <w:rStyle w:val="PageNumber"/>
                <w:sz w:val="18"/>
              </w:rPr>
            </w:pPr>
            <w:r>
              <w:rPr>
                <w:rStyle w:val="PageNumber"/>
                <w:sz w:val="18"/>
              </w:rPr>
              <w:t>Всего</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454"/>
              </w:tabs>
              <w:spacing w:after="0" w:line="220" w:lineRule="exact"/>
              <w:rPr>
                <w:rStyle w:val="PageNumber"/>
                <w:sz w:val="18"/>
              </w:rPr>
            </w:pPr>
            <w:r>
              <w:rPr>
                <w:rStyle w:val="PageNumber"/>
                <w:sz w:val="18"/>
              </w:rPr>
              <w:br/>
              <w:t xml:space="preserve">96,82 </w:t>
            </w:r>
          </w:p>
          <w:p w:rsidR="00000000" w:rsidRDefault="00000000">
            <w:pPr>
              <w:tabs>
                <w:tab w:val="clear" w:pos="680"/>
                <w:tab w:val="clear" w:pos="1021"/>
                <w:tab w:val="decimal" w:pos="454"/>
              </w:tabs>
              <w:spacing w:after="0" w:line="220" w:lineRule="exact"/>
              <w:rPr>
                <w:rStyle w:val="PageNumber"/>
                <w:sz w:val="18"/>
              </w:rPr>
            </w:pPr>
            <w:r>
              <w:rPr>
                <w:rStyle w:val="PageNumber"/>
                <w:sz w:val="18"/>
              </w:rPr>
              <w:t xml:space="preserve">3,18 </w:t>
            </w:r>
          </w:p>
          <w:p w:rsidR="00000000" w:rsidRDefault="00000000">
            <w:pPr>
              <w:tabs>
                <w:tab w:val="clear" w:pos="680"/>
                <w:tab w:val="clear" w:pos="1021"/>
                <w:tab w:val="decimal" w:pos="454"/>
              </w:tabs>
              <w:spacing w:after="0" w:line="220" w:lineRule="exact"/>
              <w:rPr>
                <w:rStyle w:val="PageNumber"/>
                <w:sz w:val="18"/>
              </w:rPr>
            </w:pPr>
            <w:r>
              <w:rPr>
                <w:rStyle w:val="PageNumber"/>
                <w:sz w:val="18"/>
              </w:rPr>
              <w:t>100</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93,18 </w:t>
            </w:r>
            <w:r>
              <w:rPr>
                <w:rStyle w:val="PageNumber"/>
                <w:sz w:val="18"/>
              </w:rPr>
              <w:br/>
            </w:r>
            <w:r>
              <w:rPr>
                <w:rStyle w:val="PageNumber"/>
                <w:sz w:val="18"/>
              </w:rPr>
              <w:tab/>
              <w:t xml:space="preserve">6,81 </w:t>
            </w:r>
          </w:p>
          <w:p w:rsidR="00000000" w:rsidRDefault="00000000">
            <w:pPr>
              <w:tabs>
                <w:tab w:val="decimal" w:pos="680"/>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decimal" w:pos="622"/>
              </w:tabs>
              <w:spacing w:after="0" w:line="220" w:lineRule="exact"/>
              <w:rPr>
                <w:rStyle w:val="PageNumber"/>
                <w:sz w:val="18"/>
              </w:rPr>
            </w:pPr>
            <w:r>
              <w:rPr>
                <w:rStyle w:val="PageNumber"/>
                <w:sz w:val="18"/>
              </w:rPr>
              <w:br/>
            </w:r>
            <w:r>
              <w:rPr>
                <w:rStyle w:val="PageNumber"/>
                <w:sz w:val="18"/>
              </w:rPr>
              <w:tab/>
              <w:t xml:space="preserve">91,19 </w:t>
            </w:r>
            <w:r>
              <w:rPr>
                <w:rStyle w:val="PageNumber"/>
                <w:sz w:val="18"/>
              </w:rPr>
              <w:br/>
            </w:r>
            <w:r>
              <w:rPr>
                <w:rStyle w:val="PageNumber"/>
                <w:sz w:val="18"/>
              </w:rPr>
              <w:tab/>
              <w:t xml:space="preserve">8,81 </w:t>
            </w:r>
          </w:p>
          <w:p w:rsidR="00000000" w:rsidRDefault="00000000">
            <w:pPr>
              <w:tabs>
                <w:tab w:val="clear" w:pos="680"/>
                <w:tab w:val="decimal" w:pos="622"/>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87,00 </w:t>
            </w:r>
            <w:r>
              <w:rPr>
                <w:rStyle w:val="PageNumber"/>
                <w:sz w:val="18"/>
              </w:rPr>
              <w:br/>
            </w:r>
            <w:r>
              <w:rPr>
                <w:rStyle w:val="PageNumber"/>
                <w:sz w:val="18"/>
              </w:rPr>
              <w:tab/>
              <w:t>13,00</w:t>
            </w:r>
          </w:p>
          <w:p w:rsidR="00000000" w:rsidRDefault="00000000">
            <w:pPr>
              <w:tabs>
                <w:tab w:val="decimal" w:pos="680"/>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92,68 </w:t>
            </w:r>
            <w:r>
              <w:rPr>
                <w:rStyle w:val="PageNumber"/>
                <w:sz w:val="18"/>
              </w:rPr>
              <w:br/>
            </w:r>
            <w:r>
              <w:rPr>
                <w:rStyle w:val="PageNumber"/>
                <w:sz w:val="18"/>
              </w:rPr>
              <w:tab/>
              <w:t xml:space="preserve">7,32 </w:t>
            </w:r>
          </w:p>
          <w:p w:rsidR="00000000" w:rsidRDefault="00000000">
            <w:pPr>
              <w:tabs>
                <w:tab w:val="decimal" w:pos="680"/>
              </w:tabs>
              <w:spacing w:after="0" w:line="220" w:lineRule="exact"/>
              <w:rPr>
                <w:rStyle w:val="PageNumber"/>
                <w:sz w:val="18"/>
              </w:rPr>
            </w:pPr>
            <w:r>
              <w:rPr>
                <w:rStyle w:val="PageNumber"/>
                <w:sz w:val="18"/>
              </w:rPr>
              <w:tab/>
              <w:t>100</w:t>
            </w:r>
          </w:p>
        </w:tc>
      </w:tr>
      <w:tr w:rsidR="00000000">
        <w:tblPrEx>
          <w:tblCellMar>
            <w:top w:w="0" w:type="dxa"/>
            <w:bottom w:w="0" w:type="dxa"/>
          </w:tblCellMar>
        </w:tblPrEx>
        <w:trPr>
          <w:trHeight w:val="20"/>
          <w:jc w:val="center"/>
        </w:trPr>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after="0" w:line="220" w:lineRule="exact"/>
              <w:jc w:val="left"/>
              <w:rPr>
                <w:rStyle w:val="PageNumber"/>
                <w:sz w:val="18"/>
              </w:rPr>
            </w:pPr>
            <w:r>
              <w:rPr>
                <w:rStyle w:val="PageNumber"/>
                <w:sz w:val="18"/>
              </w:rPr>
              <w:t>Самостоятельные работники</w:t>
            </w:r>
            <w:r>
              <w:rPr>
                <w:rStyle w:val="PageNumber"/>
                <w:sz w:val="18"/>
              </w:rPr>
              <w:br/>
              <w:t>Мужчины</w:t>
            </w:r>
            <w:r>
              <w:rPr>
                <w:rStyle w:val="PageNumber"/>
                <w:sz w:val="18"/>
              </w:rPr>
              <w:br/>
              <w:t>Женщины</w:t>
            </w:r>
          </w:p>
          <w:p w:rsidR="00000000" w:rsidRDefault="00000000">
            <w:pPr>
              <w:spacing w:after="0" w:line="220" w:lineRule="exact"/>
              <w:jc w:val="left"/>
              <w:rPr>
                <w:rStyle w:val="PageNumber"/>
                <w:sz w:val="18"/>
              </w:rPr>
            </w:pPr>
            <w:r>
              <w:rPr>
                <w:rStyle w:val="PageNumber"/>
                <w:sz w:val="18"/>
              </w:rPr>
              <w:t>Всего</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454"/>
              </w:tabs>
              <w:spacing w:after="0" w:line="220" w:lineRule="exact"/>
              <w:rPr>
                <w:rStyle w:val="PageNumber"/>
                <w:sz w:val="18"/>
              </w:rPr>
            </w:pPr>
            <w:r>
              <w:rPr>
                <w:rStyle w:val="PageNumber"/>
                <w:sz w:val="18"/>
              </w:rPr>
              <w:br/>
            </w:r>
            <w:r>
              <w:rPr>
                <w:rStyle w:val="PageNumber"/>
                <w:sz w:val="18"/>
              </w:rPr>
              <w:br/>
              <w:t>88,64</w:t>
            </w:r>
          </w:p>
          <w:p w:rsidR="00000000" w:rsidRDefault="00000000">
            <w:pPr>
              <w:tabs>
                <w:tab w:val="clear" w:pos="680"/>
                <w:tab w:val="clear" w:pos="1021"/>
                <w:tab w:val="decimal" w:pos="454"/>
              </w:tabs>
              <w:spacing w:after="0" w:line="220" w:lineRule="exact"/>
              <w:rPr>
                <w:rStyle w:val="PageNumber"/>
                <w:sz w:val="18"/>
              </w:rPr>
            </w:pPr>
            <w:r>
              <w:rPr>
                <w:rStyle w:val="PageNumber"/>
                <w:sz w:val="18"/>
              </w:rPr>
              <w:t>11,36</w:t>
            </w:r>
          </w:p>
          <w:p w:rsidR="00000000" w:rsidRDefault="00000000">
            <w:pPr>
              <w:tabs>
                <w:tab w:val="clear" w:pos="680"/>
                <w:tab w:val="clear" w:pos="1021"/>
                <w:tab w:val="decimal" w:pos="454"/>
              </w:tabs>
              <w:spacing w:after="0" w:line="220" w:lineRule="exact"/>
              <w:rPr>
                <w:rStyle w:val="PageNumber"/>
                <w:sz w:val="18"/>
              </w:rPr>
            </w:pPr>
            <w:r>
              <w:rPr>
                <w:rStyle w:val="PageNumber"/>
                <w:sz w:val="18"/>
              </w:rPr>
              <w:t>100</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br/>
            </w:r>
            <w:r>
              <w:rPr>
                <w:rStyle w:val="PageNumber"/>
                <w:sz w:val="18"/>
              </w:rPr>
              <w:tab/>
              <w:t xml:space="preserve">59,34 </w:t>
            </w:r>
            <w:r>
              <w:rPr>
                <w:rStyle w:val="PageNumber"/>
                <w:sz w:val="18"/>
              </w:rPr>
              <w:br/>
            </w:r>
            <w:r>
              <w:rPr>
                <w:rStyle w:val="PageNumber"/>
                <w:sz w:val="18"/>
              </w:rPr>
              <w:tab/>
              <w:t xml:space="preserve">40,66 </w:t>
            </w:r>
          </w:p>
          <w:p w:rsidR="00000000" w:rsidRDefault="00000000">
            <w:pPr>
              <w:tabs>
                <w:tab w:val="decimal" w:pos="680"/>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decimal" w:pos="622"/>
              </w:tabs>
              <w:spacing w:after="0" w:line="220" w:lineRule="exact"/>
              <w:rPr>
                <w:rStyle w:val="PageNumber"/>
                <w:sz w:val="18"/>
              </w:rPr>
            </w:pPr>
            <w:r>
              <w:rPr>
                <w:rStyle w:val="PageNumber"/>
                <w:sz w:val="18"/>
              </w:rPr>
              <w:br/>
            </w:r>
            <w:r>
              <w:rPr>
                <w:rStyle w:val="PageNumber"/>
                <w:sz w:val="18"/>
              </w:rPr>
              <w:br/>
            </w:r>
            <w:r>
              <w:rPr>
                <w:rStyle w:val="PageNumber"/>
                <w:sz w:val="18"/>
              </w:rPr>
              <w:tab/>
              <w:t xml:space="preserve">93,80 </w:t>
            </w:r>
            <w:r>
              <w:rPr>
                <w:rStyle w:val="PageNumber"/>
                <w:sz w:val="18"/>
              </w:rPr>
              <w:br/>
            </w:r>
            <w:r>
              <w:rPr>
                <w:rStyle w:val="PageNumber"/>
                <w:sz w:val="18"/>
              </w:rPr>
              <w:tab/>
              <w:t xml:space="preserve">6,20 </w:t>
            </w:r>
          </w:p>
          <w:p w:rsidR="00000000" w:rsidRDefault="00000000">
            <w:pPr>
              <w:tabs>
                <w:tab w:val="clear" w:pos="680"/>
                <w:tab w:val="decimal" w:pos="622"/>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br/>
            </w:r>
            <w:r>
              <w:rPr>
                <w:rStyle w:val="PageNumber"/>
                <w:sz w:val="18"/>
              </w:rPr>
              <w:tab/>
              <w:t xml:space="preserve">88,74 </w:t>
            </w:r>
            <w:r>
              <w:rPr>
                <w:rStyle w:val="PageNumber"/>
                <w:sz w:val="18"/>
              </w:rPr>
              <w:br/>
            </w:r>
            <w:r>
              <w:rPr>
                <w:rStyle w:val="PageNumber"/>
                <w:sz w:val="18"/>
              </w:rPr>
              <w:tab/>
              <w:t xml:space="preserve">11,26 </w:t>
            </w:r>
          </w:p>
          <w:p w:rsidR="00000000" w:rsidRDefault="00000000">
            <w:pPr>
              <w:tabs>
                <w:tab w:val="decimal" w:pos="680"/>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br/>
            </w:r>
            <w:r>
              <w:rPr>
                <w:rStyle w:val="PageNumber"/>
                <w:sz w:val="18"/>
              </w:rPr>
              <w:tab/>
              <w:t xml:space="preserve">84,60 </w:t>
            </w:r>
            <w:r>
              <w:rPr>
                <w:rStyle w:val="PageNumber"/>
                <w:sz w:val="18"/>
              </w:rPr>
              <w:br/>
            </w:r>
            <w:r>
              <w:rPr>
                <w:rStyle w:val="PageNumber"/>
                <w:sz w:val="18"/>
              </w:rPr>
              <w:tab/>
              <w:t>15,40</w:t>
            </w:r>
          </w:p>
          <w:p w:rsidR="00000000" w:rsidRDefault="00000000">
            <w:pPr>
              <w:tabs>
                <w:tab w:val="decimal" w:pos="680"/>
              </w:tabs>
              <w:spacing w:after="0" w:line="220" w:lineRule="exact"/>
              <w:rPr>
                <w:rStyle w:val="PageNumber"/>
                <w:sz w:val="18"/>
              </w:rPr>
            </w:pPr>
            <w:r>
              <w:rPr>
                <w:rStyle w:val="PageNumber"/>
                <w:sz w:val="18"/>
              </w:rPr>
              <w:tab/>
              <w:t>100</w:t>
            </w:r>
          </w:p>
        </w:tc>
      </w:tr>
      <w:tr w:rsidR="00000000">
        <w:tblPrEx>
          <w:tblCellMar>
            <w:top w:w="0" w:type="dxa"/>
            <w:bottom w:w="0" w:type="dxa"/>
          </w:tblCellMar>
        </w:tblPrEx>
        <w:trPr>
          <w:trHeight w:val="20"/>
          <w:jc w:val="center"/>
        </w:trPr>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after="0" w:line="220" w:lineRule="exact"/>
              <w:jc w:val="left"/>
              <w:rPr>
                <w:rStyle w:val="PageNumber"/>
                <w:sz w:val="18"/>
              </w:rPr>
            </w:pPr>
            <w:r>
              <w:rPr>
                <w:rStyle w:val="PageNumber"/>
                <w:sz w:val="18"/>
              </w:rPr>
              <w:t>Наемные работники Мужчины</w:t>
            </w:r>
            <w:r>
              <w:rPr>
                <w:rStyle w:val="PageNumber"/>
                <w:sz w:val="18"/>
              </w:rPr>
              <w:br/>
              <w:t>Женщины</w:t>
            </w:r>
          </w:p>
          <w:p w:rsidR="00000000" w:rsidRDefault="00000000">
            <w:pPr>
              <w:spacing w:after="0" w:line="220" w:lineRule="exact"/>
              <w:jc w:val="left"/>
              <w:rPr>
                <w:rStyle w:val="PageNumber"/>
                <w:sz w:val="18"/>
              </w:rPr>
            </w:pPr>
            <w:r>
              <w:rPr>
                <w:rStyle w:val="PageNumber"/>
                <w:sz w:val="18"/>
              </w:rPr>
              <w:t>Всего</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454"/>
              </w:tabs>
              <w:spacing w:after="0" w:line="220" w:lineRule="exact"/>
              <w:rPr>
                <w:rStyle w:val="PageNumber"/>
                <w:sz w:val="18"/>
              </w:rPr>
            </w:pPr>
            <w:r>
              <w:rPr>
                <w:rStyle w:val="PageNumber"/>
                <w:sz w:val="18"/>
              </w:rPr>
              <w:br/>
              <w:t>88,98</w:t>
            </w:r>
          </w:p>
          <w:p w:rsidR="00000000" w:rsidRDefault="00000000">
            <w:pPr>
              <w:tabs>
                <w:tab w:val="clear" w:pos="680"/>
                <w:tab w:val="clear" w:pos="1021"/>
                <w:tab w:val="decimal" w:pos="454"/>
              </w:tabs>
              <w:spacing w:after="0" w:line="220" w:lineRule="exact"/>
              <w:rPr>
                <w:rStyle w:val="PageNumber"/>
                <w:sz w:val="18"/>
              </w:rPr>
            </w:pPr>
            <w:r>
              <w:rPr>
                <w:rStyle w:val="PageNumber"/>
                <w:sz w:val="18"/>
              </w:rPr>
              <w:t>11,02</w:t>
            </w:r>
          </w:p>
          <w:p w:rsidR="00000000" w:rsidRDefault="00000000">
            <w:pPr>
              <w:tabs>
                <w:tab w:val="clear" w:pos="680"/>
                <w:tab w:val="clear" w:pos="1021"/>
                <w:tab w:val="decimal" w:pos="454"/>
              </w:tabs>
              <w:spacing w:after="0" w:line="220" w:lineRule="exact"/>
              <w:rPr>
                <w:rStyle w:val="PageNumber"/>
                <w:sz w:val="18"/>
              </w:rPr>
            </w:pPr>
            <w:r>
              <w:rPr>
                <w:rStyle w:val="PageNumber"/>
                <w:sz w:val="18"/>
              </w:rPr>
              <w:t>100</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75,71 </w:t>
            </w:r>
            <w:r>
              <w:rPr>
                <w:rStyle w:val="PageNumber"/>
                <w:sz w:val="18"/>
              </w:rPr>
              <w:br/>
            </w:r>
            <w:r>
              <w:rPr>
                <w:rStyle w:val="PageNumber"/>
                <w:sz w:val="18"/>
              </w:rPr>
              <w:tab/>
              <w:t xml:space="preserve">24,29 </w:t>
            </w:r>
          </w:p>
          <w:p w:rsidR="00000000" w:rsidRDefault="00000000">
            <w:pPr>
              <w:tabs>
                <w:tab w:val="decimal" w:pos="680"/>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decimal" w:pos="622"/>
              </w:tabs>
              <w:spacing w:after="0" w:line="220" w:lineRule="exact"/>
              <w:rPr>
                <w:rStyle w:val="PageNumber"/>
                <w:sz w:val="18"/>
              </w:rPr>
            </w:pPr>
            <w:r>
              <w:rPr>
                <w:rStyle w:val="PageNumber"/>
                <w:sz w:val="18"/>
              </w:rPr>
              <w:br/>
            </w:r>
            <w:r>
              <w:rPr>
                <w:rStyle w:val="PageNumber"/>
                <w:sz w:val="18"/>
              </w:rPr>
              <w:tab/>
              <w:t>75,75</w:t>
            </w:r>
            <w:r>
              <w:rPr>
                <w:rStyle w:val="PageNumber"/>
                <w:sz w:val="18"/>
              </w:rPr>
              <w:br/>
            </w:r>
            <w:r>
              <w:rPr>
                <w:rStyle w:val="PageNumber"/>
                <w:sz w:val="18"/>
              </w:rPr>
              <w:tab/>
              <w:t>24,25</w:t>
            </w:r>
          </w:p>
          <w:p w:rsidR="00000000" w:rsidRDefault="00000000">
            <w:pPr>
              <w:tabs>
                <w:tab w:val="clear" w:pos="680"/>
                <w:tab w:val="decimal" w:pos="622"/>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75,49 </w:t>
            </w:r>
            <w:r>
              <w:rPr>
                <w:rStyle w:val="PageNumber"/>
                <w:sz w:val="18"/>
              </w:rPr>
              <w:br/>
            </w:r>
            <w:r>
              <w:rPr>
                <w:rStyle w:val="PageNumber"/>
                <w:sz w:val="18"/>
              </w:rPr>
              <w:tab/>
              <w:t xml:space="preserve">24,51 </w:t>
            </w:r>
          </w:p>
          <w:p w:rsidR="00000000" w:rsidRDefault="00000000">
            <w:pPr>
              <w:tabs>
                <w:tab w:val="decimal" w:pos="680"/>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88,04 </w:t>
            </w:r>
            <w:r>
              <w:rPr>
                <w:rStyle w:val="PageNumber"/>
                <w:sz w:val="18"/>
              </w:rPr>
              <w:br/>
            </w:r>
            <w:r>
              <w:rPr>
                <w:rStyle w:val="PageNumber"/>
                <w:sz w:val="18"/>
              </w:rPr>
              <w:tab/>
              <w:t xml:space="preserve">11,96 </w:t>
            </w:r>
          </w:p>
          <w:p w:rsidR="00000000" w:rsidRDefault="00000000">
            <w:pPr>
              <w:tabs>
                <w:tab w:val="decimal" w:pos="680"/>
              </w:tabs>
              <w:spacing w:after="0" w:line="220" w:lineRule="exact"/>
              <w:rPr>
                <w:rStyle w:val="PageNumber"/>
                <w:sz w:val="18"/>
              </w:rPr>
            </w:pPr>
            <w:r>
              <w:rPr>
                <w:rStyle w:val="PageNumber"/>
                <w:sz w:val="18"/>
              </w:rPr>
              <w:tab/>
              <w:t>100</w:t>
            </w:r>
          </w:p>
        </w:tc>
      </w:tr>
      <w:tr w:rsidR="00000000">
        <w:tblPrEx>
          <w:tblCellMar>
            <w:top w:w="0" w:type="dxa"/>
            <w:bottom w:w="0" w:type="dxa"/>
          </w:tblCellMar>
        </w:tblPrEx>
        <w:trPr>
          <w:trHeight w:val="20"/>
          <w:jc w:val="center"/>
        </w:trPr>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after="0" w:line="220" w:lineRule="exact"/>
              <w:jc w:val="left"/>
              <w:rPr>
                <w:rStyle w:val="PageNumber"/>
                <w:sz w:val="18"/>
              </w:rPr>
            </w:pPr>
            <w:r>
              <w:rPr>
                <w:rStyle w:val="PageNumber"/>
                <w:sz w:val="18"/>
              </w:rPr>
              <w:t xml:space="preserve">Ученики </w:t>
            </w:r>
            <w:r>
              <w:rPr>
                <w:rStyle w:val="PageNumber"/>
                <w:sz w:val="18"/>
              </w:rPr>
              <w:br/>
              <w:t>Мужчины</w:t>
            </w:r>
            <w:r>
              <w:rPr>
                <w:rStyle w:val="PageNumber"/>
                <w:sz w:val="18"/>
              </w:rPr>
              <w:br/>
              <w:t>Женщины</w:t>
            </w:r>
            <w:r>
              <w:rPr>
                <w:rStyle w:val="PageNumber"/>
                <w:sz w:val="18"/>
              </w:rPr>
              <w:br/>
              <w:t>Всего</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454"/>
              </w:tabs>
              <w:spacing w:after="0" w:line="220" w:lineRule="exact"/>
              <w:rPr>
                <w:rStyle w:val="PageNumber"/>
                <w:sz w:val="18"/>
              </w:rPr>
            </w:pPr>
            <w:r>
              <w:rPr>
                <w:rStyle w:val="PageNumber"/>
                <w:sz w:val="18"/>
              </w:rPr>
              <w:br/>
              <w:t>74,07</w:t>
            </w:r>
          </w:p>
          <w:p w:rsidR="00000000" w:rsidRDefault="00000000">
            <w:pPr>
              <w:tabs>
                <w:tab w:val="clear" w:pos="680"/>
                <w:tab w:val="clear" w:pos="1021"/>
                <w:tab w:val="decimal" w:pos="454"/>
              </w:tabs>
              <w:spacing w:after="0" w:line="220" w:lineRule="exact"/>
              <w:rPr>
                <w:rStyle w:val="PageNumber"/>
                <w:sz w:val="18"/>
              </w:rPr>
            </w:pPr>
            <w:r>
              <w:rPr>
                <w:rStyle w:val="PageNumber"/>
                <w:sz w:val="18"/>
              </w:rPr>
              <w:t>25,93</w:t>
            </w:r>
          </w:p>
          <w:p w:rsidR="00000000" w:rsidRDefault="00000000">
            <w:pPr>
              <w:tabs>
                <w:tab w:val="clear" w:pos="680"/>
                <w:tab w:val="clear" w:pos="1021"/>
                <w:tab w:val="decimal" w:pos="454"/>
              </w:tabs>
              <w:spacing w:after="0" w:line="220" w:lineRule="exact"/>
              <w:rPr>
                <w:rStyle w:val="PageNumber"/>
                <w:sz w:val="18"/>
              </w:rPr>
            </w:pPr>
            <w:r>
              <w:rPr>
                <w:rStyle w:val="PageNumber"/>
                <w:sz w:val="18"/>
              </w:rPr>
              <w:t>100</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69,42 </w:t>
            </w:r>
            <w:r>
              <w:rPr>
                <w:rStyle w:val="PageNumber"/>
                <w:sz w:val="18"/>
              </w:rPr>
              <w:br/>
            </w:r>
            <w:r>
              <w:rPr>
                <w:rStyle w:val="PageNumber"/>
                <w:sz w:val="18"/>
              </w:rPr>
              <w:tab/>
              <w:t xml:space="preserve">30,58 </w:t>
            </w:r>
          </w:p>
          <w:p w:rsidR="00000000" w:rsidRDefault="00000000">
            <w:pPr>
              <w:tabs>
                <w:tab w:val="decimal" w:pos="680"/>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decimal" w:pos="622"/>
              </w:tabs>
              <w:spacing w:after="0" w:line="220" w:lineRule="exact"/>
              <w:rPr>
                <w:rStyle w:val="PageNumber"/>
                <w:sz w:val="18"/>
              </w:rPr>
            </w:pPr>
            <w:r>
              <w:rPr>
                <w:rStyle w:val="PageNumber"/>
                <w:sz w:val="18"/>
              </w:rPr>
              <w:br/>
            </w:r>
            <w:r>
              <w:rPr>
                <w:rStyle w:val="PageNumber"/>
                <w:sz w:val="18"/>
              </w:rPr>
              <w:tab/>
              <w:t xml:space="preserve">91,24 </w:t>
            </w:r>
            <w:r>
              <w:rPr>
                <w:rStyle w:val="PageNumber"/>
                <w:sz w:val="18"/>
              </w:rPr>
              <w:br/>
            </w:r>
            <w:r>
              <w:rPr>
                <w:rStyle w:val="PageNumber"/>
                <w:sz w:val="18"/>
              </w:rPr>
              <w:tab/>
              <w:t>8,76</w:t>
            </w:r>
          </w:p>
          <w:p w:rsidR="00000000" w:rsidRDefault="00000000">
            <w:pPr>
              <w:tabs>
                <w:tab w:val="clear" w:pos="680"/>
                <w:tab w:val="decimal" w:pos="622"/>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77,34 </w:t>
            </w:r>
            <w:r>
              <w:rPr>
                <w:rStyle w:val="PageNumber"/>
                <w:sz w:val="18"/>
              </w:rPr>
              <w:br/>
            </w:r>
            <w:r>
              <w:rPr>
                <w:rStyle w:val="PageNumber"/>
                <w:sz w:val="18"/>
              </w:rPr>
              <w:tab/>
              <w:t>22,66</w:t>
            </w:r>
          </w:p>
          <w:p w:rsidR="00000000" w:rsidRDefault="00000000">
            <w:pPr>
              <w:tabs>
                <w:tab w:val="decimal" w:pos="680"/>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79,10 </w:t>
            </w:r>
            <w:r>
              <w:rPr>
                <w:rStyle w:val="PageNumber"/>
                <w:sz w:val="18"/>
              </w:rPr>
              <w:br/>
            </w:r>
            <w:r>
              <w:rPr>
                <w:rStyle w:val="PageNumber"/>
                <w:sz w:val="18"/>
              </w:rPr>
              <w:tab/>
              <w:t xml:space="preserve">20,90 </w:t>
            </w:r>
          </w:p>
          <w:p w:rsidR="00000000" w:rsidRDefault="00000000">
            <w:pPr>
              <w:tabs>
                <w:tab w:val="decimal" w:pos="680"/>
              </w:tabs>
              <w:spacing w:after="0" w:line="220" w:lineRule="exact"/>
              <w:rPr>
                <w:rStyle w:val="PageNumber"/>
                <w:sz w:val="18"/>
              </w:rPr>
            </w:pPr>
            <w:r>
              <w:rPr>
                <w:rStyle w:val="PageNumber"/>
                <w:sz w:val="18"/>
              </w:rPr>
              <w:tab/>
              <w:t>100</w:t>
            </w:r>
          </w:p>
        </w:tc>
      </w:tr>
      <w:tr w:rsidR="00000000">
        <w:tblPrEx>
          <w:tblCellMar>
            <w:top w:w="0" w:type="dxa"/>
            <w:bottom w:w="0" w:type="dxa"/>
          </w:tblCellMar>
        </w:tblPrEx>
        <w:trPr>
          <w:trHeight w:val="20"/>
          <w:jc w:val="center"/>
        </w:trPr>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after="0" w:line="220" w:lineRule="exact"/>
              <w:jc w:val="left"/>
              <w:rPr>
                <w:rStyle w:val="PageNumber"/>
                <w:sz w:val="18"/>
              </w:rPr>
            </w:pPr>
            <w:r>
              <w:rPr>
                <w:rStyle w:val="PageNumber"/>
                <w:sz w:val="18"/>
              </w:rPr>
              <w:t>Необъявленные</w:t>
            </w:r>
            <w:r>
              <w:rPr>
                <w:rStyle w:val="PageNumber"/>
                <w:sz w:val="18"/>
              </w:rPr>
              <w:br/>
              <w:t>Мужчины</w:t>
            </w:r>
            <w:r>
              <w:rPr>
                <w:rStyle w:val="PageNumber"/>
                <w:sz w:val="18"/>
              </w:rPr>
              <w:br/>
              <w:t>Женщины</w:t>
            </w:r>
            <w:r>
              <w:rPr>
                <w:rStyle w:val="PageNumber"/>
                <w:sz w:val="18"/>
              </w:rPr>
              <w:br/>
              <w:t>Всего</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454"/>
              </w:tabs>
              <w:spacing w:after="0" w:line="220" w:lineRule="exact"/>
              <w:rPr>
                <w:rStyle w:val="PageNumber"/>
                <w:sz w:val="18"/>
              </w:rPr>
            </w:pPr>
            <w:r>
              <w:rPr>
                <w:rStyle w:val="PageNumber"/>
                <w:sz w:val="18"/>
              </w:rPr>
              <w:br/>
              <w:t>60,57</w:t>
            </w:r>
          </w:p>
          <w:p w:rsidR="00000000" w:rsidRDefault="00000000">
            <w:pPr>
              <w:tabs>
                <w:tab w:val="clear" w:pos="680"/>
                <w:tab w:val="clear" w:pos="1021"/>
                <w:tab w:val="decimal" w:pos="454"/>
              </w:tabs>
              <w:spacing w:after="0" w:line="220" w:lineRule="exact"/>
              <w:rPr>
                <w:rStyle w:val="PageNumber"/>
                <w:sz w:val="18"/>
              </w:rPr>
            </w:pPr>
            <w:r>
              <w:rPr>
                <w:rStyle w:val="PageNumber"/>
                <w:sz w:val="18"/>
              </w:rPr>
              <w:t>39,43</w:t>
            </w:r>
          </w:p>
          <w:p w:rsidR="00000000" w:rsidRDefault="00000000">
            <w:pPr>
              <w:tabs>
                <w:tab w:val="clear" w:pos="680"/>
                <w:tab w:val="clear" w:pos="1021"/>
                <w:tab w:val="decimal" w:pos="454"/>
              </w:tabs>
              <w:spacing w:after="0" w:line="220" w:lineRule="exact"/>
              <w:rPr>
                <w:rStyle w:val="PageNumber"/>
                <w:sz w:val="18"/>
              </w:rPr>
            </w:pPr>
            <w:r>
              <w:rPr>
                <w:rStyle w:val="PageNumber"/>
                <w:sz w:val="18"/>
              </w:rPr>
              <w:t>100</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67,47</w:t>
            </w:r>
            <w:r>
              <w:rPr>
                <w:rStyle w:val="PageNumber"/>
                <w:sz w:val="18"/>
              </w:rPr>
              <w:br/>
            </w:r>
            <w:r>
              <w:rPr>
                <w:rStyle w:val="PageNumber"/>
                <w:sz w:val="18"/>
              </w:rPr>
              <w:tab/>
              <w:t xml:space="preserve">32,53 </w:t>
            </w:r>
          </w:p>
          <w:p w:rsidR="00000000" w:rsidRDefault="00000000">
            <w:pPr>
              <w:tabs>
                <w:tab w:val="decimal" w:pos="680"/>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decimal" w:pos="622"/>
              </w:tabs>
              <w:spacing w:after="0" w:line="220" w:lineRule="exact"/>
              <w:rPr>
                <w:rStyle w:val="PageNumber"/>
                <w:sz w:val="18"/>
              </w:rPr>
            </w:pPr>
            <w:r>
              <w:rPr>
                <w:rStyle w:val="PageNumber"/>
                <w:sz w:val="18"/>
              </w:rPr>
              <w:br/>
            </w:r>
            <w:r>
              <w:rPr>
                <w:rStyle w:val="PageNumber"/>
                <w:sz w:val="18"/>
              </w:rPr>
              <w:tab/>
              <w:t xml:space="preserve">81,86 </w:t>
            </w:r>
            <w:r>
              <w:rPr>
                <w:rStyle w:val="PageNumber"/>
                <w:sz w:val="18"/>
              </w:rPr>
              <w:br/>
            </w:r>
            <w:r>
              <w:rPr>
                <w:rStyle w:val="PageNumber"/>
                <w:sz w:val="18"/>
              </w:rPr>
              <w:tab/>
              <w:t xml:space="preserve">18,14 </w:t>
            </w:r>
          </w:p>
          <w:p w:rsidR="00000000" w:rsidRDefault="00000000">
            <w:pPr>
              <w:tabs>
                <w:tab w:val="clear" w:pos="680"/>
                <w:tab w:val="decimal" w:pos="622"/>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66,47 </w:t>
            </w:r>
            <w:r>
              <w:rPr>
                <w:rStyle w:val="PageNumber"/>
                <w:sz w:val="18"/>
              </w:rPr>
              <w:br/>
            </w:r>
            <w:r>
              <w:rPr>
                <w:rStyle w:val="PageNumber"/>
                <w:sz w:val="18"/>
              </w:rPr>
              <w:tab/>
              <w:t xml:space="preserve">33,53 </w:t>
            </w:r>
          </w:p>
          <w:p w:rsidR="00000000" w:rsidRDefault="00000000">
            <w:pPr>
              <w:tabs>
                <w:tab w:val="decimal" w:pos="680"/>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66,91 </w:t>
            </w:r>
            <w:r>
              <w:rPr>
                <w:rStyle w:val="PageNumber"/>
                <w:sz w:val="18"/>
              </w:rPr>
              <w:br/>
            </w:r>
            <w:r>
              <w:rPr>
                <w:rStyle w:val="PageNumber"/>
                <w:sz w:val="18"/>
              </w:rPr>
              <w:tab/>
              <w:t>33,09</w:t>
            </w:r>
          </w:p>
          <w:p w:rsidR="00000000" w:rsidRDefault="00000000">
            <w:pPr>
              <w:tabs>
                <w:tab w:val="decimal" w:pos="680"/>
              </w:tabs>
              <w:spacing w:after="0" w:line="220" w:lineRule="exact"/>
              <w:rPr>
                <w:rStyle w:val="PageNumber"/>
                <w:sz w:val="18"/>
              </w:rPr>
            </w:pPr>
            <w:r>
              <w:rPr>
                <w:rStyle w:val="PageNumber"/>
                <w:sz w:val="18"/>
              </w:rPr>
              <w:tab/>
              <w:t>100</w:t>
            </w:r>
          </w:p>
        </w:tc>
      </w:tr>
      <w:tr w:rsidR="00000000">
        <w:tblPrEx>
          <w:tblCellMar>
            <w:top w:w="0" w:type="dxa"/>
            <w:bottom w:w="0" w:type="dxa"/>
          </w:tblCellMar>
        </w:tblPrEx>
        <w:trPr>
          <w:trHeight w:val="20"/>
          <w:jc w:val="center"/>
        </w:trPr>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after="0" w:line="220" w:lineRule="exact"/>
              <w:jc w:val="left"/>
              <w:rPr>
                <w:rStyle w:val="PageNumber"/>
                <w:sz w:val="18"/>
              </w:rPr>
            </w:pPr>
            <w:r>
              <w:rPr>
                <w:rStyle w:val="PageNumber"/>
                <w:sz w:val="18"/>
              </w:rPr>
              <w:t>Итого</w:t>
            </w:r>
            <w:r>
              <w:rPr>
                <w:rStyle w:val="PageNumber"/>
                <w:sz w:val="18"/>
              </w:rPr>
              <w:br/>
              <w:t>Мужчины</w:t>
            </w:r>
            <w:r>
              <w:rPr>
                <w:rStyle w:val="PageNumber"/>
                <w:sz w:val="18"/>
              </w:rPr>
              <w:br/>
              <w:t>Женщины</w:t>
            </w:r>
            <w:r>
              <w:rPr>
                <w:rStyle w:val="PageNumber"/>
                <w:sz w:val="18"/>
              </w:rPr>
              <w:br/>
              <w:t xml:space="preserve">Всего </w:t>
            </w:r>
          </w:p>
        </w:tc>
        <w:tc>
          <w:tcPr>
            <w:tcW w:w="1133"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454"/>
              </w:tabs>
              <w:spacing w:after="0" w:line="220" w:lineRule="exact"/>
              <w:rPr>
                <w:rStyle w:val="PageNumber"/>
                <w:sz w:val="18"/>
              </w:rPr>
            </w:pPr>
            <w:r>
              <w:rPr>
                <w:rStyle w:val="PageNumber"/>
                <w:sz w:val="18"/>
              </w:rPr>
              <w:br/>
              <w:t>78,59</w:t>
            </w:r>
          </w:p>
          <w:p w:rsidR="00000000" w:rsidRDefault="00000000">
            <w:pPr>
              <w:tabs>
                <w:tab w:val="clear" w:pos="680"/>
                <w:tab w:val="clear" w:pos="1021"/>
                <w:tab w:val="decimal" w:pos="454"/>
              </w:tabs>
              <w:spacing w:after="0" w:line="220" w:lineRule="exact"/>
              <w:rPr>
                <w:rStyle w:val="PageNumber"/>
                <w:sz w:val="18"/>
              </w:rPr>
            </w:pPr>
            <w:r>
              <w:rPr>
                <w:rStyle w:val="PageNumber"/>
                <w:sz w:val="18"/>
              </w:rPr>
              <w:t>21,41</w:t>
            </w:r>
          </w:p>
          <w:p w:rsidR="00000000" w:rsidRDefault="00000000">
            <w:pPr>
              <w:tabs>
                <w:tab w:val="clear" w:pos="680"/>
                <w:tab w:val="clear" w:pos="1021"/>
                <w:tab w:val="decimal" w:pos="454"/>
              </w:tabs>
              <w:spacing w:after="0" w:line="220" w:lineRule="exact"/>
              <w:rPr>
                <w:rStyle w:val="PageNumber"/>
                <w:sz w:val="18"/>
              </w:rPr>
            </w:pPr>
            <w:r>
              <w:rPr>
                <w:rStyle w:val="PageNumber"/>
                <w:sz w:val="18"/>
              </w:rPr>
              <w:t>100</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72,86 </w:t>
            </w:r>
            <w:r>
              <w:rPr>
                <w:rStyle w:val="PageNumber"/>
                <w:sz w:val="18"/>
              </w:rPr>
              <w:br/>
            </w:r>
            <w:r>
              <w:rPr>
                <w:rStyle w:val="PageNumber"/>
                <w:sz w:val="18"/>
              </w:rPr>
              <w:tab/>
              <w:t xml:space="preserve">27,14 </w:t>
            </w:r>
          </w:p>
          <w:p w:rsidR="00000000" w:rsidRDefault="00000000">
            <w:pPr>
              <w:tabs>
                <w:tab w:val="decimal" w:pos="680"/>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decimal" w:pos="622"/>
              </w:tabs>
              <w:spacing w:after="0" w:line="220" w:lineRule="exact"/>
              <w:rPr>
                <w:rStyle w:val="PageNumber"/>
                <w:sz w:val="18"/>
              </w:rPr>
            </w:pPr>
            <w:r>
              <w:rPr>
                <w:rStyle w:val="PageNumber"/>
                <w:sz w:val="18"/>
              </w:rPr>
              <w:br/>
            </w:r>
            <w:r>
              <w:rPr>
                <w:rStyle w:val="PageNumber"/>
                <w:sz w:val="18"/>
              </w:rPr>
              <w:tab/>
              <w:t xml:space="preserve">79,55 </w:t>
            </w:r>
            <w:r>
              <w:rPr>
                <w:rStyle w:val="PageNumber"/>
                <w:sz w:val="18"/>
              </w:rPr>
              <w:br/>
            </w:r>
            <w:r>
              <w:rPr>
                <w:rStyle w:val="PageNumber"/>
                <w:sz w:val="18"/>
              </w:rPr>
              <w:tab/>
              <w:t xml:space="preserve">20,45 </w:t>
            </w:r>
          </w:p>
          <w:p w:rsidR="00000000" w:rsidRDefault="00000000">
            <w:pPr>
              <w:tabs>
                <w:tab w:val="clear" w:pos="680"/>
                <w:tab w:val="decimal" w:pos="622"/>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73,92 </w:t>
            </w:r>
            <w:r>
              <w:rPr>
                <w:rStyle w:val="PageNumber"/>
                <w:sz w:val="18"/>
              </w:rPr>
              <w:br/>
            </w:r>
            <w:r>
              <w:rPr>
                <w:rStyle w:val="PageNumber"/>
                <w:sz w:val="18"/>
              </w:rPr>
              <w:tab/>
              <w:t xml:space="preserve">26,08 </w:t>
            </w:r>
          </w:p>
          <w:p w:rsidR="00000000" w:rsidRDefault="00000000">
            <w:pPr>
              <w:tabs>
                <w:tab w:val="decimal" w:pos="680"/>
              </w:tabs>
              <w:spacing w:after="0" w:line="220" w:lineRule="exact"/>
              <w:rPr>
                <w:rStyle w:val="PageNumber"/>
                <w:sz w:val="18"/>
              </w:rPr>
            </w:pPr>
            <w:r>
              <w:rPr>
                <w:rStyle w:val="PageNumber"/>
                <w:sz w:val="18"/>
              </w:rPr>
              <w:tab/>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decimal" w:pos="680"/>
              </w:tabs>
              <w:spacing w:after="0" w:line="220" w:lineRule="exact"/>
              <w:rPr>
                <w:rStyle w:val="PageNumber"/>
                <w:sz w:val="18"/>
              </w:rPr>
            </w:pPr>
            <w:r>
              <w:rPr>
                <w:rStyle w:val="PageNumber"/>
                <w:sz w:val="18"/>
              </w:rPr>
              <w:br/>
            </w:r>
            <w:r>
              <w:rPr>
                <w:rStyle w:val="PageNumber"/>
                <w:sz w:val="18"/>
              </w:rPr>
              <w:tab/>
              <w:t xml:space="preserve">76,95 </w:t>
            </w:r>
            <w:r>
              <w:rPr>
                <w:rStyle w:val="PageNumber"/>
                <w:sz w:val="18"/>
              </w:rPr>
              <w:br/>
            </w:r>
            <w:r>
              <w:rPr>
                <w:rStyle w:val="PageNumber"/>
                <w:sz w:val="18"/>
              </w:rPr>
              <w:tab/>
              <w:t xml:space="preserve">23,05 </w:t>
            </w:r>
          </w:p>
          <w:p w:rsidR="00000000" w:rsidRDefault="00000000">
            <w:pPr>
              <w:tabs>
                <w:tab w:val="decimal" w:pos="680"/>
              </w:tabs>
              <w:spacing w:after="0" w:line="220" w:lineRule="exact"/>
              <w:rPr>
                <w:rStyle w:val="PageNumber"/>
                <w:sz w:val="18"/>
              </w:rPr>
            </w:pPr>
            <w:r>
              <w:rPr>
                <w:rStyle w:val="PageNumber"/>
                <w:sz w:val="18"/>
              </w:rPr>
              <w:tab/>
              <w:t>100</w:t>
            </w:r>
          </w:p>
        </w:tc>
      </w:tr>
    </w:tbl>
    <w:p w:rsidR="00000000" w:rsidRDefault="00000000">
      <w:pPr>
        <w:spacing w:before="120" w:line="220" w:lineRule="exact"/>
        <w:ind w:right="290"/>
        <w:jc w:val="right"/>
        <w:rPr>
          <w:rStyle w:val="PageNumber"/>
          <w:b/>
          <w:sz w:val="18"/>
        </w:rPr>
      </w:pPr>
      <w:r>
        <w:rPr>
          <w:rStyle w:val="PageNumber"/>
          <w:b/>
          <w:sz w:val="18"/>
        </w:rPr>
        <w:t>Источник: Перепись 1994 года, НИС</w:t>
      </w:r>
    </w:p>
    <w:p w:rsidR="00000000" w:rsidRDefault="00000000">
      <w:pPr>
        <w:spacing w:before="120" w:line="260" w:lineRule="exact"/>
        <w:rPr>
          <w:rStyle w:val="PageNumber"/>
          <w:b/>
          <w:sz w:val="22"/>
        </w:rPr>
      </w:pPr>
      <w:r>
        <w:rPr>
          <w:rStyle w:val="PageNumber"/>
          <w:b/>
          <w:sz w:val="22"/>
        </w:rPr>
        <w:t>Ш.3.</w:t>
      </w:r>
      <w:r>
        <w:rPr>
          <w:rStyle w:val="PageNumber"/>
          <w:b/>
          <w:sz w:val="22"/>
        </w:rPr>
        <w:tab/>
        <w:t>Экономическая активность женщин по социальным группам</w:t>
      </w:r>
    </w:p>
    <w:p w:rsidR="00000000" w:rsidRDefault="00000000">
      <w:pPr>
        <w:rPr>
          <w:rStyle w:val="PageNumber"/>
        </w:rPr>
      </w:pPr>
      <w:r>
        <w:rPr>
          <w:rStyle w:val="PageNumber"/>
        </w:rPr>
        <w:t>623.</w:t>
      </w:r>
      <w:r>
        <w:rPr>
          <w:rStyle w:val="PageNumber"/>
        </w:rPr>
        <w:tab/>
        <w:t>Экономически активное население в разбивке по социальным группам выглядит следующим образом: 65,6 процента — городское население и 34,4 процента — сельское. Что касается экономически активного женского населения, то свыше 70 процентов его принадлежит к городскому населению.</w:t>
      </w:r>
    </w:p>
    <w:p w:rsidR="00000000" w:rsidRDefault="00000000">
      <w:pPr>
        <w:rPr>
          <w:rStyle w:val="PageNumber"/>
        </w:rPr>
      </w:pPr>
      <w:r>
        <w:rPr>
          <w:rStyle w:val="PageNumber"/>
        </w:rPr>
        <w:t>624.</w:t>
      </w:r>
      <w:r>
        <w:rPr>
          <w:rStyle w:val="PageNumber"/>
        </w:rPr>
        <w:tab/>
        <w:t>24,6 процента трудящихся-женщин проживают в городе, а в сельской местности – только 20 процентов. Однако доля трудящихся-женщин в сельской местности выросла по сравнению с 1989 годом, когда она составляла 17,6 процента.</w:t>
      </w:r>
    </w:p>
    <w:p w:rsidR="00000000" w:rsidRDefault="00000000">
      <w:pPr>
        <w:rPr>
          <w:rStyle w:val="PageNumber"/>
        </w:rPr>
      </w:pPr>
      <w:r>
        <w:rPr>
          <w:rStyle w:val="PageNumber"/>
        </w:rPr>
        <w:t>625.</w:t>
      </w:r>
      <w:r>
        <w:rPr>
          <w:rStyle w:val="PageNumber"/>
        </w:rPr>
        <w:tab/>
        <w:t>Официальные статистические данные, касающиеся занятости женщин, однако, не отражают исчерпывающим образом подлинное положение в области занятости женщин, поскольку недостаточно учитываются сезонная работа, домашний труд и работа в семейном фермерском хозяйстве.</w:t>
      </w:r>
    </w:p>
    <w:p w:rsidR="00000000" w:rsidRDefault="00000000">
      <w:pPr>
        <w:spacing w:before="120"/>
        <w:rPr>
          <w:rStyle w:val="PageNumber"/>
          <w:b/>
          <w:sz w:val="22"/>
        </w:rPr>
      </w:pPr>
      <w:r>
        <w:rPr>
          <w:rStyle w:val="PageNumber"/>
          <w:b/>
          <w:sz w:val="22"/>
        </w:rPr>
        <w:t>Ш.4.</w:t>
      </w:r>
      <w:r>
        <w:rPr>
          <w:rStyle w:val="PageNumber"/>
          <w:b/>
          <w:sz w:val="22"/>
        </w:rPr>
        <w:tab/>
        <w:t>Женщина и безработица</w:t>
      </w:r>
    </w:p>
    <w:p w:rsidR="00000000" w:rsidRDefault="00000000">
      <w:pPr>
        <w:rPr>
          <w:rStyle w:val="PageNumber"/>
        </w:rPr>
      </w:pPr>
      <w:r>
        <w:rPr>
          <w:rStyle w:val="PageNumber"/>
        </w:rPr>
        <w:t>626.</w:t>
      </w:r>
      <w:r>
        <w:rPr>
          <w:rStyle w:val="PageNumber"/>
        </w:rPr>
        <w:tab/>
        <w:t xml:space="preserve">Безработное население в возрасте от 18 до 59 лет на момент переписи 1994 года составляло </w:t>
      </w:r>
      <w:r>
        <w:rPr>
          <w:rStyle w:val="PageNumber"/>
        </w:rPr>
        <w:br/>
        <w:t>378 406 человек, в том числе 279 640 мужчин и 98 760 женщин, то есть 73,9 процента и 26,1 процента, соответственно.</w:t>
      </w:r>
    </w:p>
    <w:p w:rsidR="00000000" w:rsidRDefault="00000000">
      <w:pPr>
        <w:spacing w:after="120"/>
        <w:rPr>
          <w:rStyle w:val="PageNumber"/>
        </w:rPr>
      </w:pPr>
      <w:r>
        <w:rPr>
          <w:rStyle w:val="PageNumber"/>
        </w:rPr>
        <w:t>627.</w:t>
      </w:r>
      <w:r>
        <w:rPr>
          <w:rStyle w:val="PageNumber"/>
        </w:rPr>
        <w:tab/>
        <w:t xml:space="preserve">Показатель безработицы в 1994 году составлял 15,6 процента по всему экономически активному населению, в том числе мужчины – 15 процентов и женщины – 17,2 процента. В 1989 году показатель безработицы был равен 15,3 процента, в том числе мужчины составляли 13,9 процента и женщины – </w:t>
      </w:r>
      <w:r>
        <w:rPr>
          <w:rStyle w:val="PageNumber"/>
        </w:rPr>
        <w:br/>
        <w:t>20,9 процента.</w:t>
      </w:r>
    </w:p>
    <w:p w:rsidR="00000000" w:rsidRDefault="00000000">
      <w:pPr>
        <w:jc w:val="center"/>
        <w:rPr>
          <w:rStyle w:val="PageNumber"/>
          <w:b/>
        </w:rPr>
      </w:pPr>
      <w:r>
        <w:rPr>
          <w:rStyle w:val="PageNumber"/>
          <w:b/>
        </w:rPr>
        <w:t>Динамика безработицы в разбивке по полу ( в процентах)</w:t>
      </w:r>
    </w:p>
    <w:tbl>
      <w:tblPr>
        <w:tblW w:w="0" w:type="auto"/>
        <w:jc w:val="center"/>
        <w:tblLayout w:type="fixed"/>
        <w:tblCellMar>
          <w:left w:w="40" w:type="dxa"/>
          <w:right w:w="40" w:type="dxa"/>
        </w:tblCellMar>
        <w:tblLook w:val="0000" w:firstRow="0" w:lastRow="0" w:firstColumn="0" w:lastColumn="0" w:noHBand="0" w:noVBand="0"/>
      </w:tblPr>
      <w:tblGrid>
        <w:gridCol w:w="1701"/>
        <w:gridCol w:w="1701"/>
        <w:gridCol w:w="1701"/>
      </w:tblGrid>
      <w:tr w:rsidR="00000000">
        <w:tblPrEx>
          <w:tblCellMar>
            <w:top w:w="0" w:type="dxa"/>
            <w:bottom w:w="0" w:type="dxa"/>
          </w:tblCellMar>
        </w:tblPrEx>
        <w:trPr>
          <w:trHeight w:val="20"/>
          <w:jc w:val="center"/>
        </w:trPr>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b/>
                <w:sz w:val="18"/>
              </w:rPr>
            </w:pPr>
            <w:r>
              <w:rPr>
                <w:rStyle w:val="PageNumber"/>
                <w:b/>
                <w:sz w:val="18"/>
              </w:rPr>
              <w:t>Пол</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1989 год</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1994 год</w:t>
            </w:r>
          </w:p>
        </w:tc>
      </w:tr>
      <w:tr w:rsidR="00000000">
        <w:tblPrEx>
          <w:tblCellMar>
            <w:top w:w="0" w:type="dxa"/>
            <w:bottom w:w="0" w:type="dxa"/>
          </w:tblCellMar>
        </w:tblPrEx>
        <w:trPr>
          <w:trHeight w:val="20"/>
          <w:jc w:val="center"/>
        </w:trPr>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sz w:val="18"/>
              </w:rPr>
            </w:pPr>
            <w:r>
              <w:rPr>
                <w:rStyle w:val="PageNumber"/>
                <w:sz w:val="18"/>
              </w:rPr>
              <w:t>Мужчины</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sz w:val="18"/>
              </w:rPr>
            </w:pPr>
            <w:r>
              <w:rPr>
                <w:rStyle w:val="PageNumber"/>
                <w:sz w:val="18"/>
              </w:rPr>
              <w:t>13,9</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sz w:val="18"/>
              </w:rPr>
            </w:pPr>
            <w:r>
              <w:rPr>
                <w:rStyle w:val="PageNumber"/>
                <w:sz w:val="18"/>
              </w:rPr>
              <w:t>15,0</w:t>
            </w:r>
          </w:p>
        </w:tc>
      </w:tr>
      <w:tr w:rsidR="00000000">
        <w:tblPrEx>
          <w:tblCellMar>
            <w:top w:w="0" w:type="dxa"/>
            <w:bottom w:w="0" w:type="dxa"/>
          </w:tblCellMar>
        </w:tblPrEx>
        <w:trPr>
          <w:trHeight w:val="20"/>
          <w:jc w:val="center"/>
        </w:trPr>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sz w:val="18"/>
              </w:rPr>
            </w:pPr>
            <w:r>
              <w:rPr>
                <w:rStyle w:val="PageNumber"/>
                <w:sz w:val="18"/>
              </w:rPr>
              <w:t>Женщины</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sz w:val="18"/>
              </w:rPr>
            </w:pPr>
            <w:r>
              <w:rPr>
                <w:rStyle w:val="PageNumber"/>
                <w:sz w:val="18"/>
              </w:rPr>
              <w:t>20,9</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sz w:val="18"/>
              </w:rPr>
            </w:pPr>
            <w:r>
              <w:rPr>
                <w:rStyle w:val="PageNumber"/>
                <w:sz w:val="18"/>
              </w:rPr>
              <w:t>17,2</w:t>
            </w:r>
          </w:p>
        </w:tc>
      </w:tr>
      <w:tr w:rsidR="00000000">
        <w:tblPrEx>
          <w:tblCellMar>
            <w:top w:w="0" w:type="dxa"/>
            <w:bottom w:w="0" w:type="dxa"/>
          </w:tblCellMar>
        </w:tblPrEx>
        <w:trPr>
          <w:trHeight w:val="20"/>
          <w:jc w:val="center"/>
        </w:trPr>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sz w:val="18"/>
              </w:rPr>
            </w:pPr>
            <w:r>
              <w:rPr>
                <w:rStyle w:val="PageNumber"/>
                <w:sz w:val="18"/>
              </w:rPr>
              <w:t>Всего</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sz w:val="18"/>
              </w:rPr>
            </w:pPr>
            <w:r>
              <w:rPr>
                <w:rStyle w:val="PageNumber"/>
                <w:sz w:val="18"/>
              </w:rPr>
              <w:t>15,3</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sz w:val="18"/>
              </w:rPr>
            </w:pPr>
            <w:r>
              <w:rPr>
                <w:rStyle w:val="PageNumber"/>
                <w:sz w:val="18"/>
              </w:rPr>
              <w:t>15,6</w:t>
            </w:r>
          </w:p>
        </w:tc>
      </w:tr>
    </w:tbl>
    <w:p w:rsidR="00000000" w:rsidRDefault="00000000">
      <w:pPr>
        <w:spacing w:before="120" w:line="220" w:lineRule="exact"/>
        <w:ind w:right="2274"/>
        <w:jc w:val="right"/>
        <w:rPr>
          <w:rStyle w:val="PageNumber"/>
          <w:b/>
          <w:sz w:val="18"/>
        </w:rPr>
      </w:pPr>
      <w:r>
        <w:rPr>
          <w:rStyle w:val="PageNumber"/>
          <w:b/>
          <w:sz w:val="18"/>
        </w:rPr>
        <w:t>Источник: Перепись 1994 года, НИС</w:t>
      </w:r>
    </w:p>
    <w:p w:rsidR="00000000" w:rsidRDefault="00000000">
      <w:pPr>
        <w:rPr>
          <w:rStyle w:val="PageNumber"/>
        </w:rPr>
      </w:pPr>
      <w:r>
        <w:rPr>
          <w:rStyle w:val="PageNumber"/>
        </w:rPr>
        <w:t>628.</w:t>
      </w:r>
      <w:r>
        <w:rPr>
          <w:rStyle w:val="PageNumber"/>
        </w:rPr>
        <w:tab/>
        <w:t xml:space="preserve">Из общего числа безработных 72,2 процента (в 1994 году) являются неграмотными или имеют образование на уровне начальной школы. Хотя этот показатель снизился с 1984 года, когда он составлял </w:t>
      </w:r>
      <w:r>
        <w:rPr>
          <w:rStyle w:val="PageNumber"/>
        </w:rPr>
        <w:br/>
        <w:t>80,1 процента, он остается основной характеристикой безработицы в Тунисе.</w:t>
      </w:r>
    </w:p>
    <w:p w:rsidR="00000000" w:rsidRDefault="00000000">
      <w:pPr>
        <w:jc w:val="center"/>
        <w:rPr>
          <w:rStyle w:val="PageNumber"/>
          <w:b/>
        </w:rPr>
      </w:pPr>
      <w:r>
        <w:rPr>
          <w:rStyle w:val="PageNumber"/>
          <w:b/>
        </w:rPr>
        <w:t>Показатель безработицы в разбивке по уровню образования и полу (1994 год) (в процентах)</w:t>
      </w:r>
    </w:p>
    <w:tbl>
      <w:tblPr>
        <w:tblW w:w="0" w:type="auto"/>
        <w:jc w:val="center"/>
        <w:tblLayout w:type="fixed"/>
        <w:tblCellMar>
          <w:left w:w="40" w:type="dxa"/>
          <w:right w:w="40" w:type="dxa"/>
        </w:tblCellMar>
        <w:tblLook w:val="0000" w:firstRow="0" w:lastRow="0" w:firstColumn="0" w:lastColumn="0" w:noHBand="0" w:noVBand="0"/>
      </w:tblPr>
      <w:tblGrid>
        <w:gridCol w:w="2262"/>
        <w:gridCol w:w="1136"/>
        <w:gridCol w:w="1136"/>
        <w:gridCol w:w="1136"/>
      </w:tblGrid>
      <w:tr w:rsidR="00000000">
        <w:tblPrEx>
          <w:tblCellMar>
            <w:top w:w="0" w:type="dxa"/>
            <w:bottom w:w="0" w:type="dxa"/>
          </w:tblCellMar>
        </w:tblPrEx>
        <w:trPr>
          <w:trHeight w:val="20"/>
          <w:jc w:val="center"/>
        </w:trPr>
        <w:tc>
          <w:tcPr>
            <w:tcW w:w="2262"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b/>
                <w:sz w:val="18"/>
              </w:rPr>
            </w:pPr>
            <w:r>
              <w:rPr>
                <w:rStyle w:val="PageNumber"/>
                <w:b/>
                <w:sz w:val="18"/>
              </w:rPr>
              <w:t>Уровень образования</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Мужчины</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Женщины</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Всего</w:t>
            </w:r>
          </w:p>
        </w:tc>
      </w:tr>
      <w:tr w:rsidR="00000000">
        <w:tblPrEx>
          <w:tblCellMar>
            <w:top w:w="0" w:type="dxa"/>
            <w:bottom w:w="0" w:type="dxa"/>
          </w:tblCellMar>
        </w:tblPrEx>
        <w:trPr>
          <w:trHeight w:val="20"/>
          <w:jc w:val="center"/>
        </w:trPr>
        <w:tc>
          <w:tcPr>
            <w:tcW w:w="2262"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sz w:val="18"/>
              </w:rPr>
            </w:pPr>
            <w:r>
              <w:rPr>
                <w:rStyle w:val="PageNumber"/>
                <w:sz w:val="18"/>
              </w:rPr>
              <w:t>Нет</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16,7</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19,8</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17,6</w:t>
            </w:r>
          </w:p>
        </w:tc>
      </w:tr>
      <w:tr w:rsidR="00000000">
        <w:tblPrEx>
          <w:tblCellMar>
            <w:top w:w="0" w:type="dxa"/>
            <w:bottom w:w="0" w:type="dxa"/>
          </w:tblCellMar>
        </w:tblPrEx>
        <w:trPr>
          <w:trHeight w:val="20"/>
          <w:jc w:val="center"/>
        </w:trPr>
        <w:tc>
          <w:tcPr>
            <w:tcW w:w="2262"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sz w:val="18"/>
              </w:rPr>
            </w:pPr>
            <w:r>
              <w:rPr>
                <w:rStyle w:val="PageNumber"/>
                <w:sz w:val="18"/>
              </w:rPr>
              <w:t>Начальное</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17,6</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21,4</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18,3</w:t>
            </w:r>
          </w:p>
        </w:tc>
      </w:tr>
      <w:tr w:rsidR="00000000">
        <w:tblPrEx>
          <w:tblCellMar>
            <w:top w:w="0" w:type="dxa"/>
            <w:bottom w:w="0" w:type="dxa"/>
          </w:tblCellMar>
        </w:tblPrEx>
        <w:trPr>
          <w:trHeight w:val="20"/>
          <w:jc w:val="center"/>
        </w:trPr>
        <w:tc>
          <w:tcPr>
            <w:tcW w:w="2262"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sz w:val="18"/>
              </w:rPr>
            </w:pPr>
            <w:r>
              <w:rPr>
                <w:rStyle w:val="PageNumber"/>
                <w:sz w:val="18"/>
              </w:rPr>
              <w:t>Среднее</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12,8</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14</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13,1</w:t>
            </w:r>
          </w:p>
        </w:tc>
      </w:tr>
      <w:tr w:rsidR="00000000">
        <w:tblPrEx>
          <w:tblCellMar>
            <w:top w:w="0" w:type="dxa"/>
            <w:bottom w:w="0" w:type="dxa"/>
          </w:tblCellMar>
        </w:tblPrEx>
        <w:trPr>
          <w:trHeight w:val="20"/>
          <w:jc w:val="center"/>
        </w:trPr>
        <w:tc>
          <w:tcPr>
            <w:tcW w:w="2262"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sz w:val="18"/>
              </w:rPr>
            </w:pPr>
            <w:r>
              <w:rPr>
                <w:rStyle w:val="PageNumber"/>
                <w:sz w:val="18"/>
              </w:rPr>
              <w:t>Высшее</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3,3</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3,7</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13,1</w:t>
            </w:r>
          </w:p>
        </w:tc>
      </w:tr>
      <w:tr w:rsidR="00000000">
        <w:tblPrEx>
          <w:tblCellMar>
            <w:top w:w="0" w:type="dxa"/>
            <w:bottom w:w="0" w:type="dxa"/>
          </w:tblCellMar>
        </w:tblPrEx>
        <w:trPr>
          <w:trHeight w:val="20"/>
          <w:jc w:val="center"/>
        </w:trPr>
        <w:tc>
          <w:tcPr>
            <w:tcW w:w="2262"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sz w:val="18"/>
              </w:rPr>
            </w:pPr>
            <w:r>
              <w:rPr>
                <w:rStyle w:val="PageNumber"/>
                <w:sz w:val="18"/>
              </w:rPr>
              <w:t>Итого</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15,0</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17,02</w:t>
            </w:r>
          </w:p>
        </w:tc>
        <w:tc>
          <w:tcPr>
            <w:tcW w:w="1136"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397"/>
              <w:jc w:val="right"/>
              <w:rPr>
                <w:rStyle w:val="PageNumber"/>
                <w:sz w:val="18"/>
              </w:rPr>
            </w:pPr>
            <w:r>
              <w:rPr>
                <w:rStyle w:val="PageNumber"/>
                <w:sz w:val="18"/>
              </w:rPr>
              <w:t>15,6</w:t>
            </w:r>
          </w:p>
        </w:tc>
      </w:tr>
    </w:tbl>
    <w:p w:rsidR="00000000" w:rsidRDefault="00000000">
      <w:pPr>
        <w:spacing w:before="120" w:line="220" w:lineRule="exact"/>
        <w:ind w:right="1990"/>
        <w:jc w:val="right"/>
        <w:rPr>
          <w:rStyle w:val="PageNumber"/>
          <w:b/>
          <w:sz w:val="18"/>
        </w:rPr>
      </w:pPr>
      <w:r>
        <w:rPr>
          <w:rStyle w:val="PageNumber"/>
          <w:b/>
          <w:sz w:val="18"/>
        </w:rPr>
        <w:t>Источник: Перепись 1994 года, НИС</w:t>
      </w:r>
    </w:p>
    <w:p w:rsidR="00000000" w:rsidRDefault="00000000">
      <w:pPr>
        <w:spacing w:line="240" w:lineRule="auto"/>
        <w:rPr>
          <w:rStyle w:val="PageNumber"/>
          <w:b/>
          <w:sz w:val="28"/>
        </w:rPr>
      </w:pPr>
      <w:r>
        <w:rPr>
          <w:rStyle w:val="PageNumber"/>
          <w:b/>
          <w:sz w:val="28"/>
        </w:rPr>
        <w:t>IV.</w:t>
      </w:r>
      <w:r>
        <w:rPr>
          <w:rStyle w:val="PageNumber"/>
          <w:b/>
          <w:sz w:val="28"/>
        </w:rPr>
        <w:tab/>
        <w:t>Женщины и рынок занятости</w:t>
      </w:r>
    </w:p>
    <w:p w:rsidR="00000000" w:rsidRDefault="00000000">
      <w:pPr>
        <w:rPr>
          <w:rStyle w:val="PageNumber"/>
        </w:rPr>
      </w:pPr>
      <w:r>
        <w:rPr>
          <w:rStyle w:val="PageNumber"/>
        </w:rPr>
        <w:t>629.</w:t>
      </w:r>
      <w:r>
        <w:rPr>
          <w:rStyle w:val="PageNumber"/>
        </w:rPr>
        <w:tab/>
        <w:t>Положение на рынке занятости, находящемся в ведении бюро по трудоустройству, которые охватывают лишь 30 процентов запросов, показывает, что в период 1994–1997 годов процентная доля запросов о трудоустройстве женщин колебалась между 33,3 процента (1993 год) и 38,7 процента (1997 год).</w:t>
      </w:r>
    </w:p>
    <w:p w:rsidR="00000000" w:rsidRDefault="00000000">
      <w:pPr>
        <w:rPr>
          <w:rStyle w:val="PageNumber"/>
        </w:rPr>
      </w:pPr>
      <w:r>
        <w:rPr>
          <w:rStyle w:val="PageNumber"/>
        </w:rPr>
        <w:t>630.</w:t>
      </w:r>
      <w:r>
        <w:rPr>
          <w:rStyle w:val="PageNumber"/>
        </w:rPr>
        <w:tab/>
        <w:t>Положение в отношении удовлетворения запросов о трудоустройстве женщин изменялось в сторону роста, о чем свидетельствует показатель 53,36 процента в 1997 году против 29,4 процента в 1993 году.</w:t>
      </w:r>
    </w:p>
    <w:p w:rsidR="00000000" w:rsidRDefault="00000000">
      <w:pPr>
        <w:spacing w:before="120" w:line="240" w:lineRule="auto"/>
        <w:rPr>
          <w:rStyle w:val="PageNumber"/>
          <w:b/>
          <w:sz w:val="28"/>
        </w:rPr>
      </w:pPr>
      <w:r>
        <w:rPr>
          <w:rStyle w:val="PageNumber"/>
          <w:b/>
          <w:sz w:val="28"/>
        </w:rPr>
        <w:t>V.</w:t>
      </w:r>
      <w:r>
        <w:rPr>
          <w:rStyle w:val="PageNumber"/>
          <w:b/>
          <w:sz w:val="28"/>
        </w:rPr>
        <w:tab/>
        <w:t>Женщины и предпринимательство</w:t>
      </w:r>
    </w:p>
    <w:p w:rsidR="00000000" w:rsidRDefault="00000000">
      <w:pPr>
        <w:rPr>
          <w:rStyle w:val="PageNumber"/>
        </w:rPr>
      </w:pPr>
      <w:r>
        <w:rPr>
          <w:rStyle w:val="PageNumber"/>
        </w:rPr>
        <w:t>631.</w:t>
      </w:r>
      <w:r>
        <w:rPr>
          <w:rStyle w:val="PageNumber"/>
        </w:rPr>
        <w:tab/>
        <w:t>Согласно национальной переписи населения в Тунисе существует 4800 женских предприятий. Это в большинстве своем микропредприятия, которыми управляют женщины и в которых занято 100 тыс. человек. По секторам эти предприятия распределены следующим образом: 85 процентов – промышленное и кустарное производство, 8 процентов – торговля и 7 процентов – сфера услуг.</w:t>
      </w:r>
    </w:p>
    <w:p w:rsidR="00000000" w:rsidRDefault="00000000">
      <w:pPr>
        <w:rPr>
          <w:rStyle w:val="PageNumber"/>
        </w:rPr>
      </w:pPr>
      <w:r>
        <w:rPr>
          <w:rStyle w:val="PageNumber"/>
        </w:rPr>
        <w:t>632.</w:t>
      </w:r>
      <w:r>
        <w:rPr>
          <w:rStyle w:val="PageNumber"/>
        </w:rPr>
        <w:tab/>
        <w:t>Из общего количества 218 предприятий, в которые инвестировано 11 118 млн. динаров, четыре предприятия, управляемые женщинами, участвовали в национальной программе по повышению уровня индустриализации предприятий. Это предприятия текстильной, пищевой, электротехнической и фармацевтической промышленности. К тому же два из них были включены в экспериментальную программу по индустриализации (в них 963 рабочих места).</w:t>
      </w:r>
    </w:p>
    <w:p w:rsidR="00000000" w:rsidRDefault="00000000">
      <w:pPr>
        <w:spacing w:after="180"/>
        <w:rPr>
          <w:rStyle w:val="PageNumber"/>
        </w:rPr>
      </w:pPr>
      <w:r>
        <w:rPr>
          <w:rStyle w:val="PageNumber"/>
        </w:rPr>
        <w:t>633.</w:t>
      </w:r>
      <w:r>
        <w:rPr>
          <w:rStyle w:val="PageNumber"/>
        </w:rPr>
        <w:tab/>
        <w:t>Женщины всегда являлись инвесторами микропредприятий. И только в последние десять лет они получили возможность финансирования из фондов промышленного и сельскохозяйственного развития, то есть из расчета 5 процентов из Фонда содействия и децентрализации промышленности (ФОПРОДИ), 14 процентов из Национального фонда развития ремесел и мелких промыслов (ФОНАПРА) и 3,3 процента из Агентства по пропаганде инвестиций в сельское хозяйство.</w:t>
      </w:r>
    </w:p>
    <w:p w:rsidR="00000000" w:rsidRDefault="00000000">
      <w:pPr>
        <w:spacing w:after="180"/>
        <w:rPr>
          <w:rStyle w:val="PageNumber"/>
        </w:rPr>
      </w:pPr>
      <w:r>
        <w:rPr>
          <w:rStyle w:val="PageNumber"/>
        </w:rPr>
        <w:t>634.</w:t>
      </w:r>
      <w:r>
        <w:rPr>
          <w:rStyle w:val="PageNumber"/>
        </w:rPr>
        <w:tab/>
        <w:t xml:space="preserve">Трудности, связанные с выполнением обычных условий для получения кредита, а именно представление гарантий, требуемых банками, которые управляют этими фондами, отсутствие необходимой квалификации для разработки проектов, которые бы заинтересовали банки, и т. д., отныне уже не являются препятствиями, мешающими женщинам пользоваться услугами этих фондов. Постепенное создание новых механизмов содействия микропредприятиям дает большой толчок развитию женского предпринимательства. </w:t>
      </w:r>
    </w:p>
    <w:p w:rsidR="00000000" w:rsidRDefault="00000000">
      <w:pPr>
        <w:spacing w:after="180"/>
        <w:rPr>
          <w:rStyle w:val="PageNumber"/>
        </w:rPr>
      </w:pPr>
      <w:r>
        <w:rPr>
          <w:rStyle w:val="PageNumber"/>
        </w:rPr>
        <w:t>635.</w:t>
      </w:r>
      <w:r>
        <w:rPr>
          <w:rStyle w:val="PageNumber"/>
        </w:rPr>
        <w:tab/>
        <w:t xml:space="preserve">В рамках Национального фонда развития ремесел и мелких промыслов (ФОНАПРА) число профессиональных удостоверений, выданных женщинам за период с 1993 по 1998 год, увеличилось с 37 865 до 62 464, что составляет 85 процентов от общего числа выданных удостоверений. </w:t>
      </w:r>
    </w:p>
    <w:p w:rsidR="00000000" w:rsidRDefault="00000000">
      <w:pPr>
        <w:spacing w:after="180"/>
        <w:rPr>
          <w:rStyle w:val="PageNumber"/>
        </w:rPr>
      </w:pPr>
      <w:r>
        <w:rPr>
          <w:rStyle w:val="PageNumber"/>
        </w:rPr>
        <w:t>636.</w:t>
      </w:r>
      <w:r>
        <w:rPr>
          <w:rStyle w:val="PageNumber"/>
        </w:rPr>
        <w:tab/>
        <w:t>Новые возможности интегрирования женщин в экономику открыл созданный в 1997 году Тунисский банк солидарности (ТБС), который отменил условие наличия достаточных гарантий и установил собственные критерии предоставления кредитов, включающие серьезные намерения и компетентность инициатора проекта, а также убедительные обоснования проекта.</w:t>
      </w:r>
    </w:p>
    <w:p w:rsidR="00000000" w:rsidRDefault="00000000">
      <w:pPr>
        <w:spacing w:after="180"/>
        <w:rPr>
          <w:rStyle w:val="PageNumber"/>
        </w:rPr>
      </w:pPr>
      <w:r>
        <w:rPr>
          <w:rStyle w:val="PageNumber"/>
        </w:rPr>
        <w:t>637.</w:t>
      </w:r>
      <w:r>
        <w:rPr>
          <w:rStyle w:val="PageNumber"/>
        </w:rPr>
        <w:tab/>
        <w:t>Со времени создания ТБС и до конца 1999 года женщины использовали эти возможности для финансирования 27,1 процента проектов, то есть 5988 проектов из общего числа 22 095 проектов. В основном это были молодые женщины в возрасте от 18 до 29 лет (47,7 процента).</w:t>
      </w:r>
    </w:p>
    <w:p w:rsidR="00000000" w:rsidRDefault="00000000">
      <w:pPr>
        <w:spacing w:after="180"/>
        <w:rPr>
          <w:rStyle w:val="PageNumber"/>
        </w:rPr>
      </w:pPr>
      <w:r>
        <w:rPr>
          <w:rStyle w:val="PageNumber"/>
        </w:rPr>
        <w:t>638.</w:t>
      </w:r>
      <w:r>
        <w:rPr>
          <w:rStyle w:val="PageNumber"/>
        </w:rPr>
        <w:tab/>
        <w:t>В начале 90-х годов Министерство профессионального образования и занятости разработало программу развития микропредприятий, управление которой было поручено Тунисскому агентству занятости, которое создало аппарат управления, включающий службы и подразделения на уровне региональных и местных бюро по трудоустройству. Заинтересованные женщины могли получить помощь в области информации и ориентации для составления своих досье по техническим вопросам и по вопросам получения кредитов.</w:t>
      </w:r>
    </w:p>
    <w:p w:rsidR="00000000" w:rsidRDefault="00000000">
      <w:pPr>
        <w:spacing w:after="200"/>
        <w:rPr>
          <w:rStyle w:val="PageNumber"/>
        </w:rPr>
      </w:pPr>
      <w:r>
        <w:rPr>
          <w:rStyle w:val="PageNumber"/>
        </w:rPr>
        <w:t>639.</w:t>
      </w:r>
      <w:r>
        <w:rPr>
          <w:rStyle w:val="PageNumber"/>
        </w:rPr>
        <w:tab/>
        <w:t>Процентная доля женщин, воспользовавшихся программой Агентства профессиональной подготовки и занятости, увеличилась с 18 процентов в 1993 году до 30,5 процента в 1997 году в различных секторах, но главным образом в текстильной, пищевой, кожевенной, обувной и деревообрабатывающей промышленности, а также в сфере услуг.</w:t>
      </w:r>
    </w:p>
    <w:p w:rsidR="00000000" w:rsidRDefault="00000000">
      <w:pPr>
        <w:spacing w:before="120" w:after="180" w:line="240" w:lineRule="auto"/>
        <w:rPr>
          <w:rStyle w:val="PageNumber"/>
          <w:b/>
          <w:sz w:val="28"/>
        </w:rPr>
      </w:pPr>
      <w:r>
        <w:rPr>
          <w:rStyle w:val="PageNumber"/>
          <w:b/>
          <w:sz w:val="28"/>
        </w:rPr>
        <w:t>VI.</w:t>
      </w:r>
      <w:r>
        <w:rPr>
          <w:rStyle w:val="PageNumber"/>
          <w:b/>
          <w:sz w:val="28"/>
        </w:rPr>
        <w:tab/>
        <w:t>Профессиональная подготовка</w:t>
      </w:r>
    </w:p>
    <w:p w:rsidR="00000000" w:rsidRDefault="00000000">
      <w:pPr>
        <w:spacing w:after="180"/>
        <w:rPr>
          <w:rStyle w:val="PageNumber"/>
          <w:b/>
          <w:sz w:val="22"/>
        </w:rPr>
      </w:pPr>
      <w:r>
        <w:rPr>
          <w:rStyle w:val="PageNumber"/>
          <w:b/>
          <w:sz w:val="22"/>
        </w:rPr>
        <w:t>VI.1.</w:t>
      </w:r>
      <w:r>
        <w:rPr>
          <w:rStyle w:val="PageNumber"/>
          <w:b/>
          <w:sz w:val="22"/>
        </w:rPr>
        <w:tab/>
        <w:t>Формы подготовки</w:t>
      </w:r>
    </w:p>
    <w:p w:rsidR="00000000" w:rsidRDefault="00000000">
      <w:pPr>
        <w:spacing w:after="80"/>
        <w:rPr>
          <w:rStyle w:val="PageNumber"/>
        </w:rPr>
      </w:pPr>
      <w:r>
        <w:rPr>
          <w:rStyle w:val="PageNumber"/>
        </w:rPr>
        <w:t>640.</w:t>
      </w:r>
      <w:r>
        <w:rPr>
          <w:rStyle w:val="PageNumber"/>
        </w:rPr>
        <w:tab/>
        <w:t>Профессиональная подготовка благодаря использованию различных методов отвечает потребностям широкой категории претендентов и претенденток, уровень образования которых варьируется от базовой школы (девять лет обучения) до 7-го класса средней школы, а также полуграмотных молодых людей. Система профессиональной подготовки предлагает три формы обучения:</w:t>
      </w:r>
    </w:p>
    <w:p w:rsidR="00000000" w:rsidRDefault="00000000">
      <w:pPr>
        <w:spacing w:after="80"/>
        <w:ind w:left="680" w:hanging="680"/>
        <w:rPr>
          <w:rStyle w:val="PageNumber"/>
        </w:rPr>
      </w:pPr>
      <w:r>
        <w:rPr>
          <w:rStyle w:val="PageNumber"/>
        </w:rPr>
        <w:t>–</w:t>
      </w:r>
      <w:r>
        <w:rPr>
          <w:rStyle w:val="PageNumber"/>
        </w:rPr>
        <w:tab/>
        <w:t>Ученичество, регулируемое контрактом, введенным Кодексом законов о труде, с учетом потребностей юношей и девушек в возрасте от 15 до 20 лет. К этой группе относятся как неуспевающие учащиеся базовой школы, так и учащиеся более высокого уровня. Такая форма обучения предполагает подготовку исключительно на предприятии и дополняется преподаванием теоретических и профессиональных дисциплин для повышения уровня знаний учащихся.</w:t>
      </w:r>
    </w:p>
    <w:p w:rsidR="00000000" w:rsidRDefault="00000000">
      <w:pPr>
        <w:spacing w:after="0"/>
        <w:ind w:left="680" w:hanging="680"/>
        <w:rPr>
          <w:rStyle w:val="PageNumber"/>
          <w:spacing w:val="-2"/>
        </w:rPr>
      </w:pPr>
      <w:r>
        <w:rPr>
          <w:rStyle w:val="PageNumber"/>
        </w:rPr>
        <w:t>–</w:t>
      </w:r>
      <w:r>
        <w:rPr>
          <w:rStyle w:val="PageNumber"/>
        </w:rPr>
        <w:tab/>
      </w:r>
      <w:r>
        <w:rPr>
          <w:rStyle w:val="PageNumber"/>
          <w:spacing w:val="-2"/>
        </w:rPr>
        <w:t>Начальную подготовку, предназначенную для молодых людей, закончивших базовую школу и ориентирующихся на систему профессиональной подготовки, или для молодых людей, успешно прошедших по конкурсу вступительные экзамены в центры профессиональной подготовки (принимаются учащиеся со следующих уровней образования: базовая школа, 5-й, 6-й и 7-й классы средней школы и лица, имеющие степень бакалавра). Эта форма обучения позволяет получить дипломы профессиональной подготовки (ДПП), техника высшей квалификации (ДТВК) и профессионального техника (ДПТ).</w:t>
      </w:r>
    </w:p>
    <w:p w:rsidR="00000000" w:rsidRDefault="00000000">
      <w:pPr>
        <w:rPr>
          <w:rStyle w:val="PageNumber"/>
        </w:rPr>
      </w:pPr>
      <w:r>
        <w:rPr>
          <w:rStyle w:val="PageNumber"/>
        </w:rPr>
        <w:t>641.</w:t>
      </w:r>
      <w:r>
        <w:rPr>
          <w:rStyle w:val="PageNumber"/>
        </w:rPr>
        <w:tab/>
        <w:t>Непрерывное образование в рамках повышения квалификации трудящихся направлено на совершенствование их профессиональной компетенции. Реформа 1993 года, благодаря системе скидок с налога на профессиональную подготовку, дала возможность определить соответствующие рамки развития непрерывного образования, необходимость которого была вызвана быстрыми темпами технологического развития и потребностью обеспечить конкурентоспособность предприятий.</w:t>
      </w:r>
    </w:p>
    <w:p w:rsidR="00000000" w:rsidRDefault="00000000">
      <w:pPr>
        <w:spacing w:after="180" w:line="260" w:lineRule="exact"/>
        <w:rPr>
          <w:rStyle w:val="PageNumber"/>
          <w:b/>
          <w:sz w:val="22"/>
        </w:rPr>
      </w:pPr>
      <w:r>
        <w:rPr>
          <w:rStyle w:val="PageNumber"/>
          <w:b/>
          <w:sz w:val="22"/>
        </w:rPr>
        <w:t>VI.2.</w:t>
      </w:r>
      <w:r>
        <w:rPr>
          <w:rStyle w:val="PageNumber"/>
          <w:b/>
          <w:sz w:val="22"/>
        </w:rPr>
        <w:tab/>
        <w:t>Различные операторы системы профессиональной подготовки</w:t>
      </w:r>
    </w:p>
    <w:p w:rsidR="00000000" w:rsidRDefault="00000000">
      <w:pPr>
        <w:spacing w:after="180"/>
        <w:rPr>
          <w:rStyle w:val="PageNumber"/>
        </w:rPr>
      </w:pPr>
      <w:r>
        <w:rPr>
          <w:rStyle w:val="PageNumber"/>
        </w:rPr>
        <w:t>642.</w:t>
      </w:r>
      <w:r>
        <w:rPr>
          <w:rStyle w:val="PageNumber"/>
        </w:rPr>
        <w:tab/>
        <w:t xml:space="preserve">В целом система профессиональной подготовки открыта для лиц обоих полов, учебные заведения обычно рассчитаны на совместное обучение, за исключением нескольких ведомственных учебных заведений, подчиняющихся Министерству сельского хозяйства или Министерству промышленности или находящихся в ведении НПО, в частности НСТЖ. Последовательность системы профессиональной подготовки обеспечивают различные операторы: государственный сектор (35,8 процента), частный сектор (44,8 процента) и НСТЖ </w:t>
      </w:r>
      <w:r>
        <w:rPr>
          <w:rStyle w:val="PageNumber"/>
        </w:rPr>
        <w:br/>
        <w:t>(19,4 процента).</w:t>
      </w:r>
    </w:p>
    <w:p w:rsidR="00000000" w:rsidRDefault="00000000">
      <w:pPr>
        <w:spacing w:after="180"/>
        <w:rPr>
          <w:rStyle w:val="PageNumber"/>
        </w:rPr>
      </w:pPr>
      <w:r>
        <w:rPr>
          <w:rStyle w:val="PageNumber"/>
        </w:rPr>
        <w:t>643.</w:t>
      </w:r>
      <w:r>
        <w:rPr>
          <w:rStyle w:val="PageNumber"/>
        </w:rPr>
        <w:tab/>
        <w:t>Помимо центров подготовки, открытых для мужчин и женщин, в ведении Министерства профессионального образования и занятости находятся 13 центров для сельских девушек, которые расположены в сельских районах и обычно имеют общежитие.</w:t>
      </w:r>
    </w:p>
    <w:p w:rsidR="00000000" w:rsidRDefault="00000000">
      <w:pPr>
        <w:rPr>
          <w:rStyle w:val="PageNumber"/>
        </w:rPr>
      </w:pPr>
      <w:r>
        <w:rPr>
          <w:rStyle w:val="PageNumber"/>
        </w:rPr>
        <w:t>644.</w:t>
      </w:r>
      <w:r>
        <w:rPr>
          <w:rStyle w:val="PageNumber"/>
        </w:rPr>
        <w:tab/>
        <w:t>В центры НСТЖ, получающие от Министерства профессиональной подготовки и занятости техническую и методическую помощь, принимаются в первую очередь женщины из сельских и пригородных районов, и предполагается, что они будут работать в своих родных местах; главной задачей центров является привитие учащимся технических навыков с целью их экономической адаптации.</w:t>
      </w:r>
    </w:p>
    <w:p w:rsidR="00000000" w:rsidRDefault="00000000">
      <w:pPr>
        <w:spacing w:after="180" w:line="260" w:lineRule="exact"/>
        <w:rPr>
          <w:rStyle w:val="PageNumber"/>
          <w:b/>
          <w:sz w:val="22"/>
        </w:rPr>
      </w:pPr>
      <w:r>
        <w:rPr>
          <w:rStyle w:val="PageNumber"/>
          <w:b/>
          <w:sz w:val="22"/>
        </w:rPr>
        <w:t>VI.3.</w:t>
      </w:r>
      <w:r>
        <w:rPr>
          <w:rStyle w:val="PageNumber"/>
          <w:b/>
          <w:sz w:val="22"/>
        </w:rPr>
        <w:tab/>
        <w:t>Итоговая оценка профессиональной подготовки (1992–1997 годы)</w:t>
      </w:r>
    </w:p>
    <w:p w:rsidR="00000000" w:rsidRDefault="00000000">
      <w:pPr>
        <w:spacing w:after="180"/>
        <w:rPr>
          <w:rStyle w:val="PageNumber"/>
        </w:rPr>
      </w:pPr>
      <w:r>
        <w:rPr>
          <w:rStyle w:val="PageNumber"/>
        </w:rPr>
        <w:t>645.</w:t>
      </w:r>
      <w:r>
        <w:rPr>
          <w:rStyle w:val="PageNumber"/>
        </w:rPr>
        <w:tab/>
        <w:t>В период с 1992 по 1997 год в национальной системе подготовки кадров в государственных учебных заведениях прошли обучение 144 279 девушек против 90 тыс. с 1986 по 1992 год, то есть 65 419 девушек получили подготовку по трем формам обучения (ученичество, начальная подготовка и повышение квалификации), 57 тыс. девушек проходили обучение в частных учебных заведениях и 21 860 – в структурах НПО, главным участником которых является НСТЖ.</w:t>
      </w:r>
    </w:p>
    <w:p w:rsidR="00000000" w:rsidRDefault="00000000">
      <w:pPr>
        <w:spacing w:after="180"/>
        <w:rPr>
          <w:rStyle w:val="PageNumber"/>
          <w:spacing w:val="-2"/>
        </w:rPr>
      </w:pPr>
      <w:r>
        <w:rPr>
          <w:rStyle w:val="PageNumber"/>
        </w:rPr>
        <w:t>646.</w:t>
      </w:r>
      <w:r>
        <w:rPr>
          <w:rStyle w:val="PageNumber"/>
        </w:rPr>
        <w:tab/>
      </w:r>
      <w:r>
        <w:rPr>
          <w:rStyle w:val="PageNumber"/>
          <w:spacing w:val="-2"/>
        </w:rPr>
        <w:t xml:space="preserve">Независимо от сектора или оператора итог последних лет в области профессиональной подготовки можно считать положительным, учитывая, что были удовлетворены потребности заказчиков в квалифицированной рабочей силе, в технических работниках и работницах, которых было подготовлено 7359 человек в секторальных центрах профессиональной подготовки (доклад ТАПП 1997 год). Эти центры готовят главным образом профессиональных техников (ДПТ) и техников высшей квалификации (ДТВК) по различным специальностям. </w:t>
      </w:r>
    </w:p>
    <w:p w:rsidR="00000000" w:rsidRDefault="00000000">
      <w:pPr>
        <w:jc w:val="center"/>
        <w:rPr>
          <w:rStyle w:val="PageNumber"/>
          <w:b/>
        </w:rPr>
      </w:pPr>
      <w:r>
        <w:rPr>
          <w:rStyle w:val="PageNumber"/>
          <w:b/>
        </w:rPr>
        <w:t>Дипломы о профессиональной подготовке в секторах промышленности и услуг</w:t>
      </w:r>
    </w:p>
    <w:tbl>
      <w:tblPr>
        <w:tblW w:w="0" w:type="auto"/>
        <w:tblInd w:w="2" w:type="dxa"/>
        <w:tblLayout w:type="fixed"/>
        <w:tblCellMar>
          <w:left w:w="40" w:type="dxa"/>
          <w:right w:w="40" w:type="dxa"/>
        </w:tblCellMar>
        <w:tblLook w:val="0000" w:firstRow="0" w:lastRow="0" w:firstColumn="0" w:lastColumn="0" w:noHBand="0" w:noVBand="0"/>
      </w:tblPr>
      <w:tblGrid>
        <w:gridCol w:w="1022"/>
        <w:gridCol w:w="517"/>
        <w:gridCol w:w="748"/>
        <w:gridCol w:w="517"/>
        <w:gridCol w:w="748"/>
        <w:gridCol w:w="517"/>
        <w:gridCol w:w="748"/>
        <w:gridCol w:w="517"/>
        <w:gridCol w:w="806"/>
        <w:gridCol w:w="517"/>
        <w:gridCol w:w="806"/>
        <w:gridCol w:w="517"/>
        <w:gridCol w:w="806"/>
        <w:gridCol w:w="853"/>
      </w:tblGrid>
      <w:tr w:rsidR="00000000">
        <w:tblPrEx>
          <w:tblCellMar>
            <w:top w:w="0" w:type="dxa"/>
            <w:bottom w:w="0" w:type="dxa"/>
          </w:tblCellMar>
        </w:tblPrEx>
        <w:trPr>
          <w:trHeight w:val="20"/>
        </w:trPr>
        <w:tc>
          <w:tcPr>
            <w:tcW w:w="102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Год</w:t>
            </w:r>
          </w:p>
        </w:tc>
        <w:tc>
          <w:tcPr>
            <w:tcW w:w="1265"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1992</w:t>
            </w:r>
          </w:p>
        </w:tc>
        <w:tc>
          <w:tcPr>
            <w:tcW w:w="1265"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1993</w:t>
            </w:r>
          </w:p>
        </w:tc>
        <w:tc>
          <w:tcPr>
            <w:tcW w:w="1265"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1994</w:t>
            </w:r>
          </w:p>
        </w:tc>
        <w:tc>
          <w:tcPr>
            <w:tcW w:w="1323"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1995</w:t>
            </w:r>
          </w:p>
        </w:tc>
        <w:tc>
          <w:tcPr>
            <w:tcW w:w="1323"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1996</w:t>
            </w:r>
          </w:p>
        </w:tc>
        <w:tc>
          <w:tcPr>
            <w:tcW w:w="1323"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1997</w:t>
            </w:r>
          </w:p>
        </w:tc>
        <w:tc>
          <w:tcPr>
            <w:tcW w:w="8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left="-57" w:right="-57"/>
              <w:jc w:val="center"/>
              <w:rPr>
                <w:rStyle w:val="PageNumber"/>
                <w:b/>
                <w:sz w:val="16"/>
              </w:rPr>
            </w:pPr>
            <w:r>
              <w:rPr>
                <w:rStyle w:val="PageNumber"/>
                <w:b/>
                <w:sz w:val="16"/>
              </w:rPr>
              <w:t>1992–1997</w:t>
            </w:r>
          </w:p>
        </w:tc>
      </w:tr>
      <w:tr w:rsidR="00000000">
        <w:tblPrEx>
          <w:tblCellMar>
            <w:top w:w="0" w:type="dxa"/>
            <w:bottom w:w="0" w:type="dxa"/>
          </w:tblCellMar>
        </w:tblPrEx>
        <w:trPr>
          <w:trHeight w:val="20"/>
        </w:trPr>
        <w:tc>
          <w:tcPr>
            <w:tcW w:w="102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left"/>
              <w:rPr>
                <w:rStyle w:val="PageNumber"/>
                <w:sz w:val="16"/>
              </w:rPr>
            </w:pPr>
            <w:r>
              <w:rPr>
                <w:rStyle w:val="PageNumber"/>
                <w:sz w:val="16"/>
              </w:rPr>
              <w:t>Уровень подготовки</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всего</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девушки</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всего</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девушки</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всего</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девушки</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всего</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девушки</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всего</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девушки</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всего</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девушки</w:t>
            </w:r>
          </w:p>
        </w:tc>
        <w:tc>
          <w:tcPr>
            <w:tcW w:w="8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всего девушки</w:t>
            </w:r>
          </w:p>
        </w:tc>
      </w:tr>
      <w:tr w:rsidR="00000000">
        <w:tblPrEx>
          <w:tblCellMar>
            <w:top w:w="0" w:type="dxa"/>
            <w:bottom w:w="0" w:type="dxa"/>
          </w:tblCellMar>
        </w:tblPrEx>
        <w:trPr>
          <w:trHeight w:val="20"/>
        </w:trPr>
        <w:tc>
          <w:tcPr>
            <w:tcW w:w="102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left"/>
              <w:rPr>
                <w:rStyle w:val="PageNumber"/>
                <w:sz w:val="16"/>
              </w:rPr>
            </w:pPr>
            <w:r>
              <w:rPr>
                <w:rStyle w:val="PageNumber"/>
                <w:sz w:val="16"/>
              </w:rPr>
              <w:t>Диплом/</w:t>
            </w:r>
            <w:r>
              <w:rPr>
                <w:rStyle w:val="PageNumber"/>
                <w:sz w:val="16"/>
              </w:rPr>
              <w:br/>
              <w:t>ученичество</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lang w:val="en-US"/>
              </w:rPr>
              <w:t>–</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lang w:val="en-US"/>
              </w:rPr>
              <w:t>–</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lang w:val="en-US"/>
              </w:rPr>
              <w:t>–</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lang w:val="en-US"/>
              </w:rPr>
              <w:t>–</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lang w:val="en-US"/>
              </w:rPr>
              <w:t>–</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lang w:val="en-US"/>
              </w:rPr>
              <w:t>–</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57"/>
              <w:jc w:val="right"/>
              <w:rPr>
                <w:rStyle w:val="PageNumber"/>
                <w:sz w:val="16"/>
              </w:rPr>
            </w:pPr>
            <w:r>
              <w:rPr>
                <w:rStyle w:val="PageNumber"/>
                <w:sz w:val="16"/>
              </w:rPr>
              <w:t>3 091</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663</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57"/>
              <w:jc w:val="right"/>
              <w:rPr>
                <w:rStyle w:val="PageNumber"/>
                <w:sz w:val="16"/>
              </w:rPr>
            </w:pPr>
            <w:r>
              <w:rPr>
                <w:rStyle w:val="PageNumber"/>
                <w:sz w:val="16"/>
              </w:rPr>
              <w:t>424</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215</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left="-57"/>
              <w:jc w:val="right"/>
              <w:rPr>
                <w:rStyle w:val="PageNumber"/>
                <w:sz w:val="16"/>
              </w:rPr>
            </w:pPr>
            <w:r>
              <w:rPr>
                <w:rStyle w:val="PageNumber"/>
                <w:sz w:val="16"/>
              </w:rPr>
              <w:t>2 172</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1</w:t>
            </w:r>
          </w:p>
        </w:tc>
        <w:tc>
          <w:tcPr>
            <w:tcW w:w="8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170"/>
              <w:jc w:val="right"/>
              <w:rPr>
                <w:rStyle w:val="PageNumber"/>
                <w:sz w:val="16"/>
              </w:rPr>
            </w:pPr>
            <w:r>
              <w:rPr>
                <w:rStyle w:val="PageNumber"/>
                <w:sz w:val="16"/>
              </w:rPr>
              <w:t>879</w:t>
            </w:r>
          </w:p>
        </w:tc>
      </w:tr>
      <w:tr w:rsidR="00000000">
        <w:tblPrEx>
          <w:tblCellMar>
            <w:top w:w="0" w:type="dxa"/>
            <w:bottom w:w="0" w:type="dxa"/>
          </w:tblCellMar>
        </w:tblPrEx>
        <w:trPr>
          <w:trHeight w:val="20"/>
        </w:trPr>
        <w:tc>
          <w:tcPr>
            <w:tcW w:w="1022" w:type="dxa"/>
            <w:tcBorders>
              <w:top w:val="single" w:sz="6" w:space="0" w:color="auto"/>
              <w:left w:val="single" w:sz="6" w:space="0" w:color="auto"/>
              <w:bottom w:val="single" w:sz="6" w:space="0" w:color="auto"/>
              <w:right w:val="single" w:sz="6" w:space="0" w:color="auto"/>
            </w:tcBorders>
          </w:tcPr>
          <w:p w:rsidR="00000000" w:rsidRDefault="00000000">
            <w:pPr>
              <w:spacing w:before="40" w:after="0" w:line="180" w:lineRule="exact"/>
              <w:jc w:val="left"/>
              <w:rPr>
                <w:rStyle w:val="PageNumber"/>
                <w:sz w:val="16"/>
              </w:rPr>
            </w:pPr>
            <w:r>
              <w:rPr>
                <w:rStyle w:val="PageNumber"/>
                <w:sz w:val="16"/>
              </w:rPr>
              <w:t>Диплом/</w:t>
            </w:r>
          </w:p>
          <w:p w:rsidR="00000000" w:rsidRDefault="00000000">
            <w:pPr>
              <w:spacing w:after="40" w:line="180" w:lineRule="exact"/>
              <w:jc w:val="left"/>
              <w:rPr>
                <w:rStyle w:val="PageNumber"/>
                <w:sz w:val="16"/>
              </w:rPr>
            </w:pPr>
            <w:r>
              <w:rPr>
                <w:rStyle w:val="PageNumber"/>
                <w:sz w:val="16"/>
              </w:rPr>
              <w:t>начальная подготовка</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57"/>
              <w:jc w:val="right"/>
              <w:rPr>
                <w:rStyle w:val="PageNumber"/>
                <w:sz w:val="16"/>
              </w:rPr>
            </w:pPr>
            <w:r>
              <w:rPr>
                <w:rStyle w:val="PageNumber"/>
                <w:sz w:val="16"/>
              </w:rPr>
              <w:t>1 178</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 xml:space="preserve">61 </w:t>
            </w:r>
          </w:p>
          <w:p w:rsidR="00000000" w:rsidRDefault="00000000">
            <w:pPr>
              <w:spacing w:before="40" w:after="40" w:line="180" w:lineRule="exact"/>
              <w:jc w:val="center"/>
              <w:rPr>
                <w:rStyle w:val="PageNumber"/>
                <w:sz w:val="16"/>
              </w:rPr>
            </w:pPr>
            <w:r>
              <w:rPr>
                <w:rStyle w:val="PageNumber"/>
                <w:sz w:val="16"/>
              </w:rPr>
              <w:t>5,1%</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57"/>
              <w:jc w:val="right"/>
              <w:rPr>
                <w:rStyle w:val="PageNumber"/>
                <w:sz w:val="16"/>
              </w:rPr>
            </w:pPr>
            <w:r>
              <w:rPr>
                <w:rStyle w:val="PageNumber"/>
                <w:sz w:val="16"/>
              </w:rPr>
              <w:t>4 218</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rPr>
              <w:t xml:space="preserve">701 </w:t>
            </w:r>
          </w:p>
          <w:p w:rsidR="00000000" w:rsidRDefault="00000000">
            <w:pPr>
              <w:spacing w:before="40" w:after="40" w:line="180" w:lineRule="exact"/>
              <w:jc w:val="center"/>
              <w:rPr>
                <w:rStyle w:val="PageNumber"/>
                <w:sz w:val="16"/>
              </w:rPr>
            </w:pPr>
            <w:r>
              <w:rPr>
                <w:rStyle w:val="PageNumber"/>
                <w:sz w:val="16"/>
              </w:rPr>
              <w:t>16,6%</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left="-57"/>
              <w:jc w:val="right"/>
              <w:rPr>
                <w:rStyle w:val="PageNumber"/>
                <w:sz w:val="16"/>
              </w:rPr>
            </w:pPr>
            <w:r>
              <w:rPr>
                <w:rStyle w:val="PageNumber"/>
                <w:sz w:val="16"/>
              </w:rPr>
              <w:t>4 245</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rPr>
              <w:t xml:space="preserve">1 880 </w:t>
            </w:r>
          </w:p>
          <w:p w:rsidR="00000000" w:rsidRDefault="00000000">
            <w:pPr>
              <w:spacing w:before="40" w:after="40" w:line="180" w:lineRule="exact"/>
              <w:jc w:val="center"/>
              <w:rPr>
                <w:rStyle w:val="PageNumber"/>
                <w:sz w:val="16"/>
              </w:rPr>
            </w:pPr>
            <w:r>
              <w:rPr>
                <w:rStyle w:val="PageNumber"/>
                <w:sz w:val="16"/>
              </w:rPr>
              <w:t>44,3%</w:t>
            </w:r>
          </w:p>
        </w:tc>
        <w:tc>
          <w:tcPr>
            <w:tcW w:w="8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170"/>
              <w:jc w:val="right"/>
              <w:rPr>
                <w:rStyle w:val="PageNumber"/>
                <w:sz w:val="16"/>
              </w:rPr>
            </w:pPr>
            <w:r>
              <w:rPr>
                <w:rStyle w:val="PageNumber"/>
                <w:sz w:val="16"/>
              </w:rPr>
              <w:t>2 642</w:t>
            </w:r>
          </w:p>
        </w:tc>
      </w:tr>
      <w:tr w:rsidR="00000000">
        <w:tblPrEx>
          <w:tblCellMar>
            <w:top w:w="0" w:type="dxa"/>
            <w:bottom w:w="0" w:type="dxa"/>
          </w:tblCellMar>
        </w:tblPrEx>
        <w:trPr>
          <w:trHeight w:val="20"/>
        </w:trPr>
        <w:tc>
          <w:tcPr>
            <w:tcW w:w="102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left"/>
              <w:rPr>
                <w:rStyle w:val="PageNumber"/>
                <w:sz w:val="16"/>
              </w:rPr>
            </w:pPr>
            <w:r>
              <w:rPr>
                <w:rStyle w:val="PageNumber"/>
                <w:sz w:val="16"/>
              </w:rPr>
              <w:t>ДПТ</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lang w:val="en-US"/>
              </w:rPr>
              <w:t>–</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lang w:val="en-US"/>
              </w:rPr>
              <w:t>–</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lang w:val="en-US"/>
              </w:rPr>
              <w:t>–</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lang w:val="en-US"/>
              </w:rPr>
              <w:t>–</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lang w:val="en-US"/>
              </w:rPr>
              <w:t>–</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lang w:val="en-US"/>
              </w:rPr>
              <w:t>–</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57"/>
              <w:jc w:val="right"/>
              <w:rPr>
                <w:rStyle w:val="PageNumber"/>
                <w:sz w:val="16"/>
              </w:rPr>
            </w:pPr>
            <w:r>
              <w:rPr>
                <w:rStyle w:val="PageNumber"/>
                <w:sz w:val="16"/>
              </w:rPr>
              <w:t>1 178</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rPr>
              <w:t xml:space="preserve">392 </w:t>
            </w:r>
          </w:p>
          <w:p w:rsidR="00000000" w:rsidRDefault="00000000">
            <w:pPr>
              <w:spacing w:before="40" w:after="40" w:line="180" w:lineRule="exact"/>
              <w:jc w:val="center"/>
              <w:rPr>
                <w:rStyle w:val="PageNumber"/>
                <w:sz w:val="16"/>
              </w:rPr>
            </w:pPr>
            <w:r>
              <w:rPr>
                <w:rStyle w:val="PageNumber"/>
                <w:sz w:val="16"/>
              </w:rPr>
              <w:t>33,8%</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57"/>
              <w:jc w:val="right"/>
              <w:rPr>
                <w:rStyle w:val="PageNumber"/>
                <w:sz w:val="16"/>
              </w:rPr>
            </w:pPr>
            <w:r>
              <w:rPr>
                <w:rStyle w:val="PageNumber"/>
                <w:sz w:val="16"/>
              </w:rPr>
              <w:t>1 306</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rPr>
              <w:t xml:space="preserve">473 </w:t>
            </w:r>
          </w:p>
          <w:p w:rsidR="00000000" w:rsidRDefault="00000000">
            <w:pPr>
              <w:spacing w:before="40" w:after="40" w:line="180" w:lineRule="exact"/>
              <w:jc w:val="center"/>
              <w:rPr>
                <w:rStyle w:val="PageNumber"/>
                <w:sz w:val="16"/>
              </w:rPr>
            </w:pPr>
            <w:r>
              <w:rPr>
                <w:rStyle w:val="PageNumber"/>
                <w:sz w:val="16"/>
              </w:rPr>
              <w:t>36,2%</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left="-57"/>
              <w:jc w:val="right"/>
              <w:rPr>
                <w:rStyle w:val="PageNumber"/>
                <w:sz w:val="16"/>
              </w:rPr>
            </w:pPr>
            <w:r>
              <w:rPr>
                <w:rStyle w:val="PageNumber"/>
                <w:sz w:val="16"/>
              </w:rPr>
              <w:t>6 051</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1 609</w:t>
            </w:r>
          </w:p>
          <w:p w:rsidR="00000000" w:rsidRDefault="00000000">
            <w:pPr>
              <w:spacing w:before="40" w:after="40" w:line="180" w:lineRule="exact"/>
              <w:jc w:val="center"/>
              <w:rPr>
                <w:rStyle w:val="PageNumber"/>
                <w:sz w:val="16"/>
              </w:rPr>
            </w:pPr>
            <w:r>
              <w:rPr>
                <w:rStyle w:val="PageNumber"/>
                <w:sz w:val="16"/>
              </w:rPr>
              <w:t>26,6%</w:t>
            </w:r>
          </w:p>
        </w:tc>
        <w:tc>
          <w:tcPr>
            <w:tcW w:w="8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170"/>
              <w:jc w:val="right"/>
              <w:rPr>
                <w:rStyle w:val="PageNumber"/>
                <w:sz w:val="16"/>
              </w:rPr>
            </w:pPr>
            <w:r>
              <w:rPr>
                <w:rStyle w:val="PageNumber"/>
                <w:sz w:val="16"/>
              </w:rPr>
              <w:t>2 642</w:t>
            </w:r>
          </w:p>
        </w:tc>
      </w:tr>
      <w:tr w:rsidR="00000000">
        <w:tblPrEx>
          <w:tblCellMar>
            <w:top w:w="0" w:type="dxa"/>
            <w:bottom w:w="0" w:type="dxa"/>
          </w:tblCellMar>
        </w:tblPrEx>
        <w:trPr>
          <w:trHeight w:val="20"/>
        </w:trPr>
        <w:tc>
          <w:tcPr>
            <w:tcW w:w="102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left"/>
              <w:rPr>
                <w:rStyle w:val="PageNumber"/>
                <w:sz w:val="16"/>
              </w:rPr>
            </w:pPr>
            <w:r>
              <w:rPr>
                <w:rStyle w:val="PageNumber"/>
                <w:sz w:val="16"/>
              </w:rPr>
              <w:t>ДТВК</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lang w:val="en-US"/>
              </w:rPr>
              <w:t>–</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lang w:val="en-US"/>
              </w:rPr>
              <w:t>–</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lang w:val="en-US"/>
              </w:rPr>
              <w:t>–</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lang w:val="en-US"/>
              </w:rPr>
              <w:t>–</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lang w:val="en-US"/>
              </w:rPr>
              <w:t>–</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lang w:val="en-US"/>
              </w:rPr>
              <w:t>–</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57"/>
              <w:jc w:val="right"/>
              <w:rPr>
                <w:rStyle w:val="PageNumber"/>
                <w:sz w:val="16"/>
              </w:rPr>
            </w:pPr>
            <w:r>
              <w:rPr>
                <w:rStyle w:val="PageNumber"/>
                <w:sz w:val="16"/>
              </w:rPr>
              <w:t>40</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24</w:t>
            </w:r>
          </w:p>
          <w:p w:rsidR="00000000" w:rsidRDefault="00000000">
            <w:pPr>
              <w:spacing w:before="40" w:after="40" w:line="180" w:lineRule="exact"/>
              <w:jc w:val="center"/>
              <w:rPr>
                <w:rStyle w:val="PageNumber"/>
                <w:sz w:val="16"/>
              </w:rPr>
            </w:pPr>
            <w:r>
              <w:rPr>
                <w:rStyle w:val="PageNumber"/>
                <w:sz w:val="16"/>
              </w:rPr>
              <w:t>60%</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57"/>
              <w:jc w:val="right"/>
              <w:rPr>
                <w:rStyle w:val="PageNumber"/>
                <w:sz w:val="16"/>
              </w:rPr>
            </w:pPr>
            <w:r>
              <w:rPr>
                <w:rStyle w:val="PageNumber"/>
                <w:sz w:val="16"/>
              </w:rPr>
              <w:t>297</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rPr>
              <w:t xml:space="preserve">142 </w:t>
            </w:r>
          </w:p>
          <w:p w:rsidR="00000000" w:rsidRDefault="00000000">
            <w:pPr>
              <w:spacing w:before="40" w:after="40" w:line="180" w:lineRule="exact"/>
              <w:jc w:val="center"/>
              <w:rPr>
                <w:rStyle w:val="PageNumber"/>
                <w:sz w:val="16"/>
              </w:rPr>
            </w:pPr>
            <w:r>
              <w:rPr>
                <w:rStyle w:val="PageNumber"/>
                <w:sz w:val="16"/>
              </w:rPr>
              <w:t>47,8%</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left="-57"/>
              <w:jc w:val="right"/>
              <w:rPr>
                <w:rStyle w:val="PageNumber"/>
                <w:sz w:val="16"/>
              </w:rPr>
            </w:pPr>
            <w:r>
              <w:rPr>
                <w:rStyle w:val="PageNumber"/>
                <w:sz w:val="16"/>
              </w:rPr>
              <w:t>556</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lang w:val="en-US"/>
              </w:rPr>
            </w:pPr>
            <w:r>
              <w:rPr>
                <w:rStyle w:val="PageNumber"/>
                <w:sz w:val="16"/>
              </w:rPr>
              <w:t xml:space="preserve">237 </w:t>
            </w:r>
          </w:p>
          <w:p w:rsidR="00000000" w:rsidRDefault="00000000">
            <w:pPr>
              <w:spacing w:before="40" w:after="40" w:line="180" w:lineRule="exact"/>
              <w:jc w:val="center"/>
              <w:rPr>
                <w:rStyle w:val="PageNumber"/>
                <w:sz w:val="16"/>
              </w:rPr>
            </w:pPr>
            <w:r>
              <w:rPr>
                <w:rStyle w:val="PageNumber"/>
                <w:sz w:val="16"/>
              </w:rPr>
              <w:t>42,6%</w:t>
            </w:r>
          </w:p>
        </w:tc>
        <w:tc>
          <w:tcPr>
            <w:tcW w:w="8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170"/>
              <w:jc w:val="right"/>
              <w:rPr>
                <w:rStyle w:val="PageNumber"/>
                <w:sz w:val="16"/>
              </w:rPr>
            </w:pPr>
            <w:r>
              <w:rPr>
                <w:rStyle w:val="PageNumber"/>
                <w:sz w:val="16"/>
              </w:rPr>
              <w:t>403</w:t>
            </w:r>
          </w:p>
        </w:tc>
      </w:tr>
      <w:tr w:rsidR="00000000">
        <w:tblPrEx>
          <w:tblCellMar>
            <w:top w:w="0" w:type="dxa"/>
            <w:bottom w:w="0" w:type="dxa"/>
          </w:tblCellMar>
        </w:tblPrEx>
        <w:trPr>
          <w:trHeight w:val="20"/>
        </w:trPr>
        <w:tc>
          <w:tcPr>
            <w:tcW w:w="102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left"/>
              <w:rPr>
                <w:rStyle w:val="PageNumber"/>
                <w:b/>
                <w:sz w:val="16"/>
              </w:rPr>
            </w:pPr>
            <w:r>
              <w:rPr>
                <w:rStyle w:val="PageNumber"/>
                <w:b/>
                <w:sz w:val="16"/>
              </w:rPr>
              <w:t>ИТОГО</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5 683</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926</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6 719</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1 141</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5 630</w:t>
            </w: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1 320</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57"/>
              <w:jc w:val="right"/>
              <w:rPr>
                <w:rStyle w:val="PageNumber"/>
                <w:b/>
                <w:sz w:val="16"/>
              </w:rPr>
            </w:pPr>
            <w:r>
              <w:rPr>
                <w:rStyle w:val="PageNumber"/>
                <w:b/>
                <w:sz w:val="16"/>
              </w:rPr>
              <w:t>5 487</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1 140</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57"/>
              <w:jc w:val="right"/>
              <w:rPr>
                <w:rStyle w:val="PageNumber"/>
                <w:b/>
                <w:sz w:val="16"/>
              </w:rPr>
            </w:pPr>
            <w:r>
              <w:rPr>
                <w:rStyle w:val="PageNumber"/>
                <w:b/>
                <w:sz w:val="16"/>
              </w:rPr>
              <w:t>5 245</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1 531</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left="-57"/>
              <w:jc w:val="right"/>
              <w:rPr>
                <w:rStyle w:val="PageNumber"/>
                <w:b/>
                <w:sz w:val="16"/>
              </w:rPr>
            </w:pPr>
            <w:r>
              <w:rPr>
                <w:rStyle w:val="PageNumber"/>
                <w:b/>
                <w:sz w:val="16"/>
              </w:rPr>
              <w:t>13 024</w:t>
            </w: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b/>
                <w:sz w:val="16"/>
              </w:rPr>
            </w:pPr>
            <w:r>
              <w:rPr>
                <w:rStyle w:val="PageNumber"/>
                <w:b/>
                <w:sz w:val="16"/>
              </w:rPr>
              <w:t>3 727</w:t>
            </w:r>
          </w:p>
        </w:tc>
        <w:tc>
          <w:tcPr>
            <w:tcW w:w="8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170"/>
              <w:jc w:val="right"/>
              <w:rPr>
                <w:rStyle w:val="PageNumber"/>
                <w:b/>
                <w:sz w:val="16"/>
              </w:rPr>
            </w:pPr>
            <w:r>
              <w:rPr>
                <w:rStyle w:val="PageNumber"/>
                <w:b/>
                <w:sz w:val="16"/>
              </w:rPr>
              <w:t>9 785</w:t>
            </w:r>
          </w:p>
        </w:tc>
      </w:tr>
      <w:tr w:rsidR="00000000">
        <w:tblPrEx>
          <w:tblCellMar>
            <w:top w:w="0" w:type="dxa"/>
            <w:bottom w:w="0" w:type="dxa"/>
          </w:tblCellMar>
        </w:tblPrEx>
        <w:trPr>
          <w:trHeight w:val="20"/>
        </w:trPr>
        <w:tc>
          <w:tcPr>
            <w:tcW w:w="102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left"/>
              <w:rPr>
                <w:rStyle w:val="PageNumber"/>
                <w:sz w:val="16"/>
              </w:rPr>
            </w:pPr>
            <w:r>
              <w:rPr>
                <w:rStyle w:val="PageNumber"/>
                <w:sz w:val="16"/>
              </w:rPr>
              <w:t>% дипломов</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16,3</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16,98</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p>
        </w:tc>
        <w:tc>
          <w:tcPr>
            <w:tcW w:w="748"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23,44</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57"/>
              <w:jc w:val="right"/>
              <w:rPr>
                <w:rStyle w:val="PageNumber"/>
                <w:sz w:val="16"/>
              </w:rPr>
            </w:pP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20,77</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57"/>
              <w:jc w:val="right"/>
              <w:rPr>
                <w:rStyle w:val="PageNumber"/>
                <w:sz w:val="16"/>
              </w:rPr>
            </w:pP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24,51</w:t>
            </w:r>
          </w:p>
        </w:tc>
        <w:tc>
          <w:tcPr>
            <w:tcW w:w="51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left="-57"/>
              <w:jc w:val="right"/>
              <w:rPr>
                <w:rStyle w:val="PageNumber"/>
                <w:sz w:val="16"/>
              </w:rPr>
            </w:pPr>
          </w:p>
        </w:tc>
        <w:tc>
          <w:tcPr>
            <w:tcW w:w="80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jc w:val="center"/>
              <w:rPr>
                <w:rStyle w:val="PageNumber"/>
                <w:sz w:val="16"/>
              </w:rPr>
            </w:pPr>
            <w:r>
              <w:rPr>
                <w:rStyle w:val="PageNumber"/>
                <w:sz w:val="16"/>
              </w:rPr>
              <w:t>30,44</w:t>
            </w:r>
          </w:p>
        </w:tc>
        <w:tc>
          <w:tcPr>
            <w:tcW w:w="85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180" w:lineRule="exact"/>
              <w:ind w:right="170"/>
              <w:jc w:val="right"/>
              <w:rPr>
                <w:rStyle w:val="PageNumber"/>
                <w:sz w:val="16"/>
              </w:rPr>
            </w:pPr>
          </w:p>
        </w:tc>
      </w:tr>
    </w:tbl>
    <w:p w:rsidR="00000000" w:rsidRDefault="00000000">
      <w:pPr>
        <w:spacing w:before="40" w:after="0" w:line="200" w:lineRule="exact"/>
        <w:jc w:val="right"/>
        <w:rPr>
          <w:rStyle w:val="PageNumber"/>
          <w:b/>
          <w:sz w:val="16"/>
        </w:rPr>
      </w:pPr>
      <w:r>
        <w:rPr>
          <w:rStyle w:val="PageNumber"/>
          <w:b/>
          <w:sz w:val="16"/>
        </w:rPr>
        <w:t>Источник: МППЗ</w:t>
      </w:r>
    </w:p>
    <w:p w:rsidR="00000000" w:rsidRDefault="00000000">
      <w:pPr>
        <w:rPr>
          <w:rStyle w:val="PageNumber"/>
        </w:rPr>
      </w:pPr>
      <w:r>
        <w:rPr>
          <w:rStyle w:val="PageNumber"/>
        </w:rPr>
        <w:t>647.</w:t>
      </w:r>
      <w:r>
        <w:rPr>
          <w:rStyle w:val="PageNumber"/>
        </w:rPr>
        <w:tab/>
        <w:t>Из таблицы, выше, следует, что число получивших дипломы девушек за период с 1992 по 1997 год по всем категориям дипломов достигло 9785 человек. Из получивших дипломы в 1997 году 26,6 процента составляли девушки, получившие дипломы профессиональных техников (ДПТ), 42,6 процента – получившие дипломы техников высшей квалификации (ДТВК) и 44,3 процента – дипломы профессиональной подготовки (ДПП).</w:t>
      </w:r>
    </w:p>
    <w:p w:rsidR="00000000" w:rsidRDefault="00000000">
      <w:pPr>
        <w:rPr>
          <w:rStyle w:val="PageNumber"/>
        </w:rPr>
      </w:pPr>
      <w:r>
        <w:rPr>
          <w:rStyle w:val="PageNumber"/>
        </w:rPr>
        <w:t>648.</w:t>
      </w:r>
      <w:r>
        <w:rPr>
          <w:rStyle w:val="PageNumber"/>
        </w:rPr>
        <w:tab/>
        <w:t>Процентная доля дипломированных специалистов-девушек выросла с 16,3 процента в 1992 году до 30,44 процента в 1997 году.</w:t>
      </w:r>
    </w:p>
    <w:p w:rsidR="00000000" w:rsidRDefault="00000000">
      <w:pPr>
        <w:rPr>
          <w:rStyle w:val="PageNumber"/>
        </w:rPr>
      </w:pPr>
      <w:r>
        <w:rPr>
          <w:rStyle w:val="PageNumber"/>
        </w:rPr>
        <w:t>649.</w:t>
      </w:r>
      <w:r>
        <w:rPr>
          <w:rStyle w:val="PageNumber"/>
        </w:rPr>
        <w:tab/>
        <w:t>Следует также отметить, что доля девочек, проходящих начальную подготовку, значительно увеличивается в учебных заведениях, находящихся в ведении Министерства профессиональной подготовки и занятости (МППЗ).</w:t>
      </w:r>
    </w:p>
    <w:p w:rsidR="00000000" w:rsidRDefault="00000000">
      <w:pPr>
        <w:spacing w:after="180"/>
        <w:jc w:val="center"/>
        <w:rPr>
          <w:rStyle w:val="PageNumber"/>
          <w:b/>
        </w:rPr>
      </w:pPr>
      <w:r>
        <w:rPr>
          <w:rStyle w:val="PageNumber"/>
          <w:b/>
        </w:rPr>
        <w:t>Рост контингента обучающихся в подведомственных МППЗ учебных заведениях</w:t>
      </w:r>
    </w:p>
    <w:tbl>
      <w:tblPr>
        <w:tblW w:w="0" w:type="auto"/>
        <w:jc w:val="center"/>
        <w:tblLayout w:type="fixed"/>
        <w:tblCellMar>
          <w:left w:w="40" w:type="dxa"/>
          <w:right w:w="40" w:type="dxa"/>
        </w:tblCellMar>
        <w:tblLook w:val="0000" w:firstRow="0" w:lastRow="0" w:firstColumn="0" w:lastColumn="0" w:noHBand="0" w:noVBand="0"/>
      </w:tblPr>
      <w:tblGrid>
        <w:gridCol w:w="1699"/>
        <w:gridCol w:w="850"/>
        <w:gridCol w:w="851"/>
        <w:gridCol w:w="851"/>
        <w:gridCol w:w="851"/>
        <w:gridCol w:w="851"/>
        <w:gridCol w:w="851"/>
      </w:tblGrid>
      <w:tr w:rsidR="00000000">
        <w:tblPrEx>
          <w:tblCellMar>
            <w:top w:w="0" w:type="dxa"/>
            <w:bottom w:w="0" w:type="dxa"/>
          </w:tblCellMar>
        </w:tblPrEx>
        <w:trPr>
          <w:trHeight w:val="20"/>
          <w:jc w:val="center"/>
        </w:trPr>
        <w:tc>
          <w:tcPr>
            <w:tcW w:w="169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b/>
                <w:sz w:val="18"/>
              </w:rPr>
            </w:pPr>
            <w:r>
              <w:rPr>
                <w:rStyle w:val="PageNumber"/>
                <w:b/>
                <w:sz w:val="18"/>
              </w:rPr>
              <w:t>Год</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1992</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1993</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1994</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1995</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1996</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rStyle w:val="PageNumber"/>
                <w:b/>
                <w:sz w:val="18"/>
              </w:rPr>
            </w:pPr>
            <w:r>
              <w:rPr>
                <w:rStyle w:val="PageNumber"/>
                <w:b/>
                <w:sz w:val="18"/>
              </w:rPr>
              <w:t>1997</w:t>
            </w:r>
          </w:p>
        </w:tc>
      </w:tr>
      <w:tr w:rsidR="00000000">
        <w:tblPrEx>
          <w:tblCellMar>
            <w:top w:w="0" w:type="dxa"/>
            <w:bottom w:w="0" w:type="dxa"/>
          </w:tblCellMar>
        </w:tblPrEx>
        <w:trPr>
          <w:trHeight w:val="20"/>
          <w:jc w:val="center"/>
        </w:trPr>
        <w:tc>
          <w:tcPr>
            <w:tcW w:w="169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sz w:val="18"/>
              </w:rPr>
            </w:pPr>
            <w:r>
              <w:rPr>
                <w:rStyle w:val="PageNumber"/>
                <w:sz w:val="18"/>
              </w:rPr>
              <w:t>Число выпускников</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rStyle w:val="PageNumber"/>
                <w:sz w:val="18"/>
              </w:rPr>
            </w:pPr>
            <w:r>
              <w:rPr>
                <w:rStyle w:val="PageNumber"/>
                <w:sz w:val="18"/>
              </w:rPr>
              <w:t>6 005</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rStyle w:val="PageNumber"/>
                <w:sz w:val="18"/>
              </w:rPr>
            </w:pPr>
            <w:r>
              <w:rPr>
                <w:rStyle w:val="PageNumber"/>
                <w:sz w:val="18"/>
              </w:rPr>
              <w:t>8 484</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rStyle w:val="PageNumber"/>
                <w:sz w:val="18"/>
              </w:rPr>
            </w:pPr>
            <w:r>
              <w:rPr>
                <w:rStyle w:val="PageNumber"/>
                <w:sz w:val="18"/>
              </w:rPr>
              <w:t>9 247</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170"/>
              <w:jc w:val="right"/>
              <w:rPr>
                <w:rStyle w:val="PageNumber"/>
                <w:sz w:val="18"/>
              </w:rPr>
            </w:pPr>
            <w:r>
              <w:rPr>
                <w:rStyle w:val="PageNumber"/>
                <w:sz w:val="18"/>
              </w:rPr>
              <w:t>10 298</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170"/>
              <w:jc w:val="right"/>
              <w:rPr>
                <w:rStyle w:val="PageNumber"/>
                <w:sz w:val="18"/>
              </w:rPr>
            </w:pPr>
            <w:r>
              <w:rPr>
                <w:rStyle w:val="PageNumber"/>
                <w:sz w:val="18"/>
              </w:rPr>
              <w:t>10 300</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170"/>
              <w:jc w:val="right"/>
              <w:rPr>
                <w:rStyle w:val="PageNumber"/>
                <w:sz w:val="18"/>
              </w:rPr>
            </w:pPr>
            <w:r>
              <w:rPr>
                <w:rStyle w:val="PageNumber"/>
                <w:sz w:val="18"/>
              </w:rPr>
              <w:t>12 901</w:t>
            </w:r>
          </w:p>
        </w:tc>
      </w:tr>
      <w:tr w:rsidR="00000000">
        <w:tblPrEx>
          <w:tblCellMar>
            <w:top w:w="0" w:type="dxa"/>
            <w:bottom w:w="0" w:type="dxa"/>
          </w:tblCellMar>
        </w:tblPrEx>
        <w:trPr>
          <w:trHeight w:val="20"/>
          <w:jc w:val="center"/>
        </w:trPr>
        <w:tc>
          <w:tcPr>
            <w:tcW w:w="169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sz w:val="18"/>
              </w:rPr>
            </w:pPr>
            <w:r>
              <w:rPr>
                <w:rStyle w:val="PageNumber"/>
                <w:sz w:val="18"/>
              </w:rPr>
              <w:t>Число девочек</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rStyle w:val="PageNumber"/>
                <w:sz w:val="18"/>
              </w:rPr>
            </w:pPr>
            <w:r>
              <w:rPr>
                <w:rStyle w:val="PageNumber"/>
                <w:sz w:val="18"/>
              </w:rPr>
              <w:t>1 165</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rStyle w:val="PageNumber"/>
                <w:sz w:val="18"/>
              </w:rPr>
            </w:pPr>
            <w:r>
              <w:rPr>
                <w:rStyle w:val="PageNumber"/>
                <w:sz w:val="18"/>
              </w:rPr>
              <w:t>1 933</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rStyle w:val="PageNumber"/>
                <w:sz w:val="18"/>
              </w:rPr>
            </w:pPr>
            <w:r>
              <w:rPr>
                <w:rStyle w:val="PageNumber"/>
                <w:sz w:val="18"/>
              </w:rPr>
              <w:t>2 010</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170"/>
              <w:jc w:val="right"/>
              <w:rPr>
                <w:rStyle w:val="PageNumber"/>
                <w:sz w:val="18"/>
              </w:rPr>
            </w:pPr>
            <w:r>
              <w:rPr>
                <w:rStyle w:val="PageNumber"/>
                <w:sz w:val="18"/>
              </w:rPr>
              <w:t>2 815</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170"/>
              <w:jc w:val="right"/>
              <w:rPr>
                <w:rStyle w:val="PageNumber"/>
                <w:sz w:val="18"/>
              </w:rPr>
            </w:pPr>
            <w:r>
              <w:rPr>
                <w:rStyle w:val="PageNumber"/>
                <w:sz w:val="18"/>
              </w:rPr>
              <w:t>3 193</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170"/>
              <w:jc w:val="right"/>
              <w:rPr>
                <w:rStyle w:val="PageNumber"/>
                <w:sz w:val="18"/>
              </w:rPr>
            </w:pPr>
            <w:r>
              <w:rPr>
                <w:rStyle w:val="PageNumber"/>
                <w:sz w:val="18"/>
              </w:rPr>
              <w:t>4 063</w:t>
            </w:r>
          </w:p>
        </w:tc>
      </w:tr>
      <w:tr w:rsidR="00000000">
        <w:tblPrEx>
          <w:tblCellMar>
            <w:top w:w="0" w:type="dxa"/>
            <w:bottom w:w="0" w:type="dxa"/>
          </w:tblCellMar>
        </w:tblPrEx>
        <w:trPr>
          <w:trHeight w:val="20"/>
          <w:jc w:val="center"/>
        </w:trPr>
        <w:tc>
          <w:tcPr>
            <w:tcW w:w="169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rStyle w:val="PageNumber"/>
                <w:sz w:val="18"/>
              </w:rPr>
            </w:pPr>
            <w:r>
              <w:rPr>
                <w:rStyle w:val="PageNumber"/>
                <w:sz w:val="18"/>
              </w:rPr>
              <w:t>Процентная доля</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rStyle w:val="PageNumber"/>
                <w:sz w:val="18"/>
              </w:rPr>
            </w:pPr>
            <w:r>
              <w:rPr>
                <w:rStyle w:val="PageNumber"/>
                <w:sz w:val="18"/>
              </w:rPr>
              <w:t>19,4</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rStyle w:val="PageNumber"/>
                <w:sz w:val="18"/>
              </w:rPr>
            </w:pPr>
            <w:r>
              <w:rPr>
                <w:rStyle w:val="PageNumber"/>
                <w:sz w:val="18"/>
              </w:rPr>
              <w:t>22,8</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227"/>
              <w:jc w:val="right"/>
              <w:rPr>
                <w:rStyle w:val="PageNumber"/>
                <w:sz w:val="18"/>
              </w:rPr>
            </w:pPr>
            <w:r>
              <w:rPr>
                <w:rStyle w:val="PageNumber"/>
                <w:sz w:val="18"/>
              </w:rPr>
              <w:t>21,7</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170"/>
              <w:jc w:val="right"/>
              <w:rPr>
                <w:rStyle w:val="PageNumber"/>
                <w:sz w:val="18"/>
              </w:rPr>
            </w:pPr>
            <w:r>
              <w:rPr>
                <w:rStyle w:val="PageNumber"/>
                <w:sz w:val="18"/>
              </w:rPr>
              <w:t>27,3</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170"/>
              <w:jc w:val="right"/>
              <w:rPr>
                <w:rStyle w:val="PageNumber"/>
                <w:sz w:val="18"/>
              </w:rPr>
            </w:pPr>
            <w:r>
              <w:rPr>
                <w:rStyle w:val="PageNumber"/>
                <w:sz w:val="18"/>
              </w:rPr>
              <w:t>31</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ind w:right="170"/>
              <w:jc w:val="right"/>
              <w:rPr>
                <w:rStyle w:val="PageNumber"/>
                <w:sz w:val="18"/>
              </w:rPr>
            </w:pPr>
            <w:r>
              <w:rPr>
                <w:rStyle w:val="PageNumber"/>
                <w:sz w:val="18"/>
              </w:rPr>
              <w:t>31,5</w:t>
            </w:r>
          </w:p>
        </w:tc>
      </w:tr>
    </w:tbl>
    <w:p w:rsidR="00000000" w:rsidRDefault="00000000">
      <w:pPr>
        <w:spacing w:before="80" w:line="220" w:lineRule="exact"/>
        <w:ind w:right="1423"/>
        <w:jc w:val="right"/>
        <w:rPr>
          <w:rStyle w:val="PageNumber"/>
          <w:b/>
          <w:sz w:val="18"/>
        </w:rPr>
      </w:pPr>
      <w:r>
        <w:rPr>
          <w:rStyle w:val="PageNumber"/>
          <w:b/>
          <w:sz w:val="18"/>
        </w:rPr>
        <w:t>Источник: МППЗ</w:t>
      </w:r>
    </w:p>
    <w:p w:rsidR="00000000" w:rsidRDefault="00000000">
      <w:pPr>
        <w:rPr>
          <w:rStyle w:val="PageNumber"/>
        </w:rPr>
      </w:pPr>
      <w:r>
        <w:rPr>
          <w:rStyle w:val="PageNumber"/>
        </w:rPr>
        <w:t>650.</w:t>
      </w:r>
      <w:r>
        <w:rPr>
          <w:rStyle w:val="PageNumber"/>
        </w:rPr>
        <w:tab/>
        <w:t>Необходимо отметить также, что частные учебные заведения обслуживают главным образом, предприятия сферы услуг (информатика, оргтехника, бухгалтерское дело, кройка и шитье, парикмахерское дело). Сертификация этих дипломов связана с соблюдением специальных требований, предъявляемых к программам профессиональной подготовки, к уровню преподавательского состава и к качеству используемого учебного оборудования. Женщины занимают значительное место в этом секторе подготовки, который располагает юридической базой, позволяющей организовать, поддерживать и контролировать подготовку учащихся.</w:t>
      </w:r>
    </w:p>
    <w:p w:rsidR="00000000" w:rsidRDefault="00000000">
      <w:pPr>
        <w:rPr>
          <w:rStyle w:val="PageNumber"/>
        </w:rPr>
      </w:pPr>
      <w:r>
        <w:rPr>
          <w:rStyle w:val="PageNumber"/>
        </w:rPr>
        <w:t>651.</w:t>
      </w:r>
      <w:r>
        <w:rPr>
          <w:rStyle w:val="PageNumber"/>
        </w:rPr>
        <w:tab/>
        <w:t>Девочек в большей степени привлекает тот уровень, где подготовка в основном базируется на овладении технологией и навыками работы с передовой техникой.</w:t>
      </w:r>
    </w:p>
    <w:p w:rsidR="00000000" w:rsidRDefault="00000000">
      <w:pPr>
        <w:rPr>
          <w:rStyle w:val="PageNumber"/>
          <w:spacing w:val="-2"/>
        </w:rPr>
      </w:pPr>
      <w:r>
        <w:rPr>
          <w:rStyle w:val="PageNumber"/>
          <w:spacing w:val="-2"/>
        </w:rPr>
        <w:t>652.</w:t>
      </w:r>
      <w:r>
        <w:rPr>
          <w:rStyle w:val="PageNumber"/>
          <w:spacing w:val="-2"/>
        </w:rPr>
        <w:tab/>
        <w:t xml:space="preserve">Доступ девочек к некоторым квалифицированным профессиям — это особенность сегодняшнего дня. Благодаря усилиям по ориентации, которые прилагает МППЗ в сотрудничестве со средствами массовой информации, девочки выбирают новые виды специализации, основанные на овладении технологиями и передовой техникой, как, например, электроника и электротехника (12,75 процента), компьютерная графика, машиностроение и металлообработка (5,44 процента), техническое обслуживание оборудования </w:t>
      </w:r>
      <w:r>
        <w:rPr>
          <w:rStyle w:val="PageNumber"/>
          <w:spacing w:val="-2"/>
        </w:rPr>
        <w:br/>
        <w:t>(1,41 процента), кожевенное и обувное производство (25,05 процента). В их выборе по-прежнему значительное место занимают такие классические отрасли, как текстильное производство, оргтехника и сфера услуг.</w:t>
      </w:r>
    </w:p>
    <w:p w:rsidR="00000000" w:rsidRDefault="00000000">
      <w:pPr>
        <w:rPr>
          <w:rStyle w:val="PageNumber"/>
        </w:rPr>
      </w:pPr>
      <w:r>
        <w:rPr>
          <w:rStyle w:val="PageNumber"/>
        </w:rPr>
        <w:t>653.</w:t>
      </w:r>
      <w:r>
        <w:rPr>
          <w:rStyle w:val="PageNumber"/>
        </w:rPr>
        <w:tab/>
        <w:t>Такое положение вещей потребовало привлечь к руководству специалистов в области технических наук, что вызвало необходимость приглашать на педагогическую работу новое поколение преподавателей из числа инженеров и технических специалистов высшей квалификации, в том числе женщин; из общего числа технически грамотного педагогического и административно-управленческого состава 30 процентов составляют женщины.</w:t>
      </w:r>
    </w:p>
    <w:p w:rsidR="00000000" w:rsidRDefault="00000000">
      <w:pPr>
        <w:spacing w:before="120" w:line="260" w:lineRule="exact"/>
        <w:rPr>
          <w:rStyle w:val="PageNumber"/>
          <w:b/>
          <w:sz w:val="22"/>
        </w:rPr>
      </w:pPr>
      <w:r>
        <w:rPr>
          <w:rStyle w:val="PageNumber"/>
          <w:b/>
          <w:sz w:val="22"/>
        </w:rPr>
        <w:t>VI.4.</w:t>
      </w:r>
      <w:r>
        <w:rPr>
          <w:rStyle w:val="PageNumber"/>
          <w:b/>
          <w:sz w:val="22"/>
        </w:rPr>
        <w:tab/>
        <w:t>Содействие профессиональной подготовке девушек из сельских районов</w:t>
      </w:r>
    </w:p>
    <w:p w:rsidR="00000000" w:rsidRDefault="00000000">
      <w:pPr>
        <w:rPr>
          <w:rStyle w:val="PageNumber"/>
          <w:spacing w:val="-4"/>
        </w:rPr>
      </w:pPr>
      <w:r>
        <w:rPr>
          <w:rStyle w:val="PageNumber"/>
        </w:rPr>
        <w:t>654.</w:t>
      </w:r>
      <w:r>
        <w:rPr>
          <w:rStyle w:val="PageNumber"/>
        </w:rPr>
        <w:tab/>
      </w:r>
      <w:r>
        <w:rPr>
          <w:rStyle w:val="PageNumber"/>
          <w:spacing w:val="-4"/>
        </w:rPr>
        <w:t>В рамках реформы системы профессиональной подготовки были модернизированы 13 находящихся в ведении МППЗ центров для девушек, проживающих в сельской местности, чтобы они отвечали особым требованиям их профессиональной подготовки и способствовали их интеграции в активную экономическую жизнь.</w:t>
      </w:r>
    </w:p>
    <w:p w:rsidR="00000000" w:rsidRDefault="00000000">
      <w:pPr>
        <w:spacing w:after="180"/>
        <w:rPr>
          <w:rStyle w:val="PageNumber"/>
        </w:rPr>
      </w:pPr>
      <w:r>
        <w:rPr>
          <w:rStyle w:val="PageNumber"/>
        </w:rPr>
        <w:t>655.</w:t>
      </w:r>
      <w:r>
        <w:rPr>
          <w:rStyle w:val="PageNumber"/>
        </w:rPr>
        <w:tab/>
        <w:t>Стратегия укрепления центров для девушек, проживающих в сельской местности, уже в 1992 году была включена в V</w:t>
      </w:r>
      <w:r>
        <w:rPr>
          <w:rStyle w:val="PageNumber"/>
          <w:lang w:val="en-US"/>
        </w:rPr>
        <w:t>III</w:t>
      </w:r>
      <w:r>
        <w:rPr>
          <w:rStyle w:val="PageNumber"/>
        </w:rPr>
        <w:t xml:space="preserve"> план развития, в ходе которого она осуществлялась, с тем чтобы гарантировать улучшение положения девушек, проживающих в сельской местности, путем обеспечения для них квалифицированной профессиональной подготовки. Эта стратегия вписывается в рамки нового подхода к профессиональной подготовке женщин, в результате которого эта подготовка становится не только средством социальной адаптации женщин, но и инструментом их вовлечения в динамику экономической жизни. Были достигнуты ощутимые количественные и качественные результаты в организации и осуществлении такой подготовки.</w:t>
      </w:r>
    </w:p>
    <w:p w:rsidR="00000000" w:rsidRDefault="00000000">
      <w:pPr>
        <w:spacing w:after="180"/>
        <w:rPr>
          <w:rStyle w:val="PageNumber"/>
        </w:rPr>
      </w:pPr>
      <w:r>
        <w:rPr>
          <w:rStyle w:val="PageNumber"/>
        </w:rPr>
        <w:t>656.</w:t>
      </w:r>
      <w:r>
        <w:rPr>
          <w:rStyle w:val="PageNumber"/>
        </w:rPr>
        <w:tab/>
        <w:t xml:space="preserve">В этих центрах была организована и осуществляется подготовка по созданию предприятий и предпринимательству (ПСПП) с целью воспитания в духе предпринимательства и поощрения к созданию микропредприятий. Для этого была разработана специальная методика преподавания, рассчитанная на неграмотных девочек и тех девочек, которые преждевременно бросили школу. Вследствие этого появились различные учебники и учебные пособия по всем преподаваемым дисциплинам. В период с 1992 по 1997 год </w:t>
      </w:r>
      <w:r>
        <w:rPr>
          <w:rStyle w:val="PageNumber"/>
        </w:rPr>
        <w:br/>
        <w:t xml:space="preserve">4 тыс. сельских девушек смогли получить такую подготовку. </w:t>
      </w:r>
    </w:p>
    <w:p w:rsidR="00000000" w:rsidRDefault="00000000">
      <w:pPr>
        <w:spacing w:after="180"/>
        <w:rPr>
          <w:rStyle w:val="PageNumber"/>
        </w:rPr>
      </w:pPr>
      <w:r>
        <w:rPr>
          <w:rStyle w:val="PageNumber"/>
        </w:rPr>
        <w:t>657.</w:t>
      </w:r>
      <w:r>
        <w:rPr>
          <w:rStyle w:val="PageNumber"/>
        </w:rPr>
        <w:tab/>
        <w:t>Между МППЗ и несколькими организациями и структурами, которые намерены за собственный счет устраивать этих девушек, были подписаны партнерские соглашения, такие как конвенция о сотрудничестве, подписанная с Тунисским союзом социальной солидарности (ТССС), который помог 60 сельским девушкам создать микропредприятия по скотоводству, овощеводству и пошиву одежды.</w:t>
      </w:r>
    </w:p>
    <w:p w:rsidR="00000000" w:rsidRDefault="00000000">
      <w:pPr>
        <w:spacing w:after="180"/>
        <w:rPr>
          <w:rStyle w:val="PageNumber"/>
        </w:rPr>
      </w:pPr>
      <w:r>
        <w:rPr>
          <w:rStyle w:val="PageNumber"/>
        </w:rPr>
        <w:t>658.</w:t>
      </w:r>
      <w:r>
        <w:rPr>
          <w:rStyle w:val="PageNumber"/>
        </w:rPr>
        <w:tab/>
        <w:t>Созданная в 1999 году новая система микрокредитования, в соответствии с которой Тунисский банк солидарности (ТБС) предоставляет в распоряжение НПО кредитную линию под низкий процент, откроет новые перспективы включения в экономическую жизнь девушек – выпускниц центров для девушек, проживающих в сельской местности.</w:t>
      </w:r>
    </w:p>
    <w:p w:rsidR="00000000" w:rsidRDefault="00000000">
      <w:pPr>
        <w:spacing w:before="120" w:line="260" w:lineRule="exact"/>
        <w:rPr>
          <w:rStyle w:val="PageNumber"/>
          <w:b/>
          <w:sz w:val="22"/>
        </w:rPr>
      </w:pPr>
      <w:r>
        <w:rPr>
          <w:rStyle w:val="PageNumber"/>
          <w:b/>
          <w:sz w:val="22"/>
        </w:rPr>
        <w:t>VI.5.</w:t>
      </w:r>
      <w:r>
        <w:rPr>
          <w:rStyle w:val="PageNumber"/>
          <w:b/>
          <w:sz w:val="22"/>
        </w:rPr>
        <w:tab/>
        <w:t xml:space="preserve">Улучшение положения женщин путем непрерывного профессионального образования </w:t>
      </w:r>
    </w:p>
    <w:p w:rsidR="00000000" w:rsidRDefault="00000000">
      <w:pPr>
        <w:spacing w:after="200"/>
        <w:rPr>
          <w:rStyle w:val="PageNumber"/>
        </w:rPr>
      </w:pPr>
      <w:r>
        <w:rPr>
          <w:rStyle w:val="PageNumber"/>
        </w:rPr>
        <w:t>659.</w:t>
      </w:r>
      <w:r>
        <w:rPr>
          <w:rStyle w:val="PageNumber"/>
        </w:rPr>
        <w:tab/>
        <w:t>Непрерывное профессиональное образование, являющееся одним из основных направлений плана действий в рамках реформы в области профессиональной подготовки, обеспечивается в последние годы либо в форме лекций по профессиональной подготовке, организуемых совместно с заинтересованными предприятиями, либо в форме дневных, вечерних или заочных курсов.</w:t>
      </w:r>
    </w:p>
    <w:p w:rsidR="00000000" w:rsidRDefault="00000000">
      <w:pPr>
        <w:spacing w:after="200"/>
        <w:rPr>
          <w:rStyle w:val="PageNumber"/>
        </w:rPr>
      </w:pPr>
      <w:r>
        <w:rPr>
          <w:rStyle w:val="PageNumber"/>
        </w:rPr>
        <w:t>660.</w:t>
      </w:r>
      <w:r>
        <w:rPr>
          <w:rStyle w:val="PageNumber"/>
        </w:rPr>
        <w:tab/>
        <w:t>Государство к тому же предоставляет ряд преимуществ, таких как полная или частичная оплата расходов на подготовку персонала промышленных, сельскохозяйственных или рыболовецких предприятий, которые вкладывают средства в освоение и развитие технологии или в повышение производительности труда.</w:t>
      </w:r>
    </w:p>
    <w:p w:rsidR="00000000" w:rsidRDefault="00000000">
      <w:pPr>
        <w:spacing w:after="200"/>
        <w:rPr>
          <w:rStyle w:val="PageNumber"/>
        </w:rPr>
      </w:pPr>
      <w:r>
        <w:rPr>
          <w:rStyle w:val="PageNumber"/>
        </w:rPr>
        <w:t>661.</w:t>
      </w:r>
      <w:r>
        <w:rPr>
          <w:rStyle w:val="PageNumber"/>
        </w:rPr>
        <w:tab/>
        <w:t>Помимо этих прерогатив Министерство профессионального образования и занятости оказывает содействие в создании и развитии общих центров предприятий, предоставляя им, в частности, педагогическую помощь.</w:t>
      </w:r>
    </w:p>
    <w:p w:rsidR="00000000" w:rsidRDefault="00000000">
      <w:pPr>
        <w:spacing w:after="200"/>
        <w:rPr>
          <w:rStyle w:val="PageNumber"/>
        </w:rPr>
      </w:pPr>
      <w:r>
        <w:rPr>
          <w:rStyle w:val="PageNumber"/>
        </w:rPr>
        <w:t>662.</w:t>
      </w:r>
      <w:r>
        <w:rPr>
          <w:rStyle w:val="PageNumber"/>
        </w:rPr>
        <w:tab/>
        <w:t>Эти меры прежде всего ориентированы на женщин, которые представляют значительную часть рабочей силы на текстильных предприятиях и в сфере услуг.</w:t>
      </w:r>
    </w:p>
    <w:p w:rsidR="00000000" w:rsidRDefault="00000000">
      <w:pPr>
        <w:spacing w:after="200"/>
        <w:rPr>
          <w:rStyle w:val="PageNumber"/>
        </w:rPr>
      </w:pPr>
      <w:r>
        <w:rPr>
          <w:rStyle w:val="PageNumber"/>
        </w:rPr>
        <w:t>663.</w:t>
      </w:r>
      <w:r>
        <w:rPr>
          <w:rStyle w:val="PageNumber"/>
        </w:rPr>
        <w:tab/>
        <w:t xml:space="preserve">До декабря 1997 года в рамках непрерывного профессионального образования переподготовку прошли всего 67 061 человек, в том числе 12 609 женщин, то есть 18,8 процента, которые распределяются следующим образом: 35,5 процента руководителей старшего звена, 22,6 процента руководителей младшего звена, </w:t>
      </w:r>
      <w:r>
        <w:rPr>
          <w:rStyle w:val="PageNumber"/>
        </w:rPr>
        <w:br/>
        <w:t>41,9 процента работников предприятий.</w:t>
      </w:r>
    </w:p>
    <w:p w:rsidR="00000000" w:rsidRDefault="00000000">
      <w:pPr>
        <w:spacing w:before="240" w:line="240" w:lineRule="auto"/>
        <w:rPr>
          <w:rStyle w:val="PageNumber"/>
          <w:b/>
          <w:sz w:val="28"/>
        </w:rPr>
      </w:pPr>
      <w:r>
        <w:rPr>
          <w:rStyle w:val="PageNumber"/>
          <w:b/>
          <w:sz w:val="28"/>
        </w:rPr>
        <w:t>VII.</w:t>
      </w:r>
      <w:r>
        <w:rPr>
          <w:rStyle w:val="PageNumber"/>
          <w:b/>
          <w:sz w:val="28"/>
        </w:rPr>
        <w:tab/>
        <w:t>Механизмы позитивных действий</w:t>
      </w:r>
    </w:p>
    <w:p w:rsidR="00000000" w:rsidRDefault="00000000">
      <w:pPr>
        <w:spacing w:line="260" w:lineRule="exact"/>
        <w:rPr>
          <w:rStyle w:val="PageNumber"/>
          <w:b/>
          <w:sz w:val="22"/>
        </w:rPr>
      </w:pPr>
      <w:r>
        <w:rPr>
          <w:rStyle w:val="PageNumber"/>
          <w:b/>
          <w:sz w:val="22"/>
        </w:rPr>
        <w:t>VII.1.</w:t>
      </w:r>
      <w:r>
        <w:rPr>
          <w:rStyle w:val="PageNumber"/>
          <w:b/>
          <w:sz w:val="22"/>
        </w:rPr>
        <w:tab/>
        <w:t>Планирование профессиональной подготовки с учетом гендерных факторов</w:t>
      </w:r>
    </w:p>
    <w:p w:rsidR="00000000" w:rsidRDefault="00000000">
      <w:pPr>
        <w:rPr>
          <w:rStyle w:val="PageNumber"/>
        </w:rPr>
      </w:pPr>
      <w:r>
        <w:rPr>
          <w:rStyle w:val="PageNumber"/>
        </w:rPr>
        <w:t>664.</w:t>
      </w:r>
      <w:r>
        <w:rPr>
          <w:rStyle w:val="PageNumber"/>
        </w:rPr>
        <w:tab/>
        <w:t>Считаясь главным инструментом улучшения положения женщин в рамках Платформы действий, выработанной на четвертой Всемирной конференции по положению женщин, планирование с учетом гендерных факторов является сегодня одной из главных целей стратегии улучшения положения женщин. Таким образом действия в области профессиональной подготовки и привлечения внимания к индексу развития человека, включающего гендерные факторы, применяемого при сборе данных, анализе, планировании и оценке, осуществляются с помощью ЦНИДИЖ для руководящего звена государственных учреждений и лиц, принимающих решения, а также для ответственных сотрудников НПО и занимающихся вопросами развития работников в регионах.</w:t>
      </w:r>
    </w:p>
    <w:p w:rsidR="00000000" w:rsidRDefault="00000000">
      <w:pPr>
        <w:rPr>
          <w:rStyle w:val="PageNumber"/>
        </w:rPr>
      </w:pPr>
      <w:r>
        <w:rPr>
          <w:rStyle w:val="PageNumber"/>
        </w:rPr>
        <w:t>665.</w:t>
      </w:r>
      <w:r>
        <w:rPr>
          <w:rStyle w:val="PageNumber"/>
        </w:rPr>
        <w:tab/>
        <w:t>Начиная с 1993 года как на национальном, так и на международном уровне проводится подготовка в области планирования по целям, оценки результатов, концепции участия, коммуникации, планирования с учетом гендерных факторов и доступа к новым технологиям.</w:t>
      </w:r>
    </w:p>
    <w:p w:rsidR="00000000" w:rsidRDefault="00000000">
      <w:pPr>
        <w:rPr>
          <w:rStyle w:val="PageNumber"/>
        </w:rPr>
      </w:pPr>
      <w:r>
        <w:rPr>
          <w:rStyle w:val="PageNumber"/>
        </w:rPr>
        <w:t>666.</w:t>
      </w:r>
      <w:r>
        <w:rPr>
          <w:rStyle w:val="PageNumber"/>
        </w:rPr>
        <w:tab/>
        <w:t>В сотрудничестве с ЦНИДИЖ и при поддержке международных и региональных организаций Государственный секретариат по делам женщин и семьи организует совещания по подготовке в области планирования с учетом гендерных факторов для руководящих работников министерств и сотрудников НПО.</w:t>
      </w:r>
    </w:p>
    <w:p w:rsidR="00000000" w:rsidRDefault="00000000">
      <w:pPr>
        <w:rPr>
          <w:rStyle w:val="PageNumber"/>
        </w:rPr>
      </w:pPr>
      <w:r>
        <w:rPr>
          <w:rStyle w:val="PageNumber"/>
        </w:rPr>
        <w:t>667.</w:t>
      </w:r>
      <w:r>
        <w:rPr>
          <w:rStyle w:val="PageNumber"/>
        </w:rPr>
        <w:tab/>
        <w:t>Программа развития статистики с учетом гендерных факторов осуществляется в сотрудничестве с Национальным институтом статистики, ЦНИДИЖ и ЭСКЗА. Она направлена на систематизацию с учетом гендерных факторов используемых статистических данных и на разработку новых индексов для анализа данных с учетом гендерных факторов. Эта программа включает исследование, проводимое в 50 учреждениях, которые занимаются статистикой, связанной с гендерной проблематикой, семинары по подготовке сотрудников статистических учреждений и выпуск дидактических материалов по внедрению гендерного подхода при сборе и анализе данных.</w:t>
      </w:r>
    </w:p>
    <w:p w:rsidR="00000000" w:rsidRDefault="00000000">
      <w:pPr>
        <w:rPr>
          <w:rStyle w:val="PageNumber"/>
        </w:rPr>
      </w:pPr>
      <w:r>
        <w:rPr>
          <w:rStyle w:val="PageNumber"/>
        </w:rPr>
        <w:t>668.</w:t>
      </w:r>
      <w:r>
        <w:rPr>
          <w:rStyle w:val="PageNumber"/>
        </w:rPr>
        <w:tab/>
        <w:t xml:space="preserve"> Международная профессиональная подготовка, осуществляемая ЦНИДИЖ по теме "Гендерные факторы, население и развитие" и проводимая в рамках сотрудничества Юг–Юг, рассчитана на тунисских и африканских руководящих сотрудников, занимающихся проектами развития или улучшения положения женщин и работающих в государственных или неправительственных организациях. Такая подготовка, строящаяся на концепции участия, использующая опыт каждого участника и содействующая обмену этим опытом, а также практическому изучению конкретных случаев, включает семь модулей, один из которых посвящен разработке плана действий.</w:t>
      </w:r>
    </w:p>
    <w:p w:rsidR="00000000" w:rsidRDefault="00000000">
      <w:pPr>
        <w:spacing w:before="120" w:line="260" w:lineRule="exact"/>
        <w:rPr>
          <w:rStyle w:val="PageNumber"/>
          <w:b/>
          <w:sz w:val="22"/>
        </w:rPr>
      </w:pPr>
      <w:r>
        <w:rPr>
          <w:rStyle w:val="PageNumber"/>
          <w:b/>
          <w:sz w:val="22"/>
        </w:rPr>
        <w:t>VII.2.</w:t>
      </w:r>
      <w:r>
        <w:rPr>
          <w:rStyle w:val="PageNumber"/>
          <w:b/>
          <w:sz w:val="22"/>
        </w:rPr>
        <w:tab/>
        <w:t>Профессиональная подготовка без отрыва от работы</w:t>
      </w:r>
    </w:p>
    <w:p w:rsidR="00000000" w:rsidRDefault="00000000">
      <w:pPr>
        <w:spacing w:after="80"/>
        <w:rPr>
          <w:rStyle w:val="PageNumber"/>
        </w:rPr>
      </w:pPr>
      <w:r>
        <w:rPr>
          <w:rStyle w:val="PageNumber"/>
        </w:rPr>
        <w:t>669.</w:t>
      </w:r>
      <w:r>
        <w:rPr>
          <w:rStyle w:val="PageNumber"/>
        </w:rPr>
        <w:tab/>
        <w:t>В рамках политики развития людских ресурсов, направленной на повышение знаний и профессиональной квалификации, ЦНИДИЖ разработал три типа профессиональной подготовки:</w:t>
      </w:r>
    </w:p>
    <w:p w:rsidR="00000000" w:rsidRDefault="00000000">
      <w:pPr>
        <w:spacing w:after="80"/>
        <w:ind w:left="1021" w:hanging="1021"/>
        <w:rPr>
          <w:rStyle w:val="PageNumber"/>
        </w:rPr>
      </w:pPr>
      <w:r>
        <w:rPr>
          <w:rStyle w:val="PageNumber"/>
        </w:rPr>
        <w:tab/>
        <w:t>–</w:t>
      </w:r>
      <w:r>
        <w:rPr>
          <w:rStyle w:val="PageNumber"/>
        </w:rPr>
        <w:tab/>
        <w:t>занятия по подготовке для женщин – руководителей из частного и государственного секторов под общим названием "Информация и подготовка женщин-руководителей для содействия их профессиональному росту". Цель такой подготовки – помочь участницам обеспечить нормальную работу и развитие их учреждения и разработать схему анализа, который помог бы им принять меры в соответствии с глобальной стратегией для обеспечения им решительного и устойчивого прогресса;</w:t>
      </w:r>
    </w:p>
    <w:p w:rsidR="00000000" w:rsidRDefault="00000000">
      <w:pPr>
        <w:spacing w:after="80"/>
        <w:ind w:left="1021" w:hanging="1021"/>
        <w:rPr>
          <w:rStyle w:val="PageNumber"/>
        </w:rPr>
      </w:pPr>
      <w:r>
        <w:rPr>
          <w:rStyle w:val="PageNumber"/>
        </w:rPr>
        <w:tab/>
        <w:t>–</w:t>
      </w:r>
      <w:r>
        <w:rPr>
          <w:rStyle w:val="PageNumber"/>
        </w:rPr>
        <w:tab/>
        <w:t>ежемесячные встречи, именуемые "кружки ЦНИДИЖ", цель которых – собрать вместе участниц занятий по подготовке для женщин-руководителей, чтобы обсудить избранную тему вместе с экспертами по данному вопросу;</w:t>
      </w:r>
    </w:p>
    <w:p w:rsidR="00000000" w:rsidRDefault="00000000">
      <w:pPr>
        <w:ind w:left="1021" w:hanging="1021"/>
        <w:rPr>
          <w:rStyle w:val="PageNumber"/>
        </w:rPr>
      </w:pPr>
      <w:r>
        <w:rPr>
          <w:rStyle w:val="PageNumber"/>
        </w:rPr>
        <w:tab/>
        <w:t>–</w:t>
      </w:r>
      <w:r>
        <w:rPr>
          <w:rStyle w:val="PageNumber"/>
        </w:rPr>
        <w:tab/>
        <w:t>занятия по подготовке в области психологии труда и менеджмента людских ресурсов, рассчитанные на смешанный состав участниц, подобный составу женщин-руководителей.</w:t>
      </w:r>
    </w:p>
    <w:p w:rsidR="00000000" w:rsidRDefault="00000000">
      <w:pPr>
        <w:spacing w:before="120" w:line="260" w:lineRule="exact"/>
        <w:rPr>
          <w:rStyle w:val="PageNumber"/>
          <w:b/>
          <w:sz w:val="22"/>
        </w:rPr>
      </w:pPr>
      <w:r>
        <w:rPr>
          <w:rStyle w:val="PageNumber"/>
          <w:b/>
          <w:sz w:val="22"/>
        </w:rPr>
        <w:t>VII.3.</w:t>
      </w:r>
      <w:r>
        <w:rPr>
          <w:rStyle w:val="PageNumber"/>
          <w:b/>
          <w:sz w:val="22"/>
        </w:rPr>
        <w:tab/>
        <w:t>Изучение условий труда женщин</w:t>
      </w:r>
    </w:p>
    <w:p w:rsidR="00000000" w:rsidRDefault="00000000">
      <w:pPr>
        <w:rPr>
          <w:rStyle w:val="PageNumber"/>
        </w:rPr>
      </w:pPr>
      <w:r>
        <w:rPr>
          <w:rStyle w:val="PageNumber"/>
        </w:rPr>
        <w:t>670.</w:t>
      </w:r>
      <w:r>
        <w:rPr>
          <w:rStyle w:val="PageNumber"/>
        </w:rPr>
        <w:tab/>
        <w:t>Учитывая важность цели интеграции женщин в процесс развития, ЦНИДИЖ в рамках стратегии в отношении женщин VIII национального плана развития (1992–1996 годы) провел ряд исследований для более точного определения положения женщин и их перспектив и выявления возможных проявлений дискриминации.</w:t>
      </w:r>
    </w:p>
    <w:p w:rsidR="00000000" w:rsidRDefault="00000000">
      <w:pPr>
        <w:rPr>
          <w:rStyle w:val="PageNumber"/>
        </w:rPr>
      </w:pPr>
      <w:r>
        <w:rPr>
          <w:rStyle w:val="PageNumber"/>
        </w:rPr>
        <w:t>671.</w:t>
      </w:r>
      <w:r>
        <w:rPr>
          <w:rStyle w:val="PageNumber"/>
        </w:rPr>
        <w:tab/>
        <w:t>В докладе "Женщины Туниса: положение и перспективы", опубликованном в 1994 году, делается попытка проанализировать возможности доступа женщин к работе вне дома, секторы, предпочтительные для работы женщин, и оценки участия женщин в ведении семейного хозяйства и в национальной экономике, а также их привлечения к принятию решений на уровне правительства и различных организаций.</w:t>
      </w:r>
    </w:p>
    <w:p w:rsidR="00000000" w:rsidRDefault="00000000">
      <w:pPr>
        <w:rPr>
          <w:rStyle w:val="PageNumber"/>
        </w:rPr>
      </w:pPr>
      <w:r>
        <w:rPr>
          <w:rStyle w:val="PageNumber"/>
        </w:rPr>
        <w:t>672.</w:t>
      </w:r>
      <w:r>
        <w:rPr>
          <w:rStyle w:val="PageNumber"/>
        </w:rPr>
        <w:tab/>
        <w:t>Исследование на тему "Экономический потенциал женщин – условия и перспективы женского труда", осуществленное в 1995 году и опубликованное в 1996 году, посвящено проблематике женского труда и динамике занятости женщин в условиях национальной экономики. В исследовании рассматривается работа женщин-предпринимателей и даются описание и оценка структур для поддержки экономической инициативы женщин. Целью этого исследования являются, с одной стороны, выявление секторов и районов, предоставляющих женщинам максимальные возможности для создания рентабельных малых предприятий, а с другой стороны, определение потребностей в помощи, необходимой женщинам, создающим предприятия (профессиональная подготовка, капитал, кредит, оборудование и т. д.).</w:t>
      </w:r>
    </w:p>
    <w:p w:rsidR="00000000" w:rsidRDefault="00000000">
      <w:pPr>
        <w:rPr>
          <w:rStyle w:val="PageNumber"/>
        </w:rPr>
      </w:pPr>
      <w:r>
        <w:rPr>
          <w:rStyle w:val="PageNumber"/>
        </w:rPr>
        <w:t>673.</w:t>
      </w:r>
      <w:r>
        <w:rPr>
          <w:rStyle w:val="PageNumber"/>
        </w:rPr>
        <w:tab/>
        <w:t>В 1998 году было осуществлено исследование, озаглавленное "Здоровье и семейная жизнь женщин, работающих в ночное время". Речь идет о сравнительном исследовании двух категорий женщин из числа младшего медицинского персонала: 166 женщин, работающих в ночное время, и 167 женщин, работающих в дневное время. Целью этого исследования являлся анализ состояния здоровья и семейной жизни женщин, работающих ночью. В 1999 году ЦНИДИЖ намерен разработать другое направление исследования, а именно анализ положения работающих ночью женщин с учетом гендерных факторов с целью получения данных о неравенстве возможностей женщин, которые помимо профессиональных трудностей должны выполнять семейные обязанности, вести домашнее хозяйство, а также осуществлять репродуктивные функции.</w:t>
      </w:r>
    </w:p>
    <w:p w:rsidR="00000000" w:rsidRDefault="00000000">
      <w:pPr>
        <w:spacing w:after="80"/>
        <w:rPr>
          <w:rStyle w:val="PageNumber"/>
        </w:rPr>
      </w:pPr>
      <w:r>
        <w:rPr>
          <w:rStyle w:val="PageNumber"/>
        </w:rPr>
        <w:t>674.</w:t>
      </w:r>
      <w:r>
        <w:rPr>
          <w:rStyle w:val="PageNumber"/>
        </w:rPr>
        <w:tab/>
        <w:t>В рамках стратегии в отношении женщин IX плана (1997–2001 годы) ЦНИДИЖ запланировал проведение трех основных исследований:</w:t>
      </w:r>
    </w:p>
    <w:p w:rsidR="00000000" w:rsidRDefault="00000000">
      <w:pPr>
        <w:spacing w:after="80"/>
        <w:ind w:left="1021" w:hanging="1021"/>
        <w:rPr>
          <w:rStyle w:val="PageNumber"/>
        </w:rPr>
      </w:pPr>
      <w:r>
        <w:rPr>
          <w:rStyle w:val="PageNumber"/>
        </w:rPr>
        <w:tab/>
        <w:t>–</w:t>
      </w:r>
      <w:r>
        <w:rPr>
          <w:rStyle w:val="PageNumber"/>
        </w:rPr>
        <w:tab/>
        <w:t>"Труд женщин и стратегии в отношении семьи в сельской местности", которое будет осуществляться в рамках Программы ДНОС (Динамика – Население – Окружающая среда, на основе междисциплинарного подхода) и направлено на подробное изучение деятельности женщин, проживающих в сельской местности в четырех зонах севера и юга Туниса (Баргу, Крумири, Мензель Хабиб и Эль-Фаияр). Цель исследования, с одной стороны, изучение роли женщин в производственной деятельности сельских семей, в частности в условиях осуществляемого в настоящее время процесса экономической реструктуризации, а с другой стороны, более точное определение вклада женщин в разработку социальных проектов в отношении сельских семей и влияния этих проектов, в частности на функционирование и воспроизведение семейных систем в сельскохозяйственном секторе. Это исследование будет способствовать конкретным действиям, направленным на большую интеграцию сельских женщин в процесс развития и на повышение их социально-экономического статуса в семье и в фермерском хозяйстве;</w:t>
      </w:r>
    </w:p>
    <w:p w:rsidR="00000000" w:rsidRDefault="00000000">
      <w:pPr>
        <w:spacing w:after="80"/>
        <w:ind w:left="1021" w:hanging="1021"/>
        <w:rPr>
          <w:rStyle w:val="PageNumber"/>
        </w:rPr>
      </w:pPr>
      <w:r>
        <w:rPr>
          <w:rStyle w:val="PageNumber"/>
        </w:rPr>
        <w:tab/>
        <w:t>–</w:t>
      </w:r>
      <w:r>
        <w:rPr>
          <w:rStyle w:val="PageNumber"/>
        </w:rPr>
        <w:tab/>
        <w:t>"Женщины-предприниматели и женщины-ремесленники", направленное на более углубленное изучение положения этих двух категорий женщин и проблем, с которыми они сталкиваются. Это практическое исследование проводится при посредничестве различных организаций (НПО, Агентства развития и т. д.) и нацелено на конкретные "микропроблемы", которые определяются в соответствии с участниками, в зависимости от ситуации и условий;</w:t>
      </w:r>
    </w:p>
    <w:p w:rsidR="00000000" w:rsidRDefault="00000000">
      <w:pPr>
        <w:ind w:left="1021" w:hanging="1021"/>
        <w:rPr>
          <w:rStyle w:val="PageNumber"/>
        </w:rPr>
      </w:pPr>
      <w:r>
        <w:rPr>
          <w:rStyle w:val="PageNumber"/>
        </w:rPr>
        <w:tab/>
        <w:t>–</w:t>
      </w:r>
      <w:r>
        <w:rPr>
          <w:rStyle w:val="PageNumber"/>
        </w:rPr>
        <w:tab/>
        <w:t>"Условия труда женщин в текстильной промышленности Туниса", преследующее двойную цель: выявить наиболее очевидные проблемы, связанные со здоровьем и безопасностью женщин, работающих в текстильной промышленности (этот сектор, где в основном работают женщины, хорошо изучен по другим аспектам), и на этом основании определить приоритеты конкретных действий и необходимые для этого средства.</w:t>
      </w:r>
    </w:p>
    <w:p w:rsidR="00000000" w:rsidRDefault="00000000">
      <w:pPr>
        <w:spacing w:before="80" w:line="260" w:lineRule="exact"/>
        <w:rPr>
          <w:rStyle w:val="PageNumber"/>
          <w:b/>
          <w:sz w:val="22"/>
        </w:rPr>
      </w:pPr>
      <w:r>
        <w:rPr>
          <w:rStyle w:val="PageNumber"/>
          <w:b/>
          <w:sz w:val="22"/>
        </w:rPr>
        <w:t>VII.4.</w:t>
      </w:r>
      <w:r>
        <w:rPr>
          <w:rStyle w:val="PageNumber"/>
          <w:b/>
          <w:sz w:val="22"/>
        </w:rPr>
        <w:tab/>
        <w:t>Профессиональная подготовка, связанная с применением новых технологий</w:t>
      </w:r>
    </w:p>
    <w:p w:rsidR="00000000" w:rsidRDefault="00000000">
      <w:pPr>
        <w:rPr>
          <w:rStyle w:val="PageNumber"/>
        </w:rPr>
      </w:pPr>
      <w:r>
        <w:rPr>
          <w:rStyle w:val="PageNumber"/>
        </w:rPr>
        <w:t>675.</w:t>
      </w:r>
      <w:r>
        <w:rPr>
          <w:rStyle w:val="PageNumber"/>
        </w:rPr>
        <w:tab/>
        <w:t>В рамках такой подготовки было проведено несколько семинаров для государственных служащих и сотрудников НПО с целью их ознакомления с Интернетом и новыми средствами коммуникации. Женская ассоциация "Тунис-21", организовавшая ряд теоретических семинаров о научных, экономических и культурных целях информационного общества, в июле 1999 года начала цикл подготовки по освоению Интернета и коммуникационных технологий для руководящего состава сотрудников НПО. Руководящие работники государственного аппарата и НПО смогли принять участие в курсах по подготовке к пользованию Интернетом, организованных Фондом Фредерика Эберта.</w:t>
      </w:r>
    </w:p>
    <w:p w:rsidR="00000000" w:rsidRDefault="00000000">
      <w:pPr>
        <w:spacing w:before="240" w:line="240" w:lineRule="auto"/>
        <w:rPr>
          <w:rStyle w:val="PageNumber"/>
          <w:b/>
          <w:sz w:val="28"/>
        </w:rPr>
      </w:pPr>
      <w:r>
        <w:rPr>
          <w:rStyle w:val="PageNumber"/>
          <w:b/>
          <w:sz w:val="28"/>
        </w:rPr>
        <w:t>Выводы и перспективы</w:t>
      </w:r>
    </w:p>
    <w:p w:rsidR="00000000" w:rsidRDefault="00000000">
      <w:pPr>
        <w:rPr>
          <w:rStyle w:val="PageNumber"/>
        </w:rPr>
      </w:pPr>
      <w:r>
        <w:rPr>
          <w:rStyle w:val="PageNumber"/>
        </w:rPr>
        <w:t>676.</w:t>
      </w:r>
      <w:r>
        <w:rPr>
          <w:rStyle w:val="PageNumber"/>
        </w:rPr>
        <w:tab/>
        <w:t>Законодательные и институциональные основы, на которых зиждется экономика страны, претерпели постепенную эволюцию, что способствовало интеграции в трудовую жизнь и женского контингента с учетом принципов "равная зарплата за равноценный труд" и недискриминации по признаку пола в области занятости.</w:t>
      </w:r>
    </w:p>
    <w:p w:rsidR="00000000" w:rsidRDefault="00000000">
      <w:pPr>
        <w:rPr>
          <w:rStyle w:val="PageNumber"/>
        </w:rPr>
      </w:pPr>
      <w:r>
        <w:rPr>
          <w:rStyle w:val="PageNumber"/>
        </w:rPr>
        <w:t>677.</w:t>
      </w:r>
      <w:r>
        <w:rPr>
          <w:rStyle w:val="PageNumber"/>
        </w:rPr>
        <w:tab/>
        <w:t xml:space="preserve">С 1985 по 1994 год кривая женской занятости продолжала свой рост, хотя он несколько замедлился под одновременным влиянием экономических трудностей и программы структурной корректировки. В то же время показатель женской безработицы снижается, тогда как спрос на женский труд в период с 1993 по </w:t>
      </w:r>
      <w:r>
        <w:rPr>
          <w:rStyle w:val="PageNumber"/>
        </w:rPr>
        <w:br/>
        <w:t>1997 год постоянно растет, что служит подтверждением продолжающегося роста женской занятости.</w:t>
      </w:r>
    </w:p>
    <w:p w:rsidR="00000000" w:rsidRDefault="00000000">
      <w:pPr>
        <w:rPr>
          <w:rStyle w:val="PageNumber"/>
        </w:rPr>
      </w:pPr>
      <w:r>
        <w:rPr>
          <w:rStyle w:val="PageNumber"/>
        </w:rPr>
        <w:t>678.</w:t>
      </w:r>
      <w:r>
        <w:rPr>
          <w:rStyle w:val="PageNumber"/>
        </w:rPr>
        <w:tab/>
        <w:t>Приоритетными целями стратегии в отношении женщин IX плана развития (1997–2001 годы) являются: более полная интеграция женщин в экономическую деятельность, в частности путем предоставления им возможности осваивать новые технологии и повышать свой профессиональный уровень, обеспечение равенства возможностей в области профессиональной подготовки и переподготовки, поощрение женщин осуществлять проекты в рамках ориентации национальной экономики, а также обеспечение равенства возможностей в области инвестиций.</w:t>
      </w:r>
    </w:p>
    <w:p w:rsidR="00000000" w:rsidRDefault="00000000">
      <w:pPr>
        <w:rPr>
          <w:rStyle w:val="PageNumber"/>
        </w:rPr>
      </w:pPr>
      <w:r>
        <w:rPr>
          <w:rStyle w:val="PageNumber"/>
        </w:rPr>
        <w:t>679.</w:t>
      </w:r>
      <w:r>
        <w:rPr>
          <w:rStyle w:val="PageNumber"/>
        </w:rPr>
        <w:tab/>
        <w:t>Кроме того, предполагается, что такая стратегия даст возможность ориентировать 50 процентов девочек на прохождение профессиональной подготовки в структурах МППЗ для получения квалифицированных специальностей (в настоящее время этот показатель равен 30 процентам).</w:t>
      </w:r>
    </w:p>
    <w:p w:rsidR="00000000" w:rsidRDefault="00000000">
      <w:pPr>
        <w:rPr>
          <w:rStyle w:val="PageNumber"/>
        </w:rPr>
      </w:pPr>
      <w:r>
        <w:rPr>
          <w:rStyle w:val="PageNumber"/>
        </w:rPr>
        <w:t>680.</w:t>
      </w:r>
      <w:r>
        <w:rPr>
          <w:rStyle w:val="PageNumber"/>
        </w:rPr>
        <w:tab/>
        <w:t>В целях содействия использованию женских трудовых ресурсов для выполнения национальных задач по повышению уровня развития национальной экономики, необходимого для успешной интеграции в мировую экономику, была создана специальная рабочая группа по делам женщин в рамках Национальной конференции по вопросам занятости, которая проходила в июле 1998 года в городе Тунисе под высоким покровительством Главы государства.</w:t>
      </w:r>
    </w:p>
    <w:p w:rsidR="00000000" w:rsidRDefault="00000000">
      <w:pPr>
        <w:spacing w:after="120"/>
        <w:rPr>
          <w:rStyle w:val="PageNumber"/>
        </w:rPr>
      </w:pPr>
      <w:r>
        <w:rPr>
          <w:rStyle w:val="PageNumber"/>
        </w:rPr>
        <w:t>681.</w:t>
      </w:r>
      <w:r>
        <w:rPr>
          <w:rStyle w:val="PageNumber"/>
        </w:rPr>
        <w:tab/>
        <w:t>Рабочая группа, которая была организована совместными усилиями ЦНИДИЖ и НСТЖ и в которой приняли участие женщины-руководители из всех секторов и женских НПО, а также большая группа экспертов по вопросам труда, рекомендовала, в частности, выполнить следующие задачи:</w:t>
      </w:r>
    </w:p>
    <w:p w:rsidR="00000000" w:rsidRDefault="00000000">
      <w:pPr>
        <w:spacing w:after="120"/>
        <w:rPr>
          <w:rStyle w:val="PageNumber"/>
        </w:rPr>
      </w:pPr>
      <w:r>
        <w:rPr>
          <w:rStyle w:val="PageNumber"/>
        </w:rPr>
        <w:tab/>
        <w:t>1.</w:t>
      </w:r>
      <w:r>
        <w:rPr>
          <w:rStyle w:val="PageNumber"/>
        </w:rPr>
        <w:tab/>
        <w:t>Обеспечить равенство возможностей мужчин и женщин на рынке занятости, в частности путем более активного информирования девушек и поощрения их к регистрации в бюро по трудоустройству, привлечения к этим вопросам внимания руководителей, принимающих решения; ускорение выполнения национального плана действий по профессиональной подготовке женщин, поощрение девушек выбирать новые специальности, выпуск справочника о профессиях будущего и привлечение женщин для работы в структурах по трудоустройству.</w:t>
      </w:r>
    </w:p>
    <w:p w:rsidR="00000000" w:rsidRDefault="00000000">
      <w:pPr>
        <w:spacing w:after="120"/>
        <w:rPr>
          <w:rStyle w:val="PageNumber"/>
        </w:rPr>
      </w:pPr>
      <w:r>
        <w:rPr>
          <w:rStyle w:val="PageNumber"/>
        </w:rPr>
        <w:tab/>
        <w:t>2.</w:t>
      </w:r>
      <w:r>
        <w:rPr>
          <w:rStyle w:val="PageNumber"/>
        </w:rPr>
        <w:tab/>
        <w:t>Обеспечить диверсификацию по секторам с целью способствовать участию женщин в различных секторах экономики, что позволит им использовать возможности, открывающиеся в связи с созданием новых рабочих мест:</w:t>
      </w:r>
    </w:p>
    <w:p w:rsidR="00000000" w:rsidRDefault="00000000">
      <w:pPr>
        <w:ind w:left="1021" w:hanging="1021"/>
        <w:rPr>
          <w:rStyle w:val="PageNumber"/>
        </w:rPr>
      </w:pPr>
      <w:r>
        <w:rPr>
          <w:rStyle w:val="PageNumber"/>
          <w:lang w:val="en-US"/>
        </w:rPr>
        <w:tab/>
      </w:r>
      <w:r>
        <w:rPr>
          <w:rStyle w:val="PageNumber"/>
        </w:rPr>
        <w:t>–</w:t>
      </w:r>
      <w:r>
        <w:rPr>
          <w:rStyle w:val="PageNumber"/>
        </w:rPr>
        <w:tab/>
        <w:t xml:space="preserve">в сельском хозяйстве путем поощрения женщин осваивать новые сельскохозяйственные специальности и их популяризации, повышения эффективности профессиональной подготовки и оказания поддержки в создании сельскохозяйственных микропроектов, окончательной ликвидации дискриминации между мужчинами и женщинами в соответствии с поправками, внесенными в </w:t>
      </w:r>
      <w:r>
        <w:rPr>
          <w:rStyle w:val="PageNumber"/>
        </w:rPr>
        <w:br/>
        <w:t>1993 году в Кодекс законов о труде, и пропаганды среди женщин работы в области сельского хозяйства;</w:t>
      </w:r>
    </w:p>
    <w:p w:rsidR="00000000" w:rsidRDefault="00000000">
      <w:pPr>
        <w:spacing w:after="80"/>
        <w:ind w:left="1021" w:hanging="1021"/>
        <w:rPr>
          <w:rStyle w:val="PageNumber"/>
        </w:rPr>
      </w:pPr>
      <w:r>
        <w:rPr>
          <w:rStyle w:val="PageNumber"/>
        </w:rPr>
        <w:tab/>
        <w:t>–</w:t>
      </w:r>
      <w:r>
        <w:rPr>
          <w:rStyle w:val="PageNumber"/>
        </w:rPr>
        <w:tab/>
        <w:t>в традиционных секторах путем пересмотра условий выдачи профессиональных удостоверений, стимулирования женщин, занимающихся ремесленным и творческим трудом, к созданию частных центров подготовки и использованию новых технологий;</w:t>
      </w:r>
    </w:p>
    <w:p w:rsidR="00000000" w:rsidRDefault="00000000">
      <w:pPr>
        <w:ind w:left="1021" w:hanging="1021"/>
        <w:rPr>
          <w:rStyle w:val="PageNumber"/>
        </w:rPr>
      </w:pPr>
      <w:r>
        <w:rPr>
          <w:rStyle w:val="PageNumber"/>
          <w:lang w:val="en-US"/>
        </w:rPr>
        <w:tab/>
      </w:r>
      <w:r>
        <w:rPr>
          <w:rStyle w:val="PageNumber"/>
        </w:rPr>
        <w:t>–</w:t>
      </w:r>
      <w:r>
        <w:rPr>
          <w:rStyle w:val="PageNumber"/>
        </w:rPr>
        <w:tab/>
        <w:t>в современных секторах путем поощрения женщин создавать проекты в сфере услуг, в частности связанных с проблемами семьи, в области туризма, коммуникаций и сельского транспорта, а также в электронной и агропродовольственной отраслях.</w:t>
      </w:r>
    </w:p>
    <w:p w:rsidR="00000000" w:rsidRDefault="00000000">
      <w:pPr>
        <w:spacing w:after="120"/>
        <w:rPr>
          <w:rStyle w:val="PageNumber"/>
        </w:rPr>
      </w:pPr>
      <w:r>
        <w:rPr>
          <w:rStyle w:val="PageNumber"/>
          <w:lang w:val="en-US"/>
        </w:rPr>
        <w:tab/>
      </w:r>
      <w:r>
        <w:rPr>
          <w:rStyle w:val="PageNumber"/>
        </w:rPr>
        <w:t>3.</w:t>
      </w:r>
      <w:r>
        <w:rPr>
          <w:rStyle w:val="PageNumber"/>
        </w:rPr>
        <w:tab/>
        <w:t>Содействовать женскому предпринимательству. Особое внимание было уделено развитию женского предпринимательства. В этом отношении было рекомендовано включать проекты, представляемые женщинами, в региональные программы развития, развивать кооперативы по оказанию услуг, упростить административные процедуры и порядок предоставления кредитов и выпустить справочник об условиях предоставления кредитов и руководство, в какие секторы следует инвестировать.</w:t>
      </w:r>
    </w:p>
    <w:p w:rsidR="00000000" w:rsidRDefault="00000000">
      <w:pPr>
        <w:spacing w:after="120"/>
        <w:rPr>
          <w:rStyle w:val="PageNumber"/>
        </w:rPr>
      </w:pPr>
      <w:r>
        <w:rPr>
          <w:rStyle w:val="PageNumber"/>
        </w:rPr>
        <w:tab/>
        <w:t>4.</w:t>
      </w:r>
      <w:r>
        <w:rPr>
          <w:rStyle w:val="PageNumber"/>
        </w:rPr>
        <w:tab/>
        <w:t>Совершенствовать организационные рамки. Рабочая группа, в частности, рекомендовала разработать положение о домашнем труде женщин, регламентировать сектор труда домашней прислуги, обеспечить защиту женщин от сексуальных домогательств, с помощью средств массовой информации способствовать повышению значения участия женщин в развитии, содействовать назначению женщин на должности руководителей учреждений по профессиональной подготовке и трудоустройству.</w:t>
      </w:r>
    </w:p>
    <w:p w:rsidR="00000000" w:rsidRDefault="00000000">
      <w:pPr>
        <w:rPr>
          <w:rStyle w:val="PageNumber"/>
        </w:rPr>
      </w:pPr>
      <w:r>
        <w:rPr>
          <w:rStyle w:val="PageNumber"/>
          <w:lang w:val="en-US"/>
        </w:rPr>
        <w:tab/>
      </w:r>
      <w:r>
        <w:rPr>
          <w:rStyle w:val="PageNumber"/>
        </w:rPr>
        <w:t>5.</w:t>
      </w:r>
      <w:r>
        <w:rPr>
          <w:rStyle w:val="PageNumber"/>
        </w:rPr>
        <w:tab/>
        <w:t xml:space="preserve">Расширять исследования, позволяющие точно определить положение и перспективы, касающиеся занятости женщин, в частности путем систематического использования подхода, учитывающего гендерные факторы, введения периодичности в подготовке исследований, укрепления наблюдательного комитета ЦНИДИЖ, а также проведения перспективных исследований по вопросам занятости женщин, профессий будущего и влияния глобализации. </w:t>
      </w:r>
    </w:p>
    <w:p w:rsidR="00000000" w:rsidRDefault="00000000">
      <w:pPr>
        <w:spacing w:after="360" w:line="240" w:lineRule="auto"/>
        <w:jc w:val="center"/>
        <w:rPr>
          <w:b/>
          <w:sz w:val="28"/>
        </w:rPr>
      </w:pPr>
      <w:r>
        <w:br w:type="page"/>
      </w:r>
      <w:r>
        <w:rPr>
          <w:rFonts w:ascii="Symbol" w:hAnsi="Symbol"/>
          <w:sz w:val="28"/>
          <w:lang w:val="en-US"/>
        </w:rPr>
        <w:t></w:t>
      </w:r>
      <w:r>
        <w:rPr>
          <w:sz w:val="28"/>
          <w:lang w:val="en-US"/>
        </w:rPr>
        <w:t xml:space="preserve"> </w:t>
      </w:r>
      <w:r>
        <w:rPr>
          <w:b/>
          <w:sz w:val="28"/>
        </w:rPr>
        <w:t>Статья 12: Здравоохранение</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lang w:val="en-US"/>
        </w:rPr>
        <w:tab/>
      </w:r>
      <w:r>
        <w:rPr>
          <w:i/>
        </w:rPr>
        <w:t>1.</w:t>
      </w:r>
      <w:r>
        <w:rPr>
          <w:i/>
        </w:rP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i/>
        </w:rPr>
        <w:tab/>
        <w:t>2.</w:t>
      </w:r>
      <w:r>
        <w:rPr>
          <w:i/>
        </w:rP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spacing w:after="200" w:line="240" w:lineRule="auto"/>
        <w:rPr>
          <w:b/>
          <w:sz w:val="28"/>
        </w:rPr>
      </w:pPr>
      <w:r>
        <w:rPr>
          <w:b/>
          <w:sz w:val="28"/>
        </w:rPr>
        <w:t>Стратегия охраны здоровья женщины</w:t>
      </w:r>
    </w:p>
    <w:p w:rsidR="00000000" w:rsidRDefault="00000000">
      <w:pPr>
        <w:spacing w:after="200"/>
      </w:pPr>
      <w:r>
        <w:t>682.</w:t>
      </w:r>
      <w:r>
        <w:tab/>
        <w:t>Государство регулярно выделяет около 6 процентов внутреннего валового продукта (ВВП) на сектор здравоохранения, в частности на развитие медико-санитарной инфраструктуры для профилактики и лечения болезней, исследований и подготовки кадров.</w:t>
      </w:r>
    </w:p>
    <w:p w:rsidR="00000000" w:rsidRDefault="00000000">
      <w:pPr>
        <w:spacing w:after="200"/>
      </w:pPr>
      <w:r>
        <w:t>683.</w:t>
      </w:r>
      <w:r>
        <w:tab/>
        <w:t>Потребности женщин в медицинском обслуживании рассматриваются в общих рамках первичной медицинской помощи. Тем самым охране здоровья женщин уделяется необходимое внимание, что воплощается в специальных программах профилактики и лечения болезней в рамках национальной политики в области здравоохранения.</w:t>
      </w:r>
    </w:p>
    <w:p w:rsidR="00000000" w:rsidRDefault="00000000">
      <w:pPr>
        <w:spacing w:after="200"/>
      </w:pPr>
      <w:r>
        <w:t>684.</w:t>
      </w:r>
      <w:r>
        <w:tab/>
        <w:t>Охрана здоровья женщин таким образом признана в качестве основной составляющей всей системы здравоохранения. Женщины, охваченные национальными программами охраны здоровья, профилактики классических эпидемий и инфекционных заболеваний, участвуют также в специальных программах медицинского обслуживания.</w:t>
      </w:r>
    </w:p>
    <w:p w:rsidR="00000000" w:rsidRDefault="00000000">
      <w:pPr>
        <w:spacing w:after="200"/>
      </w:pPr>
      <w:r>
        <w:t>685.</w:t>
      </w:r>
      <w:r>
        <w:tab/>
        <w:t>Комплексный подход к инфраструктуре здравоохранения сыграл определяющую роль в улучшении медицинской помощи, оказываемой женщинам. В настоящее время 90,6 процента центров первичной медицинской помощи оказывают помощь матери и ребенку.</w:t>
      </w:r>
    </w:p>
    <w:p w:rsidR="00000000" w:rsidRDefault="00000000">
      <w:pPr>
        <w:spacing w:after="200"/>
      </w:pPr>
      <w:r>
        <w:t>686.</w:t>
      </w:r>
      <w:r>
        <w:tab/>
        <w:t>Кроме того, с начала 90-х годов государство стало проводить социальную политику, основанную на стремлении к социальному равенству путем установления среднего уровня государственных расходов на социальные нужды в размере свыше 18 процентов ВВП, что, несомненно, привело к значительному улучшению социально-экономических и экологических условий для групп населения, считающихся уязвимыми, и охраны здоровья в целом.</w:t>
      </w:r>
    </w:p>
    <w:p w:rsidR="00000000" w:rsidRDefault="00000000">
      <w:pPr>
        <w:spacing w:after="200"/>
      </w:pPr>
      <w:r>
        <w:t>687.</w:t>
      </w:r>
      <w:r>
        <w:tab/>
        <w:t xml:space="preserve">Межсекторальное сотрудничество является одним из ключей к успешному проведению политики в области здравоохранения, основанной на содействии развитию подлинного межсекторального партнерства на национальном, региональном и местном уровнях (департаменты, частный сектор, НПО, государственные организации, общество). </w:t>
      </w:r>
    </w:p>
    <w:p w:rsidR="00000000" w:rsidRDefault="00000000">
      <w:pPr>
        <w:spacing w:after="200"/>
        <w:rPr>
          <w:spacing w:val="-2"/>
        </w:rPr>
      </w:pPr>
      <w:r>
        <w:t xml:space="preserve">688. </w:t>
      </w:r>
      <w:r>
        <w:tab/>
      </w:r>
      <w:r>
        <w:rPr>
          <w:spacing w:val="-2"/>
        </w:rPr>
        <w:t xml:space="preserve">К тому же программы оказания первичной медицинской помощи и программы охраны здоровья матери и ребенка и планирования размера семьи, которые проводятся с 1993 года Фондом национальной </w:t>
      </w:r>
      <w:r>
        <w:rPr>
          <w:spacing w:val="-2"/>
        </w:rPr>
        <w:br/>
        <w:t>солидарности 26-26, входят в число мероприятий по улучшению условий жизни в так называемых теневых зонах.</w:t>
      </w:r>
    </w:p>
    <w:p w:rsidR="00000000" w:rsidRDefault="00000000">
      <w:pPr>
        <w:spacing w:before="120" w:line="240" w:lineRule="auto"/>
        <w:ind w:left="680" w:hanging="680"/>
        <w:jc w:val="left"/>
        <w:rPr>
          <w:b/>
          <w:sz w:val="28"/>
        </w:rPr>
      </w:pPr>
      <w:r>
        <w:rPr>
          <w:b/>
          <w:sz w:val="28"/>
        </w:rPr>
        <w:t>I.</w:t>
      </w:r>
      <w:r>
        <w:rPr>
          <w:b/>
          <w:sz w:val="28"/>
        </w:rPr>
        <w:tab/>
        <w:t xml:space="preserve">Инфраструктура системы охраны здоровья матери и ребенка </w:t>
      </w:r>
      <w:r>
        <w:rPr>
          <w:b/>
          <w:sz w:val="28"/>
        </w:rPr>
        <w:br/>
        <w:t>и планирования семьи</w:t>
      </w:r>
    </w:p>
    <w:p w:rsidR="00000000" w:rsidRDefault="00000000">
      <w:r>
        <w:tab/>
        <w:t>Эта инфраструктура выстроена в форме пирамиды, включающей:</w:t>
      </w:r>
    </w:p>
    <w:p w:rsidR="00000000" w:rsidRDefault="00000000">
      <w:pPr>
        <w:spacing w:after="180" w:line="260" w:lineRule="exact"/>
        <w:rPr>
          <w:b/>
          <w:sz w:val="22"/>
        </w:rPr>
      </w:pPr>
      <w:r>
        <w:rPr>
          <w:b/>
          <w:sz w:val="22"/>
        </w:rPr>
        <w:t>1 – Периферический уровень</w:t>
      </w:r>
    </w:p>
    <w:p w:rsidR="00000000" w:rsidRDefault="00000000">
      <w:r>
        <w:t>689.</w:t>
      </w:r>
      <w:r>
        <w:tab/>
        <w:t>Основой пирамиды является периферический уровень, состоящий из окружных больниц и центров первичной медицинской помощи, более 90,6 процента которых оказывают комплексную медицинскую помощь в рамках охраны здоровья матери и ребенка и планирования размера семьи. Эта основа пирамиды представляет собой первый уровень оказания специальной помощи детям и женщинам, в частности во время беременности и родов, и предоставления консультационных услуг по вопросам контрацепции.</w:t>
      </w:r>
    </w:p>
    <w:p w:rsidR="00000000" w:rsidRDefault="00000000">
      <w:r>
        <w:t>690.</w:t>
      </w:r>
      <w:r>
        <w:tab/>
        <w:t xml:space="preserve">Данные 1998 года по первой линии медицинской помощи говорят о том, что первичную помощь оказывали 1922 центра первичной медицинской помощи и 1860 медицинских пунктов (в 1991 году – 1572, а в 1972 году – 53), то есть показатель доступности составил 90 процентов для стационарных учреждений и </w:t>
      </w:r>
      <w:r>
        <w:br/>
        <w:t>100 процентов – для сети передвижных медицинских пунктов.</w:t>
      </w:r>
    </w:p>
    <w:p w:rsidR="00000000" w:rsidRDefault="00000000">
      <w:r>
        <w:t>691.</w:t>
      </w:r>
      <w:r>
        <w:tab/>
        <w:t xml:space="preserve">Средний показатель по стране в 1998 году составил 20,5 центра первичной медицинской помощи на </w:t>
      </w:r>
      <w:r>
        <w:br/>
        <w:t>100 тыс. жителей. Если в 1987 году один центр первичной медицинской помощи обслуживал 5782 человек, то в 1998 году – 4886 человек. Этот показатель выше во внутренних районах страны.</w:t>
      </w:r>
    </w:p>
    <w:p w:rsidR="00000000" w:rsidRDefault="00000000">
      <w:r>
        <w:t>692.</w:t>
      </w:r>
      <w:r>
        <w:tab/>
        <w:t>Число центров первичной медицинской помощи постоянно увеличивалось последние десять лет, и рост составил более 30 процентов. Больше всего новых центров было создано в западных районах Туниса.</w:t>
      </w:r>
    </w:p>
    <w:p w:rsidR="00000000" w:rsidRDefault="00000000">
      <w:r>
        <w:t>693.</w:t>
      </w:r>
      <w:r>
        <w:tab/>
        <w:t>В 1998 году в структуры первой линии входили также 105 окружных больниц (против 99 в 1991 году).</w:t>
      </w:r>
    </w:p>
    <w:p w:rsidR="00000000" w:rsidRDefault="00000000">
      <w:r>
        <w:t>694.</w:t>
      </w:r>
      <w:r>
        <w:tab/>
        <w:t>Хотя эти базовые инфраструктуры не предполагают оказание исключительно специальной помощи женщинам, они предлагают женщинам широкую гамму медицинских услуг по профилактике и лечению заболеваний и их можно преобразовать в настоящие комплексные медицинские центры по обслуживанию семьи и населения в целом.</w:t>
      </w:r>
    </w:p>
    <w:p w:rsidR="00000000" w:rsidRDefault="00000000">
      <w:r>
        <w:t>695.</w:t>
      </w:r>
      <w:r>
        <w:tab/>
        <w:t>При анализе инфраструктуры первой линии следует учитывать медицинские учреждения, находящиеся в ведении Национальной кассы социального обеспечения, а именно 6 поликлиник, две из которых расположены в городе Тунисе, одна – в Бизерте, одна – в Сусе, одна – в Сфаксе и одна – в Метлауи, и кабинеты независимых практикующих врачей, которые оказывают 40 процентов всех медицинских услуг в рамках первой линии.</w:t>
      </w:r>
    </w:p>
    <w:p w:rsidR="00000000" w:rsidRDefault="00000000">
      <w:pPr>
        <w:spacing w:after="180" w:line="260" w:lineRule="exact"/>
        <w:rPr>
          <w:b/>
          <w:sz w:val="22"/>
        </w:rPr>
      </w:pPr>
      <w:r>
        <w:rPr>
          <w:b/>
          <w:sz w:val="22"/>
        </w:rPr>
        <w:t>2 – Промежуточный уровень</w:t>
      </w:r>
    </w:p>
    <w:p w:rsidR="00000000" w:rsidRDefault="00000000">
      <w:r>
        <w:t>696.</w:t>
      </w:r>
      <w:r>
        <w:tab/>
        <w:t>Промежуточный уровень включает районные больницы, не менее одной в главном городе каждой провинции, то есть всего 29. Наличие банка донорской крови, лаборатории, операционного блока, с одной стороны, гинекологической и педиатрической службы, с другой стороны, дает возможность женщинам обращаться за помощью к гинекологу, акушерке и педиатру в период беременности, во время и после родов на периферическом уровне.</w:t>
      </w:r>
    </w:p>
    <w:p w:rsidR="00000000" w:rsidRDefault="00000000">
      <w:pPr>
        <w:spacing w:after="180" w:line="260" w:lineRule="exact"/>
        <w:rPr>
          <w:b/>
          <w:sz w:val="22"/>
        </w:rPr>
      </w:pPr>
      <w:r>
        <w:rPr>
          <w:b/>
          <w:sz w:val="22"/>
        </w:rPr>
        <w:t>3 – Высший уровень</w:t>
      </w:r>
    </w:p>
    <w:p w:rsidR="00000000" w:rsidRDefault="00000000">
      <w:r>
        <w:t xml:space="preserve">697. Высший уровень включает университетские больницы, из них 10 больниц общего профиля и </w:t>
      </w:r>
      <w:r>
        <w:br/>
        <w:t>25 специализированных институтов, которые занимаются наиболее трудными случаями беременности и новорожденными детьми с тяжелыми осложнениями. Больницы на этом уровне располагают сложнейшим медицинским оборудованием в комплекте и предоставляют услуги специализированных сиделок, обеспечивающих непрерывный уход за больными, а также все необходимые средства для проведения исследований.</w:t>
      </w:r>
    </w:p>
    <w:p w:rsidR="00000000" w:rsidRDefault="00000000">
      <w:pPr>
        <w:spacing w:after="180" w:line="260" w:lineRule="exact"/>
        <w:rPr>
          <w:b/>
          <w:sz w:val="22"/>
        </w:rPr>
      </w:pPr>
      <w:r>
        <w:rPr>
          <w:b/>
          <w:sz w:val="22"/>
        </w:rPr>
        <w:t>4 – Персонал</w:t>
      </w:r>
    </w:p>
    <w:p w:rsidR="00000000" w:rsidRDefault="00000000">
      <w:r>
        <w:t>698.</w:t>
      </w:r>
      <w:r>
        <w:tab/>
        <w:t>Подготовка врачей, акушерок и медицинского персонала вообще всегда являлась важным направлением политики Туниса в области здравоохранения. В настоящее время в стране имеется четыре медицинских факультета, двадцать два медицинских профессиональных училища, три высших медицинских научно-технических школы, один фармацевтический факультет и один факультет хирургической стоматологии.</w:t>
      </w:r>
    </w:p>
    <w:p w:rsidR="00000000" w:rsidRDefault="00000000">
      <w:r>
        <w:t>699.</w:t>
      </w:r>
      <w:r>
        <w:tab/>
        <w:t>Развитие инфраструктуры подготовки кадров обеспечило постоянный рост контингента медицинских специалистов и обеспечение внутренних районов страны квалифицированным медицинским персоналом.</w:t>
      </w:r>
    </w:p>
    <w:p w:rsidR="00000000" w:rsidRDefault="00000000">
      <w:pPr>
        <w:spacing w:after="180" w:line="260" w:lineRule="exact"/>
        <w:rPr>
          <w:b/>
          <w:sz w:val="22"/>
        </w:rPr>
      </w:pPr>
      <w:r>
        <w:rPr>
          <w:b/>
          <w:sz w:val="22"/>
        </w:rPr>
        <w:t>5 – Акушерок</w:t>
      </w:r>
    </w:p>
    <w:p w:rsidR="00000000" w:rsidRDefault="00000000">
      <w:r>
        <w:t>700.</w:t>
      </w:r>
      <w:r>
        <w:tab/>
        <w:t>Акушерки всегда составляли основную часть медицинского персонала, обслуживающего мать и ребенка. В 70-х годах была проведена реформа в области профессиональной подготовки акушерок и эта специальность была включена в систему университетского образования, что позволило значительно увеличить контингент профессиональных акушерок. Во внутренних районах значительно увеличилась доля акушерок на число женщин фертильного возраста.</w:t>
      </w:r>
    </w:p>
    <w:p w:rsidR="00000000" w:rsidRDefault="00000000">
      <w:r>
        <w:t>701.</w:t>
      </w:r>
      <w:r>
        <w:tab/>
        <w:t xml:space="preserve">В 1995 году работали 1459 акушерок, то есть по стране на 10 тыс. женщин фертильного возраста (от </w:t>
      </w:r>
      <w:r>
        <w:br/>
        <w:t>15 до 49 лет) акушерок приходилось 6,86. В 1998 году в периферических структурах работали 1036 акушерок, то есть одна акушерка на 2262 женщины фертильного возраста.</w:t>
      </w:r>
    </w:p>
    <w:p w:rsidR="00000000" w:rsidRDefault="00000000">
      <w:pPr>
        <w:spacing w:before="120"/>
        <w:jc w:val="center"/>
        <w:rPr>
          <w:b/>
        </w:rPr>
      </w:pPr>
      <w:r>
        <w:rPr>
          <w:b/>
        </w:rPr>
        <w:t>Коэффициент акушерок на 10 тыс. женщин фертильного возраста</w:t>
      </w:r>
      <w:r>
        <w:rPr>
          <w:b/>
        </w:rPr>
        <w:br/>
        <w:t>(15–49 лет) по провинциям</w:t>
      </w:r>
    </w:p>
    <w:tbl>
      <w:tblPr>
        <w:tblW w:w="0" w:type="auto"/>
        <w:jc w:val="center"/>
        <w:tblLayout w:type="fixed"/>
        <w:tblCellMar>
          <w:left w:w="40" w:type="dxa"/>
          <w:right w:w="40" w:type="dxa"/>
        </w:tblCellMar>
        <w:tblLook w:val="0000" w:firstRow="0" w:lastRow="0" w:firstColumn="0" w:lastColumn="0" w:noHBand="0" w:noVBand="0"/>
      </w:tblPr>
      <w:tblGrid>
        <w:gridCol w:w="2829"/>
        <w:gridCol w:w="849"/>
        <w:gridCol w:w="859"/>
        <w:gridCol w:w="850"/>
        <w:gridCol w:w="850"/>
      </w:tblGrid>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b/>
                <w:sz w:val="18"/>
              </w:rPr>
            </w:pPr>
            <w:r>
              <w:rPr>
                <w:b/>
                <w:sz w:val="18"/>
              </w:rPr>
              <w:t>Провинции</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1979 год</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1991 год</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1993 год</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1997 год</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Тунис–Ариана–Бен Арус</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5,32</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7</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7,02</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6,04</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Загхуан</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1,87</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8,7</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7,94</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9,33</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Бизерта</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3,5</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6,8</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7,32</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5,90</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Беджа</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2,81</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9,2</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7,35</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6,08</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Джендуба</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1,82</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8</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4,42</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4,93</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Эль-Кеф</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2,51</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9,8</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7,16</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7,57</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Силиана</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2,16</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3,3</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8,03</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8,98</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Кассерин</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2,8</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6,4</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2,89</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5,06</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Сиди-Бу-Зид</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2,5</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8,2</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5,55</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6,29</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Гафса</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4,9</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11</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7,03</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6,47</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Тозер</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lang w:val="en-US"/>
              </w:rPr>
            </w:pPr>
            <w:r>
              <w:rPr>
                <w:sz w:val="18"/>
                <w:lang w:val="en-US"/>
              </w:rPr>
              <w:t>–</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1,2</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8,88</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7,05</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Татауин</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lang w:val="en-US"/>
              </w:rPr>
            </w:pPr>
            <w:r>
              <w:rPr>
                <w:sz w:val="18"/>
                <w:lang w:val="en-US"/>
              </w:rPr>
              <w:t>–</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4</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5,76</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5,04</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Меденин</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3,1</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6,3</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3,5</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4,11</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Габес</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3,1</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4,6</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5,93</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6,94</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Кебили</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lang w:val="en-US"/>
              </w:rPr>
            </w:pPr>
            <w:r>
              <w:rPr>
                <w:sz w:val="18"/>
                <w:lang w:val="en-US"/>
              </w:rPr>
              <w:t>–</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7,2</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3,66</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6,86</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Сфакс</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3,9</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6,7</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6,5</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5,82</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Кайруан</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3,7</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6,7</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6,7</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6,25</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Махдиа</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3,2</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8,3</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7,85</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8,44</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Монастир</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5,4</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12</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10,9</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9,26</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Сус</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8</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11,6</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10,7</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10,25</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Набуль</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4,8</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8,2</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6,9</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5,92</w:t>
            </w:r>
          </w:p>
        </w:tc>
      </w:tr>
      <w:tr w:rsidR="00000000">
        <w:tblPrEx>
          <w:tblCellMar>
            <w:top w:w="0" w:type="dxa"/>
            <w:bottom w:w="0" w:type="dxa"/>
          </w:tblCellMar>
        </w:tblPrEx>
        <w:trPr>
          <w:trHeight w:val="20"/>
          <w:jc w:val="center"/>
        </w:trPr>
        <w:tc>
          <w:tcPr>
            <w:tcW w:w="28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Весь Тунис</w:t>
            </w:r>
          </w:p>
        </w:tc>
        <w:tc>
          <w:tcPr>
            <w:tcW w:w="84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3,8</w:t>
            </w:r>
          </w:p>
        </w:tc>
        <w:tc>
          <w:tcPr>
            <w:tcW w:w="8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6,6</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84"/>
              <w:jc w:val="right"/>
              <w:rPr>
                <w:sz w:val="18"/>
              </w:rPr>
            </w:pPr>
            <w:r>
              <w:rPr>
                <w:sz w:val="18"/>
              </w:rPr>
              <w:t>6,8</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ind w:right="227"/>
              <w:jc w:val="right"/>
              <w:rPr>
                <w:sz w:val="18"/>
              </w:rPr>
            </w:pPr>
            <w:r>
              <w:rPr>
                <w:sz w:val="18"/>
              </w:rPr>
              <w:t>6,53</w:t>
            </w:r>
          </w:p>
        </w:tc>
      </w:tr>
    </w:tbl>
    <w:p w:rsidR="00000000" w:rsidRDefault="00000000">
      <w:pPr>
        <w:spacing w:before="80" w:after="0" w:line="220" w:lineRule="exact"/>
        <w:ind w:right="1708"/>
        <w:jc w:val="right"/>
        <w:rPr>
          <w:b/>
          <w:sz w:val="18"/>
        </w:rPr>
      </w:pPr>
      <w:r>
        <w:rPr>
          <w:b/>
          <w:sz w:val="18"/>
        </w:rPr>
        <w:t>Источник: Министерство здравоохранения</w:t>
      </w:r>
    </w:p>
    <w:p w:rsidR="00000000" w:rsidRDefault="00000000">
      <w:pPr>
        <w:spacing w:after="180" w:line="260" w:lineRule="exact"/>
        <w:rPr>
          <w:b/>
          <w:sz w:val="22"/>
        </w:rPr>
      </w:pPr>
      <w:r>
        <w:rPr>
          <w:b/>
          <w:sz w:val="22"/>
        </w:rPr>
        <w:t>6 – Врачей</w:t>
      </w:r>
    </w:p>
    <w:p w:rsidR="00000000" w:rsidRDefault="00000000">
      <w:r>
        <w:t>702.</w:t>
      </w:r>
      <w:r>
        <w:tab/>
        <w:t xml:space="preserve">Число медицинского персонала постоянно увеличивалось, особенно начиная с 1977 года, когда был учрежден конкурс на местах. Число врачей позволило удовлетворить потребности большинства районов, как об этом свидетельствует таблица, ниже. Однако некоторые районы все же испытывают дефицит специалистов, особенно в провинциях Тозер, Кебили и Татауин. </w:t>
      </w:r>
    </w:p>
    <w:p w:rsidR="00000000" w:rsidRDefault="00000000">
      <w:pPr>
        <w:spacing w:after="120"/>
        <w:jc w:val="center"/>
        <w:rPr>
          <w:b/>
        </w:rPr>
      </w:pPr>
      <w:r>
        <w:rPr>
          <w:b/>
        </w:rPr>
        <w:t>Коэффициент врачей на 100 тыс. жителей в 1985–1999 годах</w:t>
      </w:r>
    </w:p>
    <w:tbl>
      <w:tblPr>
        <w:tblW w:w="0" w:type="auto"/>
        <w:jc w:val="center"/>
        <w:tblLayout w:type="fixed"/>
        <w:tblCellMar>
          <w:left w:w="40" w:type="dxa"/>
          <w:right w:w="40" w:type="dxa"/>
        </w:tblCellMar>
        <w:tblLook w:val="0000" w:firstRow="0" w:lastRow="0" w:firstColumn="0" w:lastColumn="0" w:noHBand="0" w:noVBand="0"/>
      </w:tblPr>
      <w:tblGrid>
        <w:gridCol w:w="2077"/>
        <w:gridCol w:w="1040"/>
        <w:gridCol w:w="1040"/>
        <w:gridCol w:w="1040"/>
        <w:gridCol w:w="1040"/>
      </w:tblGrid>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b/>
                <w:sz w:val="18"/>
              </w:rPr>
            </w:pPr>
            <w:r>
              <w:rPr>
                <w:b/>
                <w:sz w:val="18"/>
              </w:rPr>
              <w:t>Провинции</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1985 год</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1992 год</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1997 год</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1999 год</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Тунис–Ариана–Бен Арус</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0,78</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8</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13,45</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14,78</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Загхуан</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0,32</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3,4</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5,7</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6,14</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Бизерта</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0,34</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4,4</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5,35</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5,58</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Беджа</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0,24</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3,3</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3,85</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3,98</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Джендуба</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0,21</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2,7</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3,00</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2,92</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Эль-Кеф</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0,24</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3,7</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4,15</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3,92</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Силиана</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0,17</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1,9</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3,67</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3,57</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Кассерин</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0,17</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1,9</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2,73</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2,87</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Сиди-Бу-Зид</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0,18</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2,3</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2,99</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2,74</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Гафса</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0,26</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4,3</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4,04</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3,95</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Тозер</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0,30</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4,7</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5,42</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4,61</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Татауин</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0,23</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3,8</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4,27</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4,13</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Меденин</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0,28</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4,1</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4,26</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4,70</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Габес</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0,33</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3,8</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4,49</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4,81</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Кебили</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0,12</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3,9</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3,95</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3,67</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Сфакс</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0,37</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5,6</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8,38</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8,74</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Кайруан</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0,20</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2,5</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3,16</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3,44</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Махдиа</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0,26</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3,8</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5,12</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4,97</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Монастир</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0,46</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6,6</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5,57</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7,75</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Сус</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0,60</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8,5</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11,21</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11,60</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Набуль</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0,31</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4,7</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5,70</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6,04</w:t>
            </w:r>
          </w:p>
        </w:tc>
      </w:tr>
      <w:tr w:rsidR="00000000">
        <w:tblPrEx>
          <w:tblCellMar>
            <w:top w:w="0" w:type="dxa"/>
            <w:bottom w:w="0" w:type="dxa"/>
          </w:tblCellMar>
        </w:tblPrEx>
        <w:trPr>
          <w:trHeight w:val="20"/>
          <w:jc w:val="center"/>
        </w:trPr>
        <w:tc>
          <w:tcPr>
            <w:tcW w:w="207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Весь Тунис</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ind w:right="340"/>
              <w:jc w:val="right"/>
              <w:rPr>
                <w:sz w:val="18"/>
              </w:rPr>
            </w:pPr>
            <w:r>
              <w:rPr>
                <w:sz w:val="18"/>
              </w:rPr>
              <w:t>0,41</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ind w:right="340"/>
              <w:rPr>
                <w:sz w:val="18"/>
              </w:rPr>
            </w:pPr>
            <w:r>
              <w:rPr>
                <w:sz w:val="18"/>
              </w:rPr>
              <w:t>5,45</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6,99</w:t>
            </w:r>
          </w:p>
        </w:tc>
        <w:tc>
          <w:tcPr>
            <w:tcW w:w="1040"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397"/>
              </w:tabs>
              <w:spacing w:before="40" w:after="40" w:line="220" w:lineRule="exact"/>
              <w:rPr>
                <w:sz w:val="18"/>
              </w:rPr>
            </w:pPr>
            <w:r>
              <w:rPr>
                <w:sz w:val="18"/>
              </w:rPr>
              <w:t>7,39</w:t>
            </w:r>
          </w:p>
        </w:tc>
      </w:tr>
    </w:tbl>
    <w:p w:rsidR="00000000" w:rsidRDefault="00000000">
      <w:pPr>
        <w:spacing w:before="80" w:line="220" w:lineRule="exact"/>
        <w:ind w:right="1707"/>
        <w:jc w:val="right"/>
        <w:rPr>
          <w:b/>
          <w:sz w:val="18"/>
        </w:rPr>
      </w:pPr>
      <w:r>
        <w:rPr>
          <w:b/>
          <w:sz w:val="18"/>
        </w:rPr>
        <w:t>Источник: Министерство здравоохранения</w:t>
      </w:r>
    </w:p>
    <w:p w:rsidR="00000000" w:rsidRDefault="00000000">
      <w:r>
        <w:t>703.</w:t>
      </w:r>
      <w:r>
        <w:tab/>
        <w:t xml:space="preserve">К концу 1997 года 1297 терапевтов работали исключительно в структурах первичного медицинского обслуживания (79 процентов в центрах первичной медицинской помощи и 21 процент в окружных больницах). Коэффициент – один врач-терапевт на 6722 жителя в структурах первой линии. В национальном масштабе с учетом частных структур коэффициент в настоящее время – один врач на 1259 жителей против 2300 в </w:t>
      </w:r>
      <w:r>
        <w:br/>
        <w:t xml:space="preserve">1987 году. </w:t>
      </w:r>
    </w:p>
    <w:p w:rsidR="00000000" w:rsidRDefault="00000000">
      <w:pPr>
        <w:spacing w:before="120" w:line="240" w:lineRule="auto"/>
        <w:ind w:left="680" w:hanging="680"/>
        <w:jc w:val="left"/>
        <w:rPr>
          <w:b/>
          <w:sz w:val="28"/>
        </w:rPr>
      </w:pPr>
      <w:r>
        <w:rPr>
          <w:b/>
          <w:sz w:val="28"/>
        </w:rPr>
        <w:t>II.</w:t>
      </w:r>
      <w:r>
        <w:rPr>
          <w:b/>
          <w:sz w:val="28"/>
        </w:rPr>
        <w:tab/>
        <w:t xml:space="preserve">Программы улучшения медицинского обслуживания, </w:t>
      </w:r>
      <w:r>
        <w:rPr>
          <w:b/>
          <w:sz w:val="28"/>
        </w:rPr>
        <w:br/>
        <w:t>профилактики и лечения женщин</w:t>
      </w:r>
    </w:p>
    <w:p w:rsidR="00000000" w:rsidRDefault="00000000">
      <w:pPr>
        <w:rPr>
          <w:b/>
        </w:rPr>
      </w:pPr>
      <w:r>
        <w:t>704.</w:t>
      </w:r>
      <w:r>
        <w:tab/>
        <w:t>Политика охраны здоровья женщины осуществляется по пяти основным направлениям улучшения медицинского обслуживания, профилактики и лечения различных заболеваний матери, ребенка и основных членов семьи.</w:t>
      </w:r>
      <w:r>
        <w:rPr>
          <w:b/>
        </w:rPr>
        <w:t xml:space="preserve"> </w:t>
      </w:r>
    </w:p>
    <w:p w:rsidR="00000000" w:rsidRDefault="00000000">
      <w:r>
        <w:t>705.</w:t>
      </w:r>
      <w:r>
        <w:tab/>
        <w:t>В основе политики улучшения медицинского обслуживания матери и новорожденного и охраны здоровья семьи лежат концепция планирования размера семьи и борьбы с детской и материнской смертностью и заболеваемостью,</w:t>
      </w:r>
      <w:r>
        <w:rPr>
          <w:b/>
        </w:rPr>
        <w:t xml:space="preserve"> </w:t>
      </w:r>
      <w:r>
        <w:t>концепция охраны здоровья матери и ребенка, развившаяся постепенно в концепцию охраны здоровья матери и новорожденного, и, наконец, появившаяся в начале 90-х годов концепция глобального подхода к охране репродуктивного здоровья. Такая политика проводится по пяти основным направлениям медицинского обслуживания, профилактики и лечения матери и ребенка.</w:t>
      </w:r>
    </w:p>
    <w:p w:rsidR="00000000" w:rsidRDefault="00000000">
      <w:pPr>
        <w:spacing w:before="120" w:line="260" w:lineRule="exact"/>
        <w:rPr>
          <w:b/>
          <w:sz w:val="22"/>
        </w:rPr>
      </w:pPr>
      <w:r>
        <w:rPr>
          <w:b/>
          <w:sz w:val="22"/>
        </w:rPr>
        <w:t>1 – Охрана здоровья матери и новорожденного</w:t>
      </w:r>
    </w:p>
    <w:p w:rsidR="00000000" w:rsidRDefault="00000000">
      <w:pPr>
        <w:spacing w:after="80"/>
      </w:pPr>
      <w:r>
        <w:t>706.</w:t>
      </w:r>
      <w:r>
        <w:tab/>
        <w:t xml:space="preserve">Охрана здоровья матери и новорожденного и здоровья семьи включает осуществление следующих программ: </w:t>
      </w:r>
    </w:p>
    <w:p w:rsidR="00000000" w:rsidRDefault="00000000">
      <w:pPr>
        <w:spacing w:after="80"/>
        <w:ind w:left="1021" w:hanging="1021"/>
      </w:pPr>
      <w:r>
        <w:rPr>
          <w:lang w:val="en-US"/>
        </w:rPr>
        <w:tab/>
      </w:r>
      <w:r>
        <w:t>–</w:t>
      </w:r>
      <w:r>
        <w:tab/>
        <w:t>Национальной программы охраны здоровья в дородовой период, направленной на сокращение материнской и перинатальной смертности и заболеваемости, включающей шесть составляющих, а именно: наблюдение в дородовой период, наблюдение во время родов, систематическое наблюдение новорожденного и реанимация, послеродовое наблюдение, планирование размера семьи, грудное вскармливание и в последнее время консультация перед вступлением в брак как средство выявления заболеваний, передаваемых половым путем (ЗППП), и СПИДа;</w:t>
      </w:r>
    </w:p>
    <w:p w:rsidR="00000000" w:rsidRDefault="00000000">
      <w:pPr>
        <w:spacing w:after="80"/>
        <w:ind w:left="1021" w:hanging="1021"/>
        <w:rPr>
          <w:spacing w:val="-4"/>
        </w:rPr>
      </w:pPr>
      <w:r>
        <w:tab/>
        <w:t>–</w:t>
      </w:r>
      <w:r>
        <w:tab/>
      </w:r>
      <w:r>
        <w:rPr>
          <w:spacing w:val="-4"/>
        </w:rPr>
        <w:t>Проекта "Население и здоровье семьи", появившегося в 1992 году для усиления Национальной программы охраны здоровья в дородовой период. Он параллельно получал финансирование в виде займа Всемирного банка с целью оказания первичной медицинской помощи вообще и матери и ребенку в частности, сокращения региональных и межрегиональных различий в уровне оказания медицинской помощи и перераспределения средств между различными уровнями медицинского обслуживания;</w:t>
      </w:r>
    </w:p>
    <w:p w:rsidR="00000000" w:rsidRDefault="00000000">
      <w:pPr>
        <w:ind w:left="1021" w:hanging="1021"/>
      </w:pPr>
      <w:r>
        <w:rPr>
          <w:lang w:val="en-US"/>
        </w:rPr>
        <w:tab/>
      </w:r>
      <w:r>
        <w:t>–</w:t>
      </w:r>
      <w:r>
        <w:tab/>
        <w:t>Национальной программы борьбы с материнской смертностью, появившейся в марте 1999 года, входящей в национальную стратегию предупреждения материнской смертности и борьбы с этим явлением, рассчитанную на период до 2001 года, и имеющей целью снизить уровень материнской смертности до менее 50 смертей на 100 тыс. живорождений. Эта программа направлена на улучшение качества медицинского обслуживания в региональных и университетских родильных домах, укомплектование родильных домов квалифицированными кадрами, улучшение санитарно-гигиенических условий и работы служб контроля за рождаемостью в период беременности, родов и в послеродовой период. В ходе первоначального этапа этой программы осуществляется национальный план изучения случаев материнской смертности в больничных условиях с целью определения причин смерти.</w:t>
      </w:r>
    </w:p>
    <w:p w:rsidR="00000000" w:rsidRDefault="00000000">
      <w:pPr>
        <w:spacing w:after="180" w:line="260" w:lineRule="exact"/>
        <w:rPr>
          <w:b/>
          <w:sz w:val="22"/>
        </w:rPr>
      </w:pPr>
      <w:r>
        <w:rPr>
          <w:b/>
          <w:sz w:val="22"/>
        </w:rPr>
        <w:t>2 – Охрана здоровья ребенка</w:t>
      </w:r>
    </w:p>
    <w:p w:rsidR="00000000" w:rsidRDefault="00000000">
      <w:pPr>
        <w:spacing w:after="80"/>
      </w:pPr>
      <w:r>
        <w:t>707.</w:t>
      </w:r>
      <w:r>
        <w:tab/>
        <w:t>Вторым направлением является постепенное укрепление программ охраны здоровья ребенка, в частности:</w:t>
      </w:r>
    </w:p>
    <w:p w:rsidR="00000000" w:rsidRDefault="00000000">
      <w:pPr>
        <w:spacing w:after="80"/>
      </w:pPr>
      <w:r>
        <w:tab/>
        <w:t>–</w:t>
      </w:r>
      <w:r>
        <w:tab/>
        <w:t>расширенная программа вакцинации;</w:t>
      </w:r>
    </w:p>
    <w:p w:rsidR="00000000" w:rsidRDefault="00000000">
      <w:pPr>
        <w:spacing w:after="80"/>
      </w:pPr>
      <w:r>
        <w:tab/>
        <w:t>–</w:t>
      </w:r>
      <w:r>
        <w:tab/>
        <w:t>национальная программа борьбы с заболеваниями диареей;</w:t>
      </w:r>
    </w:p>
    <w:p w:rsidR="00000000" w:rsidRDefault="00000000">
      <w:pPr>
        <w:spacing w:after="80"/>
      </w:pPr>
      <w:r>
        <w:tab/>
        <w:t>–</w:t>
      </w:r>
      <w:r>
        <w:tab/>
        <w:t>национальная программа борьбы с острыми респираторными заболеваниями (ОРЗ);</w:t>
      </w:r>
    </w:p>
    <w:p w:rsidR="00000000" w:rsidRDefault="00000000">
      <w:pPr>
        <w:spacing w:after="80"/>
      </w:pPr>
      <w:r>
        <w:tab/>
        <w:t>–</w:t>
      </w:r>
      <w:r>
        <w:tab/>
        <w:t>наблюдение за ростом детей до шести лет;</w:t>
      </w:r>
    </w:p>
    <w:p w:rsidR="00000000" w:rsidRDefault="00000000">
      <w:pPr>
        <w:spacing w:after="80"/>
      </w:pPr>
      <w:r>
        <w:tab/>
        <w:t>–</w:t>
      </w:r>
      <w:r>
        <w:tab/>
        <w:t>программа борьбы с йодной недостаточностью у детей;</w:t>
      </w:r>
    </w:p>
    <w:p w:rsidR="00000000" w:rsidRDefault="00000000">
      <w:r>
        <w:tab/>
        <w:t>–</w:t>
      </w:r>
      <w:r>
        <w:tab/>
        <w:t>программа борьбы с острым суставным ревматизмом.</w:t>
      </w:r>
    </w:p>
    <w:p w:rsidR="00000000" w:rsidRDefault="00000000">
      <w:pPr>
        <w:spacing w:after="180" w:line="260" w:lineRule="exact"/>
        <w:rPr>
          <w:b/>
          <w:sz w:val="22"/>
        </w:rPr>
      </w:pPr>
      <w:r>
        <w:rPr>
          <w:b/>
          <w:sz w:val="22"/>
        </w:rPr>
        <w:t>3 – Борьба с ЗППП и СПИДом</w:t>
      </w:r>
    </w:p>
    <w:p w:rsidR="00000000" w:rsidRDefault="00000000">
      <w:pPr>
        <w:spacing w:after="0"/>
      </w:pPr>
      <w:r>
        <w:t>708.</w:t>
      </w:r>
      <w:r>
        <w:tab/>
        <w:t>Третьим направлением является программа борьбы с ЗППП и СПИДом, которая проводится с 1987 года (первый случай заболевания отмечен в Тунисе в 1985 году). Программа основана на мероприятиях по предупреждению передачи вируса через кровь, путем систематического контроля всех операций по сбору донорской крови и санитарно-гигиенического просвещения населения, особенно групп риска, а также на широкой стратегии "Информация — Просвещение — Коммуникация" (ИПК).</w:t>
      </w:r>
    </w:p>
    <w:p w:rsidR="00000000" w:rsidRDefault="00000000">
      <w:pPr>
        <w:spacing w:after="180"/>
        <w:rPr>
          <w:b/>
          <w:sz w:val="22"/>
        </w:rPr>
      </w:pPr>
      <w:r>
        <w:rPr>
          <w:b/>
          <w:sz w:val="22"/>
        </w:rPr>
        <w:t>4 – Психическое здоровье</w:t>
      </w:r>
    </w:p>
    <w:p w:rsidR="00000000" w:rsidRDefault="00000000">
      <w:r>
        <w:t>709.</w:t>
      </w:r>
      <w:r>
        <w:tab/>
        <w:t>Четвертым направлением является осуществление Национальной программы в области психического здоровья, которая направлена на улучшение качества жизни гражданина вообще и женщины в частности. Основная цель этой стратегии — сделать медицинскую помощь доступной гражданам, а также воспитывать у них бережное отношение к своему здоровью и объяснять важное значение уравновешенной семейной, профессиональной и общественной жизни.</w:t>
      </w:r>
    </w:p>
    <w:p w:rsidR="00000000" w:rsidRDefault="00000000">
      <w:pPr>
        <w:spacing w:after="180" w:line="260" w:lineRule="exact"/>
        <w:rPr>
          <w:b/>
          <w:sz w:val="22"/>
        </w:rPr>
      </w:pPr>
      <w:r>
        <w:rPr>
          <w:b/>
          <w:sz w:val="22"/>
        </w:rPr>
        <w:t>5 – Стратегия "Информация — Просвещение — Коммуникация" (ИПК)</w:t>
      </w:r>
    </w:p>
    <w:p w:rsidR="00000000" w:rsidRDefault="00000000">
      <w:r>
        <w:t>710.</w:t>
      </w:r>
      <w:r>
        <w:tab/>
        <w:t>Пятое направление — это стратегия в области информационно-пропагандистской деятельности, разработанная национальной комиссией по информации, которая опирается на многочисленные радио-телевизионные программы, клипы, мобилизующие общественное мнение, и  различные акции, адресованные участникам этого процесса из сектора здравоохранения, в частности НПО.</w:t>
      </w:r>
    </w:p>
    <w:p w:rsidR="00000000" w:rsidRDefault="00000000">
      <w:pPr>
        <w:spacing w:before="240" w:line="240" w:lineRule="auto"/>
        <w:ind w:left="680" w:hanging="680"/>
        <w:jc w:val="left"/>
        <w:rPr>
          <w:b/>
          <w:sz w:val="28"/>
        </w:rPr>
      </w:pPr>
      <w:r>
        <w:rPr>
          <w:b/>
          <w:sz w:val="28"/>
        </w:rPr>
        <w:t>III.</w:t>
      </w:r>
      <w:r>
        <w:rPr>
          <w:b/>
          <w:sz w:val="28"/>
        </w:rPr>
        <w:tab/>
        <w:t xml:space="preserve">Планирование семьи: определяющий фактор в ликвидации </w:t>
      </w:r>
      <w:r>
        <w:rPr>
          <w:b/>
          <w:sz w:val="28"/>
        </w:rPr>
        <w:br/>
        <w:t>всех форм дискриминации в отношении женщин</w:t>
      </w:r>
    </w:p>
    <w:p w:rsidR="00000000" w:rsidRDefault="00000000">
      <w:pPr>
        <w:spacing w:line="260" w:lineRule="exact"/>
        <w:rPr>
          <w:b/>
          <w:sz w:val="22"/>
        </w:rPr>
      </w:pPr>
      <w:r>
        <w:rPr>
          <w:b/>
          <w:sz w:val="22"/>
        </w:rPr>
        <w:t>III.1.</w:t>
      </w:r>
      <w:r>
        <w:rPr>
          <w:b/>
          <w:sz w:val="22"/>
        </w:rPr>
        <w:tab/>
        <w:t>Правовые основы</w:t>
      </w:r>
    </w:p>
    <w:p w:rsidR="00000000" w:rsidRDefault="00000000">
      <w:r>
        <w:t>711.</w:t>
      </w:r>
      <w:r>
        <w:tab/>
        <w:t>Стремление государства успешно проводить в жизнь свою демографическую политику нашло конкретное выражение в Кодексе о статусе личности (КСЛ), который реформировал семейное право и право на развод с учетом прав женщины. Передовая стратегия либерализации абортов (1965 год) является важным фактором закрепления супружеских прав вообще и прав женщины в частности.</w:t>
      </w:r>
    </w:p>
    <w:p w:rsidR="00000000" w:rsidRDefault="00000000">
      <w:pPr>
        <w:spacing w:before="120" w:line="260" w:lineRule="exact"/>
        <w:rPr>
          <w:b/>
          <w:sz w:val="22"/>
        </w:rPr>
      </w:pPr>
      <w:r>
        <w:rPr>
          <w:b/>
          <w:sz w:val="22"/>
        </w:rPr>
        <w:t>III.2.</w:t>
      </w:r>
      <w:r>
        <w:rPr>
          <w:b/>
          <w:sz w:val="22"/>
        </w:rPr>
        <w:tab/>
        <w:t>Подход к планированию семьи с учетом социально-экономических условий</w:t>
      </w:r>
    </w:p>
    <w:p w:rsidR="00000000" w:rsidRDefault="00000000">
      <w:r>
        <w:t>712.</w:t>
      </w:r>
      <w:r>
        <w:tab/>
        <w:t>В целях обеспечения соответствия между демографическим развитием и политикой планирования размера семьи применялись различные, но взаимодополняющие подходы, направленные на достижение главной задачи – обеспечить благополучие семьи.</w:t>
      </w:r>
    </w:p>
    <w:p w:rsidR="00000000" w:rsidRDefault="00000000">
      <w:r>
        <w:t>713.</w:t>
      </w:r>
      <w:r>
        <w:tab/>
        <w:t>Шестидесятые годы характеризовались тяжелым социально-экономическим положением в стране при преобладании молодого населения (50 процентов составляли лица моложе 15 лет), естественный прирост которого составлял 3,5 процента, и скудных природных ресурсах. Тунис использовал чисто демографический подход, чтобы затормозить рост народонаселения, являвшийся главным препятствием для любых действий в целях развития. В 70-е годы экономический рост и социальное развитие (особенно в области образования), с одной стороны, и укрепление базовой инфраструктуры – с другой, явились поворотным пунктом в политике планирования семьи: теперь используется глобальный подход  "защита материнства и младенчества".</w:t>
      </w:r>
    </w:p>
    <w:p w:rsidR="00000000" w:rsidRDefault="00000000">
      <w:r>
        <w:t>714.</w:t>
      </w:r>
      <w:r>
        <w:tab/>
        <w:t>С начала 80-х годов Тунис стал проводить политику оказания первичной медицинской помощи, чтобы обеспечить "здоровье всем в 2000 году", а это позволило политике планирования семьи занять ведущее положение в "охране здоровья семьи". Действительно, распространение по стране центров первичной медицинской помощи (1922 центра в 1998 году против 1081 центра в 1986 году) способствовало доступу населения к службам медицинской помощи и планирования семьи. Однако именно мобильные группы, созданные в 1968 году, обеспечили доступ населения, живущего в неблагоприятных условиях, к службам планирования семьи. Сейчас насчитывается 105 таких групп (85 бригад и 20 клиник), которые охватывают неблагоприятные зоны, где недостаточно развита инфраструктура и/или ощущается нехватка людских ресурсов (так называемые "теневые зоны"), число которых приблизительно 1141.</w:t>
      </w:r>
    </w:p>
    <w:p w:rsidR="00000000" w:rsidRDefault="00000000">
      <w:pPr>
        <w:spacing w:after="0"/>
      </w:pPr>
      <w:r>
        <w:t>715.</w:t>
      </w:r>
      <w:r>
        <w:tab/>
        <w:t xml:space="preserve">Планирование семьи уже стало синонимом "здоровья семьи", и понятие это укрепилось с 1995 года после присоединения Туниса к рекомендациям Каирской конференции по народонаселению и развитию </w:t>
      </w:r>
      <w:r>
        <w:rPr>
          <w:lang w:val="en-US"/>
        </w:rPr>
        <w:br/>
      </w:r>
      <w:r>
        <w:t>(1994 год), касающимся интеграции различных составляющих репродуктивного здоровья.</w:t>
      </w:r>
    </w:p>
    <w:p w:rsidR="00000000" w:rsidRDefault="00000000">
      <w:pPr>
        <w:spacing w:line="260" w:lineRule="exact"/>
        <w:ind w:left="680" w:hanging="680"/>
        <w:jc w:val="left"/>
        <w:rPr>
          <w:b/>
          <w:sz w:val="22"/>
        </w:rPr>
      </w:pPr>
      <w:r>
        <w:rPr>
          <w:b/>
          <w:sz w:val="22"/>
        </w:rPr>
        <w:t>III.3.</w:t>
      </w:r>
      <w:r>
        <w:rPr>
          <w:b/>
          <w:sz w:val="22"/>
        </w:rPr>
        <w:tab/>
        <w:t xml:space="preserve">Специальные ресурсы Национального бюро по вопросам планирования семьи </w:t>
      </w:r>
      <w:r>
        <w:rPr>
          <w:b/>
          <w:sz w:val="22"/>
        </w:rPr>
        <w:br/>
        <w:t>и народонаселения</w:t>
      </w:r>
    </w:p>
    <w:p w:rsidR="00000000" w:rsidRDefault="00000000">
      <w:r>
        <w:t>716.</w:t>
      </w:r>
      <w:r>
        <w:tab/>
        <w:t>Со времени создания в 1973 году Национального бюро по вопросам планирования семьи и народонаселения (НБПСН) национальная программа планирования семьи располагает своими собственными ресурсами. В настоящее время таких специальных структур планирования семьи 50. Речь идет о специализированных районных клиниках в рамках службы планирования семьи, которые оказывают медицинскую, хирургическую и консультационную помощь. С 1995 года эти клиники помимо вопросов планирования семьи занимаются проблемами репродуктивного здоровья: выявлением раковых заболеваний у женщин, выявлением и лечением ЗППП, профилактикой последствий климакса, диагностикой и ориентацией для бесплодных супружеских пар.</w:t>
      </w:r>
    </w:p>
    <w:p w:rsidR="00000000" w:rsidRDefault="00000000">
      <w:r>
        <w:t>717.</w:t>
      </w:r>
      <w:r>
        <w:tab/>
        <w:t>Сто пять мобильных групп, в том числе 20 клиник, обслуживают наиболее отсталые районы. Службами планирования семьи и репродукции было охвачено 712 "теневых зон" и 88 220 женщин фертильного возраста.</w:t>
      </w:r>
    </w:p>
    <w:p w:rsidR="00000000" w:rsidRDefault="00000000">
      <w:r>
        <w:t>718.</w:t>
      </w:r>
      <w:r>
        <w:tab/>
        <w:t xml:space="preserve">В деятельности по планированию семьи и репродуктивному здоровью в рамках Национального бюро по вопросам планирования семьи и народонаселения участвуют 38 врачей-специалистов и 18 терапевтов, </w:t>
      </w:r>
      <w:r>
        <w:br/>
        <w:t>230 высококвалифицированных медицинских сотрудников, в том числе 200 акушерок, 50 медицинских сестер, 330 воспитателей.</w:t>
      </w:r>
    </w:p>
    <w:p w:rsidR="00000000" w:rsidRDefault="00000000">
      <w:r>
        <w:t>719.</w:t>
      </w:r>
      <w:r>
        <w:tab/>
        <w:t>Национальное бюро по вопросам планирования семьи и народонаселения имеет три центра, специализирующихся по вопросам репродукции и планирования семьи: научно-исследовательский центр репродукции человека и народонаселения, центр непрерывной профессиональной подготовки и переподготовки и центр по производству аудиовизуальной продукции. Это центры национального и международного значения.</w:t>
      </w:r>
    </w:p>
    <w:p w:rsidR="00000000" w:rsidRDefault="00000000">
      <w:pPr>
        <w:spacing w:before="120" w:line="260" w:lineRule="exact"/>
        <w:rPr>
          <w:b/>
          <w:sz w:val="22"/>
        </w:rPr>
      </w:pPr>
      <w:r>
        <w:rPr>
          <w:b/>
          <w:sz w:val="22"/>
        </w:rPr>
        <w:t>III.4.</w:t>
      </w:r>
      <w:r>
        <w:rPr>
          <w:b/>
          <w:sz w:val="22"/>
        </w:rPr>
        <w:tab/>
        <w:t>Благополучие семьи</w:t>
      </w:r>
    </w:p>
    <w:p w:rsidR="00000000" w:rsidRDefault="00000000">
      <w:r>
        <w:t>720.</w:t>
      </w:r>
      <w:r>
        <w:tab/>
        <w:t>Еще при разработке политики планирования семьи в Тунисе ставилась цель предупреждать и/или избегать рождения нежеланного ребенка и радоваться появлению на свет желанного дитя.</w:t>
      </w:r>
    </w:p>
    <w:p w:rsidR="00000000" w:rsidRDefault="00000000">
      <w:r>
        <w:t>721.</w:t>
      </w:r>
      <w:r>
        <w:tab/>
        <w:t>Закон о либерализации абортов был принят в 1965 году, когда программа планирования размера семьи находилась на стадии эксперимента. Этим законом женщине разрешалось сделать аборт в медицинских условиях после рождения у нее четвертого ребенка. В 1973 году этот закон был пересмотрен и аборт уже разрешался любой женщине, желающей прервать беременность, независимо от числа детей. Разумеется, речь идет об акте, являющемся проявлением свободы, но вместе с тем он имеет и медицинское, и социальное значение, поскольку аборт направлен на сокращение материнской смертности, с одной стороны, и против детоубийства и избавления от детей, с другой стороны.</w:t>
      </w:r>
    </w:p>
    <w:p w:rsidR="00000000" w:rsidRDefault="00000000">
      <w:r>
        <w:t>722.</w:t>
      </w:r>
      <w:r>
        <w:tab/>
        <w:t xml:space="preserve">Принятие этого закона, которое совпало с официальным утверждением национальной программы планирования семьи и созданием в 1973 году Национального бюро по вопросам планирования семьи и народонаселения, сопровождалось ростом числа женщин, желающих добровольно прервать </w:t>
      </w:r>
      <w:r>
        <w:br/>
        <w:t xml:space="preserve">беременность (ДПБ), однако количество ДПБ стабилизировалось к 80-м годам на уровне приблизительно </w:t>
      </w:r>
      <w:r>
        <w:br/>
        <w:t>20 тыс. в год, несмотря на все возрастающее число женщин фертильного возраста.</w:t>
      </w:r>
    </w:p>
    <w:p w:rsidR="00000000" w:rsidRDefault="00000000">
      <w:r>
        <w:t>723.</w:t>
      </w:r>
      <w:r>
        <w:tab/>
        <w:t xml:space="preserve">Рождение желанного ребенка и борьба с бесплодием – это та цель, которая появилась в программе планирования семьи в 1973–1974 годах. Действительно, превращение концепции планирования семьи в концепцию охраны здоровья матери и ребенка, а затем – здоровья семьи отражает прогрессивные изменения в сознании как тех, кто принимает решения, предоставляет медицинские услуги, так и тех, кто ими пользуется. С тех пор были организованы консультации по вопросам бесплодия в клиниках планирования семьи, с тем чтобы поставить предварительные диагнозы и ориентировать страдающие бесплодием супружеские пары, если потребуется, на лечение в специализированных больницах системы общественного здравоохранения. В </w:t>
      </w:r>
      <w:r>
        <w:br/>
        <w:t>1997 году было проведено 3615 консультаций по проблеме бесплодия в клиниках Национального бюро по вопросам планирования семьи и народонаселения.</w:t>
      </w:r>
    </w:p>
    <w:p w:rsidR="00000000" w:rsidRDefault="00000000">
      <w:pPr>
        <w:spacing w:before="240" w:line="240" w:lineRule="auto"/>
        <w:rPr>
          <w:b/>
          <w:sz w:val="28"/>
        </w:rPr>
      </w:pPr>
      <w:r>
        <w:rPr>
          <w:b/>
          <w:sz w:val="28"/>
        </w:rPr>
        <w:t>IV.</w:t>
      </w:r>
      <w:r>
        <w:rPr>
          <w:b/>
          <w:sz w:val="28"/>
        </w:rPr>
        <w:tab/>
        <w:t>Показатели охвата специальным медицинским обслуживанием</w:t>
      </w:r>
    </w:p>
    <w:p w:rsidR="00000000" w:rsidRDefault="00000000">
      <w:r>
        <w:t>724.</w:t>
      </w:r>
      <w:r>
        <w:tab/>
        <w:t>Что касается национальной стратегии в области здравоохранения, то интеграция охраны здоровья женщин в рамки базового медицинского обслуживания, параллельно с развитием медицинской инфраструктуры, подготовкой персонала и осуществлением национальных программ, явилось определяющей основой, обеспечившей женщинам доступ к высококачественному медицинскому обслуживанию, что значительно улучшило все показатели здоровья женщин.</w:t>
      </w:r>
    </w:p>
    <w:p w:rsidR="00000000" w:rsidRDefault="00000000">
      <w:r>
        <w:t>725.</w:t>
      </w:r>
      <w:r>
        <w:tab/>
        <w:t>Охват вакцинацией превысил 90 процентов по основным болезням, с которыми ведется борьба, что позволило искоренить столбняк у новорожденных и полиомиелит, последний случай которого зарегистрирован в 1992 году (малярия, шистосоматоз, дифтерия и трахома уже искоренены).</w:t>
      </w:r>
    </w:p>
    <w:p w:rsidR="00000000" w:rsidRDefault="00000000">
      <w:pPr>
        <w:spacing w:after="180"/>
        <w:rPr>
          <w:b/>
          <w:sz w:val="22"/>
        </w:rPr>
      </w:pPr>
      <w:r>
        <w:rPr>
          <w:b/>
          <w:sz w:val="22"/>
        </w:rPr>
        <w:t>Дородовое наблюдение</w:t>
      </w:r>
    </w:p>
    <w:p w:rsidR="00000000" w:rsidRDefault="00000000">
      <w:r>
        <w:t>726.</w:t>
      </w:r>
      <w:r>
        <w:tab/>
        <w:t>Национальная программа дородового наблюдения предусматривает четыре консультации для каждой беременной. Основной целью этих консультаций являются прежде всего выявление беременностей с осложнениями, подготовка женщины к родам в хороших условиях и, наконец, воспитание у женщины ответственного отношения к новорожденному. Уровень дородового наблюдения значительно повысился.</w:t>
      </w:r>
    </w:p>
    <w:p w:rsidR="00000000" w:rsidRDefault="00000000">
      <w:r>
        <w:t>727.</w:t>
      </w:r>
      <w:r>
        <w:tab/>
        <w:t>Показатель охвата дородовыми консультациями вырос, по крайней мере, с 54 процентов в 1984 году до 84,5 процента в 1997 году. Уровень этого показателя весьма значительный. Он зависит не только от наличия ресурсов и от социально-экономических характеристик населения, но и от организации служб, как об этом свидетельствует пример нескольких районов, где удалось значительно улучшить уровень этого показателя. В Сиди-Бу-Зид благодаря совмещению деятельности по планированию семьи с дородовыми консультациями охват первой дородовой консультацией вырос с 49 процентов в 1989 году до 69 процентов в 1996 году.</w:t>
      </w:r>
    </w:p>
    <w:p w:rsidR="00000000" w:rsidRDefault="00000000">
      <w:pPr>
        <w:spacing w:after="180" w:line="260" w:lineRule="exact"/>
        <w:rPr>
          <w:b/>
          <w:sz w:val="22"/>
        </w:rPr>
      </w:pPr>
      <w:r>
        <w:rPr>
          <w:b/>
          <w:sz w:val="22"/>
        </w:rPr>
        <w:t>Роды с оказанием медицинской помощи</w:t>
      </w:r>
    </w:p>
    <w:p w:rsidR="00000000" w:rsidRDefault="00000000">
      <w:r>
        <w:t>728.</w:t>
      </w:r>
      <w:r>
        <w:tab/>
        <w:t xml:space="preserve">Профилактическое наблюдение за беременными женщинами способствовало значительному улучшению показателя охвата женщин услугами специального персонала при родах. Доля женщин, воспользовавшихся этими услугами при родах, увеличилась с 30 процентов в 1970 году до 72 процентов в </w:t>
      </w:r>
      <w:r>
        <w:br/>
        <w:t>1989 году и до 81,6 процента в 1997 году.</w:t>
      </w:r>
    </w:p>
    <w:p w:rsidR="00000000" w:rsidRDefault="00000000">
      <w:r>
        <w:t>729.</w:t>
      </w:r>
      <w:r>
        <w:tab/>
        <w:t>В районах, где этот показатель не превышал 15 процентов в 1970 году, в частности на юге в Гафсе, он достиг 70,4 процента в 1992 году и 80 процентов в 1998 году.</w:t>
      </w:r>
    </w:p>
    <w:p w:rsidR="00000000" w:rsidRDefault="00000000">
      <w:r>
        <w:t>730.</w:t>
      </w:r>
      <w:r>
        <w:tab/>
        <w:t xml:space="preserve">В рамках больничной сети первой линии увеличилось количество окружных больниц и количество мест для рожениц в этих больницах, что в значительной степени способствовало большему охвату рожениц, особенно во внутренних районах страны. Отделения для рожениц в больницах такого рода осуществляют </w:t>
      </w:r>
      <w:r>
        <w:br/>
        <w:t>40 процентов всей лечебной деятельности больниц.</w:t>
      </w:r>
    </w:p>
    <w:p w:rsidR="00000000" w:rsidRDefault="00000000">
      <w:pPr>
        <w:jc w:val="center"/>
        <w:rPr>
          <w:b/>
        </w:rPr>
      </w:pPr>
      <w:r>
        <w:rPr>
          <w:b/>
        </w:rPr>
        <w:t>Показатели охраны здоровья женщин</w:t>
      </w:r>
    </w:p>
    <w:tbl>
      <w:tblPr>
        <w:tblW w:w="0" w:type="auto"/>
        <w:jc w:val="center"/>
        <w:tblLayout w:type="fixed"/>
        <w:tblCellMar>
          <w:left w:w="40" w:type="dxa"/>
          <w:right w:w="40" w:type="dxa"/>
        </w:tblCellMar>
        <w:tblLook w:val="0000" w:firstRow="0" w:lastRow="0" w:firstColumn="0" w:lastColumn="0" w:noHBand="0" w:noVBand="0"/>
      </w:tblPr>
      <w:tblGrid>
        <w:gridCol w:w="1983"/>
        <w:gridCol w:w="851"/>
        <w:gridCol w:w="851"/>
        <w:gridCol w:w="851"/>
      </w:tblGrid>
      <w:tr w:rsidR="00000000">
        <w:tblPrEx>
          <w:tblCellMar>
            <w:top w:w="0" w:type="dxa"/>
            <w:bottom w:w="0" w:type="dxa"/>
          </w:tblCellMar>
        </w:tblPrEx>
        <w:trPr>
          <w:trHeight w:val="20"/>
          <w:jc w:val="center"/>
        </w:trPr>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lang w:val="en-US"/>
              </w:rPr>
            </w:pP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1994 год</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1997 год</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1999 год</w:t>
            </w:r>
          </w:p>
        </w:tc>
      </w:tr>
      <w:tr w:rsidR="00000000">
        <w:tblPrEx>
          <w:tblCellMar>
            <w:top w:w="0" w:type="dxa"/>
            <w:bottom w:w="0" w:type="dxa"/>
          </w:tblCellMar>
        </w:tblPrEx>
        <w:trPr>
          <w:trHeight w:val="20"/>
          <w:jc w:val="center"/>
        </w:trPr>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Дородовое наблюдение</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79%</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84,5 %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lang w:val="en-US"/>
              </w:rPr>
            </w:pPr>
            <w:r>
              <w:rPr>
                <w:sz w:val="18"/>
                <w:lang w:val="en-US"/>
              </w:rPr>
              <w:t>–</w:t>
            </w:r>
          </w:p>
        </w:tc>
      </w:tr>
      <w:tr w:rsidR="00000000">
        <w:tblPrEx>
          <w:tblCellMar>
            <w:top w:w="0" w:type="dxa"/>
            <w:bottom w:w="0" w:type="dxa"/>
          </w:tblCellMar>
        </w:tblPrEx>
        <w:trPr>
          <w:trHeight w:val="20"/>
          <w:jc w:val="center"/>
        </w:trPr>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Роды с оказанием медицинской помощи</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80,3 %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81,6%</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86%</w:t>
            </w:r>
          </w:p>
        </w:tc>
      </w:tr>
      <w:tr w:rsidR="00000000">
        <w:tblPrEx>
          <w:tblCellMar>
            <w:top w:w="0" w:type="dxa"/>
            <w:bottom w:w="0" w:type="dxa"/>
          </w:tblCellMar>
        </w:tblPrEx>
        <w:trPr>
          <w:trHeight w:val="20"/>
          <w:jc w:val="center"/>
        </w:trPr>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Послеродовое наблюдение</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23,4%</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53,2 %</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w:t>
            </w:r>
          </w:p>
        </w:tc>
      </w:tr>
      <w:tr w:rsidR="00000000">
        <w:tblPrEx>
          <w:tblCellMar>
            <w:top w:w="0" w:type="dxa"/>
            <w:bottom w:w="0" w:type="dxa"/>
          </w:tblCellMar>
        </w:tblPrEx>
        <w:trPr>
          <w:trHeight w:val="20"/>
          <w:jc w:val="center"/>
        </w:trPr>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Материнская смертность на 100 тыс. живорождений</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68,9</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w:t>
            </w:r>
          </w:p>
        </w:tc>
      </w:tr>
    </w:tbl>
    <w:p w:rsidR="00000000" w:rsidRDefault="00000000">
      <w:pPr>
        <w:tabs>
          <w:tab w:val="left" w:pos="7088"/>
        </w:tabs>
        <w:spacing w:before="40" w:after="0" w:line="220" w:lineRule="exact"/>
        <w:ind w:right="2557"/>
        <w:jc w:val="right"/>
        <w:rPr>
          <w:b/>
          <w:sz w:val="18"/>
        </w:rPr>
      </w:pPr>
      <w:r>
        <w:rPr>
          <w:b/>
          <w:sz w:val="18"/>
        </w:rPr>
        <w:t>Источник: Министерство здравоохранения</w:t>
      </w:r>
    </w:p>
    <w:p w:rsidR="00000000" w:rsidRDefault="00000000">
      <w:pPr>
        <w:spacing w:before="240" w:line="240" w:lineRule="auto"/>
        <w:rPr>
          <w:b/>
          <w:sz w:val="28"/>
        </w:rPr>
      </w:pPr>
      <w:r>
        <w:rPr>
          <w:b/>
          <w:sz w:val="28"/>
        </w:rPr>
        <w:t>Демографические показатели</w:t>
      </w:r>
    </w:p>
    <w:p w:rsidR="00000000" w:rsidRDefault="00000000">
      <w:pPr>
        <w:spacing w:before="120" w:line="260" w:lineRule="exact"/>
        <w:rPr>
          <w:b/>
          <w:sz w:val="22"/>
        </w:rPr>
      </w:pPr>
      <w:r>
        <w:rPr>
          <w:b/>
          <w:sz w:val="22"/>
        </w:rPr>
        <w:t>Продолжительность предстоящей жизни при рождении</w:t>
      </w:r>
    </w:p>
    <w:p w:rsidR="00000000" w:rsidRDefault="00000000">
      <w:r>
        <w:t>731.</w:t>
      </w:r>
      <w:r>
        <w:tab/>
        <w:t xml:space="preserve">Продолжительность предстоящей жизни при рождении увеличилась у женщин с 51,56 года в 1966 году до 70,2 года в 1990 году и до 73,6 года в 1997 году, а у мужчин, соответственно, с 50,55 года до 67,4 года и до </w:t>
      </w:r>
      <w:r>
        <w:br/>
        <w:t>70,2 года. Продолжительность предстоящей жизни при рождении в национальном масштабе прогнозируется до 72,6 года в 2000 году и до 75,1 года в 2015 году (77,6 года для женщин). Женщины живут в среднем на 2,8 года дольше, чем мужчины.</w:t>
      </w:r>
    </w:p>
    <w:p w:rsidR="00000000" w:rsidRDefault="00000000">
      <w:pPr>
        <w:spacing w:before="120" w:line="260" w:lineRule="exact"/>
        <w:rPr>
          <w:b/>
          <w:sz w:val="22"/>
        </w:rPr>
      </w:pPr>
      <w:r>
        <w:rPr>
          <w:b/>
          <w:sz w:val="22"/>
        </w:rPr>
        <w:t>Младенческая смертность</w:t>
      </w:r>
    </w:p>
    <w:p w:rsidR="00000000" w:rsidRDefault="00000000">
      <w:r>
        <w:t>732.</w:t>
      </w:r>
      <w:r>
        <w:tab/>
        <w:t>Социально-экономическое развитие Туниса привело к значительным успехам в борьбе с младенческой смертностью и заболеваемостью новорожденных.</w:t>
      </w:r>
    </w:p>
    <w:p w:rsidR="00000000" w:rsidRDefault="00000000">
      <w:r>
        <w:t>733.</w:t>
      </w:r>
      <w:r>
        <w:tab/>
        <w:t>Улучшение условий жизни (жилищные условия, питание, гигиена в быту) и проведение национальных программ в интересах матери и ребенка, таких как вакцинация, борьба с диареей, улучшение дородового наблюдения и условий родов и, наконец, доступ тунисских женщин к современной медицине, позволили значительно снизить в Тунисе младенческую смертность, коэффициент которой уменьшился со 150 промилле в 1966 году до 120 промилле  в 1975 году и до 45 промилле в 1990 году.</w:t>
      </w:r>
    </w:p>
    <w:p w:rsidR="00000000" w:rsidRDefault="00000000">
      <w:r>
        <w:t>734.</w:t>
      </w:r>
      <w:r>
        <w:tab/>
        <w:t xml:space="preserve">Осуществление с начала 90-х годов подхода "безопасное материнство" привело к сокращению наполовину коэффициента младенческой смертности в течение этого десятилетия, который снизился с </w:t>
      </w:r>
      <w:r>
        <w:br/>
        <w:t xml:space="preserve">45 промилле в 1990 году до 27,2 промилле в 1997 году, и, по прогнозам НИС, ожидается его снижение до </w:t>
      </w:r>
      <w:r>
        <w:br/>
        <w:t>21,7 промилле в 2000 году.</w:t>
      </w:r>
    </w:p>
    <w:p w:rsidR="00000000" w:rsidRDefault="00000000">
      <w:pPr>
        <w:spacing w:before="120" w:line="260" w:lineRule="exact"/>
        <w:rPr>
          <w:b/>
          <w:sz w:val="22"/>
        </w:rPr>
      </w:pPr>
      <w:r>
        <w:rPr>
          <w:b/>
          <w:sz w:val="22"/>
        </w:rPr>
        <w:t>Коэффициент смертности среди женщин</w:t>
      </w:r>
    </w:p>
    <w:p w:rsidR="00000000" w:rsidRDefault="00000000">
      <w:r>
        <w:t>735.</w:t>
      </w:r>
      <w:r>
        <w:tab/>
        <w:t>Что касается коэффициента смертности среди женщин фертильного возраста (15–49 лет), то он снизился с 1,6 промилле в 1985 году до 0,66 промилле в 1993–1994 годах. В 82,5 процента случаев причиной смерти были болезни, а в 10,9 процента – несчастные случаи. Среди больных причиной смерти в 23 процентах случаев являются раковые заболевания и в 18,9 процента – сердечно-сосудистые заболевания.</w:t>
      </w:r>
    </w:p>
    <w:p w:rsidR="00000000" w:rsidRDefault="00000000">
      <w:pPr>
        <w:spacing w:after="160"/>
      </w:pPr>
      <w:r>
        <w:t>736.</w:t>
      </w:r>
      <w:r>
        <w:tab/>
        <w:t>Коэффициент материнской смертности составляет 68,9 случая смерти на 100 тыс. живорождений (1993–1994 годы). Основные причины смертности следующие:</w:t>
      </w:r>
    </w:p>
    <w:p w:rsidR="00000000" w:rsidRDefault="00000000">
      <w:pPr>
        <w:spacing w:after="160"/>
      </w:pPr>
      <w:r>
        <w:rPr>
          <w:lang w:val="en-US"/>
        </w:rPr>
        <w:tab/>
      </w:r>
      <w:r>
        <w:t>–</w:t>
      </w:r>
      <w:r>
        <w:tab/>
        <w:t>геморрагия (31,4 процента)</w:t>
      </w:r>
    </w:p>
    <w:p w:rsidR="00000000" w:rsidRDefault="00000000">
      <w:pPr>
        <w:spacing w:after="160"/>
      </w:pPr>
      <w:r>
        <w:tab/>
        <w:t>–</w:t>
      </w:r>
      <w:r>
        <w:tab/>
        <w:t>гипертония (19,3 процента)</w:t>
      </w:r>
    </w:p>
    <w:p w:rsidR="00000000" w:rsidRDefault="00000000">
      <w:pPr>
        <w:spacing w:after="160"/>
      </w:pPr>
      <w:r>
        <w:tab/>
        <w:t>–</w:t>
      </w:r>
      <w:r>
        <w:tab/>
        <w:t>инфекционные заболевания (11,4 процента)</w:t>
      </w:r>
    </w:p>
    <w:p w:rsidR="00000000" w:rsidRDefault="00000000">
      <w:pPr>
        <w:spacing w:after="160"/>
      </w:pPr>
      <w:r>
        <w:tab/>
        <w:t>–</w:t>
      </w:r>
      <w:r>
        <w:tab/>
        <w:t>сердечно-сосудистые заболевания (11,4 процента)</w:t>
      </w:r>
    </w:p>
    <w:p w:rsidR="00000000" w:rsidRDefault="00000000">
      <w:pPr>
        <w:spacing w:after="160"/>
      </w:pPr>
      <w:r>
        <w:tab/>
        <w:t>–</w:t>
      </w:r>
      <w:r>
        <w:tab/>
        <w:t>другие причины (17,9 процента)</w:t>
      </w:r>
    </w:p>
    <w:p w:rsidR="00000000" w:rsidRDefault="00000000">
      <w:pPr>
        <w:spacing w:after="160"/>
      </w:pPr>
      <w:r>
        <w:tab/>
        <w:t>–</w:t>
      </w:r>
      <w:r>
        <w:tab/>
        <w:t>неизвестные причины (8,6 процента).</w:t>
      </w:r>
    </w:p>
    <w:p w:rsidR="00000000" w:rsidRDefault="00000000">
      <w:r>
        <w:tab/>
        <w:t>Основными факторами риска являются возраст свыше 35 лет, проживание в отдаленных, изолированных районах, неграмотность.</w:t>
      </w:r>
    </w:p>
    <w:p w:rsidR="00000000" w:rsidRDefault="00000000">
      <w:r>
        <w:t>737.</w:t>
      </w:r>
      <w:r>
        <w:tab/>
        <w:t xml:space="preserve">Обследование, однако, показало, что существуют большие различия в коэффициенте смертности между прибрежными восточными районами – 51,6 промилле на 100 тыс. живорождений, и районами запада – </w:t>
      </w:r>
      <w:r>
        <w:br/>
        <w:t>99,4 промилле на 100 тыс. живорождений, как показано на таблице, ниже:</w:t>
      </w:r>
    </w:p>
    <w:p w:rsidR="00000000" w:rsidRDefault="00000000">
      <w:pPr>
        <w:jc w:val="center"/>
        <w:rPr>
          <w:b/>
        </w:rPr>
      </w:pPr>
      <w:r>
        <w:rPr>
          <w:b/>
        </w:rPr>
        <w:t>Коэффициент материнской смертности по районам</w:t>
      </w:r>
    </w:p>
    <w:tbl>
      <w:tblPr>
        <w:tblW w:w="0" w:type="auto"/>
        <w:jc w:val="center"/>
        <w:tblLayout w:type="fixed"/>
        <w:tblCellMar>
          <w:left w:w="40" w:type="dxa"/>
          <w:right w:w="40" w:type="dxa"/>
        </w:tblCellMar>
        <w:tblLook w:val="0000" w:firstRow="0" w:lastRow="0" w:firstColumn="0" w:lastColumn="0" w:noHBand="0" w:noVBand="0"/>
      </w:tblPr>
      <w:tblGrid>
        <w:gridCol w:w="2835"/>
        <w:gridCol w:w="2835"/>
      </w:tblGrid>
      <w:tr w:rsidR="00000000">
        <w:tblPrEx>
          <w:tblCellMar>
            <w:top w:w="0" w:type="dxa"/>
            <w:bottom w:w="0" w:type="dxa"/>
          </w:tblCellMar>
        </w:tblPrEx>
        <w:trPr>
          <w:trHeight w:val="20"/>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Район</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Коэффициент материнской смертности на 100 тыс. живорождений</w:t>
            </w:r>
          </w:p>
        </w:tc>
      </w:tr>
      <w:tr w:rsidR="00000000">
        <w:tblPrEx>
          <w:tblCellMar>
            <w:top w:w="0" w:type="dxa"/>
            <w:bottom w:w="0" w:type="dxa"/>
          </w:tblCellMar>
        </w:tblPrEx>
        <w:trPr>
          <w:trHeight w:val="20"/>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Большой Тунис (город)</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40,0</w:t>
            </w:r>
          </w:p>
        </w:tc>
      </w:tr>
      <w:tr w:rsidR="00000000">
        <w:tblPrEx>
          <w:tblCellMar>
            <w:top w:w="0" w:type="dxa"/>
            <w:bottom w:w="0" w:type="dxa"/>
          </w:tblCellMar>
        </w:tblPrEx>
        <w:trPr>
          <w:trHeight w:val="20"/>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lang w:val="en-US"/>
              </w:rPr>
            </w:pPr>
            <w:r>
              <w:rPr>
                <w:sz w:val="18"/>
              </w:rPr>
              <w:t>северо-восток</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50,4</w:t>
            </w:r>
          </w:p>
        </w:tc>
      </w:tr>
      <w:tr w:rsidR="00000000">
        <w:tblPrEx>
          <w:tblCellMar>
            <w:top w:w="0" w:type="dxa"/>
            <w:bottom w:w="0" w:type="dxa"/>
          </w:tblCellMar>
        </w:tblPrEx>
        <w:trPr>
          <w:trHeight w:val="20"/>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северо-запад</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94,0</w:t>
            </w:r>
          </w:p>
        </w:tc>
      </w:tr>
      <w:tr w:rsidR="00000000">
        <w:tblPrEx>
          <w:tblCellMar>
            <w:top w:w="0" w:type="dxa"/>
            <w:bottom w:w="0" w:type="dxa"/>
          </w:tblCellMar>
        </w:tblPrEx>
        <w:trPr>
          <w:trHeight w:val="20"/>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центральная часть восточного р-на</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57,4</w:t>
            </w:r>
          </w:p>
        </w:tc>
      </w:tr>
      <w:tr w:rsidR="00000000">
        <w:tblPrEx>
          <w:tblCellMar>
            <w:top w:w="0" w:type="dxa"/>
            <w:bottom w:w="0" w:type="dxa"/>
          </w:tblCellMar>
        </w:tblPrEx>
        <w:trPr>
          <w:trHeight w:val="20"/>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центральная часть западного р-на</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105,7</w:t>
            </w:r>
          </w:p>
        </w:tc>
      </w:tr>
      <w:tr w:rsidR="00000000">
        <w:tblPrEx>
          <w:tblCellMar>
            <w:top w:w="0" w:type="dxa"/>
            <w:bottom w:w="0" w:type="dxa"/>
          </w:tblCellMar>
        </w:tblPrEx>
        <w:trPr>
          <w:trHeight w:val="20"/>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юго-восток</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62,7</w:t>
            </w:r>
          </w:p>
        </w:tc>
      </w:tr>
      <w:tr w:rsidR="00000000">
        <w:tblPrEx>
          <w:tblCellMar>
            <w:top w:w="0" w:type="dxa"/>
            <w:bottom w:w="0" w:type="dxa"/>
          </w:tblCellMar>
        </w:tblPrEx>
        <w:trPr>
          <w:trHeight w:val="20"/>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юго-запад</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92,8</w:t>
            </w:r>
          </w:p>
        </w:tc>
      </w:tr>
      <w:tr w:rsidR="00000000">
        <w:tblPrEx>
          <w:tblCellMar>
            <w:top w:w="0" w:type="dxa"/>
            <w:bottom w:w="0" w:type="dxa"/>
          </w:tblCellMar>
        </w:tblPrEx>
        <w:trPr>
          <w:trHeight w:val="20"/>
          <w:jc w:val="center"/>
        </w:trPr>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rPr>
                <w:sz w:val="18"/>
              </w:rPr>
            </w:pPr>
            <w:r>
              <w:rPr>
                <w:sz w:val="18"/>
              </w:rPr>
              <w:t>Всего</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68,9</w:t>
            </w:r>
          </w:p>
        </w:tc>
      </w:tr>
    </w:tbl>
    <w:p w:rsidR="00000000" w:rsidRDefault="00000000">
      <w:pPr>
        <w:spacing w:before="80" w:line="220" w:lineRule="exact"/>
        <w:ind w:right="1990"/>
        <w:jc w:val="right"/>
        <w:rPr>
          <w:b/>
          <w:sz w:val="18"/>
        </w:rPr>
      </w:pPr>
      <w:r>
        <w:rPr>
          <w:b/>
          <w:sz w:val="18"/>
        </w:rPr>
        <w:t>Источник: Министерство здравоохранения</w:t>
      </w:r>
    </w:p>
    <w:p w:rsidR="00000000" w:rsidRDefault="00000000">
      <w:r>
        <w:t>738.</w:t>
      </w:r>
      <w:r>
        <w:tab/>
        <w:t>Цель, поставленная в IX национальном плане развития (1997–2001 годы), состоит в сокращении вполовину коэффициента материнской смертности.</w:t>
      </w:r>
    </w:p>
    <w:p w:rsidR="00000000" w:rsidRDefault="00000000">
      <w:r>
        <w:t>739.</w:t>
      </w:r>
      <w:r>
        <w:tab/>
        <w:t xml:space="preserve">Материнская смертность в 69,3 процента случаев связана с родами и их последствиями, в </w:t>
      </w:r>
      <w:r>
        <w:br/>
        <w:t>22,1 процента случаев – с беременностью и только в 2,1 процента случаев – с абортом.</w:t>
      </w:r>
    </w:p>
    <w:p w:rsidR="00000000" w:rsidRDefault="00000000">
      <w:r>
        <w:t>740.</w:t>
      </w:r>
      <w:r>
        <w:tab/>
        <w:t>Улучшение показателя фертильности способствовало снижению коэффициента материнской смертности, как показано на таблице, ниже:</w:t>
      </w:r>
    </w:p>
    <w:p w:rsidR="00000000" w:rsidRDefault="00000000">
      <w:pPr>
        <w:jc w:val="center"/>
        <w:rPr>
          <w:b/>
        </w:rPr>
      </w:pPr>
      <w:r>
        <w:rPr>
          <w:b/>
        </w:rPr>
        <w:t>Материнская смертность и коэффициент фертильности</w:t>
      </w:r>
    </w:p>
    <w:tbl>
      <w:tblPr>
        <w:tblW w:w="0" w:type="auto"/>
        <w:jc w:val="center"/>
        <w:tblLayout w:type="fixed"/>
        <w:tblCellMar>
          <w:left w:w="40" w:type="dxa"/>
          <w:right w:w="40" w:type="dxa"/>
        </w:tblCellMar>
        <w:tblLook w:val="0000" w:firstRow="0" w:lastRow="0" w:firstColumn="0" w:lastColumn="0" w:noHBand="0" w:noVBand="0"/>
      </w:tblPr>
      <w:tblGrid>
        <w:gridCol w:w="3402"/>
        <w:gridCol w:w="2835"/>
        <w:gridCol w:w="2835"/>
      </w:tblGrid>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lang w:val="en-US"/>
              </w:rPr>
            </w:pP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Коэффициент материнской смертности  на 100 тыс. живорождений</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 xml:space="preserve">Показатель фертильности </w:t>
            </w:r>
            <w:r>
              <w:rPr>
                <w:b/>
                <w:sz w:val="18"/>
              </w:rPr>
              <w:br/>
              <w:t>в процентах</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Большой Тунис (город)</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40</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80,5</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северо-восток</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50,4</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83,5</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северо-запад</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94</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80,5</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центральная часть западного р-на</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105,7</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112,5</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центральная часть восточного р-на</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57,5</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92,6</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юго-восток</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62,4</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100,3</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юго-запад</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lang w:val="en-US"/>
              </w:rPr>
            </w:pP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102,5</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60" w:after="60" w:line="220" w:lineRule="exact"/>
              <w:rPr>
                <w:sz w:val="18"/>
              </w:rPr>
            </w:pPr>
            <w:r>
              <w:rPr>
                <w:sz w:val="18"/>
              </w:rPr>
              <w:t>Тунис</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69</w:t>
            </w:r>
          </w:p>
        </w:tc>
        <w:tc>
          <w:tcPr>
            <w:tcW w:w="2835"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1374"/>
              </w:tabs>
              <w:spacing w:before="60" w:after="60" w:line="220" w:lineRule="exact"/>
              <w:rPr>
                <w:sz w:val="18"/>
              </w:rPr>
            </w:pPr>
            <w:r>
              <w:rPr>
                <w:sz w:val="18"/>
              </w:rPr>
              <w:t>89</w:t>
            </w:r>
          </w:p>
        </w:tc>
      </w:tr>
    </w:tbl>
    <w:p w:rsidR="00000000" w:rsidRDefault="00000000">
      <w:pPr>
        <w:spacing w:before="80" w:line="220" w:lineRule="exact"/>
        <w:ind w:right="290"/>
        <w:jc w:val="right"/>
        <w:rPr>
          <w:b/>
          <w:sz w:val="18"/>
        </w:rPr>
      </w:pPr>
      <w:r>
        <w:rPr>
          <w:b/>
          <w:sz w:val="18"/>
        </w:rPr>
        <w:t>Источник: Национальное бюро по вопросам планирования семьи и народонаселения</w:t>
      </w:r>
    </w:p>
    <w:p w:rsidR="00000000" w:rsidRDefault="00000000">
      <w:pPr>
        <w:spacing w:before="120" w:line="260" w:lineRule="exact"/>
        <w:rPr>
          <w:b/>
          <w:sz w:val="22"/>
        </w:rPr>
      </w:pPr>
      <w:r>
        <w:rPr>
          <w:b/>
          <w:sz w:val="22"/>
        </w:rPr>
        <w:t xml:space="preserve">Управление фертильностью </w:t>
      </w:r>
    </w:p>
    <w:p w:rsidR="00000000" w:rsidRDefault="00000000">
      <w:r>
        <w:t>741.</w:t>
      </w:r>
      <w:r>
        <w:tab/>
        <w:t>С самого начала эта политика носила наступательный характер, чем и были обеспечены средства для достижения этой цели: твердая юридическая поддержка укрепила волю государства, направленную на успешное проведение демографической политики. Из наказуемого по закону правонарушения аборт теперь превратился в одно из прав человека, в частности в право женщин на свободу выбора. Тунис является одной из немногих африканских стран и первой мусульманской страной, где разрешен аборт.</w:t>
      </w:r>
    </w:p>
    <w:p w:rsidR="00000000" w:rsidRDefault="00000000">
      <w:r>
        <w:t>742.</w:t>
      </w:r>
      <w:r>
        <w:tab/>
        <w:t>Результаты демографической политики очевидны, несмотря на значительные диспропорции между селом и городом и существование "очагов сопротивления" на юге и в центральной части западного района.</w:t>
      </w:r>
    </w:p>
    <w:p w:rsidR="00000000" w:rsidRDefault="00000000">
      <w:r>
        <w:t>743.</w:t>
      </w:r>
      <w:r>
        <w:tab/>
        <w:t xml:space="preserve">Показатель использования контрацептивов увеличился с 49,8 процента в 1984 году до 59,7 процента в 1994 году, до 61,2 процента в 1997 году и до 65,6 процента в 1998 году. Сводный индекс фертильности снизился с 4,64 процента в 1984 году до 3,45 процента в 1989 году, до 2,9 процента в 1996 году и до </w:t>
      </w:r>
      <w:r>
        <w:br/>
        <w:t>2,38 процента в 1997 году.</w:t>
      </w:r>
    </w:p>
    <w:tbl>
      <w:tblPr>
        <w:tblW w:w="0" w:type="auto"/>
        <w:jc w:val="center"/>
        <w:tblLayout w:type="fixed"/>
        <w:tblCellMar>
          <w:left w:w="40" w:type="dxa"/>
          <w:right w:w="40" w:type="dxa"/>
        </w:tblCellMar>
        <w:tblLook w:val="0000" w:firstRow="0" w:lastRow="0" w:firstColumn="0" w:lastColumn="0" w:noHBand="0" w:noVBand="0"/>
      </w:tblPr>
      <w:tblGrid>
        <w:gridCol w:w="1701"/>
        <w:gridCol w:w="1134"/>
        <w:gridCol w:w="1134"/>
        <w:gridCol w:w="1134"/>
        <w:gridCol w:w="1134"/>
      </w:tblGrid>
      <w:tr w:rsidR="00000000">
        <w:tblPrEx>
          <w:tblCellMar>
            <w:top w:w="0" w:type="dxa"/>
            <w:bottom w:w="0" w:type="dxa"/>
          </w:tblCellMar>
        </w:tblPrEx>
        <w:trPr>
          <w:trHeight w:val="20"/>
          <w:jc w:val="center"/>
        </w:trPr>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1984 год</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1994 год</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1997 год</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b/>
                <w:sz w:val="18"/>
              </w:rPr>
            </w:pPr>
            <w:r>
              <w:rPr>
                <w:b/>
                <w:sz w:val="18"/>
              </w:rPr>
              <w:t>1998 год</w:t>
            </w:r>
          </w:p>
        </w:tc>
      </w:tr>
      <w:tr w:rsidR="00000000">
        <w:tblPrEx>
          <w:tblCellMar>
            <w:top w:w="0" w:type="dxa"/>
            <w:bottom w:w="0" w:type="dxa"/>
          </w:tblCellMar>
        </w:tblPrEx>
        <w:trPr>
          <w:trHeight w:val="20"/>
          <w:jc w:val="center"/>
        </w:trPr>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Сводный индекс фертильности</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4,64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2,9</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2,38</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lang w:val="en-US"/>
              </w:rPr>
            </w:pPr>
          </w:p>
        </w:tc>
      </w:tr>
      <w:tr w:rsidR="00000000">
        <w:tblPrEx>
          <w:tblCellMar>
            <w:top w:w="0" w:type="dxa"/>
            <w:bottom w:w="0" w:type="dxa"/>
          </w:tblCellMar>
        </w:tblPrEx>
        <w:trPr>
          <w:trHeight w:val="20"/>
          <w:jc w:val="center"/>
        </w:trPr>
        <w:tc>
          <w:tcPr>
            <w:tcW w:w="170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Использование контрацептивов</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49,8</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59,7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61,2</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center"/>
              <w:rPr>
                <w:sz w:val="18"/>
              </w:rPr>
            </w:pPr>
            <w:r>
              <w:rPr>
                <w:sz w:val="18"/>
              </w:rPr>
              <w:t>65,6</w:t>
            </w:r>
          </w:p>
        </w:tc>
      </w:tr>
    </w:tbl>
    <w:p w:rsidR="00000000" w:rsidRDefault="00000000">
      <w:pPr>
        <w:spacing w:before="80" w:line="220" w:lineRule="exact"/>
        <w:ind w:right="1707"/>
        <w:jc w:val="right"/>
        <w:rPr>
          <w:b/>
          <w:sz w:val="18"/>
        </w:rPr>
      </w:pPr>
      <w:r>
        <w:rPr>
          <w:b/>
          <w:sz w:val="18"/>
        </w:rPr>
        <w:t>Источник: Национальное бюро по вопросам планирования семьи и народонаселения</w:t>
      </w:r>
    </w:p>
    <w:p w:rsidR="00000000" w:rsidRDefault="00000000">
      <w:r>
        <w:t>744.</w:t>
      </w:r>
      <w:r>
        <w:tab/>
        <w:t>Показательная эволюция некоторых параметров, связанных с функцией материнства, бесспорно свидетельствует, что произошел качественный скачок в жизни женщин, которые получили свободу выбора и стали легче переносить период беременности и материнства, активнее включаться в профессиональную и общественную жизнь и ощущать на себе повышающееся качество жизни.</w:t>
      </w:r>
    </w:p>
    <w:p w:rsidR="00000000" w:rsidRDefault="00000000">
      <w:pPr>
        <w:spacing w:after="120"/>
        <w:jc w:val="center"/>
        <w:rPr>
          <w:b/>
        </w:rPr>
      </w:pPr>
      <w:r>
        <w:rPr>
          <w:b/>
        </w:rPr>
        <w:t>Цикл жизни женщины в призме некоторых параметров</w:t>
      </w:r>
    </w:p>
    <w:tbl>
      <w:tblPr>
        <w:tblW w:w="0" w:type="auto"/>
        <w:jc w:val="center"/>
        <w:tblLayout w:type="fixed"/>
        <w:tblCellMar>
          <w:left w:w="40" w:type="dxa"/>
          <w:right w:w="40" w:type="dxa"/>
        </w:tblCellMar>
        <w:tblLook w:val="0000" w:firstRow="0" w:lastRow="0" w:firstColumn="0" w:lastColumn="0" w:noHBand="0" w:noVBand="0"/>
      </w:tblPr>
      <w:tblGrid>
        <w:gridCol w:w="7938"/>
        <w:gridCol w:w="850"/>
        <w:gridCol w:w="851"/>
      </w:tblGrid>
      <w:tr w:rsidR="00000000">
        <w:tblPrEx>
          <w:tblCellMar>
            <w:top w:w="0" w:type="dxa"/>
            <w:bottom w:w="0" w:type="dxa"/>
          </w:tblCellMar>
        </w:tblPrEx>
        <w:trPr>
          <w:trHeight w:val="20"/>
          <w:jc w:val="center"/>
        </w:trPr>
        <w:tc>
          <w:tcPr>
            <w:tcW w:w="793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b/>
                <w:sz w:val="18"/>
              </w:rPr>
              <w:t>Показатели</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1966 год</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1994 год</w:t>
            </w:r>
          </w:p>
        </w:tc>
      </w:tr>
      <w:tr w:rsidR="00000000">
        <w:tblPrEx>
          <w:tblCellMar>
            <w:top w:w="0" w:type="dxa"/>
            <w:bottom w:w="0" w:type="dxa"/>
          </w:tblCellMar>
        </w:tblPrEx>
        <w:trPr>
          <w:trHeight w:val="20"/>
          <w:jc w:val="center"/>
        </w:trPr>
        <w:tc>
          <w:tcPr>
            <w:tcW w:w="793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Возраст замужества (число лет)</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20,8</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26,7</w:t>
            </w:r>
          </w:p>
        </w:tc>
      </w:tr>
      <w:tr w:rsidR="00000000">
        <w:tblPrEx>
          <w:tblCellMar>
            <w:top w:w="0" w:type="dxa"/>
            <w:bottom w:w="0" w:type="dxa"/>
          </w:tblCellMar>
        </w:tblPrEx>
        <w:trPr>
          <w:trHeight w:val="20"/>
          <w:jc w:val="center"/>
        </w:trPr>
        <w:tc>
          <w:tcPr>
            <w:tcW w:w="793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Продолжительность предстоящей жизни при рождении (число лет)</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51</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73,3</w:t>
            </w:r>
          </w:p>
        </w:tc>
      </w:tr>
      <w:tr w:rsidR="00000000">
        <w:tblPrEx>
          <w:tblCellMar>
            <w:top w:w="0" w:type="dxa"/>
            <w:bottom w:w="0" w:type="dxa"/>
          </w:tblCellMar>
        </w:tblPrEx>
        <w:trPr>
          <w:trHeight w:val="20"/>
          <w:jc w:val="center"/>
        </w:trPr>
        <w:tc>
          <w:tcPr>
            <w:tcW w:w="793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Сводный индекс фертильности (число детей)</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7,15</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2,9</w:t>
            </w:r>
          </w:p>
        </w:tc>
      </w:tr>
      <w:tr w:rsidR="00000000">
        <w:tblPrEx>
          <w:tblCellMar>
            <w:top w:w="0" w:type="dxa"/>
            <w:bottom w:w="0" w:type="dxa"/>
          </w:tblCellMar>
        </w:tblPrEx>
        <w:trPr>
          <w:trHeight w:val="20"/>
          <w:jc w:val="center"/>
        </w:trPr>
        <w:tc>
          <w:tcPr>
            <w:tcW w:w="793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Возраст при рождении первого ребенка (число лет)</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22</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28</w:t>
            </w:r>
          </w:p>
        </w:tc>
      </w:tr>
      <w:tr w:rsidR="00000000">
        <w:tblPrEx>
          <w:tblCellMar>
            <w:top w:w="0" w:type="dxa"/>
            <w:bottom w:w="0" w:type="dxa"/>
          </w:tblCellMar>
        </w:tblPrEx>
        <w:trPr>
          <w:trHeight w:val="20"/>
          <w:jc w:val="center"/>
        </w:trPr>
        <w:tc>
          <w:tcPr>
            <w:tcW w:w="793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Продолжительность периода материнства (число лет) в целом</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24</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10</w:t>
            </w:r>
          </w:p>
        </w:tc>
      </w:tr>
      <w:tr w:rsidR="00000000">
        <w:tblPrEx>
          <w:tblCellMar>
            <w:top w:w="0" w:type="dxa"/>
            <w:bottom w:w="0" w:type="dxa"/>
          </w:tblCellMar>
        </w:tblPrEx>
        <w:trPr>
          <w:trHeight w:val="20"/>
          <w:jc w:val="center"/>
        </w:trPr>
        <w:tc>
          <w:tcPr>
            <w:tcW w:w="793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Число лет, посвященных грудному вскармливанию, в целом</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18</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6</w:t>
            </w:r>
          </w:p>
        </w:tc>
      </w:tr>
      <w:tr w:rsidR="00000000">
        <w:tblPrEx>
          <w:tblCellMar>
            <w:top w:w="0" w:type="dxa"/>
            <w:bottom w:w="0" w:type="dxa"/>
          </w:tblCellMar>
        </w:tblPrEx>
        <w:trPr>
          <w:trHeight w:val="20"/>
          <w:jc w:val="center"/>
        </w:trPr>
        <w:tc>
          <w:tcPr>
            <w:tcW w:w="7938"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rPr>
                <w:sz w:val="18"/>
              </w:rPr>
            </w:pPr>
            <w:r>
              <w:rPr>
                <w:sz w:val="18"/>
              </w:rPr>
              <w:t>Продолжительность предстоящей жизни  при рождении последнего ребенка (число лет)</w:t>
            </w:r>
          </w:p>
        </w:tc>
        <w:tc>
          <w:tcPr>
            <w:tcW w:w="850"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15</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sz w:val="18"/>
              </w:rPr>
            </w:pPr>
            <w:r>
              <w:rPr>
                <w:sz w:val="18"/>
              </w:rPr>
              <w:t>35</w:t>
            </w:r>
          </w:p>
        </w:tc>
      </w:tr>
    </w:tbl>
    <w:p w:rsidR="00000000" w:rsidRDefault="00000000">
      <w:pPr>
        <w:spacing w:before="80" w:line="220" w:lineRule="exact"/>
        <w:jc w:val="right"/>
        <w:rPr>
          <w:b/>
          <w:sz w:val="18"/>
        </w:rPr>
      </w:pPr>
      <w:r>
        <w:rPr>
          <w:b/>
          <w:sz w:val="18"/>
        </w:rPr>
        <w:t>Источник: Национальное бюро по вопросам планирования семьи и народонаселения</w:t>
      </w:r>
    </w:p>
    <w:p w:rsidR="00000000" w:rsidRDefault="00000000">
      <w:pPr>
        <w:spacing w:after="80"/>
      </w:pPr>
      <w:r>
        <w:t>745.</w:t>
      </w:r>
      <w:r>
        <w:tab/>
        <w:t>Сегодня тунисские женщины позднее выходят замуж и рожают детей независимо от уровня образования и среды, в которой они живут.</w:t>
      </w:r>
    </w:p>
    <w:p w:rsidR="00000000" w:rsidRDefault="00000000">
      <w:pPr>
        <w:spacing w:after="80"/>
        <w:ind w:left="1021" w:hanging="1021"/>
      </w:pPr>
      <w:r>
        <w:tab/>
        <w:t>–</w:t>
      </w:r>
      <w:r>
        <w:tab/>
        <w:t>Средний возраст замужества женщины увеличился с 19,4 года в 1966 году до 22,5 года в 1975 году и до 27 лет в 1994 году.</w:t>
      </w:r>
    </w:p>
    <w:p w:rsidR="00000000" w:rsidRDefault="00000000">
      <w:pPr>
        <w:ind w:left="1021" w:hanging="1021"/>
      </w:pPr>
      <w:r>
        <w:tab/>
        <w:t>–</w:t>
      </w:r>
      <w:r>
        <w:tab/>
        <w:t xml:space="preserve">Возраст женщины при рождении первого ребенка увеличился с 22 лет в 1966 году до 28 лет в </w:t>
      </w:r>
      <w:r>
        <w:br/>
        <w:t xml:space="preserve">1994 году, однако женщины в возрасте от 25 до 29 лет имели первого ребенка в среднем в 24 года. В настоящее время в сельской среде средний возраст женщины при рождении первого ребенка – </w:t>
      </w:r>
      <w:r>
        <w:br/>
        <w:t>22,2 года.</w:t>
      </w:r>
    </w:p>
    <w:p w:rsidR="00000000" w:rsidRDefault="00000000">
      <w:pPr>
        <w:spacing w:after="120"/>
      </w:pPr>
      <w:r>
        <w:t>746.</w:t>
      </w:r>
      <w:r>
        <w:tab/>
        <w:t xml:space="preserve">По оценкам, благодаря политике глобального развития и улучшения репродуктивного здоровья в </w:t>
      </w:r>
      <w:r>
        <w:br/>
        <w:t xml:space="preserve">2015 году общее число населения составит 11,9 млн. человек, сводный индекс фертильности начиная с </w:t>
      </w:r>
      <w:r>
        <w:br/>
        <w:t>2010 года стабилизируется на уровне 2,10 и продолжительность предстоящей жизни при рождении, по прогнозам НИС, составит в 2015 году 75,1 года.</w:t>
      </w:r>
    </w:p>
    <w:p w:rsidR="00000000" w:rsidRDefault="00000000">
      <w:r>
        <w:t>747.</w:t>
      </w:r>
      <w:r>
        <w:tab/>
        <w:t>Планирование семьи позволило женщине вырваться из рамок традиционных обычаев, которые отводили ей исключительно репродуктивную роль. Влияние планирования семьи на эмансипацию женщин является очевидным, признаки свободы выбора женщины в отношении ее обязанности воспроизведения потомства, ее вклад в профессиональную жизнь и ее деятельность вне дома являются знаменательными фактами, свидетельствующими о глубокой трансформации общественного менталитета. Молодые люди в возрасте до 25 лет – "дети политики планирования семьи" – положительно относятся к контрацептивным средствам (обследование, проведенное Национальным бюро по вопросам планирования семьи и народонаселения). Они убеждены, что управление фертильностью является главным элементом индивидуального и семейного равновесия.</w:t>
      </w:r>
    </w:p>
    <w:p w:rsidR="00000000" w:rsidRDefault="00000000">
      <w:pPr>
        <w:spacing w:after="200" w:line="260" w:lineRule="exact"/>
        <w:rPr>
          <w:b/>
          <w:sz w:val="22"/>
        </w:rPr>
      </w:pPr>
      <w:r>
        <w:rPr>
          <w:b/>
          <w:sz w:val="22"/>
        </w:rPr>
        <w:t>Показатели заболеваемости</w:t>
      </w:r>
    </w:p>
    <w:p w:rsidR="00000000" w:rsidRDefault="00000000">
      <w:r>
        <w:t>748.</w:t>
      </w:r>
      <w:r>
        <w:tab/>
        <w:t>По данным национального опроса, проведенного в 1991 году у 84 693 больных, госпитализированных в государственных лечебных учреждениях, респираторные и сердечно-сосудистые заболевания являются главными причинами госпитализации как женщин, так и мужчин, в то время как травматизм и отравления, занимающие третье место среди причин госпитализации мужчин, у женщин встречаются в три раза реже.</w:t>
      </w:r>
    </w:p>
    <w:p w:rsidR="00000000" w:rsidRDefault="00000000">
      <w:r>
        <w:t>749.</w:t>
      </w:r>
      <w:r>
        <w:tab/>
        <w:t>Обследование также показало, что инфекционные болезни уже не являются доминирующими, однако прогрессируют заболевания, связанные с проблемами питания, образом жизни и окружающей средой.</w:t>
      </w:r>
    </w:p>
    <w:p w:rsidR="00000000" w:rsidRDefault="00000000">
      <w:pPr>
        <w:spacing w:after="200" w:line="260" w:lineRule="exact"/>
        <w:rPr>
          <w:b/>
          <w:sz w:val="22"/>
        </w:rPr>
      </w:pPr>
      <w:r>
        <w:rPr>
          <w:b/>
          <w:sz w:val="22"/>
        </w:rPr>
        <w:t>Рак груди</w:t>
      </w:r>
    </w:p>
    <w:p w:rsidR="00000000" w:rsidRDefault="00000000">
      <w:r>
        <w:t>750.</w:t>
      </w:r>
      <w:r>
        <w:tab/>
        <w:t>Рак груди составляет 14,1 процента всех злокачественных опухолей и 27,5 процента опухолей у женщин. У женщин в возрасте тридцати лет и старше рак груди занимает первое место среди других заболеваний: 43 процента зарегистрированных случаев раковых заболеваний наблюдаются у женщин в период детородной активности.</w:t>
      </w:r>
    </w:p>
    <w:p w:rsidR="00000000" w:rsidRDefault="00000000">
      <w:r>
        <w:t>751.</w:t>
      </w:r>
      <w:r>
        <w:tab/>
        <w:t>Несмотря на улучшение возможностей доступа к медицинским структурам, находящимся в ведении служб планирования семьи, и к центрам первичной медицинской помощи, диагностика рака груди, которая значительно улучшилась в последние десять лет, нередко осуществляется с опозданием.</w:t>
      </w:r>
    </w:p>
    <w:p w:rsidR="00000000" w:rsidRDefault="00000000">
      <w:r>
        <w:t>752.</w:t>
      </w:r>
      <w:r>
        <w:tab/>
        <w:t>Проект Государственного секретариата по делам женщин и семьи/Национального союза тунисских женщин (НСТЖ) по выявлению рака груди начал проводиться в жизнь в 1995 году под руководством Союза женщин-медиков, входящего в НСТЖ. Согласно этому проекту женщины могут бесплатно пользоваться установленным в больнице Шарль Николь в городе Тунисе маммографом, который приобретен на пожертвования и предназначен для ранней диагностики рака. Более 5 тыс. женщин уже прошли обследование и в 5 процентах случаев был выявлен рак. Государственный секретариат по делам женщин и семьи выделяет на этот проект ежегодную субсидию.</w:t>
      </w:r>
    </w:p>
    <w:p w:rsidR="00000000" w:rsidRDefault="00000000">
      <w:pPr>
        <w:spacing w:after="200" w:line="260" w:lineRule="exact"/>
        <w:rPr>
          <w:b/>
          <w:sz w:val="22"/>
        </w:rPr>
      </w:pPr>
      <w:r>
        <w:rPr>
          <w:b/>
          <w:sz w:val="22"/>
        </w:rPr>
        <w:t>Рак шейки матки</w:t>
      </w:r>
    </w:p>
    <w:p w:rsidR="00000000" w:rsidRDefault="00000000">
      <w:pPr>
        <w:spacing w:after="120"/>
      </w:pPr>
      <w:r>
        <w:t>753.</w:t>
      </w:r>
      <w:r>
        <w:tab/>
        <w:t>В исследовании, проведенном на базе 1637 случаев рака шейки матки, выявленных в Институте онкологии города Туниса в период с 1969 по 1989 год, подчеркивается, что:</w:t>
      </w:r>
    </w:p>
    <w:p w:rsidR="00000000" w:rsidRDefault="00000000">
      <w:pPr>
        <w:spacing w:after="120"/>
        <w:ind w:left="1021" w:hanging="1021"/>
      </w:pPr>
      <w:r>
        <w:tab/>
        <w:t>–</w:t>
      </w:r>
      <w:r>
        <w:tab/>
        <w:t>последствия этого вида рака стабильны и пропорция женщин в возрасте моложе 35 лет с таким заболеванием постоянна;</w:t>
      </w:r>
    </w:p>
    <w:p w:rsidR="00000000" w:rsidRDefault="00000000">
      <w:pPr>
        <w:spacing w:after="120"/>
        <w:ind w:left="1021" w:hanging="1021"/>
      </w:pPr>
      <w:r>
        <w:rPr>
          <w:lang w:val="en-US"/>
        </w:rPr>
        <w:tab/>
      </w:r>
      <w:r>
        <w:t>–</w:t>
      </w:r>
      <w:r>
        <w:tab/>
        <w:t>две женщины из трех после появления первых симптомов обращаются за врачебной консультацией не ранее чем через 6 месяцев, так что рак выявляется уже на поздней стадии;</w:t>
      </w:r>
    </w:p>
    <w:p w:rsidR="00000000" w:rsidRDefault="00000000">
      <w:pPr>
        <w:ind w:left="1021" w:hanging="1021"/>
      </w:pPr>
      <w:r>
        <w:tab/>
        <w:t>–</w:t>
      </w:r>
      <w:r>
        <w:tab/>
        <w:t xml:space="preserve">тем не менее выявление именно этой патологии технически возможно и рак, выявленный на ранней стадии, может быть излечен. К сожалению, выявление рака в кратчайшие сроки или на ранней стадии происходит лишь в 0,8 процента случаев. </w:t>
      </w:r>
    </w:p>
    <w:p w:rsidR="00000000" w:rsidRDefault="00000000">
      <w:pPr>
        <w:spacing w:after="200"/>
        <w:rPr>
          <w:b/>
        </w:rPr>
      </w:pPr>
      <w:r>
        <w:rPr>
          <w:b/>
        </w:rPr>
        <w:t>ЗППП/СПИД</w:t>
      </w:r>
    </w:p>
    <w:p w:rsidR="00000000" w:rsidRDefault="00000000">
      <w:r>
        <w:t>754.</w:t>
      </w:r>
      <w:r>
        <w:tab/>
        <w:t>В Тунисе первый случай ВИЧ-инфицирования (вирус, вызывающий СПИД) был выявлен в декабре 1985 года. С тех пор ежегодно выявляется 50 случаев ВИЧ-инфицирования. В конце 1998 года Министерство здравоохранения представило данные о 844 ВИЧ-инфицированных, в том числе 497 больных СПИДом, из которых 306 человек уже скончались. Выявлены 183 ВИЧ-инфицированные женщины.</w:t>
      </w:r>
    </w:p>
    <w:p w:rsidR="00000000" w:rsidRDefault="00000000">
      <w:r>
        <w:t>755.</w:t>
      </w:r>
      <w:r>
        <w:tab/>
        <w:t xml:space="preserve">Частотность ВИЧ-инфицированных среди всего населения составила в 1997 году пять случаев на </w:t>
      </w:r>
      <w:r>
        <w:br/>
        <w:t>100 тыс. жителей. Разбивка по полу показывает, что в этом отношении превалируют мужчины – 72 процента против 28 процентов у женщин из общего числа ВИЧ-инфицированных. Частотность ВИЧ-инфицированных беременных женщин в возрасте от 15 до 24 лет равна нулю согласно обязательным заявлениям о ВИЧ-инфекции. Обследование среди беременных женщин, проведенное в 1992–1993 годах в отдельных районах, городах Тунис, Сус и Сфакс, не выявило ни одного случая.</w:t>
      </w:r>
    </w:p>
    <w:p w:rsidR="00000000" w:rsidRDefault="00000000">
      <w:r>
        <w:t>756.</w:t>
      </w:r>
      <w:r>
        <w:tab/>
        <w:t>Что касается заболеваний, передаваемых половым путем, то здесь проводится стратегия поиска наилучшего подхода к проблеме и точного определения наличия эпидемиологического положения, используя подход на основе выявления синдромов заболеваний.</w:t>
      </w:r>
    </w:p>
    <w:p w:rsidR="00000000" w:rsidRDefault="00000000">
      <w:r>
        <w:t>757.</w:t>
      </w:r>
      <w:r>
        <w:tab/>
        <w:t>Национальная программа профилактики, борьбы и лечения ЗППП и СПИДа проводится в жизнь и охватывает все категории населения, особенно молодежь; программа осуществляется в партнерстве между структурами общественного здравоохранения и НПО, занимающимися вопросами ЗППП и СПИДа.</w:t>
      </w:r>
    </w:p>
    <w:p w:rsidR="00000000" w:rsidRDefault="00000000">
      <w:r>
        <w:t>758.</w:t>
      </w:r>
      <w:r>
        <w:tab/>
        <w:t xml:space="preserve">Что касается факторов риска распространения заболевания, то если вначале основным фактором было заражение через кровь и ее производные, то теперь фактором риска становятся гетеросексуальные связи </w:t>
      </w:r>
      <w:r>
        <w:br/>
        <w:t>(30 процентов), в то время как передача заболевания от матери к плоду остается пока еще редкой, не превышая 4 процентов.</w:t>
      </w:r>
    </w:p>
    <w:p w:rsidR="00000000" w:rsidRDefault="00000000">
      <w:r>
        <w:t>759.</w:t>
      </w:r>
      <w:r>
        <w:tab/>
        <w:t>Что касается проституции, то в Тунисе было выявлено два случая ВИЧ-инфицирования среди постоянно занимающихся проституцией женщин, которые проходят периодический осмотр. Напротив, подпольная проституция остается трудно доступной для контроля; НПО стараются проникнуть в эти круги.</w:t>
      </w:r>
    </w:p>
    <w:p w:rsidR="00000000" w:rsidRDefault="00000000">
      <w:pPr>
        <w:spacing w:before="120" w:line="260" w:lineRule="exact"/>
        <w:rPr>
          <w:b/>
          <w:sz w:val="22"/>
        </w:rPr>
      </w:pPr>
      <w:r>
        <w:rPr>
          <w:b/>
          <w:sz w:val="22"/>
        </w:rPr>
        <w:t>Недоедание и ожирение</w:t>
      </w:r>
    </w:p>
    <w:p w:rsidR="00000000" w:rsidRDefault="00000000">
      <w:r>
        <w:t>760.</w:t>
      </w:r>
      <w:r>
        <w:tab/>
        <w:t>Недоедание не больше распространено среди девочек, чем среди мальчиков. Национальное обследование положения с питанием тунисского населения, проведенное Тунисским национальным институтом питания в 1996–1998 годах, отмечает частотность крайнего исхудания (вес/рост) в 1,3 процента среди детей в возрасте до шести лет, однако значительных статистических различий здесь между полами не наблюдается.</w:t>
      </w:r>
    </w:p>
    <w:p w:rsidR="00000000" w:rsidRDefault="00000000">
      <w:r>
        <w:t>761.</w:t>
      </w:r>
      <w:r>
        <w:tab/>
        <w:t>Напротив, ожирение обычно свойственно девочкам в возрасте от 6 до 11 месяцев – 19,4 процента, и меньше мальчикам – 9,4 процента в том же возрасте. Отставание в росте затрагивает 9,5 процента грудных детей и малышей без заметных статистических различий между мальчиками и девочками. То же относится к недостатку в весе, частотность которого составляет 4,4 процента.</w:t>
      </w:r>
    </w:p>
    <w:p w:rsidR="00000000" w:rsidRDefault="00000000">
      <w:pPr>
        <w:jc w:val="center"/>
        <w:rPr>
          <w:b/>
        </w:rPr>
      </w:pPr>
      <w:r>
        <w:rPr>
          <w:b/>
        </w:rPr>
        <w:t>Частотность недоедания (в процентах)</w:t>
      </w:r>
    </w:p>
    <w:tbl>
      <w:tblPr>
        <w:tblW w:w="0" w:type="auto"/>
        <w:jc w:val="center"/>
        <w:tblLayout w:type="fixed"/>
        <w:tblCellMar>
          <w:left w:w="40" w:type="dxa"/>
          <w:right w:w="40" w:type="dxa"/>
        </w:tblCellMar>
        <w:tblLook w:val="0000" w:firstRow="0" w:lastRow="0" w:firstColumn="0" w:lastColumn="0" w:noHBand="0" w:noVBand="0"/>
      </w:tblPr>
      <w:tblGrid>
        <w:gridCol w:w="3402"/>
        <w:gridCol w:w="1134"/>
        <w:gridCol w:w="1134"/>
      </w:tblGrid>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left"/>
              <w:rPr>
                <w:b/>
                <w:sz w:val="18"/>
              </w:rPr>
            </w:pPr>
            <w:r>
              <w:rPr>
                <w:b/>
                <w:sz w:val="18"/>
              </w:rPr>
              <w:t>Стадия</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Мальчики</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80" w:after="80" w:line="220" w:lineRule="exact"/>
              <w:jc w:val="center"/>
              <w:rPr>
                <w:b/>
                <w:sz w:val="18"/>
              </w:rPr>
            </w:pPr>
            <w:r>
              <w:rPr>
                <w:b/>
                <w:sz w:val="18"/>
              </w:rPr>
              <w:t>Девочки</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Легкая форма острого недоедания</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524"/>
              </w:tabs>
              <w:spacing w:before="40" w:after="40" w:line="220" w:lineRule="exact"/>
              <w:rPr>
                <w:sz w:val="18"/>
              </w:rPr>
            </w:pPr>
            <w:r>
              <w:rPr>
                <w:sz w:val="18"/>
              </w:rPr>
              <w:t>16</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524"/>
              </w:tabs>
              <w:spacing w:before="40" w:after="40" w:line="220" w:lineRule="exact"/>
              <w:rPr>
                <w:sz w:val="18"/>
              </w:rPr>
            </w:pPr>
            <w:r>
              <w:rPr>
                <w:sz w:val="18"/>
              </w:rPr>
              <w:t>14</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Средняя и тяжелая формы острого недоедания</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524"/>
              </w:tabs>
              <w:spacing w:before="40" w:after="40" w:line="220" w:lineRule="exact"/>
              <w:rPr>
                <w:sz w:val="18"/>
              </w:rPr>
            </w:pPr>
            <w:r>
              <w:rPr>
                <w:sz w:val="18"/>
              </w:rPr>
              <w:t>3,8</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524"/>
              </w:tabs>
              <w:spacing w:before="40" w:after="40" w:line="220" w:lineRule="exact"/>
              <w:rPr>
                <w:sz w:val="18"/>
              </w:rPr>
            </w:pPr>
            <w:r>
              <w:rPr>
                <w:sz w:val="18"/>
              </w:rPr>
              <w:t>2,3</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Легкое хроническое недоедание</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524"/>
              </w:tabs>
              <w:spacing w:before="40" w:after="40" w:line="220" w:lineRule="exact"/>
              <w:rPr>
                <w:sz w:val="18"/>
              </w:rPr>
            </w:pPr>
            <w:r>
              <w:rPr>
                <w:sz w:val="18"/>
              </w:rPr>
              <w:t>26,5</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524"/>
              </w:tabs>
              <w:spacing w:before="40" w:after="40" w:line="220" w:lineRule="exact"/>
              <w:rPr>
                <w:sz w:val="18"/>
              </w:rPr>
            </w:pPr>
            <w:r>
              <w:rPr>
                <w:sz w:val="18"/>
              </w:rPr>
              <w:t>26,5</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Среднее и тяжелое хроническое недоедание</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524"/>
              </w:tabs>
              <w:spacing w:before="40" w:after="40" w:line="220" w:lineRule="exact"/>
              <w:rPr>
                <w:sz w:val="18"/>
              </w:rPr>
            </w:pPr>
            <w:r>
              <w:rPr>
                <w:sz w:val="18"/>
              </w:rPr>
              <w:t>17,3</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524"/>
              </w:tabs>
              <w:spacing w:before="40" w:after="40" w:line="220" w:lineRule="exact"/>
              <w:rPr>
                <w:sz w:val="18"/>
              </w:rPr>
            </w:pPr>
            <w:r>
              <w:rPr>
                <w:sz w:val="18"/>
              </w:rPr>
              <w:t>19,2</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Легкое переедание</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524"/>
              </w:tabs>
              <w:spacing w:before="40" w:after="40" w:line="220" w:lineRule="exact"/>
              <w:rPr>
                <w:sz w:val="18"/>
              </w:rPr>
            </w:pPr>
            <w:r>
              <w:rPr>
                <w:sz w:val="18"/>
              </w:rPr>
              <w:t>9,7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524"/>
              </w:tabs>
              <w:spacing w:before="40" w:after="40" w:line="220" w:lineRule="exact"/>
              <w:rPr>
                <w:sz w:val="18"/>
              </w:rPr>
            </w:pPr>
            <w:r>
              <w:rPr>
                <w:sz w:val="18"/>
              </w:rPr>
              <w:t>10,3</w:t>
            </w:r>
          </w:p>
        </w:tc>
      </w:tr>
      <w:tr w:rsidR="00000000">
        <w:tblPrEx>
          <w:tblCellMar>
            <w:top w:w="0" w:type="dxa"/>
            <w:bottom w:w="0" w:type="dxa"/>
          </w:tblCellMar>
        </w:tblPrEx>
        <w:trPr>
          <w:trHeight w:val="20"/>
          <w:jc w:val="center"/>
        </w:trPr>
        <w:tc>
          <w:tcPr>
            <w:tcW w:w="3402"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20" w:lineRule="exact"/>
              <w:jc w:val="left"/>
              <w:rPr>
                <w:sz w:val="18"/>
              </w:rPr>
            </w:pPr>
            <w:r>
              <w:rPr>
                <w:sz w:val="18"/>
              </w:rPr>
              <w:t>Средняя и тяжелая формы переедания</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524"/>
              </w:tabs>
              <w:spacing w:before="40" w:after="40" w:line="220" w:lineRule="exact"/>
              <w:rPr>
                <w:sz w:val="18"/>
              </w:rPr>
            </w:pPr>
            <w:r>
              <w:rPr>
                <w:sz w:val="18"/>
              </w:rPr>
              <w:t>3,1</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clear" w:pos="680"/>
                <w:tab w:val="clear" w:pos="1021"/>
                <w:tab w:val="decimal" w:pos="524"/>
              </w:tabs>
              <w:spacing w:before="40" w:after="40" w:line="220" w:lineRule="exact"/>
              <w:rPr>
                <w:sz w:val="18"/>
              </w:rPr>
            </w:pPr>
            <w:r>
              <w:rPr>
                <w:sz w:val="18"/>
              </w:rPr>
              <w:t>4,4</w:t>
            </w:r>
          </w:p>
        </w:tc>
      </w:tr>
    </w:tbl>
    <w:p w:rsidR="00000000" w:rsidRDefault="00000000">
      <w:pPr>
        <w:spacing w:before="80" w:after="0" w:line="220" w:lineRule="exact"/>
        <w:ind w:right="1990"/>
        <w:jc w:val="right"/>
        <w:rPr>
          <w:b/>
          <w:sz w:val="18"/>
        </w:rPr>
      </w:pPr>
      <w:r>
        <w:rPr>
          <w:b/>
          <w:sz w:val="18"/>
        </w:rPr>
        <w:t>Источник: Министерство здравоохранения</w:t>
      </w:r>
    </w:p>
    <w:p w:rsidR="00000000" w:rsidRDefault="00000000">
      <w:pPr>
        <w:spacing w:before="120" w:line="260" w:lineRule="exact"/>
        <w:rPr>
          <w:b/>
          <w:sz w:val="22"/>
        </w:rPr>
      </w:pPr>
      <w:r>
        <w:rPr>
          <w:b/>
          <w:sz w:val="22"/>
        </w:rPr>
        <w:t>Анемия</w:t>
      </w:r>
    </w:p>
    <w:p w:rsidR="00000000" w:rsidRDefault="00000000">
      <w:r>
        <w:t>762.</w:t>
      </w:r>
      <w:r>
        <w:tab/>
        <w:t>Обследования, проведенные в больницах и в консультациях для беременных женщин, показывают, что анемия часто встречается у тунисских женщин и затрагивает одну из трех женщин.</w:t>
      </w:r>
    </w:p>
    <w:p w:rsidR="00000000" w:rsidRDefault="00000000">
      <w:pPr>
        <w:spacing w:before="120" w:line="260" w:lineRule="exact"/>
        <w:rPr>
          <w:b/>
          <w:sz w:val="22"/>
        </w:rPr>
      </w:pPr>
      <w:r>
        <w:rPr>
          <w:b/>
          <w:sz w:val="22"/>
        </w:rPr>
        <w:t>Психическое здоровье</w:t>
      </w:r>
    </w:p>
    <w:p w:rsidR="00000000" w:rsidRDefault="00000000">
      <w:r>
        <w:t>763.</w:t>
      </w:r>
      <w:r>
        <w:tab/>
        <w:t>Что касается психической патологии вообще, то у мужчин она встречается чаще, чем у женщин, по сведениям как больниц, так и пунктов неотложной помощи. 48 процентов госпитализированных в связи с этим заболеванием женщин являются замужними и относятся к возрастной категории от 20 до 40 лет, тогда как у мужчин отмечается превалирование холостяков.</w:t>
      </w:r>
    </w:p>
    <w:p w:rsidR="00000000" w:rsidRDefault="00000000">
      <w:r>
        <w:t>764.</w:t>
      </w:r>
      <w:r>
        <w:tab/>
        <w:t>Национальная программа психического здоровья осуществляется в рамках улучшения психического здоровья населения Туниса, включая женщин.</w:t>
      </w:r>
    </w:p>
    <w:p w:rsidR="00000000" w:rsidRDefault="00000000">
      <w:r>
        <w:t>765.</w:t>
      </w:r>
      <w:r>
        <w:tab/>
        <w:t>Сектор общественного здравоохранения, как и сектор образования, является самым феминизированным сектором тунисской экономики, доля женщин в нем увеличилась с 46 процентов в 1992 году до 48 процентов в 1997 году по всем специальностям как среди врачей, так и среди вспомогательного медицинского персонала.</w:t>
      </w:r>
    </w:p>
    <w:p w:rsidR="00000000" w:rsidRDefault="00000000">
      <w:r>
        <w:t>766.</w:t>
      </w:r>
      <w:r>
        <w:tab/>
        <w:t>Женщины составляют 37,9 процента врачей, 61,6 процента хирургов-стоматологов, 70 процентов фармацевтов и 53,2 процента вспомогательного медицинского персонала.</w:t>
      </w:r>
    </w:p>
    <w:p w:rsidR="00000000" w:rsidRDefault="00000000">
      <w:r>
        <w:t>767.</w:t>
      </w:r>
      <w:r>
        <w:tab/>
        <w:t>Однако это замечательное продвижение женщин на уровне медицинских специалистов, требующее хорошей научной подготовки, не сопровождается аналогичным прорывом, дающим доступ к директивным должностям, где женщины представлены довольно скромно.</w:t>
      </w:r>
    </w:p>
    <w:p w:rsidR="00000000" w:rsidRDefault="00000000">
      <w:pPr>
        <w:spacing w:after="80"/>
      </w:pPr>
      <w:r>
        <w:t>768.</w:t>
      </w:r>
      <w:r>
        <w:tab/>
        <w:t>Вместе с тем следует отметить, что:</w:t>
      </w:r>
    </w:p>
    <w:p w:rsidR="00000000" w:rsidRDefault="00000000">
      <w:pPr>
        <w:spacing w:after="80"/>
      </w:pPr>
      <w:r>
        <w:rPr>
          <w:lang w:val="en-US"/>
        </w:rPr>
        <w:tab/>
      </w:r>
      <w:r>
        <w:t>–</w:t>
      </w:r>
      <w:r>
        <w:tab/>
        <w:t>женщина-врач занимала пост министра общественного здравоохранения;</w:t>
      </w:r>
    </w:p>
    <w:p w:rsidR="00000000" w:rsidRDefault="00000000">
      <w:pPr>
        <w:spacing w:after="80"/>
      </w:pPr>
      <w:r>
        <w:rPr>
          <w:lang w:val="en-US"/>
        </w:rPr>
        <w:tab/>
      </w:r>
      <w:r>
        <w:t>–</w:t>
      </w:r>
      <w:r>
        <w:tab/>
        <w:t>тунисская женщина-врач в настоящее время является советником в ВОЗ;</w:t>
      </w:r>
    </w:p>
    <w:p w:rsidR="00000000" w:rsidRDefault="00000000">
      <w:pPr>
        <w:spacing w:after="80"/>
        <w:ind w:left="1021" w:hanging="1021"/>
      </w:pPr>
      <w:r>
        <w:rPr>
          <w:lang w:val="en-US"/>
        </w:rPr>
        <w:tab/>
      </w:r>
      <w:r>
        <w:t>–</w:t>
      </w:r>
      <w:r>
        <w:tab/>
        <w:t>женщина-врач руководит Национальным бюро по вопросам планирования семьи и народонаселения (генеральный директор);</w:t>
      </w:r>
    </w:p>
    <w:p w:rsidR="00000000" w:rsidRDefault="00000000">
      <w:pPr>
        <w:spacing w:after="80"/>
      </w:pPr>
      <w:r>
        <w:rPr>
          <w:lang w:val="en-US"/>
        </w:rPr>
        <w:tab/>
      </w:r>
      <w:r>
        <w:t>–</w:t>
      </w:r>
      <w:r>
        <w:tab/>
        <w:t>женщина-врач руководит Национальным центром по вопросам детства;</w:t>
      </w:r>
    </w:p>
    <w:p w:rsidR="00000000" w:rsidRDefault="00000000">
      <w:r>
        <w:rPr>
          <w:lang w:val="en-US"/>
        </w:rPr>
        <w:tab/>
      </w:r>
      <w:r>
        <w:t>–</w:t>
      </w:r>
      <w:r>
        <w:tab/>
        <w:t>две женщины занимают ответственные должности в кабинете министра здравоохранения.</w:t>
      </w:r>
    </w:p>
    <w:p w:rsidR="00000000" w:rsidRDefault="00000000">
      <w:pPr>
        <w:spacing w:after="80"/>
      </w:pPr>
      <w:r>
        <w:t>769.</w:t>
      </w:r>
      <w:r>
        <w:tab/>
        <w:t>Кроме того, женщины-врачи активно работают в занимающихся медицинскими проблемами НПО, в частности:</w:t>
      </w:r>
    </w:p>
    <w:p w:rsidR="00000000" w:rsidRDefault="00000000">
      <w:pPr>
        <w:spacing w:after="80"/>
      </w:pPr>
      <w:r>
        <w:rPr>
          <w:lang w:val="en-US"/>
        </w:rPr>
        <w:tab/>
      </w:r>
      <w:r>
        <w:t>–</w:t>
      </w:r>
      <w:r>
        <w:tab/>
        <w:t>в Тунисской ассоциации по вопросам планирования семьи;</w:t>
      </w:r>
    </w:p>
    <w:p w:rsidR="00000000" w:rsidRDefault="00000000">
      <w:pPr>
        <w:spacing w:after="80"/>
      </w:pPr>
      <w:r>
        <w:tab/>
        <w:t>–</w:t>
      </w:r>
      <w:r>
        <w:tab/>
        <w:t>в Тунисской ассоциации по борьбе с ЗППП и СПИДом;</w:t>
      </w:r>
    </w:p>
    <w:p w:rsidR="00000000" w:rsidRDefault="00000000">
      <w:r>
        <w:tab/>
        <w:t>–</w:t>
      </w:r>
      <w:r>
        <w:tab/>
        <w:t>в Ассоциации позитивных действий по охране здоровья женщины.</w:t>
      </w:r>
    </w:p>
    <w:p w:rsidR="00000000" w:rsidRDefault="00000000">
      <w:pPr>
        <w:spacing w:before="120" w:line="240" w:lineRule="auto"/>
        <w:rPr>
          <w:b/>
          <w:sz w:val="28"/>
        </w:rPr>
      </w:pPr>
      <w:r>
        <w:rPr>
          <w:b/>
          <w:sz w:val="28"/>
        </w:rPr>
        <w:t>Выводы и перспективы</w:t>
      </w:r>
    </w:p>
    <w:p w:rsidR="00000000" w:rsidRDefault="00000000">
      <w:r>
        <w:t>770.</w:t>
      </w:r>
      <w:r>
        <w:tab/>
        <w:t>Государство приложило значительные усилия в целях обеспечения доступа к базовому медицинскому обслуживанию и к медицинскому обслуживанию беременных женщин, рожениц и матерей, а также женщин фертильного возраста. Анализ показателей здоровья женщин свидетельствует о том, что Тунис добился заметного прогресса в области медицинского обслуживания и лечения женщин, а также в улучшении их здоровья.</w:t>
      </w:r>
    </w:p>
    <w:p w:rsidR="00000000" w:rsidRDefault="00000000">
      <w:r>
        <w:t>771.</w:t>
      </w:r>
      <w:r>
        <w:tab/>
        <w:t>Здоровье женщин в различные периоды их жизни является предметом внимания и одним из приоритетов политики Туниса в области медицины. Однако существует еще диспропорция между затраченными средствами и полученными результатами в области сокращения материнской смертности, где еще следует наращивать рентабельность системы. Начало осуществления в 1991 году национального плана контроля за материнской смертностью, по-видимому, будет содействовать исправлению положения в этой области.</w:t>
      </w:r>
    </w:p>
    <w:p w:rsidR="00000000" w:rsidRDefault="00000000">
      <w:r>
        <w:t>772.</w:t>
      </w:r>
      <w:r>
        <w:tab/>
        <w:t xml:space="preserve">В IX плане развития (1997–2001 годы) совершенно справедливо подчеркивается необходимость улучшить качество лечения специфических женских болезней, включая психические заболевания, путем интенсификации профилактических мероприятий. </w:t>
      </w:r>
    </w:p>
    <w:p w:rsidR="00000000" w:rsidRDefault="00000000">
      <w:pPr>
        <w:pStyle w:val="Title"/>
        <w:spacing w:line="240" w:lineRule="auto"/>
        <w:rPr>
          <w:b w:val="0"/>
          <w:sz w:val="28"/>
        </w:rPr>
      </w:pPr>
      <w:r>
        <w:rPr>
          <w:sz w:val="28"/>
        </w:rPr>
        <w:br w:type="page"/>
      </w:r>
      <w:r>
        <w:rPr>
          <w:rFonts w:ascii="Symbol" w:hAnsi="Symbol"/>
          <w:sz w:val="28"/>
        </w:rPr>
        <w:t></w:t>
      </w:r>
      <w:r>
        <w:rPr>
          <w:rFonts w:ascii="Symbol" w:hAnsi="Symbol"/>
          <w:sz w:val="28"/>
        </w:rPr>
        <w:t></w:t>
      </w:r>
      <w:r>
        <w:rPr>
          <w:sz w:val="28"/>
        </w:rPr>
        <w:t xml:space="preserve"> Статья 13: Социальные и экономические преимущества</w:t>
      </w:r>
    </w:p>
    <w:p w:rsidR="00000000" w:rsidRDefault="00000000">
      <w:pPr>
        <w:pStyle w:val="BodyText"/>
        <w:pBdr>
          <w:top w:val="single" w:sz="6" w:space="12" w:color="auto"/>
          <w:left w:val="single" w:sz="6" w:space="6" w:color="auto"/>
          <w:bottom w:val="single" w:sz="6" w:space="12" w:color="auto"/>
          <w:right w:val="single" w:sz="6" w:space="6" w:color="auto"/>
        </w:pBdr>
        <w:spacing w:after="40" w:line="240" w:lineRule="exact"/>
        <w:ind w:left="170" w:right="170"/>
        <w:rPr>
          <w:i/>
          <w:sz w:val="20"/>
        </w:rPr>
      </w:pPr>
      <w:r>
        <w:rPr>
          <w:i/>
          <w:sz w:val="20"/>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pBdr>
          <w:top w:val="single" w:sz="6" w:space="12" w:color="auto"/>
          <w:left w:val="single" w:sz="6" w:space="6" w:color="auto"/>
          <w:bottom w:val="single" w:sz="6" w:space="12" w:color="auto"/>
          <w:right w:val="single" w:sz="6" w:space="6" w:color="auto"/>
        </w:pBdr>
        <w:spacing w:after="40"/>
        <w:ind w:left="170" w:right="170"/>
        <w:rPr>
          <w:i/>
        </w:rPr>
      </w:pPr>
      <w:r>
        <w:rPr>
          <w:i/>
        </w:rPr>
        <w:tab/>
        <w:t>а)</w:t>
      </w:r>
      <w:r>
        <w:rPr>
          <w:i/>
        </w:rPr>
        <w:tab/>
        <w:t>право на семейные пособия;</w:t>
      </w:r>
    </w:p>
    <w:p w:rsidR="00000000" w:rsidRDefault="00000000">
      <w:pPr>
        <w:pBdr>
          <w:top w:val="single" w:sz="6" w:space="12" w:color="auto"/>
          <w:left w:val="single" w:sz="6" w:space="6" w:color="auto"/>
          <w:bottom w:val="single" w:sz="6" w:space="12" w:color="auto"/>
          <w:right w:val="single" w:sz="6" w:space="6" w:color="auto"/>
        </w:pBdr>
        <w:spacing w:after="40"/>
        <w:ind w:left="170" w:right="170"/>
        <w:rPr>
          <w:i/>
        </w:rPr>
      </w:pPr>
      <w:r>
        <w:rPr>
          <w:i/>
          <w:lang w:val="en-US"/>
        </w:rPr>
        <w:tab/>
      </w:r>
      <w:r>
        <w:rPr>
          <w:i/>
        </w:rPr>
        <w:t>b)</w:t>
      </w:r>
      <w:r>
        <w:rPr>
          <w:i/>
        </w:rPr>
        <w:tab/>
        <w:t>право на получение займов, ссуд под недвижимость и других форм финансового кредита;</w:t>
      </w:r>
    </w:p>
    <w:p w:rsidR="00000000" w:rsidRDefault="00000000">
      <w:pPr>
        <w:pBdr>
          <w:top w:val="single" w:sz="6" w:space="12" w:color="auto"/>
          <w:left w:val="single" w:sz="6" w:space="6" w:color="auto"/>
          <w:bottom w:val="single" w:sz="6" w:space="12" w:color="auto"/>
          <w:right w:val="single" w:sz="6" w:space="6" w:color="auto"/>
        </w:pBdr>
        <w:ind w:left="170" w:right="170"/>
      </w:pPr>
      <w:r>
        <w:rPr>
          <w:i/>
          <w:lang w:val="en-US"/>
        </w:rPr>
        <w:tab/>
      </w:r>
      <w:r>
        <w:rPr>
          <w:i/>
        </w:rPr>
        <w:t>с)</w:t>
      </w:r>
      <w:r>
        <w:rPr>
          <w:i/>
        </w:rPr>
        <w:tab/>
        <w:t>право участвовать в мероприятиях, связанных с отдыхом, занятиях спортом и во всех областях культурной жизни.</w:t>
      </w:r>
    </w:p>
    <w:p w:rsidR="00000000" w:rsidRDefault="00000000">
      <w:pPr>
        <w:spacing w:after="200"/>
      </w:pPr>
      <w:r>
        <w:t>773.</w:t>
      </w:r>
      <w:r>
        <w:tab/>
        <w:t>Одним из показателей социально-экономического развития Туниса в 90-е годы является царящее в обществе согласие, достигнутое благодаря взносам на социальные нужды (в среднем 18 процентов ВВП) и укреплению национальной солидарности, что позволило финансировать в рамках превентивных мер борьбы с увольнениями дополнительные социальные программы в целях смягчить последствия структурных преобразований.</w:t>
      </w:r>
    </w:p>
    <w:p w:rsidR="00000000" w:rsidRDefault="00000000">
      <w:pPr>
        <w:spacing w:after="200"/>
      </w:pPr>
      <w:r>
        <w:t>774.</w:t>
      </w:r>
      <w:r>
        <w:tab/>
        <w:t xml:space="preserve">Действительно, реформы по либерализации экономики проводились в рамках глобального подхода к правам человека. Такой подход учитывает взаимодополняемость и взаимосвязь между требованиями экономического роста и заботой о социальном развитии, что необходимо для предупреждения риска маргинализации и нарушения равновесия между регионами и различными слоями общества, для обеспечения справедливого распределения плодов экономического роста. </w:t>
      </w:r>
    </w:p>
    <w:p w:rsidR="00000000" w:rsidRDefault="00000000">
      <w:r>
        <w:t>775.</w:t>
      </w:r>
      <w:r>
        <w:tab/>
        <w:t>В этом контексте было уделено особое внимание положению женщины в целях улучшения условий ее жизни, развития ее способностей и обеспечения ее полной интеграции в процесс экономического развития страны на основе борьбы против дискриминации по признаку пола.</w:t>
      </w:r>
    </w:p>
    <w:p w:rsidR="00000000" w:rsidRDefault="00000000">
      <w:pPr>
        <w:pStyle w:val="Heading4"/>
        <w:spacing w:before="120" w:line="240" w:lineRule="auto"/>
        <w:rPr>
          <w:sz w:val="28"/>
        </w:rPr>
      </w:pPr>
      <w:r>
        <w:rPr>
          <w:sz w:val="28"/>
        </w:rPr>
        <w:t>I.</w:t>
      </w:r>
      <w:r>
        <w:rPr>
          <w:sz w:val="28"/>
        </w:rPr>
        <w:tab/>
        <w:t>Доступ к социальным и семейным пособиям</w:t>
      </w:r>
    </w:p>
    <w:p w:rsidR="00000000" w:rsidRDefault="00000000">
      <w:pPr>
        <w:pStyle w:val="Heading4"/>
        <w:spacing w:after="180" w:line="240" w:lineRule="exact"/>
        <w:rPr>
          <w:sz w:val="22"/>
        </w:rPr>
      </w:pPr>
      <w:r>
        <w:rPr>
          <w:sz w:val="22"/>
        </w:rPr>
        <w:t>I.1.</w:t>
      </w:r>
      <w:r>
        <w:rPr>
          <w:sz w:val="22"/>
        </w:rPr>
        <w:tab/>
        <w:t>Семейные пособия и выплаты</w:t>
      </w:r>
    </w:p>
    <w:p w:rsidR="00000000" w:rsidRDefault="00000000">
      <w:pPr>
        <w:pStyle w:val="BodyText"/>
        <w:spacing w:after="40" w:line="240" w:lineRule="exact"/>
        <w:rPr>
          <w:sz w:val="20"/>
        </w:rPr>
      </w:pPr>
      <w:r>
        <w:rPr>
          <w:sz w:val="20"/>
        </w:rPr>
        <w:t>776.</w:t>
      </w:r>
      <w:r>
        <w:rPr>
          <w:sz w:val="20"/>
        </w:rPr>
        <w:tab/>
        <w:t>В порядке развития политики в отношении семьи и осуществления плана действий в этом направлении были приняты меры, способствующие более полному доступу женщин к социальным пособиям. Речь идет о следующих мерах:</w:t>
      </w:r>
    </w:p>
    <w:p w:rsidR="00000000" w:rsidRDefault="00000000">
      <w:pPr>
        <w:tabs>
          <w:tab w:val="left" w:pos="993"/>
        </w:tabs>
        <w:spacing w:after="40"/>
        <w:ind w:left="992" w:hanging="992"/>
      </w:pPr>
      <w:r>
        <w:tab/>
        <w:t>*</w:t>
      </w:r>
      <w:r>
        <w:tab/>
        <w:t>Автоматической выплате семейных пособий матерям, воспитывающим детей, как из средств государственного сектора, так и частного сектора, в целях защиты матери и ее детей от обнищания, с тем чтобы получали помощь истинные правопреемники (закон № 96-65 от 22 июля 1996 года, вносящий поправки в статьи 53, 54 и 55 закона № 60-30 от 14 декабря 1960 года об организации системы социального обеспечения).</w:t>
      </w:r>
    </w:p>
    <w:p w:rsidR="00000000" w:rsidRDefault="00000000">
      <w:pPr>
        <w:tabs>
          <w:tab w:val="left" w:pos="993"/>
        </w:tabs>
        <w:spacing w:after="40"/>
        <w:ind w:left="993" w:hanging="993"/>
      </w:pPr>
      <w:r>
        <w:tab/>
        <w:t>*</w:t>
      </w:r>
      <w:r>
        <w:tab/>
        <w:t xml:space="preserve">В области семейных пособий – об унификации критериев предоставления помощи в зависимости от возраста детей, на которых выплачиваются пособия, как в государственном, так и в частном секторах, с тем чтобы повысить этот возраст до 21 года для тех, кто продолжает учиться (закон </w:t>
      </w:r>
      <w:r>
        <w:br/>
        <w:t>№ 96-65 от 22 июля 1996 года).</w:t>
      </w:r>
    </w:p>
    <w:p w:rsidR="00000000" w:rsidRDefault="00000000">
      <w:pPr>
        <w:tabs>
          <w:tab w:val="left" w:pos="993"/>
        </w:tabs>
        <w:spacing w:after="40"/>
        <w:ind w:left="993" w:hanging="993"/>
      </w:pPr>
      <w:r>
        <w:tab/>
        <w:t>*</w:t>
      </w:r>
      <w:r>
        <w:tab/>
        <w:t>Выплате пособия овдовевшим супругам в государственном секторе по примеру частного сектора, при этом соблюдается принцип социальной справедливости и взаимности между супругами и сохранения нормального уровня жизни семьи (закон № 96-66 от 22 июля 1996 года, вносящий поправки в закон № 81-06 от 12 февраля 1981 года).</w:t>
      </w:r>
    </w:p>
    <w:p w:rsidR="00000000" w:rsidRDefault="00000000">
      <w:pPr>
        <w:tabs>
          <w:tab w:val="left" w:pos="993"/>
        </w:tabs>
        <w:ind w:left="993" w:hanging="993"/>
      </w:pPr>
      <w:r>
        <w:tab/>
        <w:t>*</w:t>
      </w:r>
      <w:r>
        <w:tab/>
        <w:t>Праве отца и матери пользоваться одновременно семейными пособиями и временным пособием на сирот в рамках государственного сектора по примеру частного сектора, в целях сохранения нормального уровня жизни семьи (закон № 96-67 от 22 июля 1996 года, вносящий поправки в статью 48 закона № 85-12 от 5 марта 1985 года).</w:t>
      </w:r>
    </w:p>
    <w:p w:rsidR="00000000" w:rsidRDefault="00000000">
      <w:r>
        <w:t>777.</w:t>
      </w:r>
      <w:r>
        <w:tab/>
        <w:t>Эти меры отражают ту же заботу о стабильности и сбалансированности положения семьи и вместе с тем укрепляют принципы взаимности и социальной справедливости между супругами, одновременно гарантируя соответствующие права супругов и права детей.</w:t>
      </w:r>
    </w:p>
    <w:p w:rsidR="00000000" w:rsidRDefault="00000000">
      <w:r>
        <w:t>778.</w:t>
      </w:r>
      <w:r>
        <w:tab/>
        <w:t>Кроме того, инфраструктура дошкольного и внешкольного секторов была за последние годы усилена благодаря новым стимулирующим законодательным и организационным положениям (см. статью 11), особенно закону № 94-88 от 26 июля 1994 года, который закрепил порядок участия Национальной кассы по делам социального обеспечения в финансировании яслей путем оплаты содержания детей, чьи матери работают вне дома.</w:t>
      </w:r>
    </w:p>
    <w:p w:rsidR="00000000" w:rsidRDefault="00000000">
      <w:pPr>
        <w:spacing w:before="120"/>
        <w:rPr>
          <w:b/>
          <w:sz w:val="22"/>
        </w:rPr>
      </w:pPr>
      <w:r>
        <w:rPr>
          <w:b/>
          <w:sz w:val="22"/>
        </w:rPr>
        <w:t>I.2.</w:t>
      </w:r>
      <w:r>
        <w:rPr>
          <w:b/>
          <w:sz w:val="22"/>
        </w:rPr>
        <w:tab/>
        <w:t>Программы развития и социальной защиты</w:t>
      </w:r>
    </w:p>
    <w:p w:rsidR="00000000" w:rsidRDefault="00000000">
      <w:pPr>
        <w:pStyle w:val="BodyText"/>
        <w:spacing w:after="120" w:line="240" w:lineRule="exact"/>
        <w:rPr>
          <w:sz w:val="20"/>
        </w:rPr>
      </w:pPr>
      <w:r>
        <w:rPr>
          <w:sz w:val="20"/>
        </w:rPr>
        <w:t>779.</w:t>
      </w:r>
      <w:r>
        <w:rPr>
          <w:sz w:val="20"/>
        </w:rPr>
        <w:tab/>
        <w:t>Государственная программа социальной защиты и интеграции является составной частью превентивной стратегии, имеющей целью смягчение социальных проблем, вызванных переменами в обществе, через упрочение единства семьи и ее стабильности, благодаря соответствующей деятельности семи центров социальной защиты и интеграции, расположенных в городах Ариана, Тунис, Сфакс, Кайруан, Гафс, Набуль и Кассерин, а также следующих учреждений:</w:t>
      </w:r>
    </w:p>
    <w:p w:rsidR="00000000" w:rsidRDefault="00000000">
      <w:pPr>
        <w:spacing w:after="120"/>
      </w:pPr>
      <w:r>
        <w:tab/>
        <w:t>–</w:t>
      </w:r>
      <w:r>
        <w:tab/>
        <w:t>Центра наблюдения за несовершеннолетними в Манубе;</w:t>
      </w:r>
    </w:p>
    <w:p w:rsidR="00000000" w:rsidRDefault="00000000">
      <w:pPr>
        <w:spacing w:after="120"/>
      </w:pPr>
      <w:r>
        <w:tab/>
        <w:t>–</w:t>
      </w:r>
      <w:r>
        <w:tab/>
        <w:t>Центра социального руководства и ориентации в Дуар Хишере;</w:t>
      </w:r>
    </w:p>
    <w:p w:rsidR="00000000" w:rsidRDefault="00000000">
      <w:pPr>
        <w:spacing w:after="120"/>
      </w:pPr>
      <w:r>
        <w:tab/>
        <w:t>–</w:t>
      </w:r>
      <w:r>
        <w:tab/>
        <w:t>Национального института защиты детства;</w:t>
      </w:r>
    </w:p>
    <w:p w:rsidR="00000000" w:rsidRDefault="00000000">
      <w:r>
        <w:tab/>
        <w:t>–</w:t>
      </w:r>
      <w:r>
        <w:tab/>
        <w:t>отделов социального развития во всех районах Республики.</w:t>
      </w:r>
    </w:p>
    <w:p w:rsidR="00000000" w:rsidRDefault="00000000">
      <w:pPr>
        <w:spacing w:after="120"/>
      </w:pPr>
      <w:r>
        <w:t>780.</w:t>
      </w:r>
      <w:r>
        <w:tab/>
        <w:t xml:space="preserve">Например, национальный центр социального руководства и ориентации берет на свое попечение лиц, лишенных семейной поддержки и не имеющих жилья, с целью их реинтеграции в общество. В течение 1997–1998 годов ему пришлось заниматься 586 случаями, из них 246 – с детьми, 22 – со взрослыми и </w:t>
      </w:r>
      <w:r>
        <w:br/>
        <w:t>120 – с престарелыми.</w:t>
      </w:r>
    </w:p>
    <w:p w:rsidR="00000000" w:rsidRDefault="00000000">
      <w:pPr>
        <w:spacing w:after="120"/>
      </w:pPr>
      <w:r>
        <w:tab/>
        <w:t>Среди взрослых 73 процента – женщины, а среди детей 16 процентов – девочки.</w:t>
      </w:r>
    </w:p>
    <w:p w:rsidR="00000000" w:rsidRDefault="00000000">
      <w:pPr>
        <w:spacing w:after="80"/>
      </w:pPr>
      <w:r>
        <w:tab/>
        <w:t>Интегрировать удалось 469 человек, сделав это следующим образом:</w:t>
      </w:r>
    </w:p>
    <w:p w:rsidR="00000000" w:rsidRDefault="00000000">
      <w:pPr>
        <w:tabs>
          <w:tab w:val="left" w:pos="4536"/>
        </w:tabs>
        <w:spacing w:after="80"/>
      </w:pPr>
      <w:r>
        <w:tab/>
        <w:t xml:space="preserve">– </w:t>
      </w:r>
      <w:r>
        <w:tab/>
        <w:t>возвращение в биологическую семью</w:t>
      </w:r>
      <w:r>
        <w:tab/>
      </w:r>
      <w:r>
        <w:tab/>
        <w:t>197 человек;</w:t>
      </w:r>
    </w:p>
    <w:p w:rsidR="00000000" w:rsidRDefault="00000000">
      <w:pPr>
        <w:tabs>
          <w:tab w:val="left" w:pos="4536"/>
        </w:tabs>
        <w:spacing w:after="80"/>
      </w:pPr>
      <w:r>
        <w:tab/>
        <w:t xml:space="preserve">– </w:t>
      </w:r>
      <w:r>
        <w:tab/>
        <w:t>интеграция в расширенную семью</w:t>
      </w:r>
      <w:r>
        <w:tab/>
      </w:r>
      <w:r>
        <w:tab/>
        <w:t>31 человек;</w:t>
      </w:r>
    </w:p>
    <w:p w:rsidR="00000000" w:rsidRDefault="00000000">
      <w:pPr>
        <w:tabs>
          <w:tab w:val="left" w:pos="4536"/>
        </w:tabs>
        <w:spacing w:after="80"/>
      </w:pPr>
      <w:r>
        <w:rPr>
          <w:lang w:val="en-US"/>
        </w:rPr>
        <w:tab/>
      </w:r>
      <w:r>
        <w:t xml:space="preserve">– </w:t>
      </w:r>
      <w:r>
        <w:tab/>
        <w:t>интеграция в патронатную семью</w:t>
      </w:r>
      <w:r>
        <w:tab/>
      </w:r>
      <w:r>
        <w:tab/>
        <w:t>15 человек;</w:t>
      </w:r>
    </w:p>
    <w:p w:rsidR="00000000" w:rsidRDefault="00000000">
      <w:pPr>
        <w:tabs>
          <w:tab w:val="left" w:pos="4536"/>
        </w:tabs>
        <w:spacing w:after="80"/>
      </w:pPr>
      <w:r>
        <w:tab/>
        <w:t xml:space="preserve">– </w:t>
      </w:r>
      <w:r>
        <w:tab/>
        <w:t>помощь в создании семьи</w:t>
      </w:r>
      <w:r>
        <w:tab/>
      </w:r>
      <w:r>
        <w:tab/>
        <w:t>115 человек;</w:t>
      </w:r>
    </w:p>
    <w:p w:rsidR="00000000" w:rsidRDefault="00000000">
      <w:pPr>
        <w:tabs>
          <w:tab w:val="left" w:pos="4536"/>
        </w:tabs>
        <w:spacing w:after="80"/>
      </w:pPr>
      <w:r>
        <w:tab/>
        <w:t xml:space="preserve">– </w:t>
      </w:r>
      <w:r>
        <w:tab/>
        <w:t>помещение в центр престарелых</w:t>
      </w:r>
      <w:r>
        <w:tab/>
      </w:r>
      <w:r>
        <w:tab/>
        <w:t>82 человека;</w:t>
      </w:r>
    </w:p>
    <w:p w:rsidR="00000000" w:rsidRDefault="00000000">
      <w:pPr>
        <w:tabs>
          <w:tab w:val="left" w:pos="4536"/>
        </w:tabs>
      </w:pPr>
      <w:r>
        <w:tab/>
        <w:t xml:space="preserve">– </w:t>
      </w:r>
      <w:r>
        <w:tab/>
        <w:t>устройство в несемейные структуры</w:t>
      </w:r>
      <w:r>
        <w:tab/>
      </w:r>
      <w:r>
        <w:tab/>
        <w:t>29 человек.</w:t>
      </w:r>
    </w:p>
    <w:p w:rsidR="00000000" w:rsidRDefault="00000000">
      <w:pPr>
        <w:spacing w:before="120" w:line="260" w:lineRule="exact"/>
        <w:ind w:left="680" w:hanging="680"/>
        <w:jc w:val="left"/>
        <w:rPr>
          <w:b/>
        </w:rPr>
      </w:pPr>
      <w:r>
        <w:rPr>
          <w:b/>
          <w:sz w:val="22"/>
        </w:rPr>
        <w:t>I.3.</w:t>
      </w:r>
      <w:r>
        <w:rPr>
          <w:b/>
          <w:sz w:val="22"/>
        </w:rPr>
        <w:tab/>
        <w:t xml:space="preserve">Гарантийный фонд, осуществляющий выдачу пособий на питание </w:t>
      </w:r>
      <w:r>
        <w:rPr>
          <w:b/>
          <w:sz w:val="22"/>
        </w:rPr>
        <w:br/>
        <w:t>и пенсий в случае развода</w:t>
      </w:r>
      <w:r>
        <w:rPr>
          <w:b/>
        </w:rPr>
        <w:t xml:space="preserve"> </w:t>
      </w:r>
      <w:r>
        <w:t>(см. пункт 123 и далее)</w:t>
      </w:r>
    </w:p>
    <w:p w:rsidR="00000000" w:rsidRDefault="00000000">
      <w:pPr>
        <w:spacing w:before="80" w:line="260" w:lineRule="exact"/>
        <w:rPr>
          <w:b/>
        </w:rPr>
      </w:pPr>
      <w:r>
        <w:rPr>
          <w:b/>
          <w:sz w:val="22"/>
        </w:rPr>
        <w:t>I.4.</w:t>
      </w:r>
      <w:r>
        <w:rPr>
          <w:b/>
          <w:sz w:val="22"/>
        </w:rPr>
        <w:tab/>
        <w:t>Решение супружеских конфликтов и ситуаций, приводящих к разводу</w:t>
      </w:r>
    </w:p>
    <w:p w:rsidR="00000000" w:rsidRDefault="00000000">
      <w:pPr>
        <w:pStyle w:val="BodyText"/>
        <w:spacing w:line="240" w:lineRule="exact"/>
        <w:rPr>
          <w:sz w:val="20"/>
        </w:rPr>
      </w:pPr>
      <w:r>
        <w:rPr>
          <w:sz w:val="20"/>
        </w:rPr>
        <w:t>781.</w:t>
      </w:r>
      <w:r>
        <w:rPr>
          <w:sz w:val="20"/>
        </w:rPr>
        <w:tab/>
        <w:t>Отделы социального развития в регионах оказывают помощь нуждающимся семьям с целью оздоровить отношения между конфликтующими супругами и смягчить ситуации, сложившиеся вследствие развода и небрежного обращения с детьми. Это осуществляется в рамках работы на местах и по согласованию с судебными инстанциями.</w:t>
      </w:r>
    </w:p>
    <w:p w:rsidR="00000000" w:rsidRDefault="00000000">
      <w:r>
        <w:t>782.</w:t>
      </w:r>
      <w:r>
        <w:tab/>
        <w:t>В порядке превентивной работы по предотвращению преступности центры социальной защиты и интеграции способствуют улучшению внутрисемейных отношений, в том числе отношений между молодыми людьми, склонными к правонарушениям, и их семьями. Обычно эта работа ведется совместно с судебными органами. В рамках этой деятельности сотрудники системы социального развития, находящиеся в ведении Министерства социальных дел, в 1997 году прошли три цикла обучения по теме урегулирования супружеских конфликтов; охвачено было 111 социальных работников по согласованию с судьями по делам семьи и с Министерством по делам женщин и семьи.</w:t>
      </w:r>
    </w:p>
    <w:p w:rsidR="00000000" w:rsidRDefault="00000000">
      <w:pPr>
        <w:spacing w:after="80"/>
      </w:pPr>
      <w:r>
        <w:t>783.</w:t>
      </w:r>
      <w:r>
        <w:tab/>
        <w:t>В 1998 году работой с неблагополучными семьями было охвачено 12 598 семей (проблемы 8100 из них были решены). Ниже представлены причины конфликтов:</w:t>
      </w:r>
    </w:p>
    <w:p w:rsidR="00000000" w:rsidRDefault="00000000">
      <w:pPr>
        <w:tabs>
          <w:tab w:val="left" w:pos="3969"/>
        </w:tabs>
        <w:spacing w:after="80"/>
      </w:pPr>
      <w:r>
        <w:tab/>
        <w:t>–</w:t>
      </w:r>
      <w:r>
        <w:tab/>
        <w:t>супружеские разногласия</w:t>
      </w:r>
      <w:r>
        <w:tab/>
      </w:r>
      <w:r>
        <w:tab/>
        <w:t>3998 случаев;</w:t>
      </w:r>
    </w:p>
    <w:p w:rsidR="00000000" w:rsidRDefault="00000000">
      <w:pPr>
        <w:tabs>
          <w:tab w:val="left" w:pos="3969"/>
        </w:tabs>
        <w:spacing w:after="80"/>
      </w:pPr>
      <w:r>
        <w:tab/>
        <w:t>–</w:t>
      </w:r>
      <w:r>
        <w:tab/>
        <w:t>ситуации, ведущие к разводу</w:t>
      </w:r>
      <w:r>
        <w:tab/>
      </w:r>
      <w:r>
        <w:tab/>
        <w:t>1113 случаев;</w:t>
      </w:r>
    </w:p>
    <w:p w:rsidR="00000000" w:rsidRDefault="00000000">
      <w:pPr>
        <w:tabs>
          <w:tab w:val="left" w:pos="3969"/>
        </w:tabs>
        <w:spacing w:after="80"/>
      </w:pPr>
      <w:r>
        <w:tab/>
        <w:t>–</w:t>
      </w:r>
      <w:r>
        <w:tab/>
        <w:t>несовместимость характеров</w:t>
      </w:r>
      <w:r>
        <w:tab/>
      </w:r>
      <w:r>
        <w:tab/>
        <w:t>2683 случая;</w:t>
      </w:r>
    </w:p>
    <w:p w:rsidR="00000000" w:rsidRDefault="00000000">
      <w:pPr>
        <w:tabs>
          <w:tab w:val="left" w:pos="3969"/>
        </w:tabs>
        <w:spacing w:after="80"/>
      </w:pPr>
      <w:r>
        <w:tab/>
        <w:t>–</w:t>
      </w:r>
      <w:r>
        <w:tab/>
        <w:t>небрежное отношение к детям</w:t>
      </w:r>
      <w:r>
        <w:tab/>
      </w:r>
      <w:r>
        <w:tab/>
        <w:t>1126 случаев;</w:t>
      </w:r>
    </w:p>
    <w:p w:rsidR="00000000" w:rsidRDefault="00000000">
      <w:pPr>
        <w:tabs>
          <w:tab w:val="left" w:pos="3969"/>
        </w:tabs>
      </w:pPr>
      <w:r>
        <w:tab/>
        <w:t>–</w:t>
      </w:r>
      <w:r>
        <w:tab/>
        <w:t>разные ситуации</w:t>
      </w:r>
      <w:r>
        <w:tab/>
      </w:r>
      <w:r>
        <w:tab/>
        <w:t>3678 случаев.</w:t>
      </w:r>
    </w:p>
    <w:p w:rsidR="00000000" w:rsidRDefault="00000000">
      <w:r>
        <w:t>784.</w:t>
      </w:r>
      <w:r>
        <w:tab/>
        <w:t xml:space="preserve">В 1997–1998 годах в центрах защиты и интеграции были рассмотрены 925 случаев, из них </w:t>
      </w:r>
      <w:r>
        <w:br/>
        <w:t>390 закончились примирением и согласием сторон.</w:t>
      </w:r>
    </w:p>
    <w:p w:rsidR="00000000" w:rsidRDefault="00000000">
      <w:pPr>
        <w:spacing w:before="120"/>
        <w:rPr>
          <w:b/>
          <w:sz w:val="22"/>
        </w:rPr>
      </w:pPr>
      <w:r>
        <w:rPr>
          <w:b/>
          <w:sz w:val="22"/>
        </w:rPr>
        <w:t>I.5.</w:t>
      </w:r>
      <w:r>
        <w:rPr>
          <w:b/>
          <w:sz w:val="22"/>
        </w:rPr>
        <w:tab/>
        <w:t>Программы помощи и защиты престарелых в семье</w:t>
      </w:r>
    </w:p>
    <w:p w:rsidR="00000000" w:rsidRDefault="00000000">
      <w:pPr>
        <w:pStyle w:val="BodyText"/>
        <w:spacing w:after="40" w:line="240" w:lineRule="exact"/>
        <w:rPr>
          <w:sz w:val="20"/>
        </w:rPr>
      </w:pPr>
      <w:r>
        <w:rPr>
          <w:sz w:val="20"/>
        </w:rPr>
        <w:t>785.</w:t>
      </w:r>
      <w:r>
        <w:rPr>
          <w:sz w:val="20"/>
        </w:rPr>
        <w:tab/>
        <w:t>Принятие закона № 94-114 от 31 октября 1994 года о защите престарелых, в котором определяются:</w:t>
      </w:r>
    </w:p>
    <w:p w:rsidR="00000000" w:rsidRDefault="00000000">
      <w:pPr>
        <w:spacing w:after="40"/>
        <w:ind w:left="1021" w:hanging="1021"/>
      </w:pPr>
      <w:r>
        <w:tab/>
        <w:t>1.</w:t>
      </w:r>
      <w:r>
        <w:tab/>
        <w:t>Принципы, на которых основана защита престарелых в целях сохранения их здоровья, достоинства и прав: способствовать их интеграции в семьи и в общество и их активному участию во всех областях общественной и культурной жизни, в спортивной деятельности и в досуговых мероприятиях.</w:t>
      </w:r>
    </w:p>
    <w:p w:rsidR="00000000" w:rsidRDefault="00000000">
      <w:pPr>
        <w:spacing w:after="40"/>
      </w:pPr>
      <w:r>
        <w:tab/>
        <w:t>2.</w:t>
      </w:r>
      <w:r>
        <w:tab/>
        <w:t>Способы обеспечения престарелых в их семьях и учреждениях защиты престарелых.</w:t>
      </w:r>
    </w:p>
    <w:p w:rsidR="00000000" w:rsidRDefault="00000000">
      <w:r>
        <w:rPr>
          <w:lang w:val="en-US"/>
        </w:rPr>
        <w:tab/>
      </w:r>
      <w:r>
        <w:t>3.</w:t>
      </w:r>
      <w:r>
        <w:tab/>
        <w:t>Меры по защите нуждающихся престарелых.</w:t>
      </w:r>
    </w:p>
    <w:p w:rsidR="00000000" w:rsidRDefault="00000000">
      <w:r>
        <w:t>786.</w:t>
      </w:r>
      <w:r>
        <w:tab/>
        <w:t>Программа по оказанию помощи престарелым, проживающим в семьях, имеет целью кроме помощи наиболее нуждающимся упрочение социальной ячейки, какой является семья, и создание модели солидарного общества, объединяющего разные поколения. В порядке оказания социальной и медицинской помощи на дому во всех районах была создана сеть мобильных команд с участием врачей, среднего медперсонала, сотрудников социальных служб…</w:t>
      </w:r>
    </w:p>
    <w:p w:rsidR="00000000" w:rsidRDefault="00000000">
      <w:r>
        <w:t>787.</w:t>
      </w:r>
      <w:r>
        <w:tab/>
        <w:t>Кроме того, для обеспечения престарелым домашних условий было решено помещать нуждающихся престарелых в чужие семьи. Патронатные семьи могут в случае необходимости ежемесячно получать пособия, помогающие им покрыть расходы, связанные с увеличением семьи.</w:t>
      </w:r>
    </w:p>
    <w:p w:rsidR="00000000" w:rsidRDefault="00000000">
      <w:r>
        <w:t>788.</w:t>
      </w:r>
      <w:r>
        <w:tab/>
        <w:t>Пожилые люди, не имеющие поддержки и защиты, получают особый уход в соответствующих центрах, где им предлагаются различные услуги: медицинскую, психологическую, социальную помощь, питание и одежду.</w:t>
      </w:r>
    </w:p>
    <w:p w:rsidR="00000000" w:rsidRDefault="00000000">
      <w:r>
        <w:t xml:space="preserve">789. В настоящее время в одиннадцати (11) центрах нашли приют 720 лиц престарелого возраста. Из них </w:t>
      </w:r>
      <w:r>
        <w:br/>
        <w:t>264 женщины, или 36,6 процента. Деятельность этих центров финансируется государством, а управляют ими различные ассоциации.</w:t>
      </w:r>
    </w:p>
    <w:p w:rsidR="00000000" w:rsidRDefault="00000000">
      <w:pPr>
        <w:pStyle w:val="Heading4"/>
        <w:spacing w:before="240" w:line="240" w:lineRule="auto"/>
        <w:rPr>
          <w:sz w:val="28"/>
        </w:rPr>
      </w:pPr>
      <w:r>
        <w:rPr>
          <w:sz w:val="28"/>
        </w:rPr>
        <w:t>II.</w:t>
      </w:r>
      <w:r>
        <w:rPr>
          <w:sz w:val="28"/>
        </w:rPr>
        <w:tab/>
        <w:t>Доступ к программам по оказанию помощи и борьбы с бедностью</w:t>
      </w:r>
    </w:p>
    <w:p w:rsidR="00000000" w:rsidRDefault="00000000">
      <w:r>
        <w:t>790.</w:t>
      </w:r>
      <w:r>
        <w:tab/>
        <w:t xml:space="preserve">Благодаря экономическому росту и стратегии установления в обществе атмосферы солидарности и поддержки наиболее уязвимых категорий населения бедность в Тунисе неуклонно отступает. Национальный опрос о расходах домохозяйств, периодически проводимый Национальным институтом статистики (НИС), показал, что к 1995 году по сравнению с 1990 годом произошло существенное снижение порога бедности: с </w:t>
      </w:r>
      <w:r>
        <w:br/>
        <w:t>7,2 процента до 6,2 процента.</w:t>
      </w:r>
    </w:p>
    <w:p w:rsidR="00000000" w:rsidRDefault="00000000">
      <w:pPr>
        <w:spacing w:before="120"/>
        <w:rPr>
          <w:b/>
        </w:rPr>
      </w:pPr>
      <w:r>
        <w:rPr>
          <w:b/>
        </w:rPr>
        <w:t>II.1.</w:t>
      </w:r>
      <w:r>
        <w:rPr>
          <w:b/>
        </w:rPr>
        <w:tab/>
        <w:t>Национальная программа оказания помощи нуждающимся семьям (НПОПНС)</w:t>
      </w:r>
    </w:p>
    <w:p w:rsidR="00000000" w:rsidRDefault="00000000">
      <w:pPr>
        <w:pStyle w:val="BodyText"/>
        <w:spacing w:line="240" w:lineRule="exact"/>
        <w:rPr>
          <w:sz w:val="20"/>
        </w:rPr>
      </w:pPr>
      <w:r>
        <w:rPr>
          <w:sz w:val="20"/>
        </w:rPr>
        <w:t>791.</w:t>
      </w:r>
      <w:r>
        <w:rPr>
          <w:sz w:val="20"/>
        </w:rPr>
        <w:tab/>
        <w:t>В соответствии с Национальной программой оказания помощи нуждающимся семьям (НПОПНС) постоянное содействие оказывается преимущественно неполным семьям, где главой является женщина, имеющая несовершеннолетних детей. Такие семьи составляют 51 процент от общего числа семей, получающих пособие (57 680 семей).</w:t>
      </w:r>
    </w:p>
    <w:p w:rsidR="00000000" w:rsidRDefault="00000000">
      <w:r>
        <w:t>792.</w:t>
      </w:r>
      <w:r>
        <w:tab/>
        <w:t>Эта программа была значительно расширена как с точки зрения размера помощи семьям, который увеличился с 87 динаров на семью в 1987 году до 404 динаров в 1998 году, так и с точки зрения числа получающих пособие, которое за это же время увеличилось с 73 000 до 112 500. Это явилось следствием непрерывного пересмотра размеров помощи в связи с изменением цен на основные продукты, а также объясняется стремлением оказывать адресную помощь нуждающемуся населению.</w:t>
      </w:r>
    </w:p>
    <w:p w:rsidR="00000000" w:rsidRDefault="00000000">
      <w:pPr>
        <w:spacing w:before="120"/>
        <w:jc w:val="center"/>
        <w:rPr>
          <w:b/>
        </w:rPr>
      </w:pPr>
      <w:r>
        <w:rPr>
          <w:b/>
        </w:rPr>
        <w:t>Рост выплат по НПОПНС нуждающимся семьям в 1992–1998 годах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9"/>
        <w:gridCol w:w="2551"/>
        <w:gridCol w:w="2551"/>
        <w:gridCol w:w="2551"/>
      </w:tblGrid>
      <w:tr w:rsidR="00000000">
        <w:tblPrEx>
          <w:tblCellMar>
            <w:top w:w="0" w:type="dxa"/>
            <w:bottom w:w="0" w:type="dxa"/>
          </w:tblCellMar>
        </w:tblPrEx>
        <w:trPr>
          <w:jc w:val="center"/>
        </w:trPr>
        <w:tc>
          <w:tcPr>
            <w:tcW w:w="1419" w:type="dxa"/>
          </w:tcPr>
          <w:p w:rsidR="00000000" w:rsidRDefault="00000000">
            <w:pPr>
              <w:spacing w:before="120" w:after="120" w:line="220" w:lineRule="exact"/>
              <w:jc w:val="center"/>
              <w:rPr>
                <w:b/>
                <w:sz w:val="18"/>
              </w:rPr>
            </w:pPr>
            <w:r>
              <w:rPr>
                <w:b/>
                <w:sz w:val="18"/>
              </w:rPr>
              <w:t>Год</w:t>
            </w:r>
          </w:p>
        </w:tc>
        <w:tc>
          <w:tcPr>
            <w:tcW w:w="2551" w:type="dxa"/>
          </w:tcPr>
          <w:p w:rsidR="00000000" w:rsidRDefault="00000000">
            <w:pPr>
              <w:spacing w:before="120" w:after="120" w:line="220" w:lineRule="exact"/>
              <w:jc w:val="center"/>
              <w:rPr>
                <w:b/>
                <w:sz w:val="18"/>
              </w:rPr>
            </w:pPr>
            <w:r>
              <w:rPr>
                <w:b/>
                <w:sz w:val="18"/>
              </w:rPr>
              <w:t>Число получающих пособие</w:t>
            </w:r>
          </w:p>
        </w:tc>
        <w:tc>
          <w:tcPr>
            <w:tcW w:w="2551" w:type="dxa"/>
          </w:tcPr>
          <w:p w:rsidR="00000000" w:rsidRDefault="00000000">
            <w:pPr>
              <w:spacing w:before="120" w:after="120" w:line="220" w:lineRule="exact"/>
              <w:jc w:val="center"/>
              <w:rPr>
                <w:b/>
                <w:sz w:val="18"/>
              </w:rPr>
            </w:pPr>
            <w:r>
              <w:rPr>
                <w:b/>
                <w:sz w:val="18"/>
              </w:rPr>
              <w:t>Размер годового пособия на семью</w:t>
            </w:r>
          </w:p>
        </w:tc>
        <w:tc>
          <w:tcPr>
            <w:tcW w:w="2551" w:type="dxa"/>
          </w:tcPr>
          <w:p w:rsidR="00000000" w:rsidRDefault="00000000">
            <w:pPr>
              <w:spacing w:before="120" w:after="120" w:line="220" w:lineRule="exact"/>
              <w:jc w:val="center"/>
              <w:rPr>
                <w:b/>
                <w:sz w:val="18"/>
              </w:rPr>
            </w:pPr>
            <w:r>
              <w:rPr>
                <w:b/>
                <w:sz w:val="18"/>
              </w:rPr>
              <w:t xml:space="preserve">Годовой кредит </w:t>
            </w:r>
            <w:r>
              <w:rPr>
                <w:b/>
                <w:sz w:val="18"/>
              </w:rPr>
              <w:br/>
              <w:t>в динарах</w:t>
            </w:r>
          </w:p>
        </w:tc>
      </w:tr>
      <w:tr w:rsidR="00000000">
        <w:tblPrEx>
          <w:tblCellMar>
            <w:top w:w="0" w:type="dxa"/>
            <w:bottom w:w="0" w:type="dxa"/>
          </w:tblCellMar>
        </w:tblPrEx>
        <w:trPr>
          <w:jc w:val="center"/>
        </w:trPr>
        <w:tc>
          <w:tcPr>
            <w:tcW w:w="1419" w:type="dxa"/>
          </w:tcPr>
          <w:p w:rsidR="00000000" w:rsidRDefault="00000000">
            <w:pPr>
              <w:spacing w:before="120" w:after="120" w:line="220" w:lineRule="exact"/>
              <w:jc w:val="center"/>
              <w:rPr>
                <w:sz w:val="18"/>
              </w:rPr>
            </w:pPr>
            <w:r>
              <w:rPr>
                <w:sz w:val="18"/>
              </w:rPr>
              <w:t>1994</w:t>
            </w:r>
          </w:p>
        </w:tc>
        <w:tc>
          <w:tcPr>
            <w:tcW w:w="2551" w:type="dxa"/>
          </w:tcPr>
          <w:p w:rsidR="00000000" w:rsidRDefault="00000000">
            <w:pPr>
              <w:spacing w:before="120" w:after="120" w:line="220" w:lineRule="exact"/>
              <w:jc w:val="center"/>
              <w:rPr>
                <w:sz w:val="18"/>
              </w:rPr>
            </w:pPr>
            <w:r>
              <w:rPr>
                <w:sz w:val="18"/>
              </w:rPr>
              <w:t>101 000</w:t>
            </w:r>
          </w:p>
        </w:tc>
        <w:tc>
          <w:tcPr>
            <w:tcW w:w="2551" w:type="dxa"/>
          </w:tcPr>
          <w:p w:rsidR="00000000" w:rsidRDefault="00000000">
            <w:pPr>
              <w:spacing w:before="120" w:after="120" w:line="220" w:lineRule="exact"/>
              <w:jc w:val="center"/>
              <w:rPr>
                <w:sz w:val="18"/>
              </w:rPr>
            </w:pPr>
            <w:r>
              <w:rPr>
                <w:sz w:val="18"/>
              </w:rPr>
              <w:t>310</w:t>
            </w:r>
          </w:p>
        </w:tc>
        <w:tc>
          <w:tcPr>
            <w:tcW w:w="2551" w:type="dxa"/>
          </w:tcPr>
          <w:p w:rsidR="00000000" w:rsidRDefault="00000000">
            <w:pPr>
              <w:spacing w:before="120" w:after="120" w:line="220" w:lineRule="exact"/>
              <w:jc w:val="center"/>
              <w:rPr>
                <w:sz w:val="18"/>
              </w:rPr>
            </w:pPr>
            <w:r>
              <w:rPr>
                <w:sz w:val="18"/>
              </w:rPr>
              <w:t>31 310 000</w:t>
            </w:r>
          </w:p>
        </w:tc>
      </w:tr>
      <w:tr w:rsidR="00000000">
        <w:tblPrEx>
          <w:tblCellMar>
            <w:top w:w="0" w:type="dxa"/>
            <w:bottom w:w="0" w:type="dxa"/>
          </w:tblCellMar>
        </w:tblPrEx>
        <w:trPr>
          <w:jc w:val="center"/>
        </w:trPr>
        <w:tc>
          <w:tcPr>
            <w:tcW w:w="1419" w:type="dxa"/>
          </w:tcPr>
          <w:p w:rsidR="00000000" w:rsidRDefault="00000000">
            <w:pPr>
              <w:spacing w:before="120" w:after="120" w:line="220" w:lineRule="exact"/>
              <w:jc w:val="center"/>
              <w:rPr>
                <w:sz w:val="18"/>
              </w:rPr>
            </w:pPr>
            <w:r>
              <w:rPr>
                <w:sz w:val="18"/>
              </w:rPr>
              <w:t>1995</w:t>
            </w:r>
          </w:p>
        </w:tc>
        <w:tc>
          <w:tcPr>
            <w:tcW w:w="2551" w:type="dxa"/>
          </w:tcPr>
          <w:p w:rsidR="00000000" w:rsidRDefault="00000000">
            <w:pPr>
              <w:spacing w:before="120" w:after="120" w:line="220" w:lineRule="exact"/>
              <w:jc w:val="center"/>
              <w:rPr>
                <w:sz w:val="18"/>
              </w:rPr>
            </w:pPr>
            <w:r>
              <w:rPr>
                <w:sz w:val="18"/>
              </w:rPr>
              <w:t>101 000</w:t>
            </w:r>
          </w:p>
        </w:tc>
        <w:tc>
          <w:tcPr>
            <w:tcW w:w="2551" w:type="dxa"/>
          </w:tcPr>
          <w:p w:rsidR="00000000" w:rsidRDefault="00000000">
            <w:pPr>
              <w:spacing w:before="120" w:after="120" w:line="220" w:lineRule="exact"/>
              <w:jc w:val="center"/>
              <w:rPr>
                <w:sz w:val="18"/>
              </w:rPr>
            </w:pPr>
            <w:r>
              <w:rPr>
                <w:sz w:val="18"/>
              </w:rPr>
              <w:t>310</w:t>
            </w:r>
          </w:p>
        </w:tc>
        <w:tc>
          <w:tcPr>
            <w:tcW w:w="2551" w:type="dxa"/>
          </w:tcPr>
          <w:p w:rsidR="00000000" w:rsidRDefault="00000000">
            <w:pPr>
              <w:spacing w:before="120" w:after="120" w:line="220" w:lineRule="exact"/>
              <w:jc w:val="center"/>
              <w:rPr>
                <w:sz w:val="18"/>
              </w:rPr>
            </w:pPr>
            <w:r>
              <w:rPr>
                <w:sz w:val="18"/>
              </w:rPr>
              <w:t>31 310 000</w:t>
            </w:r>
          </w:p>
        </w:tc>
      </w:tr>
      <w:tr w:rsidR="00000000">
        <w:tblPrEx>
          <w:tblCellMar>
            <w:top w:w="0" w:type="dxa"/>
            <w:bottom w:w="0" w:type="dxa"/>
          </w:tblCellMar>
        </w:tblPrEx>
        <w:trPr>
          <w:jc w:val="center"/>
        </w:trPr>
        <w:tc>
          <w:tcPr>
            <w:tcW w:w="1419" w:type="dxa"/>
          </w:tcPr>
          <w:p w:rsidR="00000000" w:rsidRDefault="00000000">
            <w:pPr>
              <w:spacing w:before="120" w:after="120" w:line="220" w:lineRule="exact"/>
              <w:jc w:val="center"/>
              <w:rPr>
                <w:sz w:val="18"/>
              </w:rPr>
            </w:pPr>
            <w:r>
              <w:rPr>
                <w:sz w:val="18"/>
              </w:rPr>
              <w:t>1996</w:t>
            </w:r>
          </w:p>
        </w:tc>
        <w:tc>
          <w:tcPr>
            <w:tcW w:w="2551" w:type="dxa"/>
          </w:tcPr>
          <w:p w:rsidR="00000000" w:rsidRDefault="00000000">
            <w:pPr>
              <w:spacing w:before="120" w:after="120" w:line="220" w:lineRule="exact"/>
              <w:jc w:val="center"/>
              <w:rPr>
                <w:sz w:val="18"/>
              </w:rPr>
            </w:pPr>
            <w:r>
              <w:rPr>
                <w:sz w:val="18"/>
              </w:rPr>
              <w:t>105 000</w:t>
            </w:r>
          </w:p>
        </w:tc>
        <w:tc>
          <w:tcPr>
            <w:tcW w:w="2551" w:type="dxa"/>
          </w:tcPr>
          <w:p w:rsidR="00000000" w:rsidRDefault="00000000">
            <w:pPr>
              <w:spacing w:before="120" w:after="120" w:line="220" w:lineRule="exact"/>
              <w:jc w:val="center"/>
              <w:rPr>
                <w:sz w:val="18"/>
              </w:rPr>
            </w:pPr>
            <w:r>
              <w:rPr>
                <w:sz w:val="18"/>
              </w:rPr>
              <w:t>340</w:t>
            </w:r>
          </w:p>
        </w:tc>
        <w:tc>
          <w:tcPr>
            <w:tcW w:w="2551" w:type="dxa"/>
          </w:tcPr>
          <w:p w:rsidR="00000000" w:rsidRDefault="00000000">
            <w:pPr>
              <w:spacing w:before="120" w:after="120" w:line="220" w:lineRule="exact"/>
              <w:jc w:val="center"/>
              <w:rPr>
                <w:sz w:val="18"/>
              </w:rPr>
            </w:pPr>
            <w:r>
              <w:rPr>
                <w:sz w:val="18"/>
              </w:rPr>
              <w:t>32 980 000</w:t>
            </w:r>
          </w:p>
        </w:tc>
      </w:tr>
      <w:tr w:rsidR="00000000">
        <w:tblPrEx>
          <w:tblCellMar>
            <w:top w:w="0" w:type="dxa"/>
            <w:bottom w:w="0" w:type="dxa"/>
          </w:tblCellMar>
        </w:tblPrEx>
        <w:trPr>
          <w:jc w:val="center"/>
        </w:trPr>
        <w:tc>
          <w:tcPr>
            <w:tcW w:w="1419" w:type="dxa"/>
          </w:tcPr>
          <w:p w:rsidR="00000000" w:rsidRDefault="00000000">
            <w:pPr>
              <w:spacing w:before="120" w:after="120" w:line="220" w:lineRule="exact"/>
              <w:jc w:val="center"/>
              <w:rPr>
                <w:sz w:val="18"/>
              </w:rPr>
            </w:pPr>
            <w:r>
              <w:rPr>
                <w:sz w:val="18"/>
              </w:rPr>
              <w:t>1997</w:t>
            </w:r>
          </w:p>
        </w:tc>
        <w:tc>
          <w:tcPr>
            <w:tcW w:w="2551" w:type="dxa"/>
          </w:tcPr>
          <w:p w:rsidR="00000000" w:rsidRDefault="00000000">
            <w:pPr>
              <w:spacing w:before="120" w:after="120" w:line="220" w:lineRule="exact"/>
              <w:jc w:val="center"/>
              <w:rPr>
                <w:sz w:val="18"/>
              </w:rPr>
            </w:pPr>
            <w:r>
              <w:rPr>
                <w:sz w:val="18"/>
              </w:rPr>
              <w:t>105 000</w:t>
            </w:r>
          </w:p>
        </w:tc>
        <w:tc>
          <w:tcPr>
            <w:tcW w:w="2551" w:type="dxa"/>
          </w:tcPr>
          <w:p w:rsidR="00000000" w:rsidRDefault="00000000">
            <w:pPr>
              <w:spacing w:before="120" w:after="120" w:line="220" w:lineRule="exact"/>
              <w:jc w:val="center"/>
              <w:rPr>
                <w:sz w:val="18"/>
              </w:rPr>
            </w:pPr>
            <w:r>
              <w:rPr>
                <w:sz w:val="18"/>
              </w:rPr>
              <w:t>372</w:t>
            </w:r>
          </w:p>
        </w:tc>
        <w:tc>
          <w:tcPr>
            <w:tcW w:w="2551" w:type="dxa"/>
          </w:tcPr>
          <w:p w:rsidR="00000000" w:rsidRDefault="00000000">
            <w:pPr>
              <w:spacing w:before="120" w:after="120" w:line="220" w:lineRule="exact"/>
              <w:jc w:val="center"/>
              <w:rPr>
                <w:sz w:val="18"/>
              </w:rPr>
            </w:pPr>
            <w:r>
              <w:rPr>
                <w:sz w:val="18"/>
              </w:rPr>
              <w:t>37 170 000</w:t>
            </w:r>
          </w:p>
        </w:tc>
      </w:tr>
      <w:tr w:rsidR="00000000">
        <w:tblPrEx>
          <w:tblCellMar>
            <w:top w:w="0" w:type="dxa"/>
            <w:bottom w:w="0" w:type="dxa"/>
          </w:tblCellMar>
        </w:tblPrEx>
        <w:trPr>
          <w:jc w:val="center"/>
        </w:trPr>
        <w:tc>
          <w:tcPr>
            <w:tcW w:w="1419" w:type="dxa"/>
          </w:tcPr>
          <w:p w:rsidR="00000000" w:rsidRDefault="00000000">
            <w:pPr>
              <w:spacing w:before="120" w:after="120" w:line="220" w:lineRule="exact"/>
              <w:jc w:val="center"/>
              <w:rPr>
                <w:sz w:val="18"/>
              </w:rPr>
            </w:pPr>
            <w:r>
              <w:rPr>
                <w:sz w:val="18"/>
              </w:rPr>
              <w:t>1998</w:t>
            </w:r>
          </w:p>
        </w:tc>
        <w:tc>
          <w:tcPr>
            <w:tcW w:w="2551" w:type="dxa"/>
          </w:tcPr>
          <w:p w:rsidR="00000000" w:rsidRDefault="00000000">
            <w:pPr>
              <w:spacing w:before="120" w:after="120" w:line="220" w:lineRule="exact"/>
              <w:jc w:val="center"/>
              <w:rPr>
                <w:sz w:val="18"/>
              </w:rPr>
            </w:pPr>
            <w:r>
              <w:rPr>
                <w:sz w:val="18"/>
              </w:rPr>
              <w:t>112 000</w:t>
            </w:r>
          </w:p>
        </w:tc>
        <w:tc>
          <w:tcPr>
            <w:tcW w:w="2551" w:type="dxa"/>
          </w:tcPr>
          <w:p w:rsidR="00000000" w:rsidRDefault="00000000">
            <w:pPr>
              <w:spacing w:before="120" w:after="120" w:line="220" w:lineRule="exact"/>
              <w:jc w:val="center"/>
              <w:rPr>
                <w:sz w:val="18"/>
              </w:rPr>
            </w:pPr>
            <w:r>
              <w:rPr>
                <w:sz w:val="18"/>
              </w:rPr>
              <w:t>404</w:t>
            </w:r>
          </w:p>
        </w:tc>
        <w:tc>
          <w:tcPr>
            <w:tcW w:w="2551" w:type="dxa"/>
          </w:tcPr>
          <w:p w:rsidR="00000000" w:rsidRDefault="00000000">
            <w:pPr>
              <w:spacing w:before="120" w:after="120" w:line="220" w:lineRule="exact"/>
              <w:jc w:val="center"/>
              <w:rPr>
                <w:sz w:val="18"/>
              </w:rPr>
            </w:pPr>
            <w:r>
              <w:rPr>
                <w:sz w:val="18"/>
              </w:rPr>
              <w:t>42 454 000</w:t>
            </w:r>
          </w:p>
        </w:tc>
      </w:tr>
    </w:tbl>
    <w:p w:rsidR="00000000" w:rsidRDefault="00000000">
      <w:pPr>
        <w:pStyle w:val="Heading2"/>
        <w:spacing w:before="120" w:after="360" w:line="220" w:lineRule="exact"/>
        <w:ind w:right="289"/>
        <w:jc w:val="right"/>
        <w:rPr>
          <w:b/>
          <w:sz w:val="18"/>
        </w:rPr>
      </w:pPr>
      <w:r>
        <w:rPr>
          <w:b/>
          <w:sz w:val="18"/>
        </w:rPr>
        <w:t>Источник:</w:t>
      </w:r>
      <w:r>
        <w:rPr>
          <w:b/>
          <w:spacing w:val="20"/>
          <w:sz w:val="18"/>
        </w:rPr>
        <w:t xml:space="preserve"> </w:t>
      </w:r>
      <w:r>
        <w:rPr>
          <w:b/>
          <w:sz w:val="18"/>
        </w:rPr>
        <w:t>Министерство социальных дел</w:t>
      </w:r>
    </w:p>
    <w:p w:rsidR="00000000" w:rsidRDefault="00000000">
      <w:pPr>
        <w:pStyle w:val="Heading2"/>
        <w:spacing w:before="120" w:line="240" w:lineRule="exact"/>
        <w:rPr>
          <w:b/>
          <w:sz w:val="20"/>
        </w:rPr>
      </w:pPr>
      <w:r>
        <w:rPr>
          <w:b/>
          <w:sz w:val="20"/>
        </w:rPr>
        <w:t>Разовые пособия</w:t>
      </w:r>
    </w:p>
    <w:p w:rsidR="00000000" w:rsidRDefault="00000000">
      <w:pPr>
        <w:spacing w:after="360"/>
      </w:pPr>
      <w:r>
        <w:t>793.</w:t>
      </w:r>
      <w:r>
        <w:tab/>
        <w:t>Целый ряд разовых пособий предоставляется лицам или семьям по случаю религиозных праздников, начала учебного года или в случае возникновения непредвиденных трудностей. Число лиц, получающих пособия, и размер пособий, выплаченных в 1994–1998 годах, представляются следующим образом:</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24"/>
        <w:gridCol w:w="3024"/>
        <w:gridCol w:w="3024"/>
      </w:tblGrid>
      <w:tr w:rsidR="00000000">
        <w:tblPrEx>
          <w:tblCellMar>
            <w:top w:w="0" w:type="dxa"/>
            <w:bottom w:w="0" w:type="dxa"/>
          </w:tblCellMar>
        </w:tblPrEx>
        <w:trPr>
          <w:jc w:val="center"/>
        </w:trPr>
        <w:tc>
          <w:tcPr>
            <w:tcW w:w="3024" w:type="dxa"/>
          </w:tcPr>
          <w:p w:rsidR="00000000" w:rsidRDefault="00000000">
            <w:pPr>
              <w:spacing w:before="120" w:after="120" w:line="220" w:lineRule="exact"/>
              <w:rPr>
                <w:b/>
                <w:sz w:val="18"/>
              </w:rPr>
            </w:pPr>
            <w:r>
              <w:rPr>
                <w:b/>
                <w:sz w:val="18"/>
              </w:rPr>
              <w:t>Характер пособия</w:t>
            </w:r>
          </w:p>
        </w:tc>
        <w:tc>
          <w:tcPr>
            <w:tcW w:w="3024" w:type="dxa"/>
          </w:tcPr>
          <w:p w:rsidR="00000000" w:rsidRDefault="00000000">
            <w:pPr>
              <w:pStyle w:val="Heading3"/>
              <w:spacing w:after="120" w:line="220" w:lineRule="exact"/>
              <w:rPr>
                <w:sz w:val="18"/>
              </w:rPr>
            </w:pPr>
            <w:r>
              <w:rPr>
                <w:sz w:val="18"/>
              </w:rPr>
              <w:t>Число получающих пособия</w:t>
            </w:r>
          </w:p>
        </w:tc>
        <w:tc>
          <w:tcPr>
            <w:tcW w:w="3024" w:type="dxa"/>
          </w:tcPr>
          <w:p w:rsidR="00000000" w:rsidRDefault="00000000">
            <w:pPr>
              <w:spacing w:before="120" w:after="120" w:line="220" w:lineRule="exact"/>
              <w:jc w:val="center"/>
              <w:rPr>
                <w:b/>
                <w:sz w:val="18"/>
              </w:rPr>
            </w:pPr>
            <w:r>
              <w:rPr>
                <w:b/>
                <w:sz w:val="18"/>
              </w:rPr>
              <w:t>Сумма в динарах</w:t>
            </w:r>
          </w:p>
        </w:tc>
      </w:tr>
      <w:tr w:rsidR="00000000">
        <w:tblPrEx>
          <w:tblCellMar>
            <w:top w:w="0" w:type="dxa"/>
            <w:bottom w:w="0" w:type="dxa"/>
          </w:tblCellMar>
        </w:tblPrEx>
        <w:trPr>
          <w:jc w:val="center"/>
        </w:trPr>
        <w:tc>
          <w:tcPr>
            <w:tcW w:w="3024" w:type="dxa"/>
          </w:tcPr>
          <w:p w:rsidR="00000000" w:rsidRDefault="00000000">
            <w:pPr>
              <w:spacing w:before="120" w:after="120" w:line="220" w:lineRule="exact"/>
              <w:rPr>
                <w:sz w:val="18"/>
              </w:rPr>
            </w:pPr>
            <w:r>
              <w:rPr>
                <w:sz w:val="18"/>
              </w:rPr>
              <w:t>По случаю начала учебного года</w:t>
            </w:r>
          </w:p>
        </w:tc>
        <w:tc>
          <w:tcPr>
            <w:tcW w:w="3024" w:type="dxa"/>
          </w:tcPr>
          <w:p w:rsidR="00000000" w:rsidRDefault="00000000">
            <w:pPr>
              <w:tabs>
                <w:tab w:val="clear" w:pos="680"/>
                <w:tab w:val="clear" w:pos="1021"/>
                <w:tab w:val="decimal" w:pos="1684"/>
              </w:tabs>
              <w:spacing w:before="120" w:after="120" w:line="220" w:lineRule="exact"/>
              <w:rPr>
                <w:sz w:val="18"/>
              </w:rPr>
            </w:pPr>
            <w:r>
              <w:rPr>
                <w:sz w:val="18"/>
              </w:rPr>
              <w:t>1 484 516</w:t>
            </w:r>
          </w:p>
        </w:tc>
        <w:tc>
          <w:tcPr>
            <w:tcW w:w="3024" w:type="dxa"/>
          </w:tcPr>
          <w:p w:rsidR="00000000" w:rsidRDefault="00000000">
            <w:pPr>
              <w:tabs>
                <w:tab w:val="clear" w:pos="680"/>
                <w:tab w:val="clear" w:pos="1021"/>
                <w:tab w:val="decimal" w:pos="1779"/>
              </w:tabs>
              <w:spacing w:before="120" w:after="120" w:line="220" w:lineRule="exact"/>
              <w:rPr>
                <w:sz w:val="18"/>
              </w:rPr>
            </w:pPr>
            <w:r>
              <w:rPr>
                <w:sz w:val="18"/>
              </w:rPr>
              <w:t>32 728 309</w:t>
            </w:r>
          </w:p>
        </w:tc>
      </w:tr>
      <w:tr w:rsidR="00000000">
        <w:tblPrEx>
          <w:tblCellMar>
            <w:top w:w="0" w:type="dxa"/>
            <w:bottom w:w="0" w:type="dxa"/>
          </w:tblCellMar>
        </w:tblPrEx>
        <w:trPr>
          <w:jc w:val="center"/>
        </w:trPr>
        <w:tc>
          <w:tcPr>
            <w:tcW w:w="3024" w:type="dxa"/>
          </w:tcPr>
          <w:p w:rsidR="00000000" w:rsidRDefault="00000000">
            <w:pPr>
              <w:spacing w:before="120" w:after="120" w:line="220" w:lineRule="exact"/>
              <w:rPr>
                <w:sz w:val="18"/>
              </w:rPr>
            </w:pPr>
            <w:r>
              <w:rPr>
                <w:sz w:val="18"/>
              </w:rPr>
              <w:t>По религиозным праздникам</w:t>
            </w:r>
          </w:p>
        </w:tc>
        <w:tc>
          <w:tcPr>
            <w:tcW w:w="3024" w:type="dxa"/>
          </w:tcPr>
          <w:p w:rsidR="00000000" w:rsidRDefault="00000000">
            <w:pPr>
              <w:tabs>
                <w:tab w:val="clear" w:pos="680"/>
                <w:tab w:val="clear" w:pos="1021"/>
                <w:tab w:val="decimal" w:pos="1684"/>
              </w:tabs>
              <w:spacing w:before="120" w:after="120" w:line="220" w:lineRule="exact"/>
              <w:rPr>
                <w:sz w:val="18"/>
              </w:rPr>
            </w:pPr>
            <w:r>
              <w:rPr>
                <w:sz w:val="18"/>
              </w:rPr>
              <w:t>1 698 924</w:t>
            </w:r>
          </w:p>
        </w:tc>
        <w:tc>
          <w:tcPr>
            <w:tcW w:w="3024" w:type="dxa"/>
          </w:tcPr>
          <w:p w:rsidR="00000000" w:rsidRDefault="00000000">
            <w:pPr>
              <w:tabs>
                <w:tab w:val="clear" w:pos="680"/>
                <w:tab w:val="clear" w:pos="1021"/>
                <w:tab w:val="decimal" w:pos="1779"/>
              </w:tabs>
              <w:spacing w:before="120" w:after="120" w:line="220" w:lineRule="exact"/>
              <w:rPr>
                <w:sz w:val="18"/>
              </w:rPr>
            </w:pPr>
            <w:r>
              <w:rPr>
                <w:sz w:val="18"/>
              </w:rPr>
              <w:t>42 443 705</w:t>
            </w:r>
          </w:p>
        </w:tc>
      </w:tr>
      <w:tr w:rsidR="00000000">
        <w:tblPrEx>
          <w:tblCellMar>
            <w:top w:w="0" w:type="dxa"/>
            <w:bottom w:w="0" w:type="dxa"/>
          </w:tblCellMar>
        </w:tblPrEx>
        <w:trPr>
          <w:jc w:val="center"/>
        </w:trPr>
        <w:tc>
          <w:tcPr>
            <w:tcW w:w="3024" w:type="dxa"/>
          </w:tcPr>
          <w:p w:rsidR="00000000" w:rsidRDefault="00000000">
            <w:pPr>
              <w:spacing w:before="120" w:after="120" w:line="220" w:lineRule="exact"/>
              <w:rPr>
                <w:sz w:val="18"/>
              </w:rPr>
            </w:pPr>
            <w:r>
              <w:rPr>
                <w:sz w:val="18"/>
              </w:rPr>
              <w:t>В исключительных случаях</w:t>
            </w:r>
          </w:p>
        </w:tc>
        <w:tc>
          <w:tcPr>
            <w:tcW w:w="3024" w:type="dxa"/>
          </w:tcPr>
          <w:p w:rsidR="00000000" w:rsidRDefault="00000000">
            <w:pPr>
              <w:tabs>
                <w:tab w:val="clear" w:pos="680"/>
                <w:tab w:val="clear" w:pos="1021"/>
                <w:tab w:val="decimal" w:pos="1684"/>
              </w:tabs>
              <w:spacing w:before="120" w:after="120" w:line="220" w:lineRule="exact"/>
              <w:rPr>
                <w:sz w:val="18"/>
              </w:rPr>
            </w:pPr>
            <w:r>
              <w:rPr>
                <w:sz w:val="18"/>
              </w:rPr>
              <w:t>299 505</w:t>
            </w:r>
          </w:p>
        </w:tc>
        <w:tc>
          <w:tcPr>
            <w:tcW w:w="3024" w:type="dxa"/>
          </w:tcPr>
          <w:p w:rsidR="00000000" w:rsidRDefault="00000000">
            <w:pPr>
              <w:tabs>
                <w:tab w:val="clear" w:pos="680"/>
                <w:tab w:val="clear" w:pos="1021"/>
                <w:tab w:val="decimal" w:pos="1779"/>
              </w:tabs>
              <w:spacing w:before="120" w:after="120" w:line="220" w:lineRule="exact"/>
              <w:rPr>
                <w:sz w:val="18"/>
              </w:rPr>
            </w:pPr>
            <w:r>
              <w:rPr>
                <w:sz w:val="18"/>
              </w:rPr>
              <w:t>7 191 386</w:t>
            </w:r>
          </w:p>
        </w:tc>
      </w:tr>
      <w:tr w:rsidR="00000000">
        <w:tblPrEx>
          <w:tblCellMar>
            <w:top w:w="0" w:type="dxa"/>
            <w:bottom w:w="0" w:type="dxa"/>
          </w:tblCellMar>
        </w:tblPrEx>
        <w:trPr>
          <w:jc w:val="center"/>
        </w:trPr>
        <w:tc>
          <w:tcPr>
            <w:tcW w:w="3024" w:type="dxa"/>
          </w:tcPr>
          <w:p w:rsidR="00000000" w:rsidRDefault="00000000">
            <w:pPr>
              <w:spacing w:before="120" w:after="120" w:line="220" w:lineRule="exact"/>
              <w:rPr>
                <w:sz w:val="18"/>
              </w:rPr>
            </w:pPr>
            <w:r>
              <w:rPr>
                <w:sz w:val="18"/>
              </w:rPr>
              <w:t>ВСЕГО</w:t>
            </w:r>
          </w:p>
        </w:tc>
        <w:tc>
          <w:tcPr>
            <w:tcW w:w="3024" w:type="dxa"/>
          </w:tcPr>
          <w:p w:rsidR="00000000" w:rsidRDefault="00000000">
            <w:pPr>
              <w:tabs>
                <w:tab w:val="clear" w:pos="680"/>
                <w:tab w:val="clear" w:pos="1021"/>
                <w:tab w:val="decimal" w:pos="1684"/>
              </w:tabs>
              <w:spacing w:before="120" w:after="120" w:line="220" w:lineRule="exact"/>
              <w:rPr>
                <w:sz w:val="18"/>
              </w:rPr>
            </w:pPr>
            <w:r>
              <w:rPr>
                <w:sz w:val="18"/>
              </w:rPr>
              <w:t>3 482 945</w:t>
            </w:r>
          </w:p>
        </w:tc>
        <w:tc>
          <w:tcPr>
            <w:tcW w:w="3024" w:type="dxa"/>
          </w:tcPr>
          <w:p w:rsidR="00000000" w:rsidRDefault="00000000">
            <w:pPr>
              <w:tabs>
                <w:tab w:val="clear" w:pos="680"/>
                <w:tab w:val="clear" w:pos="1021"/>
                <w:tab w:val="decimal" w:pos="1779"/>
              </w:tabs>
              <w:spacing w:before="120" w:after="120" w:line="220" w:lineRule="exact"/>
              <w:rPr>
                <w:sz w:val="18"/>
              </w:rPr>
            </w:pPr>
            <w:r>
              <w:rPr>
                <w:sz w:val="18"/>
              </w:rPr>
              <w:t>82 353 400</w:t>
            </w:r>
          </w:p>
        </w:tc>
      </w:tr>
    </w:tbl>
    <w:p w:rsidR="00000000" w:rsidRDefault="00000000">
      <w:pPr>
        <w:pStyle w:val="Caption"/>
        <w:spacing w:before="120" w:line="240" w:lineRule="exact"/>
        <w:ind w:right="289" w:firstLine="284"/>
        <w:jc w:val="right"/>
        <w:rPr>
          <w:sz w:val="18"/>
        </w:rPr>
      </w:pPr>
      <w:r>
        <w:rPr>
          <w:sz w:val="18"/>
        </w:rPr>
        <w:t>Источник: Министерство социальных дел</w:t>
      </w:r>
    </w:p>
    <w:p w:rsidR="00000000" w:rsidRDefault="00000000">
      <w:pPr>
        <w:spacing w:before="120"/>
      </w:pPr>
      <w:r>
        <w:rPr>
          <w:b/>
        </w:rPr>
        <w:t>II.2.</w:t>
      </w:r>
      <w:r>
        <w:rPr>
          <w:b/>
        </w:rPr>
        <w:tab/>
        <w:t>Программы помощи нуждающимся пожилым лицам и инвалидам</w:t>
      </w:r>
    </w:p>
    <w:p w:rsidR="00000000" w:rsidRDefault="00000000">
      <w:r>
        <w:t>794.</w:t>
      </w:r>
      <w:r>
        <w:tab/>
        <w:t>Нуждающиеся пожилые лица и инвалиды получают специальное ежеквартальное пособие. Сумма его и число получающих за период с 1994 по 1998 год представляются следующим образом:</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2268"/>
        <w:gridCol w:w="2268"/>
        <w:gridCol w:w="2268"/>
      </w:tblGrid>
      <w:tr w:rsidR="00000000">
        <w:tblPrEx>
          <w:tblCellMar>
            <w:top w:w="0" w:type="dxa"/>
            <w:bottom w:w="0" w:type="dxa"/>
          </w:tblCellMar>
        </w:tblPrEx>
        <w:trPr>
          <w:jc w:val="center"/>
        </w:trPr>
        <w:tc>
          <w:tcPr>
            <w:tcW w:w="2268" w:type="dxa"/>
          </w:tcPr>
          <w:p w:rsidR="00000000" w:rsidRDefault="00000000">
            <w:pPr>
              <w:spacing w:before="120" w:after="120" w:line="220" w:lineRule="exact"/>
              <w:rPr>
                <w:b/>
                <w:sz w:val="18"/>
              </w:rPr>
            </w:pPr>
            <w:r>
              <w:rPr>
                <w:b/>
                <w:sz w:val="18"/>
              </w:rPr>
              <w:t>Категория</w:t>
            </w:r>
          </w:p>
        </w:tc>
        <w:tc>
          <w:tcPr>
            <w:tcW w:w="2268" w:type="dxa"/>
          </w:tcPr>
          <w:p w:rsidR="00000000" w:rsidRDefault="00000000">
            <w:pPr>
              <w:spacing w:before="120" w:after="120" w:line="220" w:lineRule="exact"/>
              <w:jc w:val="center"/>
              <w:rPr>
                <w:b/>
                <w:sz w:val="18"/>
              </w:rPr>
            </w:pPr>
            <w:r>
              <w:rPr>
                <w:b/>
                <w:sz w:val="18"/>
              </w:rPr>
              <w:t>Число получающих пособие</w:t>
            </w:r>
          </w:p>
        </w:tc>
        <w:tc>
          <w:tcPr>
            <w:tcW w:w="2268" w:type="dxa"/>
          </w:tcPr>
          <w:p w:rsidR="00000000" w:rsidRDefault="00000000">
            <w:pPr>
              <w:spacing w:before="120" w:after="120" w:line="220" w:lineRule="exact"/>
              <w:jc w:val="center"/>
              <w:rPr>
                <w:b/>
                <w:sz w:val="18"/>
              </w:rPr>
            </w:pPr>
            <w:r>
              <w:rPr>
                <w:b/>
                <w:sz w:val="18"/>
              </w:rPr>
              <w:t xml:space="preserve">Годовая сумма </w:t>
            </w:r>
            <w:r>
              <w:rPr>
                <w:b/>
                <w:sz w:val="18"/>
              </w:rPr>
              <w:br/>
              <w:t>на человека</w:t>
            </w:r>
          </w:p>
        </w:tc>
        <w:tc>
          <w:tcPr>
            <w:tcW w:w="2268" w:type="dxa"/>
          </w:tcPr>
          <w:p w:rsidR="00000000" w:rsidRDefault="00000000">
            <w:pPr>
              <w:spacing w:before="120" w:after="120" w:line="220" w:lineRule="exact"/>
              <w:jc w:val="center"/>
              <w:rPr>
                <w:b/>
                <w:sz w:val="18"/>
              </w:rPr>
            </w:pPr>
            <w:r>
              <w:rPr>
                <w:b/>
                <w:sz w:val="18"/>
              </w:rPr>
              <w:t xml:space="preserve">Общая сумма кредита </w:t>
            </w:r>
            <w:r>
              <w:rPr>
                <w:b/>
                <w:sz w:val="18"/>
              </w:rPr>
              <w:br/>
              <w:t>в динарах</w:t>
            </w:r>
          </w:p>
        </w:tc>
      </w:tr>
      <w:tr w:rsidR="00000000">
        <w:tblPrEx>
          <w:tblCellMar>
            <w:top w:w="0" w:type="dxa"/>
            <w:bottom w:w="0" w:type="dxa"/>
          </w:tblCellMar>
        </w:tblPrEx>
        <w:trPr>
          <w:jc w:val="center"/>
        </w:trPr>
        <w:tc>
          <w:tcPr>
            <w:tcW w:w="2268" w:type="dxa"/>
          </w:tcPr>
          <w:p w:rsidR="00000000" w:rsidRDefault="00000000">
            <w:pPr>
              <w:spacing w:before="120" w:after="120" w:line="220" w:lineRule="exact"/>
              <w:rPr>
                <w:sz w:val="18"/>
              </w:rPr>
            </w:pPr>
            <w:r>
              <w:rPr>
                <w:sz w:val="18"/>
              </w:rPr>
              <w:t>Инвалиды</w:t>
            </w:r>
          </w:p>
        </w:tc>
        <w:tc>
          <w:tcPr>
            <w:tcW w:w="2268" w:type="dxa"/>
          </w:tcPr>
          <w:p w:rsidR="00000000" w:rsidRDefault="00000000">
            <w:pPr>
              <w:spacing w:before="120" w:after="120" w:line="220" w:lineRule="exact"/>
              <w:jc w:val="center"/>
              <w:rPr>
                <w:sz w:val="18"/>
              </w:rPr>
            </w:pPr>
            <w:r>
              <w:rPr>
                <w:sz w:val="18"/>
              </w:rPr>
              <w:t>2 831</w:t>
            </w:r>
          </w:p>
        </w:tc>
        <w:tc>
          <w:tcPr>
            <w:tcW w:w="2268" w:type="dxa"/>
          </w:tcPr>
          <w:p w:rsidR="00000000" w:rsidRDefault="00000000">
            <w:pPr>
              <w:spacing w:before="120" w:after="120" w:line="220" w:lineRule="exact"/>
              <w:jc w:val="center"/>
              <w:rPr>
                <w:sz w:val="18"/>
              </w:rPr>
            </w:pPr>
            <w:r>
              <w:rPr>
                <w:sz w:val="18"/>
              </w:rPr>
              <w:t>404</w:t>
            </w:r>
            <w:r>
              <w:rPr>
                <w:sz w:val="18"/>
                <w:vertAlign w:val="superscript"/>
              </w:rPr>
              <w:t>1)</w:t>
            </w:r>
          </w:p>
        </w:tc>
        <w:tc>
          <w:tcPr>
            <w:tcW w:w="2268" w:type="dxa"/>
          </w:tcPr>
          <w:p w:rsidR="00000000" w:rsidRDefault="00000000">
            <w:pPr>
              <w:spacing w:before="120" w:after="120" w:line="220" w:lineRule="exact"/>
              <w:jc w:val="center"/>
              <w:rPr>
                <w:sz w:val="18"/>
              </w:rPr>
            </w:pPr>
            <w:r>
              <w:rPr>
                <w:sz w:val="18"/>
              </w:rPr>
              <w:t>4 531 312</w:t>
            </w:r>
          </w:p>
        </w:tc>
      </w:tr>
      <w:tr w:rsidR="00000000">
        <w:tblPrEx>
          <w:tblCellMar>
            <w:top w:w="0" w:type="dxa"/>
            <w:bottom w:w="0" w:type="dxa"/>
          </w:tblCellMar>
        </w:tblPrEx>
        <w:trPr>
          <w:jc w:val="center"/>
        </w:trPr>
        <w:tc>
          <w:tcPr>
            <w:tcW w:w="2268" w:type="dxa"/>
          </w:tcPr>
          <w:p w:rsidR="00000000" w:rsidRDefault="00000000">
            <w:pPr>
              <w:spacing w:before="120" w:after="120" w:line="220" w:lineRule="exact"/>
              <w:rPr>
                <w:sz w:val="18"/>
              </w:rPr>
            </w:pPr>
            <w:r>
              <w:rPr>
                <w:sz w:val="18"/>
              </w:rPr>
              <w:t>Пожилые лица</w:t>
            </w:r>
          </w:p>
        </w:tc>
        <w:tc>
          <w:tcPr>
            <w:tcW w:w="2268" w:type="dxa"/>
          </w:tcPr>
          <w:p w:rsidR="00000000" w:rsidRDefault="00000000">
            <w:pPr>
              <w:spacing w:before="120" w:after="120" w:line="220" w:lineRule="exact"/>
              <w:jc w:val="center"/>
              <w:rPr>
                <w:sz w:val="18"/>
              </w:rPr>
            </w:pPr>
            <w:r>
              <w:rPr>
                <w:sz w:val="18"/>
              </w:rPr>
              <w:t>3 100</w:t>
            </w:r>
          </w:p>
        </w:tc>
        <w:tc>
          <w:tcPr>
            <w:tcW w:w="2268" w:type="dxa"/>
          </w:tcPr>
          <w:p w:rsidR="00000000" w:rsidRDefault="00000000">
            <w:pPr>
              <w:spacing w:before="120" w:after="120" w:line="220" w:lineRule="exact"/>
              <w:jc w:val="center"/>
              <w:rPr>
                <w:sz w:val="18"/>
              </w:rPr>
            </w:pPr>
            <w:r>
              <w:rPr>
                <w:sz w:val="18"/>
              </w:rPr>
              <w:t>404</w:t>
            </w:r>
            <w:r>
              <w:rPr>
                <w:sz w:val="18"/>
                <w:vertAlign w:val="superscript"/>
              </w:rPr>
              <w:t>2)</w:t>
            </w:r>
          </w:p>
        </w:tc>
        <w:tc>
          <w:tcPr>
            <w:tcW w:w="2268" w:type="dxa"/>
          </w:tcPr>
          <w:p w:rsidR="00000000" w:rsidRDefault="00000000">
            <w:pPr>
              <w:spacing w:before="120" w:after="120" w:line="220" w:lineRule="exact"/>
              <w:jc w:val="center"/>
              <w:rPr>
                <w:sz w:val="18"/>
              </w:rPr>
            </w:pPr>
            <w:r>
              <w:rPr>
                <w:sz w:val="18"/>
              </w:rPr>
              <w:t>5 073 000</w:t>
            </w:r>
          </w:p>
        </w:tc>
      </w:tr>
      <w:tr w:rsidR="00000000">
        <w:tblPrEx>
          <w:tblCellMar>
            <w:top w:w="0" w:type="dxa"/>
            <w:bottom w:w="0" w:type="dxa"/>
          </w:tblCellMar>
        </w:tblPrEx>
        <w:trPr>
          <w:jc w:val="center"/>
        </w:trPr>
        <w:tc>
          <w:tcPr>
            <w:tcW w:w="2268" w:type="dxa"/>
          </w:tcPr>
          <w:p w:rsidR="00000000" w:rsidRDefault="00000000">
            <w:pPr>
              <w:spacing w:before="120" w:after="120" w:line="220" w:lineRule="exact"/>
              <w:rPr>
                <w:sz w:val="18"/>
              </w:rPr>
            </w:pPr>
            <w:r>
              <w:rPr>
                <w:sz w:val="18"/>
              </w:rPr>
              <w:t>ВСЕГО</w:t>
            </w:r>
          </w:p>
        </w:tc>
        <w:tc>
          <w:tcPr>
            <w:tcW w:w="2268" w:type="dxa"/>
          </w:tcPr>
          <w:p w:rsidR="00000000" w:rsidRDefault="00000000">
            <w:pPr>
              <w:spacing w:before="120" w:after="120" w:line="220" w:lineRule="exact"/>
              <w:jc w:val="center"/>
              <w:rPr>
                <w:sz w:val="18"/>
              </w:rPr>
            </w:pPr>
            <w:r>
              <w:rPr>
                <w:sz w:val="18"/>
              </w:rPr>
              <w:t>5 931</w:t>
            </w:r>
          </w:p>
        </w:tc>
        <w:tc>
          <w:tcPr>
            <w:tcW w:w="2268" w:type="dxa"/>
          </w:tcPr>
          <w:p w:rsidR="00000000" w:rsidRDefault="00000000">
            <w:pPr>
              <w:spacing w:before="120" w:after="120" w:line="220" w:lineRule="exact"/>
              <w:jc w:val="center"/>
              <w:rPr>
                <w:sz w:val="18"/>
              </w:rPr>
            </w:pPr>
            <w:r>
              <w:rPr>
                <w:sz w:val="18"/>
              </w:rPr>
              <w:t>–</w:t>
            </w:r>
          </w:p>
        </w:tc>
        <w:tc>
          <w:tcPr>
            <w:tcW w:w="2268" w:type="dxa"/>
          </w:tcPr>
          <w:p w:rsidR="00000000" w:rsidRDefault="00000000">
            <w:pPr>
              <w:spacing w:before="120" w:after="120" w:line="220" w:lineRule="exact"/>
              <w:jc w:val="center"/>
              <w:rPr>
                <w:sz w:val="18"/>
              </w:rPr>
            </w:pPr>
            <w:r>
              <w:rPr>
                <w:sz w:val="18"/>
              </w:rPr>
              <w:t>9 604 312</w:t>
            </w:r>
          </w:p>
        </w:tc>
      </w:tr>
    </w:tbl>
    <w:p w:rsidR="00000000" w:rsidRDefault="00000000">
      <w:pPr>
        <w:spacing w:before="120" w:line="220" w:lineRule="exact"/>
        <w:ind w:firstLine="284"/>
        <w:rPr>
          <w:sz w:val="18"/>
        </w:rPr>
      </w:pPr>
      <w:r>
        <w:rPr>
          <w:sz w:val="18"/>
          <w:vertAlign w:val="superscript"/>
        </w:rPr>
        <w:t>1)</w:t>
      </w:r>
      <w:r>
        <w:rPr>
          <w:sz w:val="18"/>
        </w:rPr>
        <w:tab/>
        <w:t>Сумма выросла с 310 динаров в 1994 году до 404 динаров в настоящее время.</w:t>
      </w:r>
    </w:p>
    <w:p w:rsidR="00000000" w:rsidRDefault="00000000">
      <w:pPr>
        <w:spacing w:line="220" w:lineRule="exact"/>
        <w:ind w:firstLine="284"/>
        <w:rPr>
          <w:sz w:val="18"/>
        </w:rPr>
      </w:pPr>
      <w:r>
        <w:rPr>
          <w:sz w:val="18"/>
          <w:vertAlign w:val="superscript"/>
        </w:rPr>
        <w:t>2)</w:t>
      </w:r>
      <w:r>
        <w:rPr>
          <w:sz w:val="18"/>
        </w:rPr>
        <w:tab/>
        <w:t>Сумма выросла с 280 динаров в 1994 году до 404 динаров в настоящее время.</w:t>
      </w:r>
    </w:p>
    <w:p w:rsidR="00000000" w:rsidRDefault="00000000">
      <w:pPr>
        <w:pStyle w:val="Heading4"/>
        <w:spacing w:before="240" w:line="240" w:lineRule="exact"/>
        <w:rPr>
          <w:sz w:val="20"/>
        </w:rPr>
      </w:pPr>
      <w:r>
        <w:rPr>
          <w:sz w:val="20"/>
        </w:rPr>
        <w:t>II.3.</w:t>
      </w:r>
      <w:r>
        <w:rPr>
          <w:sz w:val="20"/>
        </w:rPr>
        <w:tab/>
        <w:t>Социальные программы, способствующие развитию</w:t>
      </w:r>
    </w:p>
    <w:p w:rsidR="00000000" w:rsidRDefault="00000000">
      <w:pPr>
        <w:spacing w:after="40"/>
      </w:pPr>
      <w:r>
        <w:t>795.</w:t>
      </w:r>
      <w:r>
        <w:tab/>
        <w:t>Было начато осуществление двух программ по созданию источников доходов в пользу инвалидов и малообеспеченных семей, способных участвовать в сельскохозяйственном, мелком ремесленническом и кустарном производстве, а также в сфере услуг. Целью этих проектов являются:</w:t>
      </w:r>
    </w:p>
    <w:p w:rsidR="00000000" w:rsidRDefault="00000000">
      <w:pPr>
        <w:spacing w:after="40"/>
      </w:pPr>
      <w:r>
        <w:tab/>
        <w:t>–</w:t>
      </w:r>
      <w:r>
        <w:tab/>
        <w:t>улучшение положения с занятостью и сокращение безработицы среди инвалидов;</w:t>
      </w:r>
    </w:p>
    <w:p w:rsidR="00000000" w:rsidRDefault="00000000">
      <w:pPr>
        <w:ind w:left="1021" w:hanging="1021"/>
      </w:pPr>
      <w:r>
        <w:tab/>
        <w:t>–</w:t>
      </w:r>
      <w:r>
        <w:tab/>
        <w:t>улучшение адресной помощи в рамках программ развития с целью создания источников постоянных доходов для нуждающихся семей, развития у них чувства инициативы и вовлечение их в экономическую деятельность.</w:t>
      </w:r>
    </w:p>
    <w:p w:rsidR="00000000" w:rsidRDefault="00000000">
      <w:r>
        <w:t>796.</w:t>
      </w:r>
      <w:r>
        <w:tab/>
        <w:t xml:space="preserve">В течение 1994–1998 годов были выработаны планы вовлечения в трудовую деятельность </w:t>
      </w:r>
      <w:r>
        <w:br/>
        <w:t>386 трудоспособных нуждающихся семей и 3688 проектов – для инвалидов.</w:t>
      </w:r>
    </w:p>
    <w:p w:rsidR="00000000" w:rsidRDefault="00000000">
      <w:pPr>
        <w:spacing w:after="80"/>
      </w:pPr>
      <w:r>
        <w:t>797.</w:t>
      </w:r>
      <w:r>
        <w:tab/>
        <w:t>Программы по развитию рассчитаны и на женщин, а именно:</w:t>
      </w:r>
    </w:p>
    <w:p w:rsidR="00000000" w:rsidRDefault="00000000">
      <w:pPr>
        <w:spacing w:after="40"/>
        <w:ind w:left="1021" w:hanging="1021"/>
      </w:pPr>
      <w:r>
        <w:rPr>
          <w:lang w:val="en-US"/>
        </w:rPr>
        <w:tab/>
      </w:r>
      <w:r>
        <w:t>–</w:t>
      </w:r>
      <w:r>
        <w:tab/>
        <w:t>603 человека, то есть 16,35 процента от общего числа, пользовавшихся источниками доходов для инвалидов, – женщины;</w:t>
      </w:r>
    </w:p>
    <w:p w:rsidR="00000000" w:rsidRDefault="00000000">
      <w:pPr>
        <w:ind w:left="1021" w:hanging="1021"/>
      </w:pPr>
      <w:r>
        <w:tab/>
        <w:t>–</w:t>
      </w:r>
      <w:r>
        <w:tab/>
        <w:t xml:space="preserve">295 женщин воспользовались проектами помощи нуждающимся семьям, что составляет </w:t>
      </w:r>
      <w:r>
        <w:br/>
        <w:t>76,4 процента от общего числа получающих помощь.</w:t>
      </w:r>
    </w:p>
    <w:p w:rsidR="00000000" w:rsidRDefault="00000000">
      <w:pPr>
        <w:rPr>
          <w:b/>
        </w:rPr>
      </w:pPr>
      <w:r>
        <w:rPr>
          <w:b/>
        </w:rPr>
        <w:t>II.4.</w:t>
      </w:r>
      <w:r>
        <w:rPr>
          <w:b/>
        </w:rPr>
        <w:tab/>
        <w:t>Фонд национальной солидарности (26-26)</w:t>
      </w:r>
    </w:p>
    <w:p w:rsidR="00000000" w:rsidRDefault="00000000">
      <w:pPr>
        <w:pStyle w:val="BodyText"/>
        <w:spacing w:line="240" w:lineRule="exact"/>
        <w:rPr>
          <w:sz w:val="20"/>
        </w:rPr>
      </w:pPr>
      <w:r>
        <w:rPr>
          <w:sz w:val="20"/>
        </w:rPr>
        <w:t>798.</w:t>
      </w:r>
      <w:r>
        <w:rPr>
          <w:sz w:val="20"/>
        </w:rPr>
        <w:tab/>
        <w:t>Созданный в 1993 году по инициативе Президента Республики Зин аль-Абидина бен Али, Фонд национальной солидарности существует за счет дотаций из государственного бюджета, добровольных взносов граждан и предприятий, а также благодаря помощи братских и дружественных стран.</w:t>
      </w:r>
    </w:p>
    <w:p w:rsidR="00000000" w:rsidRDefault="00000000">
      <w:pPr>
        <w:pStyle w:val="BodyText"/>
        <w:spacing w:line="240" w:lineRule="exact"/>
        <w:rPr>
          <w:sz w:val="20"/>
        </w:rPr>
      </w:pPr>
      <w:r>
        <w:rPr>
          <w:sz w:val="20"/>
        </w:rPr>
        <w:t>799.</w:t>
      </w:r>
      <w:r>
        <w:rPr>
          <w:sz w:val="20"/>
        </w:rPr>
        <w:tab/>
        <w:t>Фонд национальной солидарности – ФНС 26-26 – финансирует осуществление проектов, касающихся базовой инфраструктуры (питьевая вода, электричество, сельские дороги и шоссе, жилищное хозяйство, школы и поликлиники), и создание микропроектов (сельское хозяйство, кустарничество и ремесленничество) в зонах, где нет базовой инфраструктуры, а экономический потенциал слабый или вовсе отсутствует.</w:t>
      </w:r>
    </w:p>
    <w:p w:rsidR="00000000" w:rsidRDefault="00000000">
      <w:pPr>
        <w:pStyle w:val="BodyText"/>
        <w:spacing w:line="240" w:lineRule="exact"/>
        <w:rPr>
          <w:sz w:val="20"/>
        </w:rPr>
      </w:pPr>
      <w:r>
        <w:rPr>
          <w:sz w:val="20"/>
        </w:rPr>
        <w:t>800.</w:t>
      </w:r>
      <w:r>
        <w:rPr>
          <w:sz w:val="20"/>
        </w:rPr>
        <w:tab/>
        <w:t>С 1996 года ФНС начал осуществлять программу создания проектов, приносящих доходы. Сельская женщина стала получать доход непосредственно от предприятий, связанных с кустарничеством (26 процентов проектов), или через посредство комплексных сельскохозяйственных проектов (68 процентов от общего числа проектов), что оказывает большую помощь семьям в сельской местности.</w:t>
      </w:r>
    </w:p>
    <w:p w:rsidR="00000000" w:rsidRDefault="00000000">
      <w:pPr>
        <w:pStyle w:val="BodyText"/>
        <w:spacing w:line="240" w:lineRule="auto"/>
        <w:rPr>
          <w:b/>
          <w:sz w:val="28"/>
        </w:rPr>
      </w:pPr>
      <w:r>
        <w:rPr>
          <w:b/>
          <w:sz w:val="28"/>
        </w:rPr>
        <w:t>III.</w:t>
      </w:r>
      <w:r>
        <w:rPr>
          <w:b/>
          <w:sz w:val="28"/>
        </w:rPr>
        <w:tab/>
        <w:t>Доступ к программам комплексного развития</w:t>
      </w:r>
    </w:p>
    <w:p w:rsidR="00000000" w:rsidRDefault="00000000">
      <w:pPr>
        <w:pStyle w:val="BodyText"/>
        <w:spacing w:line="240" w:lineRule="exact"/>
        <w:rPr>
          <w:sz w:val="20"/>
        </w:rPr>
      </w:pPr>
      <w:r>
        <w:rPr>
          <w:sz w:val="20"/>
        </w:rPr>
        <w:t>801.</w:t>
      </w:r>
      <w:r>
        <w:rPr>
          <w:sz w:val="20"/>
        </w:rPr>
        <w:tab/>
        <w:t>Женщины пользовались возможностями государственных программ развития и помощи в обеспечении занятости. Программы эти постоянно обновлялись в соответствии с нуждами населения с целью улучшения его условий жизни. Предусматривают ли они развитие социально-экономической базовой инфраструктуры, создание рабочих мест и источников доходов или развитие микропредприятий и самостоятельных небольших фирм, эти программы прямо или косвенно оказывали помощь женщинам из бедных слоев в городах и деревнях и способствовали их вовлечению в экономическую деятельность.</w:t>
      </w:r>
    </w:p>
    <w:p w:rsidR="00000000" w:rsidRDefault="00000000">
      <w:pPr>
        <w:pStyle w:val="BodyText"/>
        <w:spacing w:line="240" w:lineRule="exact"/>
        <w:rPr>
          <w:sz w:val="20"/>
        </w:rPr>
      </w:pPr>
      <w:r>
        <w:rPr>
          <w:sz w:val="20"/>
        </w:rPr>
        <w:t>802.</w:t>
      </w:r>
      <w:r>
        <w:rPr>
          <w:sz w:val="20"/>
        </w:rPr>
        <w:tab/>
        <w:t>В рамках национальных программ комплексного развития – ПКСР (Программа комплексного сельского развития) и ПКГР (Программа комплексного городского развития) – начаты новые проекты, специально адресованные женщинам, имеющим некоторую профессиональную квалификацию; цель этих программ – развитие производственной деятельности на дому и семейного производства, что должно способствовать созданию женских микропредприятий.</w:t>
      </w:r>
    </w:p>
    <w:p w:rsidR="00000000" w:rsidRDefault="00000000">
      <w:pPr>
        <w:pStyle w:val="BodyText"/>
        <w:spacing w:line="240" w:lineRule="exact"/>
        <w:rPr>
          <w:sz w:val="20"/>
        </w:rPr>
      </w:pPr>
      <w:r>
        <w:rPr>
          <w:sz w:val="20"/>
        </w:rPr>
        <w:t>803.</w:t>
      </w:r>
      <w:r>
        <w:rPr>
          <w:sz w:val="20"/>
        </w:rPr>
        <w:tab/>
        <w:t>Опросы, проведенные в пригородных районах, относящихся к программе ПКГР, выявили решающий вклад женщин в повышение доходов семьи.</w:t>
      </w:r>
    </w:p>
    <w:p w:rsidR="00000000" w:rsidRDefault="00000000">
      <w:pPr>
        <w:pStyle w:val="BodyText"/>
        <w:spacing w:after="120" w:line="240" w:lineRule="exact"/>
        <w:rPr>
          <w:sz w:val="20"/>
        </w:rPr>
      </w:pPr>
      <w:r>
        <w:rPr>
          <w:sz w:val="20"/>
        </w:rPr>
        <w:t>804.</w:t>
      </w:r>
      <w:r>
        <w:rPr>
          <w:sz w:val="20"/>
        </w:rPr>
        <w:tab/>
        <w:t>Программой регионального развития (ПРР), созданной в 1987 году и объединившей несколько региональных программ развития, до 1992 года успели воспользоваться 12 тыс. женщин, то есть 10 процентов бенефициаров в рамках "помощи ремесленничеству".</w:t>
      </w:r>
    </w:p>
    <w:p w:rsidR="00000000" w:rsidRDefault="00000000">
      <w:pPr>
        <w:pStyle w:val="BodyText"/>
        <w:spacing w:after="120" w:line="240" w:lineRule="exact"/>
        <w:ind w:left="1021" w:hanging="1021"/>
        <w:rPr>
          <w:sz w:val="20"/>
        </w:rPr>
      </w:pPr>
      <w:r>
        <w:rPr>
          <w:sz w:val="20"/>
        </w:rPr>
        <w:tab/>
        <w:t>–</w:t>
      </w:r>
      <w:r>
        <w:rPr>
          <w:sz w:val="20"/>
        </w:rPr>
        <w:tab/>
        <w:t>Программа комплексного сельского развития (ПКСР), созданная в 1984 году и получившая новый импульс в 1993 году, включила в проекты нового поколения рубрику "женщина", как, например, проект развития северо-запада, содержащий особую программу, касающуюся всех аспектов сельскохозяйственной деятельности женщин, ремесленничества и работы в домашнем хозяйстве и обеспечивающую доступ к кредитам, профессиональному обучению и получению знаний в сельскохозяйственной области.</w:t>
      </w:r>
    </w:p>
    <w:p w:rsidR="00000000" w:rsidRDefault="00000000">
      <w:pPr>
        <w:pStyle w:val="BodyText"/>
        <w:spacing w:line="240" w:lineRule="exact"/>
        <w:ind w:left="1021" w:hanging="1021"/>
        <w:rPr>
          <w:spacing w:val="-4"/>
          <w:sz w:val="20"/>
        </w:rPr>
      </w:pPr>
      <w:r>
        <w:rPr>
          <w:sz w:val="20"/>
        </w:rPr>
        <w:tab/>
        <w:t>–</w:t>
      </w:r>
      <w:r>
        <w:rPr>
          <w:sz w:val="20"/>
        </w:rPr>
        <w:tab/>
      </w:r>
      <w:r>
        <w:rPr>
          <w:spacing w:val="-4"/>
          <w:sz w:val="20"/>
        </w:rPr>
        <w:t>Программа комплексного городского развития (ПКГР), созданная в 1994 году и предназначенная для поддержки создания источников доходов в бедных городских кварталах, оказывает помощь примерно 9200 молодым женщинам в получении доступа к постоянному источнику доходов. В рамках программы, которая начала осуществляться в 1996 году, составлен план действий по развитию производственной деятельности женщин в крупных городах-спутниках.</w:t>
      </w:r>
    </w:p>
    <w:p w:rsidR="00000000" w:rsidRDefault="00000000">
      <w:pPr>
        <w:pStyle w:val="BodyText"/>
        <w:spacing w:before="240" w:line="240" w:lineRule="auto"/>
        <w:rPr>
          <w:b/>
          <w:sz w:val="28"/>
        </w:rPr>
      </w:pPr>
      <w:r>
        <w:rPr>
          <w:b/>
          <w:sz w:val="28"/>
        </w:rPr>
        <w:t>IV.</w:t>
      </w:r>
      <w:r>
        <w:rPr>
          <w:b/>
          <w:sz w:val="28"/>
        </w:rPr>
        <w:tab/>
        <w:t>Доступ к банковским кредитам и другим формам финансирования</w:t>
      </w:r>
    </w:p>
    <w:p w:rsidR="00000000" w:rsidRDefault="00000000">
      <w:pPr>
        <w:pStyle w:val="BodyText"/>
        <w:spacing w:line="240" w:lineRule="exact"/>
        <w:rPr>
          <w:sz w:val="20"/>
        </w:rPr>
      </w:pPr>
      <w:r>
        <w:rPr>
          <w:sz w:val="20"/>
        </w:rPr>
        <w:t>805.</w:t>
      </w:r>
      <w:r>
        <w:rPr>
          <w:sz w:val="20"/>
        </w:rPr>
        <w:tab/>
        <w:t>Статья 24 Кодекса о статусе личности закрепляет право замужней женщины свободно распоряжаться своей собственностью; женщина имеет полное право получать кредиты в финансовых учреждениях и банках. Женщины всегда вкладывали средства в микропредприятия неорганизованным путем и лишь с введением в действие программ по структурной перестройке смогли воспользоваться инвестициями, предлагаемыми новыми механизмами финансирования.</w:t>
      </w:r>
    </w:p>
    <w:p w:rsidR="00000000" w:rsidRDefault="00000000">
      <w:pPr>
        <w:pStyle w:val="BodyText"/>
        <w:spacing w:line="240" w:lineRule="exact"/>
        <w:rPr>
          <w:sz w:val="20"/>
        </w:rPr>
      </w:pPr>
      <w:r>
        <w:rPr>
          <w:sz w:val="20"/>
        </w:rPr>
        <w:t>806.</w:t>
      </w:r>
      <w:r>
        <w:rPr>
          <w:sz w:val="20"/>
        </w:rPr>
        <w:tab/>
        <w:t>Министерство промышленности предоставило женщинам возможность создавать в рамках Фонда содействия и децентрализации промышленности (ФОПРОДИ) проекты (не превышающие 3 млн. динаров и пользующиеся льготными процентами по ссуде) в разных секторах производства, главным образом в текстильной и кожевенной промышленности, где женщины предпочитают создавать предприятия, как это видно из таблицы, ниже, однако доля предприятий, созданных женщинами, составляет лишь 5 процентов от общего числа осуществленных проектов.</w:t>
      </w:r>
    </w:p>
    <w:p w:rsidR="00000000" w:rsidRDefault="00000000">
      <w:pPr>
        <w:pStyle w:val="BodyText"/>
        <w:spacing w:line="240" w:lineRule="exact"/>
        <w:rPr>
          <w:spacing w:val="-2"/>
          <w:sz w:val="20"/>
        </w:rPr>
      </w:pPr>
      <w:r>
        <w:rPr>
          <w:sz w:val="20"/>
        </w:rPr>
        <w:t>807.</w:t>
      </w:r>
      <w:r>
        <w:rPr>
          <w:sz w:val="20"/>
        </w:rPr>
        <w:tab/>
      </w:r>
      <w:r>
        <w:rPr>
          <w:spacing w:val="-2"/>
          <w:sz w:val="20"/>
        </w:rPr>
        <w:t>Женщины лишь в ограниченной мере воспользовались теми возможностями, которые предоставили им некоторые учреждения, такие как ФОПРОДИ и ФОНАПРА (соответственно, 5 процентов и 14 процентов от общего объема обязательств), а также Агентством по пропаганде инвестиций в сельское хозяйство (3,3 процента).</w:t>
      </w:r>
    </w:p>
    <w:p w:rsidR="00000000" w:rsidRDefault="00000000">
      <w:pPr>
        <w:pStyle w:val="BodyText"/>
        <w:spacing w:line="240" w:lineRule="exact"/>
        <w:rPr>
          <w:sz w:val="20"/>
        </w:rPr>
      </w:pPr>
      <w:r>
        <w:rPr>
          <w:sz w:val="20"/>
        </w:rPr>
        <w:t>808.</w:t>
      </w:r>
      <w:r>
        <w:rPr>
          <w:sz w:val="20"/>
        </w:rPr>
        <w:tab/>
        <w:t>Женщины не имеют возможности активнее обращаться за помощью в эти фонды, так как они не в состоянии предоставить гарантии, которые требуют управляющие этими фондами банки, а также по причине недостаточной квалификации для разработки приемлемых проектов.</w:t>
      </w:r>
    </w:p>
    <w:p w:rsidR="00000000" w:rsidRDefault="00000000">
      <w:pPr>
        <w:pStyle w:val="BodyText"/>
        <w:spacing w:before="120" w:line="240" w:lineRule="exact"/>
        <w:rPr>
          <w:b/>
          <w:sz w:val="22"/>
        </w:rPr>
      </w:pPr>
      <w:r>
        <w:rPr>
          <w:b/>
          <w:sz w:val="22"/>
        </w:rPr>
        <w:t>IV.1.</w:t>
      </w:r>
      <w:r>
        <w:rPr>
          <w:b/>
          <w:sz w:val="22"/>
        </w:rPr>
        <w:tab/>
        <w:t>Программа развития микропредприятий Тунисского агентства занятости (ТАЗ)</w:t>
      </w:r>
    </w:p>
    <w:p w:rsidR="00000000" w:rsidRDefault="00000000">
      <w:pPr>
        <w:pStyle w:val="BodyText"/>
        <w:spacing w:line="240" w:lineRule="exact"/>
        <w:rPr>
          <w:sz w:val="20"/>
        </w:rPr>
      </w:pPr>
      <w:r>
        <w:rPr>
          <w:sz w:val="20"/>
        </w:rPr>
        <w:t>809.</w:t>
      </w:r>
      <w:r>
        <w:rPr>
          <w:sz w:val="20"/>
        </w:rPr>
        <w:tab/>
        <w:t>С другой стороны, опыт показал, что женщины предпочитают небольшие инвестиции в производство, о чем свидетельствует Программа развития микропредприятий, проводимая в рамках реформы профессионального образования и занятости и управляемая Тунисским агентством занятости (ТАЗ).</w:t>
      </w:r>
    </w:p>
    <w:p w:rsidR="00000000" w:rsidRDefault="00000000">
      <w:pPr>
        <w:pStyle w:val="BodyText"/>
        <w:spacing w:line="240" w:lineRule="exact"/>
        <w:rPr>
          <w:spacing w:val="2"/>
          <w:sz w:val="20"/>
        </w:rPr>
      </w:pPr>
      <w:r>
        <w:rPr>
          <w:spacing w:val="2"/>
          <w:sz w:val="20"/>
        </w:rPr>
        <w:t>810.</w:t>
      </w:r>
      <w:r>
        <w:rPr>
          <w:spacing w:val="2"/>
          <w:sz w:val="20"/>
        </w:rPr>
        <w:tab/>
        <w:t>Женщины, заинтересованные этой программой, смогли воспользоваться помощью в виде консультаций и ориентации в составлении технической документации и доступа к финансированию. Доля женщин, пользующихся помощью, увеличилась с 18 процентов в 1993 году до 30,5 процента в 1997 году, как видно из таблицы, ниже. Распределение трудящихся-женщин по секторам показывает, что они предпочитают текстильную и пищевую, а также кожевенную, обувную, швейную и деревообрабатывающую промышленность.</w:t>
      </w:r>
    </w:p>
    <w:p w:rsidR="00000000" w:rsidRDefault="00000000">
      <w:pPr>
        <w:pStyle w:val="BodyText"/>
        <w:spacing w:before="240" w:line="240" w:lineRule="exact"/>
        <w:jc w:val="center"/>
        <w:rPr>
          <w:b/>
          <w:sz w:val="20"/>
        </w:rPr>
      </w:pPr>
      <w:r>
        <w:rPr>
          <w:b/>
          <w:sz w:val="20"/>
        </w:rPr>
        <w:t>Развитие женских микропредприятий</w:t>
      </w:r>
    </w:p>
    <w:tbl>
      <w:tblPr>
        <w:tblW w:w="0" w:type="auto"/>
        <w:jc w:val="center"/>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512"/>
        <w:gridCol w:w="1512"/>
        <w:gridCol w:w="1635"/>
        <w:gridCol w:w="1389"/>
        <w:gridCol w:w="1512"/>
        <w:gridCol w:w="1512"/>
      </w:tblGrid>
      <w:tr w:rsidR="00000000">
        <w:tblPrEx>
          <w:tblCellMar>
            <w:top w:w="0" w:type="dxa"/>
            <w:bottom w:w="0" w:type="dxa"/>
          </w:tblCellMar>
        </w:tblPrEx>
        <w:trPr>
          <w:jc w:val="center"/>
        </w:trPr>
        <w:tc>
          <w:tcPr>
            <w:tcW w:w="1512" w:type="dxa"/>
            <w:tcBorders>
              <w:left w:val="single" w:sz="6" w:space="0" w:color="auto"/>
            </w:tcBorders>
          </w:tcPr>
          <w:p w:rsidR="00000000" w:rsidRDefault="00000000">
            <w:pPr>
              <w:pStyle w:val="BodyText"/>
              <w:spacing w:before="120" w:after="120" w:line="220" w:lineRule="exact"/>
              <w:jc w:val="left"/>
              <w:rPr>
                <w:b/>
                <w:sz w:val="18"/>
              </w:rPr>
            </w:pPr>
            <w:r>
              <w:rPr>
                <w:b/>
                <w:sz w:val="18"/>
              </w:rPr>
              <w:t>Пол</w:t>
            </w:r>
          </w:p>
        </w:tc>
        <w:tc>
          <w:tcPr>
            <w:tcW w:w="1512" w:type="dxa"/>
          </w:tcPr>
          <w:p w:rsidR="00000000" w:rsidRDefault="00000000">
            <w:pPr>
              <w:pStyle w:val="BodyText"/>
              <w:spacing w:before="120" w:after="120" w:line="220" w:lineRule="exact"/>
              <w:ind w:left="-57" w:right="-57"/>
              <w:jc w:val="center"/>
              <w:rPr>
                <w:b/>
                <w:sz w:val="18"/>
              </w:rPr>
            </w:pPr>
            <w:r>
              <w:rPr>
                <w:b/>
                <w:sz w:val="18"/>
              </w:rPr>
              <w:t>Число бенефициаров</w:t>
            </w:r>
          </w:p>
        </w:tc>
        <w:tc>
          <w:tcPr>
            <w:tcW w:w="1635" w:type="dxa"/>
          </w:tcPr>
          <w:p w:rsidR="00000000" w:rsidRDefault="00000000">
            <w:pPr>
              <w:pStyle w:val="BodyText"/>
              <w:spacing w:before="120" w:after="120" w:line="220" w:lineRule="exact"/>
              <w:jc w:val="center"/>
              <w:rPr>
                <w:b/>
                <w:sz w:val="18"/>
              </w:rPr>
            </w:pPr>
            <w:r>
              <w:rPr>
                <w:b/>
                <w:sz w:val="18"/>
              </w:rPr>
              <w:t>Финансируемые проекты</w:t>
            </w:r>
          </w:p>
        </w:tc>
        <w:tc>
          <w:tcPr>
            <w:tcW w:w="1389" w:type="dxa"/>
          </w:tcPr>
          <w:p w:rsidR="00000000" w:rsidRDefault="00000000">
            <w:pPr>
              <w:pStyle w:val="BodyText"/>
              <w:spacing w:before="120" w:after="120" w:line="220" w:lineRule="exact"/>
              <w:jc w:val="center"/>
              <w:rPr>
                <w:b/>
                <w:sz w:val="18"/>
              </w:rPr>
            </w:pPr>
            <w:r>
              <w:rPr>
                <w:b/>
                <w:sz w:val="18"/>
              </w:rPr>
              <w:t>Количество созданных рабочих мест</w:t>
            </w:r>
          </w:p>
        </w:tc>
        <w:tc>
          <w:tcPr>
            <w:tcW w:w="1512" w:type="dxa"/>
          </w:tcPr>
          <w:p w:rsidR="00000000" w:rsidRDefault="00000000">
            <w:pPr>
              <w:pStyle w:val="BodyText"/>
              <w:spacing w:before="120" w:after="120" w:line="220" w:lineRule="exact"/>
              <w:jc w:val="center"/>
              <w:rPr>
                <w:b/>
                <w:sz w:val="18"/>
              </w:rPr>
            </w:pPr>
            <w:r>
              <w:rPr>
                <w:b/>
                <w:sz w:val="18"/>
              </w:rPr>
              <w:t>Рабочие места, созданные/</w:t>
            </w:r>
            <w:r>
              <w:rPr>
                <w:b/>
                <w:sz w:val="18"/>
              </w:rPr>
              <w:br/>
              <w:t>плановые</w:t>
            </w:r>
          </w:p>
        </w:tc>
        <w:tc>
          <w:tcPr>
            <w:tcW w:w="1512" w:type="dxa"/>
            <w:tcBorders>
              <w:right w:val="single" w:sz="6" w:space="0" w:color="auto"/>
            </w:tcBorders>
          </w:tcPr>
          <w:p w:rsidR="00000000" w:rsidRDefault="00000000">
            <w:pPr>
              <w:pStyle w:val="BodyText"/>
              <w:spacing w:before="120" w:after="120" w:line="220" w:lineRule="exact"/>
              <w:jc w:val="center"/>
              <w:rPr>
                <w:b/>
                <w:sz w:val="18"/>
              </w:rPr>
            </w:pPr>
            <w:r>
              <w:rPr>
                <w:b/>
                <w:sz w:val="18"/>
              </w:rPr>
              <w:t>Стоимость единицы</w:t>
            </w:r>
          </w:p>
        </w:tc>
      </w:tr>
      <w:tr w:rsidR="00000000">
        <w:tblPrEx>
          <w:tblCellMar>
            <w:top w:w="0" w:type="dxa"/>
            <w:bottom w:w="0" w:type="dxa"/>
          </w:tblCellMar>
        </w:tblPrEx>
        <w:trPr>
          <w:jc w:val="center"/>
        </w:trPr>
        <w:tc>
          <w:tcPr>
            <w:tcW w:w="1512" w:type="dxa"/>
            <w:tcBorders>
              <w:left w:val="single" w:sz="6" w:space="0" w:color="auto"/>
            </w:tcBorders>
          </w:tcPr>
          <w:p w:rsidR="00000000" w:rsidRDefault="00000000">
            <w:pPr>
              <w:pStyle w:val="BodyText"/>
              <w:spacing w:before="120" w:after="120" w:line="220" w:lineRule="exact"/>
              <w:jc w:val="left"/>
              <w:rPr>
                <w:sz w:val="18"/>
              </w:rPr>
            </w:pPr>
            <w:r>
              <w:rPr>
                <w:sz w:val="18"/>
              </w:rPr>
              <w:t>Женщины</w:t>
            </w:r>
          </w:p>
        </w:tc>
        <w:tc>
          <w:tcPr>
            <w:tcW w:w="1512" w:type="dxa"/>
          </w:tcPr>
          <w:p w:rsidR="00000000" w:rsidRDefault="00000000">
            <w:pPr>
              <w:pStyle w:val="BodyText"/>
              <w:tabs>
                <w:tab w:val="clear" w:pos="680"/>
                <w:tab w:val="clear" w:pos="1021"/>
                <w:tab w:val="decimal" w:pos="787"/>
              </w:tabs>
              <w:spacing w:before="120" w:after="120" w:line="220" w:lineRule="exact"/>
              <w:rPr>
                <w:sz w:val="18"/>
              </w:rPr>
            </w:pPr>
            <w:r>
              <w:rPr>
                <w:sz w:val="18"/>
              </w:rPr>
              <w:t>426</w:t>
            </w:r>
          </w:p>
        </w:tc>
        <w:tc>
          <w:tcPr>
            <w:tcW w:w="1635" w:type="dxa"/>
          </w:tcPr>
          <w:p w:rsidR="00000000" w:rsidRDefault="00000000">
            <w:pPr>
              <w:pStyle w:val="BodyText"/>
              <w:spacing w:before="120" w:after="120" w:line="220" w:lineRule="exact"/>
              <w:jc w:val="center"/>
              <w:rPr>
                <w:sz w:val="18"/>
              </w:rPr>
            </w:pPr>
            <w:r>
              <w:rPr>
                <w:sz w:val="18"/>
              </w:rPr>
              <w:t>1 648,178</w:t>
            </w:r>
          </w:p>
        </w:tc>
        <w:tc>
          <w:tcPr>
            <w:tcW w:w="1389" w:type="dxa"/>
          </w:tcPr>
          <w:p w:rsidR="00000000" w:rsidRDefault="00000000">
            <w:pPr>
              <w:pStyle w:val="BodyText"/>
              <w:tabs>
                <w:tab w:val="clear" w:pos="680"/>
                <w:tab w:val="clear" w:pos="1021"/>
                <w:tab w:val="decimal" w:pos="758"/>
              </w:tabs>
              <w:spacing w:before="120" w:after="120" w:line="220" w:lineRule="exact"/>
              <w:rPr>
                <w:sz w:val="18"/>
              </w:rPr>
            </w:pPr>
            <w:r>
              <w:rPr>
                <w:sz w:val="18"/>
              </w:rPr>
              <w:t>889</w:t>
            </w:r>
          </w:p>
        </w:tc>
        <w:tc>
          <w:tcPr>
            <w:tcW w:w="1512" w:type="dxa"/>
          </w:tcPr>
          <w:p w:rsidR="00000000" w:rsidRDefault="00000000">
            <w:pPr>
              <w:pStyle w:val="BodyText"/>
              <w:spacing w:before="120" w:after="120" w:line="220" w:lineRule="exact"/>
              <w:jc w:val="center"/>
              <w:rPr>
                <w:sz w:val="18"/>
              </w:rPr>
            </w:pPr>
            <w:r>
              <w:rPr>
                <w:sz w:val="18"/>
              </w:rPr>
              <w:t>1,97</w:t>
            </w:r>
          </w:p>
        </w:tc>
        <w:tc>
          <w:tcPr>
            <w:tcW w:w="1512" w:type="dxa"/>
            <w:tcBorders>
              <w:right w:val="single" w:sz="6" w:space="0" w:color="auto"/>
            </w:tcBorders>
          </w:tcPr>
          <w:p w:rsidR="00000000" w:rsidRDefault="00000000">
            <w:pPr>
              <w:pStyle w:val="BodyText"/>
              <w:spacing w:before="120" w:after="120" w:line="220" w:lineRule="exact"/>
              <w:jc w:val="center"/>
              <w:rPr>
                <w:sz w:val="18"/>
              </w:rPr>
            </w:pPr>
            <w:r>
              <w:rPr>
                <w:sz w:val="18"/>
              </w:rPr>
              <w:t>2,296</w:t>
            </w:r>
          </w:p>
        </w:tc>
      </w:tr>
      <w:tr w:rsidR="00000000">
        <w:tblPrEx>
          <w:tblCellMar>
            <w:top w:w="0" w:type="dxa"/>
            <w:bottom w:w="0" w:type="dxa"/>
          </w:tblCellMar>
        </w:tblPrEx>
        <w:trPr>
          <w:jc w:val="center"/>
        </w:trPr>
        <w:tc>
          <w:tcPr>
            <w:tcW w:w="1512" w:type="dxa"/>
            <w:tcBorders>
              <w:left w:val="single" w:sz="6" w:space="0" w:color="auto"/>
            </w:tcBorders>
          </w:tcPr>
          <w:p w:rsidR="00000000" w:rsidRDefault="00000000">
            <w:pPr>
              <w:pStyle w:val="BodyText"/>
              <w:spacing w:before="120" w:after="120" w:line="220" w:lineRule="exact"/>
              <w:jc w:val="left"/>
              <w:rPr>
                <w:sz w:val="18"/>
              </w:rPr>
            </w:pPr>
            <w:r>
              <w:rPr>
                <w:sz w:val="18"/>
              </w:rPr>
              <w:t>Мужчины</w:t>
            </w:r>
          </w:p>
        </w:tc>
        <w:tc>
          <w:tcPr>
            <w:tcW w:w="1512" w:type="dxa"/>
          </w:tcPr>
          <w:p w:rsidR="00000000" w:rsidRDefault="00000000">
            <w:pPr>
              <w:pStyle w:val="BodyText"/>
              <w:tabs>
                <w:tab w:val="clear" w:pos="680"/>
                <w:tab w:val="clear" w:pos="1021"/>
                <w:tab w:val="decimal" w:pos="787"/>
              </w:tabs>
              <w:spacing w:before="120" w:after="120" w:line="220" w:lineRule="exact"/>
              <w:rPr>
                <w:sz w:val="18"/>
              </w:rPr>
            </w:pPr>
            <w:r>
              <w:rPr>
                <w:sz w:val="18"/>
              </w:rPr>
              <w:t>970</w:t>
            </w:r>
          </w:p>
        </w:tc>
        <w:tc>
          <w:tcPr>
            <w:tcW w:w="1635" w:type="dxa"/>
          </w:tcPr>
          <w:p w:rsidR="00000000" w:rsidRDefault="00000000">
            <w:pPr>
              <w:pStyle w:val="BodyText"/>
              <w:spacing w:before="120" w:after="120" w:line="220" w:lineRule="exact"/>
              <w:jc w:val="center"/>
              <w:rPr>
                <w:sz w:val="18"/>
              </w:rPr>
            </w:pPr>
            <w:r>
              <w:rPr>
                <w:sz w:val="18"/>
              </w:rPr>
              <w:t>4 395,004</w:t>
            </w:r>
          </w:p>
        </w:tc>
        <w:tc>
          <w:tcPr>
            <w:tcW w:w="1389" w:type="dxa"/>
          </w:tcPr>
          <w:p w:rsidR="00000000" w:rsidRDefault="00000000">
            <w:pPr>
              <w:pStyle w:val="BodyText"/>
              <w:tabs>
                <w:tab w:val="clear" w:pos="680"/>
                <w:tab w:val="clear" w:pos="1021"/>
                <w:tab w:val="decimal" w:pos="758"/>
              </w:tabs>
              <w:spacing w:before="120" w:after="120" w:line="220" w:lineRule="exact"/>
              <w:rPr>
                <w:sz w:val="18"/>
              </w:rPr>
            </w:pPr>
            <w:r>
              <w:rPr>
                <w:sz w:val="18"/>
              </w:rPr>
              <w:t>1 914</w:t>
            </w:r>
          </w:p>
        </w:tc>
        <w:tc>
          <w:tcPr>
            <w:tcW w:w="1512" w:type="dxa"/>
          </w:tcPr>
          <w:p w:rsidR="00000000" w:rsidRDefault="00000000">
            <w:pPr>
              <w:pStyle w:val="BodyText"/>
              <w:spacing w:before="120" w:after="120" w:line="220" w:lineRule="exact"/>
              <w:jc w:val="center"/>
              <w:rPr>
                <w:sz w:val="18"/>
              </w:rPr>
            </w:pPr>
            <w:r>
              <w:rPr>
                <w:sz w:val="18"/>
              </w:rPr>
              <w:t>2,08</w:t>
            </w:r>
          </w:p>
        </w:tc>
        <w:tc>
          <w:tcPr>
            <w:tcW w:w="1512" w:type="dxa"/>
            <w:tcBorders>
              <w:right w:val="single" w:sz="6" w:space="0" w:color="auto"/>
            </w:tcBorders>
          </w:tcPr>
          <w:p w:rsidR="00000000" w:rsidRDefault="00000000">
            <w:pPr>
              <w:pStyle w:val="BodyText"/>
              <w:spacing w:before="120" w:after="120" w:line="220" w:lineRule="exact"/>
              <w:jc w:val="center"/>
              <w:rPr>
                <w:sz w:val="18"/>
              </w:rPr>
            </w:pPr>
            <w:r>
              <w:rPr>
                <w:sz w:val="18"/>
              </w:rPr>
              <w:t>1,854</w:t>
            </w:r>
          </w:p>
        </w:tc>
      </w:tr>
      <w:tr w:rsidR="00000000">
        <w:tblPrEx>
          <w:tblCellMar>
            <w:top w:w="0" w:type="dxa"/>
            <w:bottom w:w="0" w:type="dxa"/>
          </w:tblCellMar>
        </w:tblPrEx>
        <w:trPr>
          <w:jc w:val="center"/>
        </w:trPr>
        <w:tc>
          <w:tcPr>
            <w:tcW w:w="1512" w:type="dxa"/>
            <w:tcBorders>
              <w:left w:val="single" w:sz="6" w:space="0" w:color="auto"/>
            </w:tcBorders>
          </w:tcPr>
          <w:p w:rsidR="00000000" w:rsidRDefault="00000000">
            <w:pPr>
              <w:pStyle w:val="BodyText"/>
              <w:spacing w:before="120" w:after="120" w:line="220" w:lineRule="exact"/>
              <w:jc w:val="left"/>
              <w:rPr>
                <w:sz w:val="18"/>
              </w:rPr>
            </w:pPr>
            <w:r>
              <w:rPr>
                <w:sz w:val="18"/>
              </w:rPr>
              <w:t>Всего</w:t>
            </w:r>
          </w:p>
        </w:tc>
        <w:tc>
          <w:tcPr>
            <w:tcW w:w="1512" w:type="dxa"/>
          </w:tcPr>
          <w:p w:rsidR="00000000" w:rsidRDefault="00000000">
            <w:pPr>
              <w:pStyle w:val="BodyText"/>
              <w:tabs>
                <w:tab w:val="clear" w:pos="680"/>
                <w:tab w:val="clear" w:pos="1021"/>
                <w:tab w:val="decimal" w:pos="787"/>
              </w:tabs>
              <w:spacing w:before="120" w:after="120" w:line="220" w:lineRule="exact"/>
              <w:rPr>
                <w:sz w:val="18"/>
              </w:rPr>
            </w:pPr>
            <w:r>
              <w:rPr>
                <w:sz w:val="18"/>
              </w:rPr>
              <w:t>1 396</w:t>
            </w:r>
          </w:p>
        </w:tc>
        <w:tc>
          <w:tcPr>
            <w:tcW w:w="1635" w:type="dxa"/>
          </w:tcPr>
          <w:p w:rsidR="00000000" w:rsidRDefault="00000000">
            <w:pPr>
              <w:pStyle w:val="BodyText"/>
              <w:spacing w:before="120" w:after="120" w:line="220" w:lineRule="exact"/>
              <w:jc w:val="center"/>
              <w:rPr>
                <w:sz w:val="18"/>
              </w:rPr>
            </w:pPr>
            <w:r>
              <w:rPr>
                <w:sz w:val="18"/>
              </w:rPr>
              <w:t>1 648,178</w:t>
            </w:r>
          </w:p>
        </w:tc>
        <w:tc>
          <w:tcPr>
            <w:tcW w:w="1389" w:type="dxa"/>
          </w:tcPr>
          <w:p w:rsidR="00000000" w:rsidRDefault="00000000">
            <w:pPr>
              <w:pStyle w:val="BodyText"/>
              <w:tabs>
                <w:tab w:val="clear" w:pos="680"/>
                <w:tab w:val="clear" w:pos="1021"/>
                <w:tab w:val="decimal" w:pos="758"/>
              </w:tabs>
              <w:spacing w:before="120" w:after="120" w:line="220" w:lineRule="exact"/>
              <w:rPr>
                <w:sz w:val="18"/>
              </w:rPr>
            </w:pPr>
            <w:r>
              <w:rPr>
                <w:sz w:val="18"/>
              </w:rPr>
              <w:t>2 803</w:t>
            </w:r>
          </w:p>
        </w:tc>
        <w:tc>
          <w:tcPr>
            <w:tcW w:w="1512" w:type="dxa"/>
          </w:tcPr>
          <w:p w:rsidR="00000000" w:rsidRDefault="00000000">
            <w:pPr>
              <w:pStyle w:val="BodyText"/>
              <w:spacing w:before="120" w:after="120" w:line="220" w:lineRule="exact"/>
              <w:jc w:val="center"/>
              <w:rPr>
                <w:sz w:val="18"/>
              </w:rPr>
            </w:pPr>
            <w:r>
              <w:rPr>
                <w:sz w:val="18"/>
              </w:rPr>
              <w:t>4,329</w:t>
            </w:r>
          </w:p>
        </w:tc>
        <w:tc>
          <w:tcPr>
            <w:tcW w:w="1512" w:type="dxa"/>
            <w:tcBorders>
              <w:right w:val="single" w:sz="6" w:space="0" w:color="auto"/>
            </w:tcBorders>
          </w:tcPr>
          <w:p w:rsidR="00000000" w:rsidRDefault="00000000">
            <w:pPr>
              <w:pStyle w:val="BodyText"/>
              <w:spacing w:before="120" w:after="120" w:line="220" w:lineRule="exact"/>
              <w:jc w:val="center"/>
              <w:rPr>
                <w:sz w:val="18"/>
              </w:rPr>
            </w:pPr>
            <w:r>
              <w:rPr>
                <w:sz w:val="18"/>
              </w:rPr>
              <w:t>2,155</w:t>
            </w:r>
          </w:p>
        </w:tc>
      </w:tr>
      <w:tr w:rsidR="00000000">
        <w:tblPrEx>
          <w:tblCellMar>
            <w:top w:w="0" w:type="dxa"/>
            <w:bottom w:w="0" w:type="dxa"/>
          </w:tblCellMar>
        </w:tblPrEx>
        <w:trPr>
          <w:jc w:val="center"/>
        </w:trPr>
        <w:tc>
          <w:tcPr>
            <w:tcW w:w="1512" w:type="dxa"/>
            <w:tcBorders>
              <w:left w:val="single" w:sz="6" w:space="0" w:color="auto"/>
            </w:tcBorders>
          </w:tcPr>
          <w:p w:rsidR="00000000" w:rsidRDefault="00000000">
            <w:pPr>
              <w:pStyle w:val="BodyText"/>
              <w:spacing w:before="120" w:after="120" w:line="220" w:lineRule="exact"/>
              <w:ind w:right="-57"/>
              <w:jc w:val="left"/>
              <w:rPr>
                <w:sz w:val="18"/>
              </w:rPr>
            </w:pPr>
            <w:r>
              <w:rPr>
                <w:sz w:val="18"/>
              </w:rPr>
              <w:t>Процентная доля бенефициаров-женщин</w:t>
            </w:r>
          </w:p>
        </w:tc>
        <w:tc>
          <w:tcPr>
            <w:tcW w:w="1512" w:type="dxa"/>
          </w:tcPr>
          <w:p w:rsidR="00000000" w:rsidRDefault="00000000">
            <w:pPr>
              <w:pStyle w:val="BodyText"/>
              <w:spacing w:before="120" w:after="120" w:line="220" w:lineRule="exact"/>
              <w:jc w:val="center"/>
              <w:rPr>
                <w:sz w:val="18"/>
              </w:rPr>
            </w:pPr>
            <w:r>
              <w:rPr>
                <w:sz w:val="18"/>
              </w:rPr>
              <w:t>30,51</w:t>
            </w:r>
          </w:p>
        </w:tc>
        <w:tc>
          <w:tcPr>
            <w:tcW w:w="1635" w:type="dxa"/>
          </w:tcPr>
          <w:p w:rsidR="00000000" w:rsidRDefault="00000000">
            <w:pPr>
              <w:pStyle w:val="BodyText"/>
              <w:spacing w:before="120" w:after="120" w:line="220" w:lineRule="exact"/>
              <w:jc w:val="center"/>
              <w:rPr>
                <w:sz w:val="18"/>
              </w:rPr>
            </w:pPr>
          </w:p>
        </w:tc>
        <w:tc>
          <w:tcPr>
            <w:tcW w:w="1389" w:type="dxa"/>
          </w:tcPr>
          <w:p w:rsidR="00000000" w:rsidRDefault="00000000">
            <w:pPr>
              <w:pStyle w:val="BodyText"/>
              <w:spacing w:before="120" w:after="120" w:line="220" w:lineRule="exact"/>
              <w:jc w:val="center"/>
              <w:rPr>
                <w:sz w:val="18"/>
              </w:rPr>
            </w:pPr>
          </w:p>
        </w:tc>
        <w:tc>
          <w:tcPr>
            <w:tcW w:w="1512" w:type="dxa"/>
          </w:tcPr>
          <w:p w:rsidR="00000000" w:rsidRDefault="00000000">
            <w:pPr>
              <w:pStyle w:val="BodyText"/>
              <w:spacing w:before="120" w:after="120" w:line="220" w:lineRule="exact"/>
              <w:jc w:val="center"/>
              <w:rPr>
                <w:sz w:val="18"/>
              </w:rPr>
            </w:pPr>
          </w:p>
        </w:tc>
        <w:tc>
          <w:tcPr>
            <w:tcW w:w="1512" w:type="dxa"/>
            <w:tcBorders>
              <w:right w:val="single" w:sz="6" w:space="0" w:color="auto"/>
            </w:tcBorders>
          </w:tcPr>
          <w:p w:rsidR="00000000" w:rsidRDefault="00000000">
            <w:pPr>
              <w:pStyle w:val="BodyText"/>
              <w:spacing w:before="120" w:after="120" w:line="220" w:lineRule="exact"/>
              <w:jc w:val="center"/>
              <w:rPr>
                <w:sz w:val="18"/>
              </w:rPr>
            </w:pPr>
          </w:p>
        </w:tc>
      </w:tr>
    </w:tbl>
    <w:p w:rsidR="00000000" w:rsidRDefault="00000000">
      <w:pPr>
        <w:pStyle w:val="BodyText"/>
        <w:spacing w:before="120" w:line="240" w:lineRule="exact"/>
        <w:ind w:right="289"/>
        <w:jc w:val="right"/>
        <w:rPr>
          <w:b/>
          <w:sz w:val="18"/>
        </w:rPr>
      </w:pPr>
      <w:r>
        <w:rPr>
          <w:b/>
          <w:sz w:val="18"/>
        </w:rPr>
        <w:t>Источник: Тунисское агентство занятости, ноябрь 1997 года</w:t>
      </w:r>
    </w:p>
    <w:p w:rsidR="00000000" w:rsidRDefault="00000000">
      <w:pPr>
        <w:pStyle w:val="BodyText"/>
        <w:spacing w:line="240" w:lineRule="exact"/>
        <w:rPr>
          <w:sz w:val="20"/>
        </w:rPr>
      </w:pPr>
      <w:r>
        <w:rPr>
          <w:sz w:val="20"/>
        </w:rPr>
        <w:t>811.</w:t>
      </w:r>
      <w:r>
        <w:rPr>
          <w:sz w:val="20"/>
        </w:rPr>
        <w:tab/>
        <w:t>Начиная с 1996 года было проведено, однако без особого успеха, несколько экспериментов, способствующих доступу женщин к источникам финансирования, в том числе создана специальная кредитная линия "женские проекты" в Национальном сельскохозяйственном банке (НСБ) при поддержке Всемирного банка.</w:t>
      </w:r>
    </w:p>
    <w:p w:rsidR="00000000" w:rsidRDefault="00000000">
      <w:pPr>
        <w:pStyle w:val="BodyText"/>
        <w:spacing w:before="120" w:line="260" w:lineRule="exact"/>
        <w:rPr>
          <w:b/>
          <w:sz w:val="22"/>
        </w:rPr>
      </w:pPr>
      <w:r>
        <w:rPr>
          <w:b/>
          <w:sz w:val="22"/>
        </w:rPr>
        <w:t>IV.2.</w:t>
      </w:r>
      <w:r>
        <w:rPr>
          <w:b/>
          <w:sz w:val="22"/>
        </w:rPr>
        <w:tab/>
        <w:t>Тунисский банк солидарности (ТБС)</w:t>
      </w:r>
    </w:p>
    <w:p w:rsidR="00000000" w:rsidRDefault="00000000">
      <w:pPr>
        <w:pStyle w:val="BodyText"/>
        <w:spacing w:line="240" w:lineRule="exact"/>
        <w:rPr>
          <w:sz w:val="20"/>
        </w:rPr>
      </w:pPr>
      <w:r>
        <w:rPr>
          <w:sz w:val="20"/>
        </w:rPr>
        <w:t>812.</w:t>
      </w:r>
      <w:r>
        <w:rPr>
          <w:sz w:val="20"/>
        </w:rPr>
        <w:tab/>
        <w:t>Благодаря опыту, накопленному банками в прошлом, Тунисский банк солидарности, созданный в декабре 1997 года, способствовал увеличению помощи государства в создании проектов, помогающих той части населения, которой недоступны банковские кредиты ввиду строгости обычных условий банков для предоставления таких кредитов. Значительную часть такого населения составляют женщины, работающие на дому.</w:t>
      </w:r>
    </w:p>
    <w:p w:rsidR="00000000" w:rsidRDefault="00000000">
      <w:pPr>
        <w:pStyle w:val="BodyText"/>
        <w:spacing w:line="240" w:lineRule="exact"/>
        <w:rPr>
          <w:sz w:val="20"/>
        </w:rPr>
      </w:pPr>
      <w:r>
        <w:rPr>
          <w:sz w:val="20"/>
        </w:rPr>
        <w:t>813.</w:t>
      </w:r>
      <w:r>
        <w:rPr>
          <w:sz w:val="20"/>
        </w:rPr>
        <w:tab/>
        <w:t>ТБС – банк, специализирующийся на микрокредитах (от 500 до 30 тыс. тунисских динаров), выработал собственные критерии предоставления кредитов, основанные на серьезности и компетентности инициатора и реальной осуществимости проекта. Отмена гарантий сняла одно из главных препятствий в доступе женщин к кредитам и открыла новые возможности для их участия в экономической деятельности.</w:t>
      </w:r>
    </w:p>
    <w:p w:rsidR="00000000" w:rsidRDefault="00000000">
      <w:pPr>
        <w:pStyle w:val="BodyText"/>
        <w:spacing w:line="240" w:lineRule="exact"/>
        <w:rPr>
          <w:sz w:val="20"/>
        </w:rPr>
      </w:pPr>
      <w:r>
        <w:rPr>
          <w:sz w:val="20"/>
        </w:rPr>
        <w:t>814.</w:t>
      </w:r>
      <w:r>
        <w:rPr>
          <w:sz w:val="20"/>
        </w:rPr>
        <w:tab/>
        <w:t>Со дня создания банка женщины смогли с его помощью профинансировать 26,4 процента проектов, то есть 3850 проектов из общего числа 14 609.</w:t>
      </w:r>
    </w:p>
    <w:p w:rsidR="00000000" w:rsidRDefault="00000000">
      <w:pPr>
        <w:pStyle w:val="BodyText"/>
        <w:spacing w:line="240" w:lineRule="exact"/>
        <w:rPr>
          <w:sz w:val="20"/>
        </w:rPr>
      </w:pPr>
      <w:r>
        <w:rPr>
          <w:sz w:val="20"/>
        </w:rPr>
        <w:t>815.</w:t>
      </w:r>
      <w:r>
        <w:rPr>
          <w:sz w:val="20"/>
        </w:rPr>
        <w:tab/>
        <w:t>Молодые женщины в возрасте от 18 до 29 лет больше других пользовались предоставляемым ТБС финансированием (47,4 процента). Доля микропроектов в секторе текстильной и швейной промышленности составила 36 процентов, созданных женщинами парикмахерских и косметических салонов – 24 процента, в сфере услуг – 11,7 процента, в остальных секторах, таких как информатика и оргтехника, сосредоточено лишь 6,5 процента, а в ремесленничестве – только 5,5 процента.</w:t>
      </w:r>
    </w:p>
    <w:p w:rsidR="00000000" w:rsidRDefault="00000000">
      <w:pPr>
        <w:pStyle w:val="BodyText"/>
        <w:spacing w:line="240" w:lineRule="exact"/>
        <w:jc w:val="center"/>
        <w:rPr>
          <w:b/>
          <w:sz w:val="20"/>
        </w:rPr>
      </w:pPr>
      <w:r>
        <w:rPr>
          <w:b/>
          <w:sz w:val="20"/>
        </w:rPr>
        <w:t>Женщины, получившие кредит в 1997 году в разбивке по секторам</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5"/>
        <w:gridCol w:w="1512"/>
        <w:gridCol w:w="1577"/>
      </w:tblGrid>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b/>
                <w:sz w:val="18"/>
              </w:rPr>
            </w:pPr>
            <w:r>
              <w:rPr>
                <w:b/>
                <w:sz w:val="18"/>
              </w:rPr>
              <w:t>Секторы</w:t>
            </w:r>
          </w:p>
        </w:tc>
        <w:tc>
          <w:tcPr>
            <w:tcW w:w="1512" w:type="dxa"/>
          </w:tcPr>
          <w:p w:rsidR="00000000" w:rsidRDefault="00000000">
            <w:pPr>
              <w:pStyle w:val="BodyText"/>
              <w:spacing w:before="80" w:after="80" w:line="220" w:lineRule="exact"/>
              <w:jc w:val="center"/>
              <w:rPr>
                <w:b/>
                <w:sz w:val="18"/>
              </w:rPr>
            </w:pPr>
            <w:r>
              <w:rPr>
                <w:b/>
                <w:sz w:val="18"/>
              </w:rPr>
              <w:t>Количество</w:t>
            </w:r>
          </w:p>
        </w:tc>
        <w:tc>
          <w:tcPr>
            <w:tcW w:w="1577" w:type="dxa"/>
          </w:tcPr>
          <w:p w:rsidR="00000000" w:rsidRDefault="00000000">
            <w:pPr>
              <w:pStyle w:val="BodyText"/>
              <w:spacing w:before="80" w:after="80" w:line="220" w:lineRule="exact"/>
              <w:jc w:val="center"/>
              <w:rPr>
                <w:b/>
                <w:sz w:val="18"/>
              </w:rPr>
            </w:pPr>
            <w:r>
              <w:rPr>
                <w:b/>
                <w:sz w:val="18"/>
              </w:rPr>
              <w:t>Процентная доля</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b/>
                <w:sz w:val="18"/>
              </w:rPr>
            </w:pPr>
            <w:r>
              <w:rPr>
                <w:sz w:val="18"/>
              </w:rPr>
              <w:t>Сельское хозяйство</w:t>
            </w:r>
          </w:p>
        </w:tc>
        <w:tc>
          <w:tcPr>
            <w:tcW w:w="1512" w:type="dxa"/>
          </w:tcPr>
          <w:p w:rsidR="00000000" w:rsidRDefault="00000000">
            <w:pPr>
              <w:pStyle w:val="BodyText"/>
              <w:spacing w:before="80" w:after="80" w:line="220" w:lineRule="exact"/>
              <w:ind w:right="567"/>
              <w:jc w:val="right"/>
              <w:rPr>
                <w:b/>
                <w:sz w:val="18"/>
              </w:rPr>
            </w:pPr>
            <w:r>
              <w:rPr>
                <w:sz w:val="18"/>
              </w:rPr>
              <w:t>67</w:t>
            </w:r>
          </w:p>
        </w:tc>
        <w:tc>
          <w:tcPr>
            <w:tcW w:w="1577" w:type="dxa"/>
          </w:tcPr>
          <w:p w:rsidR="00000000" w:rsidRDefault="00000000">
            <w:pPr>
              <w:pStyle w:val="BodyText"/>
              <w:spacing w:before="80" w:after="80" w:line="220" w:lineRule="exact"/>
              <w:ind w:right="567"/>
              <w:jc w:val="right"/>
              <w:rPr>
                <w:b/>
                <w:sz w:val="18"/>
              </w:rPr>
            </w:pPr>
            <w:r>
              <w:rPr>
                <w:sz w:val="18"/>
              </w:rPr>
              <w:t>5,0</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Ремесленничество</w:t>
            </w:r>
          </w:p>
        </w:tc>
        <w:tc>
          <w:tcPr>
            <w:tcW w:w="1512" w:type="dxa"/>
          </w:tcPr>
          <w:p w:rsidR="00000000" w:rsidRDefault="00000000">
            <w:pPr>
              <w:pStyle w:val="BodyText"/>
              <w:spacing w:before="80" w:after="80" w:line="220" w:lineRule="exact"/>
              <w:ind w:right="567"/>
              <w:jc w:val="right"/>
              <w:rPr>
                <w:sz w:val="18"/>
              </w:rPr>
            </w:pPr>
            <w:r>
              <w:rPr>
                <w:sz w:val="18"/>
              </w:rPr>
              <w:t>73</w:t>
            </w:r>
          </w:p>
        </w:tc>
        <w:tc>
          <w:tcPr>
            <w:tcW w:w="1577" w:type="dxa"/>
          </w:tcPr>
          <w:p w:rsidR="00000000" w:rsidRDefault="00000000">
            <w:pPr>
              <w:pStyle w:val="BodyText"/>
              <w:spacing w:before="80" w:after="80" w:line="220" w:lineRule="exact"/>
              <w:ind w:right="567"/>
              <w:jc w:val="right"/>
              <w:rPr>
                <w:sz w:val="18"/>
              </w:rPr>
            </w:pPr>
            <w:r>
              <w:rPr>
                <w:sz w:val="18"/>
              </w:rPr>
              <w:t>5,5</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Текстильная и швейная промышленность</w:t>
            </w:r>
          </w:p>
        </w:tc>
        <w:tc>
          <w:tcPr>
            <w:tcW w:w="1512" w:type="dxa"/>
          </w:tcPr>
          <w:p w:rsidR="00000000" w:rsidRDefault="00000000">
            <w:pPr>
              <w:pStyle w:val="BodyText"/>
              <w:spacing w:before="80" w:after="80" w:line="220" w:lineRule="exact"/>
              <w:ind w:right="567"/>
              <w:jc w:val="right"/>
              <w:rPr>
                <w:sz w:val="18"/>
              </w:rPr>
            </w:pPr>
            <w:r>
              <w:rPr>
                <w:sz w:val="18"/>
              </w:rPr>
              <w:t>485</w:t>
            </w:r>
          </w:p>
        </w:tc>
        <w:tc>
          <w:tcPr>
            <w:tcW w:w="1577" w:type="dxa"/>
          </w:tcPr>
          <w:p w:rsidR="00000000" w:rsidRDefault="00000000">
            <w:pPr>
              <w:pStyle w:val="BodyText"/>
              <w:spacing w:before="80" w:after="80" w:line="220" w:lineRule="exact"/>
              <w:ind w:right="567"/>
              <w:jc w:val="right"/>
              <w:rPr>
                <w:sz w:val="18"/>
              </w:rPr>
            </w:pPr>
            <w:r>
              <w:rPr>
                <w:sz w:val="18"/>
              </w:rPr>
              <w:t>36,2</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Строительство</w:t>
            </w:r>
          </w:p>
        </w:tc>
        <w:tc>
          <w:tcPr>
            <w:tcW w:w="1512" w:type="dxa"/>
          </w:tcPr>
          <w:p w:rsidR="00000000" w:rsidRDefault="00000000">
            <w:pPr>
              <w:pStyle w:val="BodyText"/>
              <w:spacing w:before="80" w:after="80" w:line="220" w:lineRule="exact"/>
              <w:ind w:right="567"/>
              <w:jc w:val="right"/>
              <w:rPr>
                <w:sz w:val="18"/>
              </w:rPr>
            </w:pPr>
            <w:r>
              <w:rPr>
                <w:sz w:val="18"/>
              </w:rPr>
              <w:t>4</w:t>
            </w:r>
          </w:p>
        </w:tc>
        <w:tc>
          <w:tcPr>
            <w:tcW w:w="1577" w:type="dxa"/>
          </w:tcPr>
          <w:p w:rsidR="00000000" w:rsidRDefault="00000000">
            <w:pPr>
              <w:pStyle w:val="BodyText"/>
              <w:spacing w:before="80" w:after="80" w:line="220" w:lineRule="exact"/>
              <w:ind w:right="567"/>
              <w:jc w:val="right"/>
              <w:rPr>
                <w:sz w:val="18"/>
              </w:rPr>
            </w:pPr>
            <w:r>
              <w:rPr>
                <w:sz w:val="18"/>
              </w:rPr>
              <w:t>0,3</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Деревообрабатывающая и мебельная промышленность</w:t>
            </w:r>
          </w:p>
        </w:tc>
        <w:tc>
          <w:tcPr>
            <w:tcW w:w="1512" w:type="dxa"/>
          </w:tcPr>
          <w:p w:rsidR="00000000" w:rsidRDefault="00000000">
            <w:pPr>
              <w:pStyle w:val="BodyText"/>
              <w:spacing w:before="80" w:after="80" w:line="220" w:lineRule="exact"/>
              <w:ind w:right="567"/>
              <w:jc w:val="right"/>
              <w:rPr>
                <w:sz w:val="18"/>
              </w:rPr>
            </w:pPr>
            <w:r>
              <w:rPr>
                <w:sz w:val="18"/>
              </w:rPr>
              <w:t>1</w:t>
            </w:r>
          </w:p>
        </w:tc>
        <w:tc>
          <w:tcPr>
            <w:tcW w:w="1577" w:type="dxa"/>
          </w:tcPr>
          <w:p w:rsidR="00000000" w:rsidRDefault="00000000">
            <w:pPr>
              <w:pStyle w:val="BodyText"/>
              <w:spacing w:before="80" w:after="80" w:line="220" w:lineRule="exact"/>
              <w:ind w:right="567"/>
              <w:jc w:val="right"/>
              <w:rPr>
                <w:sz w:val="18"/>
              </w:rPr>
            </w:pPr>
            <w:r>
              <w:rPr>
                <w:sz w:val="18"/>
              </w:rPr>
              <w:t>0,1</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Автомеханика</w:t>
            </w:r>
          </w:p>
        </w:tc>
        <w:tc>
          <w:tcPr>
            <w:tcW w:w="1512" w:type="dxa"/>
          </w:tcPr>
          <w:p w:rsidR="00000000" w:rsidRDefault="00000000">
            <w:pPr>
              <w:pStyle w:val="BodyText"/>
              <w:spacing w:before="80" w:after="80" w:line="220" w:lineRule="exact"/>
              <w:ind w:right="567"/>
              <w:jc w:val="right"/>
              <w:rPr>
                <w:sz w:val="18"/>
              </w:rPr>
            </w:pPr>
            <w:r>
              <w:rPr>
                <w:sz w:val="18"/>
              </w:rPr>
              <w:t>3</w:t>
            </w:r>
          </w:p>
        </w:tc>
        <w:tc>
          <w:tcPr>
            <w:tcW w:w="1577" w:type="dxa"/>
          </w:tcPr>
          <w:p w:rsidR="00000000" w:rsidRDefault="00000000">
            <w:pPr>
              <w:pStyle w:val="BodyText"/>
              <w:spacing w:before="80" w:after="80" w:line="220" w:lineRule="exact"/>
              <w:ind w:right="567"/>
              <w:jc w:val="right"/>
              <w:rPr>
                <w:sz w:val="18"/>
              </w:rPr>
            </w:pPr>
            <w:r>
              <w:rPr>
                <w:sz w:val="18"/>
              </w:rPr>
              <w:t>0,2</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Электричество и электроника</w:t>
            </w:r>
          </w:p>
        </w:tc>
        <w:tc>
          <w:tcPr>
            <w:tcW w:w="1512" w:type="dxa"/>
          </w:tcPr>
          <w:p w:rsidR="00000000" w:rsidRDefault="00000000">
            <w:pPr>
              <w:pStyle w:val="BodyText"/>
              <w:spacing w:before="80" w:after="80" w:line="220" w:lineRule="exact"/>
              <w:ind w:right="567"/>
              <w:jc w:val="right"/>
              <w:rPr>
                <w:sz w:val="18"/>
              </w:rPr>
            </w:pPr>
            <w:r>
              <w:rPr>
                <w:sz w:val="18"/>
              </w:rPr>
              <w:t>1</w:t>
            </w:r>
          </w:p>
        </w:tc>
        <w:tc>
          <w:tcPr>
            <w:tcW w:w="1577" w:type="dxa"/>
          </w:tcPr>
          <w:p w:rsidR="00000000" w:rsidRDefault="00000000">
            <w:pPr>
              <w:pStyle w:val="BodyText"/>
              <w:spacing w:before="80" w:after="80" w:line="220" w:lineRule="exact"/>
              <w:ind w:right="567"/>
              <w:jc w:val="right"/>
              <w:rPr>
                <w:sz w:val="18"/>
              </w:rPr>
            </w:pPr>
            <w:r>
              <w:rPr>
                <w:sz w:val="18"/>
              </w:rPr>
              <w:t>0,1</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Кожевенная и обувная промышленность</w:t>
            </w:r>
          </w:p>
        </w:tc>
        <w:tc>
          <w:tcPr>
            <w:tcW w:w="1512" w:type="dxa"/>
          </w:tcPr>
          <w:p w:rsidR="00000000" w:rsidRDefault="00000000">
            <w:pPr>
              <w:pStyle w:val="BodyText"/>
              <w:spacing w:before="80" w:after="80" w:line="220" w:lineRule="exact"/>
              <w:ind w:right="567"/>
              <w:jc w:val="right"/>
              <w:rPr>
                <w:sz w:val="18"/>
              </w:rPr>
            </w:pPr>
            <w:r>
              <w:rPr>
                <w:sz w:val="18"/>
              </w:rPr>
              <w:t>15</w:t>
            </w:r>
          </w:p>
        </w:tc>
        <w:tc>
          <w:tcPr>
            <w:tcW w:w="1577" w:type="dxa"/>
          </w:tcPr>
          <w:p w:rsidR="00000000" w:rsidRDefault="00000000">
            <w:pPr>
              <w:pStyle w:val="BodyText"/>
              <w:spacing w:before="80" w:after="80" w:line="220" w:lineRule="exact"/>
              <w:ind w:right="567"/>
              <w:jc w:val="right"/>
              <w:rPr>
                <w:sz w:val="18"/>
              </w:rPr>
            </w:pPr>
            <w:r>
              <w:rPr>
                <w:sz w:val="18"/>
              </w:rPr>
              <w:t>1,1</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Информатика и оргтехника</w:t>
            </w:r>
          </w:p>
        </w:tc>
        <w:tc>
          <w:tcPr>
            <w:tcW w:w="1512" w:type="dxa"/>
          </w:tcPr>
          <w:p w:rsidR="00000000" w:rsidRDefault="00000000">
            <w:pPr>
              <w:pStyle w:val="BodyText"/>
              <w:spacing w:before="80" w:after="80" w:line="220" w:lineRule="exact"/>
              <w:ind w:right="567"/>
              <w:jc w:val="right"/>
              <w:rPr>
                <w:sz w:val="18"/>
              </w:rPr>
            </w:pPr>
            <w:r>
              <w:rPr>
                <w:sz w:val="18"/>
              </w:rPr>
              <w:t>87</w:t>
            </w:r>
          </w:p>
        </w:tc>
        <w:tc>
          <w:tcPr>
            <w:tcW w:w="1577" w:type="dxa"/>
          </w:tcPr>
          <w:p w:rsidR="00000000" w:rsidRDefault="00000000">
            <w:pPr>
              <w:pStyle w:val="BodyText"/>
              <w:spacing w:before="80" w:after="80" w:line="220" w:lineRule="exact"/>
              <w:ind w:right="567"/>
              <w:jc w:val="right"/>
              <w:rPr>
                <w:sz w:val="18"/>
              </w:rPr>
            </w:pPr>
            <w:r>
              <w:rPr>
                <w:sz w:val="18"/>
              </w:rPr>
              <w:t>6,5</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Графическое искусство</w:t>
            </w:r>
          </w:p>
        </w:tc>
        <w:tc>
          <w:tcPr>
            <w:tcW w:w="1512" w:type="dxa"/>
          </w:tcPr>
          <w:p w:rsidR="00000000" w:rsidRDefault="00000000">
            <w:pPr>
              <w:pStyle w:val="BodyText"/>
              <w:spacing w:before="80" w:after="80" w:line="220" w:lineRule="exact"/>
              <w:ind w:right="567"/>
              <w:jc w:val="right"/>
              <w:rPr>
                <w:sz w:val="18"/>
              </w:rPr>
            </w:pPr>
            <w:r>
              <w:rPr>
                <w:sz w:val="18"/>
              </w:rPr>
              <w:t>4</w:t>
            </w:r>
          </w:p>
        </w:tc>
        <w:tc>
          <w:tcPr>
            <w:tcW w:w="1577" w:type="dxa"/>
          </w:tcPr>
          <w:p w:rsidR="00000000" w:rsidRDefault="00000000">
            <w:pPr>
              <w:pStyle w:val="BodyText"/>
              <w:spacing w:before="80" w:after="80" w:line="220" w:lineRule="exact"/>
              <w:ind w:right="567"/>
              <w:jc w:val="right"/>
              <w:rPr>
                <w:sz w:val="18"/>
              </w:rPr>
            </w:pPr>
            <w:r>
              <w:rPr>
                <w:sz w:val="18"/>
              </w:rPr>
              <w:t>0,3</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Парикмахерское дело и эстетика</w:t>
            </w:r>
          </w:p>
        </w:tc>
        <w:tc>
          <w:tcPr>
            <w:tcW w:w="1512" w:type="dxa"/>
          </w:tcPr>
          <w:p w:rsidR="00000000" w:rsidRDefault="00000000">
            <w:pPr>
              <w:pStyle w:val="BodyText"/>
              <w:spacing w:before="80" w:after="80" w:line="220" w:lineRule="exact"/>
              <w:ind w:right="567"/>
              <w:jc w:val="right"/>
              <w:rPr>
                <w:sz w:val="18"/>
              </w:rPr>
            </w:pPr>
            <w:r>
              <w:rPr>
                <w:sz w:val="18"/>
              </w:rPr>
              <w:t>321</w:t>
            </w:r>
          </w:p>
        </w:tc>
        <w:tc>
          <w:tcPr>
            <w:tcW w:w="1577" w:type="dxa"/>
          </w:tcPr>
          <w:p w:rsidR="00000000" w:rsidRDefault="00000000">
            <w:pPr>
              <w:pStyle w:val="BodyText"/>
              <w:spacing w:before="80" w:after="80" w:line="220" w:lineRule="exact"/>
              <w:ind w:right="567"/>
              <w:jc w:val="right"/>
              <w:rPr>
                <w:sz w:val="18"/>
              </w:rPr>
            </w:pPr>
            <w:r>
              <w:rPr>
                <w:sz w:val="18"/>
              </w:rPr>
              <w:t>24,0</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Сектор медицинских и вспомогательных медицинских услуг</w:t>
            </w:r>
          </w:p>
        </w:tc>
        <w:tc>
          <w:tcPr>
            <w:tcW w:w="1512" w:type="dxa"/>
          </w:tcPr>
          <w:p w:rsidR="00000000" w:rsidRDefault="00000000">
            <w:pPr>
              <w:pStyle w:val="BodyText"/>
              <w:spacing w:before="80" w:after="80" w:line="220" w:lineRule="exact"/>
              <w:ind w:right="567"/>
              <w:jc w:val="right"/>
              <w:rPr>
                <w:sz w:val="18"/>
              </w:rPr>
            </w:pPr>
            <w:r>
              <w:rPr>
                <w:sz w:val="18"/>
              </w:rPr>
              <w:t>11</w:t>
            </w:r>
          </w:p>
        </w:tc>
        <w:tc>
          <w:tcPr>
            <w:tcW w:w="1577" w:type="dxa"/>
          </w:tcPr>
          <w:p w:rsidR="00000000" w:rsidRDefault="00000000">
            <w:pPr>
              <w:pStyle w:val="BodyText"/>
              <w:spacing w:before="80" w:after="80" w:line="220" w:lineRule="exact"/>
              <w:ind w:right="567"/>
              <w:jc w:val="right"/>
              <w:rPr>
                <w:sz w:val="18"/>
              </w:rPr>
            </w:pPr>
            <w:r>
              <w:rPr>
                <w:sz w:val="18"/>
              </w:rPr>
              <w:t>0,8</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Сфера услуг</w:t>
            </w:r>
          </w:p>
        </w:tc>
        <w:tc>
          <w:tcPr>
            <w:tcW w:w="1512" w:type="dxa"/>
          </w:tcPr>
          <w:p w:rsidR="00000000" w:rsidRDefault="00000000">
            <w:pPr>
              <w:pStyle w:val="BodyText"/>
              <w:spacing w:before="80" w:after="80" w:line="220" w:lineRule="exact"/>
              <w:ind w:right="567"/>
              <w:jc w:val="right"/>
              <w:rPr>
                <w:sz w:val="18"/>
              </w:rPr>
            </w:pPr>
            <w:r>
              <w:rPr>
                <w:sz w:val="18"/>
              </w:rPr>
              <w:t>156</w:t>
            </w:r>
          </w:p>
        </w:tc>
        <w:tc>
          <w:tcPr>
            <w:tcW w:w="1577" w:type="dxa"/>
          </w:tcPr>
          <w:p w:rsidR="00000000" w:rsidRDefault="00000000">
            <w:pPr>
              <w:pStyle w:val="BodyText"/>
              <w:spacing w:before="80" w:after="80" w:line="220" w:lineRule="exact"/>
              <w:ind w:right="567"/>
              <w:jc w:val="right"/>
              <w:rPr>
                <w:sz w:val="18"/>
              </w:rPr>
            </w:pPr>
            <w:r>
              <w:rPr>
                <w:sz w:val="18"/>
              </w:rPr>
              <w:t>11,7</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Торговля</w:t>
            </w:r>
          </w:p>
        </w:tc>
        <w:tc>
          <w:tcPr>
            <w:tcW w:w="1512" w:type="dxa"/>
          </w:tcPr>
          <w:p w:rsidR="00000000" w:rsidRDefault="00000000">
            <w:pPr>
              <w:pStyle w:val="BodyText"/>
              <w:spacing w:before="80" w:after="80" w:line="220" w:lineRule="exact"/>
              <w:ind w:right="567"/>
              <w:jc w:val="right"/>
              <w:rPr>
                <w:sz w:val="18"/>
              </w:rPr>
            </w:pPr>
            <w:r>
              <w:rPr>
                <w:sz w:val="18"/>
              </w:rPr>
              <w:t>57</w:t>
            </w:r>
          </w:p>
        </w:tc>
        <w:tc>
          <w:tcPr>
            <w:tcW w:w="1577" w:type="dxa"/>
          </w:tcPr>
          <w:p w:rsidR="00000000" w:rsidRDefault="00000000">
            <w:pPr>
              <w:pStyle w:val="BodyText"/>
              <w:spacing w:before="80" w:after="80" w:line="220" w:lineRule="exact"/>
              <w:ind w:right="567"/>
              <w:jc w:val="right"/>
              <w:rPr>
                <w:sz w:val="18"/>
              </w:rPr>
            </w:pPr>
            <w:r>
              <w:rPr>
                <w:sz w:val="18"/>
              </w:rPr>
              <w:t>4,3</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Прочие</w:t>
            </w:r>
          </w:p>
        </w:tc>
        <w:tc>
          <w:tcPr>
            <w:tcW w:w="1512" w:type="dxa"/>
          </w:tcPr>
          <w:p w:rsidR="00000000" w:rsidRDefault="00000000">
            <w:pPr>
              <w:pStyle w:val="BodyText"/>
              <w:spacing w:before="80" w:after="80" w:line="220" w:lineRule="exact"/>
              <w:ind w:right="567"/>
              <w:jc w:val="right"/>
              <w:rPr>
                <w:sz w:val="18"/>
              </w:rPr>
            </w:pPr>
            <w:r>
              <w:rPr>
                <w:sz w:val="18"/>
              </w:rPr>
              <w:t>43</w:t>
            </w:r>
          </w:p>
        </w:tc>
        <w:tc>
          <w:tcPr>
            <w:tcW w:w="1577" w:type="dxa"/>
          </w:tcPr>
          <w:p w:rsidR="00000000" w:rsidRDefault="00000000">
            <w:pPr>
              <w:pStyle w:val="BodyText"/>
              <w:spacing w:before="80" w:after="80" w:line="220" w:lineRule="exact"/>
              <w:ind w:right="567"/>
              <w:jc w:val="right"/>
              <w:rPr>
                <w:sz w:val="18"/>
              </w:rPr>
            </w:pPr>
            <w:r>
              <w:rPr>
                <w:sz w:val="18"/>
              </w:rPr>
              <w:t>3,2</w:t>
            </w:r>
          </w:p>
        </w:tc>
      </w:tr>
      <w:tr w:rsidR="00000000">
        <w:tblPrEx>
          <w:tblCellMar>
            <w:top w:w="0" w:type="dxa"/>
            <w:bottom w:w="0" w:type="dxa"/>
          </w:tblCellMar>
        </w:tblPrEx>
        <w:trPr>
          <w:jc w:val="center"/>
        </w:trPr>
        <w:tc>
          <w:tcPr>
            <w:tcW w:w="3715" w:type="dxa"/>
          </w:tcPr>
          <w:p w:rsidR="00000000" w:rsidRDefault="00000000">
            <w:pPr>
              <w:pStyle w:val="BodyText"/>
              <w:spacing w:before="80" w:after="80" w:line="220" w:lineRule="exact"/>
              <w:jc w:val="left"/>
              <w:rPr>
                <w:sz w:val="18"/>
              </w:rPr>
            </w:pPr>
            <w:r>
              <w:rPr>
                <w:sz w:val="18"/>
              </w:rPr>
              <w:t>Всего</w:t>
            </w:r>
          </w:p>
        </w:tc>
        <w:tc>
          <w:tcPr>
            <w:tcW w:w="1512" w:type="dxa"/>
          </w:tcPr>
          <w:p w:rsidR="00000000" w:rsidRDefault="00000000">
            <w:pPr>
              <w:pStyle w:val="BodyText"/>
              <w:spacing w:before="80" w:after="80" w:line="220" w:lineRule="exact"/>
              <w:ind w:right="567"/>
              <w:jc w:val="right"/>
              <w:rPr>
                <w:sz w:val="18"/>
              </w:rPr>
            </w:pPr>
            <w:r>
              <w:rPr>
                <w:sz w:val="18"/>
              </w:rPr>
              <w:t>1 338</w:t>
            </w:r>
          </w:p>
        </w:tc>
        <w:tc>
          <w:tcPr>
            <w:tcW w:w="1577" w:type="dxa"/>
          </w:tcPr>
          <w:p w:rsidR="00000000" w:rsidRDefault="00000000">
            <w:pPr>
              <w:pStyle w:val="BodyText"/>
              <w:spacing w:before="80" w:after="80" w:line="220" w:lineRule="exact"/>
              <w:ind w:right="567"/>
              <w:jc w:val="right"/>
              <w:rPr>
                <w:sz w:val="18"/>
              </w:rPr>
            </w:pPr>
            <w:r>
              <w:rPr>
                <w:sz w:val="18"/>
              </w:rPr>
              <w:t>100</w:t>
            </w:r>
          </w:p>
        </w:tc>
      </w:tr>
    </w:tbl>
    <w:p w:rsidR="00000000" w:rsidRDefault="00000000">
      <w:pPr>
        <w:pStyle w:val="BodyText"/>
        <w:spacing w:before="120" w:after="120" w:line="240" w:lineRule="exact"/>
        <w:ind w:right="1423"/>
        <w:jc w:val="right"/>
        <w:rPr>
          <w:b/>
          <w:sz w:val="18"/>
        </w:rPr>
      </w:pPr>
      <w:r>
        <w:rPr>
          <w:b/>
          <w:sz w:val="18"/>
        </w:rPr>
        <w:t>Источник: ТБС</w:t>
      </w:r>
    </w:p>
    <w:p w:rsidR="00000000" w:rsidRDefault="00000000">
      <w:pPr>
        <w:pStyle w:val="BodyText"/>
        <w:spacing w:before="120" w:line="240" w:lineRule="exact"/>
        <w:rPr>
          <w:b/>
          <w:sz w:val="22"/>
        </w:rPr>
      </w:pPr>
      <w:r>
        <w:rPr>
          <w:b/>
          <w:sz w:val="22"/>
        </w:rPr>
        <w:t>IV.3.</w:t>
      </w:r>
      <w:r>
        <w:rPr>
          <w:b/>
          <w:sz w:val="22"/>
        </w:rPr>
        <w:tab/>
        <w:t>Новая система предоставления микрокредитов</w:t>
      </w:r>
    </w:p>
    <w:p w:rsidR="00000000" w:rsidRDefault="00000000">
      <w:pPr>
        <w:pStyle w:val="BodyText"/>
        <w:spacing w:line="240" w:lineRule="exact"/>
        <w:rPr>
          <w:sz w:val="20"/>
        </w:rPr>
      </w:pPr>
      <w:r>
        <w:rPr>
          <w:sz w:val="20"/>
        </w:rPr>
        <w:t>816.</w:t>
      </w:r>
      <w:r>
        <w:rPr>
          <w:sz w:val="20"/>
        </w:rPr>
        <w:tab/>
        <w:t xml:space="preserve">С целью дальнейшего усовершенствования системы финансирования и упрочения механизмов национальной солидарности в июне 1999 года была создана новая система микрокредитования, направленная на обслуживание категории граждан с низкими доходами и нуждающихся семей, способных осуществлять экономическую деятельность в сельском хозяйстве и в сфере обслуживания. </w:t>
      </w:r>
    </w:p>
    <w:p w:rsidR="00000000" w:rsidRDefault="00000000">
      <w:pPr>
        <w:pStyle w:val="BodyText"/>
        <w:spacing w:line="240" w:lineRule="exact"/>
        <w:rPr>
          <w:sz w:val="20"/>
        </w:rPr>
      </w:pPr>
      <w:r>
        <w:rPr>
          <w:sz w:val="20"/>
        </w:rPr>
        <w:t>817.</w:t>
      </w:r>
      <w:r>
        <w:rPr>
          <w:sz w:val="20"/>
        </w:rPr>
        <w:tab/>
        <w:t>Новая система микрокредитования могла бы также финансировать услуги, способствующие улучшению условий жизни тех категорий граждан, на которых рассчитана эта система: содержание жилища, расходы на поддержание здоровья и прочие нужды.</w:t>
      </w:r>
    </w:p>
    <w:p w:rsidR="00000000" w:rsidRDefault="00000000">
      <w:pPr>
        <w:pStyle w:val="BodyText"/>
        <w:spacing w:line="240" w:lineRule="exact"/>
        <w:rPr>
          <w:sz w:val="20"/>
        </w:rPr>
      </w:pPr>
      <w:r>
        <w:rPr>
          <w:sz w:val="20"/>
        </w:rPr>
        <w:t>818.</w:t>
      </w:r>
      <w:r>
        <w:rPr>
          <w:sz w:val="20"/>
        </w:rPr>
        <w:tab/>
        <w:t>НПО, являющиеся партнерами государства в деле управления и распределения кредитов заинтересованным лицам, пользуются кредитной линией с низкой процентной ставкой в Тунисском банке солидарности (ТБС). В этих условиях ТБС подписал ряд соглашений о партнерстве с НПО (в частности, с НСТЖ).</w:t>
      </w:r>
    </w:p>
    <w:p w:rsidR="00000000" w:rsidRDefault="00000000">
      <w:pPr>
        <w:pStyle w:val="BodyText"/>
        <w:spacing w:before="240" w:line="240" w:lineRule="auto"/>
        <w:ind w:left="680" w:hanging="680"/>
        <w:jc w:val="left"/>
        <w:rPr>
          <w:b/>
          <w:sz w:val="28"/>
          <w:u w:val="single"/>
        </w:rPr>
      </w:pPr>
      <w:r>
        <w:rPr>
          <w:b/>
          <w:sz w:val="28"/>
        </w:rPr>
        <w:t>V.</w:t>
      </w:r>
      <w:r>
        <w:rPr>
          <w:b/>
          <w:sz w:val="28"/>
        </w:rPr>
        <w:tab/>
        <w:t xml:space="preserve">Механизмы поддержки, существующие в Министерстве </w:t>
      </w:r>
      <w:r>
        <w:rPr>
          <w:b/>
          <w:sz w:val="28"/>
        </w:rPr>
        <w:br/>
        <w:t>по делам женщин и семьи (МДЖС)</w:t>
      </w:r>
    </w:p>
    <w:p w:rsidR="00000000" w:rsidRDefault="00000000">
      <w:pPr>
        <w:pStyle w:val="BodyText"/>
        <w:spacing w:before="120" w:line="240" w:lineRule="exact"/>
        <w:rPr>
          <w:b/>
          <w:sz w:val="20"/>
        </w:rPr>
      </w:pPr>
      <w:r>
        <w:rPr>
          <w:b/>
          <w:sz w:val="22"/>
        </w:rPr>
        <w:t>V.1.</w:t>
      </w:r>
      <w:r>
        <w:rPr>
          <w:b/>
          <w:sz w:val="22"/>
        </w:rPr>
        <w:tab/>
        <w:t>Техническая и финансовая поддержка женских микропредпри</w:t>
      </w:r>
      <w:r>
        <w:rPr>
          <w:b/>
          <w:sz w:val="20"/>
        </w:rPr>
        <w:t>ятий</w:t>
      </w:r>
    </w:p>
    <w:p w:rsidR="00000000" w:rsidRDefault="00000000">
      <w:pPr>
        <w:pStyle w:val="BodyText"/>
        <w:spacing w:line="240" w:lineRule="exact"/>
        <w:rPr>
          <w:sz w:val="20"/>
        </w:rPr>
      </w:pPr>
      <w:r>
        <w:rPr>
          <w:sz w:val="20"/>
        </w:rPr>
        <w:t>819.</w:t>
      </w:r>
      <w:r>
        <w:rPr>
          <w:sz w:val="20"/>
        </w:rPr>
        <w:tab/>
        <w:t>В рамках Национального плана поддержки семьи, вступившего в действие в апреле 1996 года, и стратегии в отношении женщин IX национального плана развития (1997–2001 годы) МДЖС приступило к созданию механизма технической и финансовой помощи микропроектам женщин с целью сопровождения и поддержки инициатив, выдвинутых неимущими женщинами в неформальном секторе.</w:t>
      </w:r>
    </w:p>
    <w:p w:rsidR="00000000" w:rsidRDefault="00000000">
      <w:pPr>
        <w:pStyle w:val="BodyText"/>
        <w:spacing w:line="240" w:lineRule="exact"/>
        <w:rPr>
          <w:sz w:val="20"/>
        </w:rPr>
      </w:pPr>
      <w:r>
        <w:rPr>
          <w:sz w:val="20"/>
        </w:rPr>
        <w:t>820.</w:t>
      </w:r>
      <w:r>
        <w:rPr>
          <w:sz w:val="20"/>
        </w:rPr>
        <w:tab/>
        <w:t>Этот механизм обеспечит организационную поддержку НПО, которые были отобраны в соответствии с характером их деятельности. Задача механизма – обеспечить руководящими кадрами, следить за работой, а возможно, и обучать женщин-бенефициаров. Он будет служить связующим звеном между НПО и Тунисским банком солидарности – главным источником кредитов.</w:t>
      </w:r>
    </w:p>
    <w:p w:rsidR="00000000" w:rsidRDefault="00000000">
      <w:pPr>
        <w:pStyle w:val="BodyText"/>
        <w:spacing w:line="240" w:lineRule="exact"/>
        <w:rPr>
          <w:spacing w:val="2"/>
          <w:sz w:val="20"/>
        </w:rPr>
      </w:pPr>
      <w:r>
        <w:rPr>
          <w:spacing w:val="2"/>
          <w:sz w:val="20"/>
        </w:rPr>
        <w:t>821.</w:t>
      </w:r>
      <w:r>
        <w:rPr>
          <w:spacing w:val="2"/>
          <w:sz w:val="20"/>
        </w:rPr>
        <w:tab/>
        <w:t>Механизм начал действовать 8 марта 1999 года по случаю Международного женского дня, когда было подписано соглашение о партнерстве между Тунисским банком солидарности и пятью другими банками и НПО, а именно НСТЖ, ТССС, Тунисской федерацией социальной солидарности (ТФСС), организацией "Окружающая среда и развитие в арабском мире" (ОСРАМ) и Ассоциацией по поддержке саморазвития (АПС).</w:t>
      </w:r>
    </w:p>
    <w:p w:rsidR="00000000" w:rsidRDefault="00000000">
      <w:pPr>
        <w:pStyle w:val="BodyText"/>
        <w:spacing w:after="120" w:line="240" w:lineRule="exact"/>
        <w:rPr>
          <w:sz w:val="20"/>
        </w:rPr>
      </w:pPr>
      <w:r>
        <w:rPr>
          <w:sz w:val="20"/>
        </w:rPr>
        <w:t>822.</w:t>
      </w:r>
      <w:r>
        <w:rPr>
          <w:sz w:val="20"/>
        </w:rPr>
        <w:tab/>
        <w:t>Деятельность механизма распределяется по трем уровням:</w:t>
      </w:r>
    </w:p>
    <w:p w:rsidR="00000000" w:rsidRDefault="00000000">
      <w:pPr>
        <w:pStyle w:val="BodyText"/>
        <w:spacing w:after="120" w:line="240" w:lineRule="exact"/>
        <w:ind w:left="1021" w:hanging="1021"/>
        <w:rPr>
          <w:sz w:val="20"/>
        </w:rPr>
      </w:pPr>
      <w:r>
        <w:rPr>
          <w:sz w:val="20"/>
          <w:lang w:val="en-US"/>
        </w:rPr>
        <w:tab/>
      </w:r>
      <w:r>
        <w:rPr>
          <w:sz w:val="20"/>
        </w:rPr>
        <w:t>–</w:t>
      </w:r>
      <w:r>
        <w:rPr>
          <w:sz w:val="20"/>
        </w:rPr>
        <w:tab/>
        <w:t>Стратегическое планирование и глобальное руководство возлагается на руководящий комитет, который получает поддержку со стороны управленческого отдела МДЖС.</w:t>
      </w:r>
    </w:p>
    <w:p w:rsidR="00000000" w:rsidRDefault="00000000">
      <w:pPr>
        <w:pStyle w:val="BodyText"/>
        <w:spacing w:after="120" w:line="240" w:lineRule="exact"/>
        <w:ind w:left="1021" w:hanging="1021"/>
        <w:rPr>
          <w:sz w:val="20"/>
        </w:rPr>
      </w:pPr>
      <w:r>
        <w:rPr>
          <w:i/>
          <w:sz w:val="20"/>
          <w:lang w:val="en-US"/>
        </w:rPr>
        <w:tab/>
      </w:r>
      <w:r>
        <w:rPr>
          <w:i/>
          <w:sz w:val="20"/>
        </w:rPr>
        <w:t>–</w:t>
      </w:r>
      <w:r>
        <w:rPr>
          <w:i/>
          <w:sz w:val="20"/>
        </w:rPr>
        <w:tab/>
      </w:r>
      <w:r>
        <w:rPr>
          <w:sz w:val="20"/>
        </w:rPr>
        <w:t>Обеспечение квалифицированными руководителями и подготовка руководящих кадров для НПО, которые участвуют в качестве партнеров-посредников в микрокредитовании, а также повышение потенциала клиенток путем обучения, контроля и обеспечения руководящими кадрами (участие НПО).</w:t>
      </w:r>
    </w:p>
    <w:p w:rsidR="00000000" w:rsidRDefault="00000000">
      <w:pPr>
        <w:pStyle w:val="BodyText"/>
        <w:spacing w:line="240" w:lineRule="exact"/>
        <w:ind w:left="1021" w:hanging="1021"/>
        <w:rPr>
          <w:sz w:val="20"/>
        </w:rPr>
      </w:pPr>
      <w:r>
        <w:rPr>
          <w:sz w:val="20"/>
        </w:rPr>
        <w:tab/>
        <w:t>–</w:t>
      </w:r>
      <w:r>
        <w:rPr>
          <w:sz w:val="20"/>
        </w:rPr>
        <w:tab/>
        <w:t xml:space="preserve">Поддержка финансирования проектов в рамках соглашений с Тунисским банком солидарности (ТБС) и привлечение различных дополнительных ресурсов в рамках международного сотрудничества. </w:t>
      </w:r>
    </w:p>
    <w:p w:rsidR="00000000" w:rsidRDefault="00000000">
      <w:pPr>
        <w:pStyle w:val="BodyText"/>
        <w:spacing w:before="120" w:line="240" w:lineRule="exact"/>
        <w:rPr>
          <w:b/>
          <w:sz w:val="22"/>
        </w:rPr>
      </w:pPr>
      <w:r>
        <w:rPr>
          <w:b/>
          <w:sz w:val="22"/>
        </w:rPr>
        <w:t xml:space="preserve">V.2. </w:t>
      </w:r>
      <w:r>
        <w:rPr>
          <w:b/>
          <w:sz w:val="22"/>
        </w:rPr>
        <w:tab/>
        <w:t>Форум женщин, участвующих в производстве</w:t>
      </w:r>
    </w:p>
    <w:p w:rsidR="00000000" w:rsidRDefault="00000000">
      <w:pPr>
        <w:pStyle w:val="BodyText"/>
        <w:spacing w:after="120" w:line="240" w:lineRule="exact"/>
        <w:rPr>
          <w:sz w:val="20"/>
        </w:rPr>
      </w:pPr>
      <w:r>
        <w:rPr>
          <w:sz w:val="20"/>
        </w:rPr>
        <w:t>823.</w:t>
      </w:r>
      <w:r>
        <w:rPr>
          <w:sz w:val="20"/>
        </w:rPr>
        <w:tab/>
        <w:t>Начиная с 1998 года МДЖС по случаю Международного женского дня (8 марта) проводит совместно со Всемирным банком "Форум женщин, участвующих в производстве", который продолжается в течение недели и включает 4 основных составляющих:</w:t>
      </w:r>
    </w:p>
    <w:p w:rsidR="00000000" w:rsidRDefault="00000000">
      <w:pPr>
        <w:pStyle w:val="BodyText"/>
        <w:spacing w:after="120" w:line="240" w:lineRule="exact"/>
        <w:ind w:left="1021" w:hanging="1021"/>
        <w:rPr>
          <w:sz w:val="20"/>
        </w:rPr>
      </w:pPr>
      <w:r>
        <w:rPr>
          <w:sz w:val="20"/>
        </w:rPr>
        <w:tab/>
        <w:t>*</w:t>
      </w:r>
      <w:r>
        <w:rPr>
          <w:sz w:val="20"/>
        </w:rPr>
        <w:tab/>
        <w:t>выставку-продажу кустарных изделий, открытую для женщин-кустарей из всех районов страны, и особенно для тех, кто живет в отдаленных сельских местностях и имеет ограниченный доступ к торговле;</w:t>
      </w:r>
    </w:p>
    <w:p w:rsidR="00000000" w:rsidRDefault="00000000">
      <w:pPr>
        <w:pStyle w:val="BodyText"/>
        <w:spacing w:after="80" w:line="240" w:lineRule="exact"/>
        <w:ind w:left="1021" w:hanging="1021"/>
        <w:rPr>
          <w:sz w:val="20"/>
        </w:rPr>
      </w:pPr>
      <w:r>
        <w:rPr>
          <w:sz w:val="20"/>
        </w:rPr>
        <w:tab/>
        <w:t>*</w:t>
      </w:r>
      <w:r>
        <w:rPr>
          <w:sz w:val="20"/>
        </w:rPr>
        <w:tab/>
        <w:t xml:space="preserve">виртуальный рынок в сети Интернет WWW.ELSOUK.COM. с участием лучших кустарных производств тунисских женщин-кустарей, функционирующий с конца 1998 года на Web-сайте при поддержке Всемирного банка; развертывание виртуального рынка предусмотрено в конце </w:t>
      </w:r>
      <w:r>
        <w:rPr>
          <w:sz w:val="20"/>
        </w:rPr>
        <w:br/>
        <w:t>1999 года;</w:t>
      </w:r>
    </w:p>
    <w:p w:rsidR="00000000" w:rsidRDefault="00000000">
      <w:pPr>
        <w:pStyle w:val="BodyText"/>
        <w:spacing w:after="80" w:line="240" w:lineRule="exact"/>
        <w:ind w:left="1021" w:hanging="1021"/>
        <w:rPr>
          <w:sz w:val="20"/>
        </w:rPr>
      </w:pPr>
      <w:r>
        <w:rPr>
          <w:sz w:val="20"/>
        </w:rPr>
        <w:tab/>
        <w:t>*</w:t>
      </w:r>
      <w:r>
        <w:rPr>
          <w:sz w:val="20"/>
        </w:rPr>
        <w:tab/>
        <w:t>модуль подготовки кадров, рассчитанный на женщин-кустарей в области создания микропроектов и управления ими;</w:t>
      </w:r>
    </w:p>
    <w:p w:rsidR="00000000" w:rsidRDefault="00000000">
      <w:pPr>
        <w:pStyle w:val="BodyText"/>
        <w:spacing w:line="240" w:lineRule="exact"/>
        <w:ind w:left="1021" w:hanging="1021"/>
        <w:rPr>
          <w:sz w:val="20"/>
        </w:rPr>
      </w:pPr>
      <w:r>
        <w:rPr>
          <w:sz w:val="20"/>
          <w:lang w:val="en-US"/>
        </w:rPr>
        <w:tab/>
      </w:r>
      <w:r>
        <w:rPr>
          <w:sz w:val="20"/>
        </w:rPr>
        <w:t>*</w:t>
      </w:r>
      <w:r>
        <w:rPr>
          <w:sz w:val="20"/>
        </w:rPr>
        <w:tab/>
        <w:t>подготовку административных кадров для министерств, персонала НПО в рамках подхода, основанного на участии в процессе развития.</w:t>
      </w:r>
    </w:p>
    <w:p w:rsidR="00000000" w:rsidRDefault="00000000">
      <w:pPr>
        <w:pStyle w:val="BodyText"/>
        <w:spacing w:line="240" w:lineRule="exact"/>
        <w:rPr>
          <w:sz w:val="20"/>
        </w:rPr>
      </w:pPr>
      <w:r>
        <w:rPr>
          <w:sz w:val="20"/>
        </w:rPr>
        <w:t>824.</w:t>
      </w:r>
      <w:r>
        <w:rPr>
          <w:sz w:val="20"/>
        </w:rPr>
        <w:tab/>
        <w:t xml:space="preserve">Государственный секретариат по делам женщин и семьи начиная с 1995 года мобилизует финансовые средства в рамках двустороннего и многостороннего сотрудничества в интересах НПО, занимающихся женской проблематикой, причем цель сотрудничества – финансирование проектов, способствующих развитию женских микропредприятий. </w:t>
      </w:r>
    </w:p>
    <w:p w:rsidR="00000000" w:rsidRDefault="00000000">
      <w:pPr>
        <w:pStyle w:val="BodyText"/>
        <w:spacing w:before="120" w:line="240" w:lineRule="auto"/>
        <w:rPr>
          <w:b/>
          <w:sz w:val="28"/>
        </w:rPr>
      </w:pPr>
      <w:r>
        <w:rPr>
          <w:b/>
          <w:sz w:val="28"/>
        </w:rPr>
        <w:t>VI.</w:t>
      </w:r>
      <w:r>
        <w:rPr>
          <w:b/>
          <w:sz w:val="28"/>
        </w:rPr>
        <w:tab/>
        <w:t>Доступ к кредитам на приобретение жилища</w:t>
      </w:r>
    </w:p>
    <w:p w:rsidR="00000000" w:rsidRDefault="00000000">
      <w:pPr>
        <w:pStyle w:val="BodyText"/>
        <w:spacing w:after="200" w:line="240" w:lineRule="exact"/>
        <w:rPr>
          <w:sz w:val="20"/>
        </w:rPr>
      </w:pPr>
      <w:r>
        <w:rPr>
          <w:sz w:val="20"/>
        </w:rPr>
        <w:t>825.</w:t>
      </w:r>
      <w:r>
        <w:rPr>
          <w:sz w:val="20"/>
        </w:rPr>
        <w:tab/>
        <w:t xml:space="preserve">В результате мер, принятых правительством 5 апреля 1996 года в рамках национального плана действий в помощь семье, оба супруга имеют возможность оформить, каждый со своей стороны, заем в кассах социального обеспечения или в Жилищном банке для строительства или приобретения общего жилища (циркуляр министра по социальным делам, разосланный всем кассам социального обеспечения 9 мая </w:t>
      </w:r>
      <w:r>
        <w:rPr>
          <w:sz w:val="20"/>
        </w:rPr>
        <w:br/>
        <w:t>1996 года).</w:t>
      </w:r>
    </w:p>
    <w:p w:rsidR="00000000" w:rsidRDefault="00000000">
      <w:pPr>
        <w:pStyle w:val="BodyText"/>
        <w:spacing w:after="200" w:line="240" w:lineRule="exact"/>
        <w:rPr>
          <w:sz w:val="20"/>
        </w:rPr>
      </w:pPr>
      <w:r>
        <w:rPr>
          <w:sz w:val="20"/>
        </w:rPr>
        <w:t>826.</w:t>
      </w:r>
      <w:r>
        <w:rPr>
          <w:sz w:val="20"/>
        </w:rPr>
        <w:tab/>
        <w:t>Согласно закону № 98-97 от 9 ноября 1998 года супруги могут по желанию пользоваться правом на совместное либо раздельное владение имуществом, приобретенным после заключения брака. Выбор того или иного режима оговаривается в брачном контракте, так как совместное владение имуществом является факультативным. В случае, если в брачном контракте не предусмотрен режим владения, раздел имущества будет произведен согласно статье 7.</w:t>
      </w:r>
    </w:p>
    <w:p w:rsidR="00000000" w:rsidRDefault="00000000">
      <w:pPr>
        <w:pStyle w:val="BodyText"/>
        <w:spacing w:after="200" w:line="240" w:lineRule="exact"/>
        <w:rPr>
          <w:sz w:val="20"/>
        </w:rPr>
      </w:pPr>
      <w:r>
        <w:rPr>
          <w:sz w:val="20"/>
        </w:rPr>
        <w:t>827.</w:t>
      </w:r>
      <w:r>
        <w:rPr>
          <w:sz w:val="20"/>
        </w:rPr>
        <w:tab/>
        <w:t>В августе 1998 года была также снижена процентная ставка на жилищный кредит в целях более активного проведения в жизнь политики государства в области решения жилищной проблемы и уменьшения расходов на приобретение жилища для семьи.</w:t>
      </w:r>
    </w:p>
    <w:p w:rsidR="00000000" w:rsidRDefault="00000000">
      <w:pPr>
        <w:pStyle w:val="BodyText"/>
        <w:spacing w:line="240" w:lineRule="exact"/>
        <w:rPr>
          <w:sz w:val="20"/>
        </w:rPr>
      </w:pPr>
      <w:r>
        <w:rPr>
          <w:sz w:val="20"/>
        </w:rPr>
        <w:t>828.</w:t>
      </w:r>
      <w:r>
        <w:rPr>
          <w:sz w:val="20"/>
        </w:rPr>
        <w:tab/>
        <w:t xml:space="preserve">В 1994 году жилищный фонд составил порядка 1 078 000 квартир, а в 1998 году – уже 2 204 000, то есть увеличение составило в среднем 67 тыс. квартир в год. Таким образом, 78,3 процента тунисцев имеют сегодня собственное жилище. Параллельно с этим принимались энергичные меры по ликвидации устаревших жилищ; если в 1976 году они составляли 44 процента от всего жилого фонда, то в 1998 году их осталось только </w:t>
      </w:r>
      <w:r>
        <w:rPr>
          <w:sz w:val="20"/>
        </w:rPr>
        <w:br/>
        <w:t>1,2 процента.</w:t>
      </w:r>
    </w:p>
    <w:p w:rsidR="00000000" w:rsidRDefault="00000000">
      <w:pPr>
        <w:pStyle w:val="BodyText"/>
        <w:spacing w:before="120" w:after="180" w:line="240" w:lineRule="auto"/>
        <w:rPr>
          <w:b/>
          <w:sz w:val="28"/>
          <w:u w:val="single"/>
        </w:rPr>
      </w:pPr>
      <w:r>
        <w:rPr>
          <w:b/>
          <w:sz w:val="28"/>
        </w:rPr>
        <w:t>VII.</w:t>
      </w:r>
      <w:r>
        <w:rPr>
          <w:b/>
          <w:sz w:val="28"/>
        </w:rPr>
        <w:tab/>
        <w:t>Доступ к Единому бюро информации для молодежи</w:t>
      </w:r>
    </w:p>
    <w:p w:rsidR="00000000" w:rsidRDefault="00000000">
      <w:pPr>
        <w:pStyle w:val="BodyText"/>
        <w:spacing w:line="240" w:lineRule="exact"/>
        <w:rPr>
          <w:sz w:val="20"/>
        </w:rPr>
      </w:pPr>
      <w:r>
        <w:rPr>
          <w:sz w:val="20"/>
        </w:rPr>
        <w:t>829.</w:t>
      </w:r>
      <w:r>
        <w:rPr>
          <w:sz w:val="20"/>
        </w:rPr>
        <w:tab/>
        <w:t xml:space="preserve">Проявляя постоянное внимание к молодежи и в целях удовлетворения ее потребностей 29 апреля </w:t>
      </w:r>
      <w:r>
        <w:rPr>
          <w:sz w:val="20"/>
        </w:rPr>
        <w:br/>
        <w:t>1995 года было создано Единое бюро информации для молодежи.</w:t>
      </w:r>
    </w:p>
    <w:p w:rsidR="00000000" w:rsidRDefault="00000000">
      <w:pPr>
        <w:pStyle w:val="BodyText"/>
        <w:spacing w:line="240" w:lineRule="exact"/>
        <w:rPr>
          <w:sz w:val="20"/>
        </w:rPr>
      </w:pPr>
      <w:r>
        <w:rPr>
          <w:sz w:val="20"/>
        </w:rPr>
        <w:t>830.</w:t>
      </w:r>
      <w:r>
        <w:rPr>
          <w:sz w:val="20"/>
        </w:rPr>
        <w:tab/>
        <w:t>Это Бюро, находящееся в ведении Министерства по делам молодежи и детства, имеет целью собирать данные, касающиеся предоставления услуг в ряде секторов, интересующих в первую очередь молодежь, обрабатывать эти данные и распространять их всем категориям молодежи независимо от возраста и пола.</w:t>
      </w:r>
    </w:p>
    <w:p w:rsidR="00000000" w:rsidRDefault="00000000">
      <w:pPr>
        <w:pStyle w:val="BodyText"/>
        <w:spacing w:after="40" w:line="240" w:lineRule="exact"/>
        <w:rPr>
          <w:sz w:val="20"/>
        </w:rPr>
      </w:pPr>
      <w:r>
        <w:rPr>
          <w:sz w:val="20"/>
        </w:rPr>
        <w:t>831.</w:t>
      </w:r>
      <w:r>
        <w:rPr>
          <w:sz w:val="20"/>
        </w:rPr>
        <w:tab/>
        <w:t>Для информирования и ориентации молодежи Единое бюро информации использует:</w:t>
      </w:r>
    </w:p>
    <w:p w:rsidR="00000000" w:rsidRDefault="00000000">
      <w:pPr>
        <w:pStyle w:val="BodyText"/>
        <w:spacing w:after="40" w:line="240" w:lineRule="exact"/>
        <w:ind w:left="1021" w:hanging="1021"/>
        <w:rPr>
          <w:sz w:val="20"/>
        </w:rPr>
      </w:pPr>
      <w:r>
        <w:rPr>
          <w:sz w:val="20"/>
          <w:lang w:val="en-US"/>
        </w:rPr>
        <w:tab/>
      </w:r>
      <w:r>
        <w:rPr>
          <w:sz w:val="20"/>
        </w:rPr>
        <w:t>*</w:t>
      </w:r>
      <w:r>
        <w:rPr>
          <w:sz w:val="20"/>
        </w:rPr>
        <w:tab/>
        <w:t>современное оборудование в области связи и информации (вычислительная техника, минитель, система административной информации и связи, "SICAD", аудиовизуальные средства, сервер речевой связи</w:t>
      </w:r>
      <w:r>
        <w:rPr>
          <w:rFonts w:ascii="Symbol" w:hAnsi="Symbol"/>
          <w:sz w:val="20"/>
        </w:rPr>
        <w:t></w:t>
      </w:r>
      <w:r>
        <w:rPr>
          <w:sz w:val="20"/>
        </w:rPr>
        <w:t>);</w:t>
      </w:r>
    </w:p>
    <w:p w:rsidR="00000000" w:rsidRDefault="00000000">
      <w:pPr>
        <w:pStyle w:val="BodyText"/>
        <w:spacing w:after="80" w:line="240" w:lineRule="exact"/>
        <w:ind w:left="1021" w:hanging="1021"/>
        <w:rPr>
          <w:sz w:val="20"/>
        </w:rPr>
      </w:pPr>
      <w:r>
        <w:rPr>
          <w:sz w:val="20"/>
        </w:rPr>
        <w:tab/>
        <w:t>*</w:t>
      </w:r>
      <w:r>
        <w:rPr>
          <w:sz w:val="20"/>
        </w:rPr>
        <w:tab/>
        <w:t>экран, подключенный к мультимедийной станции для распространения различных объявлений или сообщений, предназначенных для молодежи;</w:t>
      </w:r>
    </w:p>
    <w:p w:rsidR="00000000" w:rsidRDefault="00000000">
      <w:pPr>
        <w:pStyle w:val="BodyText"/>
        <w:spacing w:after="80" w:line="240" w:lineRule="exact"/>
        <w:ind w:left="1021" w:hanging="1021"/>
        <w:rPr>
          <w:sz w:val="20"/>
        </w:rPr>
      </w:pPr>
      <w:r>
        <w:rPr>
          <w:sz w:val="20"/>
          <w:lang w:val="en-US"/>
        </w:rPr>
        <w:tab/>
      </w:r>
      <w:r>
        <w:rPr>
          <w:sz w:val="20"/>
        </w:rPr>
        <w:t>*</w:t>
      </w:r>
      <w:r>
        <w:rPr>
          <w:sz w:val="20"/>
        </w:rPr>
        <w:tab/>
        <w:t>витрины для объявлений о найме на работу, о проводимых конкурсах и программах культурных и спортивных мероприятий;</w:t>
      </w:r>
    </w:p>
    <w:p w:rsidR="00000000" w:rsidRDefault="00000000">
      <w:pPr>
        <w:pStyle w:val="BodyText"/>
        <w:spacing w:line="240" w:lineRule="exact"/>
        <w:rPr>
          <w:spacing w:val="-2"/>
          <w:sz w:val="20"/>
        </w:rPr>
      </w:pPr>
      <w:r>
        <w:rPr>
          <w:sz w:val="20"/>
        </w:rPr>
        <w:tab/>
        <w:t>*</w:t>
      </w:r>
      <w:r>
        <w:rPr>
          <w:sz w:val="20"/>
        </w:rPr>
        <w:tab/>
      </w:r>
      <w:r>
        <w:rPr>
          <w:spacing w:val="-2"/>
          <w:sz w:val="20"/>
        </w:rPr>
        <w:t>телефонные линии для молодых людей, ежедневно принимающие звонки с 8 часов до 18 час. 30 мин.</w:t>
      </w:r>
    </w:p>
    <w:p w:rsidR="00000000" w:rsidRDefault="00000000">
      <w:pPr>
        <w:pStyle w:val="BodyText"/>
        <w:spacing w:line="240" w:lineRule="exact"/>
        <w:rPr>
          <w:sz w:val="20"/>
        </w:rPr>
      </w:pPr>
      <w:r>
        <w:rPr>
          <w:sz w:val="20"/>
        </w:rPr>
        <w:t>832.</w:t>
      </w:r>
      <w:r>
        <w:rPr>
          <w:sz w:val="20"/>
        </w:rPr>
        <w:tab/>
        <w:t>Кроме руководящих специалистов широкого профиля, работающих в Министерстве по делам молодежи и детства, в Едином бюро информации для молодежи работают представители системы профессиональной подготовки и служб занятости, социальных служб, высшего образования и транспорта. Все они имеют возможность сообщать служебную информацию в другие секторы и области, не представленные в Бюро.</w:t>
      </w:r>
    </w:p>
    <w:p w:rsidR="00000000" w:rsidRDefault="00000000">
      <w:pPr>
        <w:pStyle w:val="BodyText"/>
        <w:spacing w:before="240" w:line="240" w:lineRule="auto"/>
        <w:rPr>
          <w:b/>
          <w:sz w:val="28"/>
          <w:u w:val="single"/>
        </w:rPr>
      </w:pPr>
      <w:r>
        <w:rPr>
          <w:b/>
          <w:sz w:val="28"/>
        </w:rPr>
        <w:t>VIII.</w:t>
      </w:r>
      <w:r>
        <w:rPr>
          <w:b/>
          <w:sz w:val="28"/>
        </w:rPr>
        <w:tab/>
        <w:t>Участие женщин в культурной жизни и досуговых мероприятиях</w:t>
      </w:r>
    </w:p>
    <w:p w:rsidR="00000000" w:rsidRDefault="00000000">
      <w:pPr>
        <w:pStyle w:val="BodyText"/>
        <w:spacing w:line="240" w:lineRule="exact"/>
        <w:rPr>
          <w:sz w:val="20"/>
        </w:rPr>
      </w:pPr>
      <w:r>
        <w:rPr>
          <w:sz w:val="20"/>
        </w:rPr>
        <w:t>833.</w:t>
      </w:r>
      <w:r>
        <w:rPr>
          <w:sz w:val="20"/>
        </w:rPr>
        <w:tab/>
        <w:t>Одним из знаковых аспектов развития прав женщины в 90-х годах является небывалый по широте размах творческой деятельности женщин как в изобразительном искусстве, так и в театральной, кинематографической и литературной деятельности.</w:t>
      </w:r>
    </w:p>
    <w:p w:rsidR="00000000" w:rsidRDefault="00000000">
      <w:pPr>
        <w:pStyle w:val="BodyText"/>
        <w:spacing w:line="240" w:lineRule="exact"/>
        <w:rPr>
          <w:sz w:val="20"/>
        </w:rPr>
      </w:pPr>
      <w:r>
        <w:rPr>
          <w:sz w:val="20"/>
        </w:rPr>
        <w:t>834.</w:t>
      </w:r>
      <w:r>
        <w:rPr>
          <w:sz w:val="20"/>
        </w:rPr>
        <w:tab/>
        <w:t>Именно в секторе культуры, где царит привилегированная атмосфера творчества, появились и прославились в разных областях целый ряд талантливых женщин: молодых и не очень молодых прозаиков, поэтесс, кинодеятелей, скульпторов, археологов и т. д., что придало новую динамику культурной жизни.</w:t>
      </w:r>
    </w:p>
    <w:p w:rsidR="00000000" w:rsidRDefault="00000000">
      <w:pPr>
        <w:pStyle w:val="BodyText"/>
        <w:spacing w:line="240" w:lineRule="exact"/>
        <w:rPr>
          <w:sz w:val="20"/>
        </w:rPr>
      </w:pPr>
      <w:r>
        <w:rPr>
          <w:sz w:val="20"/>
        </w:rPr>
        <w:t>835.</w:t>
      </w:r>
      <w:r>
        <w:rPr>
          <w:sz w:val="20"/>
        </w:rPr>
        <w:tab/>
        <w:t>Двадцать женщин награждены Орденом за заслуги в области культуры.</w:t>
      </w:r>
    </w:p>
    <w:p w:rsidR="00000000" w:rsidRDefault="00000000">
      <w:pPr>
        <w:pStyle w:val="BodyText"/>
        <w:spacing w:before="160" w:line="240" w:lineRule="exact"/>
        <w:rPr>
          <w:b/>
          <w:sz w:val="22"/>
        </w:rPr>
      </w:pPr>
      <w:r>
        <w:rPr>
          <w:b/>
          <w:sz w:val="22"/>
        </w:rPr>
        <w:t>VIII.1.</w:t>
      </w:r>
      <w:r>
        <w:rPr>
          <w:b/>
          <w:sz w:val="22"/>
        </w:rPr>
        <w:tab/>
        <w:t>Книги и публичные библиотеки</w:t>
      </w:r>
    </w:p>
    <w:p w:rsidR="00000000" w:rsidRDefault="00000000">
      <w:pPr>
        <w:pStyle w:val="BodyText"/>
        <w:spacing w:line="240" w:lineRule="exact"/>
        <w:rPr>
          <w:sz w:val="20"/>
        </w:rPr>
      </w:pPr>
      <w:r>
        <w:rPr>
          <w:sz w:val="20"/>
        </w:rPr>
        <w:t>836.</w:t>
      </w:r>
      <w:r>
        <w:rPr>
          <w:sz w:val="20"/>
        </w:rPr>
        <w:tab/>
        <w:t xml:space="preserve">Начиная с 1956 года, года достижения Независимости, и до наших дней женщинами написаны </w:t>
      </w:r>
      <w:r>
        <w:rPr>
          <w:sz w:val="20"/>
        </w:rPr>
        <w:br/>
        <w:t>193 книги, из них 143 вышли в свет в 1987–1998 годах, а с 1992 по 1997 год – 106 названий, то есть 74 процента литературных произведений, написанных женщинами, увидели свет за пять последних лет.</w:t>
      </w:r>
    </w:p>
    <w:p w:rsidR="00000000" w:rsidRDefault="00000000">
      <w:pPr>
        <w:pStyle w:val="BodyText"/>
        <w:spacing w:line="240" w:lineRule="exact"/>
        <w:rPr>
          <w:sz w:val="20"/>
        </w:rPr>
      </w:pPr>
      <w:r>
        <w:rPr>
          <w:sz w:val="20"/>
        </w:rPr>
        <w:t>837.</w:t>
      </w:r>
      <w:r>
        <w:rPr>
          <w:sz w:val="20"/>
        </w:rPr>
        <w:tab/>
        <w:t>Из этого количества книг в рамках национальной политики поощрения творческой деятельности за десятилетие с 1987 по 1997 год государственную поддержку получили авторы 102 литературных произведений.</w:t>
      </w:r>
    </w:p>
    <w:p w:rsidR="00000000" w:rsidRDefault="00000000">
      <w:pPr>
        <w:pStyle w:val="BodyText"/>
        <w:spacing w:line="240" w:lineRule="exact"/>
        <w:rPr>
          <w:sz w:val="20"/>
        </w:rPr>
      </w:pPr>
      <w:r>
        <w:rPr>
          <w:sz w:val="20"/>
        </w:rPr>
        <w:t>838.</w:t>
      </w:r>
      <w:r>
        <w:rPr>
          <w:sz w:val="20"/>
        </w:rPr>
        <w:tab/>
        <w:t>В секторе библиотек и читален особенно велика заслуга женщин как в городах, так и в сельской местности. На разных уровнях ответственности женщины возглавляют библиотечное дело. В сети публичных читален работают 967 человек, из них 429 – женщины. 142 женщины руководят публичными библиотеками разного уровня, в том числе 11 опытно-показательными региональными библиотеками, проводящими большую культурно-воспитательную работу по приобщению к чтению. 90 женщин заведуют отделениями библиотек, в том числе детскими отделениями.</w:t>
      </w:r>
    </w:p>
    <w:p w:rsidR="00000000" w:rsidRDefault="00000000">
      <w:pPr>
        <w:pStyle w:val="BodyText"/>
        <w:spacing w:line="240" w:lineRule="exact"/>
        <w:rPr>
          <w:i/>
          <w:spacing w:val="2"/>
          <w:sz w:val="20"/>
        </w:rPr>
      </w:pPr>
      <w:r>
        <w:rPr>
          <w:i/>
          <w:spacing w:val="2"/>
          <w:sz w:val="20"/>
        </w:rPr>
        <w:tab/>
        <w:t>Управление пазолического чтения насчитывает 39 человек, из них семь – ответственные работники, в том числе четыре женщины. Десятилетие с 1987 по 1997 год было отмечено появлением президентского проекта "Мультимедийной библиотеки", осуществляемого группой женщин при поддержке Министерства культуры.</w:t>
      </w:r>
    </w:p>
    <w:p w:rsidR="00000000" w:rsidRDefault="00000000">
      <w:pPr>
        <w:pStyle w:val="BodyText"/>
        <w:spacing w:before="160" w:line="240" w:lineRule="exact"/>
        <w:rPr>
          <w:b/>
          <w:sz w:val="22"/>
        </w:rPr>
      </w:pPr>
      <w:r>
        <w:rPr>
          <w:b/>
          <w:sz w:val="22"/>
        </w:rPr>
        <w:t>VIII.2.</w:t>
      </w:r>
      <w:r>
        <w:rPr>
          <w:b/>
          <w:sz w:val="22"/>
        </w:rPr>
        <w:tab/>
        <w:t>Музыка и танцы</w:t>
      </w:r>
    </w:p>
    <w:p w:rsidR="00000000" w:rsidRDefault="00000000">
      <w:pPr>
        <w:pStyle w:val="BodyText"/>
        <w:spacing w:line="240" w:lineRule="exact"/>
        <w:rPr>
          <w:sz w:val="20"/>
        </w:rPr>
      </w:pPr>
      <w:r>
        <w:rPr>
          <w:sz w:val="20"/>
        </w:rPr>
        <w:t>839.</w:t>
      </w:r>
      <w:r>
        <w:rPr>
          <w:sz w:val="20"/>
        </w:rPr>
        <w:tab/>
        <w:t>Женщина занимает почетное место в музыкальной деятельности: в начальном обучении, в исполнительском искусстве и на ответственных административных должностях.</w:t>
      </w:r>
    </w:p>
    <w:p w:rsidR="00000000" w:rsidRDefault="00000000">
      <w:pPr>
        <w:pStyle w:val="BodyText"/>
        <w:spacing w:line="240" w:lineRule="exact"/>
        <w:rPr>
          <w:sz w:val="20"/>
        </w:rPr>
      </w:pPr>
      <w:r>
        <w:rPr>
          <w:sz w:val="20"/>
        </w:rPr>
        <w:t>840.</w:t>
      </w:r>
      <w:r>
        <w:rPr>
          <w:sz w:val="20"/>
        </w:rPr>
        <w:tab/>
        <w:t xml:space="preserve">Начальное обучение детей музыке в 1987–1998 годах получило существенное развитие. Так, </w:t>
      </w:r>
      <w:r>
        <w:rPr>
          <w:sz w:val="20"/>
        </w:rPr>
        <w:br/>
        <w:t>12 студенткам Высшего музыкального института было присвоено звание магистра музыки, а 84 другие студентки стали обладательницами диплома по арабской музыке. Лауреаты работают преподавателями в специализированных учебных заведениях и в общеобразовательных школах.</w:t>
      </w:r>
    </w:p>
    <w:p w:rsidR="00000000" w:rsidRDefault="00000000">
      <w:pPr>
        <w:pStyle w:val="BodyText"/>
        <w:spacing w:line="240" w:lineRule="exact"/>
        <w:rPr>
          <w:sz w:val="20"/>
        </w:rPr>
      </w:pPr>
      <w:r>
        <w:rPr>
          <w:sz w:val="20"/>
        </w:rPr>
        <w:t>841.</w:t>
      </w:r>
      <w:r>
        <w:rPr>
          <w:sz w:val="20"/>
        </w:rPr>
        <w:tab/>
        <w:t>Увеличилось число женщин, участвующих в музыкальных и танцевальных коллективах, как профессиональных, так и любительских. В течение 1987–1997 годов было создано несколько женских коллективов, некоторые из них получили призовые места за качество исполнения и выбор музыкальных произведений. Музыкальные и танцевальные коллективы, местные и региональные, государственные и частные, насчитывают в своем составе от 20 до 50 процентов молодых женщин.</w:t>
      </w:r>
    </w:p>
    <w:p w:rsidR="00000000" w:rsidRDefault="00000000">
      <w:pPr>
        <w:pStyle w:val="BodyText"/>
        <w:spacing w:line="240" w:lineRule="exact"/>
        <w:rPr>
          <w:sz w:val="20"/>
        </w:rPr>
      </w:pPr>
      <w:r>
        <w:rPr>
          <w:sz w:val="20"/>
        </w:rPr>
        <w:t>842.</w:t>
      </w:r>
      <w:r>
        <w:rPr>
          <w:sz w:val="20"/>
        </w:rPr>
        <w:tab/>
        <w:t>Две женщины занимают руководящие должности в секторе музыки и танца.</w:t>
      </w:r>
    </w:p>
    <w:p w:rsidR="00000000" w:rsidRDefault="00000000">
      <w:pPr>
        <w:pStyle w:val="BodyText"/>
        <w:spacing w:before="120" w:line="240" w:lineRule="exact"/>
        <w:rPr>
          <w:b/>
          <w:sz w:val="22"/>
        </w:rPr>
      </w:pPr>
      <w:r>
        <w:rPr>
          <w:b/>
          <w:sz w:val="22"/>
        </w:rPr>
        <w:t>VIII.3.</w:t>
      </w:r>
      <w:r>
        <w:rPr>
          <w:b/>
          <w:sz w:val="22"/>
        </w:rPr>
        <w:tab/>
        <w:t>Театр</w:t>
      </w:r>
    </w:p>
    <w:p w:rsidR="00000000" w:rsidRDefault="00000000">
      <w:pPr>
        <w:pStyle w:val="BodyText"/>
        <w:spacing w:line="240" w:lineRule="exact"/>
        <w:rPr>
          <w:sz w:val="20"/>
        </w:rPr>
      </w:pPr>
      <w:r>
        <w:rPr>
          <w:sz w:val="20"/>
        </w:rPr>
        <w:t>843.</w:t>
      </w:r>
      <w:r>
        <w:rPr>
          <w:sz w:val="20"/>
        </w:rPr>
        <w:tab/>
        <w:t>Участие женщин в театральной жизни постоянно растет. Они представлены и в Институте театрального искусства, где помимо профессии артиста женщины готовятся и к преподавательской деятельности в области сценического искусства.</w:t>
      </w:r>
    </w:p>
    <w:p w:rsidR="00000000" w:rsidRDefault="00000000">
      <w:pPr>
        <w:pStyle w:val="BodyText"/>
        <w:spacing w:line="240" w:lineRule="exact"/>
        <w:rPr>
          <w:sz w:val="20"/>
        </w:rPr>
      </w:pPr>
      <w:r>
        <w:rPr>
          <w:sz w:val="20"/>
        </w:rPr>
        <w:t>844.</w:t>
      </w:r>
      <w:r>
        <w:rPr>
          <w:sz w:val="20"/>
        </w:rPr>
        <w:tab/>
        <w:t>За десятилетие 1987–1997 годов 35 женщин получили дипломы профессиональных драматических актрис, что составляет 20,3 процента от общего количества 172 выданных дипломов. Кроме того, женщины руководят 20 процентами театральных коллективов.</w:t>
      </w:r>
    </w:p>
    <w:p w:rsidR="00000000" w:rsidRDefault="00000000">
      <w:pPr>
        <w:pStyle w:val="BodyText"/>
        <w:spacing w:line="240" w:lineRule="exact"/>
        <w:jc w:val="center"/>
        <w:rPr>
          <w:b/>
          <w:sz w:val="20"/>
        </w:rPr>
      </w:pPr>
      <w:r>
        <w:rPr>
          <w:b/>
          <w:sz w:val="20"/>
        </w:rPr>
        <w:t>Участие женщин в театральной деятельности</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jc w:val="center"/>
        </w:trPr>
        <w:tc>
          <w:tcPr>
            <w:tcW w:w="1701" w:type="dxa"/>
          </w:tcPr>
          <w:p w:rsidR="00000000" w:rsidRDefault="00000000">
            <w:pPr>
              <w:pStyle w:val="BodyText"/>
              <w:spacing w:before="80" w:after="80" w:line="220" w:lineRule="exact"/>
              <w:ind w:left="284"/>
              <w:rPr>
                <w:b/>
                <w:sz w:val="18"/>
              </w:rPr>
            </w:pPr>
            <w:r>
              <w:rPr>
                <w:b/>
                <w:sz w:val="18"/>
              </w:rPr>
              <w:t>Годы</w:t>
            </w:r>
          </w:p>
        </w:tc>
        <w:tc>
          <w:tcPr>
            <w:tcW w:w="1701" w:type="dxa"/>
          </w:tcPr>
          <w:p w:rsidR="00000000" w:rsidRDefault="00000000">
            <w:pPr>
              <w:pStyle w:val="BodyText"/>
              <w:spacing w:before="80" w:after="80" w:line="220" w:lineRule="exact"/>
              <w:jc w:val="center"/>
              <w:rPr>
                <w:b/>
                <w:sz w:val="18"/>
              </w:rPr>
            </w:pPr>
            <w:r>
              <w:rPr>
                <w:b/>
                <w:sz w:val="18"/>
              </w:rPr>
              <w:t>Режиссеры</w:t>
            </w:r>
          </w:p>
        </w:tc>
        <w:tc>
          <w:tcPr>
            <w:tcW w:w="1701" w:type="dxa"/>
          </w:tcPr>
          <w:p w:rsidR="00000000" w:rsidRDefault="00000000">
            <w:pPr>
              <w:pStyle w:val="BodyText"/>
              <w:spacing w:before="80" w:after="80" w:line="220" w:lineRule="exact"/>
              <w:jc w:val="center"/>
              <w:rPr>
                <w:b/>
                <w:sz w:val="18"/>
              </w:rPr>
            </w:pPr>
            <w:r>
              <w:rPr>
                <w:b/>
                <w:sz w:val="18"/>
              </w:rPr>
              <w:t>Сценаристы</w:t>
            </w:r>
          </w:p>
        </w:tc>
        <w:tc>
          <w:tcPr>
            <w:tcW w:w="1701" w:type="dxa"/>
          </w:tcPr>
          <w:p w:rsidR="00000000" w:rsidRDefault="00000000">
            <w:pPr>
              <w:pStyle w:val="BodyText"/>
              <w:spacing w:before="80" w:after="80" w:line="220" w:lineRule="exact"/>
              <w:jc w:val="center"/>
              <w:rPr>
                <w:b/>
                <w:sz w:val="18"/>
              </w:rPr>
            </w:pPr>
            <w:r>
              <w:rPr>
                <w:b/>
                <w:sz w:val="18"/>
              </w:rPr>
              <w:t>Актрисы</w:t>
            </w:r>
          </w:p>
        </w:tc>
      </w:tr>
      <w:tr w:rsidR="00000000">
        <w:tblPrEx>
          <w:tblCellMar>
            <w:top w:w="0" w:type="dxa"/>
            <w:bottom w:w="0" w:type="dxa"/>
          </w:tblCellMar>
        </w:tblPrEx>
        <w:trPr>
          <w:jc w:val="center"/>
        </w:trPr>
        <w:tc>
          <w:tcPr>
            <w:tcW w:w="1701" w:type="dxa"/>
          </w:tcPr>
          <w:p w:rsidR="00000000" w:rsidRDefault="00000000">
            <w:pPr>
              <w:pStyle w:val="BodyText"/>
              <w:spacing w:before="80" w:after="80" w:line="220" w:lineRule="exact"/>
              <w:ind w:left="284"/>
              <w:rPr>
                <w:sz w:val="18"/>
              </w:rPr>
            </w:pPr>
            <w:r>
              <w:rPr>
                <w:sz w:val="18"/>
              </w:rPr>
              <w:t>1987</w:t>
            </w:r>
          </w:p>
        </w:tc>
        <w:tc>
          <w:tcPr>
            <w:tcW w:w="1701" w:type="dxa"/>
          </w:tcPr>
          <w:p w:rsidR="00000000" w:rsidRDefault="00000000">
            <w:pPr>
              <w:pStyle w:val="BodyText"/>
              <w:spacing w:before="80" w:after="80" w:line="220" w:lineRule="exact"/>
              <w:jc w:val="center"/>
              <w:rPr>
                <w:sz w:val="18"/>
              </w:rPr>
            </w:pPr>
            <w:r>
              <w:rPr>
                <w:sz w:val="18"/>
              </w:rPr>
              <w:t>3</w:t>
            </w:r>
          </w:p>
        </w:tc>
        <w:tc>
          <w:tcPr>
            <w:tcW w:w="1701" w:type="dxa"/>
          </w:tcPr>
          <w:p w:rsidR="00000000" w:rsidRDefault="00000000">
            <w:pPr>
              <w:pStyle w:val="BodyText"/>
              <w:spacing w:before="80" w:after="80" w:line="220" w:lineRule="exact"/>
              <w:jc w:val="center"/>
              <w:rPr>
                <w:sz w:val="18"/>
              </w:rPr>
            </w:pPr>
            <w:r>
              <w:rPr>
                <w:sz w:val="18"/>
              </w:rPr>
              <w:t>2</w:t>
            </w:r>
          </w:p>
        </w:tc>
        <w:tc>
          <w:tcPr>
            <w:tcW w:w="1701" w:type="dxa"/>
          </w:tcPr>
          <w:p w:rsidR="00000000" w:rsidRDefault="00000000">
            <w:pPr>
              <w:pStyle w:val="BodyText"/>
              <w:spacing w:before="80" w:after="80" w:line="220" w:lineRule="exact"/>
              <w:jc w:val="center"/>
              <w:rPr>
                <w:sz w:val="18"/>
              </w:rPr>
            </w:pPr>
            <w:r>
              <w:rPr>
                <w:sz w:val="18"/>
              </w:rPr>
              <w:t>72</w:t>
            </w:r>
          </w:p>
        </w:tc>
      </w:tr>
      <w:tr w:rsidR="00000000">
        <w:tblPrEx>
          <w:tblCellMar>
            <w:top w:w="0" w:type="dxa"/>
            <w:bottom w:w="0" w:type="dxa"/>
          </w:tblCellMar>
        </w:tblPrEx>
        <w:trPr>
          <w:jc w:val="center"/>
        </w:trPr>
        <w:tc>
          <w:tcPr>
            <w:tcW w:w="1701" w:type="dxa"/>
          </w:tcPr>
          <w:p w:rsidR="00000000" w:rsidRDefault="00000000">
            <w:pPr>
              <w:pStyle w:val="BodyText"/>
              <w:spacing w:before="80" w:after="80" w:line="220" w:lineRule="exact"/>
              <w:ind w:left="284"/>
              <w:rPr>
                <w:sz w:val="18"/>
              </w:rPr>
            </w:pPr>
            <w:r>
              <w:rPr>
                <w:sz w:val="18"/>
              </w:rPr>
              <w:t>1988</w:t>
            </w:r>
          </w:p>
        </w:tc>
        <w:tc>
          <w:tcPr>
            <w:tcW w:w="1701" w:type="dxa"/>
          </w:tcPr>
          <w:p w:rsidR="00000000" w:rsidRDefault="00000000">
            <w:pPr>
              <w:pStyle w:val="BodyText"/>
              <w:spacing w:before="80" w:after="80" w:line="220" w:lineRule="exact"/>
              <w:jc w:val="center"/>
              <w:rPr>
                <w:sz w:val="18"/>
              </w:rPr>
            </w:pPr>
            <w:r>
              <w:rPr>
                <w:sz w:val="18"/>
              </w:rPr>
              <w:t>4</w:t>
            </w:r>
          </w:p>
        </w:tc>
        <w:tc>
          <w:tcPr>
            <w:tcW w:w="1701" w:type="dxa"/>
          </w:tcPr>
          <w:p w:rsidR="00000000" w:rsidRDefault="00000000">
            <w:pPr>
              <w:pStyle w:val="BodyText"/>
              <w:spacing w:before="80" w:after="80" w:line="220" w:lineRule="exact"/>
              <w:jc w:val="center"/>
              <w:rPr>
                <w:sz w:val="18"/>
              </w:rPr>
            </w:pPr>
            <w:r>
              <w:rPr>
                <w:sz w:val="18"/>
              </w:rPr>
              <w:t>3</w:t>
            </w:r>
          </w:p>
        </w:tc>
        <w:tc>
          <w:tcPr>
            <w:tcW w:w="1701" w:type="dxa"/>
          </w:tcPr>
          <w:p w:rsidR="00000000" w:rsidRDefault="00000000">
            <w:pPr>
              <w:pStyle w:val="BodyText"/>
              <w:spacing w:before="80" w:after="80" w:line="220" w:lineRule="exact"/>
              <w:jc w:val="center"/>
              <w:rPr>
                <w:sz w:val="18"/>
              </w:rPr>
            </w:pPr>
            <w:r>
              <w:rPr>
                <w:sz w:val="18"/>
              </w:rPr>
              <w:t>97</w:t>
            </w:r>
          </w:p>
        </w:tc>
      </w:tr>
      <w:tr w:rsidR="00000000">
        <w:tblPrEx>
          <w:tblCellMar>
            <w:top w:w="0" w:type="dxa"/>
            <w:bottom w:w="0" w:type="dxa"/>
          </w:tblCellMar>
        </w:tblPrEx>
        <w:trPr>
          <w:jc w:val="center"/>
        </w:trPr>
        <w:tc>
          <w:tcPr>
            <w:tcW w:w="1701" w:type="dxa"/>
          </w:tcPr>
          <w:p w:rsidR="00000000" w:rsidRDefault="00000000">
            <w:pPr>
              <w:pStyle w:val="BodyText"/>
              <w:spacing w:before="80" w:after="80" w:line="220" w:lineRule="exact"/>
              <w:ind w:left="284"/>
              <w:rPr>
                <w:sz w:val="18"/>
              </w:rPr>
            </w:pPr>
            <w:r>
              <w:rPr>
                <w:sz w:val="18"/>
              </w:rPr>
              <w:t>1989</w:t>
            </w:r>
          </w:p>
        </w:tc>
        <w:tc>
          <w:tcPr>
            <w:tcW w:w="1701" w:type="dxa"/>
          </w:tcPr>
          <w:p w:rsidR="00000000" w:rsidRDefault="00000000">
            <w:pPr>
              <w:pStyle w:val="BodyText"/>
              <w:spacing w:before="80" w:after="80" w:line="220" w:lineRule="exact"/>
              <w:jc w:val="center"/>
              <w:rPr>
                <w:sz w:val="18"/>
              </w:rPr>
            </w:pPr>
            <w:r>
              <w:rPr>
                <w:sz w:val="18"/>
              </w:rPr>
              <w:t>6</w:t>
            </w:r>
          </w:p>
        </w:tc>
        <w:tc>
          <w:tcPr>
            <w:tcW w:w="1701" w:type="dxa"/>
          </w:tcPr>
          <w:p w:rsidR="00000000" w:rsidRDefault="00000000">
            <w:pPr>
              <w:pStyle w:val="BodyText"/>
              <w:spacing w:before="80" w:after="80" w:line="220" w:lineRule="exact"/>
              <w:jc w:val="center"/>
              <w:rPr>
                <w:sz w:val="18"/>
              </w:rPr>
            </w:pPr>
            <w:r>
              <w:rPr>
                <w:sz w:val="18"/>
              </w:rPr>
              <w:t>4</w:t>
            </w:r>
          </w:p>
        </w:tc>
        <w:tc>
          <w:tcPr>
            <w:tcW w:w="1701" w:type="dxa"/>
          </w:tcPr>
          <w:p w:rsidR="00000000" w:rsidRDefault="00000000">
            <w:pPr>
              <w:pStyle w:val="BodyText"/>
              <w:spacing w:before="80" w:after="80" w:line="220" w:lineRule="exact"/>
              <w:jc w:val="center"/>
              <w:rPr>
                <w:sz w:val="18"/>
              </w:rPr>
            </w:pPr>
            <w:r>
              <w:rPr>
                <w:sz w:val="18"/>
              </w:rPr>
              <w:t>53</w:t>
            </w:r>
          </w:p>
        </w:tc>
      </w:tr>
      <w:tr w:rsidR="00000000">
        <w:tblPrEx>
          <w:tblCellMar>
            <w:top w:w="0" w:type="dxa"/>
            <w:bottom w:w="0" w:type="dxa"/>
          </w:tblCellMar>
        </w:tblPrEx>
        <w:trPr>
          <w:jc w:val="center"/>
        </w:trPr>
        <w:tc>
          <w:tcPr>
            <w:tcW w:w="1701" w:type="dxa"/>
          </w:tcPr>
          <w:p w:rsidR="00000000" w:rsidRDefault="00000000">
            <w:pPr>
              <w:pStyle w:val="BodyText"/>
              <w:spacing w:before="80" w:after="80" w:line="220" w:lineRule="exact"/>
              <w:ind w:left="284"/>
              <w:rPr>
                <w:sz w:val="18"/>
              </w:rPr>
            </w:pPr>
            <w:r>
              <w:rPr>
                <w:sz w:val="18"/>
              </w:rPr>
              <w:t>1990</w:t>
            </w:r>
          </w:p>
        </w:tc>
        <w:tc>
          <w:tcPr>
            <w:tcW w:w="1701" w:type="dxa"/>
          </w:tcPr>
          <w:p w:rsidR="00000000" w:rsidRDefault="00000000">
            <w:pPr>
              <w:pStyle w:val="BodyText"/>
              <w:spacing w:before="80" w:after="80" w:line="220" w:lineRule="exact"/>
              <w:jc w:val="center"/>
              <w:rPr>
                <w:sz w:val="18"/>
              </w:rPr>
            </w:pPr>
            <w:r>
              <w:rPr>
                <w:sz w:val="18"/>
              </w:rPr>
              <w:t>2</w:t>
            </w:r>
          </w:p>
        </w:tc>
        <w:tc>
          <w:tcPr>
            <w:tcW w:w="1701" w:type="dxa"/>
          </w:tcPr>
          <w:p w:rsidR="00000000" w:rsidRDefault="00000000">
            <w:pPr>
              <w:pStyle w:val="BodyText"/>
              <w:spacing w:before="80" w:after="80" w:line="220" w:lineRule="exact"/>
              <w:jc w:val="center"/>
              <w:rPr>
                <w:sz w:val="18"/>
              </w:rPr>
            </w:pPr>
            <w:r>
              <w:rPr>
                <w:sz w:val="18"/>
              </w:rPr>
              <w:t>2</w:t>
            </w:r>
          </w:p>
        </w:tc>
        <w:tc>
          <w:tcPr>
            <w:tcW w:w="1701" w:type="dxa"/>
          </w:tcPr>
          <w:p w:rsidR="00000000" w:rsidRDefault="00000000">
            <w:pPr>
              <w:pStyle w:val="BodyText"/>
              <w:spacing w:before="80" w:after="80" w:line="220" w:lineRule="exact"/>
              <w:jc w:val="center"/>
              <w:rPr>
                <w:sz w:val="18"/>
              </w:rPr>
            </w:pPr>
            <w:r>
              <w:rPr>
                <w:sz w:val="18"/>
              </w:rPr>
              <w:t>82</w:t>
            </w:r>
          </w:p>
        </w:tc>
      </w:tr>
      <w:tr w:rsidR="00000000">
        <w:tblPrEx>
          <w:tblCellMar>
            <w:top w:w="0" w:type="dxa"/>
            <w:bottom w:w="0" w:type="dxa"/>
          </w:tblCellMar>
        </w:tblPrEx>
        <w:trPr>
          <w:jc w:val="center"/>
        </w:trPr>
        <w:tc>
          <w:tcPr>
            <w:tcW w:w="1701" w:type="dxa"/>
          </w:tcPr>
          <w:p w:rsidR="00000000" w:rsidRDefault="00000000">
            <w:pPr>
              <w:pStyle w:val="BodyText"/>
              <w:spacing w:before="80" w:after="80" w:line="220" w:lineRule="exact"/>
              <w:ind w:left="284"/>
              <w:rPr>
                <w:sz w:val="18"/>
              </w:rPr>
            </w:pPr>
            <w:r>
              <w:rPr>
                <w:sz w:val="18"/>
              </w:rPr>
              <w:t>1991</w:t>
            </w:r>
          </w:p>
        </w:tc>
        <w:tc>
          <w:tcPr>
            <w:tcW w:w="1701" w:type="dxa"/>
          </w:tcPr>
          <w:p w:rsidR="00000000" w:rsidRDefault="00000000">
            <w:pPr>
              <w:pStyle w:val="BodyText"/>
              <w:spacing w:before="80" w:after="80" w:line="220" w:lineRule="exact"/>
              <w:jc w:val="center"/>
              <w:rPr>
                <w:sz w:val="18"/>
              </w:rPr>
            </w:pPr>
            <w:r>
              <w:rPr>
                <w:sz w:val="18"/>
              </w:rPr>
              <w:t>5</w:t>
            </w:r>
          </w:p>
        </w:tc>
        <w:tc>
          <w:tcPr>
            <w:tcW w:w="1701" w:type="dxa"/>
          </w:tcPr>
          <w:p w:rsidR="00000000" w:rsidRDefault="00000000">
            <w:pPr>
              <w:pStyle w:val="BodyText"/>
              <w:spacing w:before="80" w:after="80" w:line="220" w:lineRule="exact"/>
              <w:jc w:val="center"/>
              <w:rPr>
                <w:sz w:val="18"/>
              </w:rPr>
            </w:pPr>
            <w:r>
              <w:rPr>
                <w:sz w:val="18"/>
              </w:rPr>
              <w:t>5</w:t>
            </w:r>
          </w:p>
        </w:tc>
        <w:tc>
          <w:tcPr>
            <w:tcW w:w="1701" w:type="dxa"/>
          </w:tcPr>
          <w:p w:rsidR="00000000" w:rsidRDefault="00000000">
            <w:pPr>
              <w:pStyle w:val="BodyText"/>
              <w:spacing w:before="80" w:after="80" w:line="220" w:lineRule="exact"/>
              <w:jc w:val="center"/>
              <w:rPr>
                <w:sz w:val="18"/>
              </w:rPr>
            </w:pPr>
            <w:r>
              <w:rPr>
                <w:sz w:val="18"/>
              </w:rPr>
              <w:t>115</w:t>
            </w:r>
          </w:p>
        </w:tc>
      </w:tr>
      <w:tr w:rsidR="00000000">
        <w:tblPrEx>
          <w:tblCellMar>
            <w:top w:w="0" w:type="dxa"/>
            <w:bottom w:w="0" w:type="dxa"/>
          </w:tblCellMar>
        </w:tblPrEx>
        <w:trPr>
          <w:jc w:val="center"/>
        </w:trPr>
        <w:tc>
          <w:tcPr>
            <w:tcW w:w="1701" w:type="dxa"/>
          </w:tcPr>
          <w:p w:rsidR="00000000" w:rsidRDefault="00000000">
            <w:pPr>
              <w:pStyle w:val="BodyText"/>
              <w:spacing w:before="80" w:after="80" w:line="220" w:lineRule="exact"/>
              <w:ind w:left="284"/>
              <w:rPr>
                <w:sz w:val="18"/>
              </w:rPr>
            </w:pPr>
            <w:r>
              <w:rPr>
                <w:sz w:val="18"/>
              </w:rPr>
              <w:t>1992</w:t>
            </w:r>
          </w:p>
        </w:tc>
        <w:tc>
          <w:tcPr>
            <w:tcW w:w="1701" w:type="dxa"/>
          </w:tcPr>
          <w:p w:rsidR="00000000" w:rsidRDefault="00000000">
            <w:pPr>
              <w:pStyle w:val="BodyText"/>
              <w:spacing w:before="80" w:after="80" w:line="220" w:lineRule="exact"/>
              <w:jc w:val="center"/>
              <w:rPr>
                <w:sz w:val="18"/>
              </w:rPr>
            </w:pPr>
            <w:r>
              <w:rPr>
                <w:sz w:val="18"/>
              </w:rPr>
              <w:t>4</w:t>
            </w:r>
          </w:p>
        </w:tc>
        <w:tc>
          <w:tcPr>
            <w:tcW w:w="1701" w:type="dxa"/>
          </w:tcPr>
          <w:p w:rsidR="00000000" w:rsidRDefault="00000000">
            <w:pPr>
              <w:pStyle w:val="BodyText"/>
              <w:spacing w:before="80" w:after="80" w:line="220" w:lineRule="exact"/>
              <w:jc w:val="center"/>
              <w:rPr>
                <w:sz w:val="18"/>
              </w:rPr>
            </w:pPr>
            <w:r>
              <w:rPr>
                <w:sz w:val="18"/>
              </w:rPr>
              <w:t>2</w:t>
            </w:r>
          </w:p>
        </w:tc>
        <w:tc>
          <w:tcPr>
            <w:tcW w:w="1701" w:type="dxa"/>
          </w:tcPr>
          <w:p w:rsidR="00000000" w:rsidRDefault="00000000">
            <w:pPr>
              <w:pStyle w:val="BodyText"/>
              <w:spacing w:before="80" w:after="80" w:line="220" w:lineRule="exact"/>
              <w:jc w:val="center"/>
              <w:rPr>
                <w:sz w:val="18"/>
              </w:rPr>
            </w:pPr>
            <w:r>
              <w:rPr>
                <w:sz w:val="18"/>
              </w:rPr>
              <w:t>122</w:t>
            </w:r>
          </w:p>
        </w:tc>
      </w:tr>
      <w:tr w:rsidR="00000000">
        <w:tblPrEx>
          <w:tblCellMar>
            <w:top w:w="0" w:type="dxa"/>
            <w:bottom w:w="0" w:type="dxa"/>
          </w:tblCellMar>
        </w:tblPrEx>
        <w:trPr>
          <w:jc w:val="center"/>
        </w:trPr>
        <w:tc>
          <w:tcPr>
            <w:tcW w:w="1701" w:type="dxa"/>
          </w:tcPr>
          <w:p w:rsidR="00000000" w:rsidRDefault="00000000">
            <w:pPr>
              <w:pStyle w:val="BodyText"/>
              <w:spacing w:before="80" w:after="80" w:line="220" w:lineRule="exact"/>
              <w:ind w:left="284"/>
              <w:rPr>
                <w:sz w:val="18"/>
              </w:rPr>
            </w:pPr>
            <w:r>
              <w:rPr>
                <w:sz w:val="18"/>
              </w:rPr>
              <w:t>1993</w:t>
            </w:r>
          </w:p>
        </w:tc>
        <w:tc>
          <w:tcPr>
            <w:tcW w:w="1701" w:type="dxa"/>
          </w:tcPr>
          <w:p w:rsidR="00000000" w:rsidRDefault="00000000">
            <w:pPr>
              <w:pStyle w:val="BodyText"/>
              <w:spacing w:before="80" w:after="80" w:line="220" w:lineRule="exact"/>
              <w:jc w:val="center"/>
              <w:rPr>
                <w:sz w:val="18"/>
              </w:rPr>
            </w:pPr>
            <w:r>
              <w:rPr>
                <w:sz w:val="18"/>
              </w:rPr>
              <w:t>2</w:t>
            </w:r>
          </w:p>
        </w:tc>
        <w:tc>
          <w:tcPr>
            <w:tcW w:w="1701" w:type="dxa"/>
          </w:tcPr>
          <w:p w:rsidR="00000000" w:rsidRDefault="00000000">
            <w:pPr>
              <w:pStyle w:val="BodyText"/>
              <w:spacing w:before="80" w:after="80" w:line="220" w:lineRule="exact"/>
              <w:jc w:val="center"/>
              <w:rPr>
                <w:sz w:val="18"/>
              </w:rPr>
            </w:pPr>
            <w:r>
              <w:rPr>
                <w:sz w:val="18"/>
              </w:rPr>
              <w:t>4</w:t>
            </w:r>
          </w:p>
        </w:tc>
        <w:tc>
          <w:tcPr>
            <w:tcW w:w="1701" w:type="dxa"/>
          </w:tcPr>
          <w:p w:rsidR="00000000" w:rsidRDefault="00000000">
            <w:pPr>
              <w:pStyle w:val="BodyText"/>
              <w:spacing w:before="80" w:after="80" w:line="220" w:lineRule="exact"/>
              <w:jc w:val="center"/>
              <w:rPr>
                <w:sz w:val="18"/>
              </w:rPr>
            </w:pPr>
            <w:r>
              <w:rPr>
                <w:sz w:val="18"/>
              </w:rPr>
              <w:t>143</w:t>
            </w:r>
          </w:p>
        </w:tc>
      </w:tr>
      <w:tr w:rsidR="00000000">
        <w:tblPrEx>
          <w:tblCellMar>
            <w:top w:w="0" w:type="dxa"/>
            <w:bottom w:w="0" w:type="dxa"/>
          </w:tblCellMar>
        </w:tblPrEx>
        <w:trPr>
          <w:jc w:val="center"/>
        </w:trPr>
        <w:tc>
          <w:tcPr>
            <w:tcW w:w="1701" w:type="dxa"/>
          </w:tcPr>
          <w:p w:rsidR="00000000" w:rsidRDefault="00000000">
            <w:pPr>
              <w:pStyle w:val="BodyText"/>
              <w:spacing w:before="80" w:after="80" w:line="220" w:lineRule="exact"/>
              <w:ind w:left="284"/>
              <w:rPr>
                <w:sz w:val="18"/>
              </w:rPr>
            </w:pPr>
            <w:r>
              <w:rPr>
                <w:sz w:val="18"/>
              </w:rPr>
              <w:t>1994</w:t>
            </w:r>
          </w:p>
        </w:tc>
        <w:tc>
          <w:tcPr>
            <w:tcW w:w="1701" w:type="dxa"/>
          </w:tcPr>
          <w:p w:rsidR="00000000" w:rsidRDefault="00000000">
            <w:pPr>
              <w:pStyle w:val="BodyText"/>
              <w:spacing w:before="80" w:after="80" w:line="220" w:lineRule="exact"/>
              <w:jc w:val="center"/>
              <w:rPr>
                <w:sz w:val="18"/>
              </w:rPr>
            </w:pPr>
            <w:r>
              <w:rPr>
                <w:sz w:val="18"/>
              </w:rPr>
              <w:t>3</w:t>
            </w:r>
          </w:p>
        </w:tc>
        <w:tc>
          <w:tcPr>
            <w:tcW w:w="1701" w:type="dxa"/>
          </w:tcPr>
          <w:p w:rsidR="00000000" w:rsidRDefault="00000000">
            <w:pPr>
              <w:pStyle w:val="BodyText"/>
              <w:spacing w:before="80" w:after="80" w:line="220" w:lineRule="exact"/>
              <w:jc w:val="center"/>
              <w:rPr>
                <w:sz w:val="18"/>
              </w:rPr>
            </w:pPr>
            <w:r>
              <w:rPr>
                <w:sz w:val="18"/>
              </w:rPr>
              <w:t>1</w:t>
            </w:r>
          </w:p>
        </w:tc>
        <w:tc>
          <w:tcPr>
            <w:tcW w:w="1701" w:type="dxa"/>
          </w:tcPr>
          <w:p w:rsidR="00000000" w:rsidRDefault="00000000">
            <w:pPr>
              <w:pStyle w:val="BodyText"/>
              <w:spacing w:before="80" w:after="80" w:line="220" w:lineRule="exact"/>
              <w:jc w:val="center"/>
              <w:rPr>
                <w:sz w:val="18"/>
              </w:rPr>
            </w:pPr>
            <w:r>
              <w:rPr>
                <w:sz w:val="18"/>
              </w:rPr>
              <w:t>169</w:t>
            </w:r>
          </w:p>
        </w:tc>
      </w:tr>
      <w:tr w:rsidR="00000000">
        <w:tblPrEx>
          <w:tblCellMar>
            <w:top w:w="0" w:type="dxa"/>
            <w:bottom w:w="0" w:type="dxa"/>
          </w:tblCellMar>
        </w:tblPrEx>
        <w:trPr>
          <w:jc w:val="center"/>
        </w:trPr>
        <w:tc>
          <w:tcPr>
            <w:tcW w:w="1701" w:type="dxa"/>
          </w:tcPr>
          <w:p w:rsidR="00000000" w:rsidRDefault="00000000">
            <w:pPr>
              <w:pStyle w:val="BodyText"/>
              <w:spacing w:before="80" w:after="80" w:line="220" w:lineRule="exact"/>
              <w:ind w:left="284"/>
              <w:rPr>
                <w:sz w:val="18"/>
              </w:rPr>
            </w:pPr>
            <w:r>
              <w:rPr>
                <w:sz w:val="18"/>
              </w:rPr>
              <w:t>1995</w:t>
            </w:r>
          </w:p>
        </w:tc>
        <w:tc>
          <w:tcPr>
            <w:tcW w:w="1701" w:type="dxa"/>
          </w:tcPr>
          <w:p w:rsidR="00000000" w:rsidRDefault="00000000">
            <w:pPr>
              <w:pStyle w:val="BodyText"/>
              <w:spacing w:before="80" w:after="80" w:line="220" w:lineRule="exact"/>
              <w:jc w:val="center"/>
              <w:rPr>
                <w:sz w:val="18"/>
              </w:rPr>
            </w:pPr>
            <w:r>
              <w:rPr>
                <w:sz w:val="18"/>
              </w:rPr>
              <w:t>5</w:t>
            </w:r>
          </w:p>
        </w:tc>
        <w:tc>
          <w:tcPr>
            <w:tcW w:w="1701" w:type="dxa"/>
          </w:tcPr>
          <w:p w:rsidR="00000000" w:rsidRDefault="00000000">
            <w:pPr>
              <w:pStyle w:val="BodyText"/>
              <w:spacing w:before="80" w:after="80" w:line="220" w:lineRule="exact"/>
              <w:jc w:val="center"/>
              <w:rPr>
                <w:sz w:val="18"/>
              </w:rPr>
            </w:pPr>
            <w:r>
              <w:rPr>
                <w:sz w:val="18"/>
              </w:rPr>
              <w:t>5</w:t>
            </w:r>
          </w:p>
        </w:tc>
        <w:tc>
          <w:tcPr>
            <w:tcW w:w="1701" w:type="dxa"/>
          </w:tcPr>
          <w:p w:rsidR="00000000" w:rsidRDefault="00000000">
            <w:pPr>
              <w:pStyle w:val="BodyText"/>
              <w:spacing w:before="80" w:after="80" w:line="220" w:lineRule="exact"/>
              <w:jc w:val="center"/>
              <w:rPr>
                <w:sz w:val="18"/>
              </w:rPr>
            </w:pPr>
            <w:r>
              <w:rPr>
                <w:sz w:val="18"/>
              </w:rPr>
              <w:t>155</w:t>
            </w:r>
          </w:p>
        </w:tc>
      </w:tr>
      <w:tr w:rsidR="00000000">
        <w:tblPrEx>
          <w:tblCellMar>
            <w:top w:w="0" w:type="dxa"/>
            <w:bottom w:w="0" w:type="dxa"/>
          </w:tblCellMar>
        </w:tblPrEx>
        <w:trPr>
          <w:jc w:val="center"/>
        </w:trPr>
        <w:tc>
          <w:tcPr>
            <w:tcW w:w="1701" w:type="dxa"/>
          </w:tcPr>
          <w:p w:rsidR="00000000" w:rsidRDefault="00000000">
            <w:pPr>
              <w:pStyle w:val="BodyText"/>
              <w:spacing w:before="80" w:after="80" w:line="220" w:lineRule="exact"/>
              <w:ind w:left="284"/>
              <w:rPr>
                <w:sz w:val="18"/>
              </w:rPr>
            </w:pPr>
            <w:r>
              <w:rPr>
                <w:sz w:val="18"/>
              </w:rPr>
              <w:t>1996</w:t>
            </w:r>
          </w:p>
        </w:tc>
        <w:tc>
          <w:tcPr>
            <w:tcW w:w="1701" w:type="dxa"/>
          </w:tcPr>
          <w:p w:rsidR="00000000" w:rsidRDefault="00000000">
            <w:pPr>
              <w:pStyle w:val="BodyText"/>
              <w:spacing w:before="80" w:after="80" w:line="220" w:lineRule="exact"/>
              <w:jc w:val="center"/>
              <w:rPr>
                <w:sz w:val="18"/>
              </w:rPr>
            </w:pPr>
            <w:r>
              <w:rPr>
                <w:sz w:val="18"/>
              </w:rPr>
              <w:t>6</w:t>
            </w:r>
          </w:p>
        </w:tc>
        <w:tc>
          <w:tcPr>
            <w:tcW w:w="1701" w:type="dxa"/>
          </w:tcPr>
          <w:p w:rsidR="00000000" w:rsidRDefault="00000000">
            <w:pPr>
              <w:pStyle w:val="BodyText"/>
              <w:spacing w:before="80" w:after="80" w:line="220" w:lineRule="exact"/>
              <w:jc w:val="center"/>
              <w:rPr>
                <w:sz w:val="18"/>
              </w:rPr>
            </w:pPr>
            <w:r>
              <w:rPr>
                <w:sz w:val="18"/>
              </w:rPr>
              <w:t>5</w:t>
            </w:r>
          </w:p>
        </w:tc>
        <w:tc>
          <w:tcPr>
            <w:tcW w:w="1701" w:type="dxa"/>
          </w:tcPr>
          <w:p w:rsidR="00000000" w:rsidRDefault="00000000">
            <w:pPr>
              <w:pStyle w:val="BodyText"/>
              <w:spacing w:before="80" w:after="80" w:line="220" w:lineRule="exact"/>
              <w:jc w:val="center"/>
              <w:rPr>
                <w:sz w:val="18"/>
              </w:rPr>
            </w:pPr>
            <w:r>
              <w:rPr>
                <w:sz w:val="18"/>
              </w:rPr>
              <w:t>202</w:t>
            </w:r>
          </w:p>
        </w:tc>
      </w:tr>
      <w:tr w:rsidR="00000000">
        <w:tblPrEx>
          <w:tblCellMar>
            <w:top w:w="0" w:type="dxa"/>
            <w:bottom w:w="0" w:type="dxa"/>
          </w:tblCellMar>
        </w:tblPrEx>
        <w:trPr>
          <w:jc w:val="center"/>
        </w:trPr>
        <w:tc>
          <w:tcPr>
            <w:tcW w:w="1701" w:type="dxa"/>
          </w:tcPr>
          <w:p w:rsidR="00000000" w:rsidRDefault="00000000">
            <w:pPr>
              <w:pStyle w:val="BodyText"/>
              <w:spacing w:before="80" w:after="80" w:line="220" w:lineRule="exact"/>
              <w:ind w:left="284"/>
              <w:rPr>
                <w:sz w:val="18"/>
              </w:rPr>
            </w:pPr>
            <w:r>
              <w:rPr>
                <w:sz w:val="18"/>
              </w:rPr>
              <w:t>ВСЕГО</w:t>
            </w:r>
          </w:p>
        </w:tc>
        <w:tc>
          <w:tcPr>
            <w:tcW w:w="1701" w:type="dxa"/>
          </w:tcPr>
          <w:p w:rsidR="00000000" w:rsidRDefault="00000000">
            <w:pPr>
              <w:pStyle w:val="BodyText"/>
              <w:spacing w:before="80" w:after="80" w:line="220" w:lineRule="exact"/>
              <w:jc w:val="center"/>
              <w:rPr>
                <w:sz w:val="18"/>
              </w:rPr>
            </w:pPr>
            <w:r>
              <w:rPr>
                <w:sz w:val="18"/>
              </w:rPr>
              <w:t>39</w:t>
            </w:r>
          </w:p>
        </w:tc>
        <w:tc>
          <w:tcPr>
            <w:tcW w:w="1701" w:type="dxa"/>
          </w:tcPr>
          <w:p w:rsidR="00000000" w:rsidRDefault="00000000">
            <w:pPr>
              <w:pStyle w:val="BodyText"/>
              <w:spacing w:before="80" w:after="80" w:line="220" w:lineRule="exact"/>
              <w:jc w:val="center"/>
              <w:rPr>
                <w:sz w:val="18"/>
              </w:rPr>
            </w:pPr>
            <w:r>
              <w:rPr>
                <w:sz w:val="18"/>
              </w:rPr>
              <w:t>33</w:t>
            </w:r>
          </w:p>
        </w:tc>
        <w:tc>
          <w:tcPr>
            <w:tcW w:w="1701" w:type="dxa"/>
          </w:tcPr>
          <w:p w:rsidR="00000000" w:rsidRDefault="00000000">
            <w:pPr>
              <w:pStyle w:val="BodyText"/>
              <w:spacing w:before="80" w:after="80" w:line="220" w:lineRule="exact"/>
              <w:jc w:val="center"/>
              <w:rPr>
                <w:sz w:val="18"/>
              </w:rPr>
            </w:pPr>
            <w:r>
              <w:rPr>
                <w:sz w:val="18"/>
              </w:rPr>
              <w:t>1 290</w:t>
            </w:r>
          </w:p>
        </w:tc>
      </w:tr>
    </w:tbl>
    <w:p w:rsidR="00000000" w:rsidRDefault="00000000">
      <w:pPr>
        <w:pStyle w:val="BodyText"/>
        <w:spacing w:before="120" w:after="120" w:line="240" w:lineRule="exact"/>
        <w:ind w:firstLine="1418"/>
        <w:rPr>
          <w:b/>
          <w:sz w:val="18"/>
        </w:rPr>
      </w:pPr>
      <w:r>
        <w:rPr>
          <w:b/>
          <w:sz w:val="18"/>
        </w:rPr>
        <w:t>Количество выданных аттестатов не отражает реального числа актрис.</w:t>
      </w:r>
    </w:p>
    <w:p w:rsidR="00000000" w:rsidRDefault="00000000">
      <w:pPr>
        <w:pStyle w:val="BodyText"/>
        <w:spacing w:line="240" w:lineRule="exact"/>
        <w:ind w:right="1423"/>
        <w:jc w:val="right"/>
        <w:rPr>
          <w:b/>
          <w:sz w:val="18"/>
        </w:rPr>
      </w:pPr>
      <w:r>
        <w:rPr>
          <w:b/>
          <w:sz w:val="18"/>
        </w:rPr>
        <w:t>Источник: Министерство культуры</w:t>
      </w:r>
    </w:p>
    <w:p w:rsidR="00000000" w:rsidRDefault="00000000">
      <w:pPr>
        <w:pStyle w:val="BodyText"/>
        <w:spacing w:before="240" w:line="240" w:lineRule="exact"/>
        <w:rPr>
          <w:b/>
          <w:sz w:val="22"/>
        </w:rPr>
      </w:pPr>
      <w:r>
        <w:rPr>
          <w:b/>
          <w:sz w:val="22"/>
        </w:rPr>
        <w:t>VIII.4.</w:t>
      </w:r>
      <w:r>
        <w:rPr>
          <w:b/>
          <w:sz w:val="22"/>
        </w:rPr>
        <w:tab/>
        <w:t>Кино</w:t>
      </w:r>
    </w:p>
    <w:p w:rsidR="00000000" w:rsidRDefault="00000000">
      <w:pPr>
        <w:pStyle w:val="BodyText"/>
        <w:spacing w:line="240" w:lineRule="exact"/>
        <w:rPr>
          <w:sz w:val="20"/>
        </w:rPr>
      </w:pPr>
      <w:r>
        <w:rPr>
          <w:sz w:val="20"/>
        </w:rPr>
        <w:t>845.</w:t>
      </w:r>
      <w:r>
        <w:rPr>
          <w:sz w:val="20"/>
        </w:rPr>
        <w:tab/>
        <w:t>В области кинематографии женщины проявляют себя в качестве продюсеров, режиссеров, сценаристов и во всех других профессиях, связанных с этой индустрией. За десятилетие с 1987 по 1997 год произошло заметное увеличение участия женщин в этой области. Шесть полнометражных и четырнадцать короткометражных фильмов были сняты женщинами. Женщины активно участвуют в кинематографическом производстве и даже возглавляют производственные объединения.</w:t>
      </w:r>
    </w:p>
    <w:p w:rsidR="00000000" w:rsidRDefault="00000000">
      <w:pPr>
        <w:pStyle w:val="BodyText"/>
        <w:spacing w:line="240" w:lineRule="exact"/>
        <w:rPr>
          <w:sz w:val="20"/>
        </w:rPr>
      </w:pPr>
      <w:r>
        <w:rPr>
          <w:sz w:val="20"/>
        </w:rPr>
        <w:t>846.</w:t>
      </w:r>
      <w:r>
        <w:rPr>
          <w:sz w:val="20"/>
        </w:rPr>
        <w:tab/>
        <w:t>Национальное и международное признание завоевали талантливые женщины-сценаристы, в том числе Муфида Тлатли, получившая за свой фильм "Дворцовая тишина" премию Международной конфедерации киноискусства, специальный приз жюри "Золотая камера " на Каннском фестивале (1994 год) и "Золотой Танит" во время Дней кино в Карфагене (ДКК) в 1994 году.</w:t>
      </w:r>
    </w:p>
    <w:p w:rsidR="00000000" w:rsidRDefault="00000000">
      <w:pPr>
        <w:pStyle w:val="BodyText"/>
        <w:spacing w:before="120" w:line="260" w:lineRule="exact"/>
        <w:rPr>
          <w:b/>
          <w:sz w:val="22"/>
        </w:rPr>
      </w:pPr>
      <w:r>
        <w:rPr>
          <w:b/>
          <w:sz w:val="22"/>
        </w:rPr>
        <w:t>VIII.5. Пластические искусства</w:t>
      </w:r>
    </w:p>
    <w:p w:rsidR="00000000" w:rsidRDefault="00000000">
      <w:pPr>
        <w:pStyle w:val="BodyText"/>
        <w:spacing w:line="240" w:lineRule="exact"/>
        <w:rPr>
          <w:sz w:val="20"/>
        </w:rPr>
      </w:pPr>
      <w:r>
        <w:rPr>
          <w:sz w:val="20"/>
        </w:rPr>
        <w:t>847.</w:t>
      </w:r>
      <w:r>
        <w:rPr>
          <w:sz w:val="20"/>
        </w:rPr>
        <w:tab/>
        <w:t>Пластические искусства – это область, которая особенно развивалась благодаря количественному и качественному вкладу женщин. В порядке повышения уровня мастерства 12 женщин получили возможность с 1992 по 1997 год совершить творческие поездки.</w:t>
      </w:r>
    </w:p>
    <w:p w:rsidR="00000000" w:rsidRDefault="00000000">
      <w:pPr>
        <w:pStyle w:val="BodyText"/>
        <w:spacing w:line="240" w:lineRule="exact"/>
        <w:rPr>
          <w:sz w:val="20"/>
        </w:rPr>
      </w:pPr>
      <w:r>
        <w:rPr>
          <w:sz w:val="20"/>
        </w:rPr>
        <w:t>848.</w:t>
      </w:r>
      <w:r>
        <w:rPr>
          <w:sz w:val="20"/>
        </w:rPr>
        <w:tab/>
        <w:t>Постоянно росло количество выставок, организуемых женщинами как на национальном, так и на региональном уровне. Министерство по делам женщин и семьи ввело традицию открывать каждый год, в Национальный праздник женщин, выставку произведений художниц. Все эти мероприятия широко освещаются по радио и телевидению.</w:t>
      </w:r>
    </w:p>
    <w:p w:rsidR="00000000" w:rsidRDefault="00000000">
      <w:pPr>
        <w:pStyle w:val="BodyText"/>
        <w:spacing w:line="240" w:lineRule="exact"/>
        <w:rPr>
          <w:spacing w:val="2"/>
          <w:sz w:val="20"/>
        </w:rPr>
      </w:pPr>
      <w:r>
        <w:rPr>
          <w:spacing w:val="2"/>
          <w:sz w:val="20"/>
        </w:rPr>
        <w:t>849.</w:t>
      </w:r>
      <w:r>
        <w:rPr>
          <w:spacing w:val="2"/>
          <w:sz w:val="20"/>
        </w:rPr>
        <w:tab/>
        <w:t>Одним из показателей участия женщин в развитии пластических искусств является рост числа женщин, руководящих художественными галереями; в этой области до начала 90-х годов работали только мужчины.</w:t>
      </w:r>
    </w:p>
    <w:p w:rsidR="00000000" w:rsidRDefault="00000000">
      <w:pPr>
        <w:pStyle w:val="BodyText"/>
        <w:spacing w:before="80" w:line="240" w:lineRule="exact"/>
        <w:rPr>
          <w:b/>
          <w:sz w:val="22"/>
        </w:rPr>
      </w:pPr>
      <w:r>
        <w:rPr>
          <w:b/>
          <w:sz w:val="22"/>
        </w:rPr>
        <w:t>VIII.6. Организация культурных мероприятий</w:t>
      </w:r>
    </w:p>
    <w:p w:rsidR="00000000" w:rsidRDefault="00000000">
      <w:pPr>
        <w:pStyle w:val="BodyText"/>
        <w:spacing w:line="240" w:lineRule="exact"/>
        <w:rPr>
          <w:sz w:val="20"/>
        </w:rPr>
      </w:pPr>
      <w:r>
        <w:rPr>
          <w:sz w:val="20"/>
        </w:rPr>
        <w:t>850.</w:t>
      </w:r>
      <w:r>
        <w:rPr>
          <w:sz w:val="20"/>
        </w:rPr>
        <w:tab/>
        <w:t>Различные меры в интересах женщин способствовали их более активному участию в культурной жизни и открыли для них возможности организации культурных мероприятий и развития творческого и организационного потенциала. Так, число женщин – организаторов культурных мероприятий выросло с 5 в 1987 году до 15 в 1992 году, а в 1997 году – до 41. А количество мероприятий, посвященных женщине, выросло с 31 в 1992 году до 109 в 1997 году.</w:t>
      </w:r>
    </w:p>
    <w:p w:rsidR="00000000" w:rsidRDefault="00000000">
      <w:pPr>
        <w:pStyle w:val="BodyText"/>
        <w:spacing w:line="240" w:lineRule="exact"/>
        <w:rPr>
          <w:sz w:val="20"/>
        </w:rPr>
      </w:pPr>
      <w:r>
        <w:rPr>
          <w:sz w:val="20"/>
        </w:rPr>
        <w:t>851.</w:t>
      </w:r>
      <w:r>
        <w:rPr>
          <w:sz w:val="20"/>
        </w:rPr>
        <w:tab/>
        <w:t>Заключение соглашений о международном сотрудничестве помогло многим женщинам, художникам или организаторам культурных мероприятий, повысить свою подготовку и расширить творческие и административные горизонты. С 1992 по 1997 год кроме образовательных циклов и курсов по переподготовке в тунисских учреждениях 59 женщин повысили свою квалификацию благодаря стипендиям для стажировки и обучения.</w:t>
      </w:r>
    </w:p>
    <w:p w:rsidR="00000000" w:rsidRDefault="00000000">
      <w:pPr>
        <w:pStyle w:val="BodyText"/>
        <w:spacing w:line="240" w:lineRule="exact"/>
        <w:rPr>
          <w:spacing w:val="-2"/>
          <w:sz w:val="20"/>
        </w:rPr>
      </w:pPr>
      <w:r>
        <w:rPr>
          <w:sz w:val="20"/>
        </w:rPr>
        <w:t>852.</w:t>
      </w:r>
      <w:r>
        <w:rPr>
          <w:sz w:val="20"/>
        </w:rPr>
        <w:tab/>
      </w:r>
      <w:r>
        <w:rPr>
          <w:spacing w:val="-2"/>
          <w:sz w:val="20"/>
        </w:rPr>
        <w:t xml:space="preserve">В том что касается охраны авторских прав, 72 женщины являются членами Тунисской организации охраны авторских прав из общего числа 1243 членов этой организации. До 1987 года только 29 женщин входили в эту организацию, а за десятилетний период 1987–1997 годов их стало 42, то есть произошло увеличение на </w:t>
      </w:r>
      <w:r>
        <w:rPr>
          <w:spacing w:val="-2"/>
          <w:sz w:val="20"/>
        </w:rPr>
        <w:br/>
        <w:t>144 процента по отношению к 1987 году, при том что вступление в организацию свободно для всех.</w:t>
      </w:r>
    </w:p>
    <w:p w:rsidR="00000000" w:rsidRDefault="00000000">
      <w:pPr>
        <w:pStyle w:val="BodyText"/>
        <w:spacing w:line="240" w:lineRule="exact"/>
        <w:rPr>
          <w:sz w:val="20"/>
        </w:rPr>
      </w:pPr>
      <w:r>
        <w:rPr>
          <w:spacing w:val="2"/>
          <w:sz w:val="20"/>
        </w:rPr>
        <w:t>853.</w:t>
      </w:r>
      <w:r>
        <w:rPr>
          <w:spacing w:val="2"/>
          <w:sz w:val="20"/>
        </w:rPr>
        <w:tab/>
        <w:t>Расширение доступа женщин к культуре – характерная черта общественной жизни страны в последнее пятилетие; об этом же свидетельствует и появление женских клубов культуры, таких как "Клуб культуры имени Фаузии Каллель" в Набуле и "Клуб имени Маджиды Булилы" в Сфаксе. В районном масштабе они дополняют</w:t>
      </w:r>
      <w:r>
        <w:rPr>
          <w:sz w:val="20"/>
        </w:rPr>
        <w:t xml:space="preserve"> деятельность известного столичного "Клуба культуры имени Тахара Хаддада", которым руководит женщина.</w:t>
      </w:r>
    </w:p>
    <w:p w:rsidR="00000000" w:rsidRDefault="00000000">
      <w:pPr>
        <w:pStyle w:val="BodyText"/>
        <w:spacing w:line="240" w:lineRule="exact"/>
        <w:rPr>
          <w:sz w:val="20"/>
        </w:rPr>
      </w:pPr>
      <w:r>
        <w:rPr>
          <w:sz w:val="20"/>
        </w:rPr>
        <w:t>854.</w:t>
      </w:r>
      <w:r>
        <w:rPr>
          <w:sz w:val="20"/>
        </w:rPr>
        <w:tab/>
        <w:t>Вступление Туниса во Всемирную организацию торговли и подписание соглашения об ассоциации с Европейским союзом потребовали повышения уровня жизни до мировых стандартов путем применения критериев эффективности и качества – все это способствовало упрочению таких составляющих, как подготовка кадров и охрана авторских прав, а также инвестиции в культуру.</w:t>
      </w:r>
    </w:p>
    <w:p w:rsidR="00000000" w:rsidRDefault="00000000">
      <w:pPr>
        <w:pStyle w:val="BodyText"/>
        <w:spacing w:before="120" w:line="240" w:lineRule="exact"/>
        <w:rPr>
          <w:b/>
          <w:sz w:val="22"/>
        </w:rPr>
      </w:pPr>
      <w:r>
        <w:rPr>
          <w:b/>
          <w:sz w:val="22"/>
        </w:rPr>
        <w:t>VIII.7. Доступ к досуговым мероприятиям</w:t>
      </w:r>
    </w:p>
    <w:p w:rsidR="00000000" w:rsidRDefault="00000000">
      <w:pPr>
        <w:pStyle w:val="BodyText"/>
        <w:spacing w:line="240" w:lineRule="exact"/>
        <w:rPr>
          <w:sz w:val="20"/>
        </w:rPr>
      </w:pPr>
      <w:r>
        <w:rPr>
          <w:sz w:val="20"/>
        </w:rPr>
        <w:t>855.</w:t>
      </w:r>
      <w:r>
        <w:rPr>
          <w:sz w:val="20"/>
        </w:rPr>
        <w:tab/>
        <w:t>В 1989–1990 годах Центр исследований и документации о развитии культуры провел опрос среди тунисцев о практикуемых ими формах досуга. Опрос показал, что женщины участвуют в различных видах досуговых мероприятий, организуемых в общественных местах, хотя и не так активно, как мужчины.</w:t>
      </w:r>
    </w:p>
    <w:p w:rsidR="00000000" w:rsidRDefault="00000000">
      <w:pPr>
        <w:pStyle w:val="BodyText"/>
        <w:spacing w:line="240" w:lineRule="exact"/>
        <w:rPr>
          <w:sz w:val="20"/>
        </w:rPr>
      </w:pPr>
      <w:r>
        <w:rPr>
          <w:sz w:val="20"/>
        </w:rPr>
        <w:t>856.</w:t>
      </w:r>
      <w:r>
        <w:rPr>
          <w:sz w:val="20"/>
        </w:rPr>
        <w:tab/>
        <w:t>Подобным же образом опрос, проведенный МДЖС в 1993 году по проблемам семьи (репрезентативная выборка – 1025 семей), показал, что 43,2 процента тунисских семей проводят досуг одинаково, 38,2 процента ходят на пляж, 25,7 процента путешествуют по стране, 19,2 процента отдыхают в парках, а 16 процентов выезжают за город.</w:t>
      </w:r>
    </w:p>
    <w:p w:rsidR="00000000" w:rsidRDefault="00000000">
      <w:pPr>
        <w:pStyle w:val="BodyText"/>
        <w:spacing w:after="40" w:line="240" w:lineRule="exact"/>
        <w:rPr>
          <w:sz w:val="20"/>
        </w:rPr>
      </w:pPr>
      <w:r>
        <w:rPr>
          <w:sz w:val="20"/>
        </w:rPr>
        <w:t>857.</w:t>
      </w:r>
      <w:r>
        <w:rPr>
          <w:sz w:val="20"/>
        </w:rPr>
        <w:tab/>
        <w:t>В рамках мероприятий по оказанию помощи семьям, утвержденных 5 апреля 1996 года, местным властям и коллективам было рекомендовано поощрять семейный туризм и создавать зоны семейного отдыха и досуга. В связи с этим было решено:</w:t>
      </w:r>
    </w:p>
    <w:p w:rsidR="00000000" w:rsidRDefault="00000000">
      <w:pPr>
        <w:pStyle w:val="BodyText"/>
        <w:spacing w:after="40" w:line="240" w:lineRule="exact"/>
        <w:ind w:left="1021" w:hanging="1021"/>
        <w:rPr>
          <w:sz w:val="20"/>
        </w:rPr>
      </w:pPr>
      <w:r>
        <w:rPr>
          <w:sz w:val="20"/>
        </w:rPr>
        <w:tab/>
        <w:t>*</w:t>
      </w:r>
      <w:r>
        <w:rPr>
          <w:sz w:val="20"/>
        </w:rPr>
        <w:tab/>
        <w:t>предложить Тунисской федерации гостиничного хозяйства снизить на 30 процентов гостиничные тарифы для тунисских семей;</w:t>
      </w:r>
    </w:p>
    <w:p w:rsidR="00000000" w:rsidRDefault="00000000">
      <w:pPr>
        <w:pStyle w:val="BodyText"/>
        <w:spacing w:line="240" w:lineRule="exact"/>
        <w:rPr>
          <w:sz w:val="20"/>
        </w:rPr>
      </w:pPr>
      <w:r>
        <w:rPr>
          <w:sz w:val="20"/>
          <w:lang w:val="en-US"/>
        </w:rPr>
        <w:tab/>
      </w:r>
      <w:r>
        <w:rPr>
          <w:sz w:val="20"/>
        </w:rPr>
        <w:t>*</w:t>
      </w:r>
      <w:r>
        <w:rPr>
          <w:sz w:val="20"/>
        </w:rPr>
        <w:tab/>
        <w:t>обустроить площадки для создания центров культуры и семейного отдыха.</w:t>
      </w:r>
    </w:p>
    <w:p w:rsidR="00000000" w:rsidRDefault="00000000">
      <w:pPr>
        <w:pStyle w:val="BodyText"/>
        <w:spacing w:line="240" w:lineRule="exact"/>
        <w:rPr>
          <w:sz w:val="20"/>
        </w:rPr>
      </w:pPr>
      <w:r>
        <w:rPr>
          <w:sz w:val="20"/>
        </w:rPr>
        <w:t>858.</w:t>
      </w:r>
      <w:r>
        <w:rPr>
          <w:sz w:val="20"/>
        </w:rPr>
        <w:tab/>
        <w:t>Детские клубы – это социально-воспитательные внешкольные учреждения, рассчитанные на детей обоих полов в возрасте от 6 до 14 лет. В них дети могут заниматься разными видами деятельности, помогающими развитию их психомоторных, социоэмоциональных и умственных способностей. Девочки и мальчики в равной степени пользуются возможностями, предоставляемыми этими клубами, число которых выросло с 29 829 в 1994 году до 38 035 в 1997 году.</w:t>
      </w:r>
    </w:p>
    <w:p w:rsidR="00000000" w:rsidRDefault="00000000">
      <w:pPr>
        <w:pStyle w:val="BodyText"/>
        <w:spacing w:line="240" w:lineRule="exact"/>
        <w:rPr>
          <w:spacing w:val="4"/>
          <w:sz w:val="20"/>
        </w:rPr>
      </w:pPr>
      <w:r>
        <w:rPr>
          <w:sz w:val="20"/>
        </w:rPr>
        <w:t>859.</w:t>
      </w:r>
      <w:r>
        <w:rPr>
          <w:sz w:val="20"/>
        </w:rPr>
        <w:tab/>
      </w:r>
      <w:r>
        <w:rPr>
          <w:spacing w:val="4"/>
          <w:sz w:val="20"/>
        </w:rPr>
        <w:t xml:space="preserve">Время от времени в разных районах страны проводятся общенациональные фестивали, в которых участвуют мальчики и девочки, проявляя свои таланты в различных областях (театр, музыка, литература </w:t>
      </w:r>
      <w:r>
        <w:rPr>
          <w:spacing w:val="4"/>
          <w:sz w:val="20"/>
        </w:rPr>
        <w:br/>
        <w:t>и т. д.).</w:t>
      </w:r>
    </w:p>
    <w:p w:rsidR="00000000" w:rsidRDefault="00000000">
      <w:pPr>
        <w:pStyle w:val="BodyText"/>
        <w:spacing w:before="240" w:line="240" w:lineRule="auto"/>
        <w:rPr>
          <w:b/>
          <w:sz w:val="28"/>
          <w:u w:val="single"/>
        </w:rPr>
      </w:pPr>
      <w:r>
        <w:rPr>
          <w:b/>
          <w:sz w:val="28"/>
        </w:rPr>
        <w:t>IX.</w:t>
      </w:r>
      <w:r>
        <w:rPr>
          <w:b/>
          <w:sz w:val="28"/>
        </w:rPr>
        <w:tab/>
        <w:t>Женский спорт</w:t>
      </w:r>
    </w:p>
    <w:p w:rsidR="00000000" w:rsidRDefault="00000000">
      <w:pPr>
        <w:pStyle w:val="BodyText"/>
        <w:spacing w:before="80" w:line="240" w:lineRule="exact"/>
        <w:rPr>
          <w:b/>
          <w:sz w:val="22"/>
        </w:rPr>
      </w:pPr>
      <w:r>
        <w:rPr>
          <w:b/>
          <w:sz w:val="22"/>
        </w:rPr>
        <w:t>IX.1.</w:t>
      </w:r>
      <w:r>
        <w:rPr>
          <w:b/>
          <w:sz w:val="22"/>
        </w:rPr>
        <w:tab/>
        <w:t>Меры, принимаемые для развития женского спорта</w:t>
      </w:r>
    </w:p>
    <w:p w:rsidR="00000000" w:rsidRDefault="00000000">
      <w:pPr>
        <w:pStyle w:val="BodyText"/>
        <w:spacing w:line="240" w:lineRule="exact"/>
        <w:rPr>
          <w:sz w:val="20"/>
        </w:rPr>
      </w:pPr>
      <w:r>
        <w:rPr>
          <w:sz w:val="20"/>
        </w:rPr>
        <w:t>860.</w:t>
      </w:r>
      <w:r>
        <w:rPr>
          <w:sz w:val="20"/>
        </w:rPr>
        <w:tab/>
        <w:t>Государственные власти Туниса приняли ряд мер для развития женского спорта, обеспечив для этого необходимые материальные и людские ресурсы.</w:t>
      </w:r>
    </w:p>
    <w:p w:rsidR="00000000" w:rsidRDefault="00000000">
      <w:pPr>
        <w:pStyle w:val="BodyText"/>
        <w:spacing w:line="240" w:lineRule="exact"/>
        <w:rPr>
          <w:sz w:val="20"/>
        </w:rPr>
      </w:pPr>
      <w:r>
        <w:rPr>
          <w:sz w:val="20"/>
        </w:rPr>
        <w:t>861.</w:t>
      </w:r>
      <w:r>
        <w:rPr>
          <w:sz w:val="20"/>
        </w:rPr>
        <w:tab/>
        <w:t>С этой целью усилия властей были направлены на поощрение создания специализированных женских спортивных клубов. Кроме того, были предоставлены субсидии как этим клубам, так и женским секциям в ассоциациях, практикующих разные виды спорта.</w:t>
      </w:r>
    </w:p>
    <w:p w:rsidR="00000000" w:rsidRDefault="00000000">
      <w:pPr>
        <w:pStyle w:val="BodyText"/>
        <w:spacing w:line="240" w:lineRule="exact"/>
        <w:rPr>
          <w:sz w:val="20"/>
        </w:rPr>
      </w:pPr>
      <w:r>
        <w:rPr>
          <w:sz w:val="20"/>
        </w:rPr>
        <w:t>862.</w:t>
      </w:r>
      <w:r>
        <w:rPr>
          <w:sz w:val="20"/>
        </w:rPr>
        <w:tab/>
        <w:t>Поощрительные меры были приняты также и в отношении женского спорта среди школьниц, чтобы увеличить число женщин, занимающихся спортом.</w:t>
      </w:r>
    </w:p>
    <w:p w:rsidR="00000000" w:rsidRDefault="00000000">
      <w:pPr>
        <w:pStyle w:val="BodyText"/>
        <w:spacing w:after="80" w:line="240" w:lineRule="exact"/>
        <w:rPr>
          <w:sz w:val="20"/>
        </w:rPr>
      </w:pPr>
      <w:r>
        <w:rPr>
          <w:sz w:val="20"/>
        </w:rPr>
        <w:t>863.</w:t>
      </w:r>
      <w:r>
        <w:rPr>
          <w:sz w:val="20"/>
        </w:rPr>
        <w:tab/>
        <w:t>Следует отметить также, что в порядке поощрения женского спорта в 1997 году был создан Комитет по женскому спорту. В работе этого Комитета участвуют соответствующие спортивные федерации под эгидой генерального управления по делам спорта. В результате был разработан план действий по развитию женского спорта, который имеет целью, в частности:</w:t>
      </w:r>
    </w:p>
    <w:p w:rsidR="00000000" w:rsidRDefault="00000000">
      <w:pPr>
        <w:pStyle w:val="BodyText"/>
        <w:spacing w:after="40" w:line="240" w:lineRule="exact"/>
        <w:ind w:left="1021" w:hanging="1021"/>
        <w:rPr>
          <w:sz w:val="20"/>
        </w:rPr>
      </w:pPr>
      <w:r>
        <w:rPr>
          <w:sz w:val="20"/>
          <w:lang w:val="en-US"/>
        </w:rPr>
        <w:tab/>
      </w:r>
      <w:r>
        <w:rPr>
          <w:sz w:val="20"/>
        </w:rPr>
        <w:t>–</w:t>
      </w:r>
      <w:r>
        <w:rPr>
          <w:sz w:val="20"/>
        </w:rPr>
        <w:tab/>
        <w:t>предоставить клубам, специализирующимся в женском спорте, и женским секциям спортивных ассоциаций реальную помощь в виде инвентаря, необходимого для занятий спортом;</w:t>
      </w:r>
    </w:p>
    <w:p w:rsidR="00000000" w:rsidRDefault="00000000">
      <w:pPr>
        <w:pStyle w:val="BodyText"/>
        <w:spacing w:after="40" w:line="240" w:lineRule="exact"/>
        <w:ind w:left="1021" w:hanging="1021"/>
        <w:rPr>
          <w:sz w:val="20"/>
        </w:rPr>
      </w:pPr>
      <w:r>
        <w:rPr>
          <w:sz w:val="20"/>
        </w:rPr>
        <w:tab/>
        <w:t>–</w:t>
      </w:r>
      <w:r>
        <w:rPr>
          <w:sz w:val="20"/>
        </w:rPr>
        <w:tab/>
        <w:t>освободить клубы и общества от уплаты вступительных взносов в спортивные федерации и от покупки лицензий (27 декабря 1997 года генеральное управление по делам спорта направило государственным спортивным федерациям циркуляр, предписывающий эти меры);</w:t>
      </w:r>
    </w:p>
    <w:p w:rsidR="00000000" w:rsidRDefault="00000000">
      <w:pPr>
        <w:pStyle w:val="BodyText"/>
        <w:spacing w:after="40" w:line="240" w:lineRule="exact"/>
        <w:ind w:left="1021" w:hanging="1021"/>
        <w:rPr>
          <w:sz w:val="20"/>
        </w:rPr>
      </w:pPr>
      <w:r>
        <w:rPr>
          <w:sz w:val="20"/>
          <w:lang w:val="en-US"/>
        </w:rPr>
        <w:tab/>
      </w:r>
      <w:r>
        <w:rPr>
          <w:sz w:val="20"/>
        </w:rPr>
        <w:t>–</w:t>
      </w:r>
      <w:r>
        <w:rPr>
          <w:sz w:val="20"/>
        </w:rPr>
        <w:tab/>
        <w:t>разрешить этим клубам и обществам в сотрудничестве с дирекцией по физическому воспитанию использовать необходимые кадры, обязав преподавателей физкультуры воспитывать их должным образом;</w:t>
      </w:r>
    </w:p>
    <w:p w:rsidR="00000000" w:rsidRDefault="00000000">
      <w:pPr>
        <w:pStyle w:val="BodyText"/>
        <w:spacing w:after="40" w:line="240" w:lineRule="exact"/>
        <w:ind w:left="1021" w:hanging="1021"/>
        <w:rPr>
          <w:sz w:val="20"/>
        </w:rPr>
      </w:pPr>
      <w:r>
        <w:rPr>
          <w:sz w:val="20"/>
          <w:lang w:val="en-US"/>
        </w:rPr>
        <w:tab/>
      </w:r>
      <w:r>
        <w:rPr>
          <w:sz w:val="20"/>
        </w:rPr>
        <w:t>–</w:t>
      </w:r>
      <w:r>
        <w:rPr>
          <w:sz w:val="20"/>
        </w:rPr>
        <w:tab/>
        <w:t>принять в качестве принципа формирование спортивной инфраструктуры в начальных и средних учебных заведениях, являющихся базой, обеспечивающей переход спортсменов-любителей в профессиональный спорт;</w:t>
      </w:r>
    </w:p>
    <w:p w:rsidR="00000000" w:rsidRDefault="00000000">
      <w:pPr>
        <w:pStyle w:val="BodyText"/>
        <w:spacing w:line="240" w:lineRule="exact"/>
        <w:ind w:left="1021" w:hanging="1021"/>
        <w:rPr>
          <w:sz w:val="20"/>
        </w:rPr>
      </w:pPr>
      <w:r>
        <w:rPr>
          <w:sz w:val="20"/>
        </w:rPr>
        <w:tab/>
        <w:t>–</w:t>
      </w:r>
      <w:r>
        <w:rPr>
          <w:sz w:val="20"/>
        </w:rPr>
        <w:tab/>
        <w:t>поощрять средства массовой информации лучше выполнять свою роль в деле развития женского спорта.</w:t>
      </w:r>
    </w:p>
    <w:p w:rsidR="00000000" w:rsidRDefault="00000000">
      <w:pPr>
        <w:pStyle w:val="BodyText"/>
        <w:spacing w:before="120" w:line="240" w:lineRule="exact"/>
        <w:rPr>
          <w:b/>
          <w:sz w:val="22"/>
        </w:rPr>
      </w:pPr>
      <w:r>
        <w:rPr>
          <w:b/>
          <w:sz w:val="22"/>
        </w:rPr>
        <w:t>IX.2.</w:t>
      </w:r>
      <w:r>
        <w:rPr>
          <w:b/>
          <w:sz w:val="22"/>
        </w:rPr>
        <w:tab/>
        <w:t>Положение дел в женском спорте</w:t>
      </w:r>
    </w:p>
    <w:p w:rsidR="00000000" w:rsidRDefault="00000000">
      <w:pPr>
        <w:pStyle w:val="BodyText"/>
        <w:spacing w:line="240" w:lineRule="exact"/>
        <w:rPr>
          <w:sz w:val="20"/>
        </w:rPr>
      </w:pPr>
      <w:r>
        <w:rPr>
          <w:sz w:val="20"/>
        </w:rPr>
        <w:t>864.</w:t>
      </w:r>
      <w:r>
        <w:rPr>
          <w:sz w:val="20"/>
        </w:rPr>
        <w:tab/>
        <w:t xml:space="preserve">Число спортивных обществ, специализирующихся в женском спорте, достигло 28, тогда как до </w:t>
      </w:r>
      <w:r>
        <w:rPr>
          <w:sz w:val="20"/>
        </w:rPr>
        <w:br/>
        <w:t>1987 года их было всего пять; это позволило увеличить число девушек, занимающихся любительским спортом, с 7488 в спортивном сезоне 1993/94 года до 8346 в сезоне 1996/97 года, несмотря на зарегистрированное сокращение общего числа спортивных обществ, имеющих женские секции.</w:t>
      </w:r>
    </w:p>
    <w:p w:rsidR="00000000" w:rsidRDefault="00000000">
      <w:pPr>
        <w:pStyle w:val="BodyText"/>
        <w:spacing w:line="240" w:lineRule="exact"/>
        <w:rPr>
          <w:sz w:val="20"/>
        </w:rPr>
      </w:pPr>
      <w:r>
        <w:rPr>
          <w:sz w:val="20"/>
        </w:rPr>
        <w:t>865.</w:t>
      </w:r>
      <w:r>
        <w:rPr>
          <w:sz w:val="20"/>
        </w:rPr>
        <w:tab/>
        <w:t xml:space="preserve">Кроме того, эти меры позволили удержать число девушек, имеющих спортивный разряд, на уровне </w:t>
      </w:r>
      <w:r>
        <w:rPr>
          <w:sz w:val="20"/>
        </w:rPr>
        <w:br/>
        <w:t>12,2 процента по отношению к общему числу лиц, имеющих спортивный разряд.</w:t>
      </w:r>
    </w:p>
    <w:p w:rsidR="00000000" w:rsidRDefault="00000000">
      <w:pPr>
        <w:pStyle w:val="BodyText"/>
        <w:spacing w:before="120" w:line="240" w:lineRule="exact"/>
        <w:jc w:val="center"/>
        <w:rPr>
          <w:b/>
          <w:sz w:val="20"/>
        </w:rPr>
      </w:pPr>
      <w:r>
        <w:rPr>
          <w:b/>
          <w:sz w:val="20"/>
        </w:rPr>
        <w:t>Статистические данные о женском спорте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53"/>
        <w:gridCol w:w="1375"/>
        <w:gridCol w:w="1344"/>
      </w:tblGrid>
      <w:tr w:rsidR="00000000">
        <w:tblPrEx>
          <w:tblCellMar>
            <w:top w:w="0" w:type="dxa"/>
            <w:bottom w:w="0" w:type="dxa"/>
          </w:tblCellMar>
        </w:tblPrEx>
        <w:trPr>
          <w:jc w:val="center"/>
        </w:trPr>
        <w:tc>
          <w:tcPr>
            <w:tcW w:w="6353" w:type="dxa"/>
          </w:tcPr>
          <w:p w:rsidR="00000000" w:rsidRDefault="00000000">
            <w:pPr>
              <w:pStyle w:val="BodyText"/>
              <w:spacing w:before="80" w:after="80" w:line="220" w:lineRule="exact"/>
              <w:rPr>
                <w:b/>
                <w:sz w:val="18"/>
              </w:rPr>
            </w:pPr>
            <w:r>
              <w:rPr>
                <w:b/>
                <w:sz w:val="18"/>
              </w:rPr>
              <w:t>Спортивный сезон</w:t>
            </w:r>
          </w:p>
        </w:tc>
        <w:tc>
          <w:tcPr>
            <w:tcW w:w="1375" w:type="dxa"/>
          </w:tcPr>
          <w:p w:rsidR="00000000" w:rsidRDefault="00000000">
            <w:pPr>
              <w:pStyle w:val="BodyText"/>
              <w:spacing w:before="80" w:after="80" w:line="220" w:lineRule="exact"/>
              <w:jc w:val="center"/>
              <w:rPr>
                <w:b/>
                <w:sz w:val="18"/>
              </w:rPr>
            </w:pPr>
            <w:r>
              <w:rPr>
                <w:b/>
                <w:sz w:val="18"/>
              </w:rPr>
              <w:t>1993/94 год</w:t>
            </w:r>
          </w:p>
        </w:tc>
        <w:tc>
          <w:tcPr>
            <w:tcW w:w="1344" w:type="dxa"/>
          </w:tcPr>
          <w:p w:rsidR="00000000" w:rsidRDefault="00000000">
            <w:pPr>
              <w:pStyle w:val="BodyText"/>
              <w:spacing w:before="80" w:after="80" w:line="220" w:lineRule="exact"/>
              <w:jc w:val="center"/>
              <w:rPr>
                <w:b/>
                <w:sz w:val="18"/>
              </w:rPr>
            </w:pPr>
            <w:r>
              <w:rPr>
                <w:b/>
                <w:sz w:val="18"/>
              </w:rPr>
              <w:t>1996/97 год</w:t>
            </w:r>
          </w:p>
        </w:tc>
      </w:tr>
      <w:tr w:rsidR="00000000">
        <w:tblPrEx>
          <w:tblCellMar>
            <w:top w:w="0" w:type="dxa"/>
            <w:bottom w:w="0" w:type="dxa"/>
          </w:tblCellMar>
        </w:tblPrEx>
        <w:trPr>
          <w:jc w:val="center"/>
        </w:trPr>
        <w:tc>
          <w:tcPr>
            <w:tcW w:w="6353" w:type="dxa"/>
          </w:tcPr>
          <w:p w:rsidR="00000000" w:rsidRDefault="00000000">
            <w:pPr>
              <w:pStyle w:val="BodyText"/>
              <w:spacing w:before="80" w:after="80" w:line="220" w:lineRule="exact"/>
              <w:rPr>
                <w:sz w:val="18"/>
              </w:rPr>
            </w:pPr>
            <w:r>
              <w:rPr>
                <w:sz w:val="18"/>
              </w:rPr>
              <w:t>Количество клубов, специализирующихся в женском спорте</w:t>
            </w:r>
          </w:p>
        </w:tc>
        <w:tc>
          <w:tcPr>
            <w:tcW w:w="1375" w:type="dxa"/>
          </w:tcPr>
          <w:p w:rsidR="00000000" w:rsidRDefault="00000000">
            <w:pPr>
              <w:pStyle w:val="BodyText"/>
              <w:spacing w:before="80" w:after="80" w:line="220" w:lineRule="exact"/>
              <w:jc w:val="center"/>
              <w:rPr>
                <w:sz w:val="18"/>
              </w:rPr>
            </w:pPr>
            <w:r>
              <w:rPr>
                <w:sz w:val="18"/>
              </w:rPr>
              <w:t>17</w:t>
            </w:r>
          </w:p>
        </w:tc>
        <w:tc>
          <w:tcPr>
            <w:tcW w:w="1344" w:type="dxa"/>
          </w:tcPr>
          <w:p w:rsidR="00000000" w:rsidRDefault="00000000">
            <w:pPr>
              <w:pStyle w:val="BodyText"/>
              <w:spacing w:before="80" w:after="80" w:line="220" w:lineRule="exact"/>
              <w:jc w:val="center"/>
              <w:rPr>
                <w:sz w:val="18"/>
              </w:rPr>
            </w:pPr>
            <w:r>
              <w:rPr>
                <w:sz w:val="18"/>
              </w:rPr>
              <w:t>28</w:t>
            </w:r>
          </w:p>
        </w:tc>
      </w:tr>
      <w:tr w:rsidR="00000000">
        <w:tblPrEx>
          <w:tblCellMar>
            <w:top w:w="0" w:type="dxa"/>
            <w:bottom w:w="0" w:type="dxa"/>
          </w:tblCellMar>
        </w:tblPrEx>
        <w:trPr>
          <w:jc w:val="center"/>
        </w:trPr>
        <w:tc>
          <w:tcPr>
            <w:tcW w:w="6353" w:type="dxa"/>
          </w:tcPr>
          <w:p w:rsidR="00000000" w:rsidRDefault="00000000">
            <w:pPr>
              <w:pStyle w:val="BodyText"/>
              <w:spacing w:before="80" w:after="80" w:line="220" w:lineRule="exact"/>
              <w:rPr>
                <w:sz w:val="18"/>
              </w:rPr>
            </w:pPr>
            <w:r>
              <w:rPr>
                <w:sz w:val="18"/>
              </w:rPr>
              <w:t>Количество спортивных обществ, имеющих секцию женского спорта</w:t>
            </w:r>
          </w:p>
        </w:tc>
        <w:tc>
          <w:tcPr>
            <w:tcW w:w="1375" w:type="dxa"/>
          </w:tcPr>
          <w:p w:rsidR="00000000" w:rsidRDefault="00000000">
            <w:pPr>
              <w:pStyle w:val="BodyText"/>
              <w:spacing w:before="80" w:after="80" w:line="220" w:lineRule="exact"/>
              <w:jc w:val="center"/>
              <w:rPr>
                <w:sz w:val="18"/>
              </w:rPr>
            </w:pPr>
            <w:r>
              <w:rPr>
                <w:sz w:val="18"/>
              </w:rPr>
              <w:t>171</w:t>
            </w:r>
          </w:p>
        </w:tc>
        <w:tc>
          <w:tcPr>
            <w:tcW w:w="1344" w:type="dxa"/>
          </w:tcPr>
          <w:p w:rsidR="00000000" w:rsidRDefault="00000000">
            <w:pPr>
              <w:pStyle w:val="BodyText"/>
              <w:spacing w:before="80" w:after="80" w:line="220" w:lineRule="exact"/>
              <w:jc w:val="center"/>
              <w:rPr>
                <w:sz w:val="18"/>
              </w:rPr>
            </w:pPr>
            <w:r>
              <w:rPr>
                <w:sz w:val="18"/>
              </w:rPr>
              <w:t>164</w:t>
            </w:r>
          </w:p>
        </w:tc>
      </w:tr>
      <w:tr w:rsidR="00000000">
        <w:tblPrEx>
          <w:tblCellMar>
            <w:top w:w="0" w:type="dxa"/>
            <w:bottom w:w="0" w:type="dxa"/>
          </w:tblCellMar>
        </w:tblPrEx>
        <w:trPr>
          <w:jc w:val="center"/>
        </w:trPr>
        <w:tc>
          <w:tcPr>
            <w:tcW w:w="6353" w:type="dxa"/>
          </w:tcPr>
          <w:p w:rsidR="00000000" w:rsidRDefault="00000000">
            <w:pPr>
              <w:pStyle w:val="BodyText"/>
              <w:spacing w:before="80" w:after="80" w:line="220" w:lineRule="exact"/>
              <w:rPr>
                <w:sz w:val="18"/>
              </w:rPr>
            </w:pPr>
            <w:r>
              <w:rPr>
                <w:sz w:val="18"/>
              </w:rPr>
              <w:t>Число девушек, имеющих спортивный разряд</w:t>
            </w:r>
          </w:p>
        </w:tc>
        <w:tc>
          <w:tcPr>
            <w:tcW w:w="1375" w:type="dxa"/>
          </w:tcPr>
          <w:p w:rsidR="00000000" w:rsidRDefault="00000000">
            <w:pPr>
              <w:pStyle w:val="BodyText"/>
              <w:spacing w:before="80" w:after="80" w:line="220" w:lineRule="exact"/>
              <w:jc w:val="center"/>
              <w:rPr>
                <w:sz w:val="18"/>
              </w:rPr>
            </w:pPr>
            <w:r>
              <w:rPr>
                <w:sz w:val="18"/>
              </w:rPr>
              <w:t>7 488</w:t>
            </w:r>
          </w:p>
        </w:tc>
        <w:tc>
          <w:tcPr>
            <w:tcW w:w="1344" w:type="dxa"/>
          </w:tcPr>
          <w:p w:rsidR="00000000" w:rsidRDefault="00000000">
            <w:pPr>
              <w:pStyle w:val="BodyText"/>
              <w:spacing w:before="80" w:after="80" w:line="220" w:lineRule="exact"/>
              <w:jc w:val="center"/>
              <w:rPr>
                <w:sz w:val="18"/>
              </w:rPr>
            </w:pPr>
            <w:r>
              <w:rPr>
                <w:sz w:val="18"/>
              </w:rPr>
              <w:t>8 346</w:t>
            </w:r>
          </w:p>
        </w:tc>
      </w:tr>
      <w:tr w:rsidR="00000000">
        <w:tblPrEx>
          <w:tblCellMar>
            <w:top w:w="0" w:type="dxa"/>
            <w:bottom w:w="0" w:type="dxa"/>
          </w:tblCellMar>
        </w:tblPrEx>
        <w:trPr>
          <w:jc w:val="center"/>
        </w:trPr>
        <w:tc>
          <w:tcPr>
            <w:tcW w:w="6353" w:type="dxa"/>
          </w:tcPr>
          <w:p w:rsidR="00000000" w:rsidRDefault="00000000">
            <w:pPr>
              <w:pStyle w:val="BodyText"/>
              <w:spacing w:before="80" w:after="80" w:line="220" w:lineRule="exact"/>
              <w:rPr>
                <w:sz w:val="18"/>
              </w:rPr>
            </w:pPr>
            <w:r>
              <w:rPr>
                <w:sz w:val="18"/>
              </w:rPr>
              <w:t>Число мужчин, имеющих спортивный разряд</w:t>
            </w:r>
          </w:p>
        </w:tc>
        <w:tc>
          <w:tcPr>
            <w:tcW w:w="1375" w:type="dxa"/>
          </w:tcPr>
          <w:p w:rsidR="00000000" w:rsidRDefault="00000000">
            <w:pPr>
              <w:pStyle w:val="BodyText"/>
              <w:spacing w:before="80" w:after="80" w:line="220" w:lineRule="exact"/>
              <w:jc w:val="center"/>
              <w:rPr>
                <w:sz w:val="18"/>
              </w:rPr>
            </w:pPr>
            <w:r>
              <w:rPr>
                <w:sz w:val="18"/>
              </w:rPr>
              <w:t>53 619</w:t>
            </w:r>
          </w:p>
        </w:tc>
        <w:tc>
          <w:tcPr>
            <w:tcW w:w="1344" w:type="dxa"/>
          </w:tcPr>
          <w:p w:rsidR="00000000" w:rsidRDefault="00000000">
            <w:pPr>
              <w:pStyle w:val="BodyText"/>
              <w:spacing w:before="80" w:after="80" w:line="220" w:lineRule="exact"/>
              <w:jc w:val="center"/>
              <w:rPr>
                <w:sz w:val="18"/>
              </w:rPr>
            </w:pPr>
            <w:r>
              <w:rPr>
                <w:sz w:val="18"/>
              </w:rPr>
              <w:t>59 902</w:t>
            </w:r>
          </w:p>
        </w:tc>
      </w:tr>
      <w:tr w:rsidR="00000000">
        <w:tblPrEx>
          <w:tblCellMar>
            <w:top w:w="0" w:type="dxa"/>
            <w:bottom w:w="0" w:type="dxa"/>
          </w:tblCellMar>
        </w:tblPrEx>
        <w:trPr>
          <w:jc w:val="center"/>
        </w:trPr>
        <w:tc>
          <w:tcPr>
            <w:tcW w:w="6353" w:type="dxa"/>
          </w:tcPr>
          <w:p w:rsidR="00000000" w:rsidRDefault="00000000">
            <w:pPr>
              <w:pStyle w:val="BodyText"/>
              <w:spacing w:before="80" w:after="80" w:line="220" w:lineRule="exact"/>
              <w:rPr>
                <w:sz w:val="18"/>
              </w:rPr>
            </w:pPr>
            <w:r>
              <w:rPr>
                <w:sz w:val="18"/>
              </w:rPr>
              <w:t>Процентная доля женщин в общем числе обладателей спортивных разрядов</w:t>
            </w:r>
          </w:p>
        </w:tc>
        <w:tc>
          <w:tcPr>
            <w:tcW w:w="1375" w:type="dxa"/>
          </w:tcPr>
          <w:p w:rsidR="00000000" w:rsidRDefault="00000000">
            <w:pPr>
              <w:pStyle w:val="BodyText"/>
              <w:spacing w:before="80" w:after="80" w:line="220" w:lineRule="exact"/>
              <w:jc w:val="center"/>
              <w:rPr>
                <w:sz w:val="18"/>
              </w:rPr>
            </w:pPr>
            <w:r>
              <w:rPr>
                <w:sz w:val="18"/>
              </w:rPr>
              <w:t>12,22</w:t>
            </w:r>
          </w:p>
        </w:tc>
        <w:tc>
          <w:tcPr>
            <w:tcW w:w="1344" w:type="dxa"/>
          </w:tcPr>
          <w:p w:rsidR="00000000" w:rsidRDefault="00000000">
            <w:pPr>
              <w:pStyle w:val="BodyText"/>
              <w:spacing w:before="80" w:after="80" w:line="220" w:lineRule="exact"/>
              <w:jc w:val="center"/>
              <w:rPr>
                <w:sz w:val="18"/>
              </w:rPr>
            </w:pPr>
            <w:r>
              <w:rPr>
                <w:sz w:val="18"/>
              </w:rPr>
              <w:t>12,25</w:t>
            </w:r>
          </w:p>
        </w:tc>
      </w:tr>
    </w:tbl>
    <w:p w:rsidR="00000000" w:rsidRDefault="00000000">
      <w:pPr>
        <w:pStyle w:val="BodyText"/>
        <w:spacing w:before="120" w:line="220" w:lineRule="exact"/>
        <w:ind w:right="289"/>
        <w:jc w:val="right"/>
        <w:rPr>
          <w:b/>
          <w:sz w:val="20"/>
        </w:rPr>
      </w:pPr>
      <w:r>
        <w:rPr>
          <w:b/>
          <w:sz w:val="18"/>
        </w:rPr>
        <w:t>Источник: Министерство по делам молодежи и детства</w:t>
      </w:r>
    </w:p>
    <w:p w:rsidR="00000000" w:rsidRDefault="00000000">
      <w:pPr>
        <w:pStyle w:val="BodyText"/>
        <w:spacing w:line="240" w:lineRule="exact"/>
        <w:rPr>
          <w:sz w:val="20"/>
        </w:rPr>
      </w:pPr>
      <w:r>
        <w:rPr>
          <w:sz w:val="20"/>
        </w:rPr>
        <w:t>866.</w:t>
      </w:r>
      <w:r>
        <w:rPr>
          <w:sz w:val="20"/>
        </w:rPr>
        <w:tab/>
        <w:t xml:space="preserve">С 1992 по 1997 год доля женщин в числе преподавателей физкультуры значительно увеличилась: с </w:t>
      </w:r>
      <w:r>
        <w:rPr>
          <w:sz w:val="20"/>
        </w:rPr>
        <w:br/>
        <w:t>19 процентов до 22,8 процента в средней школе и с 16,25 процента до 27 процентов – в начальной школе, как следует из таблицы, ниже:</w:t>
      </w:r>
    </w:p>
    <w:p w:rsidR="00000000" w:rsidRDefault="00000000">
      <w:pPr>
        <w:pStyle w:val="BodyText"/>
        <w:spacing w:after="160" w:line="240" w:lineRule="exact"/>
        <w:jc w:val="center"/>
        <w:rPr>
          <w:b/>
          <w:sz w:val="20"/>
        </w:rPr>
      </w:pPr>
      <w:r>
        <w:rPr>
          <w:b/>
          <w:sz w:val="20"/>
        </w:rPr>
        <w:t>Рост числа преподавателей физкультуры</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96"/>
        <w:gridCol w:w="1296"/>
        <w:gridCol w:w="1296"/>
        <w:gridCol w:w="1296"/>
        <w:gridCol w:w="1296"/>
        <w:gridCol w:w="1296"/>
        <w:gridCol w:w="1296"/>
      </w:tblGrid>
      <w:tr w:rsidR="00000000">
        <w:tblPrEx>
          <w:tblCellMar>
            <w:top w:w="0" w:type="dxa"/>
            <w:bottom w:w="0" w:type="dxa"/>
          </w:tblCellMar>
        </w:tblPrEx>
        <w:trPr>
          <w:cantSplit/>
          <w:jc w:val="center"/>
        </w:trPr>
        <w:tc>
          <w:tcPr>
            <w:tcW w:w="1296" w:type="dxa"/>
            <w:vMerge w:val="restart"/>
            <w:vAlign w:val="center"/>
          </w:tcPr>
          <w:p w:rsidR="00000000" w:rsidRDefault="00000000">
            <w:pPr>
              <w:pStyle w:val="BodyText"/>
              <w:spacing w:before="80" w:after="60" w:line="220" w:lineRule="exact"/>
              <w:jc w:val="left"/>
              <w:rPr>
                <w:b/>
                <w:sz w:val="18"/>
              </w:rPr>
            </w:pPr>
            <w:r>
              <w:rPr>
                <w:b/>
                <w:sz w:val="18"/>
              </w:rPr>
              <w:t>Учебный год</w:t>
            </w:r>
          </w:p>
        </w:tc>
        <w:tc>
          <w:tcPr>
            <w:tcW w:w="3888" w:type="dxa"/>
            <w:gridSpan w:val="3"/>
          </w:tcPr>
          <w:p w:rsidR="00000000" w:rsidRDefault="00000000">
            <w:pPr>
              <w:pStyle w:val="BodyText"/>
              <w:spacing w:before="80" w:after="60" w:line="220" w:lineRule="exact"/>
              <w:jc w:val="center"/>
              <w:rPr>
                <w:b/>
                <w:sz w:val="18"/>
              </w:rPr>
            </w:pPr>
            <w:r>
              <w:rPr>
                <w:b/>
                <w:sz w:val="18"/>
              </w:rPr>
              <w:t>Начальная школа</w:t>
            </w:r>
          </w:p>
        </w:tc>
        <w:tc>
          <w:tcPr>
            <w:tcW w:w="3888" w:type="dxa"/>
            <w:gridSpan w:val="3"/>
          </w:tcPr>
          <w:p w:rsidR="00000000" w:rsidRDefault="00000000">
            <w:pPr>
              <w:pStyle w:val="BodyText"/>
              <w:spacing w:before="80" w:after="60" w:line="220" w:lineRule="exact"/>
              <w:jc w:val="center"/>
              <w:rPr>
                <w:b/>
                <w:sz w:val="18"/>
              </w:rPr>
            </w:pPr>
            <w:r>
              <w:rPr>
                <w:b/>
                <w:sz w:val="18"/>
              </w:rPr>
              <w:t>Средняя школа</w:t>
            </w:r>
          </w:p>
        </w:tc>
      </w:tr>
      <w:tr w:rsidR="00000000">
        <w:tblPrEx>
          <w:tblCellMar>
            <w:top w:w="0" w:type="dxa"/>
            <w:bottom w:w="0" w:type="dxa"/>
          </w:tblCellMar>
        </w:tblPrEx>
        <w:trPr>
          <w:cantSplit/>
          <w:jc w:val="center"/>
        </w:trPr>
        <w:tc>
          <w:tcPr>
            <w:tcW w:w="1296" w:type="dxa"/>
            <w:vMerge/>
          </w:tcPr>
          <w:p w:rsidR="00000000" w:rsidRDefault="00000000">
            <w:pPr>
              <w:pStyle w:val="BodyText"/>
              <w:spacing w:before="80" w:after="60" w:line="220" w:lineRule="exact"/>
              <w:rPr>
                <w:b/>
                <w:sz w:val="18"/>
              </w:rPr>
            </w:pPr>
          </w:p>
        </w:tc>
        <w:tc>
          <w:tcPr>
            <w:tcW w:w="1296" w:type="dxa"/>
          </w:tcPr>
          <w:p w:rsidR="00000000" w:rsidRDefault="00000000">
            <w:pPr>
              <w:pStyle w:val="BodyText"/>
              <w:spacing w:before="80" w:after="60" w:line="220" w:lineRule="exact"/>
              <w:jc w:val="center"/>
              <w:rPr>
                <w:b/>
                <w:sz w:val="18"/>
              </w:rPr>
            </w:pPr>
            <w:r>
              <w:rPr>
                <w:b/>
                <w:sz w:val="18"/>
              </w:rPr>
              <w:t>всего</w:t>
            </w:r>
          </w:p>
        </w:tc>
        <w:tc>
          <w:tcPr>
            <w:tcW w:w="1296" w:type="dxa"/>
          </w:tcPr>
          <w:p w:rsidR="00000000" w:rsidRDefault="00000000">
            <w:pPr>
              <w:pStyle w:val="BodyText"/>
              <w:spacing w:before="80" w:after="60" w:line="220" w:lineRule="exact"/>
              <w:jc w:val="center"/>
              <w:rPr>
                <w:b/>
                <w:sz w:val="18"/>
              </w:rPr>
            </w:pPr>
            <w:r>
              <w:rPr>
                <w:b/>
                <w:sz w:val="18"/>
              </w:rPr>
              <w:t>женщин</w:t>
            </w:r>
          </w:p>
        </w:tc>
        <w:tc>
          <w:tcPr>
            <w:tcW w:w="1296" w:type="dxa"/>
          </w:tcPr>
          <w:p w:rsidR="00000000" w:rsidRDefault="00000000">
            <w:pPr>
              <w:pStyle w:val="BodyText"/>
              <w:spacing w:before="80" w:after="60" w:line="220" w:lineRule="exact"/>
              <w:jc w:val="center"/>
              <w:rPr>
                <w:b/>
                <w:sz w:val="18"/>
              </w:rPr>
            </w:pPr>
            <w:r>
              <w:rPr>
                <w:b/>
                <w:sz w:val="18"/>
              </w:rPr>
              <w:t>%</w:t>
            </w:r>
          </w:p>
        </w:tc>
        <w:tc>
          <w:tcPr>
            <w:tcW w:w="1296" w:type="dxa"/>
          </w:tcPr>
          <w:p w:rsidR="00000000" w:rsidRDefault="00000000">
            <w:pPr>
              <w:pStyle w:val="BodyText"/>
              <w:spacing w:before="80" w:after="60" w:line="220" w:lineRule="exact"/>
              <w:jc w:val="center"/>
              <w:rPr>
                <w:b/>
                <w:sz w:val="18"/>
              </w:rPr>
            </w:pPr>
            <w:r>
              <w:rPr>
                <w:b/>
                <w:sz w:val="18"/>
              </w:rPr>
              <w:t>всего</w:t>
            </w:r>
          </w:p>
        </w:tc>
        <w:tc>
          <w:tcPr>
            <w:tcW w:w="1296" w:type="dxa"/>
          </w:tcPr>
          <w:p w:rsidR="00000000" w:rsidRDefault="00000000">
            <w:pPr>
              <w:pStyle w:val="BodyText"/>
              <w:spacing w:before="80" w:after="60" w:line="220" w:lineRule="exact"/>
              <w:jc w:val="center"/>
              <w:rPr>
                <w:b/>
                <w:sz w:val="18"/>
              </w:rPr>
            </w:pPr>
            <w:r>
              <w:rPr>
                <w:b/>
                <w:sz w:val="18"/>
              </w:rPr>
              <w:t>женщин</w:t>
            </w:r>
          </w:p>
        </w:tc>
        <w:tc>
          <w:tcPr>
            <w:tcW w:w="1296" w:type="dxa"/>
          </w:tcPr>
          <w:p w:rsidR="00000000" w:rsidRDefault="00000000">
            <w:pPr>
              <w:pStyle w:val="BodyText"/>
              <w:spacing w:before="80" w:after="60" w:line="220" w:lineRule="exact"/>
              <w:jc w:val="center"/>
              <w:rPr>
                <w:b/>
                <w:sz w:val="18"/>
              </w:rPr>
            </w:pPr>
            <w:r>
              <w:rPr>
                <w:b/>
                <w:sz w:val="18"/>
              </w:rPr>
              <w:t>%</w:t>
            </w:r>
          </w:p>
        </w:tc>
      </w:tr>
      <w:tr w:rsidR="00000000">
        <w:tblPrEx>
          <w:tblCellMar>
            <w:top w:w="0" w:type="dxa"/>
            <w:bottom w:w="0" w:type="dxa"/>
          </w:tblCellMar>
        </w:tblPrEx>
        <w:trPr>
          <w:jc w:val="center"/>
        </w:trPr>
        <w:tc>
          <w:tcPr>
            <w:tcW w:w="1296" w:type="dxa"/>
          </w:tcPr>
          <w:p w:rsidR="00000000" w:rsidRDefault="00000000">
            <w:pPr>
              <w:pStyle w:val="BodyText"/>
              <w:spacing w:before="80" w:after="60" w:line="220" w:lineRule="exact"/>
              <w:rPr>
                <w:sz w:val="18"/>
              </w:rPr>
            </w:pPr>
            <w:r>
              <w:rPr>
                <w:sz w:val="18"/>
              </w:rPr>
              <w:t>1992/93</w:t>
            </w:r>
          </w:p>
        </w:tc>
        <w:tc>
          <w:tcPr>
            <w:tcW w:w="1296" w:type="dxa"/>
          </w:tcPr>
          <w:p w:rsidR="00000000" w:rsidRDefault="00000000">
            <w:pPr>
              <w:pStyle w:val="BodyText"/>
              <w:spacing w:before="80" w:after="60" w:line="220" w:lineRule="exact"/>
              <w:jc w:val="center"/>
              <w:rPr>
                <w:sz w:val="18"/>
              </w:rPr>
            </w:pPr>
            <w:r>
              <w:rPr>
                <w:sz w:val="18"/>
              </w:rPr>
              <w:t>652</w:t>
            </w:r>
          </w:p>
        </w:tc>
        <w:tc>
          <w:tcPr>
            <w:tcW w:w="1296" w:type="dxa"/>
          </w:tcPr>
          <w:p w:rsidR="00000000" w:rsidRDefault="00000000">
            <w:pPr>
              <w:pStyle w:val="BodyText"/>
              <w:spacing w:before="80" w:after="60" w:line="220" w:lineRule="exact"/>
              <w:jc w:val="center"/>
              <w:rPr>
                <w:sz w:val="18"/>
              </w:rPr>
            </w:pPr>
            <w:r>
              <w:rPr>
                <w:sz w:val="18"/>
              </w:rPr>
              <w:t>106</w:t>
            </w:r>
          </w:p>
        </w:tc>
        <w:tc>
          <w:tcPr>
            <w:tcW w:w="1296" w:type="dxa"/>
          </w:tcPr>
          <w:p w:rsidR="00000000" w:rsidRDefault="00000000">
            <w:pPr>
              <w:pStyle w:val="BodyText"/>
              <w:spacing w:before="80" w:after="60" w:line="220" w:lineRule="exact"/>
              <w:jc w:val="center"/>
              <w:rPr>
                <w:sz w:val="18"/>
              </w:rPr>
            </w:pPr>
            <w:r>
              <w:rPr>
                <w:sz w:val="18"/>
              </w:rPr>
              <w:t>16,25</w:t>
            </w:r>
          </w:p>
        </w:tc>
        <w:tc>
          <w:tcPr>
            <w:tcW w:w="1296" w:type="dxa"/>
          </w:tcPr>
          <w:p w:rsidR="00000000" w:rsidRDefault="00000000">
            <w:pPr>
              <w:pStyle w:val="BodyText"/>
              <w:spacing w:before="80" w:after="60" w:line="220" w:lineRule="exact"/>
              <w:jc w:val="center"/>
              <w:rPr>
                <w:sz w:val="18"/>
              </w:rPr>
            </w:pPr>
            <w:r>
              <w:rPr>
                <w:sz w:val="18"/>
              </w:rPr>
              <w:t>2 921</w:t>
            </w:r>
          </w:p>
        </w:tc>
        <w:tc>
          <w:tcPr>
            <w:tcW w:w="1296" w:type="dxa"/>
          </w:tcPr>
          <w:p w:rsidR="00000000" w:rsidRDefault="00000000">
            <w:pPr>
              <w:pStyle w:val="BodyText"/>
              <w:spacing w:before="80" w:after="60" w:line="220" w:lineRule="exact"/>
              <w:jc w:val="center"/>
              <w:rPr>
                <w:sz w:val="18"/>
              </w:rPr>
            </w:pPr>
            <w:r>
              <w:rPr>
                <w:sz w:val="18"/>
              </w:rPr>
              <w:t>584</w:t>
            </w:r>
          </w:p>
        </w:tc>
        <w:tc>
          <w:tcPr>
            <w:tcW w:w="1296" w:type="dxa"/>
          </w:tcPr>
          <w:p w:rsidR="00000000" w:rsidRDefault="00000000">
            <w:pPr>
              <w:pStyle w:val="BodyText"/>
              <w:spacing w:before="80" w:after="60" w:line="220" w:lineRule="exact"/>
              <w:jc w:val="center"/>
              <w:rPr>
                <w:sz w:val="18"/>
              </w:rPr>
            </w:pPr>
            <w:r>
              <w:rPr>
                <w:sz w:val="18"/>
              </w:rPr>
              <w:t>19,80</w:t>
            </w:r>
          </w:p>
        </w:tc>
      </w:tr>
      <w:tr w:rsidR="00000000">
        <w:tblPrEx>
          <w:tblCellMar>
            <w:top w:w="0" w:type="dxa"/>
            <w:bottom w:w="0" w:type="dxa"/>
          </w:tblCellMar>
        </w:tblPrEx>
        <w:trPr>
          <w:jc w:val="center"/>
        </w:trPr>
        <w:tc>
          <w:tcPr>
            <w:tcW w:w="1296" w:type="dxa"/>
          </w:tcPr>
          <w:p w:rsidR="00000000" w:rsidRDefault="00000000">
            <w:pPr>
              <w:pStyle w:val="BodyText"/>
              <w:spacing w:before="80" w:after="60" w:line="220" w:lineRule="exact"/>
              <w:rPr>
                <w:sz w:val="18"/>
              </w:rPr>
            </w:pPr>
            <w:r>
              <w:rPr>
                <w:sz w:val="18"/>
              </w:rPr>
              <w:t>1993/94</w:t>
            </w:r>
          </w:p>
        </w:tc>
        <w:tc>
          <w:tcPr>
            <w:tcW w:w="1296" w:type="dxa"/>
          </w:tcPr>
          <w:p w:rsidR="00000000" w:rsidRDefault="00000000">
            <w:pPr>
              <w:pStyle w:val="BodyText"/>
              <w:spacing w:before="80" w:after="60" w:line="220" w:lineRule="exact"/>
              <w:jc w:val="center"/>
              <w:rPr>
                <w:sz w:val="18"/>
              </w:rPr>
            </w:pPr>
            <w:r>
              <w:rPr>
                <w:sz w:val="18"/>
              </w:rPr>
              <w:t>661</w:t>
            </w:r>
          </w:p>
        </w:tc>
        <w:tc>
          <w:tcPr>
            <w:tcW w:w="1296" w:type="dxa"/>
          </w:tcPr>
          <w:p w:rsidR="00000000" w:rsidRDefault="00000000">
            <w:pPr>
              <w:pStyle w:val="BodyText"/>
              <w:spacing w:before="80" w:after="60" w:line="220" w:lineRule="exact"/>
              <w:jc w:val="center"/>
              <w:rPr>
                <w:sz w:val="18"/>
              </w:rPr>
            </w:pPr>
            <w:r>
              <w:rPr>
                <w:sz w:val="18"/>
              </w:rPr>
              <w:t>116</w:t>
            </w:r>
          </w:p>
        </w:tc>
        <w:tc>
          <w:tcPr>
            <w:tcW w:w="1296" w:type="dxa"/>
          </w:tcPr>
          <w:p w:rsidR="00000000" w:rsidRDefault="00000000">
            <w:pPr>
              <w:pStyle w:val="BodyText"/>
              <w:spacing w:before="80" w:after="60" w:line="220" w:lineRule="exact"/>
              <w:jc w:val="center"/>
              <w:rPr>
                <w:sz w:val="18"/>
              </w:rPr>
            </w:pPr>
            <w:r>
              <w:rPr>
                <w:sz w:val="18"/>
              </w:rPr>
              <w:t>17,50</w:t>
            </w:r>
          </w:p>
        </w:tc>
        <w:tc>
          <w:tcPr>
            <w:tcW w:w="1296" w:type="dxa"/>
          </w:tcPr>
          <w:p w:rsidR="00000000" w:rsidRDefault="00000000">
            <w:pPr>
              <w:pStyle w:val="BodyText"/>
              <w:spacing w:before="80" w:after="60" w:line="220" w:lineRule="exact"/>
              <w:jc w:val="center"/>
              <w:rPr>
                <w:sz w:val="18"/>
              </w:rPr>
            </w:pPr>
            <w:r>
              <w:rPr>
                <w:sz w:val="18"/>
              </w:rPr>
              <w:t>3 055</w:t>
            </w:r>
          </w:p>
        </w:tc>
        <w:tc>
          <w:tcPr>
            <w:tcW w:w="1296" w:type="dxa"/>
          </w:tcPr>
          <w:p w:rsidR="00000000" w:rsidRDefault="00000000">
            <w:pPr>
              <w:pStyle w:val="BodyText"/>
              <w:spacing w:before="80" w:after="60" w:line="220" w:lineRule="exact"/>
              <w:jc w:val="center"/>
              <w:rPr>
                <w:sz w:val="18"/>
              </w:rPr>
            </w:pPr>
            <w:r>
              <w:rPr>
                <w:sz w:val="18"/>
              </w:rPr>
              <w:t>601</w:t>
            </w:r>
          </w:p>
        </w:tc>
        <w:tc>
          <w:tcPr>
            <w:tcW w:w="1296" w:type="dxa"/>
          </w:tcPr>
          <w:p w:rsidR="00000000" w:rsidRDefault="00000000">
            <w:pPr>
              <w:pStyle w:val="BodyText"/>
              <w:spacing w:before="80" w:after="60" w:line="220" w:lineRule="exact"/>
              <w:jc w:val="center"/>
              <w:rPr>
                <w:sz w:val="18"/>
              </w:rPr>
            </w:pPr>
            <w:r>
              <w:rPr>
                <w:sz w:val="18"/>
              </w:rPr>
              <w:t>19,70</w:t>
            </w:r>
          </w:p>
        </w:tc>
      </w:tr>
      <w:tr w:rsidR="00000000">
        <w:tblPrEx>
          <w:tblCellMar>
            <w:top w:w="0" w:type="dxa"/>
            <w:bottom w:w="0" w:type="dxa"/>
          </w:tblCellMar>
        </w:tblPrEx>
        <w:trPr>
          <w:jc w:val="center"/>
        </w:trPr>
        <w:tc>
          <w:tcPr>
            <w:tcW w:w="1296" w:type="dxa"/>
          </w:tcPr>
          <w:p w:rsidR="00000000" w:rsidRDefault="00000000">
            <w:pPr>
              <w:pStyle w:val="BodyText"/>
              <w:spacing w:before="80" w:after="60" w:line="220" w:lineRule="exact"/>
              <w:rPr>
                <w:sz w:val="18"/>
              </w:rPr>
            </w:pPr>
            <w:r>
              <w:rPr>
                <w:sz w:val="18"/>
              </w:rPr>
              <w:t>1994/95</w:t>
            </w:r>
          </w:p>
        </w:tc>
        <w:tc>
          <w:tcPr>
            <w:tcW w:w="1296" w:type="dxa"/>
          </w:tcPr>
          <w:p w:rsidR="00000000" w:rsidRDefault="00000000">
            <w:pPr>
              <w:pStyle w:val="BodyText"/>
              <w:spacing w:before="80" w:after="60" w:line="220" w:lineRule="exact"/>
              <w:jc w:val="center"/>
              <w:rPr>
                <w:sz w:val="18"/>
              </w:rPr>
            </w:pPr>
            <w:r>
              <w:rPr>
                <w:sz w:val="18"/>
              </w:rPr>
              <w:t>660</w:t>
            </w:r>
          </w:p>
        </w:tc>
        <w:tc>
          <w:tcPr>
            <w:tcW w:w="1296" w:type="dxa"/>
          </w:tcPr>
          <w:p w:rsidR="00000000" w:rsidRDefault="00000000">
            <w:pPr>
              <w:pStyle w:val="BodyText"/>
              <w:spacing w:before="80" w:after="60" w:line="220" w:lineRule="exact"/>
              <w:jc w:val="center"/>
              <w:rPr>
                <w:sz w:val="18"/>
              </w:rPr>
            </w:pPr>
            <w:r>
              <w:rPr>
                <w:sz w:val="18"/>
              </w:rPr>
              <w:t>124</w:t>
            </w:r>
          </w:p>
        </w:tc>
        <w:tc>
          <w:tcPr>
            <w:tcW w:w="1296" w:type="dxa"/>
          </w:tcPr>
          <w:p w:rsidR="00000000" w:rsidRDefault="00000000">
            <w:pPr>
              <w:pStyle w:val="BodyText"/>
              <w:spacing w:before="80" w:after="60" w:line="220" w:lineRule="exact"/>
              <w:jc w:val="center"/>
              <w:rPr>
                <w:sz w:val="18"/>
              </w:rPr>
            </w:pPr>
            <w:r>
              <w:rPr>
                <w:sz w:val="18"/>
              </w:rPr>
              <w:t>18,80</w:t>
            </w:r>
          </w:p>
        </w:tc>
        <w:tc>
          <w:tcPr>
            <w:tcW w:w="1296" w:type="dxa"/>
          </w:tcPr>
          <w:p w:rsidR="00000000" w:rsidRDefault="00000000">
            <w:pPr>
              <w:pStyle w:val="BodyText"/>
              <w:spacing w:before="80" w:after="60" w:line="220" w:lineRule="exact"/>
              <w:jc w:val="center"/>
              <w:rPr>
                <w:sz w:val="18"/>
              </w:rPr>
            </w:pPr>
            <w:r>
              <w:rPr>
                <w:sz w:val="18"/>
              </w:rPr>
              <w:t>3 132</w:t>
            </w:r>
          </w:p>
        </w:tc>
        <w:tc>
          <w:tcPr>
            <w:tcW w:w="1296" w:type="dxa"/>
          </w:tcPr>
          <w:p w:rsidR="00000000" w:rsidRDefault="00000000">
            <w:pPr>
              <w:pStyle w:val="BodyText"/>
              <w:spacing w:before="80" w:after="60" w:line="220" w:lineRule="exact"/>
              <w:jc w:val="center"/>
              <w:rPr>
                <w:sz w:val="18"/>
              </w:rPr>
            </w:pPr>
            <w:r>
              <w:rPr>
                <w:sz w:val="18"/>
              </w:rPr>
              <w:t>701</w:t>
            </w:r>
          </w:p>
        </w:tc>
        <w:tc>
          <w:tcPr>
            <w:tcW w:w="1296" w:type="dxa"/>
          </w:tcPr>
          <w:p w:rsidR="00000000" w:rsidRDefault="00000000">
            <w:pPr>
              <w:pStyle w:val="BodyText"/>
              <w:spacing w:before="80" w:after="60" w:line="220" w:lineRule="exact"/>
              <w:jc w:val="center"/>
              <w:rPr>
                <w:sz w:val="18"/>
              </w:rPr>
            </w:pPr>
            <w:r>
              <w:rPr>
                <w:sz w:val="18"/>
              </w:rPr>
              <w:t>22,40</w:t>
            </w:r>
          </w:p>
        </w:tc>
      </w:tr>
      <w:tr w:rsidR="00000000">
        <w:tblPrEx>
          <w:tblCellMar>
            <w:top w:w="0" w:type="dxa"/>
            <w:bottom w:w="0" w:type="dxa"/>
          </w:tblCellMar>
        </w:tblPrEx>
        <w:trPr>
          <w:jc w:val="center"/>
        </w:trPr>
        <w:tc>
          <w:tcPr>
            <w:tcW w:w="1296" w:type="dxa"/>
          </w:tcPr>
          <w:p w:rsidR="00000000" w:rsidRDefault="00000000">
            <w:pPr>
              <w:pStyle w:val="BodyText"/>
              <w:spacing w:before="80" w:after="60" w:line="220" w:lineRule="exact"/>
              <w:rPr>
                <w:sz w:val="18"/>
              </w:rPr>
            </w:pPr>
            <w:r>
              <w:rPr>
                <w:sz w:val="18"/>
              </w:rPr>
              <w:t>1995/96</w:t>
            </w:r>
          </w:p>
        </w:tc>
        <w:tc>
          <w:tcPr>
            <w:tcW w:w="1296" w:type="dxa"/>
          </w:tcPr>
          <w:p w:rsidR="00000000" w:rsidRDefault="00000000">
            <w:pPr>
              <w:pStyle w:val="BodyText"/>
              <w:spacing w:before="80" w:after="60" w:line="220" w:lineRule="exact"/>
              <w:jc w:val="center"/>
              <w:rPr>
                <w:sz w:val="18"/>
              </w:rPr>
            </w:pPr>
            <w:r>
              <w:rPr>
                <w:sz w:val="18"/>
              </w:rPr>
              <w:t>751</w:t>
            </w:r>
          </w:p>
        </w:tc>
        <w:tc>
          <w:tcPr>
            <w:tcW w:w="1296" w:type="dxa"/>
          </w:tcPr>
          <w:p w:rsidR="00000000" w:rsidRDefault="00000000">
            <w:pPr>
              <w:pStyle w:val="BodyText"/>
              <w:spacing w:before="80" w:after="60" w:line="220" w:lineRule="exact"/>
              <w:jc w:val="center"/>
              <w:rPr>
                <w:sz w:val="18"/>
              </w:rPr>
            </w:pPr>
            <w:r>
              <w:rPr>
                <w:sz w:val="18"/>
              </w:rPr>
              <w:t>157</w:t>
            </w:r>
          </w:p>
        </w:tc>
        <w:tc>
          <w:tcPr>
            <w:tcW w:w="1296" w:type="dxa"/>
          </w:tcPr>
          <w:p w:rsidR="00000000" w:rsidRDefault="00000000">
            <w:pPr>
              <w:pStyle w:val="BodyText"/>
              <w:spacing w:before="80" w:after="60" w:line="220" w:lineRule="exact"/>
              <w:jc w:val="center"/>
              <w:rPr>
                <w:sz w:val="18"/>
              </w:rPr>
            </w:pPr>
            <w:r>
              <w:rPr>
                <w:sz w:val="18"/>
              </w:rPr>
              <w:t>21,00</w:t>
            </w:r>
          </w:p>
        </w:tc>
        <w:tc>
          <w:tcPr>
            <w:tcW w:w="1296" w:type="dxa"/>
          </w:tcPr>
          <w:p w:rsidR="00000000" w:rsidRDefault="00000000">
            <w:pPr>
              <w:pStyle w:val="BodyText"/>
              <w:spacing w:before="80" w:after="60" w:line="220" w:lineRule="exact"/>
              <w:jc w:val="center"/>
              <w:rPr>
                <w:sz w:val="18"/>
              </w:rPr>
            </w:pPr>
            <w:r>
              <w:rPr>
                <w:sz w:val="18"/>
              </w:rPr>
              <w:t>3 253</w:t>
            </w:r>
          </w:p>
        </w:tc>
        <w:tc>
          <w:tcPr>
            <w:tcW w:w="1296" w:type="dxa"/>
          </w:tcPr>
          <w:p w:rsidR="00000000" w:rsidRDefault="00000000">
            <w:pPr>
              <w:pStyle w:val="BodyText"/>
              <w:spacing w:before="80" w:after="60" w:line="220" w:lineRule="exact"/>
              <w:jc w:val="center"/>
              <w:rPr>
                <w:sz w:val="18"/>
              </w:rPr>
            </w:pPr>
            <w:r>
              <w:rPr>
                <w:sz w:val="18"/>
              </w:rPr>
              <w:t>721</w:t>
            </w:r>
          </w:p>
        </w:tc>
        <w:tc>
          <w:tcPr>
            <w:tcW w:w="1296" w:type="dxa"/>
          </w:tcPr>
          <w:p w:rsidR="00000000" w:rsidRDefault="00000000">
            <w:pPr>
              <w:pStyle w:val="BodyText"/>
              <w:spacing w:before="80" w:after="60" w:line="220" w:lineRule="exact"/>
              <w:jc w:val="center"/>
              <w:rPr>
                <w:sz w:val="18"/>
              </w:rPr>
            </w:pPr>
            <w:r>
              <w:rPr>
                <w:sz w:val="18"/>
              </w:rPr>
              <w:t>22,20</w:t>
            </w:r>
          </w:p>
        </w:tc>
      </w:tr>
      <w:tr w:rsidR="00000000">
        <w:tblPrEx>
          <w:tblCellMar>
            <w:top w:w="0" w:type="dxa"/>
            <w:bottom w:w="0" w:type="dxa"/>
          </w:tblCellMar>
        </w:tblPrEx>
        <w:trPr>
          <w:jc w:val="center"/>
        </w:trPr>
        <w:tc>
          <w:tcPr>
            <w:tcW w:w="1296" w:type="dxa"/>
          </w:tcPr>
          <w:p w:rsidR="00000000" w:rsidRDefault="00000000">
            <w:pPr>
              <w:pStyle w:val="BodyText"/>
              <w:spacing w:before="80" w:after="60" w:line="220" w:lineRule="exact"/>
              <w:rPr>
                <w:sz w:val="18"/>
              </w:rPr>
            </w:pPr>
            <w:r>
              <w:rPr>
                <w:sz w:val="18"/>
              </w:rPr>
              <w:t>1996/97</w:t>
            </w:r>
          </w:p>
        </w:tc>
        <w:tc>
          <w:tcPr>
            <w:tcW w:w="1296" w:type="dxa"/>
          </w:tcPr>
          <w:p w:rsidR="00000000" w:rsidRDefault="00000000">
            <w:pPr>
              <w:pStyle w:val="BodyText"/>
              <w:spacing w:before="80" w:after="60" w:line="220" w:lineRule="exact"/>
              <w:jc w:val="center"/>
              <w:rPr>
                <w:sz w:val="18"/>
              </w:rPr>
            </w:pPr>
            <w:r>
              <w:rPr>
                <w:sz w:val="18"/>
              </w:rPr>
              <w:t>920</w:t>
            </w:r>
          </w:p>
        </w:tc>
        <w:tc>
          <w:tcPr>
            <w:tcW w:w="1296" w:type="dxa"/>
          </w:tcPr>
          <w:p w:rsidR="00000000" w:rsidRDefault="00000000">
            <w:pPr>
              <w:pStyle w:val="BodyText"/>
              <w:spacing w:before="80" w:after="60" w:line="220" w:lineRule="exact"/>
              <w:jc w:val="center"/>
              <w:rPr>
                <w:sz w:val="18"/>
              </w:rPr>
            </w:pPr>
            <w:r>
              <w:rPr>
                <w:sz w:val="18"/>
              </w:rPr>
              <w:t>225</w:t>
            </w:r>
          </w:p>
        </w:tc>
        <w:tc>
          <w:tcPr>
            <w:tcW w:w="1296" w:type="dxa"/>
          </w:tcPr>
          <w:p w:rsidR="00000000" w:rsidRDefault="00000000">
            <w:pPr>
              <w:pStyle w:val="BodyText"/>
              <w:spacing w:before="80" w:after="60" w:line="220" w:lineRule="exact"/>
              <w:jc w:val="center"/>
              <w:rPr>
                <w:sz w:val="18"/>
              </w:rPr>
            </w:pPr>
            <w:r>
              <w:rPr>
                <w:sz w:val="18"/>
              </w:rPr>
              <w:t>24,50</w:t>
            </w:r>
          </w:p>
        </w:tc>
        <w:tc>
          <w:tcPr>
            <w:tcW w:w="1296" w:type="dxa"/>
          </w:tcPr>
          <w:p w:rsidR="00000000" w:rsidRDefault="00000000">
            <w:pPr>
              <w:pStyle w:val="BodyText"/>
              <w:spacing w:before="80" w:after="60" w:line="220" w:lineRule="exact"/>
              <w:jc w:val="center"/>
              <w:rPr>
                <w:sz w:val="18"/>
              </w:rPr>
            </w:pPr>
            <w:r>
              <w:rPr>
                <w:sz w:val="18"/>
              </w:rPr>
              <w:t>3 433</w:t>
            </w:r>
          </w:p>
        </w:tc>
        <w:tc>
          <w:tcPr>
            <w:tcW w:w="1296" w:type="dxa"/>
          </w:tcPr>
          <w:p w:rsidR="00000000" w:rsidRDefault="00000000">
            <w:pPr>
              <w:pStyle w:val="BodyText"/>
              <w:spacing w:before="80" w:after="60" w:line="220" w:lineRule="exact"/>
              <w:jc w:val="center"/>
              <w:rPr>
                <w:sz w:val="18"/>
              </w:rPr>
            </w:pPr>
            <w:r>
              <w:rPr>
                <w:sz w:val="18"/>
              </w:rPr>
              <w:t>753</w:t>
            </w:r>
          </w:p>
        </w:tc>
        <w:tc>
          <w:tcPr>
            <w:tcW w:w="1296" w:type="dxa"/>
          </w:tcPr>
          <w:p w:rsidR="00000000" w:rsidRDefault="00000000">
            <w:pPr>
              <w:pStyle w:val="BodyText"/>
              <w:spacing w:before="80" w:after="60" w:line="220" w:lineRule="exact"/>
              <w:jc w:val="center"/>
              <w:rPr>
                <w:sz w:val="18"/>
              </w:rPr>
            </w:pPr>
            <w:r>
              <w:rPr>
                <w:sz w:val="18"/>
              </w:rPr>
              <w:t>22,00</w:t>
            </w:r>
          </w:p>
        </w:tc>
      </w:tr>
      <w:tr w:rsidR="00000000">
        <w:tblPrEx>
          <w:tblCellMar>
            <w:top w:w="0" w:type="dxa"/>
            <w:bottom w:w="0" w:type="dxa"/>
          </w:tblCellMar>
        </w:tblPrEx>
        <w:trPr>
          <w:jc w:val="center"/>
        </w:trPr>
        <w:tc>
          <w:tcPr>
            <w:tcW w:w="1296" w:type="dxa"/>
          </w:tcPr>
          <w:p w:rsidR="00000000" w:rsidRDefault="00000000">
            <w:pPr>
              <w:pStyle w:val="BodyText"/>
              <w:spacing w:before="80" w:after="60" w:line="220" w:lineRule="exact"/>
              <w:rPr>
                <w:sz w:val="18"/>
              </w:rPr>
            </w:pPr>
            <w:r>
              <w:rPr>
                <w:sz w:val="18"/>
              </w:rPr>
              <w:t>1997/98</w:t>
            </w:r>
          </w:p>
        </w:tc>
        <w:tc>
          <w:tcPr>
            <w:tcW w:w="1296" w:type="dxa"/>
          </w:tcPr>
          <w:p w:rsidR="00000000" w:rsidRDefault="00000000">
            <w:pPr>
              <w:pStyle w:val="BodyText"/>
              <w:spacing w:before="80" w:after="60" w:line="220" w:lineRule="exact"/>
              <w:jc w:val="center"/>
              <w:rPr>
                <w:sz w:val="18"/>
              </w:rPr>
            </w:pPr>
            <w:r>
              <w:rPr>
                <w:sz w:val="18"/>
              </w:rPr>
              <w:t>1 031</w:t>
            </w:r>
          </w:p>
        </w:tc>
        <w:tc>
          <w:tcPr>
            <w:tcW w:w="1296" w:type="dxa"/>
          </w:tcPr>
          <w:p w:rsidR="00000000" w:rsidRDefault="00000000">
            <w:pPr>
              <w:pStyle w:val="BodyText"/>
              <w:spacing w:before="80" w:after="60" w:line="220" w:lineRule="exact"/>
              <w:jc w:val="center"/>
              <w:rPr>
                <w:sz w:val="18"/>
              </w:rPr>
            </w:pPr>
            <w:r>
              <w:rPr>
                <w:sz w:val="18"/>
              </w:rPr>
              <w:t>279</w:t>
            </w:r>
          </w:p>
        </w:tc>
        <w:tc>
          <w:tcPr>
            <w:tcW w:w="1296" w:type="dxa"/>
          </w:tcPr>
          <w:p w:rsidR="00000000" w:rsidRDefault="00000000">
            <w:pPr>
              <w:pStyle w:val="BodyText"/>
              <w:spacing w:before="80" w:after="60" w:line="220" w:lineRule="exact"/>
              <w:jc w:val="center"/>
              <w:rPr>
                <w:sz w:val="18"/>
              </w:rPr>
            </w:pPr>
            <w:r>
              <w:rPr>
                <w:sz w:val="18"/>
              </w:rPr>
              <w:t>27,00</w:t>
            </w:r>
          </w:p>
        </w:tc>
        <w:tc>
          <w:tcPr>
            <w:tcW w:w="1296" w:type="dxa"/>
          </w:tcPr>
          <w:p w:rsidR="00000000" w:rsidRDefault="00000000">
            <w:pPr>
              <w:pStyle w:val="BodyText"/>
              <w:spacing w:before="80" w:after="60" w:line="220" w:lineRule="exact"/>
              <w:jc w:val="center"/>
              <w:rPr>
                <w:sz w:val="18"/>
              </w:rPr>
            </w:pPr>
            <w:r>
              <w:rPr>
                <w:sz w:val="18"/>
              </w:rPr>
              <w:t>3 385</w:t>
            </w:r>
          </w:p>
        </w:tc>
        <w:tc>
          <w:tcPr>
            <w:tcW w:w="1296" w:type="dxa"/>
          </w:tcPr>
          <w:p w:rsidR="00000000" w:rsidRDefault="00000000">
            <w:pPr>
              <w:pStyle w:val="BodyText"/>
              <w:spacing w:before="80" w:after="60" w:line="220" w:lineRule="exact"/>
              <w:jc w:val="center"/>
              <w:rPr>
                <w:sz w:val="18"/>
              </w:rPr>
            </w:pPr>
            <w:r>
              <w:rPr>
                <w:sz w:val="18"/>
              </w:rPr>
              <w:t>773</w:t>
            </w:r>
          </w:p>
        </w:tc>
        <w:tc>
          <w:tcPr>
            <w:tcW w:w="1296" w:type="dxa"/>
          </w:tcPr>
          <w:p w:rsidR="00000000" w:rsidRDefault="00000000">
            <w:pPr>
              <w:pStyle w:val="BodyText"/>
              <w:spacing w:before="80" w:after="60" w:line="220" w:lineRule="exact"/>
              <w:jc w:val="center"/>
              <w:rPr>
                <w:sz w:val="18"/>
              </w:rPr>
            </w:pPr>
            <w:r>
              <w:rPr>
                <w:sz w:val="18"/>
              </w:rPr>
              <w:t>22,80</w:t>
            </w:r>
          </w:p>
        </w:tc>
      </w:tr>
    </w:tbl>
    <w:p w:rsidR="00000000" w:rsidRDefault="00000000">
      <w:pPr>
        <w:pStyle w:val="BodyText"/>
        <w:spacing w:before="40" w:after="120" w:line="240" w:lineRule="exact"/>
        <w:ind w:right="290"/>
        <w:jc w:val="right"/>
        <w:rPr>
          <w:b/>
          <w:sz w:val="18"/>
        </w:rPr>
      </w:pPr>
      <w:r>
        <w:rPr>
          <w:b/>
          <w:sz w:val="18"/>
        </w:rPr>
        <w:t>Источник: Министерство по делам молодежи и детства</w:t>
      </w:r>
    </w:p>
    <w:p w:rsidR="00000000" w:rsidRDefault="00000000">
      <w:pPr>
        <w:pStyle w:val="BodyText"/>
        <w:spacing w:before="120" w:line="240" w:lineRule="exact"/>
        <w:rPr>
          <w:b/>
          <w:sz w:val="22"/>
        </w:rPr>
      </w:pPr>
      <w:r>
        <w:rPr>
          <w:b/>
          <w:sz w:val="22"/>
        </w:rPr>
        <w:t>IX.4.</w:t>
      </w:r>
      <w:r>
        <w:rPr>
          <w:b/>
          <w:sz w:val="22"/>
        </w:rPr>
        <w:tab/>
        <w:t>Спорт в школах и высших учебных заведениях</w:t>
      </w:r>
    </w:p>
    <w:p w:rsidR="00000000" w:rsidRDefault="00000000">
      <w:pPr>
        <w:pStyle w:val="BodyText"/>
        <w:spacing w:line="240" w:lineRule="exact"/>
        <w:rPr>
          <w:sz w:val="20"/>
        </w:rPr>
      </w:pPr>
      <w:r>
        <w:rPr>
          <w:sz w:val="20"/>
        </w:rPr>
        <w:t>867.</w:t>
      </w:r>
      <w:r>
        <w:rPr>
          <w:sz w:val="20"/>
        </w:rPr>
        <w:tab/>
        <w:t>После 1992 года число девушек, занимающихся спортом в школах, значительно возросло, что стало результатом выполнения рекомендаций в пользу развития женского спорта, разработанных Министерством по делам молодежи и детства.</w:t>
      </w:r>
    </w:p>
    <w:p w:rsidR="00000000" w:rsidRDefault="00000000">
      <w:pPr>
        <w:pStyle w:val="BodyText"/>
        <w:spacing w:after="40" w:line="240" w:lineRule="exact"/>
        <w:rPr>
          <w:sz w:val="20"/>
        </w:rPr>
      </w:pPr>
      <w:r>
        <w:rPr>
          <w:sz w:val="20"/>
        </w:rPr>
        <w:t>868.</w:t>
      </w:r>
      <w:r>
        <w:rPr>
          <w:sz w:val="20"/>
        </w:rPr>
        <w:tab/>
        <w:t>Министерство по делам молодежи и детства, используя Тунисскую федерацию школьного и студенческого спорта, приняло меры, направленные на то, чтобы:</w:t>
      </w:r>
    </w:p>
    <w:p w:rsidR="00000000" w:rsidRDefault="00000000">
      <w:pPr>
        <w:pStyle w:val="BodyText"/>
        <w:spacing w:after="40" w:line="240" w:lineRule="exact"/>
        <w:ind w:left="1021" w:hanging="1021"/>
        <w:rPr>
          <w:sz w:val="20"/>
        </w:rPr>
      </w:pPr>
      <w:r>
        <w:rPr>
          <w:sz w:val="20"/>
          <w:lang w:val="en-US"/>
        </w:rPr>
        <w:tab/>
      </w:r>
      <w:r>
        <w:rPr>
          <w:sz w:val="20"/>
        </w:rPr>
        <w:t>*</w:t>
      </w:r>
      <w:r>
        <w:rPr>
          <w:sz w:val="20"/>
        </w:rPr>
        <w:tab/>
        <w:t>пропагандировать занятия спортом среди сельских девушек, занимающихся в центрах профессиональной подготовки, а также девушек из центров профессиональной подготовки девушек, живущих в сельской местности, и центров для несовершеннолетних;</w:t>
      </w:r>
    </w:p>
    <w:p w:rsidR="00000000" w:rsidRDefault="00000000">
      <w:pPr>
        <w:pStyle w:val="BodyText"/>
        <w:spacing w:after="40" w:line="240" w:lineRule="exact"/>
        <w:ind w:left="1021" w:hanging="1021"/>
        <w:rPr>
          <w:sz w:val="20"/>
        </w:rPr>
      </w:pPr>
      <w:r>
        <w:rPr>
          <w:sz w:val="20"/>
        </w:rPr>
        <w:tab/>
        <w:t>*</w:t>
      </w:r>
      <w:r>
        <w:rPr>
          <w:sz w:val="20"/>
        </w:rPr>
        <w:tab/>
        <w:t>пропагандировать женский спорт путем индивидуальных или коллективных занятий, начиная со школьного возраста;</w:t>
      </w:r>
    </w:p>
    <w:p w:rsidR="00000000" w:rsidRDefault="00000000">
      <w:pPr>
        <w:pStyle w:val="BodyText"/>
        <w:spacing w:after="40" w:line="240" w:lineRule="exact"/>
        <w:ind w:left="1021" w:hanging="1021"/>
        <w:rPr>
          <w:sz w:val="20"/>
        </w:rPr>
      </w:pPr>
      <w:r>
        <w:rPr>
          <w:sz w:val="20"/>
        </w:rPr>
        <w:tab/>
        <w:t>*</w:t>
      </w:r>
      <w:r>
        <w:rPr>
          <w:sz w:val="20"/>
        </w:rPr>
        <w:tab/>
        <w:t>настойчиво добиваться, чтобы любительские клубы брали шефство над школьными спортивными обществами на уровне женских секций;</w:t>
      </w:r>
    </w:p>
    <w:p w:rsidR="00000000" w:rsidRDefault="00000000">
      <w:pPr>
        <w:pStyle w:val="BodyText"/>
        <w:spacing w:after="40" w:line="240" w:lineRule="exact"/>
        <w:ind w:left="1021" w:hanging="1021"/>
        <w:rPr>
          <w:sz w:val="20"/>
        </w:rPr>
      </w:pPr>
      <w:r>
        <w:rPr>
          <w:sz w:val="20"/>
          <w:lang w:val="en-US"/>
        </w:rPr>
        <w:tab/>
      </w:r>
      <w:r>
        <w:rPr>
          <w:sz w:val="20"/>
        </w:rPr>
        <w:t>*</w:t>
      </w:r>
      <w:r>
        <w:rPr>
          <w:sz w:val="20"/>
        </w:rPr>
        <w:tab/>
        <w:t>поощрять образовательные учреждения создавать спортивные клубы, специализирующиеся в женских видах спорта;</w:t>
      </w:r>
    </w:p>
    <w:p w:rsidR="00000000" w:rsidRDefault="00000000">
      <w:pPr>
        <w:pStyle w:val="BodyText"/>
        <w:spacing w:after="40" w:line="240" w:lineRule="exact"/>
        <w:rPr>
          <w:sz w:val="20"/>
        </w:rPr>
      </w:pPr>
      <w:r>
        <w:rPr>
          <w:sz w:val="20"/>
          <w:lang w:val="en-US"/>
        </w:rPr>
        <w:tab/>
      </w:r>
      <w:r>
        <w:rPr>
          <w:sz w:val="20"/>
        </w:rPr>
        <w:t>*</w:t>
      </w:r>
      <w:r>
        <w:rPr>
          <w:sz w:val="20"/>
        </w:rPr>
        <w:tab/>
        <w:t>увеличить число девушек, имеющих спортивные разряды, среди школьниц и студенток;</w:t>
      </w:r>
    </w:p>
    <w:p w:rsidR="00000000" w:rsidRDefault="00000000">
      <w:pPr>
        <w:pStyle w:val="BodyText"/>
        <w:spacing w:line="240" w:lineRule="exact"/>
        <w:ind w:left="1021" w:hanging="1021"/>
        <w:rPr>
          <w:sz w:val="20"/>
        </w:rPr>
      </w:pPr>
      <w:r>
        <w:rPr>
          <w:sz w:val="20"/>
          <w:lang w:val="en-US"/>
        </w:rPr>
        <w:tab/>
      </w:r>
      <w:r>
        <w:rPr>
          <w:sz w:val="20"/>
        </w:rPr>
        <w:t>*</w:t>
      </w:r>
      <w:r>
        <w:rPr>
          <w:sz w:val="20"/>
        </w:rPr>
        <w:tab/>
        <w:t>разнообразить типы спортивных соревнований среди женщин на национальном и региональном уровне.</w:t>
      </w:r>
    </w:p>
    <w:p w:rsidR="00000000" w:rsidRDefault="00000000">
      <w:pPr>
        <w:pStyle w:val="BodyText"/>
        <w:spacing w:before="240" w:line="240" w:lineRule="auto"/>
        <w:rPr>
          <w:b/>
          <w:sz w:val="28"/>
        </w:rPr>
      </w:pPr>
      <w:r>
        <w:rPr>
          <w:b/>
          <w:sz w:val="28"/>
        </w:rPr>
        <w:t>Перспективы</w:t>
      </w:r>
    </w:p>
    <w:p w:rsidR="00000000" w:rsidRDefault="00000000">
      <w:pPr>
        <w:pStyle w:val="BodyText"/>
        <w:spacing w:line="240" w:lineRule="exact"/>
        <w:rPr>
          <w:sz w:val="20"/>
        </w:rPr>
      </w:pPr>
      <w:r>
        <w:rPr>
          <w:sz w:val="20"/>
        </w:rPr>
        <w:t>869.</w:t>
      </w:r>
      <w:r>
        <w:rPr>
          <w:sz w:val="20"/>
        </w:rPr>
        <w:tab/>
        <w:t>Все больше поощряется властями доступ женщин к жилищному кредитованию и к кредитам для занятия приносящей доход деятельностью с целью повысить роль женщины как участника процесса развития. Создание новых механизмов финансирования, в том числе Тунисского банка солидарности, а также введение в действие новой системы микрокредитования позволит открыть новые многообещающие горизонты для женщин, которым трудно получить доступ к обычным формам банковского кредита.</w:t>
      </w:r>
    </w:p>
    <w:p w:rsidR="00000000" w:rsidRDefault="00000000">
      <w:pPr>
        <w:pStyle w:val="BodyText"/>
        <w:spacing w:line="240" w:lineRule="exact"/>
        <w:rPr>
          <w:spacing w:val="-2"/>
          <w:sz w:val="20"/>
        </w:rPr>
      </w:pPr>
      <w:r>
        <w:rPr>
          <w:spacing w:val="-2"/>
          <w:sz w:val="20"/>
        </w:rPr>
        <w:t>870.</w:t>
      </w:r>
      <w:r>
        <w:rPr>
          <w:spacing w:val="-2"/>
          <w:sz w:val="20"/>
        </w:rPr>
        <w:tab/>
        <w:t>Создание разнообразных источников микрокредитования будет способствовать усилению средне- и малообеспеченных социальных категорий населения, что позволит повысить роль все более активных женщин – инициаторов малых проектов в весьма динамичном неформальном секторе.</w:t>
      </w:r>
    </w:p>
    <w:p w:rsidR="00000000" w:rsidRDefault="00000000">
      <w:pPr>
        <w:pStyle w:val="BodyText"/>
        <w:spacing w:line="240" w:lineRule="exact"/>
        <w:rPr>
          <w:sz w:val="20"/>
          <w:lang w:val="en-US"/>
        </w:rPr>
      </w:pPr>
      <w:r>
        <w:rPr>
          <w:sz w:val="20"/>
        </w:rPr>
        <w:t>871.</w:t>
      </w:r>
      <w:r>
        <w:rPr>
          <w:sz w:val="20"/>
        </w:rPr>
        <w:tab/>
        <w:t xml:space="preserve">Ширится доступ женщин к различным секторам культурной жизни, что является одним из проявлений демократизации общественной и политической жизни и, в данном случае, политики защиты и укрепления прав женщины. </w:t>
      </w:r>
    </w:p>
    <w:p w:rsidR="00000000" w:rsidRDefault="00000000">
      <w:pPr>
        <w:spacing w:after="360" w:line="240" w:lineRule="auto"/>
        <w:jc w:val="center"/>
        <w:rPr>
          <w:b/>
          <w:sz w:val="28"/>
        </w:rPr>
      </w:pPr>
      <w:r>
        <w:br w:type="page"/>
      </w:r>
      <w:r>
        <w:rPr>
          <w:rFonts w:ascii="Symbol" w:hAnsi="Symbol"/>
          <w:b/>
          <w:sz w:val="28"/>
        </w:rPr>
        <w:t></w:t>
      </w:r>
      <w:r>
        <w:rPr>
          <w:b/>
          <w:sz w:val="28"/>
        </w:rPr>
        <w:t xml:space="preserve"> Статья 14: Женщины, проживающие в сельской местности</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i/>
        </w:rPr>
        <w:tab/>
        <w:t>1.</w:t>
      </w:r>
      <w:r>
        <w:rPr>
          <w:i/>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000000" w:rsidRDefault="00000000">
      <w:pPr>
        <w:pBdr>
          <w:top w:val="single" w:sz="6" w:space="12" w:color="auto"/>
          <w:left w:val="single" w:sz="6" w:space="6" w:color="auto"/>
          <w:bottom w:val="single" w:sz="6" w:space="12" w:color="auto"/>
          <w:right w:val="single" w:sz="6" w:space="6" w:color="auto"/>
        </w:pBdr>
        <w:spacing w:after="100"/>
        <w:ind w:left="284" w:right="284"/>
        <w:rPr>
          <w:i/>
        </w:rPr>
      </w:pPr>
      <w:r>
        <w:rPr>
          <w:i/>
          <w:lang w:val="en-US"/>
        </w:rPr>
        <w:tab/>
      </w:r>
      <w:r>
        <w:rPr>
          <w:i/>
        </w:rPr>
        <w:t>2.</w:t>
      </w:r>
      <w:r>
        <w:rPr>
          <w:i/>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pBdr>
          <w:top w:val="single" w:sz="6" w:space="12" w:color="auto"/>
          <w:left w:val="single" w:sz="6" w:space="6" w:color="auto"/>
          <w:bottom w:val="single" w:sz="6" w:space="12" w:color="auto"/>
          <w:right w:val="single" w:sz="6" w:space="6" w:color="auto"/>
        </w:pBdr>
        <w:spacing w:after="100"/>
        <w:ind w:left="284" w:right="284"/>
        <w:rPr>
          <w:i/>
        </w:rPr>
      </w:pPr>
      <w:r>
        <w:rPr>
          <w:i/>
        </w:rPr>
        <w:tab/>
        <w:t>а)</w:t>
      </w:r>
      <w:r>
        <w:rPr>
          <w:i/>
        </w:rPr>
        <w:tab/>
        <w:t xml:space="preserve"> участвовать в разработке и осуществлении планов развития на всех уровнях;</w:t>
      </w:r>
    </w:p>
    <w:p w:rsidR="00000000" w:rsidRDefault="00000000">
      <w:pPr>
        <w:pBdr>
          <w:top w:val="single" w:sz="6" w:space="12" w:color="auto"/>
          <w:left w:val="single" w:sz="6" w:space="6" w:color="auto"/>
          <w:bottom w:val="single" w:sz="6" w:space="12" w:color="auto"/>
          <w:right w:val="single" w:sz="6" w:space="6" w:color="auto"/>
        </w:pBdr>
        <w:spacing w:after="100"/>
        <w:ind w:left="1021" w:right="284" w:hanging="737"/>
        <w:rPr>
          <w:i/>
        </w:rPr>
      </w:pPr>
      <w:r>
        <w:rPr>
          <w:i/>
        </w:rPr>
        <w:tab/>
      </w:r>
      <w:r>
        <w:rPr>
          <w:i/>
          <w:lang w:val="en-US"/>
        </w:rPr>
        <w:t>b</w:t>
      </w:r>
      <w:r>
        <w:rPr>
          <w:i/>
        </w:rPr>
        <w:t>)</w:t>
      </w:r>
      <w:r>
        <w:rPr>
          <w:i/>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pBdr>
          <w:top w:val="single" w:sz="6" w:space="12" w:color="auto"/>
          <w:left w:val="single" w:sz="6" w:space="6" w:color="auto"/>
          <w:bottom w:val="single" w:sz="6" w:space="12" w:color="auto"/>
          <w:right w:val="single" w:sz="6" w:space="6" w:color="auto"/>
        </w:pBdr>
        <w:spacing w:after="100"/>
        <w:ind w:left="284" w:right="284"/>
        <w:rPr>
          <w:i/>
        </w:rPr>
      </w:pPr>
      <w:r>
        <w:rPr>
          <w:i/>
          <w:lang w:val="en-US"/>
        </w:rPr>
        <w:tab/>
        <w:t>c</w:t>
      </w:r>
      <w:r>
        <w:rPr>
          <w:i/>
        </w:rPr>
        <w:t>)</w:t>
      </w:r>
      <w:r>
        <w:rPr>
          <w:i/>
        </w:rPr>
        <w:tab/>
        <w:t>непосредственно пользоваться благами программ социального страхования;</w:t>
      </w:r>
    </w:p>
    <w:p w:rsidR="00000000" w:rsidRDefault="00000000">
      <w:pPr>
        <w:pBdr>
          <w:top w:val="single" w:sz="6" w:space="12" w:color="auto"/>
          <w:left w:val="single" w:sz="6" w:space="6" w:color="auto"/>
          <w:bottom w:val="single" w:sz="6" w:space="12" w:color="auto"/>
          <w:right w:val="single" w:sz="6" w:space="6" w:color="auto"/>
        </w:pBdr>
        <w:spacing w:after="100"/>
        <w:ind w:left="1021" w:right="284" w:hanging="737"/>
        <w:rPr>
          <w:i/>
        </w:rPr>
      </w:pPr>
      <w:r>
        <w:rPr>
          <w:i/>
          <w:lang w:val="en-US"/>
        </w:rPr>
        <w:tab/>
        <w:t>d</w:t>
      </w:r>
      <w:r>
        <w:rPr>
          <w:i/>
        </w:rPr>
        <w:t>)</w:t>
      </w:r>
      <w:r>
        <w:rPr>
          <w:i/>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pBdr>
          <w:top w:val="single" w:sz="6" w:space="12" w:color="auto"/>
          <w:left w:val="single" w:sz="6" w:space="6" w:color="auto"/>
          <w:bottom w:val="single" w:sz="6" w:space="12" w:color="auto"/>
          <w:right w:val="single" w:sz="6" w:space="6" w:color="auto"/>
        </w:pBdr>
        <w:spacing w:after="100"/>
        <w:ind w:left="1021" w:right="284" w:hanging="737"/>
        <w:rPr>
          <w:i/>
        </w:rPr>
      </w:pPr>
      <w:r>
        <w:rPr>
          <w:i/>
          <w:lang w:val="en-US"/>
        </w:rPr>
        <w:tab/>
        <w:t>e</w:t>
      </w:r>
      <w:r>
        <w:rPr>
          <w:i/>
        </w:rPr>
        <w:t>)</w:t>
      </w:r>
      <w:r>
        <w:rPr>
          <w:i/>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pBdr>
          <w:top w:val="single" w:sz="6" w:space="12" w:color="auto"/>
          <w:left w:val="single" w:sz="6" w:space="6" w:color="auto"/>
          <w:bottom w:val="single" w:sz="6" w:space="12" w:color="auto"/>
          <w:right w:val="single" w:sz="6" w:space="6" w:color="auto"/>
        </w:pBdr>
        <w:spacing w:after="100"/>
        <w:ind w:left="284" w:right="284"/>
        <w:rPr>
          <w:i/>
        </w:rPr>
      </w:pPr>
      <w:r>
        <w:rPr>
          <w:i/>
          <w:lang w:val="en-US"/>
        </w:rPr>
        <w:tab/>
        <w:t>f</w:t>
      </w:r>
      <w:r>
        <w:rPr>
          <w:i/>
        </w:rPr>
        <w:t>)</w:t>
      </w:r>
      <w:r>
        <w:rPr>
          <w:i/>
        </w:rPr>
        <w:tab/>
        <w:t>участвовать во всех видах коллективной деятельности;</w:t>
      </w:r>
    </w:p>
    <w:p w:rsidR="00000000" w:rsidRDefault="00000000">
      <w:pPr>
        <w:pBdr>
          <w:top w:val="single" w:sz="6" w:space="12" w:color="auto"/>
          <w:left w:val="single" w:sz="6" w:space="6" w:color="auto"/>
          <w:bottom w:val="single" w:sz="6" w:space="12" w:color="auto"/>
          <w:right w:val="single" w:sz="6" w:space="6" w:color="auto"/>
        </w:pBdr>
        <w:spacing w:after="100"/>
        <w:ind w:left="1021" w:right="284" w:hanging="737"/>
        <w:rPr>
          <w:i/>
        </w:rPr>
      </w:pPr>
      <w:r>
        <w:rPr>
          <w:i/>
          <w:lang w:val="en-US"/>
        </w:rPr>
        <w:tab/>
        <w:t>g</w:t>
      </w:r>
      <w:r>
        <w:rPr>
          <w:i/>
        </w:rPr>
        <w:t>)</w:t>
      </w:r>
      <w:r>
        <w:rPr>
          <w:i/>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pBdr>
          <w:top w:val="single" w:sz="6" w:space="12" w:color="auto"/>
          <w:left w:val="single" w:sz="6" w:space="6" w:color="auto"/>
          <w:bottom w:val="single" w:sz="6" w:space="12" w:color="auto"/>
          <w:right w:val="single" w:sz="6" w:space="6" w:color="auto"/>
        </w:pBdr>
        <w:ind w:left="1021" w:right="284" w:hanging="737"/>
        <w:rPr>
          <w:i/>
        </w:rPr>
      </w:pPr>
      <w:r>
        <w:rPr>
          <w:i/>
          <w:lang w:val="en-US"/>
        </w:rPr>
        <w:tab/>
        <w:t>h</w:t>
      </w:r>
      <w:r>
        <w:rPr>
          <w:i/>
        </w:rPr>
        <w:t>)</w:t>
      </w:r>
      <w:r>
        <w:rPr>
          <w:i/>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r>
        <w:t>872.</w:t>
      </w:r>
      <w:r>
        <w:tab/>
        <w:t>Проводимая в Тунисе политика децентрализованного развития благоприятствовала, в частности, гармоничному развитию всех регионов страны, усилению социально-экономической инфраструктуры и в случае необходимости определению потребностей в области образования и здравоохранения, с тем чтобы позволить каждому гражданину без какой-либо дискриминации пользоваться услугами жизненно важных служб в интересах его экономического и социального процветания.</w:t>
      </w:r>
    </w:p>
    <w:p w:rsidR="00000000" w:rsidRDefault="00000000">
      <w:r>
        <w:t>873.</w:t>
      </w:r>
      <w:r>
        <w:tab/>
        <w:t>Эти шаги получили поддержку благодаря глобальному подходу в области прав человека, который помимо политических и гражданских прав учитывает экономические, социальные и культурные права, в частности всеобщее право на достойную жизнь, что конкретно выражается в непрерывной деятельности государства на благо наименее развитых сельских районов.</w:t>
      </w:r>
    </w:p>
    <w:p w:rsidR="00000000" w:rsidRDefault="00000000">
      <w:r>
        <w:t>874.</w:t>
      </w:r>
      <w:r>
        <w:tab/>
        <w:t>Национальная солидарность, являющаяся неотъемлемой фундаментальной ценностью цивилизации, внесла решающий вклад в эффективное претворение в жизнь этого подхода и в достижение успехов в развитии сельских районов, особенно наиболее бедных, называемых "теневыми зонами", которые занимают первое место среди приоритетов государства.</w:t>
      </w:r>
    </w:p>
    <w:p w:rsidR="00000000" w:rsidRDefault="00000000">
      <w:r>
        <w:t>875.</w:t>
      </w:r>
      <w:r>
        <w:tab/>
        <w:t>Так, особое внимание уделялось женщинам, проживающим в сельской местности, результатом чего явилась техническая и финансовая поддержка их производственной деятельности в сельском хозяйстве или кустарного производства, а также учитывание их особых потребностей в различных программах и мерах, направленных на улучшение их благосостояния.</w:t>
      </w:r>
    </w:p>
    <w:p w:rsidR="00000000" w:rsidRDefault="00000000">
      <w:pPr>
        <w:spacing w:before="120" w:line="240" w:lineRule="auto"/>
        <w:rPr>
          <w:b/>
          <w:sz w:val="28"/>
        </w:rPr>
      </w:pPr>
      <w:r>
        <w:rPr>
          <w:b/>
          <w:sz w:val="28"/>
          <w:lang w:val="en-US"/>
        </w:rPr>
        <w:t>I</w:t>
      </w:r>
      <w:r>
        <w:rPr>
          <w:b/>
          <w:sz w:val="28"/>
        </w:rPr>
        <w:t>.</w:t>
      </w:r>
      <w:r>
        <w:rPr>
          <w:b/>
          <w:sz w:val="28"/>
        </w:rPr>
        <w:tab/>
        <w:t>Доступ к услугам</w:t>
      </w:r>
    </w:p>
    <w:p w:rsidR="00000000" w:rsidRDefault="00000000">
      <w:pPr>
        <w:spacing w:after="180"/>
        <w:rPr>
          <w:b/>
          <w:sz w:val="22"/>
        </w:rPr>
      </w:pPr>
      <w:r>
        <w:rPr>
          <w:b/>
          <w:sz w:val="22"/>
          <w:lang w:val="en-US"/>
        </w:rPr>
        <w:t>I</w:t>
      </w:r>
      <w:r>
        <w:rPr>
          <w:b/>
          <w:sz w:val="22"/>
        </w:rPr>
        <w:t>.1.</w:t>
      </w:r>
      <w:r>
        <w:rPr>
          <w:b/>
          <w:sz w:val="22"/>
        </w:rPr>
        <w:tab/>
        <w:t xml:space="preserve">Улучшение качества жизни </w:t>
      </w:r>
    </w:p>
    <w:p w:rsidR="00000000" w:rsidRDefault="00000000">
      <w:pPr>
        <w:spacing w:after="200"/>
      </w:pPr>
      <w:r>
        <w:t>876.</w:t>
      </w:r>
      <w:r>
        <w:tab/>
        <w:t xml:space="preserve">Усилия, предпринятые в области базовой социально-экономической инфраструктуры путем реализации национальных программ по обеспечению питьевой водой и электрификации, привели к заметному росту показателя охвата населения соответствующими услугами, который в общенациональном масштабе вырос с 72,5 процента в 1984 году до 91,6 процента в 1999 году в том, что касается обеспечения питьевой водой, и с 63,4 процента в 1984 году до 94,6 процента в 1999 году в области электрификации. </w:t>
      </w:r>
    </w:p>
    <w:p w:rsidR="00000000" w:rsidRDefault="00000000">
      <w:pPr>
        <w:spacing w:after="200"/>
      </w:pPr>
      <w:r>
        <w:t>877.</w:t>
      </w:r>
      <w:r>
        <w:tab/>
        <w:t xml:space="preserve">В сельских районах доля семей, имеющих подключение к водопроводной сети СОНЕДЕ (Национальное общество использования и распределения воды), в период 1989–1994 годов увеличилась с 11,9 процента до </w:t>
      </w:r>
      <w:r>
        <w:br/>
        <w:t>24,1 процента, а к системе СТЕГ (Тунисское общество по вопросам электричества и газа) возросла, по данным Национального института статистики (НИС), с 39,34 процента в 1989 году до 63,69 процента в 1994 году.</w:t>
      </w:r>
    </w:p>
    <w:p w:rsidR="00000000" w:rsidRDefault="00000000">
      <w:pPr>
        <w:spacing w:after="200"/>
      </w:pPr>
      <w:r>
        <w:t>878.</w:t>
      </w:r>
      <w:r>
        <w:tab/>
        <w:t>Статистические данные, представленные в таблицах, ниже, указывают на последовательную деятельность государства по обеспечению сельских районов необходимой базовой инфраструктурой и на его стремление улучшить качество жизни в них.</w:t>
      </w:r>
    </w:p>
    <w:p w:rsidR="00000000" w:rsidRDefault="00000000">
      <w:pPr>
        <w:spacing w:after="120"/>
        <w:jc w:val="center"/>
        <w:rPr>
          <w:b/>
        </w:rPr>
      </w:pPr>
      <w:r>
        <w:rPr>
          <w:b/>
        </w:rPr>
        <w:t>Динамика обеспечения домохозяйств водой в разбивке по месту проживания (в процентах)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5"/>
        <w:gridCol w:w="851"/>
        <w:gridCol w:w="850"/>
        <w:gridCol w:w="850"/>
        <w:gridCol w:w="851"/>
        <w:gridCol w:w="851"/>
        <w:gridCol w:w="851"/>
        <w:gridCol w:w="851"/>
        <w:gridCol w:w="851"/>
        <w:gridCol w:w="851"/>
      </w:tblGrid>
      <w:tr w:rsidR="00000000">
        <w:tblPrEx>
          <w:tblCellMar>
            <w:top w:w="0" w:type="dxa"/>
            <w:bottom w:w="0" w:type="dxa"/>
          </w:tblCellMar>
        </w:tblPrEx>
        <w:trPr>
          <w:cantSplit/>
          <w:jc w:val="center"/>
        </w:trPr>
        <w:tc>
          <w:tcPr>
            <w:tcW w:w="1415" w:type="dxa"/>
            <w:vMerge w:val="restart"/>
          </w:tcPr>
          <w:p w:rsidR="00000000" w:rsidRDefault="00000000">
            <w:pPr>
              <w:spacing w:before="80" w:after="80" w:line="200" w:lineRule="exact"/>
              <w:jc w:val="left"/>
              <w:rPr>
                <w:b/>
                <w:sz w:val="16"/>
              </w:rPr>
            </w:pPr>
            <w:r>
              <w:rPr>
                <w:b/>
                <w:sz w:val="16"/>
              </w:rPr>
              <w:t>Способ водоснабжения</w:t>
            </w:r>
          </w:p>
        </w:tc>
        <w:tc>
          <w:tcPr>
            <w:tcW w:w="2551" w:type="dxa"/>
            <w:gridSpan w:val="3"/>
          </w:tcPr>
          <w:p w:rsidR="00000000" w:rsidRDefault="00000000">
            <w:pPr>
              <w:spacing w:before="80" w:after="80" w:line="200" w:lineRule="exact"/>
              <w:jc w:val="center"/>
              <w:rPr>
                <w:b/>
                <w:sz w:val="16"/>
              </w:rPr>
            </w:pPr>
            <w:r>
              <w:rPr>
                <w:b/>
                <w:sz w:val="16"/>
              </w:rPr>
              <w:t>Городская среда*</w:t>
            </w:r>
          </w:p>
        </w:tc>
        <w:tc>
          <w:tcPr>
            <w:tcW w:w="2553" w:type="dxa"/>
            <w:gridSpan w:val="3"/>
          </w:tcPr>
          <w:p w:rsidR="00000000" w:rsidRDefault="00000000">
            <w:pPr>
              <w:spacing w:before="80" w:after="80" w:line="200" w:lineRule="exact"/>
              <w:jc w:val="center"/>
              <w:rPr>
                <w:b/>
                <w:sz w:val="16"/>
              </w:rPr>
            </w:pPr>
            <w:r>
              <w:rPr>
                <w:b/>
                <w:sz w:val="16"/>
              </w:rPr>
              <w:t>Сельская среда*</w:t>
            </w:r>
          </w:p>
        </w:tc>
        <w:tc>
          <w:tcPr>
            <w:tcW w:w="2553" w:type="dxa"/>
            <w:gridSpan w:val="3"/>
          </w:tcPr>
          <w:p w:rsidR="00000000" w:rsidRDefault="00000000">
            <w:pPr>
              <w:spacing w:before="80" w:after="80" w:line="200" w:lineRule="exact"/>
              <w:jc w:val="center"/>
              <w:rPr>
                <w:b/>
                <w:sz w:val="16"/>
              </w:rPr>
            </w:pPr>
            <w:r>
              <w:rPr>
                <w:b/>
                <w:sz w:val="16"/>
              </w:rPr>
              <w:t>В среднем</w:t>
            </w:r>
          </w:p>
        </w:tc>
      </w:tr>
      <w:tr w:rsidR="00000000">
        <w:tblPrEx>
          <w:tblCellMar>
            <w:top w:w="0" w:type="dxa"/>
            <w:bottom w:w="0" w:type="dxa"/>
          </w:tblCellMar>
        </w:tblPrEx>
        <w:trPr>
          <w:cantSplit/>
          <w:jc w:val="center"/>
        </w:trPr>
        <w:tc>
          <w:tcPr>
            <w:tcW w:w="1415" w:type="dxa"/>
            <w:vMerge/>
          </w:tcPr>
          <w:p w:rsidR="00000000" w:rsidRDefault="00000000">
            <w:pPr>
              <w:spacing w:before="80" w:after="80" w:line="200" w:lineRule="exact"/>
              <w:jc w:val="left"/>
              <w:rPr>
                <w:sz w:val="16"/>
              </w:rPr>
            </w:pPr>
          </w:p>
        </w:tc>
        <w:tc>
          <w:tcPr>
            <w:tcW w:w="851" w:type="dxa"/>
          </w:tcPr>
          <w:p w:rsidR="00000000" w:rsidRDefault="00000000">
            <w:pPr>
              <w:spacing w:before="80" w:after="80" w:line="200" w:lineRule="exact"/>
              <w:jc w:val="center"/>
              <w:rPr>
                <w:b/>
                <w:sz w:val="16"/>
              </w:rPr>
            </w:pPr>
            <w:r>
              <w:rPr>
                <w:b/>
                <w:sz w:val="16"/>
              </w:rPr>
              <w:t>1984 год</w:t>
            </w:r>
          </w:p>
        </w:tc>
        <w:tc>
          <w:tcPr>
            <w:tcW w:w="850" w:type="dxa"/>
          </w:tcPr>
          <w:p w:rsidR="00000000" w:rsidRDefault="00000000">
            <w:pPr>
              <w:spacing w:before="80" w:after="80" w:line="200" w:lineRule="exact"/>
              <w:jc w:val="center"/>
              <w:rPr>
                <w:b/>
                <w:sz w:val="16"/>
              </w:rPr>
            </w:pPr>
            <w:r>
              <w:rPr>
                <w:b/>
                <w:sz w:val="16"/>
              </w:rPr>
              <w:t>1989 год</w:t>
            </w:r>
          </w:p>
        </w:tc>
        <w:tc>
          <w:tcPr>
            <w:tcW w:w="850" w:type="dxa"/>
          </w:tcPr>
          <w:p w:rsidR="00000000" w:rsidRDefault="00000000">
            <w:pPr>
              <w:spacing w:before="80" w:after="80" w:line="200" w:lineRule="exact"/>
              <w:jc w:val="center"/>
              <w:rPr>
                <w:b/>
                <w:sz w:val="16"/>
              </w:rPr>
            </w:pPr>
            <w:r>
              <w:rPr>
                <w:b/>
                <w:sz w:val="16"/>
              </w:rPr>
              <w:t>1994 год</w:t>
            </w:r>
          </w:p>
        </w:tc>
        <w:tc>
          <w:tcPr>
            <w:tcW w:w="851" w:type="dxa"/>
          </w:tcPr>
          <w:p w:rsidR="00000000" w:rsidRDefault="00000000">
            <w:pPr>
              <w:spacing w:before="80" w:after="80" w:line="200" w:lineRule="exact"/>
              <w:jc w:val="center"/>
              <w:rPr>
                <w:b/>
                <w:sz w:val="16"/>
              </w:rPr>
            </w:pPr>
            <w:r>
              <w:rPr>
                <w:b/>
                <w:sz w:val="16"/>
              </w:rPr>
              <w:t>1984 год</w:t>
            </w:r>
          </w:p>
        </w:tc>
        <w:tc>
          <w:tcPr>
            <w:tcW w:w="851" w:type="dxa"/>
          </w:tcPr>
          <w:p w:rsidR="00000000" w:rsidRDefault="00000000">
            <w:pPr>
              <w:spacing w:before="80" w:after="80" w:line="200" w:lineRule="exact"/>
              <w:jc w:val="center"/>
              <w:rPr>
                <w:b/>
                <w:sz w:val="16"/>
              </w:rPr>
            </w:pPr>
            <w:r>
              <w:rPr>
                <w:b/>
                <w:sz w:val="16"/>
              </w:rPr>
              <w:t>1989 год</w:t>
            </w:r>
          </w:p>
        </w:tc>
        <w:tc>
          <w:tcPr>
            <w:tcW w:w="851" w:type="dxa"/>
          </w:tcPr>
          <w:p w:rsidR="00000000" w:rsidRDefault="00000000">
            <w:pPr>
              <w:spacing w:before="80" w:after="80" w:line="200" w:lineRule="exact"/>
              <w:jc w:val="center"/>
              <w:rPr>
                <w:b/>
                <w:sz w:val="16"/>
              </w:rPr>
            </w:pPr>
            <w:r>
              <w:rPr>
                <w:b/>
                <w:sz w:val="16"/>
              </w:rPr>
              <w:t>1994 год</w:t>
            </w:r>
          </w:p>
        </w:tc>
        <w:tc>
          <w:tcPr>
            <w:tcW w:w="851" w:type="dxa"/>
          </w:tcPr>
          <w:p w:rsidR="00000000" w:rsidRDefault="00000000">
            <w:pPr>
              <w:spacing w:before="80" w:after="80" w:line="200" w:lineRule="exact"/>
              <w:jc w:val="center"/>
              <w:rPr>
                <w:b/>
                <w:sz w:val="16"/>
              </w:rPr>
            </w:pPr>
            <w:r>
              <w:rPr>
                <w:b/>
                <w:sz w:val="16"/>
              </w:rPr>
              <w:t>1984 год</w:t>
            </w:r>
          </w:p>
        </w:tc>
        <w:tc>
          <w:tcPr>
            <w:tcW w:w="851" w:type="dxa"/>
          </w:tcPr>
          <w:p w:rsidR="00000000" w:rsidRDefault="00000000">
            <w:pPr>
              <w:spacing w:before="80" w:after="80" w:line="200" w:lineRule="exact"/>
              <w:jc w:val="center"/>
              <w:rPr>
                <w:b/>
                <w:sz w:val="16"/>
              </w:rPr>
            </w:pPr>
            <w:r>
              <w:rPr>
                <w:b/>
                <w:sz w:val="16"/>
              </w:rPr>
              <w:t>1989 год</w:t>
            </w:r>
          </w:p>
        </w:tc>
        <w:tc>
          <w:tcPr>
            <w:tcW w:w="851" w:type="dxa"/>
          </w:tcPr>
          <w:p w:rsidR="00000000" w:rsidRDefault="00000000">
            <w:pPr>
              <w:spacing w:before="80" w:after="80" w:line="200" w:lineRule="exact"/>
              <w:jc w:val="center"/>
              <w:rPr>
                <w:b/>
                <w:sz w:val="16"/>
              </w:rPr>
            </w:pPr>
            <w:r>
              <w:rPr>
                <w:b/>
                <w:sz w:val="16"/>
              </w:rPr>
              <w:t>1994 год</w:t>
            </w:r>
          </w:p>
        </w:tc>
      </w:tr>
      <w:tr w:rsidR="00000000">
        <w:tblPrEx>
          <w:tblCellMar>
            <w:top w:w="0" w:type="dxa"/>
            <w:bottom w:w="0" w:type="dxa"/>
          </w:tblCellMar>
        </w:tblPrEx>
        <w:trPr>
          <w:jc w:val="center"/>
        </w:trPr>
        <w:tc>
          <w:tcPr>
            <w:tcW w:w="1415" w:type="dxa"/>
          </w:tcPr>
          <w:p w:rsidR="00000000" w:rsidRDefault="00000000">
            <w:pPr>
              <w:spacing w:before="60" w:after="60" w:line="220" w:lineRule="exact"/>
              <w:jc w:val="left"/>
              <w:rPr>
                <w:sz w:val="18"/>
              </w:rPr>
            </w:pPr>
            <w:r>
              <w:rPr>
                <w:sz w:val="18"/>
              </w:rPr>
              <w:t>Водопровод (СОНЕДЕ)</w:t>
            </w:r>
          </w:p>
        </w:tc>
        <w:tc>
          <w:tcPr>
            <w:tcW w:w="851" w:type="dxa"/>
          </w:tcPr>
          <w:p w:rsidR="00000000" w:rsidRDefault="00000000">
            <w:pPr>
              <w:spacing w:before="60" w:after="60" w:line="220" w:lineRule="exact"/>
              <w:jc w:val="center"/>
              <w:rPr>
                <w:sz w:val="18"/>
              </w:rPr>
            </w:pPr>
            <w:r>
              <w:rPr>
                <w:sz w:val="18"/>
              </w:rPr>
              <w:t>81,7</w:t>
            </w:r>
          </w:p>
        </w:tc>
        <w:tc>
          <w:tcPr>
            <w:tcW w:w="850" w:type="dxa"/>
          </w:tcPr>
          <w:p w:rsidR="00000000" w:rsidRDefault="00000000">
            <w:pPr>
              <w:spacing w:before="60" w:after="60" w:line="220" w:lineRule="exact"/>
              <w:jc w:val="center"/>
              <w:rPr>
                <w:sz w:val="18"/>
              </w:rPr>
            </w:pPr>
            <w:r>
              <w:rPr>
                <w:sz w:val="18"/>
              </w:rPr>
              <w:t>88,3</w:t>
            </w:r>
          </w:p>
        </w:tc>
        <w:tc>
          <w:tcPr>
            <w:tcW w:w="850" w:type="dxa"/>
          </w:tcPr>
          <w:p w:rsidR="00000000" w:rsidRDefault="00000000">
            <w:pPr>
              <w:spacing w:before="60" w:after="60" w:line="220" w:lineRule="exact"/>
              <w:jc w:val="center"/>
              <w:rPr>
                <w:sz w:val="18"/>
              </w:rPr>
            </w:pPr>
            <w:r>
              <w:rPr>
                <w:sz w:val="18"/>
              </w:rPr>
              <w:t>94,3</w:t>
            </w:r>
          </w:p>
        </w:tc>
        <w:tc>
          <w:tcPr>
            <w:tcW w:w="851" w:type="dxa"/>
          </w:tcPr>
          <w:p w:rsidR="00000000" w:rsidRDefault="00000000">
            <w:pPr>
              <w:spacing w:before="60" w:after="60" w:line="220" w:lineRule="exact"/>
              <w:jc w:val="center"/>
              <w:rPr>
                <w:sz w:val="18"/>
              </w:rPr>
            </w:pPr>
            <w:r>
              <w:rPr>
                <w:sz w:val="18"/>
              </w:rPr>
              <w:t>10,8</w:t>
            </w:r>
          </w:p>
        </w:tc>
        <w:tc>
          <w:tcPr>
            <w:tcW w:w="851" w:type="dxa"/>
          </w:tcPr>
          <w:p w:rsidR="00000000" w:rsidRDefault="00000000">
            <w:pPr>
              <w:spacing w:before="60" w:after="60" w:line="220" w:lineRule="exact"/>
              <w:jc w:val="center"/>
              <w:rPr>
                <w:sz w:val="18"/>
              </w:rPr>
            </w:pPr>
            <w:r>
              <w:rPr>
                <w:sz w:val="18"/>
              </w:rPr>
              <w:t>11,9</w:t>
            </w:r>
          </w:p>
        </w:tc>
        <w:tc>
          <w:tcPr>
            <w:tcW w:w="851" w:type="dxa"/>
          </w:tcPr>
          <w:p w:rsidR="00000000" w:rsidRDefault="00000000">
            <w:pPr>
              <w:spacing w:before="60" w:after="60" w:line="220" w:lineRule="exact"/>
              <w:jc w:val="center"/>
              <w:rPr>
                <w:sz w:val="18"/>
              </w:rPr>
            </w:pPr>
            <w:r>
              <w:rPr>
                <w:sz w:val="18"/>
              </w:rPr>
              <w:t>24,1</w:t>
            </w:r>
          </w:p>
        </w:tc>
        <w:tc>
          <w:tcPr>
            <w:tcW w:w="851" w:type="dxa"/>
          </w:tcPr>
          <w:p w:rsidR="00000000" w:rsidRDefault="00000000">
            <w:pPr>
              <w:spacing w:before="60" w:after="60" w:line="220" w:lineRule="exact"/>
              <w:jc w:val="center"/>
              <w:rPr>
                <w:sz w:val="18"/>
              </w:rPr>
            </w:pPr>
            <w:r>
              <w:rPr>
                <w:sz w:val="18"/>
              </w:rPr>
              <w:t>49,4</w:t>
            </w:r>
          </w:p>
        </w:tc>
        <w:tc>
          <w:tcPr>
            <w:tcW w:w="851" w:type="dxa"/>
          </w:tcPr>
          <w:p w:rsidR="00000000" w:rsidRDefault="00000000">
            <w:pPr>
              <w:spacing w:before="60" w:after="60" w:line="220" w:lineRule="exact"/>
              <w:jc w:val="center"/>
              <w:rPr>
                <w:sz w:val="18"/>
              </w:rPr>
            </w:pPr>
            <w:r>
              <w:rPr>
                <w:sz w:val="18"/>
              </w:rPr>
              <w:t>58,4</w:t>
            </w:r>
          </w:p>
        </w:tc>
        <w:tc>
          <w:tcPr>
            <w:tcW w:w="851" w:type="dxa"/>
          </w:tcPr>
          <w:p w:rsidR="00000000" w:rsidRDefault="00000000">
            <w:pPr>
              <w:spacing w:before="60" w:after="60" w:line="220" w:lineRule="exact"/>
              <w:jc w:val="center"/>
              <w:rPr>
                <w:sz w:val="18"/>
              </w:rPr>
            </w:pPr>
            <w:r>
              <w:rPr>
                <w:sz w:val="18"/>
              </w:rPr>
              <w:t>69,1</w:t>
            </w:r>
          </w:p>
        </w:tc>
      </w:tr>
      <w:tr w:rsidR="00000000">
        <w:tblPrEx>
          <w:tblCellMar>
            <w:top w:w="0" w:type="dxa"/>
            <w:bottom w:w="0" w:type="dxa"/>
          </w:tblCellMar>
        </w:tblPrEx>
        <w:trPr>
          <w:jc w:val="center"/>
        </w:trPr>
        <w:tc>
          <w:tcPr>
            <w:tcW w:w="1415" w:type="dxa"/>
          </w:tcPr>
          <w:p w:rsidR="00000000" w:rsidRDefault="00000000">
            <w:pPr>
              <w:spacing w:before="60" w:after="60" w:line="220" w:lineRule="exact"/>
              <w:jc w:val="left"/>
              <w:rPr>
                <w:sz w:val="18"/>
              </w:rPr>
            </w:pPr>
            <w:r>
              <w:rPr>
                <w:sz w:val="18"/>
              </w:rPr>
              <w:t>Индивидуаль-ный источник (водоем или колодцы)</w:t>
            </w:r>
          </w:p>
        </w:tc>
        <w:tc>
          <w:tcPr>
            <w:tcW w:w="851" w:type="dxa"/>
          </w:tcPr>
          <w:p w:rsidR="00000000" w:rsidRDefault="00000000">
            <w:pPr>
              <w:spacing w:before="60" w:after="60" w:line="220" w:lineRule="exact"/>
              <w:jc w:val="center"/>
              <w:rPr>
                <w:sz w:val="18"/>
              </w:rPr>
            </w:pPr>
            <w:r>
              <w:rPr>
                <w:sz w:val="18"/>
              </w:rPr>
              <w:t>7,4</w:t>
            </w:r>
          </w:p>
        </w:tc>
        <w:tc>
          <w:tcPr>
            <w:tcW w:w="850" w:type="dxa"/>
          </w:tcPr>
          <w:p w:rsidR="00000000" w:rsidRDefault="00000000">
            <w:pPr>
              <w:spacing w:before="60" w:after="60" w:line="220" w:lineRule="exact"/>
              <w:jc w:val="center"/>
              <w:rPr>
                <w:sz w:val="18"/>
              </w:rPr>
            </w:pPr>
            <w:r>
              <w:rPr>
                <w:sz w:val="18"/>
              </w:rPr>
              <w:t>4,8</w:t>
            </w:r>
          </w:p>
        </w:tc>
        <w:tc>
          <w:tcPr>
            <w:tcW w:w="850" w:type="dxa"/>
          </w:tcPr>
          <w:p w:rsidR="00000000" w:rsidRDefault="00000000">
            <w:pPr>
              <w:spacing w:before="60" w:after="60" w:line="220" w:lineRule="exact"/>
              <w:jc w:val="center"/>
              <w:rPr>
                <w:sz w:val="18"/>
              </w:rPr>
            </w:pPr>
            <w:r>
              <w:rPr>
                <w:sz w:val="18"/>
              </w:rPr>
              <w:t>3,4</w:t>
            </w:r>
          </w:p>
        </w:tc>
        <w:tc>
          <w:tcPr>
            <w:tcW w:w="851" w:type="dxa"/>
          </w:tcPr>
          <w:p w:rsidR="00000000" w:rsidRDefault="00000000">
            <w:pPr>
              <w:spacing w:before="60" w:after="60" w:line="220" w:lineRule="exact"/>
              <w:jc w:val="center"/>
              <w:rPr>
                <w:sz w:val="18"/>
              </w:rPr>
            </w:pPr>
            <w:r>
              <w:rPr>
                <w:sz w:val="18"/>
              </w:rPr>
              <w:t>28,1</w:t>
            </w:r>
          </w:p>
        </w:tc>
        <w:tc>
          <w:tcPr>
            <w:tcW w:w="851" w:type="dxa"/>
          </w:tcPr>
          <w:p w:rsidR="00000000" w:rsidRDefault="00000000">
            <w:pPr>
              <w:spacing w:before="60" w:after="60" w:line="220" w:lineRule="exact"/>
              <w:jc w:val="center"/>
              <w:rPr>
                <w:sz w:val="18"/>
              </w:rPr>
            </w:pPr>
            <w:r>
              <w:rPr>
                <w:sz w:val="18"/>
              </w:rPr>
              <w:t>27,1</w:t>
            </w:r>
          </w:p>
        </w:tc>
        <w:tc>
          <w:tcPr>
            <w:tcW w:w="851" w:type="dxa"/>
          </w:tcPr>
          <w:p w:rsidR="00000000" w:rsidRDefault="00000000">
            <w:pPr>
              <w:spacing w:before="60" w:after="60" w:line="220" w:lineRule="exact"/>
              <w:jc w:val="center"/>
              <w:rPr>
                <w:sz w:val="18"/>
              </w:rPr>
            </w:pPr>
            <w:r>
              <w:rPr>
                <w:sz w:val="18"/>
              </w:rPr>
              <w:t>30,1</w:t>
            </w:r>
          </w:p>
        </w:tc>
        <w:tc>
          <w:tcPr>
            <w:tcW w:w="851" w:type="dxa"/>
          </w:tcPr>
          <w:p w:rsidR="00000000" w:rsidRDefault="00000000">
            <w:pPr>
              <w:spacing w:before="60" w:after="60" w:line="220" w:lineRule="exact"/>
              <w:jc w:val="center"/>
              <w:rPr>
                <w:sz w:val="18"/>
              </w:rPr>
            </w:pPr>
            <w:r>
              <w:rPr>
                <w:sz w:val="18"/>
              </w:rPr>
              <w:t>16,8</w:t>
            </w:r>
          </w:p>
        </w:tc>
        <w:tc>
          <w:tcPr>
            <w:tcW w:w="851" w:type="dxa"/>
          </w:tcPr>
          <w:p w:rsidR="00000000" w:rsidRDefault="00000000">
            <w:pPr>
              <w:spacing w:before="60" w:after="60" w:line="220" w:lineRule="exact"/>
              <w:jc w:val="center"/>
              <w:rPr>
                <w:sz w:val="18"/>
              </w:rPr>
            </w:pPr>
            <w:r>
              <w:rPr>
                <w:sz w:val="18"/>
              </w:rPr>
              <w:t>13,5</w:t>
            </w:r>
          </w:p>
        </w:tc>
        <w:tc>
          <w:tcPr>
            <w:tcW w:w="851" w:type="dxa"/>
          </w:tcPr>
          <w:p w:rsidR="00000000" w:rsidRDefault="00000000">
            <w:pPr>
              <w:spacing w:before="60" w:after="60" w:line="220" w:lineRule="exact"/>
              <w:jc w:val="center"/>
              <w:rPr>
                <w:sz w:val="18"/>
              </w:rPr>
            </w:pPr>
            <w:r>
              <w:rPr>
                <w:sz w:val="18"/>
              </w:rPr>
              <w:t>13,0</w:t>
            </w:r>
          </w:p>
        </w:tc>
      </w:tr>
      <w:tr w:rsidR="00000000">
        <w:tblPrEx>
          <w:tblCellMar>
            <w:top w:w="0" w:type="dxa"/>
            <w:bottom w:w="0" w:type="dxa"/>
          </w:tblCellMar>
        </w:tblPrEx>
        <w:trPr>
          <w:jc w:val="center"/>
        </w:trPr>
        <w:tc>
          <w:tcPr>
            <w:tcW w:w="1415" w:type="dxa"/>
          </w:tcPr>
          <w:p w:rsidR="00000000" w:rsidRDefault="00000000">
            <w:pPr>
              <w:spacing w:before="60" w:after="60" w:line="220" w:lineRule="exact"/>
              <w:jc w:val="left"/>
              <w:rPr>
                <w:sz w:val="18"/>
              </w:rPr>
            </w:pPr>
            <w:r>
              <w:rPr>
                <w:sz w:val="18"/>
              </w:rPr>
              <w:t>Оборудован-ный общест-венный источник (общинный водоем, общественная водоразборная колонка)</w:t>
            </w:r>
          </w:p>
        </w:tc>
        <w:tc>
          <w:tcPr>
            <w:tcW w:w="851" w:type="dxa"/>
          </w:tcPr>
          <w:p w:rsidR="00000000" w:rsidRDefault="00000000">
            <w:pPr>
              <w:spacing w:before="60" w:after="60" w:line="220" w:lineRule="exact"/>
              <w:jc w:val="center"/>
              <w:rPr>
                <w:sz w:val="18"/>
              </w:rPr>
            </w:pPr>
            <w:r>
              <w:rPr>
                <w:sz w:val="18"/>
              </w:rPr>
              <w:t>8,7</w:t>
            </w:r>
          </w:p>
        </w:tc>
        <w:tc>
          <w:tcPr>
            <w:tcW w:w="850" w:type="dxa"/>
          </w:tcPr>
          <w:p w:rsidR="00000000" w:rsidRDefault="00000000">
            <w:pPr>
              <w:spacing w:before="60" w:after="60" w:line="220" w:lineRule="exact"/>
              <w:jc w:val="center"/>
              <w:rPr>
                <w:sz w:val="18"/>
              </w:rPr>
            </w:pPr>
            <w:r>
              <w:rPr>
                <w:sz w:val="18"/>
              </w:rPr>
              <w:t>6,6</w:t>
            </w:r>
          </w:p>
        </w:tc>
        <w:tc>
          <w:tcPr>
            <w:tcW w:w="850" w:type="dxa"/>
          </w:tcPr>
          <w:p w:rsidR="00000000" w:rsidRDefault="00000000">
            <w:pPr>
              <w:spacing w:before="60" w:after="60" w:line="220" w:lineRule="exact"/>
              <w:jc w:val="center"/>
              <w:rPr>
                <w:sz w:val="18"/>
              </w:rPr>
            </w:pPr>
            <w:r>
              <w:rPr>
                <w:sz w:val="18"/>
              </w:rPr>
              <w:t>2,1</w:t>
            </w:r>
          </w:p>
        </w:tc>
        <w:tc>
          <w:tcPr>
            <w:tcW w:w="851" w:type="dxa"/>
          </w:tcPr>
          <w:p w:rsidR="00000000" w:rsidRDefault="00000000">
            <w:pPr>
              <w:spacing w:before="60" w:after="60" w:line="220" w:lineRule="exact"/>
              <w:jc w:val="center"/>
              <w:rPr>
                <w:sz w:val="18"/>
              </w:rPr>
            </w:pPr>
            <w:r>
              <w:rPr>
                <w:sz w:val="18"/>
              </w:rPr>
              <w:t>40,2</w:t>
            </w:r>
          </w:p>
        </w:tc>
        <w:tc>
          <w:tcPr>
            <w:tcW w:w="851" w:type="dxa"/>
          </w:tcPr>
          <w:p w:rsidR="00000000" w:rsidRDefault="00000000">
            <w:pPr>
              <w:spacing w:before="60" w:after="60" w:line="220" w:lineRule="exact"/>
              <w:jc w:val="center"/>
              <w:rPr>
                <w:sz w:val="18"/>
              </w:rPr>
            </w:pPr>
            <w:r>
              <w:rPr>
                <w:sz w:val="18"/>
              </w:rPr>
              <w:t>47,3</w:t>
            </w:r>
          </w:p>
        </w:tc>
        <w:tc>
          <w:tcPr>
            <w:tcW w:w="851" w:type="dxa"/>
          </w:tcPr>
          <w:p w:rsidR="00000000" w:rsidRDefault="00000000">
            <w:pPr>
              <w:spacing w:before="60" w:after="60" w:line="220" w:lineRule="exact"/>
              <w:jc w:val="center"/>
              <w:rPr>
                <w:sz w:val="18"/>
              </w:rPr>
            </w:pPr>
            <w:r>
              <w:rPr>
                <w:sz w:val="18"/>
              </w:rPr>
              <w:t>36,1</w:t>
            </w:r>
          </w:p>
        </w:tc>
        <w:tc>
          <w:tcPr>
            <w:tcW w:w="851" w:type="dxa"/>
          </w:tcPr>
          <w:p w:rsidR="00000000" w:rsidRDefault="00000000">
            <w:pPr>
              <w:spacing w:before="60" w:after="60" w:line="220" w:lineRule="exact"/>
              <w:jc w:val="center"/>
              <w:rPr>
                <w:sz w:val="18"/>
              </w:rPr>
            </w:pPr>
            <w:r>
              <w:rPr>
                <w:sz w:val="18"/>
              </w:rPr>
              <w:t>23,1</w:t>
            </w:r>
          </w:p>
        </w:tc>
        <w:tc>
          <w:tcPr>
            <w:tcW w:w="851" w:type="dxa"/>
          </w:tcPr>
          <w:p w:rsidR="00000000" w:rsidRDefault="00000000">
            <w:pPr>
              <w:spacing w:before="60" w:after="60" w:line="220" w:lineRule="exact"/>
              <w:jc w:val="center"/>
              <w:rPr>
                <w:sz w:val="18"/>
              </w:rPr>
            </w:pPr>
            <w:r>
              <w:rPr>
                <w:sz w:val="18"/>
              </w:rPr>
              <w:t>22,5</w:t>
            </w:r>
          </w:p>
        </w:tc>
        <w:tc>
          <w:tcPr>
            <w:tcW w:w="851" w:type="dxa"/>
          </w:tcPr>
          <w:p w:rsidR="00000000" w:rsidRDefault="00000000">
            <w:pPr>
              <w:spacing w:before="60" w:after="60" w:line="220" w:lineRule="exact"/>
              <w:jc w:val="center"/>
              <w:rPr>
                <w:sz w:val="18"/>
              </w:rPr>
            </w:pPr>
            <w:r>
              <w:rPr>
                <w:sz w:val="18"/>
              </w:rPr>
              <w:t>14,2</w:t>
            </w:r>
          </w:p>
        </w:tc>
      </w:tr>
      <w:tr w:rsidR="00000000">
        <w:tblPrEx>
          <w:tblCellMar>
            <w:top w:w="0" w:type="dxa"/>
            <w:bottom w:w="0" w:type="dxa"/>
          </w:tblCellMar>
        </w:tblPrEx>
        <w:trPr>
          <w:jc w:val="center"/>
        </w:trPr>
        <w:tc>
          <w:tcPr>
            <w:tcW w:w="1415" w:type="dxa"/>
          </w:tcPr>
          <w:p w:rsidR="00000000" w:rsidRDefault="00000000">
            <w:pPr>
              <w:spacing w:before="60" w:after="60" w:line="220" w:lineRule="exact"/>
              <w:jc w:val="left"/>
              <w:rPr>
                <w:sz w:val="18"/>
              </w:rPr>
            </w:pPr>
            <w:r>
              <w:rPr>
                <w:sz w:val="18"/>
              </w:rPr>
              <w:t xml:space="preserve">Необорудован-ный общест-венный источник </w:t>
            </w:r>
            <w:r>
              <w:rPr>
                <w:sz w:val="18"/>
              </w:rPr>
              <w:br/>
              <w:t xml:space="preserve">(уэд, другие источники) </w:t>
            </w:r>
          </w:p>
        </w:tc>
        <w:tc>
          <w:tcPr>
            <w:tcW w:w="851" w:type="dxa"/>
          </w:tcPr>
          <w:p w:rsidR="00000000" w:rsidRDefault="00000000">
            <w:pPr>
              <w:spacing w:before="60" w:after="60" w:line="220" w:lineRule="exact"/>
              <w:jc w:val="center"/>
              <w:rPr>
                <w:sz w:val="18"/>
              </w:rPr>
            </w:pPr>
            <w:r>
              <w:rPr>
                <w:sz w:val="18"/>
              </w:rPr>
              <w:t>2,2</w:t>
            </w:r>
          </w:p>
        </w:tc>
        <w:tc>
          <w:tcPr>
            <w:tcW w:w="850" w:type="dxa"/>
          </w:tcPr>
          <w:p w:rsidR="00000000" w:rsidRDefault="00000000">
            <w:pPr>
              <w:spacing w:before="60" w:after="60" w:line="220" w:lineRule="exact"/>
              <w:jc w:val="center"/>
              <w:rPr>
                <w:sz w:val="18"/>
              </w:rPr>
            </w:pPr>
            <w:r>
              <w:rPr>
                <w:sz w:val="18"/>
              </w:rPr>
              <w:t>0,3</w:t>
            </w:r>
          </w:p>
        </w:tc>
        <w:tc>
          <w:tcPr>
            <w:tcW w:w="850" w:type="dxa"/>
          </w:tcPr>
          <w:p w:rsidR="00000000" w:rsidRDefault="00000000">
            <w:pPr>
              <w:spacing w:before="60" w:after="60" w:line="220" w:lineRule="exact"/>
              <w:jc w:val="center"/>
              <w:rPr>
                <w:sz w:val="18"/>
              </w:rPr>
            </w:pPr>
            <w:r>
              <w:rPr>
                <w:sz w:val="18"/>
              </w:rPr>
              <w:t>0,2</w:t>
            </w:r>
          </w:p>
        </w:tc>
        <w:tc>
          <w:tcPr>
            <w:tcW w:w="851" w:type="dxa"/>
          </w:tcPr>
          <w:p w:rsidR="00000000" w:rsidRDefault="00000000">
            <w:pPr>
              <w:spacing w:before="60" w:after="60" w:line="220" w:lineRule="exact"/>
              <w:jc w:val="center"/>
              <w:rPr>
                <w:sz w:val="18"/>
              </w:rPr>
            </w:pPr>
            <w:r>
              <w:rPr>
                <w:sz w:val="18"/>
              </w:rPr>
              <w:t>20,9</w:t>
            </w:r>
          </w:p>
        </w:tc>
        <w:tc>
          <w:tcPr>
            <w:tcW w:w="851" w:type="dxa"/>
          </w:tcPr>
          <w:p w:rsidR="00000000" w:rsidRDefault="00000000">
            <w:pPr>
              <w:spacing w:before="60" w:after="60" w:line="220" w:lineRule="exact"/>
              <w:jc w:val="center"/>
              <w:rPr>
                <w:sz w:val="18"/>
              </w:rPr>
            </w:pPr>
            <w:r>
              <w:rPr>
                <w:sz w:val="18"/>
              </w:rPr>
              <w:t>13,7</w:t>
            </w:r>
          </w:p>
        </w:tc>
        <w:tc>
          <w:tcPr>
            <w:tcW w:w="851" w:type="dxa"/>
          </w:tcPr>
          <w:p w:rsidR="00000000" w:rsidRDefault="00000000">
            <w:pPr>
              <w:spacing w:before="60" w:after="60" w:line="220" w:lineRule="exact"/>
              <w:jc w:val="center"/>
              <w:rPr>
                <w:sz w:val="18"/>
              </w:rPr>
            </w:pPr>
            <w:r>
              <w:rPr>
                <w:sz w:val="18"/>
              </w:rPr>
              <w:t>9,7</w:t>
            </w:r>
          </w:p>
        </w:tc>
        <w:tc>
          <w:tcPr>
            <w:tcW w:w="851" w:type="dxa"/>
          </w:tcPr>
          <w:p w:rsidR="00000000" w:rsidRDefault="00000000">
            <w:pPr>
              <w:spacing w:before="60" w:after="60" w:line="220" w:lineRule="exact"/>
              <w:jc w:val="center"/>
              <w:rPr>
                <w:sz w:val="18"/>
              </w:rPr>
            </w:pPr>
            <w:r>
              <w:rPr>
                <w:sz w:val="18"/>
              </w:rPr>
              <w:t>10,7</w:t>
            </w:r>
          </w:p>
        </w:tc>
        <w:tc>
          <w:tcPr>
            <w:tcW w:w="851" w:type="dxa"/>
          </w:tcPr>
          <w:p w:rsidR="00000000" w:rsidRDefault="00000000">
            <w:pPr>
              <w:spacing w:before="60" w:after="60" w:line="220" w:lineRule="exact"/>
              <w:jc w:val="center"/>
              <w:rPr>
                <w:sz w:val="18"/>
              </w:rPr>
            </w:pPr>
            <w:r>
              <w:rPr>
                <w:sz w:val="18"/>
              </w:rPr>
              <w:t>5,6</w:t>
            </w:r>
          </w:p>
        </w:tc>
        <w:tc>
          <w:tcPr>
            <w:tcW w:w="851" w:type="dxa"/>
          </w:tcPr>
          <w:p w:rsidR="00000000" w:rsidRDefault="00000000">
            <w:pPr>
              <w:spacing w:before="60" w:after="60" w:line="220" w:lineRule="exact"/>
              <w:jc w:val="center"/>
              <w:rPr>
                <w:sz w:val="18"/>
              </w:rPr>
            </w:pPr>
            <w:r>
              <w:rPr>
                <w:sz w:val="18"/>
              </w:rPr>
              <w:t>3,7</w:t>
            </w:r>
          </w:p>
        </w:tc>
      </w:tr>
      <w:tr w:rsidR="00000000">
        <w:tblPrEx>
          <w:tblCellMar>
            <w:top w:w="0" w:type="dxa"/>
            <w:bottom w:w="0" w:type="dxa"/>
          </w:tblCellMar>
        </w:tblPrEx>
        <w:trPr>
          <w:jc w:val="center"/>
        </w:trPr>
        <w:tc>
          <w:tcPr>
            <w:tcW w:w="1415" w:type="dxa"/>
          </w:tcPr>
          <w:p w:rsidR="00000000" w:rsidRDefault="00000000">
            <w:pPr>
              <w:spacing w:before="60" w:after="60" w:line="220" w:lineRule="exact"/>
              <w:jc w:val="left"/>
              <w:rPr>
                <w:sz w:val="18"/>
              </w:rPr>
            </w:pPr>
            <w:r>
              <w:rPr>
                <w:sz w:val="18"/>
              </w:rPr>
              <w:t>ИТОГО</w:t>
            </w:r>
          </w:p>
        </w:tc>
        <w:tc>
          <w:tcPr>
            <w:tcW w:w="851" w:type="dxa"/>
          </w:tcPr>
          <w:p w:rsidR="00000000" w:rsidRDefault="00000000">
            <w:pPr>
              <w:spacing w:before="60" w:after="60" w:line="220" w:lineRule="exact"/>
              <w:jc w:val="center"/>
              <w:rPr>
                <w:sz w:val="18"/>
              </w:rPr>
            </w:pPr>
            <w:r>
              <w:rPr>
                <w:sz w:val="18"/>
              </w:rPr>
              <w:t>100</w:t>
            </w:r>
          </w:p>
        </w:tc>
        <w:tc>
          <w:tcPr>
            <w:tcW w:w="850" w:type="dxa"/>
          </w:tcPr>
          <w:p w:rsidR="00000000" w:rsidRDefault="00000000">
            <w:pPr>
              <w:spacing w:before="60" w:after="60" w:line="220" w:lineRule="exact"/>
              <w:jc w:val="center"/>
              <w:rPr>
                <w:sz w:val="18"/>
              </w:rPr>
            </w:pPr>
            <w:r>
              <w:rPr>
                <w:sz w:val="18"/>
              </w:rPr>
              <w:t>100</w:t>
            </w:r>
          </w:p>
        </w:tc>
        <w:tc>
          <w:tcPr>
            <w:tcW w:w="850" w:type="dxa"/>
          </w:tcPr>
          <w:p w:rsidR="00000000" w:rsidRDefault="00000000">
            <w:pPr>
              <w:spacing w:before="60" w:after="60" w:line="220" w:lineRule="exact"/>
              <w:jc w:val="center"/>
              <w:rPr>
                <w:sz w:val="18"/>
              </w:rPr>
            </w:pPr>
            <w:r>
              <w:rPr>
                <w:sz w:val="18"/>
              </w:rPr>
              <w:t>100</w:t>
            </w:r>
          </w:p>
        </w:tc>
        <w:tc>
          <w:tcPr>
            <w:tcW w:w="851" w:type="dxa"/>
          </w:tcPr>
          <w:p w:rsidR="00000000" w:rsidRDefault="00000000">
            <w:pPr>
              <w:spacing w:before="60" w:after="60" w:line="220" w:lineRule="exact"/>
              <w:jc w:val="center"/>
              <w:rPr>
                <w:sz w:val="18"/>
              </w:rPr>
            </w:pPr>
            <w:r>
              <w:rPr>
                <w:sz w:val="18"/>
              </w:rPr>
              <w:t>100</w:t>
            </w:r>
          </w:p>
        </w:tc>
        <w:tc>
          <w:tcPr>
            <w:tcW w:w="851" w:type="dxa"/>
          </w:tcPr>
          <w:p w:rsidR="00000000" w:rsidRDefault="00000000">
            <w:pPr>
              <w:spacing w:before="60" w:after="60" w:line="220" w:lineRule="exact"/>
              <w:jc w:val="center"/>
              <w:rPr>
                <w:sz w:val="18"/>
              </w:rPr>
            </w:pPr>
            <w:r>
              <w:rPr>
                <w:sz w:val="18"/>
              </w:rPr>
              <w:t>100</w:t>
            </w:r>
          </w:p>
        </w:tc>
        <w:tc>
          <w:tcPr>
            <w:tcW w:w="851" w:type="dxa"/>
          </w:tcPr>
          <w:p w:rsidR="00000000" w:rsidRDefault="00000000">
            <w:pPr>
              <w:spacing w:before="60" w:after="60" w:line="220" w:lineRule="exact"/>
              <w:jc w:val="center"/>
              <w:rPr>
                <w:sz w:val="18"/>
              </w:rPr>
            </w:pPr>
            <w:r>
              <w:rPr>
                <w:sz w:val="18"/>
              </w:rPr>
              <w:t>100</w:t>
            </w:r>
          </w:p>
        </w:tc>
        <w:tc>
          <w:tcPr>
            <w:tcW w:w="851" w:type="dxa"/>
          </w:tcPr>
          <w:p w:rsidR="00000000" w:rsidRDefault="00000000">
            <w:pPr>
              <w:spacing w:before="60" w:after="60" w:line="220" w:lineRule="exact"/>
              <w:jc w:val="center"/>
              <w:rPr>
                <w:sz w:val="18"/>
              </w:rPr>
            </w:pPr>
            <w:r>
              <w:rPr>
                <w:sz w:val="18"/>
              </w:rPr>
              <w:t>100</w:t>
            </w:r>
          </w:p>
        </w:tc>
        <w:tc>
          <w:tcPr>
            <w:tcW w:w="851" w:type="dxa"/>
          </w:tcPr>
          <w:p w:rsidR="00000000" w:rsidRDefault="00000000">
            <w:pPr>
              <w:spacing w:before="60" w:after="60" w:line="220" w:lineRule="exact"/>
              <w:jc w:val="center"/>
              <w:rPr>
                <w:sz w:val="18"/>
              </w:rPr>
            </w:pPr>
            <w:r>
              <w:rPr>
                <w:sz w:val="18"/>
              </w:rPr>
              <w:t>100</w:t>
            </w:r>
          </w:p>
        </w:tc>
        <w:tc>
          <w:tcPr>
            <w:tcW w:w="851" w:type="dxa"/>
          </w:tcPr>
          <w:p w:rsidR="00000000" w:rsidRDefault="00000000">
            <w:pPr>
              <w:spacing w:before="60" w:after="60" w:line="220" w:lineRule="exact"/>
              <w:jc w:val="center"/>
              <w:rPr>
                <w:sz w:val="18"/>
              </w:rPr>
            </w:pPr>
            <w:r>
              <w:rPr>
                <w:sz w:val="18"/>
              </w:rPr>
              <w:t>100</w:t>
            </w:r>
          </w:p>
        </w:tc>
      </w:tr>
    </w:tbl>
    <w:p w:rsidR="00000000" w:rsidRDefault="00000000">
      <w:pPr>
        <w:spacing w:before="120" w:after="120" w:line="220" w:lineRule="exact"/>
        <w:ind w:left="284" w:right="289"/>
        <w:rPr>
          <w:b/>
          <w:sz w:val="18"/>
        </w:rPr>
      </w:pPr>
      <w:r>
        <w:rPr>
          <w:b/>
          <w:sz w:val="18"/>
        </w:rPr>
        <w:t>* В 1994 году вместо понятия "городская среда" употреблялось понятие "коммунальная среда", а вместо "сельская среда" – "некоммунальная среда".</w:t>
      </w:r>
    </w:p>
    <w:p w:rsidR="00000000" w:rsidRDefault="00000000">
      <w:pPr>
        <w:spacing w:before="40" w:after="0" w:line="220" w:lineRule="exact"/>
        <w:ind w:right="290"/>
        <w:jc w:val="right"/>
        <w:rPr>
          <w:b/>
          <w:sz w:val="18"/>
        </w:rPr>
      </w:pPr>
      <w:r>
        <w:rPr>
          <w:b/>
          <w:sz w:val="18"/>
        </w:rPr>
        <w:t>Источник: НИС, Доклад ЦНИДИЖ о положении женщин, проживающих в сельской местности</w:t>
      </w:r>
    </w:p>
    <w:p w:rsidR="00000000" w:rsidRDefault="00000000">
      <w:pPr>
        <w:jc w:val="center"/>
        <w:rPr>
          <w:b/>
        </w:rPr>
      </w:pPr>
      <w:r>
        <w:rPr>
          <w:b/>
        </w:rPr>
        <w:t>Способ освещения жилищ в домохозяйствах в разбивке по месту проживания (в процентах)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62"/>
        <w:gridCol w:w="845"/>
        <w:gridCol w:w="847"/>
        <w:gridCol w:w="846"/>
        <w:gridCol w:w="846"/>
        <w:gridCol w:w="733"/>
        <w:gridCol w:w="846"/>
        <w:gridCol w:w="846"/>
        <w:gridCol w:w="846"/>
        <w:gridCol w:w="846"/>
        <w:gridCol w:w="676"/>
      </w:tblGrid>
      <w:tr w:rsidR="00000000">
        <w:tblPrEx>
          <w:tblCellMar>
            <w:top w:w="0" w:type="dxa"/>
            <w:bottom w:w="0" w:type="dxa"/>
          </w:tblCellMar>
        </w:tblPrEx>
        <w:trPr>
          <w:cantSplit/>
          <w:jc w:val="center"/>
        </w:trPr>
        <w:tc>
          <w:tcPr>
            <w:tcW w:w="1462" w:type="dxa"/>
            <w:vMerge w:val="restart"/>
          </w:tcPr>
          <w:p w:rsidR="00000000" w:rsidRDefault="00000000">
            <w:pPr>
              <w:spacing w:before="80" w:after="80" w:line="220" w:lineRule="exact"/>
              <w:jc w:val="left"/>
              <w:rPr>
                <w:b/>
                <w:sz w:val="18"/>
              </w:rPr>
            </w:pPr>
            <w:r>
              <w:rPr>
                <w:b/>
                <w:sz w:val="18"/>
              </w:rPr>
              <w:t>Место проживания</w:t>
            </w:r>
          </w:p>
        </w:tc>
        <w:tc>
          <w:tcPr>
            <w:tcW w:w="4117" w:type="dxa"/>
            <w:gridSpan w:val="5"/>
          </w:tcPr>
          <w:p w:rsidR="00000000" w:rsidRDefault="00000000">
            <w:pPr>
              <w:spacing w:before="80" w:after="80" w:line="220" w:lineRule="exact"/>
              <w:jc w:val="center"/>
              <w:rPr>
                <w:b/>
                <w:sz w:val="18"/>
              </w:rPr>
            </w:pPr>
            <w:r>
              <w:rPr>
                <w:b/>
                <w:sz w:val="18"/>
              </w:rPr>
              <w:t>1989 год</w:t>
            </w:r>
          </w:p>
        </w:tc>
        <w:tc>
          <w:tcPr>
            <w:tcW w:w="4060" w:type="dxa"/>
            <w:gridSpan w:val="5"/>
          </w:tcPr>
          <w:p w:rsidR="00000000" w:rsidRDefault="00000000">
            <w:pPr>
              <w:spacing w:before="80" w:after="80" w:line="220" w:lineRule="exact"/>
              <w:jc w:val="center"/>
              <w:rPr>
                <w:b/>
                <w:sz w:val="18"/>
              </w:rPr>
            </w:pPr>
            <w:r>
              <w:rPr>
                <w:b/>
                <w:sz w:val="18"/>
              </w:rPr>
              <w:t>1994 год</w:t>
            </w:r>
          </w:p>
        </w:tc>
      </w:tr>
      <w:tr w:rsidR="00000000">
        <w:tblPrEx>
          <w:tblCellMar>
            <w:top w:w="0" w:type="dxa"/>
            <w:bottom w:w="0" w:type="dxa"/>
          </w:tblCellMar>
        </w:tblPrEx>
        <w:trPr>
          <w:cantSplit/>
          <w:jc w:val="center"/>
        </w:trPr>
        <w:tc>
          <w:tcPr>
            <w:tcW w:w="1462" w:type="dxa"/>
            <w:vMerge/>
          </w:tcPr>
          <w:p w:rsidR="00000000" w:rsidRDefault="00000000">
            <w:pPr>
              <w:spacing w:before="80" w:after="80" w:line="220" w:lineRule="exact"/>
              <w:jc w:val="left"/>
              <w:rPr>
                <w:sz w:val="18"/>
              </w:rPr>
            </w:pPr>
          </w:p>
        </w:tc>
        <w:tc>
          <w:tcPr>
            <w:tcW w:w="845" w:type="dxa"/>
          </w:tcPr>
          <w:p w:rsidR="00000000" w:rsidRDefault="00000000">
            <w:pPr>
              <w:spacing w:before="80" w:after="80" w:line="220" w:lineRule="exact"/>
              <w:jc w:val="center"/>
              <w:rPr>
                <w:b/>
                <w:sz w:val="18"/>
              </w:rPr>
            </w:pPr>
            <w:r>
              <w:rPr>
                <w:b/>
                <w:sz w:val="18"/>
              </w:rPr>
              <w:t>СТЕГ</w:t>
            </w:r>
          </w:p>
        </w:tc>
        <w:tc>
          <w:tcPr>
            <w:tcW w:w="847" w:type="dxa"/>
          </w:tcPr>
          <w:p w:rsidR="00000000" w:rsidRDefault="00000000">
            <w:pPr>
              <w:spacing w:before="80" w:after="80" w:line="220" w:lineRule="exact"/>
              <w:ind w:left="-57" w:right="-57"/>
              <w:jc w:val="center"/>
              <w:rPr>
                <w:b/>
                <w:sz w:val="18"/>
              </w:rPr>
            </w:pPr>
            <w:r>
              <w:rPr>
                <w:b/>
                <w:sz w:val="18"/>
              </w:rPr>
              <w:t>кероси-новый примус</w:t>
            </w:r>
          </w:p>
        </w:tc>
        <w:tc>
          <w:tcPr>
            <w:tcW w:w="846" w:type="dxa"/>
          </w:tcPr>
          <w:p w:rsidR="00000000" w:rsidRDefault="00000000">
            <w:pPr>
              <w:spacing w:before="80" w:after="80" w:line="220" w:lineRule="exact"/>
              <w:ind w:left="-57" w:right="-57"/>
              <w:jc w:val="center"/>
              <w:rPr>
                <w:b/>
                <w:sz w:val="18"/>
              </w:rPr>
            </w:pPr>
            <w:r>
              <w:rPr>
                <w:b/>
                <w:sz w:val="18"/>
              </w:rPr>
              <w:t>кероси-новая лампа</w:t>
            </w:r>
          </w:p>
        </w:tc>
        <w:tc>
          <w:tcPr>
            <w:tcW w:w="846" w:type="dxa"/>
          </w:tcPr>
          <w:p w:rsidR="00000000" w:rsidRDefault="00000000">
            <w:pPr>
              <w:spacing w:before="80" w:after="80" w:line="220" w:lineRule="exact"/>
              <w:jc w:val="center"/>
              <w:rPr>
                <w:b/>
                <w:sz w:val="18"/>
              </w:rPr>
            </w:pPr>
            <w:r>
              <w:rPr>
                <w:b/>
                <w:sz w:val="18"/>
              </w:rPr>
              <w:t>другой вид осве-щения</w:t>
            </w:r>
          </w:p>
        </w:tc>
        <w:tc>
          <w:tcPr>
            <w:tcW w:w="733" w:type="dxa"/>
          </w:tcPr>
          <w:p w:rsidR="00000000" w:rsidRDefault="00000000">
            <w:pPr>
              <w:spacing w:before="80" w:after="80" w:line="220" w:lineRule="exact"/>
              <w:jc w:val="center"/>
              <w:rPr>
                <w:b/>
                <w:sz w:val="18"/>
              </w:rPr>
            </w:pPr>
            <w:r>
              <w:rPr>
                <w:b/>
                <w:sz w:val="18"/>
              </w:rPr>
              <w:t>всего</w:t>
            </w:r>
          </w:p>
        </w:tc>
        <w:tc>
          <w:tcPr>
            <w:tcW w:w="846" w:type="dxa"/>
          </w:tcPr>
          <w:p w:rsidR="00000000" w:rsidRDefault="00000000">
            <w:pPr>
              <w:spacing w:before="80" w:after="80" w:line="220" w:lineRule="exact"/>
              <w:jc w:val="center"/>
              <w:rPr>
                <w:b/>
                <w:sz w:val="18"/>
              </w:rPr>
            </w:pPr>
            <w:r>
              <w:rPr>
                <w:b/>
                <w:sz w:val="18"/>
              </w:rPr>
              <w:t>СТЕГ</w:t>
            </w:r>
          </w:p>
        </w:tc>
        <w:tc>
          <w:tcPr>
            <w:tcW w:w="846" w:type="dxa"/>
          </w:tcPr>
          <w:p w:rsidR="00000000" w:rsidRDefault="00000000">
            <w:pPr>
              <w:spacing w:before="80" w:after="80" w:line="220" w:lineRule="exact"/>
              <w:ind w:left="-57" w:right="-57"/>
              <w:jc w:val="center"/>
              <w:rPr>
                <w:b/>
                <w:sz w:val="18"/>
              </w:rPr>
            </w:pPr>
            <w:r>
              <w:rPr>
                <w:b/>
                <w:sz w:val="18"/>
              </w:rPr>
              <w:t>кероси-новый примус</w:t>
            </w:r>
          </w:p>
        </w:tc>
        <w:tc>
          <w:tcPr>
            <w:tcW w:w="846" w:type="dxa"/>
          </w:tcPr>
          <w:p w:rsidR="00000000" w:rsidRDefault="00000000">
            <w:pPr>
              <w:spacing w:before="80" w:after="80" w:line="220" w:lineRule="exact"/>
              <w:ind w:left="-57" w:right="-57"/>
              <w:jc w:val="center"/>
              <w:rPr>
                <w:b/>
                <w:sz w:val="18"/>
              </w:rPr>
            </w:pPr>
            <w:r>
              <w:rPr>
                <w:b/>
                <w:sz w:val="18"/>
              </w:rPr>
              <w:t>кероси-новая лампа</w:t>
            </w:r>
          </w:p>
        </w:tc>
        <w:tc>
          <w:tcPr>
            <w:tcW w:w="846" w:type="dxa"/>
          </w:tcPr>
          <w:p w:rsidR="00000000" w:rsidRDefault="00000000">
            <w:pPr>
              <w:spacing w:before="80" w:after="80" w:line="220" w:lineRule="exact"/>
              <w:jc w:val="center"/>
              <w:rPr>
                <w:b/>
                <w:sz w:val="18"/>
              </w:rPr>
            </w:pPr>
            <w:r>
              <w:rPr>
                <w:b/>
                <w:sz w:val="18"/>
              </w:rPr>
              <w:t>другой вид осве-щения</w:t>
            </w:r>
          </w:p>
        </w:tc>
        <w:tc>
          <w:tcPr>
            <w:tcW w:w="676" w:type="dxa"/>
          </w:tcPr>
          <w:p w:rsidR="00000000" w:rsidRDefault="00000000">
            <w:pPr>
              <w:spacing w:before="80" w:after="80" w:line="220" w:lineRule="exact"/>
              <w:jc w:val="center"/>
              <w:rPr>
                <w:b/>
                <w:sz w:val="18"/>
              </w:rPr>
            </w:pPr>
            <w:r>
              <w:rPr>
                <w:b/>
                <w:sz w:val="18"/>
              </w:rPr>
              <w:t>всего</w:t>
            </w:r>
          </w:p>
        </w:tc>
      </w:tr>
      <w:tr w:rsidR="00000000">
        <w:tblPrEx>
          <w:tblCellMar>
            <w:top w:w="0" w:type="dxa"/>
            <w:bottom w:w="0" w:type="dxa"/>
          </w:tblCellMar>
        </w:tblPrEx>
        <w:trPr>
          <w:jc w:val="center"/>
        </w:trPr>
        <w:tc>
          <w:tcPr>
            <w:tcW w:w="1462" w:type="dxa"/>
          </w:tcPr>
          <w:p w:rsidR="00000000" w:rsidRDefault="00000000">
            <w:pPr>
              <w:spacing w:before="80" w:after="80" w:line="220" w:lineRule="exact"/>
              <w:jc w:val="left"/>
              <w:rPr>
                <w:sz w:val="18"/>
              </w:rPr>
            </w:pPr>
            <w:r>
              <w:rPr>
                <w:sz w:val="18"/>
              </w:rPr>
              <w:t>Городская среда</w:t>
            </w:r>
          </w:p>
        </w:tc>
        <w:tc>
          <w:tcPr>
            <w:tcW w:w="845" w:type="dxa"/>
          </w:tcPr>
          <w:p w:rsidR="00000000" w:rsidRDefault="00000000">
            <w:pPr>
              <w:spacing w:before="80" w:after="80" w:line="220" w:lineRule="exact"/>
              <w:jc w:val="center"/>
              <w:rPr>
                <w:sz w:val="18"/>
              </w:rPr>
            </w:pPr>
            <w:r>
              <w:rPr>
                <w:sz w:val="18"/>
              </w:rPr>
              <w:t>95,39</w:t>
            </w:r>
          </w:p>
        </w:tc>
        <w:tc>
          <w:tcPr>
            <w:tcW w:w="847" w:type="dxa"/>
          </w:tcPr>
          <w:p w:rsidR="00000000" w:rsidRDefault="00000000">
            <w:pPr>
              <w:spacing w:before="80" w:after="80" w:line="220" w:lineRule="exact"/>
              <w:jc w:val="center"/>
              <w:rPr>
                <w:sz w:val="18"/>
              </w:rPr>
            </w:pPr>
            <w:r>
              <w:rPr>
                <w:sz w:val="18"/>
              </w:rPr>
              <w:t>0,80</w:t>
            </w:r>
          </w:p>
        </w:tc>
        <w:tc>
          <w:tcPr>
            <w:tcW w:w="846" w:type="dxa"/>
          </w:tcPr>
          <w:p w:rsidR="00000000" w:rsidRDefault="00000000">
            <w:pPr>
              <w:spacing w:before="80" w:after="80" w:line="220" w:lineRule="exact"/>
              <w:jc w:val="center"/>
              <w:rPr>
                <w:sz w:val="18"/>
              </w:rPr>
            </w:pPr>
            <w:r>
              <w:rPr>
                <w:sz w:val="18"/>
              </w:rPr>
              <w:t>3,47</w:t>
            </w:r>
          </w:p>
        </w:tc>
        <w:tc>
          <w:tcPr>
            <w:tcW w:w="846" w:type="dxa"/>
          </w:tcPr>
          <w:p w:rsidR="00000000" w:rsidRDefault="00000000">
            <w:pPr>
              <w:spacing w:before="80" w:after="80" w:line="220" w:lineRule="exact"/>
              <w:jc w:val="center"/>
              <w:rPr>
                <w:sz w:val="18"/>
              </w:rPr>
            </w:pPr>
            <w:r>
              <w:rPr>
                <w:sz w:val="18"/>
              </w:rPr>
              <w:t>0,34</w:t>
            </w:r>
          </w:p>
        </w:tc>
        <w:tc>
          <w:tcPr>
            <w:tcW w:w="733" w:type="dxa"/>
          </w:tcPr>
          <w:p w:rsidR="00000000" w:rsidRDefault="00000000">
            <w:pPr>
              <w:spacing w:before="80" w:after="80" w:line="220" w:lineRule="exact"/>
              <w:jc w:val="center"/>
              <w:rPr>
                <w:sz w:val="18"/>
              </w:rPr>
            </w:pPr>
            <w:r>
              <w:rPr>
                <w:sz w:val="18"/>
              </w:rPr>
              <w:t>100</w:t>
            </w:r>
          </w:p>
        </w:tc>
        <w:tc>
          <w:tcPr>
            <w:tcW w:w="846" w:type="dxa"/>
          </w:tcPr>
          <w:p w:rsidR="00000000" w:rsidRDefault="00000000">
            <w:pPr>
              <w:spacing w:before="80" w:after="80" w:line="220" w:lineRule="exact"/>
              <w:jc w:val="center"/>
              <w:rPr>
                <w:sz w:val="18"/>
              </w:rPr>
            </w:pPr>
            <w:r>
              <w:rPr>
                <w:sz w:val="18"/>
              </w:rPr>
              <w:t>98,20</w:t>
            </w:r>
          </w:p>
        </w:tc>
        <w:tc>
          <w:tcPr>
            <w:tcW w:w="846" w:type="dxa"/>
          </w:tcPr>
          <w:p w:rsidR="00000000" w:rsidRDefault="00000000">
            <w:pPr>
              <w:spacing w:before="80" w:after="80" w:line="220" w:lineRule="exact"/>
              <w:jc w:val="center"/>
              <w:rPr>
                <w:sz w:val="18"/>
              </w:rPr>
            </w:pPr>
            <w:r>
              <w:rPr>
                <w:sz w:val="18"/>
              </w:rPr>
              <w:t>0,25</w:t>
            </w:r>
          </w:p>
        </w:tc>
        <w:tc>
          <w:tcPr>
            <w:tcW w:w="846" w:type="dxa"/>
          </w:tcPr>
          <w:p w:rsidR="00000000" w:rsidRDefault="00000000">
            <w:pPr>
              <w:spacing w:before="80" w:after="80" w:line="220" w:lineRule="exact"/>
              <w:jc w:val="center"/>
              <w:rPr>
                <w:sz w:val="18"/>
              </w:rPr>
            </w:pPr>
            <w:r>
              <w:rPr>
                <w:sz w:val="18"/>
              </w:rPr>
              <w:t>1,39</w:t>
            </w:r>
          </w:p>
        </w:tc>
        <w:tc>
          <w:tcPr>
            <w:tcW w:w="846" w:type="dxa"/>
          </w:tcPr>
          <w:p w:rsidR="00000000" w:rsidRDefault="00000000">
            <w:pPr>
              <w:spacing w:before="80" w:after="80" w:line="220" w:lineRule="exact"/>
              <w:jc w:val="center"/>
              <w:rPr>
                <w:sz w:val="18"/>
              </w:rPr>
            </w:pPr>
            <w:r>
              <w:rPr>
                <w:sz w:val="18"/>
              </w:rPr>
              <w:t>0,15</w:t>
            </w:r>
          </w:p>
        </w:tc>
        <w:tc>
          <w:tcPr>
            <w:tcW w:w="676" w:type="dxa"/>
          </w:tcPr>
          <w:p w:rsidR="00000000" w:rsidRDefault="00000000">
            <w:pPr>
              <w:spacing w:before="80" w:after="80" w:line="220" w:lineRule="exact"/>
              <w:jc w:val="center"/>
              <w:rPr>
                <w:sz w:val="18"/>
              </w:rPr>
            </w:pPr>
            <w:r>
              <w:rPr>
                <w:sz w:val="18"/>
              </w:rPr>
              <w:t>100</w:t>
            </w:r>
          </w:p>
        </w:tc>
      </w:tr>
      <w:tr w:rsidR="00000000">
        <w:tblPrEx>
          <w:tblCellMar>
            <w:top w:w="0" w:type="dxa"/>
            <w:bottom w:w="0" w:type="dxa"/>
          </w:tblCellMar>
        </w:tblPrEx>
        <w:trPr>
          <w:jc w:val="center"/>
        </w:trPr>
        <w:tc>
          <w:tcPr>
            <w:tcW w:w="1462" w:type="dxa"/>
          </w:tcPr>
          <w:p w:rsidR="00000000" w:rsidRDefault="00000000">
            <w:pPr>
              <w:spacing w:before="80" w:after="80" w:line="220" w:lineRule="exact"/>
              <w:jc w:val="left"/>
              <w:rPr>
                <w:sz w:val="18"/>
              </w:rPr>
            </w:pPr>
            <w:r>
              <w:rPr>
                <w:sz w:val="18"/>
              </w:rPr>
              <w:t>Сельская среда</w:t>
            </w:r>
          </w:p>
        </w:tc>
        <w:tc>
          <w:tcPr>
            <w:tcW w:w="845" w:type="dxa"/>
          </w:tcPr>
          <w:p w:rsidR="00000000" w:rsidRDefault="00000000">
            <w:pPr>
              <w:spacing w:before="80" w:after="80" w:line="220" w:lineRule="exact"/>
              <w:jc w:val="center"/>
              <w:rPr>
                <w:sz w:val="18"/>
              </w:rPr>
            </w:pPr>
            <w:r>
              <w:rPr>
                <w:sz w:val="18"/>
              </w:rPr>
              <w:t>39,34</w:t>
            </w:r>
          </w:p>
        </w:tc>
        <w:tc>
          <w:tcPr>
            <w:tcW w:w="847" w:type="dxa"/>
          </w:tcPr>
          <w:p w:rsidR="00000000" w:rsidRDefault="00000000">
            <w:pPr>
              <w:spacing w:before="80" w:after="80" w:line="220" w:lineRule="exact"/>
              <w:jc w:val="center"/>
              <w:rPr>
                <w:sz w:val="18"/>
              </w:rPr>
            </w:pPr>
            <w:r>
              <w:rPr>
                <w:sz w:val="18"/>
              </w:rPr>
              <w:t>4,66</w:t>
            </w:r>
          </w:p>
        </w:tc>
        <w:tc>
          <w:tcPr>
            <w:tcW w:w="846" w:type="dxa"/>
          </w:tcPr>
          <w:p w:rsidR="00000000" w:rsidRDefault="00000000">
            <w:pPr>
              <w:spacing w:before="80" w:after="80" w:line="220" w:lineRule="exact"/>
              <w:jc w:val="center"/>
              <w:rPr>
                <w:sz w:val="18"/>
              </w:rPr>
            </w:pPr>
            <w:r>
              <w:rPr>
                <w:sz w:val="18"/>
              </w:rPr>
              <w:t>54,83</w:t>
            </w:r>
          </w:p>
        </w:tc>
        <w:tc>
          <w:tcPr>
            <w:tcW w:w="846" w:type="dxa"/>
          </w:tcPr>
          <w:p w:rsidR="00000000" w:rsidRDefault="00000000">
            <w:pPr>
              <w:spacing w:before="80" w:after="80" w:line="220" w:lineRule="exact"/>
              <w:jc w:val="center"/>
              <w:rPr>
                <w:sz w:val="18"/>
              </w:rPr>
            </w:pPr>
            <w:r>
              <w:rPr>
                <w:sz w:val="18"/>
              </w:rPr>
              <w:t>1,08</w:t>
            </w:r>
          </w:p>
        </w:tc>
        <w:tc>
          <w:tcPr>
            <w:tcW w:w="733" w:type="dxa"/>
          </w:tcPr>
          <w:p w:rsidR="00000000" w:rsidRDefault="00000000">
            <w:pPr>
              <w:spacing w:before="80" w:after="80" w:line="220" w:lineRule="exact"/>
              <w:jc w:val="center"/>
              <w:rPr>
                <w:sz w:val="18"/>
              </w:rPr>
            </w:pPr>
            <w:r>
              <w:rPr>
                <w:sz w:val="18"/>
              </w:rPr>
              <w:t>100</w:t>
            </w:r>
          </w:p>
        </w:tc>
        <w:tc>
          <w:tcPr>
            <w:tcW w:w="846" w:type="dxa"/>
          </w:tcPr>
          <w:p w:rsidR="00000000" w:rsidRDefault="00000000">
            <w:pPr>
              <w:spacing w:before="80" w:after="80" w:line="220" w:lineRule="exact"/>
              <w:jc w:val="center"/>
              <w:rPr>
                <w:sz w:val="18"/>
              </w:rPr>
            </w:pPr>
            <w:r>
              <w:rPr>
                <w:sz w:val="18"/>
              </w:rPr>
              <w:t>63,69</w:t>
            </w:r>
          </w:p>
        </w:tc>
        <w:tc>
          <w:tcPr>
            <w:tcW w:w="846" w:type="dxa"/>
          </w:tcPr>
          <w:p w:rsidR="00000000" w:rsidRDefault="00000000">
            <w:pPr>
              <w:spacing w:before="80" w:after="80" w:line="220" w:lineRule="exact"/>
              <w:jc w:val="center"/>
              <w:rPr>
                <w:sz w:val="18"/>
              </w:rPr>
            </w:pPr>
            <w:r>
              <w:rPr>
                <w:sz w:val="18"/>
              </w:rPr>
              <w:t>2,65</w:t>
            </w:r>
          </w:p>
        </w:tc>
        <w:tc>
          <w:tcPr>
            <w:tcW w:w="846" w:type="dxa"/>
          </w:tcPr>
          <w:p w:rsidR="00000000" w:rsidRDefault="00000000">
            <w:pPr>
              <w:spacing w:before="80" w:after="80" w:line="220" w:lineRule="exact"/>
              <w:jc w:val="center"/>
              <w:rPr>
                <w:sz w:val="18"/>
              </w:rPr>
            </w:pPr>
            <w:r>
              <w:rPr>
                <w:sz w:val="18"/>
              </w:rPr>
              <w:t>32,95</w:t>
            </w:r>
          </w:p>
        </w:tc>
        <w:tc>
          <w:tcPr>
            <w:tcW w:w="846" w:type="dxa"/>
          </w:tcPr>
          <w:p w:rsidR="00000000" w:rsidRDefault="00000000">
            <w:pPr>
              <w:spacing w:before="80" w:after="80" w:line="220" w:lineRule="exact"/>
              <w:jc w:val="center"/>
              <w:rPr>
                <w:sz w:val="18"/>
              </w:rPr>
            </w:pPr>
            <w:r>
              <w:rPr>
                <w:sz w:val="18"/>
              </w:rPr>
              <w:t>0,71</w:t>
            </w:r>
          </w:p>
        </w:tc>
        <w:tc>
          <w:tcPr>
            <w:tcW w:w="676" w:type="dxa"/>
          </w:tcPr>
          <w:p w:rsidR="00000000" w:rsidRDefault="00000000">
            <w:pPr>
              <w:spacing w:before="80" w:after="80" w:line="220" w:lineRule="exact"/>
              <w:jc w:val="center"/>
              <w:rPr>
                <w:sz w:val="18"/>
              </w:rPr>
            </w:pPr>
            <w:r>
              <w:rPr>
                <w:sz w:val="18"/>
              </w:rPr>
              <w:t>100</w:t>
            </w:r>
          </w:p>
        </w:tc>
      </w:tr>
      <w:tr w:rsidR="00000000">
        <w:tblPrEx>
          <w:tblCellMar>
            <w:top w:w="0" w:type="dxa"/>
            <w:bottom w:w="0" w:type="dxa"/>
          </w:tblCellMar>
        </w:tblPrEx>
        <w:trPr>
          <w:jc w:val="center"/>
        </w:trPr>
        <w:tc>
          <w:tcPr>
            <w:tcW w:w="1462" w:type="dxa"/>
          </w:tcPr>
          <w:p w:rsidR="00000000" w:rsidRDefault="00000000">
            <w:pPr>
              <w:spacing w:before="80" w:after="80" w:line="220" w:lineRule="exact"/>
              <w:jc w:val="left"/>
              <w:rPr>
                <w:sz w:val="18"/>
              </w:rPr>
            </w:pPr>
            <w:r>
              <w:rPr>
                <w:sz w:val="18"/>
              </w:rPr>
              <w:t>В среднем</w:t>
            </w:r>
          </w:p>
        </w:tc>
        <w:tc>
          <w:tcPr>
            <w:tcW w:w="845" w:type="dxa"/>
          </w:tcPr>
          <w:p w:rsidR="00000000" w:rsidRDefault="00000000">
            <w:pPr>
              <w:spacing w:before="80" w:after="80" w:line="220" w:lineRule="exact"/>
              <w:jc w:val="center"/>
              <w:rPr>
                <w:sz w:val="18"/>
              </w:rPr>
            </w:pPr>
            <w:r>
              <w:rPr>
                <w:sz w:val="18"/>
              </w:rPr>
              <w:t>73,17</w:t>
            </w:r>
          </w:p>
        </w:tc>
        <w:tc>
          <w:tcPr>
            <w:tcW w:w="847" w:type="dxa"/>
          </w:tcPr>
          <w:p w:rsidR="00000000" w:rsidRDefault="00000000">
            <w:pPr>
              <w:spacing w:before="80" w:after="80" w:line="220" w:lineRule="exact"/>
              <w:jc w:val="center"/>
              <w:rPr>
                <w:sz w:val="18"/>
              </w:rPr>
            </w:pPr>
            <w:r>
              <w:rPr>
                <w:sz w:val="18"/>
              </w:rPr>
              <w:t>2,30</w:t>
            </w:r>
          </w:p>
        </w:tc>
        <w:tc>
          <w:tcPr>
            <w:tcW w:w="846" w:type="dxa"/>
          </w:tcPr>
          <w:p w:rsidR="00000000" w:rsidRDefault="00000000">
            <w:pPr>
              <w:spacing w:before="80" w:after="80" w:line="220" w:lineRule="exact"/>
              <w:jc w:val="center"/>
              <w:rPr>
                <w:sz w:val="18"/>
              </w:rPr>
            </w:pPr>
            <w:r>
              <w:rPr>
                <w:sz w:val="18"/>
              </w:rPr>
              <w:t>23,46</w:t>
            </w:r>
          </w:p>
        </w:tc>
        <w:tc>
          <w:tcPr>
            <w:tcW w:w="846" w:type="dxa"/>
          </w:tcPr>
          <w:p w:rsidR="00000000" w:rsidRDefault="00000000">
            <w:pPr>
              <w:spacing w:before="80" w:after="80" w:line="220" w:lineRule="exact"/>
              <w:jc w:val="center"/>
              <w:rPr>
                <w:sz w:val="18"/>
              </w:rPr>
            </w:pPr>
            <w:r>
              <w:rPr>
                <w:sz w:val="18"/>
              </w:rPr>
              <w:t>0,63</w:t>
            </w:r>
          </w:p>
        </w:tc>
        <w:tc>
          <w:tcPr>
            <w:tcW w:w="733" w:type="dxa"/>
          </w:tcPr>
          <w:p w:rsidR="00000000" w:rsidRDefault="00000000">
            <w:pPr>
              <w:spacing w:before="80" w:after="80" w:line="220" w:lineRule="exact"/>
              <w:jc w:val="center"/>
              <w:rPr>
                <w:sz w:val="18"/>
              </w:rPr>
            </w:pPr>
            <w:r>
              <w:rPr>
                <w:sz w:val="18"/>
              </w:rPr>
              <w:t>100</w:t>
            </w:r>
          </w:p>
        </w:tc>
        <w:tc>
          <w:tcPr>
            <w:tcW w:w="846" w:type="dxa"/>
          </w:tcPr>
          <w:p w:rsidR="00000000" w:rsidRDefault="00000000">
            <w:pPr>
              <w:spacing w:before="80" w:after="80" w:line="220" w:lineRule="exact"/>
              <w:jc w:val="center"/>
              <w:rPr>
                <w:sz w:val="18"/>
              </w:rPr>
            </w:pPr>
            <w:r>
              <w:rPr>
                <w:sz w:val="18"/>
              </w:rPr>
              <w:t>85,86</w:t>
            </w:r>
          </w:p>
        </w:tc>
        <w:tc>
          <w:tcPr>
            <w:tcW w:w="846" w:type="dxa"/>
          </w:tcPr>
          <w:p w:rsidR="00000000" w:rsidRDefault="00000000">
            <w:pPr>
              <w:spacing w:before="80" w:after="80" w:line="220" w:lineRule="exact"/>
              <w:jc w:val="center"/>
              <w:rPr>
                <w:sz w:val="18"/>
              </w:rPr>
            </w:pPr>
            <w:r>
              <w:rPr>
                <w:sz w:val="18"/>
              </w:rPr>
              <w:t>1,11</w:t>
            </w:r>
          </w:p>
        </w:tc>
        <w:tc>
          <w:tcPr>
            <w:tcW w:w="846" w:type="dxa"/>
          </w:tcPr>
          <w:p w:rsidR="00000000" w:rsidRDefault="00000000">
            <w:pPr>
              <w:spacing w:before="80" w:after="80" w:line="220" w:lineRule="exact"/>
              <w:jc w:val="center"/>
              <w:rPr>
                <w:sz w:val="18"/>
              </w:rPr>
            </w:pPr>
            <w:r>
              <w:rPr>
                <w:sz w:val="18"/>
              </w:rPr>
              <w:t>12,68</w:t>
            </w:r>
          </w:p>
        </w:tc>
        <w:tc>
          <w:tcPr>
            <w:tcW w:w="846" w:type="dxa"/>
          </w:tcPr>
          <w:p w:rsidR="00000000" w:rsidRDefault="00000000">
            <w:pPr>
              <w:spacing w:before="80" w:after="80" w:line="220" w:lineRule="exact"/>
              <w:jc w:val="center"/>
              <w:rPr>
                <w:sz w:val="18"/>
              </w:rPr>
            </w:pPr>
            <w:r>
              <w:rPr>
                <w:sz w:val="18"/>
              </w:rPr>
              <w:t>0,35</w:t>
            </w:r>
          </w:p>
        </w:tc>
        <w:tc>
          <w:tcPr>
            <w:tcW w:w="676" w:type="dxa"/>
          </w:tcPr>
          <w:p w:rsidR="00000000" w:rsidRDefault="00000000">
            <w:pPr>
              <w:spacing w:before="80" w:after="80" w:line="220" w:lineRule="exact"/>
              <w:jc w:val="center"/>
              <w:rPr>
                <w:sz w:val="18"/>
              </w:rPr>
            </w:pPr>
            <w:r>
              <w:rPr>
                <w:sz w:val="18"/>
              </w:rPr>
              <w:t>100</w:t>
            </w:r>
          </w:p>
        </w:tc>
      </w:tr>
    </w:tbl>
    <w:p w:rsidR="00000000" w:rsidRDefault="00000000">
      <w:pPr>
        <w:spacing w:before="80" w:line="220" w:lineRule="exact"/>
        <w:jc w:val="right"/>
        <w:rPr>
          <w:b/>
          <w:sz w:val="18"/>
        </w:rPr>
      </w:pPr>
      <w:r>
        <w:rPr>
          <w:b/>
          <w:sz w:val="18"/>
        </w:rPr>
        <w:t>Источник: НИС, Доклад ЦНИДИЖ о положении женщин, проживающих в сельской местности</w:t>
      </w:r>
    </w:p>
    <w:p w:rsidR="00000000" w:rsidRDefault="00000000">
      <w:pPr>
        <w:jc w:val="center"/>
        <w:rPr>
          <w:b/>
        </w:rPr>
      </w:pPr>
      <w:r>
        <w:rPr>
          <w:b/>
        </w:rPr>
        <w:t xml:space="preserve">Основной источник энергии, используемый для приготовления пищи, в разбивке по месту проживания </w:t>
      </w:r>
      <w:r>
        <w:rPr>
          <w:b/>
        </w:rPr>
        <w:br/>
        <w:t>и в процентах по отношению к числу домохозяйств</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86"/>
        <w:gridCol w:w="889"/>
        <w:gridCol w:w="889"/>
        <w:gridCol w:w="1184"/>
        <w:gridCol w:w="1184"/>
        <w:gridCol w:w="889"/>
      </w:tblGrid>
      <w:tr w:rsidR="00000000">
        <w:tblPrEx>
          <w:tblCellMar>
            <w:top w:w="0" w:type="dxa"/>
            <w:bottom w:w="0" w:type="dxa"/>
          </w:tblCellMar>
        </w:tblPrEx>
        <w:trPr>
          <w:jc w:val="center"/>
        </w:trPr>
        <w:tc>
          <w:tcPr>
            <w:tcW w:w="1486" w:type="dxa"/>
          </w:tcPr>
          <w:p w:rsidR="00000000" w:rsidRDefault="00000000">
            <w:pPr>
              <w:spacing w:before="80" w:after="80" w:line="220" w:lineRule="exact"/>
              <w:jc w:val="left"/>
              <w:rPr>
                <w:b/>
                <w:sz w:val="18"/>
              </w:rPr>
            </w:pPr>
            <w:r>
              <w:rPr>
                <w:b/>
                <w:sz w:val="18"/>
              </w:rPr>
              <w:t>Место проживания</w:t>
            </w:r>
          </w:p>
        </w:tc>
        <w:tc>
          <w:tcPr>
            <w:tcW w:w="889" w:type="dxa"/>
          </w:tcPr>
          <w:p w:rsidR="00000000" w:rsidRDefault="00000000">
            <w:pPr>
              <w:spacing w:before="80" w:after="80" w:line="220" w:lineRule="exact"/>
              <w:jc w:val="center"/>
              <w:rPr>
                <w:b/>
                <w:sz w:val="18"/>
              </w:rPr>
            </w:pPr>
            <w:r>
              <w:rPr>
                <w:b/>
                <w:sz w:val="18"/>
              </w:rPr>
              <w:t>Газ</w:t>
            </w:r>
          </w:p>
        </w:tc>
        <w:tc>
          <w:tcPr>
            <w:tcW w:w="889" w:type="dxa"/>
          </w:tcPr>
          <w:p w:rsidR="00000000" w:rsidRDefault="00000000">
            <w:pPr>
              <w:spacing w:before="80" w:after="80" w:line="220" w:lineRule="exact"/>
              <w:jc w:val="center"/>
              <w:rPr>
                <w:b/>
                <w:sz w:val="18"/>
              </w:rPr>
            </w:pPr>
            <w:r>
              <w:rPr>
                <w:b/>
                <w:sz w:val="18"/>
              </w:rPr>
              <w:t>Мазут</w:t>
            </w:r>
          </w:p>
        </w:tc>
        <w:tc>
          <w:tcPr>
            <w:tcW w:w="1184" w:type="dxa"/>
          </w:tcPr>
          <w:p w:rsidR="00000000" w:rsidRDefault="00000000">
            <w:pPr>
              <w:spacing w:before="80" w:after="80" w:line="220" w:lineRule="exact"/>
              <w:jc w:val="center"/>
              <w:rPr>
                <w:b/>
                <w:sz w:val="18"/>
              </w:rPr>
            </w:pPr>
            <w:r>
              <w:rPr>
                <w:b/>
                <w:sz w:val="18"/>
              </w:rPr>
              <w:t>Уголь,</w:t>
            </w:r>
            <w:r>
              <w:rPr>
                <w:b/>
                <w:sz w:val="18"/>
                <w:lang w:val="en-US"/>
              </w:rPr>
              <w:br/>
            </w:r>
            <w:r>
              <w:rPr>
                <w:b/>
                <w:sz w:val="18"/>
              </w:rPr>
              <w:t>древесина</w:t>
            </w:r>
          </w:p>
        </w:tc>
        <w:tc>
          <w:tcPr>
            <w:tcW w:w="1184" w:type="dxa"/>
          </w:tcPr>
          <w:p w:rsidR="00000000" w:rsidRDefault="00000000">
            <w:pPr>
              <w:spacing w:before="80" w:after="80" w:line="220" w:lineRule="exact"/>
              <w:jc w:val="center"/>
              <w:rPr>
                <w:b/>
                <w:sz w:val="18"/>
              </w:rPr>
            </w:pPr>
            <w:r>
              <w:rPr>
                <w:b/>
                <w:sz w:val="18"/>
              </w:rPr>
              <w:t>Другие источники</w:t>
            </w:r>
          </w:p>
        </w:tc>
        <w:tc>
          <w:tcPr>
            <w:tcW w:w="889" w:type="dxa"/>
          </w:tcPr>
          <w:p w:rsidR="00000000" w:rsidRDefault="00000000">
            <w:pPr>
              <w:spacing w:before="80" w:after="80" w:line="220" w:lineRule="exact"/>
              <w:jc w:val="center"/>
              <w:rPr>
                <w:b/>
                <w:sz w:val="18"/>
              </w:rPr>
            </w:pPr>
            <w:r>
              <w:rPr>
                <w:b/>
                <w:sz w:val="18"/>
              </w:rPr>
              <w:t>Всего</w:t>
            </w:r>
          </w:p>
        </w:tc>
      </w:tr>
      <w:tr w:rsidR="00000000">
        <w:tblPrEx>
          <w:tblCellMar>
            <w:top w:w="0" w:type="dxa"/>
            <w:bottom w:w="0" w:type="dxa"/>
          </w:tblCellMar>
        </w:tblPrEx>
        <w:trPr>
          <w:cantSplit/>
          <w:jc w:val="center"/>
        </w:trPr>
        <w:tc>
          <w:tcPr>
            <w:tcW w:w="1486" w:type="dxa"/>
          </w:tcPr>
          <w:p w:rsidR="00000000" w:rsidRDefault="00000000">
            <w:pPr>
              <w:spacing w:before="80" w:after="80" w:line="220" w:lineRule="exact"/>
              <w:jc w:val="left"/>
              <w:rPr>
                <w:sz w:val="18"/>
              </w:rPr>
            </w:pPr>
          </w:p>
        </w:tc>
        <w:tc>
          <w:tcPr>
            <w:tcW w:w="5035" w:type="dxa"/>
            <w:gridSpan w:val="5"/>
          </w:tcPr>
          <w:p w:rsidR="00000000" w:rsidRDefault="00000000">
            <w:pPr>
              <w:spacing w:before="80" w:after="80" w:line="220" w:lineRule="exact"/>
              <w:jc w:val="center"/>
              <w:rPr>
                <w:b/>
                <w:sz w:val="18"/>
              </w:rPr>
            </w:pPr>
            <w:r>
              <w:rPr>
                <w:b/>
                <w:sz w:val="18"/>
              </w:rPr>
              <w:t>1989 год</w:t>
            </w:r>
          </w:p>
        </w:tc>
      </w:tr>
      <w:tr w:rsidR="00000000">
        <w:tblPrEx>
          <w:tblCellMar>
            <w:top w:w="0" w:type="dxa"/>
            <w:bottom w:w="0" w:type="dxa"/>
          </w:tblCellMar>
        </w:tblPrEx>
        <w:trPr>
          <w:jc w:val="center"/>
        </w:trPr>
        <w:tc>
          <w:tcPr>
            <w:tcW w:w="1486" w:type="dxa"/>
          </w:tcPr>
          <w:p w:rsidR="00000000" w:rsidRDefault="00000000">
            <w:pPr>
              <w:spacing w:before="80" w:after="80" w:line="220" w:lineRule="exact"/>
              <w:jc w:val="left"/>
              <w:rPr>
                <w:sz w:val="18"/>
              </w:rPr>
            </w:pPr>
            <w:r>
              <w:rPr>
                <w:sz w:val="18"/>
              </w:rPr>
              <w:t>Городская среда</w:t>
            </w:r>
          </w:p>
        </w:tc>
        <w:tc>
          <w:tcPr>
            <w:tcW w:w="889" w:type="dxa"/>
          </w:tcPr>
          <w:p w:rsidR="00000000" w:rsidRDefault="00000000">
            <w:pPr>
              <w:spacing w:before="80" w:after="80" w:line="220" w:lineRule="exact"/>
              <w:jc w:val="center"/>
              <w:rPr>
                <w:sz w:val="18"/>
              </w:rPr>
            </w:pPr>
            <w:r>
              <w:rPr>
                <w:sz w:val="18"/>
              </w:rPr>
              <w:t>93,84</w:t>
            </w:r>
          </w:p>
        </w:tc>
        <w:tc>
          <w:tcPr>
            <w:tcW w:w="889" w:type="dxa"/>
          </w:tcPr>
          <w:p w:rsidR="00000000" w:rsidRDefault="00000000">
            <w:pPr>
              <w:tabs>
                <w:tab w:val="clear" w:pos="680"/>
                <w:tab w:val="clear" w:pos="1021"/>
                <w:tab w:val="decimal" w:pos="284"/>
              </w:tabs>
              <w:spacing w:before="80" w:after="80" w:line="220" w:lineRule="exact"/>
              <w:rPr>
                <w:sz w:val="18"/>
              </w:rPr>
            </w:pPr>
            <w:r>
              <w:rPr>
                <w:sz w:val="18"/>
              </w:rPr>
              <w:t>5,05</w:t>
            </w:r>
          </w:p>
        </w:tc>
        <w:tc>
          <w:tcPr>
            <w:tcW w:w="1184" w:type="dxa"/>
          </w:tcPr>
          <w:p w:rsidR="00000000" w:rsidRDefault="00000000">
            <w:pPr>
              <w:tabs>
                <w:tab w:val="clear" w:pos="680"/>
                <w:tab w:val="clear" w:pos="1021"/>
                <w:tab w:val="decimal" w:pos="453"/>
              </w:tabs>
              <w:spacing w:before="80" w:after="80" w:line="220" w:lineRule="exact"/>
              <w:rPr>
                <w:sz w:val="18"/>
              </w:rPr>
            </w:pPr>
            <w:r>
              <w:rPr>
                <w:sz w:val="18"/>
              </w:rPr>
              <w:t>0,89</w:t>
            </w:r>
          </w:p>
        </w:tc>
        <w:tc>
          <w:tcPr>
            <w:tcW w:w="1184" w:type="dxa"/>
          </w:tcPr>
          <w:p w:rsidR="00000000" w:rsidRDefault="00000000">
            <w:pPr>
              <w:spacing w:before="80" w:after="80" w:line="220" w:lineRule="exact"/>
              <w:jc w:val="center"/>
              <w:rPr>
                <w:sz w:val="18"/>
              </w:rPr>
            </w:pPr>
            <w:r>
              <w:rPr>
                <w:sz w:val="18"/>
              </w:rPr>
              <w:t>0,23</w:t>
            </w:r>
          </w:p>
        </w:tc>
        <w:tc>
          <w:tcPr>
            <w:tcW w:w="889" w:type="dxa"/>
          </w:tcPr>
          <w:p w:rsidR="00000000" w:rsidRDefault="00000000">
            <w:pPr>
              <w:spacing w:before="80" w:after="80" w:line="220" w:lineRule="exact"/>
              <w:jc w:val="center"/>
              <w:rPr>
                <w:sz w:val="18"/>
              </w:rPr>
            </w:pPr>
            <w:r>
              <w:rPr>
                <w:sz w:val="18"/>
              </w:rPr>
              <w:t>100</w:t>
            </w:r>
          </w:p>
        </w:tc>
      </w:tr>
      <w:tr w:rsidR="00000000">
        <w:tblPrEx>
          <w:tblCellMar>
            <w:top w:w="0" w:type="dxa"/>
            <w:bottom w:w="0" w:type="dxa"/>
          </w:tblCellMar>
        </w:tblPrEx>
        <w:trPr>
          <w:jc w:val="center"/>
        </w:trPr>
        <w:tc>
          <w:tcPr>
            <w:tcW w:w="1486" w:type="dxa"/>
          </w:tcPr>
          <w:p w:rsidR="00000000" w:rsidRDefault="00000000">
            <w:pPr>
              <w:spacing w:before="80" w:after="80" w:line="220" w:lineRule="exact"/>
              <w:jc w:val="left"/>
              <w:rPr>
                <w:sz w:val="18"/>
              </w:rPr>
            </w:pPr>
            <w:r>
              <w:rPr>
                <w:sz w:val="18"/>
              </w:rPr>
              <w:t>Сельская среда</w:t>
            </w:r>
          </w:p>
        </w:tc>
        <w:tc>
          <w:tcPr>
            <w:tcW w:w="889" w:type="dxa"/>
          </w:tcPr>
          <w:p w:rsidR="00000000" w:rsidRDefault="00000000">
            <w:pPr>
              <w:spacing w:before="80" w:after="80" w:line="220" w:lineRule="exact"/>
              <w:jc w:val="center"/>
              <w:rPr>
                <w:sz w:val="18"/>
              </w:rPr>
            </w:pPr>
            <w:r>
              <w:rPr>
                <w:sz w:val="18"/>
              </w:rPr>
              <w:t>67,31</w:t>
            </w:r>
          </w:p>
        </w:tc>
        <w:tc>
          <w:tcPr>
            <w:tcW w:w="889" w:type="dxa"/>
          </w:tcPr>
          <w:p w:rsidR="00000000" w:rsidRDefault="00000000">
            <w:pPr>
              <w:tabs>
                <w:tab w:val="clear" w:pos="680"/>
                <w:tab w:val="clear" w:pos="1021"/>
                <w:tab w:val="decimal" w:pos="284"/>
              </w:tabs>
              <w:spacing w:before="80" w:after="80" w:line="220" w:lineRule="exact"/>
              <w:rPr>
                <w:sz w:val="18"/>
              </w:rPr>
            </w:pPr>
            <w:r>
              <w:rPr>
                <w:sz w:val="18"/>
              </w:rPr>
              <w:t>12,54</w:t>
            </w:r>
          </w:p>
        </w:tc>
        <w:tc>
          <w:tcPr>
            <w:tcW w:w="1184" w:type="dxa"/>
          </w:tcPr>
          <w:p w:rsidR="00000000" w:rsidRDefault="00000000">
            <w:pPr>
              <w:tabs>
                <w:tab w:val="clear" w:pos="680"/>
                <w:tab w:val="clear" w:pos="1021"/>
                <w:tab w:val="decimal" w:pos="453"/>
              </w:tabs>
              <w:spacing w:before="80" w:after="80" w:line="220" w:lineRule="exact"/>
              <w:rPr>
                <w:sz w:val="18"/>
              </w:rPr>
            </w:pPr>
            <w:r>
              <w:rPr>
                <w:sz w:val="18"/>
              </w:rPr>
              <w:t>19,81</w:t>
            </w:r>
          </w:p>
        </w:tc>
        <w:tc>
          <w:tcPr>
            <w:tcW w:w="1184" w:type="dxa"/>
          </w:tcPr>
          <w:p w:rsidR="00000000" w:rsidRDefault="00000000">
            <w:pPr>
              <w:spacing w:before="80" w:after="80" w:line="220" w:lineRule="exact"/>
              <w:jc w:val="center"/>
              <w:rPr>
                <w:sz w:val="18"/>
              </w:rPr>
            </w:pPr>
            <w:r>
              <w:rPr>
                <w:sz w:val="18"/>
              </w:rPr>
              <w:t>0,34</w:t>
            </w:r>
          </w:p>
        </w:tc>
        <w:tc>
          <w:tcPr>
            <w:tcW w:w="889" w:type="dxa"/>
          </w:tcPr>
          <w:p w:rsidR="00000000" w:rsidRDefault="00000000">
            <w:pPr>
              <w:spacing w:before="80" w:after="80" w:line="220" w:lineRule="exact"/>
              <w:jc w:val="center"/>
              <w:rPr>
                <w:sz w:val="18"/>
              </w:rPr>
            </w:pPr>
            <w:r>
              <w:rPr>
                <w:sz w:val="18"/>
              </w:rPr>
              <w:t>100</w:t>
            </w:r>
          </w:p>
        </w:tc>
      </w:tr>
      <w:tr w:rsidR="00000000">
        <w:tblPrEx>
          <w:tblCellMar>
            <w:top w:w="0" w:type="dxa"/>
            <w:bottom w:w="0" w:type="dxa"/>
          </w:tblCellMar>
        </w:tblPrEx>
        <w:trPr>
          <w:jc w:val="center"/>
        </w:trPr>
        <w:tc>
          <w:tcPr>
            <w:tcW w:w="1486" w:type="dxa"/>
          </w:tcPr>
          <w:p w:rsidR="00000000" w:rsidRDefault="00000000">
            <w:pPr>
              <w:spacing w:before="80" w:after="80" w:line="220" w:lineRule="exact"/>
              <w:jc w:val="left"/>
              <w:rPr>
                <w:sz w:val="18"/>
              </w:rPr>
            </w:pPr>
            <w:r>
              <w:rPr>
                <w:sz w:val="18"/>
              </w:rPr>
              <w:t>В среднем</w:t>
            </w:r>
          </w:p>
        </w:tc>
        <w:tc>
          <w:tcPr>
            <w:tcW w:w="889" w:type="dxa"/>
          </w:tcPr>
          <w:p w:rsidR="00000000" w:rsidRDefault="00000000">
            <w:pPr>
              <w:spacing w:before="80" w:after="80" w:line="220" w:lineRule="exact"/>
              <w:jc w:val="center"/>
              <w:rPr>
                <w:sz w:val="18"/>
              </w:rPr>
            </w:pPr>
            <w:r>
              <w:rPr>
                <w:sz w:val="18"/>
              </w:rPr>
              <w:t>83,14</w:t>
            </w:r>
          </w:p>
        </w:tc>
        <w:tc>
          <w:tcPr>
            <w:tcW w:w="889" w:type="dxa"/>
          </w:tcPr>
          <w:p w:rsidR="00000000" w:rsidRDefault="00000000">
            <w:pPr>
              <w:tabs>
                <w:tab w:val="clear" w:pos="680"/>
                <w:tab w:val="clear" w:pos="1021"/>
                <w:tab w:val="decimal" w:pos="284"/>
              </w:tabs>
              <w:spacing w:before="80" w:after="80" w:line="220" w:lineRule="exact"/>
              <w:rPr>
                <w:sz w:val="18"/>
              </w:rPr>
            </w:pPr>
            <w:r>
              <w:rPr>
                <w:sz w:val="18"/>
              </w:rPr>
              <w:t>7,95</w:t>
            </w:r>
          </w:p>
        </w:tc>
        <w:tc>
          <w:tcPr>
            <w:tcW w:w="1184" w:type="dxa"/>
          </w:tcPr>
          <w:p w:rsidR="00000000" w:rsidRDefault="00000000">
            <w:pPr>
              <w:tabs>
                <w:tab w:val="clear" w:pos="680"/>
                <w:tab w:val="clear" w:pos="1021"/>
                <w:tab w:val="decimal" w:pos="453"/>
              </w:tabs>
              <w:spacing w:before="80" w:after="80" w:line="220" w:lineRule="exact"/>
              <w:rPr>
                <w:sz w:val="18"/>
              </w:rPr>
            </w:pPr>
            <w:r>
              <w:rPr>
                <w:sz w:val="18"/>
              </w:rPr>
              <w:t>8,26</w:t>
            </w:r>
          </w:p>
        </w:tc>
        <w:tc>
          <w:tcPr>
            <w:tcW w:w="1184" w:type="dxa"/>
          </w:tcPr>
          <w:p w:rsidR="00000000" w:rsidRDefault="00000000">
            <w:pPr>
              <w:spacing w:before="80" w:after="80" w:line="220" w:lineRule="exact"/>
              <w:jc w:val="center"/>
              <w:rPr>
                <w:sz w:val="18"/>
              </w:rPr>
            </w:pPr>
            <w:r>
              <w:rPr>
                <w:sz w:val="18"/>
              </w:rPr>
              <w:t>0,27</w:t>
            </w:r>
          </w:p>
        </w:tc>
        <w:tc>
          <w:tcPr>
            <w:tcW w:w="889" w:type="dxa"/>
          </w:tcPr>
          <w:p w:rsidR="00000000" w:rsidRDefault="00000000">
            <w:pPr>
              <w:spacing w:before="80" w:after="80" w:line="220" w:lineRule="exact"/>
              <w:jc w:val="center"/>
              <w:rPr>
                <w:sz w:val="18"/>
              </w:rPr>
            </w:pPr>
            <w:r>
              <w:rPr>
                <w:sz w:val="18"/>
              </w:rPr>
              <w:t>100</w:t>
            </w:r>
          </w:p>
        </w:tc>
      </w:tr>
      <w:tr w:rsidR="00000000">
        <w:tblPrEx>
          <w:tblCellMar>
            <w:top w:w="0" w:type="dxa"/>
            <w:bottom w:w="0" w:type="dxa"/>
          </w:tblCellMar>
        </w:tblPrEx>
        <w:trPr>
          <w:cantSplit/>
          <w:jc w:val="center"/>
        </w:trPr>
        <w:tc>
          <w:tcPr>
            <w:tcW w:w="1486" w:type="dxa"/>
          </w:tcPr>
          <w:p w:rsidR="00000000" w:rsidRDefault="00000000">
            <w:pPr>
              <w:spacing w:before="80" w:after="80" w:line="220" w:lineRule="exact"/>
              <w:jc w:val="left"/>
              <w:rPr>
                <w:sz w:val="18"/>
              </w:rPr>
            </w:pPr>
          </w:p>
        </w:tc>
        <w:tc>
          <w:tcPr>
            <w:tcW w:w="5035" w:type="dxa"/>
            <w:gridSpan w:val="5"/>
          </w:tcPr>
          <w:p w:rsidR="00000000" w:rsidRDefault="00000000">
            <w:pPr>
              <w:spacing w:before="80" w:after="80" w:line="220" w:lineRule="exact"/>
              <w:jc w:val="center"/>
              <w:rPr>
                <w:b/>
                <w:sz w:val="18"/>
              </w:rPr>
            </w:pPr>
            <w:r>
              <w:rPr>
                <w:b/>
                <w:sz w:val="18"/>
              </w:rPr>
              <w:t>1994 год</w:t>
            </w:r>
          </w:p>
        </w:tc>
      </w:tr>
      <w:tr w:rsidR="00000000">
        <w:tblPrEx>
          <w:tblCellMar>
            <w:top w:w="0" w:type="dxa"/>
            <w:bottom w:w="0" w:type="dxa"/>
          </w:tblCellMar>
        </w:tblPrEx>
        <w:trPr>
          <w:jc w:val="center"/>
        </w:trPr>
        <w:tc>
          <w:tcPr>
            <w:tcW w:w="1486" w:type="dxa"/>
          </w:tcPr>
          <w:p w:rsidR="00000000" w:rsidRDefault="00000000">
            <w:pPr>
              <w:spacing w:before="80" w:after="80" w:line="220" w:lineRule="exact"/>
              <w:jc w:val="left"/>
              <w:rPr>
                <w:sz w:val="18"/>
              </w:rPr>
            </w:pPr>
            <w:r>
              <w:rPr>
                <w:sz w:val="18"/>
              </w:rPr>
              <w:t>Коммунальная среда</w:t>
            </w:r>
          </w:p>
        </w:tc>
        <w:tc>
          <w:tcPr>
            <w:tcW w:w="889" w:type="dxa"/>
          </w:tcPr>
          <w:p w:rsidR="00000000" w:rsidRDefault="00000000">
            <w:pPr>
              <w:spacing w:before="80" w:after="80" w:line="220" w:lineRule="exact"/>
              <w:jc w:val="center"/>
              <w:rPr>
                <w:sz w:val="18"/>
              </w:rPr>
            </w:pPr>
            <w:r>
              <w:rPr>
                <w:sz w:val="18"/>
              </w:rPr>
              <w:t>97,89</w:t>
            </w:r>
          </w:p>
        </w:tc>
        <w:tc>
          <w:tcPr>
            <w:tcW w:w="889" w:type="dxa"/>
          </w:tcPr>
          <w:p w:rsidR="00000000" w:rsidRDefault="00000000">
            <w:pPr>
              <w:spacing w:before="80" w:after="80" w:line="220" w:lineRule="exact"/>
              <w:jc w:val="center"/>
              <w:rPr>
                <w:sz w:val="18"/>
              </w:rPr>
            </w:pPr>
            <w:r>
              <w:rPr>
                <w:sz w:val="18"/>
              </w:rPr>
              <w:t>1,30</w:t>
            </w:r>
          </w:p>
        </w:tc>
        <w:tc>
          <w:tcPr>
            <w:tcW w:w="1184" w:type="dxa"/>
          </w:tcPr>
          <w:p w:rsidR="00000000" w:rsidRDefault="00000000">
            <w:pPr>
              <w:tabs>
                <w:tab w:val="clear" w:pos="680"/>
                <w:tab w:val="clear" w:pos="1021"/>
                <w:tab w:val="decimal" w:pos="454"/>
              </w:tabs>
              <w:spacing w:before="80" w:after="80" w:line="220" w:lineRule="exact"/>
              <w:rPr>
                <w:sz w:val="18"/>
              </w:rPr>
            </w:pPr>
            <w:r>
              <w:rPr>
                <w:sz w:val="18"/>
              </w:rPr>
              <w:t>0,63</w:t>
            </w:r>
          </w:p>
        </w:tc>
        <w:tc>
          <w:tcPr>
            <w:tcW w:w="1184" w:type="dxa"/>
          </w:tcPr>
          <w:p w:rsidR="00000000" w:rsidRDefault="00000000">
            <w:pPr>
              <w:spacing w:before="80" w:after="80" w:line="220" w:lineRule="exact"/>
              <w:jc w:val="center"/>
              <w:rPr>
                <w:sz w:val="18"/>
              </w:rPr>
            </w:pPr>
            <w:r>
              <w:rPr>
                <w:sz w:val="18"/>
              </w:rPr>
              <w:t>0,18</w:t>
            </w:r>
          </w:p>
        </w:tc>
        <w:tc>
          <w:tcPr>
            <w:tcW w:w="889" w:type="dxa"/>
          </w:tcPr>
          <w:p w:rsidR="00000000" w:rsidRDefault="00000000">
            <w:pPr>
              <w:spacing w:before="80" w:after="80" w:line="220" w:lineRule="exact"/>
              <w:jc w:val="center"/>
              <w:rPr>
                <w:sz w:val="18"/>
              </w:rPr>
            </w:pPr>
            <w:r>
              <w:rPr>
                <w:sz w:val="18"/>
              </w:rPr>
              <w:t>100</w:t>
            </w:r>
          </w:p>
        </w:tc>
      </w:tr>
      <w:tr w:rsidR="00000000">
        <w:tblPrEx>
          <w:tblCellMar>
            <w:top w:w="0" w:type="dxa"/>
            <w:bottom w:w="0" w:type="dxa"/>
          </w:tblCellMar>
        </w:tblPrEx>
        <w:trPr>
          <w:jc w:val="center"/>
        </w:trPr>
        <w:tc>
          <w:tcPr>
            <w:tcW w:w="1486" w:type="dxa"/>
          </w:tcPr>
          <w:p w:rsidR="00000000" w:rsidRDefault="00000000">
            <w:pPr>
              <w:spacing w:before="80" w:after="80" w:line="220" w:lineRule="exact"/>
              <w:ind w:right="-57"/>
              <w:jc w:val="left"/>
              <w:rPr>
                <w:sz w:val="18"/>
              </w:rPr>
            </w:pPr>
            <w:r>
              <w:rPr>
                <w:sz w:val="18"/>
              </w:rPr>
              <w:t>Некоммунальная среда</w:t>
            </w:r>
          </w:p>
        </w:tc>
        <w:tc>
          <w:tcPr>
            <w:tcW w:w="889" w:type="dxa"/>
          </w:tcPr>
          <w:p w:rsidR="00000000" w:rsidRDefault="00000000">
            <w:pPr>
              <w:spacing w:before="80" w:after="80" w:line="220" w:lineRule="exact"/>
              <w:jc w:val="center"/>
              <w:rPr>
                <w:sz w:val="18"/>
              </w:rPr>
            </w:pPr>
            <w:r>
              <w:rPr>
                <w:sz w:val="18"/>
              </w:rPr>
              <w:t>86,40</w:t>
            </w:r>
          </w:p>
        </w:tc>
        <w:tc>
          <w:tcPr>
            <w:tcW w:w="889" w:type="dxa"/>
          </w:tcPr>
          <w:p w:rsidR="00000000" w:rsidRDefault="00000000">
            <w:pPr>
              <w:spacing w:before="80" w:after="80" w:line="220" w:lineRule="exact"/>
              <w:jc w:val="center"/>
              <w:rPr>
                <w:sz w:val="18"/>
              </w:rPr>
            </w:pPr>
            <w:r>
              <w:rPr>
                <w:sz w:val="18"/>
              </w:rPr>
              <w:t>2,29</w:t>
            </w:r>
          </w:p>
        </w:tc>
        <w:tc>
          <w:tcPr>
            <w:tcW w:w="1184" w:type="dxa"/>
          </w:tcPr>
          <w:p w:rsidR="00000000" w:rsidRDefault="00000000">
            <w:pPr>
              <w:tabs>
                <w:tab w:val="clear" w:pos="680"/>
                <w:tab w:val="clear" w:pos="1021"/>
                <w:tab w:val="decimal" w:pos="454"/>
              </w:tabs>
              <w:spacing w:before="80" w:after="80" w:line="220" w:lineRule="exact"/>
              <w:rPr>
                <w:sz w:val="18"/>
              </w:rPr>
            </w:pPr>
            <w:r>
              <w:rPr>
                <w:sz w:val="18"/>
              </w:rPr>
              <w:t>11,11</w:t>
            </w:r>
          </w:p>
        </w:tc>
        <w:tc>
          <w:tcPr>
            <w:tcW w:w="1184" w:type="dxa"/>
          </w:tcPr>
          <w:p w:rsidR="00000000" w:rsidRDefault="00000000">
            <w:pPr>
              <w:spacing w:before="80" w:after="80" w:line="220" w:lineRule="exact"/>
              <w:jc w:val="center"/>
              <w:rPr>
                <w:sz w:val="18"/>
              </w:rPr>
            </w:pPr>
            <w:r>
              <w:rPr>
                <w:sz w:val="18"/>
              </w:rPr>
              <w:t>0,20</w:t>
            </w:r>
          </w:p>
        </w:tc>
        <w:tc>
          <w:tcPr>
            <w:tcW w:w="889" w:type="dxa"/>
          </w:tcPr>
          <w:p w:rsidR="00000000" w:rsidRDefault="00000000">
            <w:pPr>
              <w:spacing w:before="80" w:after="80" w:line="220" w:lineRule="exact"/>
              <w:jc w:val="center"/>
              <w:rPr>
                <w:sz w:val="18"/>
              </w:rPr>
            </w:pPr>
            <w:r>
              <w:rPr>
                <w:sz w:val="18"/>
              </w:rPr>
              <w:t>100</w:t>
            </w:r>
          </w:p>
        </w:tc>
      </w:tr>
      <w:tr w:rsidR="00000000">
        <w:tblPrEx>
          <w:tblCellMar>
            <w:top w:w="0" w:type="dxa"/>
            <w:bottom w:w="0" w:type="dxa"/>
          </w:tblCellMar>
        </w:tblPrEx>
        <w:trPr>
          <w:jc w:val="center"/>
        </w:trPr>
        <w:tc>
          <w:tcPr>
            <w:tcW w:w="1486" w:type="dxa"/>
          </w:tcPr>
          <w:p w:rsidR="00000000" w:rsidRDefault="00000000">
            <w:pPr>
              <w:spacing w:before="80" w:after="80" w:line="220" w:lineRule="exact"/>
              <w:jc w:val="left"/>
              <w:rPr>
                <w:sz w:val="18"/>
              </w:rPr>
            </w:pPr>
            <w:r>
              <w:rPr>
                <w:sz w:val="18"/>
              </w:rPr>
              <w:t>В среднем</w:t>
            </w:r>
          </w:p>
        </w:tc>
        <w:tc>
          <w:tcPr>
            <w:tcW w:w="889" w:type="dxa"/>
          </w:tcPr>
          <w:p w:rsidR="00000000" w:rsidRDefault="00000000">
            <w:pPr>
              <w:spacing w:before="80" w:after="80" w:line="220" w:lineRule="exact"/>
              <w:jc w:val="center"/>
              <w:rPr>
                <w:sz w:val="18"/>
              </w:rPr>
            </w:pPr>
            <w:r>
              <w:rPr>
                <w:sz w:val="18"/>
              </w:rPr>
              <w:t>93,75</w:t>
            </w:r>
          </w:p>
        </w:tc>
        <w:tc>
          <w:tcPr>
            <w:tcW w:w="889" w:type="dxa"/>
          </w:tcPr>
          <w:p w:rsidR="00000000" w:rsidRDefault="00000000">
            <w:pPr>
              <w:spacing w:before="80" w:after="80" w:line="220" w:lineRule="exact"/>
              <w:jc w:val="center"/>
              <w:rPr>
                <w:sz w:val="18"/>
              </w:rPr>
            </w:pPr>
            <w:r>
              <w:rPr>
                <w:sz w:val="18"/>
              </w:rPr>
              <w:t>1,65</w:t>
            </w:r>
          </w:p>
        </w:tc>
        <w:tc>
          <w:tcPr>
            <w:tcW w:w="1184" w:type="dxa"/>
          </w:tcPr>
          <w:p w:rsidR="00000000" w:rsidRDefault="00000000">
            <w:pPr>
              <w:tabs>
                <w:tab w:val="clear" w:pos="680"/>
                <w:tab w:val="clear" w:pos="1021"/>
                <w:tab w:val="decimal" w:pos="454"/>
              </w:tabs>
              <w:spacing w:before="80" w:after="80" w:line="220" w:lineRule="exact"/>
              <w:rPr>
                <w:sz w:val="18"/>
              </w:rPr>
            </w:pPr>
            <w:r>
              <w:rPr>
                <w:sz w:val="18"/>
              </w:rPr>
              <w:t>4,41</w:t>
            </w:r>
          </w:p>
        </w:tc>
        <w:tc>
          <w:tcPr>
            <w:tcW w:w="1184" w:type="dxa"/>
          </w:tcPr>
          <w:p w:rsidR="00000000" w:rsidRDefault="00000000">
            <w:pPr>
              <w:spacing w:before="80" w:after="80" w:line="220" w:lineRule="exact"/>
              <w:jc w:val="center"/>
              <w:rPr>
                <w:sz w:val="18"/>
              </w:rPr>
            </w:pPr>
            <w:r>
              <w:rPr>
                <w:sz w:val="18"/>
              </w:rPr>
              <w:t>0,19</w:t>
            </w:r>
          </w:p>
        </w:tc>
        <w:tc>
          <w:tcPr>
            <w:tcW w:w="889" w:type="dxa"/>
          </w:tcPr>
          <w:p w:rsidR="00000000" w:rsidRDefault="00000000">
            <w:pPr>
              <w:spacing w:before="80" w:after="80" w:line="220" w:lineRule="exact"/>
              <w:jc w:val="center"/>
              <w:rPr>
                <w:sz w:val="18"/>
              </w:rPr>
            </w:pPr>
            <w:r>
              <w:rPr>
                <w:sz w:val="18"/>
              </w:rPr>
              <w:t>100</w:t>
            </w:r>
          </w:p>
        </w:tc>
      </w:tr>
    </w:tbl>
    <w:p w:rsidR="00000000" w:rsidRDefault="00000000">
      <w:pPr>
        <w:spacing w:before="80" w:after="120" w:line="220" w:lineRule="exact"/>
        <w:ind w:right="1565"/>
        <w:jc w:val="right"/>
        <w:rPr>
          <w:b/>
          <w:sz w:val="18"/>
        </w:rPr>
      </w:pPr>
      <w:r>
        <w:rPr>
          <w:b/>
          <w:sz w:val="18"/>
        </w:rPr>
        <w:t>Источник: НИС, Доклад ЦНИДИЖ о положении женщин, проживающих в сельской местности</w:t>
      </w:r>
    </w:p>
    <w:p w:rsidR="00000000" w:rsidRDefault="00000000">
      <w:pPr>
        <w:spacing w:before="120" w:line="260" w:lineRule="exact"/>
        <w:rPr>
          <w:b/>
          <w:sz w:val="22"/>
        </w:rPr>
      </w:pPr>
      <w:r>
        <w:rPr>
          <w:b/>
          <w:sz w:val="22"/>
        </w:rPr>
        <w:t>1.2.</w:t>
      </w:r>
      <w:r>
        <w:rPr>
          <w:b/>
          <w:sz w:val="22"/>
        </w:rPr>
        <w:tab/>
        <w:t>Образование</w:t>
      </w:r>
    </w:p>
    <w:p w:rsidR="00000000" w:rsidRDefault="00000000">
      <w:r>
        <w:t>879.</w:t>
      </w:r>
      <w:r>
        <w:tab/>
        <w:t>Начатая Тунисом в 1991 году глубокая реформа системы образования, краеугольным камнем которой является обязательное школьное обучение детей в возрасте от 6 до 16 лет, с введением при этом для родителей или опекунов, уклоняющихся от этого правила, специального наказания, положительным образом отразилась на уровне посещения школ девочками и способствовала увеличению продолжительности их школьного обучения, особенно в сельской местности.</w:t>
      </w:r>
    </w:p>
    <w:p w:rsidR="00000000" w:rsidRDefault="00000000">
      <w:r>
        <w:t>880.</w:t>
      </w:r>
      <w:r>
        <w:tab/>
        <w:t>Параллельно с введением обязательного базового образования были приняты и другие меры в интересах сельской общины, такие как расширение сети школ, усовершенствования школьного расписания, с тем чтобы лучше адаптировать его к условиям жизни в сельской местности, и улучшение школьной инфраструктуры (обеспечение питьевой водой, электрификация школ, строительство сельских дорог и т. д.).</w:t>
      </w:r>
    </w:p>
    <w:p w:rsidR="00000000" w:rsidRDefault="00000000">
      <w:r>
        <w:t>881.</w:t>
      </w:r>
      <w:r>
        <w:tab/>
        <w:t>Национальный уровень охвата школьным обучением детей в возрасте шести лет сегодня практически одинаков для мальчиков и для девочек (в 1998 году он составил 99 процентов); уровень охвата школьным обучением детей в возрасте от 6 до 12 лет вырос за тот же период на 6,3 пункта для девочек (с 85,2 процента до 91,5 процента) и всего лишь на 1 пункт для мальчиков (с 92 процентов до 93 процентов).</w:t>
      </w:r>
    </w:p>
    <w:p w:rsidR="00000000" w:rsidRDefault="00000000">
      <w:pPr>
        <w:jc w:val="center"/>
        <w:rPr>
          <w:b/>
        </w:rPr>
      </w:pPr>
      <w:r>
        <w:rPr>
          <w:b/>
        </w:rPr>
        <w:t xml:space="preserve">Охват школьным обучением девочек в сельской и городской местности </w:t>
      </w:r>
      <w:r>
        <w:rPr>
          <w:b/>
        </w:rPr>
        <w:br/>
        <w:t>(второй этап среднего образования)</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2"/>
        <w:gridCol w:w="1134"/>
        <w:gridCol w:w="1134"/>
        <w:gridCol w:w="1247"/>
        <w:gridCol w:w="1134"/>
        <w:gridCol w:w="1134"/>
        <w:gridCol w:w="1247"/>
        <w:gridCol w:w="1247"/>
      </w:tblGrid>
      <w:tr w:rsidR="00000000">
        <w:tblPrEx>
          <w:tblCellMar>
            <w:top w:w="0" w:type="dxa"/>
            <w:bottom w:w="0" w:type="dxa"/>
          </w:tblCellMar>
        </w:tblPrEx>
        <w:trPr>
          <w:cantSplit/>
          <w:jc w:val="center"/>
        </w:trPr>
        <w:tc>
          <w:tcPr>
            <w:tcW w:w="1362" w:type="dxa"/>
            <w:vMerge w:val="restart"/>
            <w:tcBorders>
              <w:left w:val="single" w:sz="6" w:space="0" w:color="auto"/>
            </w:tcBorders>
          </w:tcPr>
          <w:p w:rsidR="00000000" w:rsidRDefault="00000000">
            <w:pPr>
              <w:spacing w:before="80" w:after="80" w:line="220" w:lineRule="exact"/>
              <w:jc w:val="center"/>
              <w:rPr>
                <w:b/>
                <w:sz w:val="18"/>
              </w:rPr>
            </w:pPr>
            <w:r>
              <w:rPr>
                <w:b/>
                <w:sz w:val="18"/>
              </w:rPr>
              <w:t>Регионы</w:t>
            </w:r>
          </w:p>
        </w:tc>
        <w:tc>
          <w:tcPr>
            <w:tcW w:w="3515" w:type="dxa"/>
            <w:gridSpan w:val="3"/>
          </w:tcPr>
          <w:p w:rsidR="00000000" w:rsidRDefault="00000000">
            <w:pPr>
              <w:spacing w:before="80" w:after="80" w:line="220" w:lineRule="exact"/>
              <w:jc w:val="center"/>
              <w:rPr>
                <w:b/>
                <w:sz w:val="18"/>
              </w:rPr>
            </w:pPr>
            <w:r>
              <w:rPr>
                <w:b/>
                <w:sz w:val="18"/>
              </w:rPr>
              <w:t>1994/95 учебный год</w:t>
            </w:r>
          </w:p>
        </w:tc>
        <w:tc>
          <w:tcPr>
            <w:tcW w:w="3515" w:type="dxa"/>
            <w:gridSpan w:val="3"/>
          </w:tcPr>
          <w:p w:rsidR="00000000" w:rsidRDefault="00000000">
            <w:pPr>
              <w:spacing w:before="80" w:after="80" w:line="220" w:lineRule="exact"/>
              <w:jc w:val="center"/>
              <w:rPr>
                <w:b/>
                <w:sz w:val="18"/>
              </w:rPr>
            </w:pPr>
            <w:r>
              <w:rPr>
                <w:b/>
                <w:sz w:val="18"/>
              </w:rPr>
              <w:t>1997/98 учебный год</w:t>
            </w:r>
          </w:p>
        </w:tc>
        <w:tc>
          <w:tcPr>
            <w:tcW w:w="1247" w:type="dxa"/>
          </w:tcPr>
          <w:p w:rsidR="00000000" w:rsidRDefault="00000000">
            <w:pPr>
              <w:spacing w:before="80" w:after="80" w:line="220" w:lineRule="exact"/>
              <w:jc w:val="center"/>
              <w:rPr>
                <w:b/>
                <w:sz w:val="18"/>
              </w:rPr>
            </w:pPr>
            <w:r>
              <w:rPr>
                <w:b/>
                <w:sz w:val="18"/>
              </w:rPr>
              <w:t>Индекс эволюции для девочек</w:t>
            </w:r>
          </w:p>
        </w:tc>
      </w:tr>
      <w:tr w:rsidR="00000000">
        <w:tblPrEx>
          <w:tblCellMar>
            <w:top w:w="0" w:type="dxa"/>
            <w:bottom w:w="0" w:type="dxa"/>
          </w:tblCellMar>
        </w:tblPrEx>
        <w:trPr>
          <w:cantSplit/>
          <w:jc w:val="center"/>
        </w:trPr>
        <w:tc>
          <w:tcPr>
            <w:tcW w:w="1362" w:type="dxa"/>
            <w:vMerge/>
            <w:tcBorders>
              <w:left w:val="single" w:sz="6" w:space="0" w:color="auto"/>
            </w:tcBorders>
          </w:tcPr>
          <w:p w:rsidR="00000000" w:rsidRDefault="00000000">
            <w:pPr>
              <w:spacing w:before="80" w:after="80" w:line="220" w:lineRule="exact"/>
              <w:jc w:val="center"/>
              <w:rPr>
                <w:b/>
                <w:sz w:val="18"/>
              </w:rPr>
            </w:pPr>
          </w:p>
        </w:tc>
        <w:tc>
          <w:tcPr>
            <w:tcW w:w="1134" w:type="dxa"/>
          </w:tcPr>
          <w:p w:rsidR="00000000" w:rsidRDefault="00000000">
            <w:pPr>
              <w:spacing w:before="80" w:after="80" w:line="220" w:lineRule="exact"/>
              <w:jc w:val="center"/>
              <w:rPr>
                <w:b/>
                <w:sz w:val="18"/>
              </w:rPr>
            </w:pPr>
            <w:r>
              <w:rPr>
                <w:b/>
                <w:sz w:val="18"/>
              </w:rPr>
              <w:t>общее число учеников</w:t>
            </w:r>
          </w:p>
        </w:tc>
        <w:tc>
          <w:tcPr>
            <w:tcW w:w="1134" w:type="dxa"/>
          </w:tcPr>
          <w:p w:rsidR="00000000" w:rsidRDefault="00000000">
            <w:pPr>
              <w:spacing w:before="80" w:after="80" w:line="220" w:lineRule="exact"/>
              <w:jc w:val="center"/>
              <w:rPr>
                <w:b/>
                <w:sz w:val="18"/>
              </w:rPr>
            </w:pPr>
            <w:r>
              <w:rPr>
                <w:b/>
                <w:sz w:val="18"/>
              </w:rPr>
              <w:t>из них девочек</w:t>
            </w:r>
          </w:p>
        </w:tc>
        <w:tc>
          <w:tcPr>
            <w:tcW w:w="1247" w:type="dxa"/>
          </w:tcPr>
          <w:p w:rsidR="00000000" w:rsidRDefault="00000000">
            <w:pPr>
              <w:spacing w:before="80" w:after="80" w:line="220" w:lineRule="exact"/>
              <w:jc w:val="center"/>
              <w:rPr>
                <w:b/>
                <w:sz w:val="18"/>
              </w:rPr>
            </w:pPr>
            <w:r>
              <w:rPr>
                <w:b/>
                <w:sz w:val="18"/>
              </w:rPr>
              <w:t>процентная доля девочек</w:t>
            </w:r>
          </w:p>
        </w:tc>
        <w:tc>
          <w:tcPr>
            <w:tcW w:w="1134" w:type="dxa"/>
          </w:tcPr>
          <w:p w:rsidR="00000000" w:rsidRDefault="00000000">
            <w:pPr>
              <w:spacing w:before="80" w:after="80" w:line="220" w:lineRule="exact"/>
              <w:jc w:val="center"/>
              <w:rPr>
                <w:b/>
                <w:sz w:val="18"/>
              </w:rPr>
            </w:pPr>
            <w:r>
              <w:rPr>
                <w:b/>
                <w:sz w:val="18"/>
              </w:rPr>
              <w:t>общее число учеников</w:t>
            </w:r>
          </w:p>
        </w:tc>
        <w:tc>
          <w:tcPr>
            <w:tcW w:w="1134" w:type="dxa"/>
          </w:tcPr>
          <w:p w:rsidR="00000000" w:rsidRDefault="00000000">
            <w:pPr>
              <w:spacing w:before="80" w:after="80" w:line="220" w:lineRule="exact"/>
              <w:jc w:val="center"/>
              <w:rPr>
                <w:b/>
                <w:sz w:val="18"/>
              </w:rPr>
            </w:pPr>
            <w:r>
              <w:rPr>
                <w:b/>
                <w:sz w:val="18"/>
              </w:rPr>
              <w:t>из них девочек</w:t>
            </w:r>
          </w:p>
        </w:tc>
        <w:tc>
          <w:tcPr>
            <w:tcW w:w="1247" w:type="dxa"/>
          </w:tcPr>
          <w:p w:rsidR="00000000" w:rsidRDefault="00000000">
            <w:pPr>
              <w:spacing w:before="80" w:after="80" w:line="220" w:lineRule="exact"/>
              <w:jc w:val="center"/>
              <w:rPr>
                <w:b/>
                <w:sz w:val="18"/>
              </w:rPr>
            </w:pPr>
            <w:r>
              <w:rPr>
                <w:b/>
                <w:sz w:val="18"/>
              </w:rPr>
              <w:t>процентная доля девочек</w:t>
            </w:r>
          </w:p>
        </w:tc>
        <w:tc>
          <w:tcPr>
            <w:tcW w:w="1247" w:type="dxa"/>
          </w:tcPr>
          <w:p w:rsidR="00000000" w:rsidRDefault="00000000">
            <w:pPr>
              <w:spacing w:before="80" w:after="80" w:line="220" w:lineRule="exact"/>
              <w:jc w:val="center"/>
              <w:rPr>
                <w:b/>
                <w:sz w:val="18"/>
              </w:rPr>
            </w:pPr>
            <w:r>
              <w:rPr>
                <w:b/>
                <w:sz w:val="18"/>
              </w:rPr>
              <w:t>1994/95– 1997/98 учебные годы</w:t>
            </w:r>
          </w:p>
        </w:tc>
      </w:tr>
      <w:tr w:rsidR="00000000">
        <w:tblPrEx>
          <w:tblCellMar>
            <w:top w:w="0" w:type="dxa"/>
            <w:bottom w:w="0" w:type="dxa"/>
          </w:tblCellMar>
        </w:tblPrEx>
        <w:trPr>
          <w:cantSplit/>
          <w:jc w:val="center"/>
        </w:trPr>
        <w:tc>
          <w:tcPr>
            <w:tcW w:w="1362" w:type="dxa"/>
          </w:tcPr>
          <w:p w:rsidR="00000000" w:rsidRDefault="00000000">
            <w:pPr>
              <w:spacing w:before="80" w:after="80" w:line="220" w:lineRule="exact"/>
              <w:rPr>
                <w:sz w:val="18"/>
              </w:rPr>
            </w:pPr>
            <w:r>
              <w:rPr>
                <w:sz w:val="18"/>
              </w:rPr>
              <w:t>Тунис</w:t>
            </w:r>
          </w:p>
        </w:tc>
        <w:tc>
          <w:tcPr>
            <w:tcW w:w="1134" w:type="dxa"/>
          </w:tcPr>
          <w:p w:rsidR="00000000" w:rsidRDefault="00000000">
            <w:pPr>
              <w:tabs>
                <w:tab w:val="clear" w:pos="680"/>
                <w:tab w:val="clear" w:pos="1021"/>
                <w:tab w:val="decimal" w:pos="654"/>
              </w:tabs>
              <w:spacing w:before="80" w:after="80" w:line="220" w:lineRule="exact"/>
              <w:rPr>
                <w:sz w:val="18"/>
              </w:rPr>
            </w:pPr>
            <w:r>
              <w:rPr>
                <w:sz w:val="18"/>
              </w:rPr>
              <w:t>72 681</w:t>
            </w:r>
          </w:p>
        </w:tc>
        <w:tc>
          <w:tcPr>
            <w:tcW w:w="1134" w:type="dxa"/>
          </w:tcPr>
          <w:p w:rsidR="00000000" w:rsidRDefault="00000000">
            <w:pPr>
              <w:tabs>
                <w:tab w:val="clear" w:pos="680"/>
                <w:tab w:val="clear" w:pos="1021"/>
                <w:tab w:val="decimal" w:pos="654"/>
              </w:tabs>
              <w:spacing w:before="80" w:after="80" w:line="220" w:lineRule="exact"/>
              <w:rPr>
                <w:sz w:val="18"/>
              </w:rPr>
            </w:pPr>
            <w:r>
              <w:rPr>
                <w:sz w:val="18"/>
              </w:rPr>
              <w:t>38 022</w:t>
            </w:r>
          </w:p>
        </w:tc>
        <w:tc>
          <w:tcPr>
            <w:tcW w:w="1247" w:type="dxa"/>
          </w:tcPr>
          <w:p w:rsidR="00000000" w:rsidRDefault="00000000">
            <w:pPr>
              <w:spacing w:before="80" w:after="80" w:line="220" w:lineRule="exact"/>
              <w:jc w:val="center"/>
              <w:rPr>
                <w:sz w:val="18"/>
              </w:rPr>
            </w:pPr>
            <w:r>
              <w:rPr>
                <w:sz w:val="18"/>
              </w:rPr>
              <w:t>52,31</w:t>
            </w:r>
          </w:p>
        </w:tc>
        <w:tc>
          <w:tcPr>
            <w:tcW w:w="1134" w:type="dxa"/>
          </w:tcPr>
          <w:p w:rsidR="00000000" w:rsidRDefault="00000000">
            <w:pPr>
              <w:tabs>
                <w:tab w:val="clear" w:pos="680"/>
                <w:tab w:val="clear" w:pos="1021"/>
                <w:tab w:val="decimal" w:pos="682"/>
              </w:tabs>
              <w:spacing w:before="80" w:after="80" w:line="220" w:lineRule="exact"/>
              <w:rPr>
                <w:sz w:val="18"/>
              </w:rPr>
            </w:pPr>
            <w:r>
              <w:rPr>
                <w:sz w:val="18"/>
              </w:rPr>
              <w:t>87 068</w:t>
            </w:r>
          </w:p>
        </w:tc>
        <w:tc>
          <w:tcPr>
            <w:tcW w:w="1134" w:type="dxa"/>
          </w:tcPr>
          <w:p w:rsidR="00000000" w:rsidRDefault="00000000">
            <w:pPr>
              <w:tabs>
                <w:tab w:val="clear" w:pos="680"/>
                <w:tab w:val="clear" w:pos="1021"/>
                <w:tab w:val="decimal" w:pos="682"/>
              </w:tabs>
              <w:spacing w:before="80" w:after="80" w:line="220" w:lineRule="exact"/>
              <w:rPr>
                <w:sz w:val="18"/>
              </w:rPr>
            </w:pPr>
            <w:r>
              <w:rPr>
                <w:sz w:val="18"/>
              </w:rPr>
              <w:t>46 058</w:t>
            </w:r>
          </w:p>
        </w:tc>
        <w:tc>
          <w:tcPr>
            <w:tcW w:w="1247" w:type="dxa"/>
          </w:tcPr>
          <w:p w:rsidR="00000000" w:rsidRDefault="00000000">
            <w:pPr>
              <w:spacing w:before="80" w:after="80" w:line="220" w:lineRule="exact"/>
              <w:jc w:val="center"/>
              <w:rPr>
                <w:sz w:val="18"/>
              </w:rPr>
            </w:pPr>
            <w:r>
              <w:rPr>
                <w:sz w:val="18"/>
              </w:rPr>
              <w:t>52,89</w:t>
            </w:r>
          </w:p>
        </w:tc>
        <w:tc>
          <w:tcPr>
            <w:tcW w:w="1247" w:type="dxa"/>
          </w:tcPr>
          <w:p w:rsidR="00000000" w:rsidRDefault="00000000">
            <w:pPr>
              <w:spacing w:before="80" w:after="80" w:line="220" w:lineRule="exact"/>
              <w:jc w:val="center"/>
              <w:rPr>
                <w:sz w:val="18"/>
              </w:rPr>
            </w:pPr>
            <w:r>
              <w:rPr>
                <w:sz w:val="18"/>
              </w:rPr>
              <w:t>121,1</w:t>
            </w:r>
          </w:p>
        </w:tc>
      </w:tr>
      <w:tr w:rsidR="00000000">
        <w:tblPrEx>
          <w:tblCellMar>
            <w:top w:w="0" w:type="dxa"/>
            <w:bottom w:w="0" w:type="dxa"/>
          </w:tblCellMar>
        </w:tblPrEx>
        <w:trPr>
          <w:cantSplit/>
          <w:jc w:val="center"/>
        </w:trPr>
        <w:tc>
          <w:tcPr>
            <w:tcW w:w="1362" w:type="dxa"/>
          </w:tcPr>
          <w:p w:rsidR="00000000" w:rsidRDefault="00000000">
            <w:pPr>
              <w:spacing w:before="80" w:after="80" w:line="220" w:lineRule="exact"/>
              <w:rPr>
                <w:sz w:val="18"/>
              </w:rPr>
            </w:pPr>
            <w:r>
              <w:rPr>
                <w:sz w:val="18"/>
              </w:rPr>
              <w:t>Кассерин</w:t>
            </w:r>
          </w:p>
        </w:tc>
        <w:tc>
          <w:tcPr>
            <w:tcW w:w="1134" w:type="dxa"/>
          </w:tcPr>
          <w:p w:rsidR="00000000" w:rsidRDefault="00000000">
            <w:pPr>
              <w:tabs>
                <w:tab w:val="clear" w:pos="680"/>
                <w:tab w:val="clear" w:pos="1021"/>
                <w:tab w:val="decimal" w:pos="654"/>
              </w:tabs>
              <w:spacing w:before="80" w:after="80" w:line="220" w:lineRule="exact"/>
              <w:rPr>
                <w:sz w:val="18"/>
              </w:rPr>
            </w:pPr>
            <w:r>
              <w:rPr>
                <w:sz w:val="18"/>
              </w:rPr>
              <w:t>25 936</w:t>
            </w:r>
          </w:p>
        </w:tc>
        <w:tc>
          <w:tcPr>
            <w:tcW w:w="1134" w:type="dxa"/>
          </w:tcPr>
          <w:p w:rsidR="00000000" w:rsidRDefault="00000000">
            <w:pPr>
              <w:tabs>
                <w:tab w:val="clear" w:pos="680"/>
                <w:tab w:val="clear" w:pos="1021"/>
                <w:tab w:val="decimal" w:pos="654"/>
              </w:tabs>
              <w:spacing w:before="80" w:after="80" w:line="220" w:lineRule="exact"/>
              <w:rPr>
                <w:sz w:val="18"/>
              </w:rPr>
            </w:pPr>
            <w:r>
              <w:rPr>
                <w:sz w:val="18"/>
              </w:rPr>
              <w:t>10 970</w:t>
            </w:r>
          </w:p>
        </w:tc>
        <w:tc>
          <w:tcPr>
            <w:tcW w:w="1247" w:type="dxa"/>
          </w:tcPr>
          <w:p w:rsidR="00000000" w:rsidRDefault="00000000">
            <w:pPr>
              <w:spacing w:before="80" w:after="80" w:line="220" w:lineRule="exact"/>
              <w:jc w:val="center"/>
              <w:rPr>
                <w:sz w:val="18"/>
              </w:rPr>
            </w:pPr>
            <w:r>
              <w:rPr>
                <w:sz w:val="18"/>
              </w:rPr>
              <w:t>42,29</w:t>
            </w:r>
          </w:p>
        </w:tc>
        <w:tc>
          <w:tcPr>
            <w:tcW w:w="1134" w:type="dxa"/>
          </w:tcPr>
          <w:p w:rsidR="00000000" w:rsidRDefault="00000000">
            <w:pPr>
              <w:tabs>
                <w:tab w:val="clear" w:pos="680"/>
                <w:tab w:val="clear" w:pos="1021"/>
                <w:tab w:val="decimal" w:pos="682"/>
              </w:tabs>
              <w:spacing w:before="80" w:after="80" w:line="220" w:lineRule="exact"/>
              <w:rPr>
                <w:sz w:val="18"/>
              </w:rPr>
            </w:pPr>
            <w:r>
              <w:rPr>
                <w:sz w:val="18"/>
              </w:rPr>
              <w:t>32 311</w:t>
            </w:r>
          </w:p>
        </w:tc>
        <w:tc>
          <w:tcPr>
            <w:tcW w:w="1134" w:type="dxa"/>
          </w:tcPr>
          <w:p w:rsidR="00000000" w:rsidRDefault="00000000">
            <w:pPr>
              <w:tabs>
                <w:tab w:val="clear" w:pos="680"/>
                <w:tab w:val="clear" w:pos="1021"/>
                <w:tab w:val="decimal" w:pos="682"/>
              </w:tabs>
              <w:spacing w:before="80" w:after="80" w:line="220" w:lineRule="exact"/>
              <w:rPr>
                <w:sz w:val="18"/>
              </w:rPr>
            </w:pPr>
            <w:r>
              <w:rPr>
                <w:sz w:val="18"/>
              </w:rPr>
              <w:t>14 382</w:t>
            </w:r>
          </w:p>
        </w:tc>
        <w:tc>
          <w:tcPr>
            <w:tcW w:w="1247" w:type="dxa"/>
          </w:tcPr>
          <w:p w:rsidR="00000000" w:rsidRDefault="00000000">
            <w:pPr>
              <w:spacing w:before="80" w:after="80" w:line="220" w:lineRule="exact"/>
              <w:jc w:val="center"/>
              <w:rPr>
                <w:sz w:val="18"/>
              </w:rPr>
            </w:pPr>
            <w:r>
              <w:rPr>
                <w:sz w:val="18"/>
              </w:rPr>
              <w:t>44,51</w:t>
            </w:r>
          </w:p>
        </w:tc>
        <w:tc>
          <w:tcPr>
            <w:tcW w:w="1247" w:type="dxa"/>
          </w:tcPr>
          <w:p w:rsidR="00000000" w:rsidRDefault="00000000">
            <w:pPr>
              <w:spacing w:before="80" w:after="80" w:line="220" w:lineRule="exact"/>
              <w:jc w:val="center"/>
              <w:rPr>
                <w:sz w:val="18"/>
              </w:rPr>
            </w:pPr>
            <w:r>
              <w:rPr>
                <w:sz w:val="18"/>
              </w:rPr>
              <w:t>131,1</w:t>
            </w:r>
          </w:p>
        </w:tc>
      </w:tr>
      <w:tr w:rsidR="00000000">
        <w:tblPrEx>
          <w:tblCellMar>
            <w:top w:w="0" w:type="dxa"/>
            <w:bottom w:w="0" w:type="dxa"/>
          </w:tblCellMar>
        </w:tblPrEx>
        <w:trPr>
          <w:cantSplit/>
          <w:jc w:val="center"/>
        </w:trPr>
        <w:tc>
          <w:tcPr>
            <w:tcW w:w="1362" w:type="dxa"/>
          </w:tcPr>
          <w:p w:rsidR="00000000" w:rsidRDefault="00000000">
            <w:pPr>
              <w:spacing w:before="80" w:after="80" w:line="220" w:lineRule="exact"/>
              <w:rPr>
                <w:sz w:val="18"/>
              </w:rPr>
            </w:pPr>
            <w:r>
              <w:rPr>
                <w:sz w:val="18"/>
              </w:rPr>
              <w:t>Сиди-Бу-Зид</w:t>
            </w:r>
          </w:p>
        </w:tc>
        <w:tc>
          <w:tcPr>
            <w:tcW w:w="1134" w:type="dxa"/>
          </w:tcPr>
          <w:p w:rsidR="00000000" w:rsidRDefault="00000000">
            <w:pPr>
              <w:tabs>
                <w:tab w:val="clear" w:pos="680"/>
                <w:tab w:val="clear" w:pos="1021"/>
                <w:tab w:val="decimal" w:pos="654"/>
              </w:tabs>
              <w:spacing w:before="80" w:after="80" w:line="220" w:lineRule="exact"/>
              <w:rPr>
                <w:sz w:val="18"/>
              </w:rPr>
            </w:pPr>
            <w:r>
              <w:rPr>
                <w:sz w:val="18"/>
              </w:rPr>
              <w:t>28 908</w:t>
            </w:r>
          </w:p>
        </w:tc>
        <w:tc>
          <w:tcPr>
            <w:tcW w:w="1134" w:type="dxa"/>
          </w:tcPr>
          <w:p w:rsidR="00000000" w:rsidRDefault="00000000">
            <w:pPr>
              <w:tabs>
                <w:tab w:val="clear" w:pos="680"/>
                <w:tab w:val="clear" w:pos="1021"/>
                <w:tab w:val="decimal" w:pos="654"/>
              </w:tabs>
              <w:spacing w:before="80" w:after="80" w:line="220" w:lineRule="exact"/>
              <w:rPr>
                <w:sz w:val="18"/>
              </w:rPr>
            </w:pPr>
            <w:r>
              <w:rPr>
                <w:sz w:val="18"/>
              </w:rPr>
              <w:t>12 084</w:t>
            </w:r>
          </w:p>
        </w:tc>
        <w:tc>
          <w:tcPr>
            <w:tcW w:w="1247" w:type="dxa"/>
          </w:tcPr>
          <w:p w:rsidR="00000000" w:rsidRDefault="00000000">
            <w:pPr>
              <w:spacing w:before="80" w:after="80" w:line="220" w:lineRule="exact"/>
              <w:jc w:val="center"/>
              <w:rPr>
                <w:sz w:val="18"/>
              </w:rPr>
            </w:pPr>
            <w:r>
              <w:rPr>
                <w:sz w:val="18"/>
              </w:rPr>
              <w:t>41,80</w:t>
            </w:r>
          </w:p>
        </w:tc>
        <w:tc>
          <w:tcPr>
            <w:tcW w:w="1134" w:type="dxa"/>
          </w:tcPr>
          <w:p w:rsidR="00000000" w:rsidRDefault="00000000">
            <w:pPr>
              <w:tabs>
                <w:tab w:val="clear" w:pos="680"/>
                <w:tab w:val="clear" w:pos="1021"/>
                <w:tab w:val="decimal" w:pos="682"/>
              </w:tabs>
              <w:spacing w:before="80" w:after="80" w:line="220" w:lineRule="exact"/>
              <w:rPr>
                <w:sz w:val="18"/>
              </w:rPr>
            </w:pPr>
            <w:r>
              <w:rPr>
                <w:sz w:val="18"/>
              </w:rPr>
              <w:t>36 376</w:t>
            </w:r>
          </w:p>
        </w:tc>
        <w:tc>
          <w:tcPr>
            <w:tcW w:w="1134" w:type="dxa"/>
          </w:tcPr>
          <w:p w:rsidR="00000000" w:rsidRDefault="00000000">
            <w:pPr>
              <w:tabs>
                <w:tab w:val="clear" w:pos="680"/>
                <w:tab w:val="clear" w:pos="1021"/>
                <w:tab w:val="decimal" w:pos="682"/>
              </w:tabs>
              <w:spacing w:before="80" w:after="80" w:line="220" w:lineRule="exact"/>
              <w:rPr>
                <w:sz w:val="18"/>
              </w:rPr>
            </w:pPr>
            <w:r>
              <w:rPr>
                <w:sz w:val="18"/>
              </w:rPr>
              <w:t>16 493</w:t>
            </w:r>
          </w:p>
        </w:tc>
        <w:tc>
          <w:tcPr>
            <w:tcW w:w="1247" w:type="dxa"/>
          </w:tcPr>
          <w:p w:rsidR="00000000" w:rsidRDefault="00000000">
            <w:pPr>
              <w:spacing w:before="80" w:after="80" w:line="220" w:lineRule="exact"/>
              <w:jc w:val="center"/>
              <w:rPr>
                <w:sz w:val="18"/>
              </w:rPr>
            </w:pPr>
            <w:r>
              <w:rPr>
                <w:sz w:val="18"/>
              </w:rPr>
              <w:t>45,34</w:t>
            </w:r>
          </w:p>
        </w:tc>
        <w:tc>
          <w:tcPr>
            <w:tcW w:w="1247" w:type="dxa"/>
          </w:tcPr>
          <w:p w:rsidR="00000000" w:rsidRDefault="00000000">
            <w:pPr>
              <w:spacing w:before="80" w:after="80" w:line="220" w:lineRule="exact"/>
              <w:jc w:val="center"/>
              <w:rPr>
                <w:sz w:val="18"/>
              </w:rPr>
            </w:pPr>
            <w:r>
              <w:rPr>
                <w:sz w:val="18"/>
              </w:rPr>
              <w:t>136,5</w:t>
            </w:r>
          </w:p>
        </w:tc>
      </w:tr>
      <w:tr w:rsidR="00000000">
        <w:tblPrEx>
          <w:tblCellMar>
            <w:top w:w="0" w:type="dxa"/>
            <w:bottom w:w="0" w:type="dxa"/>
          </w:tblCellMar>
        </w:tblPrEx>
        <w:trPr>
          <w:cantSplit/>
          <w:jc w:val="center"/>
        </w:trPr>
        <w:tc>
          <w:tcPr>
            <w:tcW w:w="1362" w:type="dxa"/>
          </w:tcPr>
          <w:p w:rsidR="00000000" w:rsidRDefault="00000000">
            <w:pPr>
              <w:spacing w:before="80" w:after="80" w:line="220" w:lineRule="exact"/>
              <w:rPr>
                <w:sz w:val="18"/>
              </w:rPr>
            </w:pPr>
            <w:r>
              <w:rPr>
                <w:sz w:val="18"/>
              </w:rPr>
              <w:t>Всего</w:t>
            </w:r>
          </w:p>
        </w:tc>
        <w:tc>
          <w:tcPr>
            <w:tcW w:w="1134" w:type="dxa"/>
          </w:tcPr>
          <w:p w:rsidR="00000000" w:rsidRDefault="00000000">
            <w:pPr>
              <w:tabs>
                <w:tab w:val="clear" w:pos="680"/>
                <w:tab w:val="clear" w:pos="1021"/>
                <w:tab w:val="decimal" w:pos="654"/>
              </w:tabs>
              <w:spacing w:before="80" w:after="80" w:line="220" w:lineRule="exact"/>
              <w:rPr>
                <w:sz w:val="18"/>
              </w:rPr>
            </w:pPr>
            <w:r>
              <w:rPr>
                <w:sz w:val="18"/>
              </w:rPr>
              <w:t>622 222</w:t>
            </w:r>
          </w:p>
        </w:tc>
        <w:tc>
          <w:tcPr>
            <w:tcW w:w="1134" w:type="dxa"/>
          </w:tcPr>
          <w:p w:rsidR="00000000" w:rsidRDefault="00000000">
            <w:pPr>
              <w:tabs>
                <w:tab w:val="clear" w:pos="680"/>
                <w:tab w:val="clear" w:pos="1021"/>
                <w:tab w:val="decimal" w:pos="654"/>
              </w:tabs>
              <w:spacing w:before="80" w:after="80" w:line="220" w:lineRule="exact"/>
              <w:rPr>
                <w:sz w:val="18"/>
              </w:rPr>
            </w:pPr>
            <w:r>
              <w:rPr>
                <w:sz w:val="18"/>
              </w:rPr>
              <w:t>320 055</w:t>
            </w:r>
          </w:p>
        </w:tc>
        <w:tc>
          <w:tcPr>
            <w:tcW w:w="1247" w:type="dxa"/>
          </w:tcPr>
          <w:p w:rsidR="00000000" w:rsidRDefault="00000000">
            <w:pPr>
              <w:spacing w:before="80" w:after="80" w:line="220" w:lineRule="exact"/>
              <w:jc w:val="center"/>
              <w:rPr>
                <w:sz w:val="18"/>
              </w:rPr>
            </w:pPr>
            <w:r>
              <w:rPr>
                <w:sz w:val="18"/>
              </w:rPr>
              <w:t>48,33</w:t>
            </w:r>
          </w:p>
        </w:tc>
        <w:tc>
          <w:tcPr>
            <w:tcW w:w="1134" w:type="dxa"/>
          </w:tcPr>
          <w:p w:rsidR="00000000" w:rsidRDefault="00000000">
            <w:pPr>
              <w:tabs>
                <w:tab w:val="clear" w:pos="680"/>
                <w:tab w:val="clear" w:pos="1021"/>
                <w:tab w:val="decimal" w:pos="682"/>
              </w:tabs>
              <w:spacing w:before="80" w:after="80" w:line="220" w:lineRule="exact"/>
              <w:rPr>
                <w:sz w:val="18"/>
              </w:rPr>
            </w:pPr>
            <w:r>
              <w:rPr>
                <w:sz w:val="18"/>
              </w:rPr>
              <w:t>833 372</w:t>
            </w:r>
          </w:p>
        </w:tc>
        <w:tc>
          <w:tcPr>
            <w:tcW w:w="1134" w:type="dxa"/>
          </w:tcPr>
          <w:p w:rsidR="00000000" w:rsidRDefault="00000000">
            <w:pPr>
              <w:tabs>
                <w:tab w:val="clear" w:pos="680"/>
                <w:tab w:val="clear" w:pos="1021"/>
                <w:tab w:val="decimal" w:pos="682"/>
              </w:tabs>
              <w:spacing w:before="80" w:after="80" w:line="220" w:lineRule="exact"/>
              <w:rPr>
                <w:sz w:val="18"/>
              </w:rPr>
            </w:pPr>
            <w:r>
              <w:rPr>
                <w:sz w:val="18"/>
              </w:rPr>
              <w:t>418 409</w:t>
            </w:r>
          </w:p>
        </w:tc>
        <w:tc>
          <w:tcPr>
            <w:tcW w:w="1247" w:type="dxa"/>
          </w:tcPr>
          <w:p w:rsidR="00000000" w:rsidRDefault="00000000">
            <w:pPr>
              <w:spacing w:before="80" w:after="80" w:line="220" w:lineRule="exact"/>
              <w:jc w:val="center"/>
              <w:rPr>
                <w:sz w:val="18"/>
              </w:rPr>
            </w:pPr>
            <w:r>
              <w:rPr>
                <w:sz w:val="18"/>
              </w:rPr>
              <w:t>50,20</w:t>
            </w:r>
          </w:p>
        </w:tc>
        <w:tc>
          <w:tcPr>
            <w:tcW w:w="1247" w:type="dxa"/>
          </w:tcPr>
          <w:p w:rsidR="00000000" w:rsidRDefault="00000000">
            <w:pPr>
              <w:spacing w:before="80" w:after="80" w:line="220" w:lineRule="exact"/>
              <w:jc w:val="center"/>
              <w:rPr>
                <w:sz w:val="18"/>
              </w:rPr>
            </w:pPr>
            <w:r>
              <w:rPr>
                <w:sz w:val="18"/>
              </w:rPr>
              <w:t>130,7</w:t>
            </w:r>
          </w:p>
        </w:tc>
      </w:tr>
    </w:tbl>
    <w:p w:rsidR="00000000" w:rsidRDefault="00000000">
      <w:pPr>
        <w:spacing w:before="120" w:line="220" w:lineRule="exact"/>
        <w:jc w:val="right"/>
        <w:rPr>
          <w:b/>
          <w:sz w:val="18"/>
        </w:rPr>
      </w:pPr>
      <w:r>
        <w:rPr>
          <w:b/>
          <w:sz w:val="18"/>
        </w:rPr>
        <w:t>Источник: НИС, Доклад ЦНИДИЖ о положении женщин, проживающих в сельской местности</w:t>
      </w:r>
    </w:p>
    <w:p w:rsidR="00000000" w:rsidRDefault="00000000">
      <w:r>
        <w:t>882.</w:t>
      </w:r>
      <w:r>
        <w:tab/>
        <w:t xml:space="preserve">Эти положительные изменения в первую очередь благоприятно сказались на сельской местности, где девочки находились в ущемленном положении. Две провинции с преобладающим сельским населением, Кассерин и Сиди-Бу-Зид, прекрасно иллюстрируют прогресс, имеющий место в сельской местности в области охвата школьным обучением девочек младшего возраста. Численность девочек в начальной школе в этих двух провинциях выросла, соответственно, с 42,29 процента и 41,8 процента в 1994 году до 44,5 процента и </w:t>
      </w:r>
      <w:r>
        <w:br/>
        <w:t>45,34 процента в 1997/98 учебном году. Показатель динамики развития для этих провинций, соответственно, 131,1 и 136,5, то есть значительно более высокий, чем тот, который был зарегистрирован в провинции Тунис, (121,1) и значительно выше среднего национального показателя (130,7).</w:t>
      </w:r>
    </w:p>
    <w:p w:rsidR="00000000" w:rsidRDefault="00000000">
      <w:r>
        <w:t>883.</w:t>
      </w:r>
      <w:r>
        <w:tab/>
        <w:t xml:space="preserve">Таблицы, ниже, показывают рост охвата школьным обучением девочек в сельской местности: он увеличился на 9 и 10 пунктов для возрастных категорий от 6 до 9 и от 10 до 14 лет в период с 1989 по 1994 год, в то время как эти показатели для мальчиков составляли, соответственно, 4 и 2 пункта, а для девочек из городской среды, 5 и 3 пункта. Все это свидетельствует о тенденции сокращения разрыва в охвате образованием между мальчиками и девочками и между городской и сельской средой. </w:t>
      </w:r>
    </w:p>
    <w:p w:rsidR="00000000" w:rsidRDefault="00000000">
      <w:pPr>
        <w:jc w:val="center"/>
        <w:rPr>
          <w:b/>
        </w:rPr>
      </w:pPr>
      <w:r>
        <w:rPr>
          <w:b/>
        </w:rPr>
        <w:t xml:space="preserve">Охват школьным образованием в разбивке по полу, возрасту  и месту проживания </w:t>
      </w:r>
    </w:p>
    <w:p w:rsidR="00000000" w:rsidRDefault="00000000">
      <w:pPr>
        <w:spacing w:after="120"/>
        <w:jc w:val="center"/>
        <w:rPr>
          <w:b/>
        </w:rPr>
      </w:pPr>
      <w:r>
        <w:rPr>
          <w:b/>
        </w:rPr>
        <w:t>1989 год</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2"/>
        <w:gridCol w:w="1131"/>
        <w:gridCol w:w="1143"/>
        <w:gridCol w:w="1131"/>
        <w:gridCol w:w="1131"/>
        <w:gridCol w:w="1143"/>
        <w:gridCol w:w="1131"/>
      </w:tblGrid>
      <w:tr w:rsidR="00000000">
        <w:tblPrEx>
          <w:tblCellMar>
            <w:top w:w="0" w:type="dxa"/>
            <w:bottom w:w="0" w:type="dxa"/>
          </w:tblCellMar>
        </w:tblPrEx>
        <w:trPr>
          <w:cantSplit/>
          <w:jc w:val="center"/>
        </w:trPr>
        <w:tc>
          <w:tcPr>
            <w:tcW w:w="2262" w:type="dxa"/>
            <w:vMerge w:val="restart"/>
            <w:tcBorders>
              <w:left w:val="single" w:sz="6" w:space="0" w:color="auto"/>
            </w:tcBorders>
          </w:tcPr>
          <w:p w:rsidR="00000000" w:rsidRDefault="00000000">
            <w:pPr>
              <w:spacing w:before="120" w:after="100" w:line="220" w:lineRule="exact"/>
              <w:jc w:val="left"/>
              <w:rPr>
                <w:b/>
                <w:sz w:val="18"/>
              </w:rPr>
            </w:pPr>
            <w:r>
              <w:rPr>
                <w:b/>
                <w:sz w:val="18"/>
              </w:rPr>
              <w:t>Возрастная группа</w:t>
            </w:r>
          </w:p>
        </w:tc>
        <w:tc>
          <w:tcPr>
            <w:tcW w:w="3405" w:type="dxa"/>
            <w:gridSpan w:val="3"/>
          </w:tcPr>
          <w:p w:rsidR="00000000" w:rsidRDefault="00000000">
            <w:pPr>
              <w:spacing w:before="120" w:after="100" w:line="220" w:lineRule="exact"/>
              <w:jc w:val="center"/>
              <w:rPr>
                <w:b/>
                <w:sz w:val="18"/>
              </w:rPr>
            </w:pPr>
            <w:r>
              <w:rPr>
                <w:b/>
                <w:sz w:val="18"/>
              </w:rPr>
              <w:t>Городская среда</w:t>
            </w:r>
          </w:p>
        </w:tc>
        <w:tc>
          <w:tcPr>
            <w:tcW w:w="3405" w:type="dxa"/>
            <w:gridSpan w:val="3"/>
          </w:tcPr>
          <w:p w:rsidR="00000000" w:rsidRDefault="00000000">
            <w:pPr>
              <w:spacing w:before="120" w:after="100" w:line="220" w:lineRule="exact"/>
              <w:jc w:val="center"/>
              <w:rPr>
                <w:b/>
                <w:sz w:val="18"/>
              </w:rPr>
            </w:pPr>
            <w:r>
              <w:rPr>
                <w:b/>
                <w:sz w:val="18"/>
              </w:rPr>
              <w:t>Сельская среда</w:t>
            </w:r>
          </w:p>
        </w:tc>
      </w:tr>
      <w:tr w:rsidR="00000000">
        <w:tblPrEx>
          <w:tblCellMar>
            <w:top w:w="0" w:type="dxa"/>
            <w:bottom w:w="0" w:type="dxa"/>
          </w:tblCellMar>
        </w:tblPrEx>
        <w:trPr>
          <w:cantSplit/>
          <w:jc w:val="center"/>
        </w:trPr>
        <w:tc>
          <w:tcPr>
            <w:tcW w:w="2262" w:type="dxa"/>
            <w:vMerge/>
            <w:tcBorders>
              <w:left w:val="single" w:sz="6" w:space="0" w:color="auto"/>
            </w:tcBorders>
          </w:tcPr>
          <w:p w:rsidR="00000000" w:rsidRDefault="00000000">
            <w:pPr>
              <w:spacing w:before="120" w:after="100" w:line="220" w:lineRule="exact"/>
              <w:jc w:val="center"/>
              <w:rPr>
                <w:b/>
                <w:sz w:val="18"/>
              </w:rPr>
            </w:pPr>
          </w:p>
        </w:tc>
        <w:tc>
          <w:tcPr>
            <w:tcW w:w="1131" w:type="dxa"/>
          </w:tcPr>
          <w:p w:rsidR="00000000" w:rsidRDefault="00000000">
            <w:pPr>
              <w:spacing w:before="120" w:after="100" w:line="220" w:lineRule="exact"/>
              <w:jc w:val="center"/>
              <w:rPr>
                <w:b/>
                <w:sz w:val="18"/>
              </w:rPr>
            </w:pPr>
            <w:r>
              <w:rPr>
                <w:b/>
                <w:sz w:val="18"/>
              </w:rPr>
              <w:t>мужской</w:t>
            </w:r>
          </w:p>
        </w:tc>
        <w:tc>
          <w:tcPr>
            <w:tcW w:w="1143" w:type="dxa"/>
          </w:tcPr>
          <w:p w:rsidR="00000000" w:rsidRDefault="00000000">
            <w:pPr>
              <w:spacing w:before="120" w:after="100" w:line="220" w:lineRule="exact"/>
              <w:jc w:val="center"/>
              <w:rPr>
                <w:b/>
                <w:sz w:val="18"/>
              </w:rPr>
            </w:pPr>
            <w:r>
              <w:rPr>
                <w:b/>
                <w:sz w:val="18"/>
              </w:rPr>
              <w:t>женский</w:t>
            </w:r>
          </w:p>
        </w:tc>
        <w:tc>
          <w:tcPr>
            <w:tcW w:w="1131" w:type="dxa"/>
          </w:tcPr>
          <w:p w:rsidR="00000000" w:rsidRDefault="00000000">
            <w:pPr>
              <w:spacing w:before="120" w:after="100" w:line="220" w:lineRule="exact"/>
              <w:jc w:val="center"/>
              <w:rPr>
                <w:b/>
                <w:sz w:val="18"/>
              </w:rPr>
            </w:pPr>
            <w:r>
              <w:rPr>
                <w:b/>
                <w:sz w:val="18"/>
              </w:rPr>
              <w:t>в среднем</w:t>
            </w:r>
          </w:p>
        </w:tc>
        <w:tc>
          <w:tcPr>
            <w:tcW w:w="1131" w:type="dxa"/>
          </w:tcPr>
          <w:p w:rsidR="00000000" w:rsidRDefault="00000000">
            <w:pPr>
              <w:spacing w:before="120" w:after="100" w:line="220" w:lineRule="exact"/>
              <w:jc w:val="center"/>
              <w:rPr>
                <w:b/>
                <w:sz w:val="18"/>
              </w:rPr>
            </w:pPr>
            <w:r>
              <w:rPr>
                <w:b/>
                <w:sz w:val="18"/>
              </w:rPr>
              <w:t>мужской</w:t>
            </w:r>
          </w:p>
        </w:tc>
        <w:tc>
          <w:tcPr>
            <w:tcW w:w="1143" w:type="dxa"/>
          </w:tcPr>
          <w:p w:rsidR="00000000" w:rsidRDefault="00000000">
            <w:pPr>
              <w:spacing w:before="120" w:after="100" w:line="220" w:lineRule="exact"/>
              <w:jc w:val="center"/>
              <w:rPr>
                <w:b/>
                <w:sz w:val="18"/>
              </w:rPr>
            </w:pPr>
            <w:r>
              <w:rPr>
                <w:b/>
                <w:sz w:val="18"/>
              </w:rPr>
              <w:t>женский</w:t>
            </w:r>
          </w:p>
        </w:tc>
        <w:tc>
          <w:tcPr>
            <w:tcW w:w="1131" w:type="dxa"/>
          </w:tcPr>
          <w:p w:rsidR="00000000" w:rsidRDefault="00000000">
            <w:pPr>
              <w:spacing w:before="120" w:after="100" w:line="220" w:lineRule="exact"/>
              <w:jc w:val="center"/>
              <w:rPr>
                <w:b/>
                <w:sz w:val="18"/>
              </w:rPr>
            </w:pPr>
            <w:r>
              <w:rPr>
                <w:b/>
                <w:sz w:val="18"/>
              </w:rPr>
              <w:t>в среднем</w:t>
            </w:r>
          </w:p>
        </w:tc>
      </w:tr>
      <w:tr w:rsidR="00000000">
        <w:tblPrEx>
          <w:tblCellMar>
            <w:top w:w="0" w:type="dxa"/>
            <w:bottom w:w="0" w:type="dxa"/>
          </w:tblCellMar>
        </w:tblPrEx>
        <w:trPr>
          <w:cantSplit/>
          <w:jc w:val="center"/>
        </w:trPr>
        <w:tc>
          <w:tcPr>
            <w:tcW w:w="2262" w:type="dxa"/>
          </w:tcPr>
          <w:p w:rsidR="00000000" w:rsidRDefault="00000000">
            <w:pPr>
              <w:spacing w:before="100" w:after="100" w:line="220" w:lineRule="exact"/>
              <w:rPr>
                <w:sz w:val="18"/>
              </w:rPr>
            </w:pPr>
            <w:r>
              <w:rPr>
                <w:sz w:val="18"/>
              </w:rPr>
              <w:t>6</w:t>
            </w:r>
            <w:r>
              <w:rPr>
                <w:sz w:val="18"/>
                <w:lang w:val="en-US"/>
              </w:rPr>
              <w:t>–</w:t>
            </w:r>
            <w:r>
              <w:rPr>
                <w:sz w:val="18"/>
              </w:rPr>
              <w:t>9 лет</w:t>
            </w:r>
          </w:p>
        </w:tc>
        <w:tc>
          <w:tcPr>
            <w:tcW w:w="1131" w:type="dxa"/>
          </w:tcPr>
          <w:p w:rsidR="00000000" w:rsidRDefault="00000000">
            <w:pPr>
              <w:spacing w:before="100" w:after="100" w:line="220" w:lineRule="exact"/>
              <w:jc w:val="center"/>
              <w:rPr>
                <w:sz w:val="18"/>
              </w:rPr>
            </w:pPr>
            <w:r>
              <w:rPr>
                <w:sz w:val="18"/>
              </w:rPr>
              <w:t>87,2</w:t>
            </w:r>
          </w:p>
        </w:tc>
        <w:tc>
          <w:tcPr>
            <w:tcW w:w="1143" w:type="dxa"/>
          </w:tcPr>
          <w:p w:rsidR="00000000" w:rsidRDefault="00000000">
            <w:pPr>
              <w:spacing w:before="100" w:after="100" w:line="220" w:lineRule="exact"/>
              <w:jc w:val="center"/>
              <w:rPr>
                <w:sz w:val="18"/>
              </w:rPr>
            </w:pPr>
            <w:r>
              <w:rPr>
                <w:sz w:val="18"/>
              </w:rPr>
              <w:t>87,2</w:t>
            </w:r>
          </w:p>
        </w:tc>
        <w:tc>
          <w:tcPr>
            <w:tcW w:w="1131" w:type="dxa"/>
          </w:tcPr>
          <w:p w:rsidR="00000000" w:rsidRDefault="00000000">
            <w:pPr>
              <w:spacing w:before="100" w:after="100" w:line="220" w:lineRule="exact"/>
              <w:jc w:val="center"/>
              <w:rPr>
                <w:sz w:val="18"/>
              </w:rPr>
            </w:pPr>
            <w:r>
              <w:rPr>
                <w:sz w:val="18"/>
              </w:rPr>
              <w:t>87,2</w:t>
            </w:r>
          </w:p>
        </w:tc>
        <w:tc>
          <w:tcPr>
            <w:tcW w:w="1131" w:type="dxa"/>
          </w:tcPr>
          <w:p w:rsidR="00000000" w:rsidRDefault="00000000">
            <w:pPr>
              <w:spacing w:before="100" w:after="100" w:line="220" w:lineRule="exact"/>
              <w:jc w:val="center"/>
              <w:rPr>
                <w:sz w:val="18"/>
              </w:rPr>
            </w:pPr>
            <w:r>
              <w:rPr>
                <w:sz w:val="18"/>
              </w:rPr>
              <w:t>80,3</w:t>
            </w:r>
          </w:p>
        </w:tc>
        <w:tc>
          <w:tcPr>
            <w:tcW w:w="1143" w:type="dxa"/>
          </w:tcPr>
          <w:p w:rsidR="00000000" w:rsidRDefault="00000000">
            <w:pPr>
              <w:spacing w:before="100" w:after="100" w:line="220" w:lineRule="exact"/>
              <w:jc w:val="center"/>
              <w:rPr>
                <w:sz w:val="18"/>
              </w:rPr>
            </w:pPr>
            <w:r>
              <w:rPr>
                <w:sz w:val="18"/>
              </w:rPr>
              <w:t>68,0</w:t>
            </w:r>
          </w:p>
        </w:tc>
        <w:tc>
          <w:tcPr>
            <w:tcW w:w="1131" w:type="dxa"/>
          </w:tcPr>
          <w:p w:rsidR="00000000" w:rsidRDefault="00000000">
            <w:pPr>
              <w:spacing w:before="100" w:after="100" w:line="220" w:lineRule="exact"/>
              <w:jc w:val="center"/>
              <w:rPr>
                <w:sz w:val="18"/>
              </w:rPr>
            </w:pPr>
            <w:r>
              <w:rPr>
                <w:sz w:val="18"/>
              </w:rPr>
              <w:t>74,3</w:t>
            </w:r>
          </w:p>
        </w:tc>
      </w:tr>
      <w:tr w:rsidR="00000000">
        <w:tblPrEx>
          <w:tblCellMar>
            <w:top w:w="0" w:type="dxa"/>
            <w:bottom w:w="0" w:type="dxa"/>
          </w:tblCellMar>
        </w:tblPrEx>
        <w:trPr>
          <w:cantSplit/>
          <w:jc w:val="center"/>
        </w:trPr>
        <w:tc>
          <w:tcPr>
            <w:tcW w:w="2262" w:type="dxa"/>
          </w:tcPr>
          <w:p w:rsidR="00000000" w:rsidRDefault="00000000">
            <w:pPr>
              <w:spacing w:before="100" w:after="100" w:line="220" w:lineRule="exact"/>
              <w:rPr>
                <w:sz w:val="18"/>
              </w:rPr>
            </w:pPr>
            <w:r>
              <w:rPr>
                <w:sz w:val="18"/>
              </w:rPr>
              <w:t>10</w:t>
            </w:r>
            <w:r>
              <w:rPr>
                <w:sz w:val="18"/>
                <w:lang w:val="en-US"/>
              </w:rPr>
              <w:t>–</w:t>
            </w:r>
            <w:r>
              <w:rPr>
                <w:sz w:val="18"/>
              </w:rPr>
              <w:t>14 лет</w:t>
            </w:r>
          </w:p>
        </w:tc>
        <w:tc>
          <w:tcPr>
            <w:tcW w:w="1131" w:type="dxa"/>
          </w:tcPr>
          <w:p w:rsidR="00000000" w:rsidRDefault="00000000">
            <w:pPr>
              <w:spacing w:before="100" w:after="100" w:line="220" w:lineRule="exact"/>
              <w:jc w:val="center"/>
              <w:rPr>
                <w:sz w:val="18"/>
              </w:rPr>
            </w:pPr>
            <w:r>
              <w:rPr>
                <w:sz w:val="18"/>
              </w:rPr>
              <w:t>91,2</w:t>
            </w:r>
          </w:p>
        </w:tc>
        <w:tc>
          <w:tcPr>
            <w:tcW w:w="1143" w:type="dxa"/>
          </w:tcPr>
          <w:p w:rsidR="00000000" w:rsidRDefault="00000000">
            <w:pPr>
              <w:spacing w:before="100" w:after="100" w:line="220" w:lineRule="exact"/>
              <w:jc w:val="center"/>
              <w:rPr>
                <w:sz w:val="18"/>
              </w:rPr>
            </w:pPr>
            <w:r>
              <w:rPr>
                <w:sz w:val="18"/>
              </w:rPr>
              <w:t>88,1</w:t>
            </w:r>
          </w:p>
        </w:tc>
        <w:tc>
          <w:tcPr>
            <w:tcW w:w="1131" w:type="dxa"/>
          </w:tcPr>
          <w:p w:rsidR="00000000" w:rsidRDefault="00000000">
            <w:pPr>
              <w:spacing w:before="100" w:after="100" w:line="220" w:lineRule="exact"/>
              <w:jc w:val="center"/>
              <w:rPr>
                <w:sz w:val="18"/>
              </w:rPr>
            </w:pPr>
            <w:r>
              <w:rPr>
                <w:sz w:val="18"/>
              </w:rPr>
              <w:t>89,7</w:t>
            </w:r>
          </w:p>
        </w:tc>
        <w:tc>
          <w:tcPr>
            <w:tcW w:w="1131" w:type="dxa"/>
          </w:tcPr>
          <w:p w:rsidR="00000000" w:rsidRDefault="00000000">
            <w:pPr>
              <w:spacing w:before="100" w:after="100" w:line="220" w:lineRule="exact"/>
              <w:jc w:val="center"/>
              <w:rPr>
                <w:sz w:val="18"/>
              </w:rPr>
            </w:pPr>
            <w:r>
              <w:rPr>
                <w:sz w:val="18"/>
              </w:rPr>
              <w:t>81,6</w:t>
            </w:r>
          </w:p>
        </w:tc>
        <w:tc>
          <w:tcPr>
            <w:tcW w:w="1143" w:type="dxa"/>
          </w:tcPr>
          <w:p w:rsidR="00000000" w:rsidRDefault="00000000">
            <w:pPr>
              <w:spacing w:before="100" w:after="100" w:line="220" w:lineRule="exact"/>
              <w:jc w:val="center"/>
              <w:rPr>
                <w:sz w:val="18"/>
              </w:rPr>
            </w:pPr>
            <w:r>
              <w:rPr>
                <w:sz w:val="18"/>
              </w:rPr>
              <w:t>55,6</w:t>
            </w:r>
          </w:p>
        </w:tc>
        <w:tc>
          <w:tcPr>
            <w:tcW w:w="1131" w:type="dxa"/>
          </w:tcPr>
          <w:p w:rsidR="00000000" w:rsidRDefault="00000000">
            <w:pPr>
              <w:spacing w:before="100" w:after="100" w:line="220" w:lineRule="exact"/>
              <w:jc w:val="center"/>
              <w:rPr>
                <w:sz w:val="18"/>
              </w:rPr>
            </w:pPr>
            <w:r>
              <w:rPr>
                <w:sz w:val="18"/>
              </w:rPr>
              <w:t>68,8</w:t>
            </w:r>
          </w:p>
        </w:tc>
      </w:tr>
      <w:tr w:rsidR="00000000">
        <w:tblPrEx>
          <w:tblCellMar>
            <w:top w:w="0" w:type="dxa"/>
            <w:bottom w:w="0" w:type="dxa"/>
          </w:tblCellMar>
        </w:tblPrEx>
        <w:trPr>
          <w:cantSplit/>
          <w:jc w:val="center"/>
        </w:trPr>
        <w:tc>
          <w:tcPr>
            <w:tcW w:w="2262" w:type="dxa"/>
          </w:tcPr>
          <w:p w:rsidR="00000000" w:rsidRDefault="00000000">
            <w:pPr>
              <w:spacing w:before="100" w:after="100" w:line="220" w:lineRule="exact"/>
              <w:rPr>
                <w:sz w:val="18"/>
              </w:rPr>
            </w:pPr>
            <w:r>
              <w:rPr>
                <w:sz w:val="18"/>
              </w:rPr>
              <w:t>15</w:t>
            </w:r>
            <w:r>
              <w:rPr>
                <w:sz w:val="18"/>
                <w:lang w:val="en-US"/>
              </w:rPr>
              <w:t>–</w:t>
            </w:r>
            <w:r>
              <w:rPr>
                <w:sz w:val="18"/>
              </w:rPr>
              <w:t>19 лет</w:t>
            </w:r>
          </w:p>
        </w:tc>
        <w:tc>
          <w:tcPr>
            <w:tcW w:w="1131" w:type="dxa"/>
          </w:tcPr>
          <w:p w:rsidR="00000000" w:rsidRDefault="00000000">
            <w:pPr>
              <w:spacing w:before="100" w:after="100" w:line="220" w:lineRule="exact"/>
              <w:jc w:val="center"/>
              <w:rPr>
                <w:sz w:val="18"/>
              </w:rPr>
            </w:pPr>
            <w:r>
              <w:rPr>
                <w:sz w:val="18"/>
              </w:rPr>
              <w:t>57,9</w:t>
            </w:r>
          </w:p>
        </w:tc>
        <w:tc>
          <w:tcPr>
            <w:tcW w:w="1143" w:type="dxa"/>
          </w:tcPr>
          <w:p w:rsidR="00000000" w:rsidRDefault="00000000">
            <w:pPr>
              <w:spacing w:before="100" w:after="100" w:line="220" w:lineRule="exact"/>
              <w:jc w:val="center"/>
              <w:rPr>
                <w:sz w:val="18"/>
              </w:rPr>
            </w:pPr>
            <w:r>
              <w:rPr>
                <w:sz w:val="18"/>
              </w:rPr>
              <w:t>52,0</w:t>
            </w:r>
          </w:p>
        </w:tc>
        <w:tc>
          <w:tcPr>
            <w:tcW w:w="1131" w:type="dxa"/>
          </w:tcPr>
          <w:p w:rsidR="00000000" w:rsidRDefault="00000000">
            <w:pPr>
              <w:spacing w:before="100" w:after="100" w:line="220" w:lineRule="exact"/>
              <w:jc w:val="center"/>
              <w:rPr>
                <w:sz w:val="18"/>
              </w:rPr>
            </w:pPr>
            <w:r>
              <w:rPr>
                <w:sz w:val="18"/>
              </w:rPr>
              <w:t>55,0</w:t>
            </w:r>
          </w:p>
        </w:tc>
        <w:tc>
          <w:tcPr>
            <w:tcW w:w="1131" w:type="dxa"/>
          </w:tcPr>
          <w:p w:rsidR="00000000" w:rsidRDefault="00000000">
            <w:pPr>
              <w:spacing w:before="100" w:after="100" w:line="220" w:lineRule="exact"/>
              <w:jc w:val="center"/>
              <w:rPr>
                <w:sz w:val="18"/>
              </w:rPr>
            </w:pPr>
            <w:r>
              <w:rPr>
                <w:sz w:val="18"/>
              </w:rPr>
              <w:t>42,6</w:t>
            </w:r>
          </w:p>
        </w:tc>
        <w:tc>
          <w:tcPr>
            <w:tcW w:w="1143" w:type="dxa"/>
          </w:tcPr>
          <w:p w:rsidR="00000000" w:rsidRDefault="00000000">
            <w:pPr>
              <w:spacing w:before="100" w:after="100" w:line="220" w:lineRule="exact"/>
              <w:jc w:val="center"/>
              <w:rPr>
                <w:sz w:val="18"/>
              </w:rPr>
            </w:pPr>
            <w:r>
              <w:rPr>
                <w:sz w:val="18"/>
              </w:rPr>
              <w:t>17,2</w:t>
            </w:r>
          </w:p>
        </w:tc>
        <w:tc>
          <w:tcPr>
            <w:tcW w:w="1131" w:type="dxa"/>
          </w:tcPr>
          <w:p w:rsidR="00000000" w:rsidRDefault="00000000">
            <w:pPr>
              <w:spacing w:before="100" w:after="100" w:line="220" w:lineRule="exact"/>
              <w:jc w:val="center"/>
              <w:rPr>
                <w:sz w:val="18"/>
              </w:rPr>
            </w:pPr>
            <w:r>
              <w:rPr>
                <w:sz w:val="18"/>
              </w:rPr>
              <w:t>30,0</w:t>
            </w:r>
          </w:p>
        </w:tc>
      </w:tr>
      <w:tr w:rsidR="00000000">
        <w:tblPrEx>
          <w:tblCellMar>
            <w:top w:w="0" w:type="dxa"/>
            <w:bottom w:w="0" w:type="dxa"/>
          </w:tblCellMar>
        </w:tblPrEx>
        <w:trPr>
          <w:cantSplit/>
          <w:jc w:val="center"/>
        </w:trPr>
        <w:tc>
          <w:tcPr>
            <w:tcW w:w="2262" w:type="dxa"/>
          </w:tcPr>
          <w:p w:rsidR="00000000" w:rsidRDefault="00000000">
            <w:pPr>
              <w:spacing w:before="100" w:after="100" w:line="220" w:lineRule="exact"/>
              <w:rPr>
                <w:sz w:val="18"/>
              </w:rPr>
            </w:pPr>
            <w:r>
              <w:rPr>
                <w:sz w:val="18"/>
              </w:rPr>
              <w:t>20</w:t>
            </w:r>
            <w:r>
              <w:rPr>
                <w:sz w:val="18"/>
                <w:lang w:val="en-US"/>
              </w:rPr>
              <w:t>–</w:t>
            </w:r>
            <w:r>
              <w:rPr>
                <w:sz w:val="18"/>
              </w:rPr>
              <w:t>24 года</w:t>
            </w:r>
          </w:p>
        </w:tc>
        <w:tc>
          <w:tcPr>
            <w:tcW w:w="1131" w:type="dxa"/>
          </w:tcPr>
          <w:p w:rsidR="00000000" w:rsidRDefault="00000000">
            <w:pPr>
              <w:spacing w:before="100" w:after="100" w:line="220" w:lineRule="exact"/>
              <w:jc w:val="center"/>
              <w:rPr>
                <w:sz w:val="18"/>
              </w:rPr>
            </w:pPr>
            <w:r>
              <w:rPr>
                <w:sz w:val="18"/>
              </w:rPr>
              <w:t>25,8</w:t>
            </w:r>
          </w:p>
        </w:tc>
        <w:tc>
          <w:tcPr>
            <w:tcW w:w="1143" w:type="dxa"/>
          </w:tcPr>
          <w:p w:rsidR="00000000" w:rsidRDefault="00000000">
            <w:pPr>
              <w:spacing w:before="100" w:after="100" w:line="220" w:lineRule="exact"/>
              <w:jc w:val="center"/>
              <w:rPr>
                <w:sz w:val="18"/>
              </w:rPr>
            </w:pPr>
            <w:r>
              <w:rPr>
                <w:sz w:val="18"/>
              </w:rPr>
              <w:t>19,0</w:t>
            </w:r>
          </w:p>
        </w:tc>
        <w:tc>
          <w:tcPr>
            <w:tcW w:w="1131" w:type="dxa"/>
          </w:tcPr>
          <w:p w:rsidR="00000000" w:rsidRDefault="00000000">
            <w:pPr>
              <w:spacing w:before="100" w:after="100" w:line="220" w:lineRule="exact"/>
              <w:jc w:val="center"/>
              <w:rPr>
                <w:sz w:val="18"/>
              </w:rPr>
            </w:pPr>
            <w:r>
              <w:rPr>
                <w:sz w:val="18"/>
              </w:rPr>
              <w:t>22,5</w:t>
            </w:r>
          </w:p>
        </w:tc>
        <w:tc>
          <w:tcPr>
            <w:tcW w:w="1131" w:type="dxa"/>
          </w:tcPr>
          <w:p w:rsidR="00000000" w:rsidRDefault="00000000">
            <w:pPr>
              <w:spacing w:before="100" w:after="100" w:line="220" w:lineRule="exact"/>
              <w:jc w:val="center"/>
              <w:rPr>
                <w:sz w:val="18"/>
              </w:rPr>
            </w:pPr>
            <w:r>
              <w:rPr>
                <w:sz w:val="18"/>
              </w:rPr>
              <w:t>14,6</w:t>
            </w:r>
          </w:p>
        </w:tc>
        <w:tc>
          <w:tcPr>
            <w:tcW w:w="1143" w:type="dxa"/>
          </w:tcPr>
          <w:p w:rsidR="00000000" w:rsidRDefault="00000000">
            <w:pPr>
              <w:spacing w:before="100" w:after="100" w:line="220" w:lineRule="exact"/>
              <w:jc w:val="center"/>
              <w:rPr>
                <w:sz w:val="18"/>
              </w:rPr>
            </w:pPr>
            <w:r>
              <w:rPr>
                <w:sz w:val="18"/>
              </w:rPr>
              <w:t>3,9</w:t>
            </w:r>
          </w:p>
        </w:tc>
        <w:tc>
          <w:tcPr>
            <w:tcW w:w="1131" w:type="dxa"/>
          </w:tcPr>
          <w:p w:rsidR="00000000" w:rsidRDefault="00000000">
            <w:pPr>
              <w:spacing w:before="100" w:after="100" w:line="220" w:lineRule="exact"/>
              <w:jc w:val="center"/>
              <w:rPr>
                <w:sz w:val="18"/>
              </w:rPr>
            </w:pPr>
            <w:r>
              <w:rPr>
                <w:sz w:val="18"/>
              </w:rPr>
              <w:t>9,3</w:t>
            </w:r>
          </w:p>
        </w:tc>
      </w:tr>
      <w:tr w:rsidR="00000000">
        <w:tblPrEx>
          <w:tblCellMar>
            <w:top w:w="0" w:type="dxa"/>
            <w:bottom w:w="0" w:type="dxa"/>
          </w:tblCellMar>
        </w:tblPrEx>
        <w:trPr>
          <w:cantSplit/>
          <w:jc w:val="center"/>
        </w:trPr>
        <w:tc>
          <w:tcPr>
            <w:tcW w:w="2262" w:type="dxa"/>
          </w:tcPr>
          <w:p w:rsidR="00000000" w:rsidRDefault="00000000">
            <w:pPr>
              <w:spacing w:before="100" w:after="100" w:line="220" w:lineRule="exact"/>
              <w:rPr>
                <w:sz w:val="18"/>
              </w:rPr>
            </w:pPr>
            <w:r>
              <w:rPr>
                <w:sz w:val="18"/>
              </w:rPr>
              <w:t>25</w:t>
            </w:r>
            <w:r>
              <w:rPr>
                <w:sz w:val="18"/>
                <w:lang w:val="en-US"/>
              </w:rPr>
              <w:t>–</w:t>
            </w:r>
            <w:r>
              <w:rPr>
                <w:sz w:val="18"/>
              </w:rPr>
              <w:t>29 лет</w:t>
            </w:r>
          </w:p>
        </w:tc>
        <w:tc>
          <w:tcPr>
            <w:tcW w:w="1131" w:type="dxa"/>
          </w:tcPr>
          <w:p w:rsidR="00000000" w:rsidRDefault="00000000">
            <w:pPr>
              <w:spacing w:before="100" w:after="100" w:line="220" w:lineRule="exact"/>
              <w:jc w:val="center"/>
              <w:rPr>
                <w:sz w:val="18"/>
              </w:rPr>
            </w:pPr>
            <w:r>
              <w:rPr>
                <w:sz w:val="18"/>
              </w:rPr>
              <w:t>5,4</w:t>
            </w:r>
          </w:p>
        </w:tc>
        <w:tc>
          <w:tcPr>
            <w:tcW w:w="1143" w:type="dxa"/>
          </w:tcPr>
          <w:p w:rsidR="00000000" w:rsidRDefault="00000000">
            <w:pPr>
              <w:spacing w:before="100" w:after="100" w:line="220" w:lineRule="exact"/>
              <w:jc w:val="center"/>
              <w:rPr>
                <w:sz w:val="18"/>
              </w:rPr>
            </w:pPr>
            <w:r>
              <w:rPr>
                <w:sz w:val="18"/>
              </w:rPr>
              <w:t>2,9</w:t>
            </w:r>
          </w:p>
        </w:tc>
        <w:tc>
          <w:tcPr>
            <w:tcW w:w="1131" w:type="dxa"/>
          </w:tcPr>
          <w:p w:rsidR="00000000" w:rsidRDefault="00000000">
            <w:pPr>
              <w:spacing w:before="100" w:after="100" w:line="220" w:lineRule="exact"/>
              <w:jc w:val="center"/>
              <w:rPr>
                <w:sz w:val="18"/>
              </w:rPr>
            </w:pPr>
            <w:r>
              <w:rPr>
                <w:sz w:val="18"/>
              </w:rPr>
              <w:t>4,2</w:t>
            </w:r>
          </w:p>
        </w:tc>
        <w:tc>
          <w:tcPr>
            <w:tcW w:w="1131" w:type="dxa"/>
          </w:tcPr>
          <w:p w:rsidR="00000000" w:rsidRDefault="00000000">
            <w:pPr>
              <w:spacing w:before="100" w:after="100" w:line="220" w:lineRule="exact"/>
              <w:jc w:val="center"/>
              <w:rPr>
                <w:sz w:val="18"/>
              </w:rPr>
            </w:pPr>
            <w:r>
              <w:rPr>
                <w:sz w:val="18"/>
              </w:rPr>
              <w:t>2,2</w:t>
            </w:r>
          </w:p>
        </w:tc>
        <w:tc>
          <w:tcPr>
            <w:tcW w:w="1143" w:type="dxa"/>
          </w:tcPr>
          <w:p w:rsidR="00000000" w:rsidRDefault="00000000">
            <w:pPr>
              <w:spacing w:before="100" w:after="100" w:line="220" w:lineRule="exact"/>
              <w:jc w:val="center"/>
              <w:rPr>
                <w:sz w:val="18"/>
              </w:rPr>
            </w:pPr>
            <w:r>
              <w:rPr>
                <w:sz w:val="18"/>
              </w:rPr>
              <w:t>0,7</w:t>
            </w:r>
          </w:p>
        </w:tc>
        <w:tc>
          <w:tcPr>
            <w:tcW w:w="1131" w:type="dxa"/>
          </w:tcPr>
          <w:p w:rsidR="00000000" w:rsidRDefault="00000000">
            <w:pPr>
              <w:spacing w:before="100" w:after="100" w:line="220" w:lineRule="exact"/>
              <w:jc w:val="center"/>
              <w:rPr>
                <w:sz w:val="18"/>
              </w:rPr>
            </w:pPr>
            <w:r>
              <w:rPr>
                <w:sz w:val="18"/>
              </w:rPr>
              <w:t>1,4</w:t>
            </w:r>
          </w:p>
        </w:tc>
      </w:tr>
    </w:tbl>
    <w:p w:rsidR="00000000" w:rsidRDefault="00000000">
      <w:pPr>
        <w:spacing w:after="120"/>
        <w:jc w:val="center"/>
        <w:rPr>
          <w:b/>
        </w:rPr>
      </w:pPr>
      <w:r>
        <w:rPr>
          <w:b/>
        </w:rPr>
        <w:t>1994 год</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2"/>
        <w:gridCol w:w="1131"/>
        <w:gridCol w:w="1143"/>
        <w:gridCol w:w="1131"/>
        <w:gridCol w:w="1131"/>
        <w:gridCol w:w="1143"/>
        <w:gridCol w:w="1131"/>
      </w:tblGrid>
      <w:tr w:rsidR="00000000">
        <w:tblPrEx>
          <w:tblCellMar>
            <w:top w:w="0" w:type="dxa"/>
            <w:bottom w:w="0" w:type="dxa"/>
          </w:tblCellMar>
        </w:tblPrEx>
        <w:trPr>
          <w:cantSplit/>
          <w:jc w:val="center"/>
        </w:trPr>
        <w:tc>
          <w:tcPr>
            <w:tcW w:w="2262" w:type="dxa"/>
            <w:vMerge w:val="restart"/>
            <w:tcBorders>
              <w:left w:val="single" w:sz="6" w:space="0" w:color="auto"/>
            </w:tcBorders>
          </w:tcPr>
          <w:p w:rsidR="00000000" w:rsidRDefault="00000000">
            <w:pPr>
              <w:spacing w:before="40" w:after="40" w:line="220" w:lineRule="exact"/>
              <w:jc w:val="left"/>
              <w:rPr>
                <w:b/>
                <w:sz w:val="18"/>
              </w:rPr>
            </w:pPr>
            <w:r>
              <w:rPr>
                <w:b/>
                <w:sz w:val="18"/>
              </w:rPr>
              <w:t>Возрастная группа</w:t>
            </w:r>
          </w:p>
        </w:tc>
        <w:tc>
          <w:tcPr>
            <w:tcW w:w="3405" w:type="dxa"/>
            <w:gridSpan w:val="3"/>
          </w:tcPr>
          <w:p w:rsidR="00000000" w:rsidRDefault="00000000">
            <w:pPr>
              <w:spacing w:before="40" w:after="40" w:line="220" w:lineRule="exact"/>
              <w:jc w:val="center"/>
              <w:rPr>
                <w:b/>
                <w:sz w:val="18"/>
              </w:rPr>
            </w:pPr>
            <w:r>
              <w:rPr>
                <w:b/>
                <w:sz w:val="18"/>
              </w:rPr>
              <w:t>Городская среда</w:t>
            </w:r>
          </w:p>
        </w:tc>
        <w:tc>
          <w:tcPr>
            <w:tcW w:w="3405" w:type="dxa"/>
            <w:gridSpan w:val="3"/>
          </w:tcPr>
          <w:p w:rsidR="00000000" w:rsidRDefault="00000000">
            <w:pPr>
              <w:spacing w:before="40" w:after="40" w:line="220" w:lineRule="exact"/>
              <w:jc w:val="center"/>
              <w:rPr>
                <w:b/>
                <w:sz w:val="18"/>
              </w:rPr>
            </w:pPr>
            <w:r>
              <w:rPr>
                <w:b/>
                <w:sz w:val="18"/>
              </w:rPr>
              <w:t>Сельская среда</w:t>
            </w:r>
          </w:p>
        </w:tc>
      </w:tr>
      <w:tr w:rsidR="00000000">
        <w:tblPrEx>
          <w:tblCellMar>
            <w:top w:w="0" w:type="dxa"/>
            <w:bottom w:w="0" w:type="dxa"/>
          </w:tblCellMar>
        </w:tblPrEx>
        <w:trPr>
          <w:cantSplit/>
          <w:jc w:val="center"/>
        </w:trPr>
        <w:tc>
          <w:tcPr>
            <w:tcW w:w="2262" w:type="dxa"/>
            <w:vMerge/>
            <w:tcBorders>
              <w:left w:val="single" w:sz="6" w:space="0" w:color="auto"/>
            </w:tcBorders>
          </w:tcPr>
          <w:p w:rsidR="00000000" w:rsidRDefault="00000000">
            <w:pPr>
              <w:spacing w:before="40" w:after="40" w:line="220" w:lineRule="exact"/>
              <w:jc w:val="center"/>
              <w:rPr>
                <w:b/>
                <w:sz w:val="18"/>
              </w:rPr>
            </w:pPr>
          </w:p>
        </w:tc>
        <w:tc>
          <w:tcPr>
            <w:tcW w:w="1131" w:type="dxa"/>
          </w:tcPr>
          <w:p w:rsidR="00000000" w:rsidRDefault="00000000">
            <w:pPr>
              <w:spacing w:before="40" w:after="40" w:line="220" w:lineRule="exact"/>
              <w:jc w:val="center"/>
              <w:rPr>
                <w:b/>
                <w:sz w:val="18"/>
              </w:rPr>
            </w:pPr>
            <w:r>
              <w:rPr>
                <w:b/>
                <w:sz w:val="18"/>
              </w:rPr>
              <w:t>мужской</w:t>
            </w:r>
          </w:p>
        </w:tc>
        <w:tc>
          <w:tcPr>
            <w:tcW w:w="1143" w:type="dxa"/>
          </w:tcPr>
          <w:p w:rsidR="00000000" w:rsidRDefault="00000000">
            <w:pPr>
              <w:spacing w:before="40" w:after="40" w:line="220" w:lineRule="exact"/>
              <w:jc w:val="center"/>
              <w:rPr>
                <w:b/>
                <w:sz w:val="18"/>
              </w:rPr>
            </w:pPr>
            <w:r>
              <w:rPr>
                <w:b/>
                <w:sz w:val="18"/>
              </w:rPr>
              <w:t>женский</w:t>
            </w:r>
          </w:p>
        </w:tc>
        <w:tc>
          <w:tcPr>
            <w:tcW w:w="1131" w:type="dxa"/>
          </w:tcPr>
          <w:p w:rsidR="00000000" w:rsidRDefault="00000000">
            <w:pPr>
              <w:spacing w:before="40" w:after="40" w:line="220" w:lineRule="exact"/>
              <w:jc w:val="center"/>
              <w:rPr>
                <w:b/>
                <w:sz w:val="18"/>
              </w:rPr>
            </w:pPr>
            <w:r>
              <w:rPr>
                <w:b/>
                <w:sz w:val="18"/>
              </w:rPr>
              <w:t>в среднем</w:t>
            </w:r>
          </w:p>
        </w:tc>
        <w:tc>
          <w:tcPr>
            <w:tcW w:w="1131" w:type="dxa"/>
          </w:tcPr>
          <w:p w:rsidR="00000000" w:rsidRDefault="00000000">
            <w:pPr>
              <w:spacing w:before="40" w:after="40" w:line="220" w:lineRule="exact"/>
              <w:jc w:val="center"/>
              <w:rPr>
                <w:b/>
                <w:sz w:val="18"/>
              </w:rPr>
            </w:pPr>
            <w:r>
              <w:rPr>
                <w:b/>
                <w:sz w:val="18"/>
              </w:rPr>
              <w:t>мужской</w:t>
            </w:r>
          </w:p>
        </w:tc>
        <w:tc>
          <w:tcPr>
            <w:tcW w:w="1143" w:type="dxa"/>
          </w:tcPr>
          <w:p w:rsidR="00000000" w:rsidRDefault="00000000">
            <w:pPr>
              <w:spacing w:before="40" w:after="40" w:line="220" w:lineRule="exact"/>
              <w:jc w:val="center"/>
              <w:rPr>
                <w:b/>
                <w:sz w:val="18"/>
              </w:rPr>
            </w:pPr>
            <w:r>
              <w:rPr>
                <w:b/>
                <w:sz w:val="18"/>
              </w:rPr>
              <w:t>женский</w:t>
            </w:r>
          </w:p>
        </w:tc>
        <w:tc>
          <w:tcPr>
            <w:tcW w:w="1131" w:type="dxa"/>
          </w:tcPr>
          <w:p w:rsidR="00000000" w:rsidRDefault="00000000">
            <w:pPr>
              <w:spacing w:before="40" w:after="40" w:line="220" w:lineRule="exact"/>
              <w:jc w:val="center"/>
              <w:rPr>
                <w:b/>
                <w:sz w:val="18"/>
              </w:rPr>
            </w:pPr>
            <w:r>
              <w:rPr>
                <w:b/>
                <w:sz w:val="18"/>
              </w:rPr>
              <w:t>в среднем</w:t>
            </w:r>
          </w:p>
        </w:tc>
      </w:tr>
      <w:tr w:rsidR="00000000">
        <w:tblPrEx>
          <w:tblCellMar>
            <w:top w:w="0" w:type="dxa"/>
            <w:bottom w:w="0" w:type="dxa"/>
          </w:tblCellMar>
        </w:tblPrEx>
        <w:trPr>
          <w:cantSplit/>
          <w:jc w:val="center"/>
        </w:trPr>
        <w:tc>
          <w:tcPr>
            <w:tcW w:w="2262" w:type="dxa"/>
          </w:tcPr>
          <w:p w:rsidR="00000000" w:rsidRDefault="00000000">
            <w:pPr>
              <w:spacing w:before="40" w:after="40" w:line="220" w:lineRule="exact"/>
              <w:rPr>
                <w:sz w:val="18"/>
              </w:rPr>
            </w:pPr>
            <w:r>
              <w:rPr>
                <w:sz w:val="18"/>
              </w:rPr>
              <w:t>6–9 лет</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92,4</w:t>
            </w:r>
          </w:p>
        </w:tc>
        <w:tc>
          <w:tcPr>
            <w:tcW w:w="1143" w:type="dxa"/>
          </w:tcPr>
          <w:p w:rsidR="00000000" w:rsidRDefault="00000000">
            <w:pPr>
              <w:tabs>
                <w:tab w:val="clear" w:pos="680"/>
                <w:tab w:val="clear" w:pos="1021"/>
                <w:tab w:val="decimal" w:pos="454"/>
              </w:tabs>
              <w:spacing w:before="40" w:after="40" w:line="220" w:lineRule="exact"/>
              <w:rPr>
                <w:sz w:val="18"/>
              </w:rPr>
            </w:pPr>
            <w:r>
              <w:rPr>
                <w:sz w:val="18"/>
              </w:rPr>
              <w:t>92,3</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92,4</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84,7</w:t>
            </w:r>
          </w:p>
        </w:tc>
        <w:tc>
          <w:tcPr>
            <w:tcW w:w="1143" w:type="dxa"/>
          </w:tcPr>
          <w:p w:rsidR="00000000" w:rsidRDefault="00000000">
            <w:pPr>
              <w:tabs>
                <w:tab w:val="clear" w:pos="680"/>
                <w:tab w:val="clear" w:pos="1021"/>
                <w:tab w:val="decimal" w:pos="454"/>
              </w:tabs>
              <w:spacing w:before="40" w:after="40" w:line="220" w:lineRule="exact"/>
              <w:rPr>
                <w:sz w:val="18"/>
              </w:rPr>
            </w:pPr>
            <w:r>
              <w:rPr>
                <w:sz w:val="18"/>
              </w:rPr>
              <w:t>77,1</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81,0</w:t>
            </w:r>
          </w:p>
        </w:tc>
      </w:tr>
      <w:tr w:rsidR="00000000">
        <w:tblPrEx>
          <w:tblCellMar>
            <w:top w:w="0" w:type="dxa"/>
            <w:bottom w:w="0" w:type="dxa"/>
          </w:tblCellMar>
        </w:tblPrEx>
        <w:trPr>
          <w:cantSplit/>
          <w:jc w:val="center"/>
        </w:trPr>
        <w:tc>
          <w:tcPr>
            <w:tcW w:w="2262" w:type="dxa"/>
          </w:tcPr>
          <w:p w:rsidR="00000000" w:rsidRDefault="00000000">
            <w:pPr>
              <w:spacing w:before="40" w:after="40" w:line="220" w:lineRule="exact"/>
              <w:rPr>
                <w:sz w:val="18"/>
              </w:rPr>
            </w:pPr>
            <w:r>
              <w:rPr>
                <w:sz w:val="18"/>
              </w:rPr>
              <w:t>10–14 лет</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92,5</w:t>
            </w:r>
          </w:p>
        </w:tc>
        <w:tc>
          <w:tcPr>
            <w:tcW w:w="1143" w:type="dxa"/>
          </w:tcPr>
          <w:p w:rsidR="00000000" w:rsidRDefault="00000000">
            <w:pPr>
              <w:tabs>
                <w:tab w:val="clear" w:pos="680"/>
                <w:tab w:val="clear" w:pos="1021"/>
                <w:tab w:val="decimal" w:pos="454"/>
              </w:tabs>
              <w:spacing w:before="40" w:after="40" w:line="220" w:lineRule="exact"/>
              <w:rPr>
                <w:sz w:val="18"/>
              </w:rPr>
            </w:pPr>
            <w:r>
              <w:rPr>
                <w:sz w:val="18"/>
              </w:rPr>
              <w:t>91,5</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92,0</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83,7</w:t>
            </w:r>
          </w:p>
        </w:tc>
        <w:tc>
          <w:tcPr>
            <w:tcW w:w="1143" w:type="dxa"/>
          </w:tcPr>
          <w:p w:rsidR="00000000" w:rsidRDefault="00000000">
            <w:pPr>
              <w:tabs>
                <w:tab w:val="clear" w:pos="680"/>
                <w:tab w:val="clear" w:pos="1021"/>
                <w:tab w:val="decimal" w:pos="454"/>
              </w:tabs>
              <w:spacing w:before="40" w:after="40" w:line="220" w:lineRule="exact"/>
              <w:rPr>
                <w:sz w:val="18"/>
              </w:rPr>
            </w:pPr>
            <w:r>
              <w:rPr>
                <w:sz w:val="18"/>
              </w:rPr>
              <w:t>65,9</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75,1</w:t>
            </w:r>
          </w:p>
        </w:tc>
      </w:tr>
      <w:tr w:rsidR="00000000">
        <w:tblPrEx>
          <w:tblCellMar>
            <w:top w:w="0" w:type="dxa"/>
            <w:bottom w:w="0" w:type="dxa"/>
          </w:tblCellMar>
        </w:tblPrEx>
        <w:trPr>
          <w:cantSplit/>
          <w:jc w:val="center"/>
        </w:trPr>
        <w:tc>
          <w:tcPr>
            <w:tcW w:w="2262" w:type="dxa"/>
          </w:tcPr>
          <w:p w:rsidR="00000000" w:rsidRDefault="00000000">
            <w:pPr>
              <w:spacing w:before="40" w:after="40" w:line="220" w:lineRule="exact"/>
              <w:rPr>
                <w:sz w:val="18"/>
              </w:rPr>
            </w:pPr>
            <w:r>
              <w:rPr>
                <w:sz w:val="18"/>
              </w:rPr>
              <w:t>15–19 лет</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58,6</w:t>
            </w:r>
          </w:p>
        </w:tc>
        <w:tc>
          <w:tcPr>
            <w:tcW w:w="1143" w:type="dxa"/>
          </w:tcPr>
          <w:p w:rsidR="00000000" w:rsidRDefault="00000000">
            <w:pPr>
              <w:tabs>
                <w:tab w:val="clear" w:pos="680"/>
                <w:tab w:val="clear" w:pos="1021"/>
                <w:tab w:val="decimal" w:pos="454"/>
              </w:tabs>
              <w:spacing w:before="40" w:after="40" w:line="220" w:lineRule="exact"/>
              <w:rPr>
                <w:sz w:val="18"/>
              </w:rPr>
            </w:pPr>
            <w:r>
              <w:rPr>
                <w:sz w:val="18"/>
              </w:rPr>
              <w:t>57,9</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58,3</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41,2</w:t>
            </w:r>
          </w:p>
        </w:tc>
        <w:tc>
          <w:tcPr>
            <w:tcW w:w="1143" w:type="dxa"/>
          </w:tcPr>
          <w:p w:rsidR="00000000" w:rsidRDefault="00000000">
            <w:pPr>
              <w:tabs>
                <w:tab w:val="clear" w:pos="680"/>
                <w:tab w:val="clear" w:pos="1021"/>
                <w:tab w:val="decimal" w:pos="454"/>
              </w:tabs>
              <w:spacing w:before="40" w:after="40" w:line="220" w:lineRule="exact"/>
              <w:rPr>
                <w:sz w:val="18"/>
              </w:rPr>
            </w:pPr>
            <w:r>
              <w:rPr>
                <w:sz w:val="18"/>
              </w:rPr>
              <w:t>23,6</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32,5</w:t>
            </w:r>
          </w:p>
        </w:tc>
      </w:tr>
      <w:tr w:rsidR="00000000">
        <w:tblPrEx>
          <w:tblCellMar>
            <w:top w:w="0" w:type="dxa"/>
            <w:bottom w:w="0" w:type="dxa"/>
          </w:tblCellMar>
        </w:tblPrEx>
        <w:trPr>
          <w:cantSplit/>
          <w:jc w:val="center"/>
        </w:trPr>
        <w:tc>
          <w:tcPr>
            <w:tcW w:w="2262" w:type="dxa"/>
          </w:tcPr>
          <w:p w:rsidR="00000000" w:rsidRDefault="00000000">
            <w:pPr>
              <w:spacing w:before="40" w:after="40" w:line="220" w:lineRule="exact"/>
              <w:rPr>
                <w:sz w:val="18"/>
              </w:rPr>
            </w:pPr>
            <w:r>
              <w:rPr>
                <w:sz w:val="18"/>
              </w:rPr>
              <w:t>20–24 года</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29,5</w:t>
            </w:r>
          </w:p>
        </w:tc>
        <w:tc>
          <w:tcPr>
            <w:tcW w:w="1143" w:type="dxa"/>
          </w:tcPr>
          <w:p w:rsidR="00000000" w:rsidRDefault="00000000">
            <w:pPr>
              <w:tabs>
                <w:tab w:val="clear" w:pos="680"/>
                <w:tab w:val="clear" w:pos="1021"/>
                <w:tab w:val="decimal" w:pos="454"/>
              </w:tabs>
              <w:spacing w:before="40" w:after="40" w:line="220" w:lineRule="exact"/>
              <w:rPr>
                <w:sz w:val="18"/>
              </w:rPr>
            </w:pPr>
            <w:r>
              <w:rPr>
                <w:sz w:val="18"/>
              </w:rPr>
              <w:t>24,4</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27,0</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18,3</w:t>
            </w:r>
          </w:p>
        </w:tc>
        <w:tc>
          <w:tcPr>
            <w:tcW w:w="1143" w:type="dxa"/>
          </w:tcPr>
          <w:p w:rsidR="00000000" w:rsidRDefault="00000000">
            <w:pPr>
              <w:tabs>
                <w:tab w:val="clear" w:pos="680"/>
                <w:tab w:val="clear" w:pos="1021"/>
                <w:tab w:val="decimal" w:pos="454"/>
              </w:tabs>
              <w:spacing w:before="40" w:after="40" w:line="220" w:lineRule="exact"/>
              <w:rPr>
                <w:sz w:val="18"/>
              </w:rPr>
            </w:pPr>
            <w:r>
              <w:rPr>
                <w:sz w:val="18"/>
              </w:rPr>
              <w:t>7,2</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12,7</w:t>
            </w:r>
          </w:p>
        </w:tc>
      </w:tr>
      <w:tr w:rsidR="00000000">
        <w:tblPrEx>
          <w:tblCellMar>
            <w:top w:w="0" w:type="dxa"/>
            <w:bottom w:w="0" w:type="dxa"/>
          </w:tblCellMar>
        </w:tblPrEx>
        <w:trPr>
          <w:cantSplit/>
          <w:jc w:val="center"/>
        </w:trPr>
        <w:tc>
          <w:tcPr>
            <w:tcW w:w="2262" w:type="dxa"/>
          </w:tcPr>
          <w:p w:rsidR="00000000" w:rsidRDefault="00000000">
            <w:pPr>
              <w:spacing w:before="40" w:after="40" w:line="220" w:lineRule="exact"/>
              <w:rPr>
                <w:sz w:val="18"/>
              </w:rPr>
            </w:pPr>
            <w:r>
              <w:rPr>
                <w:sz w:val="18"/>
              </w:rPr>
              <w:t>25–29 лет</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6,7</w:t>
            </w:r>
          </w:p>
        </w:tc>
        <w:tc>
          <w:tcPr>
            <w:tcW w:w="1143" w:type="dxa"/>
          </w:tcPr>
          <w:p w:rsidR="00000000" w:rsidRDefault="00000000">
            <w:pPr>
              <w:tabs>
                <w:tab w:val="clear" w:pos="680"/>
                <w:tab w:val="clear" w:pos="1021"/>
                <w:tab w:val="decimal" w:pos="454"/>
              </w:tabs>
              <w:spacing w:before="40" w:after="40" w:line="220" w:lineRule="exact"/>
              <w:rPr>
                <w:sz w:val="18"/>
              </w:rPr>
            </w:pPr>
            <w:r>
              <w:rPr>
                <w:sz w:val="18"/>
              </w:rPr>
              <w:t>3,1</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4,9</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2,7</w:t>
            </w:r>
          </w:p>
        </w:tc>
        <w:tc>
          <w:tcPr>
            <w:tcW w:w="1143" w:type="dxa"/>
          </w:tcPr>
          <w:p w:rsidR="00000000" w:rsidRDefault="00000000">
            <w:pPr>
              <w:tabs>
                <w:tab w:val="clear" w:pos="680"/>
                <w:tab w:val="clear" w:pos="1021"/>
                <w:tab w:val="decimal" w:pos="454"/>
              </w:tabs>
              <w:spacing w:before="40" w:after="40" w:line="220" w:lineRule="exact"/>
              <w:rPr>
                <w:sz w:val="18"/>
              </w:rPr>
            </w:pPr>
            <w:r>
              <w:rPr>
                <w:sz w:val="18"/>
              </w:rPr>
              <w:t>0,5</w:t>
            </w:r>
          </w:p>
        </w:tc>
        <w:tc>
          <w:tcPr>
            <w:tcW w:w="1131" w:type="dxa"/>
          </w:tcPr>
          <w:p w:rsidR="00000000" w:rsidRDefault="00000000">
            <w:pPr>
              <w:tabs>
                <w:tab w:val="clear" w:pos="680"/>
                <w:tab w:val="clear" w:pos="1021"/>
                <w:tab w:val="decimal" w:pos="454"/>
              </w:tabs>
              <w:spacing w:before="40" w:after="40" w:line="220" w:lineRule="exact"/>
              <w:rPr>
                <w:sz w:val="18"/>
              </w:rPr>
            </w:pPr>
            <w:r>
              <w:rPr>
                <w:sz w:val="18"/>
              </w:rPr>
              <w:t>1,6</w:t>
            </w:r>
          </w:p>
        </w:tc>
      </w:tr>
    </w:tbl>
    <w:p w:rsidR="00000000" w:rsidRDefault="00000000">
      <w:pPr>
        <w:spacing w:before="120" w:after="180" w:line="220" w:lineRule="exact"/>
        <w:ind w:right="289"/>
        <w:jc w:val="right"/>
        <w:rPr>
          <w:b/>
          <w:sz w:val="18"/>
        </w:rPr>
      </w:pPr>
      <w:r>
        <w:rPr>
          <w:b/>
          <w:sz w:val="18"/>
        </w:rPr>
        <w:t>Источник: НИС, Доклад ЦНИДИЖ о положении женщин, проживающих в сельской местности</w:t>
      </w:r>
    </w:p>
    <w:p w:rsidR="00000000" w:rsidRDefault="00000000">
      <w:pPr>
        <w:spacing w:after="200"/>
      </w:pPr>
      <w:r>
        <w:t>884.</w:t>
      </w:r>
      <w:r>
        <w:tab/>
        <w:t xml:space="preserve">С 1992 года показатель преждевременного ухода из школы постоянно снижается и характеризуется положительной тенденцией в отношении девочек. </w:t>
      </w:r>
    </w:p>
    <w:p w:rsidR="00000000" w:rsidRDefault="00000000">
      <w:pPr>
        <w:spacing w:after="200"/>
      </w:pPr>
      <w:r>
        <w:t>885.</w:t>
      </w:r>
      <w:r>
        <w:tab/>
        <w:t>Удаленность школ от места проживания в некоторых зонах сдерживает повышение уровня посещаемости школ в сельской местности, особенно это касается девочек.</w:t>
      </w:r>
    </w:p>
    <w:p w:rsidR="00000000" w:rsidRDefault="00000000">
      <w:pPr>
        <w:spacing w:after="200"/>
      </w:pPr>
      <w:r>
        <w:t>886.</w:t>
      </w:r>
      <w:r>
        <w:tab/>
        <w:t>В соответствии с демократическими устремлениями государства Министерство образования, осознавая необходимость воплощения в жизнь принципа равенства возможностей для детей в области обучения, создало междисциплинарную и межведомственную комиссию с целью изучения проблемы преждевременного ухода из школы в системе базового образования.</w:t>
      </w:r>
    </w:p>
    <w:p w:rsidR="00000000" w:rsidRDefault="00000000">
      <w:pPr>
        <w:spacing w:after="200"/>
      </w:pPr>
      <w:r>
        <w:t>887.</w:t>
      </w:r>
      <w:r>
        <w:tab/>
        <w:t xml:space="preserve">Развитие школьной инфраструктуры, в частности благодаря программам сельского развития и национальной солидарности, все более способствует положительным тенденциям в сельских регионах. Учитывая изменения в национальной демографической структуре и уже достигнутые успехи в коммунальной среде, именно сельские зоны в первую очередь получат преимущества в связи с намечаемым созданием новых школ в ближайшем будущем. </w:t>
      </w:r>
    </w:p>
    <w:p w:rsidR="00000000" w:rsidRDefault="00000000">
      <w:pPr>
        <w:spacing w:before="80" w:after="180" w:line="260" w:lineRule="exact"/>
        <w:rPr>
          <w:b/>
          <w:sz w:val="22"/>
        </w:rPr>
      </w:pPr>
      <w:r>
        <w:rPr>
          <w:b/>
          <w:sz w:val="22"/>
          <w:lang w:val="en-US"/>
        </w:rPr>
        <w:t>I</w:t>
      </w:r>
      <w:r>
        <w:rPr>
          <w:b/>
          <w:sz w:val="22"/>
        </w:rPr>
        <w:t>.3.</w:t>
      </w:r>
      <w:r>
        <w:rPr>
          <w:b/>
          <w:sz w:val="22"/>
        </w:rPr>
        <w:tab/>
        <w:t>Борьба с неграмотностью</w:t>
      </w:r>
    </w:p>
    <w:p w:rsidR="00000000" w:rsidRDefault="00000000">
      <w:pPr>
        <w:spacing w:after="200"/>
      </w:pPr>
      <w:r>
        <w:t xml:space="preserve">888. </w:t>
      </w:r>
      <w:r>
        <w:rPr>
          <w:lang w:val="en-US"/>
        </w:rPr>
        <w:tab/>
      </w:r>
      <w:r>
        <w:t xml:space="preserve">Несмотря на то что уровень неграмотности в национальном масштабе с 1966 года существенно сокращается (он уменьшился с 67,9 процента в 1966 году до 31,7 процента в 1994 году и до 27 процентов в </w:t>
      </w:r>
      <w:r>
        <w:br/>
        <w:t xml:space="preserve">1999 году), в сельской местности он все еще остается значительным и, согласно опросу по проблемам населения и занятости, проведенному в 1999 году, составляет 40,8 процента в селах по сравнению с </w:t>
      </w:r>
      <w:r>
        <w:br/>
        <w:t>19 процентами в городах (соответственно, 46,2 процента против 22,8 процента в 1994 году).</w:t>
      </w:r>
    </w:p>
    <w:p w:rsidR="00000000" w:rsidRDefault="00000000">
      <w:pPr>
        <w:spacing w:after="200"/>
      </w:pPr>
      <w:r>
        <w:t xml:space="preserve">889. </w:t>
      </w:r>
      <w:r>
        <w:rPr>
          <w:lang w:val="en-US"/>
        </w:rPr>
        <w:tab/>
      </w:r>
      <w:r>
        <w:t xml:space="preserve">Несмотря на существенное снижение, неграмотность среди женщин, являющаяся одним из основных показателей различия между сельской и городской средой проживания, составила 53,2 процента в селах против 26,4 процента в городах (соответственно, 60,1 процента против 31,5 процента в 1994 году), в то время как для мужчин этот уровень составляет 28,2 процента и 11,8 процента (против 32,2 процента и 14,5 процента в </w:t>
      </w:r>
      <w:r>
        <w:br/>
        <w:t xml:space="preserve">1994 году). </w:t>
      </w:r>
    </w:p>
    <w:p w:rsidR="00000000" w:rsidRDefault="00000000">
      <w:pPr>
        <w:spacing w:after="200"/>
      </w:pPr>
      <w:r>
        <w:t>890.</w:t>
      </w:r>
      <w:r>
        <w:tab/>
        <w:t>Тем не менее данные переписи 1994 года, касающиеся показателей в области образования населения, указывают на некоторое сокращение уровня неграмотности среди этой категории населения, в частности для возрастной группы 20–24 года (с 62,8 процента в 1989 году до 46,1 процента в 1994 году) и для возрастной группы 15–19 лет (с 42,8 процента до 29,1 процента); (см. таблицу на стр. 94, статья 10).</w:t>
      </w:r>
    </w:p>
    <w:p w:rsidR="00000000" w:rsidRDefault="00000000">
      <w:r>
        <w:t>891.</w:t>
      </w:r>
      <w:r>
        <w:tab/>
        <w:t xml:space="preserve">В течение пятилетки 1997–2001 годов объектом второго этапа программы борьбы с неграмотностью являются прежде всего молодые люди в возрасте от 15 до 29 лет. К моменту завершения </w:t>
      </w:r>
      <w:r>
        <w:rPr>
          <w:lang w:val="en-US"/>
        </w:rPr>
        <w:t>IX</w:t>
      </w:r>
      <w:r>
        <w:t xml:space="preserve"> плана программа будет охватывать примерно 160 тыс. неграмотных, и прежде всего женское население, проживающее в сельской местности, а также в зонах, где наиболее высок уровень неграмотности; она призвана ограничить масштабы отсева среди учащихся второго уровня и поощрять тех, кто получил свидетельство о завершении второго уровня социального образования, продолжить программу обучения.</w:t>
      </w:r>
    </w:p>
    <w:p w:rsidR="00000000" w:rsidRDefault="00000000">
      <w:pPr>
        <w:spacing w:before="120" w:after="180" w:line="260" w:lineRule="exact"/>
        <w:rPr>
          <w:b/>
          <w:sz w:val="22"/>
        </w:rPr>
      </w:pPr>
      <w:r>
        <w:rPr>
          <w:b/>
          <w:sz w:val="22"/>
          <w:lang w:val="en-US"/>
        </w:rPr>
        <w:t>I</w:t>
      </w:r>
      <w:r>
        <w:rPr>
          <w:b/>
          <w:sz w:val="22"/>
        </w:rPr>
        <w:t>.4.</w:t>
      </w:r>
      <w:r>
        <w:rPr>
          <w:b/>
          <w:sz w:val="22"/>
        </w:rPr>
        <w:tab/>
        <w:t>Доступ к услугам в области здравоохранения</w:t>
      </w:r>
    </w:p>
    <w:p w:rsidR="00000000" w:rsidRDefault="00000000">
      <w:pPr>
        <w:spacing w:after="160"/>
      </w:pPr>
      <w:r>
        <w:t>892.</w:t>
      </w:r>
      <w:r>
        <w:tab/>
        <w:t xml:space="preserve">Усилия государства в деле создания базовых центров здравоохранения, в частности в северо-западном, центральной части западного и южном районах, были в основном направлены на сельские районы. Начатый в 1991 году проект "Население и здоровье семьи", целью которого является предоставление первичных услуг в области здравоохранения, в частности услуг в области охраны здоровья матери и ребенка, основывал свою стратегию на ряде стержневых направлений, одним из которых является интеграция услуг по охране здоровья матери и ребенка в деятельность основных структур в рамках Управления первичной медицинской помощи (УПМП). </w:t>
      </w:r>
    </w:p>
    <w:p w:rsidR="00000000" w:rsidRDefault="00000000">
      <w:pPr>
        <w:spacing w:after="160"/>
      </w:pPr>
      <w:r>
        <w:t>893.</w:t>
      </w:r>
      <w:r>
        <w:tab/>
        <w:t xml:space="preserve">Национальные программы по профилактике действуют на постоянной основе в наиболее отдаленных регионах при посредничестве 1200 сборных пунктов, посещаемых мобильными подразделениями Министерства здравоохранения и Национального управления по делам семьи и народонаселения (НУДСН). </w:t>
      </w:r>
    </w:p>
    <w:p w:rsidR="00000000" w:rsidRDefault="00000000">
      <w:pPr>
        <w:spacing w:after="160"/>
      </w:pPr>
      <w:r>
        <w:t>894.</w:t>
      </w:r>
      <w:r>
        <w:tab/>
        <w:t xml:space="preserve">В 1997 году показатель уровня доступа к первичным услугам системы здравоохранения и служб репродуктивного здоровья в стране достиг 90,6 процента на основе постоянных структур и 100 процентов, если учитывать мобильную сеть этих служб. Действительно, число оказанных услуг выросло в три раза в период с 1987 по 1997 год, в частности в приоритетном южном районе и центральной части западного района страны. </w:t>
      </w:r>
    </w:p>
    <w:p w:rsidR="00000000" w:rsidRDefault="00000000">
      <w:pPr>
        <w:spacing w:after="160"/>
      </w:pPr>
      <w:r>
        <w:t>895.</w:t>
      </w:r>
      <w:r>
        <w:tab/>
        <w:t>В 1996 году ВОЗ вручила Тунису золотую медаль "Здоровье для всех" в знак признания значительных достижений в деле развития общедоступного здравоохранения при приоритетном внимании к жителям сельской местности.</w:t>
      </w:r>
    </w:p>
    <w:p w:rsidR="00000000" w:rsidRDefault="00000000">
      <w:pPr>
        <w:spacing w:after="160"/>
      </w:pPr>
      <w:r>
        <w:t>896.</w:t>
      </w:r>
      <w:r>
        <w:tab/>
        <w:t xml:space="preserve">Национальным управлением по делам семьи и народонаселения была разработана и с 1994 года начала осуществляться специальная программа, ориентированная на наиболее отсталые сельские регионы и названная </w:t>
      </w:r>
      <w:r>
        <w:sym w:font="Times New Roman" w:char="00AB"/>
      </w:r>
      <w:r>
        <w:t>Содействие здравоохранению в "теневых зонах"</w:t>
      </w:r>
      <w:r>
        <w:sym w:font="Times New Roman" w:char="00BB"/>
      </w:r>
      <w:r>
        <w:t xml:space="preserve">. Эта программа, направленная на охрану здоровья женщин в дородовой период и решение проблем обеспечения надлежащих условий для родов в данных зонах, в своей стратегии опирается на местных сельских активисток, которым поручено просвещение женщин на местах. </w:t>
      </w:r>
    </w:p>
    <w:p w:rsidR="00000000" w:rsidRDefault="00000000">
      <w:pPr>
        <w:spacing w:after="160"/>
      </w:pPr>
      <w:r>
        <w:t>897.</w:t>
      </w:r>
      <w:r>
        <w:tab/>
        <w:t>405 "теневых зон" провинций, центральной части восточного и в южном районе были охвачены этой программой, которая заключается в массовом просвещении населения с помощью местных активисток и в предоставлении медицинских услуг в области репродуктивного здравоохранения с помощью вновь созданных мобильных клиник.</w:t>
      </w:r>
    </w:p>
    <w:p w:rsidR="00000000" w:rsidRDefault="00000000">
      <w:pPr>
        <w:spacing w:after="160"/>
      </w:pPr>
      <w:r>
        <w:t>898.</w:t>
      </w:r>
      <w:r>
        <w:tab/>
        <w:t>В целом более 700 "теневых зон", признанных приоритетными, регулярно посещаются мобильными бригадами, которые распространяют среди населения пособия, предоставляют до- и послеродовые услуги, гинекологическую помощь, просвещают в вопросах планирования семьи. Все это делается помимо программы мобильной системы, уже действующей в сельских зонах.</w:t>
      </w:r>
    </w:p>
    <w:p w:rsidR="00000000" w:rsidRDefault="00000000">
      <w:pPr>
        <w:spacing w:after="180"/>
      </w:pPr>
      <w:r>
        <w:t>899.</w:t>
      </w:r>
      <w:r>
        <w:tab/>
        <w:t xml:space="preserve">В целом показатели улучшились, и именно те из них, которые относятся к охране материнства, благодаря, в частности, включению вопросов охраны материнства и репродуктивного здоровья в задачи Управления первичной медицинской помощи. В Сиди-Бу-Зиде, например, показатель охвата населения первичными дородовыми консультациями вырос с 49 процентов в 1989 году до 69 процентов в 1996 году, то есть на двадцать пунктов за десять лет. В этом отношении очень показательна таблица, ниже: </w:t>
      </w:r>
    </w:p>
    <w:p w:rsidR="00000000" w:rsidRDefault="00000000">
      <w:pPr>
        <w:jc w:val="center"/>
        <w:rPr>
          <w:b/>
        </w:rPr>
      </w:pPr>
      <w:r>
        <w:rPr>
          <w:b/>
        </w:rPr>
        <w:t>Показатели здоровья населения в "теневых зонах" (в процентах)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1134"/>
        <w:gridCol w:w="1134"/>
      </w:tblGrid>
      <w:tr w:rsidR="00000000">
        <w:tblPrEx>
          <w:tblCellMar>
            <w:top w:w="0" w:type="dxa"/>
            <w:bottom w:w="0" w:type="dxa"/>
          </w:tblCellMar>
        </w:tblPrEx>
        <w:trPr>
          <w:jc w:val="center"/>
        </w:trPr>
        <w:tc>
          <w:tcPr>
            <w:tcW w:w="2268" w:type="dxa"/>
          </w:tcPr>
          <w:p w:rsidR="00000000" w:rsidRDefault="00000000">
            <w:pPr>
              <w:spacing w:before="60" w:after="40" w:line="220" w:lineRule="exact"/>
              <w:jc w:val="left"/>
              <w:rPr>
                <w:b/>
                <w:sz w:val="18"/>
              </w:rPr>
            </w:pPr>
            <w:r>
              <w:rPr>
                <w:b/>
                <w:sz w:val="18"/>
              </w:rPr>
              <w:t>Показатели</w:t>
            </w:r>
          </w:p>
        </w:tc>
        <w:tc>
          <w:tcPr>
            <w:tcW w:w="1134" w:type="dxa"/>
          </w:tcPr>
          <w:p w:rsidR="00000000" w:rsidRDefault="00000000">
            <w:pPr>
              <w:spacing w:before="60" w:after="40" w:line="220" w:lineRule="exact"/>
              <w:jc w:val="center"/>
              <w:rPr>
                <w:b/>
                <w:sz w:val="18"/>
              </w:rPr>
            </w:pPr>
            <w:r>
              <w:rPr>
                <w:b/>
                <w:sz w:val="18"/>
              </w:rPr>
              <w:t>1994 год</w:t>
            </w:r>
          </w:p>
        </w:tc>
        <w:tc>
          <w:tcPr>
            <w:tcW w:w="1134" w:type="dxa"/>
          </w:tcPr>
          <w:p w:rsidR="00000000" w:rsidRDefault="00000000">
            <w:pPr>
              <w:spacing w:before="60" w:after="40" w:line="220" w:lineRule="exact"/>
              <w:jc w:val="center"/>
              <w:rPr>
                <w:b/>
                <w:sz w:val="18"/>
              </w:rPr>
            </w:pPr>
            <w:r>
              <w:rPr>
                <w:b/>
                <w:sz w:val="18"/>
              </w:rPr>
              <w:t>1998 год</w:t>
            </w:r>
          </w:p>
        </w:tc>
      </w:tr>
      <w:tr w:rsidR="00000000">
        <w:tblPrEx>
          <w:tblCellMar>
            <w:top w:w="0" w:type="dxa"/>
            <w:bottom w:w="0" w:type="dxa"/>
          </w:tblCellMar>
        </w:tblPrEx>
        <w:trPr>
          <w:jc w:val="center"/>
        </w:trPr>
        <w:tc>
          <w:tcPr>
            <w:tcW w:w="2268" w:type="dxa"/>
          </w:tcPr>
          <w:p w:rsidR="00000000" w:rsidRDefault="00000000">
            <w:pPr>
              <w:spacing w:before="60" w:after="40" w:line="220" w:lineRule="exact"/>
              <w:jc w:val="left"/>
              <w:rPr>
                <w:sz w:val="18"/>
              </w:rPr>
            </w:pPr>
            <w:r>
              <w:rPr>
                <w:sz w:val="18"/>
              </w:rPr>
              <w:t>Успешное применение средств контрацепции</w:t>
            </w:r>
          </w:p>
        </w:tc>
        <w:tc>
          <w:tcPr>
            <w:tcW w:w="1134" w:type="dxa"/>
          </w:tcPr>
          <w:p w:rsidR="00000000" w:rsidRDefault="00000000">
            <w:pPr>
              <w:spacing w:before="60" w:after="40" w:line="220" w:lineRule="exact"/>
              <w:jc w:val="center"/>
              <w:rPr>
                <w:sz w:val="18"/>
              </w:rPr>
            </w:pPr>
            <w:r>
              <w:rPr>
                <w:sz w:val="18"/>
              </w:rPr>
              <w:t>34</w:t>
            </w:r>
          </w:p>
        </w:tc>
        <w:tc>
          <w:tcPr>
            <w:tcW w:w="1134" w:type="dxa"/>
          </w:tcPr>
          <w:p w:rsidR="00000000" w:rsidRDefault="00000000">
            <w:pPr>
              <w:spacing w:before="60" w:after="40" w:line="220" w:lineRule="exact"/>
              <w:jc w:val="center"/>
              <w:rPr>
                <w:sz w:val="18"/>
              </w:rPr>
            </w:pPr>
            <w:r>
              <w:rPr>
                <w:sz w:val="18"/>
              </w:rPr>
              <w:t>56</w:t>
            </w:r>
          </w:p>
        </w:tc>
      </w:tr>
      <w:tr w:rsidR="00000000">
        <w:tblPrEx>
          <w:tblCellMar>
            <w:top w:w="0" w:type="dxa"/>
            <w:bottom w:w="0" w:type="dxa"/>
          </w:tblCellMar>
        </w:tblPrEx>
        <w:trPr>
          <w:jc w:val="center"/>
        </w:trPr>
        <w:tc>
          <w:tcPr>
            <w:tcW w:w="2268" w:type="dxa"/>
          </w:tcPr>
          <w:p w:rsidR="00000000" w:rsidRDefault="00000000">
            <w:pPr>
              <w:spacing w:before="60" w:after="40" w:line="220" w:lineRule="exact"/>
              <w:jc w:val="left"/>
              <w:rPr>
                <w:sz w:val="18"/>
              </w:rPr>
            </w:pPr>
            <w:r>
              <w:rPr>
                <w:sz w:val="18"/>
              </w:rPr>
              <w:t>Дородовые услуги</w:t>
            </w:r>
          </w:p>
        </w:tc>
        <w:tc>
          <w:tcPr>
            <w:tcW w:w="1134" w:type="dxa"/>
          </w:tcPr>
          <w:p w:rsidR="00000000" w:rsidRDefault="00000000">
            <w:pPr>
              <w:spacing w:before="60" w:after="40" w:line="220" w:lineRule="exact"/>
              <w:jc w:val="center"/>
              <w:rPr>
                <w:sz w:val="18"/>
              </w:rPr>
            </w:pPr>
            <w:r>
              <w:rPr>
                <w:sz w:val="18"/>
              </w:rPr>
              <w:t>69</w:t>
            </w:r>
          </w:p>
        </w:tc>
        <w:tc>
          <w:tcPr>
            <w:tcW w:w="1134" w:type="dxa"/>
          </w:tcPr>
          <w:p w:rsidR="00000000" w:rsidRDefault="00000000">
            <w:pPr>
              <w:spacing w:before="60" w:after="40" w:line="220" w:lineRule="exact"/>
              <w:jc w:val="center"/>
              <w:rPr>
                <w:sz w:val="18"/>
              </w:rPr>
            </w:pPr>
            <w:r>
              <w:rPr>
                <w:sz w:val="18"/>
              </w:rPr>
              <w:t>78</w:t>
            </w:r>
          </w:p>
        </w:tc>
      </w:tr>
      <w:tr w:rsidR="00000000">
        <w:tblPrEx>
          <w:tblCellMar>
            <w:top w:w="0" w:type="dxa"/>
            <w:bottom w:w="0" w:type="dxa"/>
          </w:tblCellMar>
        </w:tblPrEx>
        <w:trPr>
          <w:jc w:val="center"/>
        </w:trPr>
        <w:tc>
          <w:tcPr>
            <w:tcW w:w="2268" w:type="dxa"/>
          </w:tcPr>
          <w:p w:rsidR="00000000" w:rsidRDefault="00000000">
            <w:pPr>
              <w:spacing w:before="60" w:after="40" w:line="220" w:lineRule="exact"/>
              <w:jc w:val="left"/>
              <w:rPr>
                <w:sz w:val="18"/>
              </w:rPr>
            </w:pPr>
            <w:r>
              <w:rPr>
                <w:sz w:val="18"/>
              </w:rPr>
              <w:t>Роды с оказанием медицинской помощи</w:t>
            </w:r>
          </w:p>
        </w:tc>
        <w:tc>
          <w:tcPr>
            <w:tcW w:w="1134" w:type="dxa"/>
          </w:tcPr>
          <w:p w:rsidR="00000000" w:rsidRDefault="00000000">
            <w:pPr>
              <w:spacing w:before="60" w:after="40" w:line="220" w:lineRule="exact"/>
              <w:jc w:val="center"/>
              <w:rPr>
                <w:sz w:val="18"/>
              </w:rPr>
            </w:pPr>
            <w:r>
              <w:rPr>
                <w:sz w:val="18"/>
              </w:rPr>
              <w:t>65</w:t>
            </w:r>
          </w:p>
        </w:tc>
        <w:tc>
          <w:tcPr>
            <w:tcW w:w="1134" w:type="dxa"/>
          </w:tcPr>
          <w:p w:rsidR="00000000" w:rsidRDefault="00000000">
            <w:pPr>
              <w:spacing w:before="60" w:after="40" w:line="220" w:lineRule="exact"/>
              <w:jc w:val="center"/>
              <w:rPr>
                <w:sz w:val="18"/>
              </w:rPr>
            </w:pPr>
            <w:r>
              <w:rPr>
                <w:sz w:val="18"/>
              </w:rPr>
              <w:t>78</w:t>
            </w:r>
          </w:p>
        </w:tc>
      </w:tr>
      <w:tr w:rsidR="00000000">
        <w:tblPrEx>
          <w:tblCellMar>
            <w:top w:w="0" w:type="dxa"/>
            <w:bottom w:w="0" w:type="dxa"/>
          </w:tblCellMar>
        </w:tblPrEx>
        <w:trPr>
          <w:jc w:val="center"/>
        </w:trPr>
        <w:tc>
          <w:tcPr>
            <w:tcW w:w="2268" w:type="dxa"/>
          </w:tcPr>
          <w:p w:rsidR="00000000" w:rsidRDefault="00000000">
            <w:pPr>
              <w:spacing w:before="60" w:after="40" w:line="220" w:lineRule="exact"/>
              <w:jc w:val="left"/>
              <w:rPr>
                <w:sz w:val="18"/>
              </w:rPr>
            </w:pPr>
            <w:r>
              <w:rPr>
                <w:sz w:val="18"/>
              </w:rPr>
              <w:t>Послеродовые услуги</w:t>
            </w:r>
          </w:p>
        </w:tc>
        <w:tc>
          <w:tcPr>
            <w:tcW w:w="1134" w:type="dxa"/>
          </w:tcPr>
          <w:p w:rsidR="00000000" w:rsidRDefault="00000000">
            <w:pPr>
              <w:spacing w:before="60" w:after="40" w:line="220" w:lineRule="exact"/>
              <w:jc w:val="center"/>
              <w:rPr>
                <w:sz w:val="18"/>
              </w:rPr>
            </w:pPr>
            <w:r>
              <w:rPr>
                <w:sz w:val="18"/>
              </w:rPr>
              <w:t>19</w:t>
            </w:r>
          </w:p>
        </w:tc>
        <w:tc>
          <w:tcPr>
            <w:tcW w:w="1134" w:type="dxa"/>
          </w:tcPr>
          <w:p w:rsidR="00000000" w:rsidRDefault="00000000">
            <w:pPr>
              <w:spacing w:before="60" w:after="40" w:line="220" w:lineRule="exact"/>
              <w:jc w:val="center"/>
              <w:rPr>
                <w:sz w:val="18"/>
              </w:rPr>
            </w:pPr>
            <w:r>
              <w:rPr>
                <w:sz w:val="18"/>
              </w:rPr>
              <w:t>65</w:t>
            </w:r>
          </w:p>
        </w:tc>
      </w:tr>
    </w:tbl>
    <w:p w:rsidR="00000000" w:rsidRDefault="00000000">
      <w:pPr>
        <w:spacing w:before="80" w:after="0" w:line="200" w:lineRule="exact"/>
        <w:ind w:right="2557"/>
        <w:jc w:val="right"/>
        <w:rPr>
          <w:b/>
          <w:sz w:val="18"/>
        </w:rPr>
      </w:pPr>
      <w:r>
        <w:rPr>
          <w:b/>
          <w:sz w:val="18"/>
        </w:rPr>
        <w:t>Источник: Национальное бюро по вопросам планирования семьи</w:t>
      </w:r>
    </w:p>
    <w:p w:rsidR="00000000" w:rsidRDefault="00000000">
      <w:r>
        <w:t>900.</w:t>
      </w:r>
      <w:r>
        <w:tab/>
        <w:t xml:space="preserve">Обследование </w:t>
      </w:r>
      <w:r>
        <w:rPr>
          <w:lang w:val="en-US"/>
        </w:rPr>
        <w:t>PAP</w:t>
      </w:r>
      <w:r>
        <w:t>-</w:t>
      </w:r>
      <w:r>
        <w:rPr>
          <w:lang w:val="en-US"/>
        </w:rPr>
        <w:t>CHILD</w:t>
      </w:r>
      <w:r>
        <w:t>, проведенное в 1995 году НБВПС в сотрудничестве с Лигой арабских государств, показывает, что в городской среде воспользовались дородовыми консультациями 77,7 процента беременных женщин в сравнении с 62,6 процента в сельской местности. Кроме того, процентная доля женщин, рожавших в больничных условиях, также увеличилась и превысила 80 процентов на общенациональном уровне, тогда как она остается гораздо меньшей в провинциях Сиди-Бу-Зид (50 процентов) и Кассерин (44 процента).</w:t>
      </w:r>
    </w:p>
    <w:p w:rsidR="00000000" w:rsidRDefault="00000000">
      <w:r>
        <w:t>901.</w:t>
      </w:r>
      <w:r>
        <w:tab/>
        <w:t>Что касается материнской смертности, то она составляет 69 случаев на 100 тыс. живорождений. Национальное обследование 1993–1994 годов выявило, что этот уровень более высокий на западе Туниса (99,4), чем на востоке (51,6).</w:t>
      </w:r>
    </w:p>
    <w:p w:rsidR="00000000" w:rsidRDefault="00000000">
      <w:pPr>
        <w:spacing w:before="120" w:line="260" w:lineRule="exact"/>
        <w:rPr>
          <w:b/>
          <w:sz w:val="22"/>
        </w:rPr>
      </w:pPr>
      <w:r>
        <w:rPr>
          <w:b/>
          <w:sz w:val="22"/>
          <w:lang w:val="en-US"/>
        </w:rPr>
        <w:t>I</w:t>
      </w:r>
      <w:r>
        <w:rPr>
          <w:b/>
          <w:sz w:val="22"/>
        </w:rPr>
        <w:t>.5.</w:t>
      </w:r>
      <w:r>
        <w:rPr>
          <w:b/>
          <w:sz w:val="22"/>
        </w:rPr>
        <w:tab/>
        <w:t>Доступ к занятости</w:t>
      </w:r>
    </w:p>
    <w:p w:rsidR="00000000" w:rsidRDefault="00000000">
      <w:r>
        <w:t>902.</w:t>
      </w:r>
      <w:r>
        <w:tab/>
        <w:t>Данные последней переписи населения (1994 год) указывают на увеличение доли женщин среди активного занятого населения в сельской местности: она выросла с 17,6 процента до 20 процентов в период с 1989 по 1994 год.</w:t>
      </w:r>
    </w:p>
    <w:p w:rsidR="00000000" w:rsidRDefault="00000000">
      <w:r>
        <w:t>903.</w:t>
      </w:r>
      <w:r>
        <w:tab/>
        <w:t>В 1994 году число женщин, занятых активным трудом в сельской местности, достигало 159 797 человек, то есть выросло на 26,9 процента по сравнению с 1989 годом, причем большинство – около двух третей – заняты в сельском хозяйстве.</w:t>
      </w:r>
    </w:p>
    <w:p w:rsidR="00000000" w:rsidRDefault="00000000">
      <w:pPr>
        <w:spacing w:after="180"/>
        <w:rPr>
          <w:b/>
        </w:rPr>
      </w:pPr>
      <w:r>
        <w:rPr>
          <w:b/>
        </w:rPr>
        <w:t>Женская рабочая сила в промышленном секторе</w:t>
      </w:r>
    </w:p>
    <w:p w:rsidR="00000000" w:rsidRDefault="00000000">
      <w:r>
        <w:t>904.</w:t>
      </w:r>
      <w:r>
        <w:tab/>
        <w:t>Треть всех сельских женщин, занятых активным трудом, работает в мануфактурном производстве, и прежде всего в текстильной промышленности. В провинции Силиана, 68,11 процента населения которой – сельские жители, 41,8 процента экономически активного женского населения работают на мануфактурах. В Кайруане, где сельское население составляет 69,7 процента, 51 процент активного сельского населения работает также на фабриках.</w:t>
      </w:r>
    </w:p>
    <w:p w:rsidR="00000000" w:rsidRDefault="00000000">
      <w:pPr>
        <w:jc w:val="center"/>
        <w:rPr>
          <w:b/>
        </w:rPr>
      </w:pPr>
      <w:r>
        <w:rPr>
          <w:b/>
        </w:rPr>
        <w:t xml:space="preserve">Занятость женщин в мануфактурном производстве в ряде провинций </w:t>
      </w:r>
      <w:r>
        <w:rPr>
          <w:b/>
        </w:rPr>
        <w:br/>
        <w:t>с преобладающим сельским населением (1994 год)</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2835"/>
        <w:gridCol w:w="3402"/>
      </w:tblGrid>
      <w:tr w:rsidR="00000000">
        <w:tblPrEx>
          <w:tblCellMar>
            <w:top w:w="0" w:type="dxa"/>
            <w:bottom w:w="0" w:type="dxa"/>
          </w:tblCellMar>
        </w:tblPrEx>
        <w:trPr>
          <w:jc w:val="center"/>
        </w:trPr>
        <w:tc>
          <w:tcPr>
            <w:tcW w:w="2835" w:type="dxa"/>
          </w:tcPr>
          <w:p w:rsidR="00000000" w:rsidRDefault="00000000">
            <w:pPr>
              <w:spacing w:before="80" w:after="80" w:line="220" w:lineRule="exact"/>
              <w:jc w:val="left"/>
              <w:rPr>
                <w:b/>
                <w:sz w:val="18"/>
              </w:rPr>
            </w:pPr>
            <w:r>
              <w:rPr>
                <w:b/>
                <w:sz w:val="18"/>
              </w:rPr>
              <w:t>Провинция</w:t>
            </w:r>
          </w:p>
        </w:tc>
        <w:tc>
          <w:tcPr>
            <w:tcW w:w="2835" w:type="dxa"/>
          </w:tcPr>
          <w:p w:rsidR="00000000" w:rsidRDefault="00000000">
            <w:pPr>
              <w:spacing w:before="80" w:after="80" w:line="220" w:lineRule="exact"/>
              <w:jc w:val="center"/>
              <w:rPr>
                <w:b/>
                <w:sz w:val="18"/>
              </w:rPr>
            </w:pPr>
            <w:r>
              <w:rPr>
                <w:b/>
                <w:sz w:val="18"/>
              </w:rPr>
              <w:t>Процентная доля сельского населения</w:t>
            </w:r>
          </w:p>
        </w:tc>
        <w:tc>
          <w:tcPr>
            <w:tcW w:w="3402" w:type="dxa"/>
          </w:tcPr>
          <w:p w:rsidR="00000000" w:rsidRDefault="00000000">
            <w:pPr>
              <w:spacing w:before="80" w:after="80" w:line="220" w:lineRule="exact"/>
              <w:jc w:val="center"/>
              <w:rPr>
                <w:b/>
                <w:sz w:val="18"/>
              </w:rPr>
            </w:pPr>
            <w:r>
              <w:rPr>
                <w:b/>
                <w:sz w:val="18"/>
              </w:rPr>
              <w:t>Процентная доля самодеятельного женского населения, занятого на фабриках</w:t>
            </w:r>
          </w:p>
        </w:tc>
      </w:tr>
      <w:tr w:rsidR="00000000">
        <w:tblPrEx>
          <w:tblCellMar>
            <w:top w:w="0" w:type="dxa"/>
            <w:bottom w:w="0" w:type="dxa"/>
          </w:tblCellMar>
        </w:tblPrEx>
        <w:trPr>
          <w:jc w:val="center"/>
        </w:trPr>
        <w:tc>
          <w:tcPr>
            <w:tcW w:w="2835" w:type="dxa"/>
          </w:tcPr>
          <w:p w:rsidR="00000000" w:rsidRDefault="00000000">
            <w:pPr>
              <w:spacing w:before="60" w:after="40" w:line="220" w:lineRule="exact"/>
              <w:jc w:val="left"/>
              <w:rPr>
                <w:sz w:val="18"/>
              </w:rPr>
            </w:pPr>
            <w:r>
              <w:rPr>
                <w:sz w:val="18"/>
              </w:rPr>
              <w:t>Загхуан</w:t>
            </w:r>
          </w:p>
        </w:tc>
        <w:tc>
          <w:tcPr>
            <w:tcW w:w="2835" w:type="dxa"/>
          </w:tcPr>
          <w:p w:rsidR="00000000" w:rsidRDefault="00000000">
            <w:pPr>
              <w:spacing w:before="60" w:after="40" w:line="220" w:lineRule="exact"/>
              <w:jc w:val="center"/>
              <w:rPr>
                <w:sz w:val="18"/>
              </w:rPr>
            </w:pPr>
            <w:r>
              <w:rPr>
                <w:sz w:val="18"/>
              </w:rPr>
              <w:t>66,06</w:t>
            </w:r>
          </w:p>
        </w:tc>
        <w:tc>
          <w:tcPr>
            <w:tcW w:w="3402" w:type="dxa"/>
          </w:tcPr>
          <w:p w:rsidR="00000000" w:rsidRDefault="00000000">
            <w:pPr>
              <w:spacing w:before="60" w:after="40" w:line="220" w:lineRule="exact"/>
              <w:jc w:val="center"/>
              <w:rPr>
                <w:sz w:val="18"/>
              </w:rPr>
            </w:pPr>
            <w:r>
              <w:rPr>
                <w:sz w:val="18"/>
              </w:rPr>
              <w:t>35,5</w:t>
            </w:r>
          </w:p>
        </w:tc>
      </w:tr>
      <w:tr w:rsidR="00000000">
        <w:tblPrEx>
          <w:tblCellMar>
            <w:top w:w="0" w:type="dxa"/>
            <w:bottom w:w="0" w:type="dxa"/>
          </w:tblCellMar>
        </w:tblPrEx>
        <w:trPr>
          <w:jc w:val="center"/>
        </w:trPr>
        <w:tc>
          <w:tcPr>
            <w:tcW w:w="2835" w:type="dxa"/>
          </w:tcPr>
          <w:p w:rsidR="00000000" w:rsidRDefault="00000000">
            <w:pPr>
              <w:spacing w:before="60" w:after="40" w:line="220" w:lineRule="exact"/>
              <w:jc w:val="left"/>
              <w:rPr>
                <w:sz w:val="18"/>
              </w:rPr>
            </w:pPr>
            <w:r>
              <w:rPr>
                <w:sz w:val="18"/>
              </w:rPr>
              <w:t>Силиана</w:t>
            </w:r>
          </w:p>
        </w:tc>
        <w:tc>
          <w:tcPr>
            <w:tcW w:w="2835" w:type="dxa"/>
          </w:tcPr>
          <w:p w:rsidR="00000000" w:rsidRDefault="00000000">
            <w:pPr>
              <w:spacing w:before="60" w:after="40" w:line="220" w:lineRule="exact"/>
              <w:jc w:val="center"/>
              <w:rPr>
                <w:sz w:val="18"/>
              </w:rPr>
            </w:pPr>
            <w:r>
              <w:rPr>
                <w:sz w:val="18"/>
              </w:rPr>
              <w:t>68,11</w:t>
            </w:r>
          </w:p>
        </w:tc>
        <w:tc>
          <w:tcPr>
            <w:tcW w:w="3402" w:type="dxa"/>
          </w:tcPr>
          <w:p w:rsidR="00000000" w:rsidRDefault="00000000">
            <w:pPr>
              <w:spacing w:before="60" w:after="40" w:line="220" w:lineRule="exact"/>
              <w:jc w:val="center"/>
              <w:rPr>
                <w:sz w:val="18"/>
              </w:rPr>
            </w:pPr>
            <w:r>
              <w:rPr>
                <w:sz w:val="18"/>
              </w:rPr>
              <w:t>41,8</w:t>
            </w:r>
          </w:p>
        </w:tc>
      </w:tr>
      <w:tr w:rsidR="00000000">
        <w:tblPrEx>
          <w:tblCellMar>
            <w:top w:w="0" w:type="dxa"/>
            <w:bottom w:w="0" w:type="dxa"/>
          </w:tblCellMar>
        </w:tblPrEx>
        <w:trPr>
          <w:jc w:val="center"/>
        </w:trPr>
        <w:tc>
          <w:tcPr>
            <w:tcW w:w="2835" w:type="dxa"/>
          </w:tcPr>
          <w:p w:rsidR="00000000" w:rsidRDefault="00000000">
            <w:pPr>
              <w:spacing w:before="60" w:after="40" w:line="220" w:lineRule="exact"/>
              <w:jc w:val="left"/>
              <w:rPr>
                <w:sz w:val="18"/>
              </w:rPr>
            </w:pPr>
            <w:r>
              <w:rPr>
                <w:sz w:val="18"/>
              </w:rPr>
              <w:t>Кайруан</w:t>
            </w:r>
          </w:p>
        </w:tc>
        <w:tc>
          <w:tcPr>
            <w:tcW w:w="2835" w:type="dxa"/>
          </w:tcPr>
          <w:p w:rsidR="00000000" w:rsidRDefault="00000000">
            <w:pPr>
              <w:spacing w:before="60" w:after="40" w:line="220" w:lineRule="exact"/>
              <w:jc w:val="center"/>
              <w:rPr>
                <w:sz w:val="18"/>
              </w:rPr>
            </w:pPr>
            <w:r>
              <w:rPr>
                <w:sz w:val="18"/>
              </w:rPr>
              <w:t>70,75</w:t>
            </w:r>
          </w:p>
        </w:tc>
        <w:tc>
          <w:tcPr>
            <w:tcW w:w="3402" w:type="dxa"/>
          </w:tcPr>
          <w:p w:rsidR="00000000" w:rsidRDefault="00000000">
            <w:pPr>
              <w:spacing w:before="60" w:after="40" w:line="220" w:lineRule="exact"/>
              <w:jc w:val="center"/>
              <w:rPr>
                <w:sz w:val="18"/>
              </w:rPr>
            </w:pPr>
            <w:r>
              <w:rPr>
                <w:sz w:val="18"/>
              </w:rPr>
              <w:t>51</w:t>
            </w:r>
          </w:p>
        </w:tc>
      </w:tr>
      <w:tr w:rsidR="00000000">
        <w:tblPrEx>
          <w:tblCellMar>
            <w:top w:w="0" w:type="dxa"/>
            <w:bottom w:w="0" w:type="dxa"/>
          </w:tblCellMar>
        </w:tblPrEx>
        <w:trPr>
          <w:jc w:val="center"/>
        </w:trPr>
        <w:tc>
          <w:tcPr>
            <w:tcW w:w="2835" w:type="dxa"/>
          </w:tcPr>
          <w:p w:rsidR="00000000" w:rsidRDefault="00000000">
            <w:pPr>
              <w:spacing w:before="60" w:after="40" w:line="220" w:lineRule="exact"/>
              <w:jc w:val="left"/>
              <w:rPr>
                <w:sz w:val="18"/>
              </w:rPr>
            </w:pPr>
            <w:r>
              <w:rPr>
                <w:sz w:val="18"/>
              </w:rPr>
              <w:t>Кассерин</w:t>
            </w:r>
          </w:p>
        </w:tc>
        <w:tc>
          <w:tcPr>
            <w:tcW w:w="2835" w:type="dxa"/>
          </w:tcPr>
          <w:p w:rsidR="00000000" w:rsidRDefault="00000000">
            <w:pPr>
              <w:spacing w:before="60" w:after="40" w:line="220" w:lineRule="exact"/>
              <w:jc w:val="center"/>
              <w:rPr>
                <w:sz w:val="18"/>
              </w:rPr>
            </w:pPr>
            <w:r>
              <w:rPr>
                <w:sz w:val="18"/>
              </w:rPr>
              <w:t>62,40</w:t>
            </w:r>
          </w:p>
        </w:tc>
        <w:tc>
          <w:tcPr>
            <w:tcW w:w="3402" w:type="dxa"/>
          </w:tcPr>
          <w:p w:rsidR="00000000" w:rsidRDefault="00000000">
            <w:pPr>
              <w:spacing w:before="60" w:after="40" w:line="220" w:lineRule="exact"/>
              <w:jc w:val="center"/>
              <w:rPr>
                <w:sz w:val="18"/>
              </w:rPr>
            </w:pPr>
            <w:r>
              <w:rPr>
                <w:sz w:val="18"/>
              </w:rPr>
              <w:t>38</w:t>
            </w:r>
          </w:p>
        </w:tc>
      </w:tr>
      <w:tr w:rsidR="00000000">
        <w:tblPrEx>
          <w:tblCellMar>
            <w:top w:w="0" w:type="dxa"/>
            <w:bottom w:w="0" w:type="dxa"/>
          </w:tblCellMar>
        </w:tblPrEx>
        <w:trPr>
          <w:jc w:val="center"/>
        </w:trPr>
        <w:tc>
          <w:tcPr>
            <w:tcW w:w="2835" w:type="dxa"/>
          </w:tcPr>
          <w:p w:rsidR="00000000" w:rsidRDefault="00000000">
            <w:pPr>
              <w:spacing w:before="60" w:after="40" w:line="220" w:lineRule="exact"/>
              <w:jc w:val="left"/>
              <w:rPr>
                <w:sz w:val="18"/>
              </w:rPr>
            </w:pPr>
            <w:r>
              <w:rPr>
                <w:sz w:val="18"/>
              </w:rPr>
              <w:t>Сиди-Бу-Зид</w:t>
            </w:r>
          </w:p>
        </w:tc>
        <w:tc>
          <w:tcPr>
            <w:tcW w:w="2835" w:type="dxa"/>
          </w:tcPr>
          <w:p w:rsidR="00000000" w:rsidRDefault="00000000">
            <w:pPr>
              <w:spacing w:before="60" w:after="40" w:line="220" w:lineRule="exact"/>
              <w:jc w:val="center"/>
              <w:rPr>
                <w:sz w:val="18"/>
              </w:rPr>
            </w:pPr>
            <w:r>
              <w:rPr>
                <w:sz w:val="18"/>
              </w:rPr>
              <w:t>78,52</w:t>
            </w:r>
          </w:p>
        </w:tc>
        <w:tc>
          <w:tcPr>
            <w:tcW w:w="3402" w:type="dxa"/>
          </w:tcPr>
          <w:p w:rsidR="00000000" w:rsidRDefault="00000000">
            <w:pPr>
              <w:spacing w:before="60" w:after="40" w:line="220" w:lineRule="exact"/>
              <w:jc w:val="center"/>
              <w:rPr>
                <w:sz w:val="18"/>
              </w:rPr>
            </w:pPr>
            <w:r>
              <w:rPr>
                <w:sz w:val="18"/>
              </w:rPr>
              <w:t>32,4</w:t>
            </w:r>
          </w:p>
        </w:tc>
      </w:tr>
    </w:tbl>
    <w:p w:rsidR="00000000" w:rsidRDefault="00000000">
      <w:pPr>
        <w:spacing w:before="120" w:line="220" w:lineRule="exact"/>
        <w:ind w:right="289"/>
        <w:jc w:val="right"/>
        <w:rPr>
          <w:b/>
          <w:sz w:val="18"/>
        </w:rPr>
      </w:pPr>
      <w:r>
        <w:rPr>
          <w:b/>
          <w:sz w:val="18"/>
        </w:rPr>
        <w:t>Источник: НИС, Доклад ЦНИДИЖ о положении женщин, проживающих в сельской местности</w:t>
      </w:r>
    </w:p>
    <w:p w:rsidR="00000000" w:rsidRDefault="00000000">
      <w:r>
        <w:t>905.</w:t>
      </w:r>
      <w:r>
        <w:tab/>
        <w:t>Развитие наемного женского труда в промышленности представляет одну из главных перемен в области занятости в сельской местности, происшедших за два последних десятилетия.</w:t>
      </w:r>
    </w:p>
    <w:p w:rsidR="00000000" w:rsidRDefault="00000000">
      <w:r>
        <w:t>906.</w:t>
      </w:r>
      <w:r>
        <w:tab/>
        <w:t>Для существенной части сельских семей занятость девушек в качестве промышленных рабочих составляет все более значимый источник доходов в бюджете домохозяйств, что, несомненно, является очень важным фактором социальных изменений в сельской общине.</w:t>
      </w:r>
    </w:p>
    <w:p w:rsidR="00000000" w:rsidRDefault="00000000">
      <w:r>
        <w:t>907.</w:t>
      </w:r>
      <w:r>
        <w:tab/>
        <w:t>Вторым важным показателем занятости женщин в сельской местности является значительная среди них доля девушек в возрасте от 15 до 29 лет, которая составляла 57,8 процента в 1994 году против 17 процентов для женщин от 30 до 39 лет и 14 процентов женщин старше 50 лет. Эта специфическая структура сельского женского самодеятельного населения связана с двумя факторами: с одной стороны, с важным местом, которое занимает женский труд в семье в сельской среде, а с другой – с концентрацией наемной женской рабочей силы в мануфактурной промышленности, которая использует прежде всего труд девушек.</w:t>
      </w:r>
    </w:p>
    <w:p w:rsidR="00000000" w:rsidRDefault="00000000">
      <w:pPr>
        <w:spacing w:before="120" w:after="180"/>
        <w:rPr>
          <w:b/>
        </w:rPr>
      </w:pPr>
      <w:r>
        <w:rPr>
          <w:b/>
        </w:rPr>
        <w:t>Женская рабочая сила в сельскохозяйственном секторе</w:t>
      </w:r>
    </w:p>
    <w:p w:rsidR="00000000" w:rsidRDefault="00000000">
      <w:r>
        <w:t>908.</w:t>
      </w:r>
      <w:r>
        <w:tab/>
        <w:t>Развитие сельскохозяйственного сектора за последние два десятилетия характеризуется явным ростом участия женщин в сельскохозяйственных работах. В то время как численность самодеятельного сельского населения имеет тенденцию к снижению (с 1975 года по 1994 год она сократилась с 509 тыс. до 500 тыс. человек), данные Министерства сельского хозяйства указывают на регулярное увеличение численности женской рабочей силы в сельском хозяйстве.</w:t>
      </w:r>
    </w:p>
    <w:p w:rsidR="00000000" w:rsidRDefault="00000000">
      <w:r>
        <w:t>909.</w:t>
      </w:r>
      <w:r>
        <w:tab/>
        <w:t xml:space="preserve">Число женщин среди сельского самодеятельного населения увеличилось с 69 тыс. в 1975 году до </w:t>
      </w:r>
      <w:r>
        <w:br/>
        <w:t>107 тыс. в 1994 году. В относительных пропорциях доля женской рабочей силы в сельском хозяйстве также прогрессирует, увеличившись с 13,6 процента в 1994 году до 21,4 процента в 1997 году.</w:t>
      </w:r>
    </w:p>
    <w:p w:rsidR="00000000" w:rsidRDefault="00000000">
      <w:pPr>
        <w:spacing w:before="120"/>
        <w:jc w:val="center"/>
        <w:rPr>
          <w:b/>
        </w:rPr>
      </w:pPr>
      <w:r>
        <w:rPr>
          <w:b/>
        </w:rPr>
        <w:t>Экономически активное население, занятое в сельском хозяйстве в разбивке по полу</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70"/>
        <w:gridCol w:w="826"/>
        <w:gridCol w:w="827"/>
        <w:gridCol w:w="827"/>
        <w:gridCol w:w="827"/>
        <w:gridCol w:w="827"/>
        <w:gridCol w:w="827"/>
        <w:gridCol w:w="827"/>
        <w:gridCol w:w="827"/>
        <w:gridCol w:w="827"/>
        <w:gridCol w:w="827"/>
      </w:tblGrid>
      <w:tr w:rsidR="00000000">
        <w:tblPrEx>
          <w:tblCellMar>
            <w:top w:w="0" w:type="dxa"/>
            <w:bottom w:w="0" w:type="dxa"/>
          </w:tblCellMar>
        </w:tblPrEx>
        <w:trPr>
          <w:cantSplit/>
          <w:jc w:val="center"/>
        </w:trPr>
        <w:tc>
          <w:tcPr>
            <w:tcW w:w="1370" w:type="dxa"/>
            <w:vMerge w:val="restart"/>
          </w:tcPr>
          <w:p w:rsidR="00000000" w:rsidRDefault="00000000">
            <w:pPr>
              <w:spacing w:before="80" w:after="80" w:line="220" w:lineRule="exact"/>
              <w:jc w:val="left"/>
              <w:rPr>
                <w:b/>
                <w:sz w:val="16"/>
              </w:rPr>
            </w:pPr>
            <w:r>
              <w:rPr>
                <w:b/>
                <w:sz w:val="16"/>
              </w:rPr>
              <w:t>Пол</w:t>
            </w:r>
          </w:p>
        </w:tc>
        <w:tc>
          <w:tcPr>
            <w:tcW w:w="1653" w:type="dxa"/>
            <w:gridSpan w:val="2"/>
          </w:tcPr>
          <w:p w:rsidR="00000000" w:rsidRDefault="00000000">
            <w:pPr>
              <w:spacing w:before="80" w:after="80" w:line="200" w:lineRule="exact"/>
              <w:jc w:val="center"/>
              <w:rPr>
                <w:b/>
                <w:sz w:val="16"/>
              </w:rPr>
            </w:pPr>
            <w:r>
              <w:rPr>
                <w:b/>
                <w:sz w:val="16"/>
              </w:rPr>
              <w:t>1966 год</w:t>
            </w:r>
          </w:p>
        </w:tc>
        <w:tc>
          <w:tcPr>
            <w:tcW w:w="1654" w:type="dxa"/>
            <w:gridSpan w:val="2"/>
          </w:tcPr>
          <w:p w:rsidR="00000000" w:rsidRDefault="00000000">
            <w:pPr>
              <w:spacing w:before="80" w:after="80" w:line="200" w:lineRule="exact"/>
              <w:jc w:val="center"/>
              <w:rPr>
                <w:b/>
                <w:sz w:val="16"/>
              </w:rPr>
            </w:pPr>
            <w:r>
              <w:rPr>
                <w:b/>
                <w:sz w:val="16"/>
              </w:rPr>
              <w:t>1975 год</w:t>
            </w:r>
          </w:p>
        </w:tc>
        <w:tc>
          <w:tcPr>
            <w:tcW w:w="1654" w:type="dxa"/>
            <w:gridSpan w:val="2"/>
          </w:tcPr>
          <w:p w:rsidR="00000000" w:rsidRDefault="00000000">
            <w:pPr>
              <w:spacing w:before="80" w:after="80" w:line="200" w:lineRule="exact"/>
              <w:jc w:val="center"/>
              <w:rPr>
                <w:b/>
                <w:sz w:val="16"/>
              </w:rPr>
            </w:pPr>
            <w:r>
              <w:rPr>
                <w:b/>
                <w:sz w:val="16"/>
              </w:rPr>
              <w:t>1984 год</w:t>
            </w:r>
          </w:p>
        </w:tc>
        <w:tc>
          <w:tcPr>
            <w:tcW w:w="1654" w:type="dxa"/>
            <w:gridSpan w:val="2"/>
          </w:tcPr>
          <w:p w:rsidR="00000000" w:rsidRDefault="00000000">
            <w:pPr>
              <w:spacing w:before="80" w:after="80" w:line="200" w:lineRule="exact"/>
              <w:jc w:val="center"/>
              <w:rPr>
                <w:b/>
                <w:sz w:val="16"/>
              </w:rPr>
            </w:pPr>
            <w:r>
              <w:rPr>
                <w:b/>
                <w:sz w:val="16"/>
              </w:rPr>
              <w:t>1989 год</w:t>
            </w:r>
          </w:p>
        </w:tc>
        <w:tc>
          <w:tcPr>
            <w:tcW w:w="1654" w:type="dxa"/>
            <w:gridSpan w:val="2"/>
          </w:tcPr>
          <w:p w:rsidR="00000000" w:rsidRDefault="00000000">
            <w:pPr>
              <w:spacing w:before="80" w:after="80" w:line="200" w:lineRule="exact"/>
              <w:jc w:val="center"/>
              <w:rPr>
                <w:b/>
                <w:sz w:val="16"/>
              </w:rPr>
            </w:pPr>
            <w:r>
              <w:rPr>
                <w:b/>
                <w:sz w:val="16"/>
              </w:rPr>
              <w:t>1994 год</w:t>
            </w:r>
          </w:p>
        </w:tc>
      </w:tr>
      <w:tr w:rsidR="00000000">
        <w:tblPrEx>
          <w:tblCellMar>
            <w:top w:w="0" w:type="dxa"/>
            <w:bottom w:w="0" w:type="dxa"/>
          </w:tblCellMar>
        </w:tblPrEx>
        <w:trPr>
          <w:cantSplit/>
          <w:jc w:val="center"/>
        </w:trPr>
        <w:tc>
          <w:tcPr>
            <w:tcW w:w="1370" w:type="dxa"/>
            <w:vMerge/>
          </w:tcPr>
          <w:p w:rsidR="00000000" w:rsidRDefault="00000000">
            <w:pPr>
              <w:spacing w:before="80" w:after="80" w:line="220" w:lineRule="exact"/>
              <w:jc w:val="left"/>
              <w:rPr>
                <w:sz w:val="18"/>
              </w:rPr>
            </w:pPr>
          </w:p>
        </w:tc>
        <w:tc>
          <w:tcPr>
            <w:tcW w:w="826" w:type="dxa"/>
          </w:tcPr>
          <w:p w:rsidR="00000000" w:rsidRDefault="00000000">
            <w:pPr>
              <w:spacing w:before="80" w:after="80" w:line="200" w:lineRule="exact"/>
              <w:ind w:left="-57" w:right="-57"/>
              <w:jc w:val="center"/>
              <w:rPr>
                <w:b/>
                <w:sz w:val="16"/>
              </w:rPr>
            </w:pPr>
            <w:r>
              <w:rPr>
                <w:b/>
                <w:sz w:val="16"/>
              </w:rPr>
              <w:t>числен-ность*</w:t>
            </w:r>
          </w:p>
        </w:tc>
        <w:tc>
          <w:tcPr>
            <w:tcW w:w="827" w:type="dxa"/>
          </w:tcPr>
          <w:p w:rsidR="00000000" w:rsidRDefault="00000000">
            <w:pPr>
              <w:spacing w:before="80" w:after="80" w:line="200" w:lineRule="exact"/>
              <w:jc w:val="center"/>
              <w:rPr>
                <w:b/>
                <w:sz w:val="16"/>
              </w:rPr>
            </w:pPr>
            <w:r>
              <w:rPr>
                <w:b/>
                <w:sz w:val="16"/>
              </w:rPr>
              <w:t>про-центная доля</w:t>
            </w:r>
          </w:p>
        </w:tc>
        <w:tc>
          <w:tcPr>
            <w:tcW w:w="827" w:type="dxa"/>
          </w:tcPr>
          <w:p w:rsidR="00000000" w:rsidRDefault="00000000">
            <w:pPr>
              <w:spacing w:before="80" w:after="80" w:line="200" w:lineRule="exact"/>
              <w:ind w:left="-57" w:right="-57"/>
              <w:jc w:val="center"/>
              <w:rPr>
                <w:b/>
                <w:sz w:val="16"/>
              </w:rPr>
            </w:pPr>
            <w:r>
              <w:rPr>
                <w:b/>
                <w:sz w:val="16"/>
              </w:rPr>
              <w:t>числен-ность</w:t>
            </w:r>
          </w:p>
        </w:tc>
        <w:tc>
          <w:tcPr>
            <w:tcW w:w="827" w:type="dxa"/>
          </w:tcPr>
          <w:p w:rsidR="00000000" w:rsidRDefault="00000000">
            <w:pPr>
              <w:spacing w:before="80" w:after="80" w:line="200" w:lineRule="exact"/>
              <w:jc w:val="center"/>
              <w:rPr>
                <w:b/>
                <w:sz w:val="16"/>
              </w:rPr>
            </w:pPr>
            <w:r>
              <w:rPr>
                <w:b/>
                <w:sz w:val="16"/>
              </w:rPr>
              <w:t>про-центная доля</w:t>
            </w:r>
          </w:p>
        </w:tc>
        <w:tc>
          <w:tcPr>
            <w:tcW w:w="827" w:type="dxa"/>
          </w:tcPr>
          <w:p w:rsidR="00000000" w:rsidRDefault="00000000">
            <w:pPr>
              <w:spacing w:before="80" w:after="80" w:line="200" w:lineRule="exact"/>
              <w:ind w:left="-57" w:right="-57"/>
              <w:jc w:val="center"/>
              <w:rPr>
                <w:b/>
                <w:sz w:val="16"/>
              </w:rPr>
            </w:pPr>
            <w:r>
              <w:rPr>
                <w:b/>
                <w:sz w:val="16"/>
              </w:rPr>
              <w:t>числен-ность</w:t>
            </w:r>
          </w:p>
        </w:tc>
        <w:tc>
          <w:tcPr>
            <w:tcW w:w="827" w:type="dxa"/>
          </w:tcPr>
          <w:p w:rsidR="00000000" w:rsidRDefault="00000000">
            <w:pPr>
              <w:spacing w:before="80" w:after="80" w:line="200" w:lineRule="exact"/>
              <w:jc w:val="center"/>
              <w:rPr>
                <w:b/>
                <w:sz w:val="16"/>
              </w:rPr>
            </w:pPr>
            <w:r>
              <w:rPr>
                <w:b/>
                <w:sz w:val="16"/>
              </w:rPr>
              <w:t>про-центная доля</w:t>
            </w:r>
          </w:p>
        </w:tc>
        <w:tc>
          <w:tcPr>
            <w:tcW w:w="827" w:type="dxa"/>
          </w:tcPr>
          <w:p w:rsidR="00000000" w:rsidRDefault="00000000">
            <w:pPr>
              <w:spacing w:before="80" w:after="80" w:line="200" w:lineRule="exact"/>
              <w:ind w:left="-57" w:right="-57"/>
              <w:jc w:val="center"/>
              <w:rPr>
                <w:b/>
                <w:sz w:val="16"/>
              </w:rPr>
            </w:pPr>
            <w:r>
              <w:rPr>
                <w:b/>
                <w:sz w:val="16"/>
              </w:rPr>
              <w:t>числен-ность</w:t>
            </w:r>
          </w:p>
        </w:tc>
        <w:tc>
          <w:tcPr>
            <w:tcW w:w="827" w:type="dxa"/>
          </w:tcPr>
          <w:p w:rsidR="00000000" w:rsidRDefault="00000000">
            <w:pPr>
              <w:spacing w:before="80" w:after="80" w:line="200" w:lineRule="exact"/>
              <w:jc w:val="center"/>
              <w:rPr>
                <w:b/>
                <w:sz w:val="16"/>
              </w:rPr>
            </w:pPr>
            <w:r>
              <w:rPr>
                <w:b/>
                <w:sz w:val="16"/>
              </w:rPr>
              <w:t>про-центная доля</w:t>
            </w:r>
          </w:p>
        </w:tc>
        <w:tc>
          <w:tcPr>
            <w:tcW w:w="827" w:type="dxa"/>
          </w:tcPr>
          <w:p w:rsidR="00000000" w:rsidRDefault="00000000">
            <w:pPr>
              <w:spacing w:before="80" w:after="80" w:line="200" w:lineRule="exact"/>
              <w:ind w:left="-57" w:right="-57"/>
              <w:jc w:val="center"/>
              <w:rPr>
                <w:b/>
                <w:sz w:val="16"/>
              </w:rPr>
            </w:pPr>
            <w:r>
              <w:rPr>
                <w:b/>
                <w:sz w:val="16"/>
              </w:rPr>
              <w:t>числен-ность</w:t>
            </w:r>
          </w:p>
        </w:tc>
        <w:tc>
          <w:tcPr>
            <w:tcW w:w="827" w:type="dxa"/>
          </w:tcPr>
          <w:p w:rsidR="00000000" w:rsidRDefault="00000000">
            <w:pPr>
              <w:spacing w:before="80" w:after="80" w:line="200" w:lineRule="exact"/>
              <w:jc w:val="center"/>
              <w:rPr>
                <w:b/>
                <w:sz w:val="16"/>
              </w:rPr>
            </w:pPr>
            <w:r>
              <w:rPr>
                <w:b/>
                <w:sz w:val="16"/>
              </w:rPr>
              <w:t>про-центная доля</w:t>
            </w:r>
          </w:p>
        </w:tc>
      </w:tr>
      <w:tr w:rsidR="00000000">
        <w:tblPrEx>
          <w:tblCellMar>
            <w:top w:w="0" w:type="dxa"/>
            <w:bottom w:w="0" w:type="dxa"/>
          </w:tblCellMar>
        </w:tblPrEx>
        <w:trPr>
          <w:jc w:val="center"/>
        </w:trPr>
        <w:tc>
          <w:tcPr>
            <w:tcW w:w="1370" w:type="dxa"/>
          </w:tcPr>
          <w:p w:rsidR="00000000" w:rsidRDefault="00000000">
            <w:pPr>
              <w:spacing w:before="80" w:after="80" w:line="220" w:lineRule="exact"/>
              <w:jc w:val="left"/>
              <w:rPr>
                <w:sz w:val="18"/>
              </w:rPr>
            </w:pPr>
            <w:r>
              <w:rPr>
                <w:sz w:val="18"/>
              </w:rPr>
              <w:t>Мужской</w:t>
            </w:r>
          </w:p>
        </w:tc>
        <w:tc>
          <w:tcPr>
            <w:tcW w:w="826" w:type="dxa"/>
          </w:tcPr>
          <w:p w:rsidR="00000000" w:rsidRDefault="00000000">
            <w:pPr>
              <w:spacing w:before="80" w:after="80" w:line="220" w:lineRule="exact"/>
              <w:jc w:val="center"/>
              <w:rPr>
                <w:sz w:val="18"/>
              </w:rPr>
            </w:pPr>
            <w:r>
              <w:rPr>
                <w:sz w:val="18"/>
              </w:rPr>
              <w:t>440</w:t>
            </w:r>
          </w:p>
        </w:tc>
        <w:tc>
          <w:tcPr>
            <w:tcW w:w="827" w:type="dxa"/>
          </w:tcPr>
          <w:p w:rsidR="00000000" w:rsidRDefault="00000000">
            <w:pPr>
              <w:spacing w:before="80" w:after="80" w:line="220" w:lineRule="exact"/>
              <w:jc w:val="center"/>
              <w:rPr>
                <w:sz w:val="18"/>
              </w:rPr>
            </w:pPr>
            <w:r>
              <w:rPr>
                <w:sz w:val="18"/>
              </w:rPr>
              <w:t>98,2</w:t>
            </w:r>
          </w:p>
        </w:tc>
        <w:tc>
          <w:tcPr>
            <w:tcW w:w="827" w:type="dxa"/>
          </w:tcPr>
          <w:p w:rsidR="00000000" w:rsidRDefault="00000000">
            <w:pPr>
              <w:spacing w:before="80" w:after="80" w:line="220" w:lineRule="exact"/>
              <w:jc w:val="center"/>
              <w:rPr>
                <w:sz w:val="18"/>
              </w:rPr>
            </w:pPr>
            <w:r>
              <w:rPr>
                <w:sz w:val="18"/>
              </w:rPr>
              <w:t>440</w:t>
            </w:r>
          </w:p>
        </w:tc>
        <w:tc>
          <w:tcPr>
            <w:tcW w:w="827" w:type="dxa"/>
          </w:tcPr>
          <w:p w:rsidR="00000000" w:rsidRDefault="00000000">
            <w:pPr>
              <w:spacing w:before="80" w:after="80" w:line="220" w:lineRule="exact"/>
              <w:jc w:val="center"/>
              <w:rPr>
                <w:sz w:val="18"/>
              </w:rPr>
            </w:pPr>
            <w:r>
              <w:rPr>
                <w:sz w:val="18"/>
              </w:rPr>
              <w:t>86,4</w:t>
            </w:r>
          </w:p>
        </w:tc>
        <w:tc>
          <w:tcPr>
            <w:tcW w:w="827" w:type="dxa"/>
          </w:tcPr>
          <w:p w:rsidR="00000000" w:rsidRDefault="00000000">
            <w:pPr>
              <w:spacing w:before="80" w:after="80" w:line="220" w:lineRule="exact"/>
              <w:jc w:val="center"/>
              <w:rPr>
                <w:sz w:val="18"/>
              </w:rPr>
            </w:pPr>
            <w:r>
              <w:rPr>
                <w:sz w:val="18"/>
              </w:rPr>
              <w:t>380</w:t>
            </w:r>
          </w:p>
        </w:tc>
        <w:tc>
          <w:tcPr>
            <w:tcW w:w="827" w:type="dxa"/>
          </w:tcPr>
          <w:p w:rsidR="00000000" w:rsidRDefault="00000000">
            <w:pPr>
              <w:spacing w:before="80" w:after="80" w:line="220" w:lineRule="exact"/>
              <w:jc w:val="center"/>
              <w:rPr>
                <w:sz w:val="18"/>
              </w:rPr>
            </w:pPr>
            <w:r>
              <w:rPr>
                <w:sz w:val="18"/>
              </w:rPr>
              <w:t>79,8</w:t>
            </w:r>
          </w:p>
        </w:tc>
        <w:tc>
          <w:tcPr>
            <w:tcW w:w="827" w:type="dxa"/>
          </w:tcPr>
          <w:p w:rsidR="00000000" w:rsidRDefault="00000000">
            <w:pPr>
              <w:spacing w:before="80" w:after="80" w:line="220" w:lineRule="exact"/>
              <w:jc w:val="center"/>
              <w:rPr>
                <w:sz w:val="18"/>
              </w:rPr>
            </w:pPr>
            <w:r>
              <w:rPr>
                <w:sz w:val="18"/>
              </w:rPr>
              <w:t>422</w:t>
            </w:r>
          </w:p>
        </w:tc>
        <w:tc>
          <w:tcPr>
            <w:tcW w:w="827" w:type="dxa"/>
          </w:tcPr>
          <w:p w:rsidR="00000000" w:rsidRDefault="00000000">
            <w:pPr>
              <w:spacing w:before="80" w:after="80" w:line="220" w:lineRule="exact"/>
              <w:jc w:val="center"/>
              <w:rPr>
                <w:sz w:val="18"/>
              </w:rPr>
            </w:pPr>
            <w:r>
              <w:rPr>
                <w:sz w:val="18"/>
              </w:rPr>
              <w:t>82,7</w:t>
            </w:r>
          </w:p>
        </w:tc>
        <w:tc>
          <w:tcPr>
            <w:tcW w:w="827" w:type="dxa"/>
          </w:tcPr>
          <w:p w:rsidR="00000000" w:rsidRDefault="00000000">
            <w:pPr>
              <w:spacing w:before="80" w:after="80" w:line="220" w:lineRule="exact"/>
              <w:jc w:val="center"/>
              <w:rPr>
                <w:sz w:val="18"/>
              </w:rPr>
            </w:pPr>
            <w:r>
              <w:rPr>
                <w:sz w:val="18"/>
              </w:rPr>
              <w:t>393</w:t>
            </w:r>
          </w:p>
        </w:tc>
        <w:tc>
          <w:tcPr>
            <w:tcW w:w="827" w:type="dxa"/>
          </w:tcPr>
          <w:p w:rsidR="00000000" w:rsidRDefault="00000000">
            <w:pPr>
              <w:spacing w:before="80" w:after="80" w:line="220" w:lineRule="exact"/>
              <w:jc w:val="center"/>
              <w:rPr>
                <w:sz w:val="18"/>
              </w:rPr>
            </w:pPr>
            <w:r>
              <w:rPr>
                <w:sz w:val="18"/>
              </w:rPr>
              <w:t>78,6</w:t>
            </w:r>
          </w:p>
        </w:tc>
      </w:tr>
      <w:tr w:rsidR="00000000">
        <w:tblPrEx>
          <w:tblCellMar>
            <w:top w:w="0" w:type="dxa"/>
            <w:bottom w:w="0" w:type="dxa"/>
          </w:tblCellMar>
        </w:tblPrEx>
        <w:trPr>
          <w:jc w:val="center"/>
        </w:trPr>
        <w:tc>
          <w:tcPr>
            <w:tcW w:w="1370" w:type="dxa"/>
          </w:tcPr>
          <w:p w:rsidR="00000000" w:rsidRDefault="00000000">
            <w:pPr>
              <w:spacing w:before="80" w:after="80" w:line="220" w:lineRule="exact"/>
              <w:jc w:val="left"/>
              <w:rPr>
                <w:sz w:val="18"/>
              </w:rPr>
            </w:pPr>
            <w:r>
              <w:rPr>
                <w:sz w:val="18"/>
              </w:rPr>
              <w:t>Женский</w:t>
            </w:r>
          </w:p>
        </w:tc>
        <w:tc>
          <w:tcPr>
            <w:tcW w:w="826" w:type="dxa"/>
          </w:tcPr>
          <w:p w:rsidR="00000000" w:rsidRDefault="00000000">
            <w:pPr>
              <w:spacing w:before="80" w:after="80" w:line="220" w:lineRule="exact"/>
              <w:jc w:val="center"/>
              <w:rPr>
                <w:sz w:val="18"/>
              </w:rPr>
            </w:pPr>
            <w:r>
              <w:rPr>
                <w:sz w:val="18"/>
              </w:rPr>
              <w:t>8</w:t>
            </w:r>
          </w:p>
        </w:tc>
        <w:tc>
          <w:tcPr>
            <w:tcW w:w="827" w:type="dxa"/>
          </w:tcPr>
          <w:p w:rsidR="00000000" w:rsidRDefault="00000000">
            <w:pPr>
              <w:spacing w:before="80" w:after="80" w:line="220" w:lineRule="exact"/>
              <w:jc w:val="center"/>
              <w:rPr>
                <w:sz w:val="18"/>
              </w:rPr>
            </w:pPr>
            <w:r>
              <w:rPr>
                <w:sz w:val="18"/>
              </w:rPr>
              <w:t>1,8</w:t>
            </w:r>
          </w:p>
        </w:tc>
        <w:tc>
          <w:tcPr>
            <w:tcW w:w="827" w:type="dxa"/>
          </w:tcPr>
          <w:p w:rsidR="00000000" w:rsidRDefault="00000000">
            <w:pPr>
              <w:spacing w:before="80" w:after="80" w:line="220" w:lineRule="exact"/>
              <w:jc w:val="center"/>
              <w:rPr>
                <w:sz w:val="18"/>
              </w:rPr>
            </w:pPr>
            <w:r>
              <w:rPr>
                <w:sz w:val="18"/>
              </w:rPr>
              <w:t>69</w:t>
            </w:r>
          </w:p>
        </w:tc>
        <w:tc>
          <w:tcPr>
            <w:tcW w:w="827" w:type="dxa"/>
          </w:tcPr>
          <w:p w:rsidR="00000000" w:rsidRDefault="00000000">
            <w:pPr>
              <w:spacing w:before="80" w:after="80" w:line="220" w:lineRule="exact"/>
              <w:jc w:val="center"/>
              <w:rPr>
                <w:sz w:val="18"/>
              </w:rPr>
            </w:pPr>
            <w:r>
              <w:rPr>
                <w:sz w:val="18"/>
              </w:rPr>
              <w:t>13,6</w:t>
            </w:r>
          </w:p>
        </w:tc>
        <w:tc>
          <w:tcPr>
            <w:tcW w:w="827" w:type="dxa"/>
          </w:tcPr>
          <w:p w:rsidR="00000000" w:rsidRDefault="00000000">
            <w:pPr>
              <w:spacing w:before="80" w:after="80" w:line="220" w:lineRule="exact"/>
              <w:jc w:val="center"/>
              <w:rPr>
                <w:sz w:val="18"/>
              </w:rPr>
            </w:pPr>
            <w:r>
              <w:rPr>
                <w:sz w:val="18"/>
              </w:rPr>
              <w:t>96</w:t>
            </w:r>
          </w:p>
        </w:tc>
        <w:tc>
          <w:tcPr>
            <w:tcW w:w="827" w:type="dxa"/>
          </w:tcPr>
          <w:p w:rsidR="00000000" w:rsidRDefault="00000000">
            <w:pPr>
              <w:spacing w:before="80" w:after="80" w:line="220" w:lineRule="exact"/>
              <w:jc w:val="center"/>
              <w:rPr>
                <w:sz w:val="18"/>
              </w:rPr>
            </w:pPr>
            <w:r>
              <w:rPr>
                <w:sz w:val="18"/>
              </w:rPr>
              <w:t>20,2</w:t>
            </w:r>
          </w:p>
        </w:tc>
        <w:tc>
          <w:tcPr>
            <w:tcW w:w="827" w:type="dxa"/>
          </w:tcPr>
          <w:p w:rsidR="00000000" w:rsidRDefault="00000000">
            <w:pPr>
              <w:spacing w:before="80" w:after="80" w:line="220" w:lineRule="exact"/>
              <w:jc w:val="center"/>
              <w:rPr>
                <w:sz w:val="18"/>
              </w:rPr>
            </w:pPr>
            <w:r>
              <w:rPr>
                <w:sz w:val="18"/>
              </w:rPr>
              <w:t>87</w:t>
            </w:r>
          </w:p>
        </w:tc>
        <w:tc>
          <w:tcPr>
            <w:tcW w:w="827" w:type="dxa"/>
          </w:tcPr>
          <w:p w:rsidR="00000000" w:rsidRDefault="00000000">
            <w:pPr>
              <w:spacing w:before="80" w:after="80" w:line="220" w:lineRule="exact"/>
              <w:jc w:val="center"/>
              <w:rPr>
                <w:sz w:val="18"/>
              </w:rPr>
            </w:pPr>
            <w:r>
              <w:rPr>
                <w:sz w:val="18"/>
              </w:rPr>
              <w:t>17,3</w:t>
            </w:r>
          </w:p>
        </w:tc>
        <w:tc>
          <w:tcPr>
            <w:tcW w:w="827" w:type="dxa"/>
          </w:tcPr>
          <w:p w:rsidR="00000000" w:rsidRDefault="00000000">
            <w:pPr>
              <w:spacing w:before="80" w:after="80" w:line="220" w:lineRule="exact"/>
              <w:jc w:val="center"/>
              <w:rPr>
                <w:sz w:val="18"/>
              </w:rPr>
            </w:pPr>
            <w:r>
              <w:rPr>
                <w:sz w:val="18"/>
              </w:rPr>
              <w:t>107</w:t>
            </w:r>
          </w:p>
        </w:tc>
        <w:tc>
          <w:tcPr>
            <w:tcW w:w="827" w:type="dxa"/>
          </w:tcPr>
          <w:p w:rsidR="00000000" w:rsidRDefault="00000000">
            <w:pPr>
              <w:spacing w:before="80" w:after="80" w:line="220" w:lineRule="exact"/>
              <w:jc w:val="center"/>
              <w:rPr>
                <w:sz w:val="18"/>
              </w:rPr>
            </w:pPr>
            <w:r>
              <w:rPr>
                <w:sz w:val="18"/>
              </w:rPr>
              <w:t>21,4</w:t>
            </w:r>
          </w:p>
        </w:tc>
      </w:tr>
      <w:tr w:rsidR="00000000">
        <w:tblPrEx>
          <w:tblCellMar>
            <w:top w:w="0" w:type="dxa"/>
            <w:bottom w:w="0" w:type="dxa"/>
          </w:tblCellMar>
        </w:tblPrEx>
        <w:trPr>
          <w:jc w:val="center"/>
        </w:trPr>
        <w:tc>
          <w:tcPr>
            <w:tcW w:w="1370" w:type="dxa"/>
          </w:tcPr>
          <w:p w:rsidR="00000000" w:rsidRDefault="00000000">
            <w:pPr>
              <w:spacing w:before="80" w:after="80" w:line="220" w:lineRule="exact"/>
              <w:jc w:val="left"/>
              <w:rPr>
                <w:sz w:val="18"/>
              </w:rPr>
            </w:pPr>
            <w:r>
              <w:rPr>
                <w:sz w:val="18"/>
              </w:rPr>
              <w:t>Всего</w:t>
            </w:r>
          </w:p>
        </w:tc>
        <w:tc>
          <w:tcPr>
            <w:tcW w:w="826" w:type="dxa"/>
          </w:tcPr>
          <w:p w:rsidR="00000000" w:rsidRDefault="00000000">
            <w:pPr>
              <w:spacing w:before="80" w:after="80" w:line="220" w:lineRule="exact"/>
              <w:jc w:val="center"/>
              <w:rPr>
                <w:sz w:val="18"/>
              </w:rPr>
            </w:pPr>
            <w:r>
              <w:rPr>
                <w:sz w:val="18"/>
              </w:rPr>
              <w:t>448</w:t>
            </w:r>
          </w:p>
        </w:tc>
        <w:tc>
          <w:tcPr>
            <w:tcW w:w="827" w:type="dxa"/>
          </w:tcPr>
          <w:p w:rsidR="00000000" w:rsidRDefault="00000000">
            <w:pPr>
              <w:spacing w:before="80" w:after="80" w:line="220" w:lineRule="exact"/>
              <w:jc w:val="center"/>
              <w:rPr>
                <w:sz w:val="18"/>
              </w:rPr>
            </w:pPr>
            <w:r>
              <w:rPr>
                <w:sz w:val="18"/>
              </w:rPr>
              <w:t>100</w:t>
            </w:r>
          </w:p>
        </w:tc>
        <w:tc>
          <w:tcPr>
            <w:tcW w:w="827" w:type="dxa"/>
          </w:tcPr>
          <w:p w:rsidR="00000000" w:rsidRDefault="00000000">
            <w:pPr>
              <w:spacing w:before="80" w:after="80" w:line="220" w:lineRule="exact"/>
              <w:jc w:val="center"/>
              <w:rPr>
                <w:sz w:val="18"/>
              </w:rPr>
            </w:pPr>
            <w:r>
              <w:rPr>
                <w:sz w:val="18"/>
              </w:rPr>
              <w:t>50,9</w:t>
            </w:r>
          </w:p>
        </w:tc>
        <w:tc>
          <w:tcPr>
            <w:tcW w:w="827" w:type="dxa"/>
          </w:tcPr>
          <w:p w:rsidR="00000000" w:rsidRDefault="00000000">
            <w:pPr>
              <w:spacing w:before="80" w:after="80" w:line="220" w:lineRule="exact"/>
              <w:jc w:val="center"/>
              <w:rPr>
                <w:sz w:val="18"/>
              </w:rPr>
            </w:pPr>
            <w:r>
              <w:rPr>
                <w:sz w:val="18"/>
              </w:rPr>
              <w:t>100</w:t>
            </w:r>
          </w:p>
        </w:tc>
        <w:tc>
          <w:tcPr>
            <w:tcW w:w="827" w:type="dxa"/>
          </w:tcPr>
          <w:p w:rsidR="00000000" w:rsidRDefault="00000000">
            <w:pPr>
              <w:spacing w:before="80" w:after="80" w:line="220" w:lineRule="exact"/>
              <w:jc w:val="center"/>
              <w:rPr>
                <w:sz w:val="18"/>
              </w:rPr>
            </w:pPr>
            <w:r>
              <w:rPr>
                <w:sz w:val="18"/>
              </w:rPr>
              <w:t>476</w:t>
            </w:r>
          </w:p>
        </w:tc>
        <w:tc>
          <w:tcPr>
            <w:tcW w:w="827" w:type="dxa"/>
          </w:tcPr>
          <w:p w:rsidR="00000000" w:rsidRDefault="00000000">
            <w:pPr>
              <w:spacing w:before="80" w:after="80" w:line="220" w:lineRule="exact"/>
              <w:jc w:val="center"/>
              <w:rPr>
                <w:sz w:val="18"/>
              </w:rPr>
            </w:pPr>
            <w:r>
              <w:rPr>
                <w:sz w:val="18"/>
              </w:rPr>
              <w:t>100</w:t>
            </w:r>
          </w:p>
        </w:tc>
        <w:tc>
          <w:tcPr>
            <w:tcW w:w="827" w:type="dxa"/>
          </w:tcPr>
          <w:p w:rsidR="00000000" w:rsidRDefault="00000000">
            <w:pPr>
              <w:spacing w:before="80" w:after="80" w:line="220" w:lineRule="exact"/>
              <w:jc w:val="center"/>
              <w:rPr>
                <w:sz w:val="18"/>
              </w:rPr>
            </w:pPr>
            <w:r>
              <w:rPr>
                <w:sz w:val="18"/>
              </w:rPr>
              <w:t>509</w:t>
            </w:r>
          </w:p>
        </w:tc>
        <w:tc>
          <w:tcPr>
            <w:tcW w:w="827" w:type="dxa"/>
          </w:tcPr>
          <w:p w:rsidR="00000000" w:rsidRDefault="00000000">
            <w:pPr>
              <w:spacing w:before="80" w:after="80" w:line="220" w:lineRule="exact"/>
              <w:jc w:val="center"/>
              <w:rPr>
                <w:sz w:val="18"/>
              </w:rPr>
            </w:pPr>
            <w:r>
              <w:rPr>
                <w:sz w:val="18"/>
              </w:rPr>
              <w:t>100</w:t>
            </w:r>
          </w:p>
        </w:tc>
        <w:tc>
          <w:tcPr>
            <w:tcW w:w="827" w:type="dxa"/>
          </w:tcPr>
          <w:p w:rsidR="00000000" w:rsidRDefault="00000000">
            <w:pPr>
              <w:spacing w:before="80" w:after="80" w:line="220" w:lineRule="exact"/>
              <w:jc w:val="center"/>
              <w:rPr>
                <w:sz w:val="18"/>
              </w:rPr>
            </w:pPr>
            <w:r>
              <w:rPr>
                <w:sz w:val="18"/>
              </w:rPr>
              <w:t>500</w:t>
            </w:r>
          </w:p>
        </w:tc>
        <w:tc>
          <w:tcPr>
            <w:tcW w:w="827" w:type="dxa"/>
          </w:tcPr>
          <w:p w:rsidR="00000000" w:rsidRDefault="00000000">
            <w:pPr>
              <w:spacing w:before="80" w:after="80" w:line="220" w:lineRule="exact"/>
              <w:jc w:val="center"/>
              <w:rPr>
                <w:sz w:val="18"/>
              </w:rPr>
            </w:pPr>
            <w:r>
              <w:rPr>
                <w:sz w:val="18"/>
              </w:rPr>
              <w:t>100</w:t>
            </w:r>
          </w:p>
        </w:tc>
      </w:tr>
    </w:tbl>
    <w:p w:rsidR="00000000" w:rsidRDefault="00000000">
      <w:pPr>
        <w:tabs>
          <w:tab w:val="left" w:pos="3402"/>
        </w:tabs>
        <w:spacing w:before="120" w:line="220" w:lineRule="exact"/>
        <w:ind w:left="3402" w:hanging="3402"/>
        <w:rPr>
          <w:b/>
          <w:sz w:val="18"/>
        </w:rPr>
      </w:pPr>
      <w:r>
        <w:rPr>
          <w:sz w:val="18"/>
        </w:rPr>
        <w:t>* Численность дана в тысячах.</w:t>
      </w:r>
      <w:r>
        <w:rPr>
          <w:sz w:val="18"/>
        </w:rPr>
        <w:tab/>
      </w:r>
      <w:r>
        <w:rPr>
          <w:b/>
          <w:sz w:val="18"/>
        </w:rPr>
        <w:t>Источник: НИС, Доклад ЦНИДИЖ о положении женщин, проживающих в сельской местности</w:t>
      </w:r>
    </w:p>
    <w:p w:rsidR="00000000" w:rsidRDefault="00000000">
      <w:r>
        <w:t>910.</w:t>
      </w:r>
      <w:r>
        <w:tab/>
        <w:t>Если обратиться к цифрам, полученным в результате исследования, проведенного в 1994/95 году Министерством сельского хозяйства, можно констатировать значительное увеличение численности женской рабочей силы в семейном сельскохозяйственном производстве, которая достигла 708 тыс. человек по сравнению с 392 тыс. человек, выявленных в ходе исследования по итогам сельскохозяйственной кампании 1993/94 года Министерства сельского хозяйства.</w:t>
      </w:r>
    </w:p>
    <w:p w:rsidR="00000000" w:rsidRDefault="00000000">
      <w:r>
        <w:t>911.</w:t>
      </w:r>
      <w:r>
        <w:tab/>
        <w:t>Эти цифры показывают, что доля женщин в семейном сельскохозяйственном производстве достигает 64,29 процента.</w:t>
      </w:r>
    </w:p>
    <w:p w:rsidR="00000000" w:rsidRDefault="00000000">
      <w:r>
        <w:t>912.</w:t>
      </w:r>
      <w:r>
        <w:tab/>
        <w:t>По данным этого исследования, доля женщин среди самодеятельного сельского населения увеличилась как среди постоянных наемных работниц (с 5,56 процента в 1993/94 году до 9,53 процента в 1994/95 году), так и среди временных наемных работниц (с 24 процентов до 38,01 процента).</w:t>
      </w:r>
    </w:p>
    <w:p w:rsidR="00000000" w:rsidRDefault="00000000">
      <w:r>
        <w:t>913.</w:t>
      </w:r>
      <w:r>
        <w:tab/>
        <w:t xml:space="preserve">Диверсификация производственных систем и развитие секторов интенсивного производства с широким привлечением рабочей силы (выращивание огородных и фруктовых культур с применением искусственного орошения) в последние годы опирались главным образом на мобилизацию именно женского труда, причем как в рамках семейных сельских хозяйств, так и при применении наемного труда. В ходе выполнения </w:t>
      </w:r>
      <w:r>
        <w:rPr>
          <w:lang w:val="en-US"/>
        </w:rPr>
        <w:t>IX</w:t>
      </w:r>
      <w:r>
        <w:t xml:space="preserve"> плана эта тенденция призвана развиваться вследствие увеличения орошаемых площадей на 25 тыс. гектаров. </w:t>
      </w:r>
    </w:p>
    <w:p w:rsidR="00000000" w:rsidRDefault="00000000">
      <w:r>
        <w:t>914.</w:t>
      </w:r>
      <w:r>
        <w:tab/>
        <w:t>Такой ход развития, подчеркивается в докладе ЦНИДИЖ, привел к тому, что в настоящее время воспроизводство большей части сельских хозяйств происходит главным образом за счет труда женщин и девушек, проживающих в сельской местности.</w:t>
      </w:r>
    </w:p>
    <w:p w:rsidR="00000000" w:rsidRDefault="00000000">
      <w:pPr>
        <w:spacing w:after="120"/>
      </w:pPr>
      <w:r>
        <w:t>915.</w:t>
      </w:r>
      <w:r>
        <w:tab/>
        <w:t>Женскому труду в сельском хозяйстве присущи следующие особенности:</w:t>
      </w:r>
    </w:p>
    <w:p w:rsidR="00000000" w:rsidRDefault="00000000">
      <w:pPr>
        <w:spacing w:after="120"/>
        <w:ind w:left="1021" w:hanging="1021"/>
      </w:pPr>
      <w:r>
        <w:rPr>
          <w:lang w:val="en-US"/>
        </w:rPr>
        <w:tab/>
      </w:r>
      <w:r>
        <w:t>–</w:t>
      </w:r>
      <w:r>
        <w:tab/>
        <w:t xml:space="preserve">в основном семейный характер, когда труд женщины вписывается в рамки семейного фермерского хозяйства; </w:t>
      </w:r>
    </w:p>
    <w:p w:rsidR="00000000" w:rsidRDefault="00000000">
      <w:pPr>
        <w:spacing w:after="120"/>
        <w:ind w:left="1021" w:hanging="1021"/>
      </w:pPr>
      <w:r>
        <w:tab/>
        <w:t>–</w:t>
      </w:r>
      <w:r>
        <w:tab/>
        <w:t>значительное увеличение женского наемного труда, носящего, однако, прежде всего сезонный характер;</w:t>
      </w:r>
    </w:p>
    <w:p w:rsidR="00000000" w:rsidRDefault="00000000">
      <w:r>
        <w:rPr>
          <w:lang w:val="en-US"/>
        </w:rPr>
        <w:tab/>
      </w:r>
      <w:r>
        <w:t>–</w:t>
      </w:r>
      <w:r>
        <w:tab/>
        <w:t>крайне малое число женщин — руководителей хозяйств.</w:t>
      </w:r>
    </w:p>
    <w:p w:rsidR="00000000" w:rsidRDefault="00000000">
      <w:pPr>
        <w:rPr>
          <w:b/>
        </w:rPr>
      </w:pPr>
      <w:r>
        <w:rPr>
          <w:b/>
        </w:rPr>
        <w:t>Женщины – руководители фермерских хозяйств</w:t>
      </w:r>
    </w:p>
    <w:p w:rsidR="00000000" w:rsidRDefault="00000000">
      <w:r>
        <w:t>916.</w:t>
      </w:r>
      <w:r>
        <w:tab/>
        <w:t xml:space="preserve">В базовом исследовании по сельскому хозяйству 1990 года говорилось о 15 тыс. женщин – руководителей фермерских хозяйств, что составляет 3,8 процента от общего числа фермеров. В 1994/95 году исследование, касающееся устройства сельских хозяйств, выявляет уже 26 200 женщин-руководителей </w:t>
      </w:r>
      <w:r>
        <w:br/>
        <w:t>(5,6 процента от общего числа). Но лишь 10 400 из этих женщин посвящают своему хозяйству большую часть времени. НИС, со своей стороны, насчитал 22 100 женщин – руководителей фермерских хозяйств в 1994 году.</w:t>
      </w:r>
    </w:p>
    <w:p w:rsidR="00000000" w:rsidRDefault="00000000">
      <w:r>
        <w:t>917.</w:t>
      </w:r>
      <w:r>
        <w:tab/>
        <w:t xml:space="preserve">Кроме того, в некоторых провинциях, имеющих аграрный характер, процент женщин – глав домохозяйств достаточно высок: это относится к провинциям Джендуба, Эль-Кеф, Кебили, Татавин, где процент женщин – глав домохозяйств достигает, соответственно, 17,25 процента, 16,55 процента, </w:t>
      </w:r>
      <w:r>
        <w:br/>
        <w:t>20,58 процента и 17,86 процента.</w:t>
      </w:r>
    </w:p>
    <w:p w:rsidR="00000000" w:rsidRDefault="00000000">
      <w:r>
        <w:t>918.</w:t>
      </w:r>
      <w:r>
        <w:tab/>
        <w:t>В самое последнее время политика расширения сельскохозяйственных инвестиций благоприятствовала вовлечению в трудовую деятельность молодых сельских работниц, имеющих дипломы инженеров или сельских техников. Однако число сельскохозяйственных проектов, осуществляемых женщинами, остается ограниченным. Согласно статистическим данным Агентства по пропаганде инвестиций в сельское хозяйство, с момента создания Агентства из 9 200 утвержденных в общей сложности досье лишь 310, то есть 3,3 процента, были представлены женщинами. Правда, сельскохозяйственные проекты, предлагаемые женщинами, чаще всего принадлежат к категории мелких и, следовательно, не выносятся на рассмотрение согласительных комиссий Агентства.</w:t>
      </w:r>
    </w:p>
    <w:p w:rsidR="00000000" w:rsidRDefault="00000000">
      <w:r>
        <w:t>919.</w:t>
      </w:r>
      <w:r>
        <w:tab/>
        <w:t>В действительности серьезные сдерживающие факторы социально-культурного характера (отсутствие профессиональной подготовки, ограниченный доступ к информации и техническим знаниям, образ женщины в сельском обществе) делают еще очень трудным выполнение женщинами функций руководителя хозяйства, в частности в том, что касается отношений с внешним миром: закупки необходимого оборудования и материалов, получения кредитов, рекламы и сбыта.</w:t>
      </w:r>
    </w:p>
    <w:p w:rsidR="00000000" w:rsidRDefault="00000000">
      <w:pPr>
        <w:spacing w:after="180"/>
        <w:rPr>
          <w:b/>
        </w:rPr>
      </w:pPr>
      <w:r>
        <w:rPr>
          <w:b/>
        </w:rPr>
        <w:t>Женщины в кустарном производстве</w:t>
      </w:r>
    </w:p>
    <w:p w:rsidR="00000000" w:rsidRDefault="00000000">
      <w:r>
        <w:t>920.</w:t>
      </w:r>
      <w:r>
        <w:tab/>
        <w:t>В зависимости от регионов женщины, проживающие в сельской местности, занимаются различными видами кустарной деятельности, такими как ткачество, гончарное дело, стеклодувные работы, но делают они это прежде всего для удовлетворения семейных потребностей, а также чтобы получить некоторый дополнительный заработок для своих семей.</w:t>
      </w:r>
    </w:p>
    <w:p w:rsidR="00000000" w:rsidRDefault="00000000">
      <w:pPr>
        <w:spacing w:after="80"/>
      </w:pPr>
      <w:r>
        <w:t>921.</w:t>
      </w:r>
      <w:r>
        <w:tab/>
        <w:t xml:space="preserve">В 1993 году Национальное управление по ремеслам (НУР) насчитало 190 тыс. женщин-ремесленниц. </w:t>
      </w:r>
      <w:r>
        <w:br/>
        <w:t>Из них:</w:t>
      </w:r>
    </w:p>
    <w:p w:rsidR="00000000" w:rsidRDefault="00000000">
      <w:pPr>
        <w:spacing w:after="120"/>
        <w:ind w:left="1021" w:hanging="1021"/>
      </w:pPr>
      <w:r>
        <w:tab/>
        <w:t>–</w:t>
      </w:r>
      <w:r>
        <w:tab/>
        <w:t xml:space="preserve">63 тыс. работали в мастерских производственных предприятий, являющихся филиалами НУР; </w:t>
      </w:r>
    </w:p>
    <w:p w:rsidR="00000000" w:rsidRDefault="00000000">
      <w:pPr>
        <w:spacing w:after="120"/>
        <w:ind w:left="1021" w:hanging="1021"/>
      </w:pPr>
      <w:r>
        <w:tab/>
        <w:t>–</w:t>
      </w:r>
      <w:r>
        <w:tab/>
        <w:t>примерно 54 тыс. работали в качестве подрядчиков при частных предприятиях (на дому или в небольших мастерских, принадлежащих этим предприятиям);</w:t>
      </w:r>
    </w:p>
    <w:p w:rsidR="00000000" w:rsidRDefault="00000000">
      <w:r>
        <w:rPr>
          <w:lang w:val="en-US"/>
        </w:rPr>
        <w:tab/>
      </w:r>
      <w:r>
        <w:t>–</w:t>
      </w:r>
      <w:r>
        <w:tab/>
        <w:t>73 тыс. работали на себя и на дому.</w:t>
      </w:r>
    </w:p>
    <w:p w:rsidR="00000000" w:rsidRDefault="00000000">
      <w:r>
        <w:t>922.</w:t>
      </w:r>
      <w:r>
        <w:tab/>
        <w:t xml:space="preserve">В 1995 году НУР выдало 8064 профессиональных удостоверения, из которых 7495, то есть </w:t>
      </w:r>
      <w:r>
        <w:br/>
        <w:t>92 процента, – женщинам.</w:t>
      </w:r>
    </w:p>
    <w:p w:rsidR="00000000" w:rsidRDefault="00000000">
      <w:r>
        <w:t>923.</w:t>
      </w:r>
      <w:r>
        <w:tab/>
        <w:t xml:space="preserve">Несмотря на поддержку, оказываемую женщинам-ремесленницам (им было предоставлено </w:t>
      </w:r>
      <w:r>
        <w:br/>
        <w:t>70 процентов фондов, выделенных в рамках обменных фондов НУР), они сталкиваются с некоторыми проблемами, в частности с такими, как низкая оплата труда, отсутствие квалифицированного руководства и трудности в сбыте товара, которые часто ставят их в зависимость от посредников.</w:t>
      </w:r>
    </w:p>
    <w:p w:rsidR="00000000" w:rsidRDefault="00000000">
      <w:r>
        <w:t>924.</w:t>
      </w:r>
      <w:r>
        <w:tab/>
        <w:t xml:space="preserve">Наконец, несмотря на активное участие в сельскохозяйственном труде, женщины в целом в незначительной степени пользовались программами предоставления кредитов для стимулирования производственной деятельности и лишь в последнее время были охвачены мерами по совершенствованию методов ведения сельского хозяйства. В основном только с началом реализации </w:t>
      </w:r>
      <w:r>
        <w:rPr>
          <w:lang w:val="en-US"/>
        </w:rPr>
        <w:t>VIII</w:t>
      </w:r>
      <w:r>
        <w:t xml:space="preserve"> плана (1992 год) было четко продемонстрировано стремление в самых различных областях действовать в интересах женщин, проживающих в сельской местности. </w:t>
      </w:r>
    </w:p>
    <w:p w:rsidR="00000000" w:rsidRDefault="00000000">
      <w:r>
        <w:t>925.</w:t>
      </w:r>
      <w:r>
        <w:tab/>
        <w:t>Таким образом, идет ли речь о том, как воспринимается деятельность женщин на уровне их семьи или ими самими, идет ли речь о статистике в области занятости или различных подходах к политике развития и совершенствования сельского хозяйства, все говорит об одном: труд женщин, проживающих в сельской местности, до последнего времени пользовался лишь ограниченным признанием.</w:t>
      </w:r>
    </w:p>
    <w:p w:rsidR="00000000" w:rsidRDefault="00000000">
      <w:pPr>
        <w:spacing w:before="240" w:line="240" w:lineRule="auto"/>
        <w:rPr>
          <w:b/>
          <w:sz w:val="28"/>
        </w:rPr>
      </w:pPr>
      <w:r>
        <w:rPr>
          <w:b/>
          <w:sz w:val="28"/>
          <w:lang w:val="en-US"/>
        </w:rPr>
        <w:t>II</w:t>
      </w:r>
      <w:r>
        <w:rPr>
          <w:b/>
          <w:sz w:val="28"/>
        </w:rPr>
        <w:t>.</w:t>
      </w:r>
      <w:r>
        <w:rPr>
          <w:b/>
          <w:sz w:val="28"/>
        </w:rPr>
        <w:tab/>
        <w:t>Национальные программы развития и борьбы с бедностью</w:t>
      </w:r>
    </w:p>
    <w:p w:rsidR="00000000" w:rsidRDefault="00000000">
      <w:r>
        <w:t>926.</w:t>
      </w:r>
      <w:r>
        <w:tab/>
        <w:t xml:space="preserve">Стремление активизировать интеграцию в процесс развития женщин, проживающих в сельской местности, стало находить все более четкое выражение начиная с принятия </w:t>
      </w:r>
      <w:r>
        <w:rPr>
          <w:lang w:val="en-US"/>
        </w:rPr>
        <w:t>VIII</w:t>
      </w:r>
      <w:r>
        <w:t xml:space="preserve"> плана развития (1992–</w:t>
      </w:r>
      <w:r>
        <w:br/>
        <w:t xml:space="preserve">1996 годы), провозгласившего необходимость включать в любой проект сельскохозяйственного и сельского развития компонент, учитывающий особые потребности сельских женщин. </w:t>
      </w:r>
    </w:p>
    <w:p w:rsidR="00000000" w:rsidRDefault="00000000">
      <w:r>
        <w:t>927.</w:t>
      </w:r>
      <w:r>
        <w:tab/>
        <w:t>Наблюдающаяся с 90-х годов эволюция различных действий в интересах женщин, проживающих в сельской местности, позволяет констатировать изменения в подходах, лежащих в основе этих действий, равно как и в структурах, которые призваны их осуществить. От преимущественно социальных эти подходы расширяются, дополняясь экономической и технической составляющими. Кроме того, круг организаций, которые выступают в поддержку женщин, проживающих в сельской местности, все время ширится, включая в себя не только Министерство социальных дел и Министерство сельского хозяйства, но также Министерство профессионального образования и занятости, Министерство по вопросам окружающей среды и т. д., а также неправительственные структуры.</w:t>
      </w:r>
    </w:p>
    <w:p w:rsidR="00000000" w:rsidRDefault="00000000">
      <w:r>
        <w:t>928.</w:t>
      </w:r>
      <w:r>
        <w:tab/>
      </w:r>
      <w:r>
        <w:rPr>
          <w:lang w:val="en-US"/>
        </w:rPr>
        <w:t>IX</w:t>
      </w:r>
      <w:r>
        <w:t xml:space="preserve"> план, составленный с учетом последствий экономической реструктуризации и выхода национальной экономики на международный рынок под знаком комплексного решения проблем, подкрепил этот выбор, включив содействие женским людским ресурсам в сельской местности в число стратегических целей пятилетки 1997–2001 годов.</w:t>
      </w:r>
    </w:p>
    <w:p w:rsidR="00000000" w:rsidRDefault="00000000">
      <w:pPr>
        <w:spacing w:before="120" w:line="260" w:lineRule="exact"/>
        <w:rPr>
          <w:b/>
          <w:sz w:val="22"/>
        </w:rPr>
      </w:pPr>
      <w:r>
        <w:rPr>
          <w:b/>
          <w:sz w:val="22"/>
          <w:lang w:val="en-US"/>
        </w:rPr>
        <w:t>II</w:t>
      </w:r>
      <w:r>
        <w:rPr>
          <w:b/>
          <w:sz w:val="22"/>
        </w:rPr>
        <w:t>.1.</w:t>
      </w:r>
      <w:r>
        <w:rPr>
          <w:b/>
          <w:sz w:val="22"/>
        </w:rPr>
        <w:tab/>
        <w:t>Государственные проекты</w:t>
      </w:r>
    </w:p>
    <w:p w:rsidR="00000000" w:rsidRDefault="00000000">
      <w:r>
        <w:t>929.</w:t>
      </w:r>
      <w:r>
        <w:tab/>
        <w:t>Разработанные новые стратегии сосредоточены вокруг двух основных направлений: создание особых механизмов и программ и модернизация существующих программ и инструментов.</w:t>
      </w:r>
    </w:p>
    <w:p w:rsidR="00000000" w:rsidRDefault="00000000">
      <w:pPr>
        <w:spacing w:before="120" w:line="260" w:lineRule="exact"/>
        <w:rPr>
          <w:b/>
          <w:sz w:val="22"/>
        </w:rPr>
      </w:pPr>
      <w:r>
        <w:rPr>
          <w:b/>
          <w:sz w:val="22"/>
          <w:lang w:val="en-US"/>
        </w:rPr>
        <w:t>II</w:t>
      </w:r>
      <w:r>
        <w:rPr>
          <w:b/>
          <w:sz w:val="22"/>
        </w:rPr>
        <w:t>.1.1.</w:t>
      </w:r>
      <w:r>
        <w:rPr>
          <w:b/>
          <w:sz w:val="22"/>
        </w:rPr>
        <w:tab/>
        <w:t>Проекты, реализуемые в рамках развития</w:t>
      </w:r>
    </w:p>
    <w:p w:rsidR="00000000" w:rsidRDefault="00000000">
      <w:pPr>
        <w:spacing w:after="180"/>
        <w:rPr>
          <w:b/>
        </w:rPr>
      </w:pPr>
      <w:r>
        <w:rPr>
          <w:b/>
        </w:rPr>
        <w:t>Региональная программа развития (РПР)</w:t>
      </w:r>
    </w:p>
    <w:p w:rsidR="00000000" w:rsidRDefault="00000000">
      <w:r>
        <w:t>930.</w:t>
      </w:r>
      <w:r>
        <w:tab/>
        <w:t>Региональная программа развития, осуществляемая Генеральным управлением регионального развития (ГУРЗ) и другими национальными и региональными учреждениями, имеет целью улучшение условий жизни (жилье, инфраструктуры) в наименее обеспеченных городских и сельских зонах, создание рабочих мест и увеличение их числа и источников доходов, обучение молодежи и ее вовлечение в жизнь общества, борьбу с безработицей и частичной занятостью.</w:t>
      </w:r>
    </w:p>
    <w:p w:rsidR="00000000" w:rsidRDefault="00000000">
      <w:r>
        <w:t>931.</w:t>
      </w:r>
      <w:r>
        <w:tab/>
        <w:t xml:space="preserve">Помимо проектов поддержки производственной деятельности женщин (в частности, это предоставление ткацких станков и швейных машин) специально в помощь девушкам в рамках программы РПР были организованы курсы обучения различным ремеслам. Эти программы реализуются региональными властями. Согласно статистическим данным, в течение 1993 года этими курсами обучения воспользовались </w:t>
      </w:r>
      <w:r>
        <w:br/>
        <w:t xml:space="preserve">5013 девушек, а в 1994 году их число составило 4300. </w:t>
      </w:r>
    </w:p>
    <w:p w:rsidR="00000000" w:rsidRDefault="00000000">
      <w:pPr>
        <w:spacing w:after="180"/>
        <w:rPr>
          <w:b/>
        </w:rPr>
      </w:pPr>
      <w:r>
        <w:rPr>
          <w:b/>
        </w:rPr>
        <w:t>Программа комплексного сельского развития (ПКСР)</w:t>
      </w:r>
    </w:p>
    <w:p w:rsidR="00000000" w:rsidRDefault="00000000">
      <w:pPr>
        <w:spacing w:after="200"/>
      </w:pPr>
      <w:r>
        <w:t>932.</w:t>
      </w:r>
      <w:r>
        <w:tab/>
        <w:t xml:space="preserve">Программа комплексного сельского развития (ПКСР), осуществляемая с середины 80-х годов под эгидой Генерального управления по региональному развитию в рамках </w:t>
      </w:r>
      <w:r>
        <w:rPr>
          <w:lang w:val="en-US"/>
        </w:rPr>
        <w:t>VIII</w:t>
      </w:r>
      <w:r>
        <w:t xml:space="preserve"> плана (1992–1996 годы), знаменовала собой новый подход, состоявший в том, чтобы комплексно учитывать различные аспекты сельского развития для обеспечения наибольшего успеха предпринимаемых шагов.</w:t>
      </w:r>
    </w:p>
    <w:p w:rsidR="00000000" w:rsidRDefault="00000000">
      <w:pPr>
        <w:spacing w:after="200"/>
      </w:pPr>
      <w:r>
        <w:t>933.</w:t>
      </w:r>
      <w:r>
        <w:tab/>
        <w:t>В качестве глав домохозяйств некоторые женщины воспользовались мерами по оказанию помощи сельскохозяйственным производителям, в частности в области садоводства, орошения и животноводства. В рамках подпрограммы "Мелкие ремесла" ПКСР женщины пользовались финансовой и технической поддержкой для развития приносящих доходы форм деятельности.</w:t>
      </w:r>
    </w:p>
    <w:p w:rsidR="00000000" w:rsidRDefault="00000000">
      <w:pPr>
        <w:spacing w:after="200"/>
      </w:pPr>
      <w:r>
        <w:t>934.</w:t>
      </w:r>
      <w:r>
        <w:tab/>
        <w:t xml:space="preserve">Второй этап ПКСР предусматривал более адресные шаги в отношении женщин. В период с 1994 года по 1999 год в рамках ПКСР предполагалось профинансировать около ста проектов. Первый транш, включавший 54 проекта, должен был обеспечить создание 20 тыс. рабочих мест, из которых 7 тыс., то есть 30 процентов, предназначались женщинам. </w:t>
      </w:r>
    </w:p>
    <w:p w:rsidR="00000000" w:rsidRDefault="00000000">
      <w:pPr>
        <w:spacing w:after="200"/>
      </w:pPr>
      <w:r>
        <w:t>935.</w:t>
      </w:r>
      <w:r>
        <w:tab/>
        <w:t>Помимо проектов в области производства большое значение для женщин имели и другие меры, направленные, в частности, на улучшение базовых инфраструктур и условий жизни (строительство дорог, школ, обеспечение питьевой водой, создание центров здоровья, электрификация).</w:t>
      </w:r>
    </w:p>
    <w:p w:rsidR="00000000" w:rsidRDefault="00000000">
      <w:pPr>
        <w:spacing w:after="180"/>
        <w:rPr>
          <w:b/>
        </w:rPr>
      </w:pPr>
      <w:r>
        <w:rPr>
          <w:b/>
        </w:rPr>
        <w:t>Программа комплексного городского развития (ПКГР)</w:t>
      </w:r>
    </w:p>
    <w:p w:rsidR="00000000" w:rsidRDefault="00000000">
      <w:r>
        <w:t>936.</w:t>
      </w:r>
      <w:r>
        <w:tab/>
        <w:t>ПКГР представляет собой новый тип проектов развития, объединяющий на региональном уровне городские и сельские проекты. Она действует на уровне жилых кварталов и имеет целью улучшить условия жизни населения путем реализации как проектов в области производства, создающих рабочие места, так и социальных проектов. Среди категорий населения, которые она охватывает, – женщины-домохозяйки, в частности имеющие профессиональную квалификацию. Ориентированные на них действия имеют целью развитие семейной экономики и надомной работы. В частности, речь идет о том, чтобы укреплять или создавать ремесленническую деятельность и благоприятствовать созданию женских микропредприятий. В сотрудничестве с Национальным управлением по ремеслам также предусмотрены дополнительные шаги в области профессиональной подготовки.</w:t>
      </w:r>
    </w:p>
    <w:p w:rsidR="00000000" w:rsidRDefault="00000000">
      <w:pPr>
        <w:spacing w:after="40"/>
      </w:pPr>
      <w:r>
        <w:t>937.</w:t>
      </w:r>
      <w:r>
        <w:tab/>
        <w:t>Опросы, проводимые в пригородных зонах, охваченных этой программой, подтвердили решающий вклад женщин в формирование семейных бюджетов. Для усиления экономической деятельности женщин и роста их вклада в процесс снижения уровня бедности в городских кварталах ПКГР выявила направления, специально рассчитанные на женщин:</w:t>
      </w:r>
    </w:p>
    <w:p w:rsidR="00000000" w:rsidRDefault="00000000">
      <w:pPr>
        <w:spacing w:after="40"/>
      </w:pPr>
      <w:r>
        <w:rPr>
          <w:lang w:val="en-US"/>
        </w:rPr>
        <w:tab/>
      </w:r>
      <w:r>
        <w:t>–</w:t>
      </w:r>
      <w:r>
        <w:tab/>
        <w:t>создание и укрепление кустарных промыслов;</w:t>
      </w:r>
    </w:p>
    <w:p w:rsidR="00000000" w:rsidRDefault="00000000">
      <w:r>
        <w:rPr>
          <w:lang w:val="en-US"/>
        </w:rPr>
        <w:tab/>
      </w:r>
      <w:r>
        <w:t>–</w:t>
      </w:r>
      <w:r>
        <w:tab/>
        <w:t>предоставление оборотных средств для финансирования производственной деятельности.</w:t>
      </w:r>
    </w:p>
    <w:p w:rsidR="00000000" w:rsidRDefault="00000000">
      <w:r>
        <w:t>938.</w:t>
      </w:r>
      <w:r>
        <w:tab/>
        <w:t xml:space="preserve">Для создания или развития кустарного производства женщинам выделяется субсидия в размере </w:t>
      </w:r>
      <w:r>
        <w:br/>
        <w:t xml:space="preserve">300 динаров и кредит в размере до 2700 динаров. Программой предусмотрено охватить 1210 женщин. Число микропроектов, реализованных до конца февраля 1996 года, составило 331, общая стоимость их реализации – 452 тыс. динаров. </w:t>
      </w:r>
    </w:p>
    <w:p w:rsidR="00000000" w:rsidRDefault="00000000">
      <w:r>
        <w:t>939.</w:t>
      </w:r>
      <w:r>
        <w:tab/>
        <w:t xml:space="preserve">Женщины-ремесленницы пользуются также оборотными средствами, выделяемыми Национальным управлением ремесел. Их размер устанавливается в зависимости от размера инвестиций. Программа предусматривает предоставление оборотных средств для 915 адресатов, из которых 632 уже получили такие средства на общую сумму 550 тыс. динаров. </w:t>
      </w:r>
    </w:p>
    <w:p w:rsidR="00000000" w:rsidRDefault="00000000">
      <w:r>
        <w:t>940.</w:t>
      </w:r>
      <w:r>
        <w:tab/>
        <w:t xml:space="preserve">Для поддержки деятельности ПКГР, ориентированной прежде всего на женщин, "был разработан план мер по содействию производительной занятости женщин из бедных кварталов". Цель этого плана – точнее обозначить мероприятия в рамках программы, основываясь на углубленных опросах женщин и лучшей координации с различными государственными партнерами. </w:t>
      </w:r>
    </w:p>
    <w:p w:rsidR="00000000" w:rsidRDefault="00000000">
      <w:r>
        <w:t>941.</w:t>
      </w:r>
      <w:r>
        <w:tab/>
        <w:t>Первый транш ПКГР охватывает 14 пилотных проектов, в том числе "Эззухур" (Кассерин), "Борги" (Кайруан) и "Эннаср" (Матур), которые начали осуществляться в 1994 году. Стоимость первого транша составляет 39 тыс. динаров, из которых 29 тыс. предназначаются для трех пилотных проектов. Второй транш охватывает 16 проектов средней стоимостью в 3 тыс. динаров каждый.</w:t>
      </w:r>
    </w:p>
    <w:p w:rsidR="00000000" w:rsidRDefault="00000000">
      <w:pPr>
        <w:spacing w:before="120" w:line="260" w:lineRule="exact"/>
        <w:rPr>
          <w:b/>
          <w:sz w:val="22"/>
        </w:rPr>
      </w:pPr>
      <w:r>
        <w:rPr>
          <w:b/>
          <w:sz w:val="22"/>
          <w:lang w:val="en-US"/>
        </w:rPr>
        <w:t>II</w:t>
      </w:r>
      <w:r>
        <w:rPr>
          <w:b/>
          <w:sz w:val="22"/>
        </w:rPr>
        <w:t>.1.2.</w:t>
      </w:r>
      <w:r>
        <w:rPr>
          <w:b/>
          <w:sz w:val="22"/>
        </w:rPr>
        <w:tab/>
        <w:t>Программы, разработанные Министерством сельского хозяйства</w:t>
      </w:r>
    </w:p>
    <w:p w:rsidR="00000000" w:rsidRDefault="00000000">
      <w:r>
        <w:t>942.</w:t>
      </w:r>
      <w:r>
        <w:tab/>
        <w:t xml:space="preserve">Приоритетами программ сельскохозяйственного развития в рамках </w:t>
      </w:r>
      <w:r>
        <w:rPr>
          <w:lang w:val="en-US"/>
        </w:rPr>
        <w:t>VIII</w:t>
      </w:r>
      <w:r>
        <w:t xml:space="preserve"> плана являлись такие цели, как самообеспечение продуктами питания и сокращение экономических и социальных различий между сельской и городской средой. Принятая стратегия развития основывалась на пяти направлениях: улучшение институциональных и экономических условий в сельском хозяйстве, претворение в жизнь отраслевых стратегий производства, улучшение условий жизни сельского населения, сохранение природной среды и обеспечение водными ресурсами. В рамках этой стратегии в ходе реализации </w:t>
      </w:r>
      <w:r>
        <w:rPr>
          <w:lang w:val="en-US"/>
        </w:rPr>
        <w:t>VIII</w:t>
      </w:r>
      <w:r>
        <w:t xml:space="preserve"> плана решался вопрос участия женщин в сельскохозяйственном развитии.</w:t>
      </w:r>
    </w:p>
    <w:p w:rsidR="00000000" w:rsidRDefault="00000000">
      <w:r>
        <w:t>943.</w:t>
      </w:r>
      <w:r>
        <w:tab/>
        <w:t>В настоящее время улучшение положения женщин и девушек, проживающих в сельской местности, является составной частью всех проектов комплексного сельского  развития, осуществляемых Министерством сельского хозяйства и финансируемых в рамках двустороннего и многостороннего финансового и технического сотрудничества. Специальные мероприятия по профессиональной подготовке и поощрению деятельности, обеспечивающей доход путем  реализации микропроектов, планируются и осуществляются при посредничестве НПО, которые привлечены к исполнению этой составной части проекта.</w:t>
      </w:r>
    </w:p>
    <w:p w:rsidR="00000000" w:rsidRDefault="00000000">
      <w:r>
        <w:t>944.</w:t>
      </w:r>
      <w:r>
        <w:tab/>
        <w:t xml:space="preserve">В рамках </w:t>
      </w:r>
      <w:r>
        <w:rPr>
          <w:lang w:val="en-US"/>
        </w:rPr>
        <w:t>IX</w:t>
      </w:r>
      <w:r>
        <w:t xml:space="preserve"> плана предусмотрена реализация десяти комплексных проектов, четыре из которых стартовали в 1998 году.</w:t>
      </w:r>
    </w:p>
    <w:p w:rsidR="00000000" w:rsidRDefault="00000000">
      <w:r>
        <w:t>945.</w:t>
      </w:r>
      <w:r>
        <w:tab/>
        <w:t>Три основные национальные программы – национальная стратегия по сохранению воды и почв, улучшение качества лесов и интенсификация выращивания культур на орошаемых землях – уделяют, в рамках  подхода, основанного на принципе участия, особое внимание интеграции женщин, их привлечению к управлению и к рациональному использованию природных ресурсов, а также увеличению их доходов. Крупные проекты развития включают действия, которые нацелены на производительную занятость женщин и одновременно на участие женщин в сохранении природных ресурсов и защите экосистем.</w:t>
      </w:r>
    </w:p>
    <w:p w:rsidR="00000000" w:rsidRDefault="00000000">
      <w:pPr>
        <w:spacing w:after="140"/>
      </w:pPr>
      <w:r>
        <w:t>946.</w:t>
      </w:r>
      <w:r>
        <w:tab/>
        <w:t>Составной частью многих пилотных проектов, реализованных Министерством сельского хозяйства, является программа "Женщины". В числе таких проектов:</w:t>
      </w:r>
    </w:p>
    <w:p w:rsidR="00000000" w:rsidRDefault="00000000">
      <w:pPr>
        <w:spacing w:after="140"/>
        <w:ind w:left="1021" w:hanging="1021"/>
      </w:pPr>
      <w:r>
        <w:rPr>
          <w:lang w:val="en-US"/>
        </w:rPr>
        <w:tab/>
      </w:r>
      <w:r>
        <w:t>–</w:t>
      </w:r>
      <w:r>
        <w:tab/>
        <w:t>Тунисско-алжирский пилотный проект по комплексному развитию бассейна верховий реки Меллег, осуществляемый в провинции Кассерин;</w:t>
      </w:r>
    </w:p>
    <w:p w:rsidR="00000000" w:rsidRDefault="00000000">
      <w:pPr>
        <w:spacing w:after="140"/>
      </w:pPr>
      <w:r>
        <w:tab/>
        <w:t>–</w:t>
      </w:r>
      <w:r>
        <w:tab/>
        <w:t>Проект сельскохозяйственного развития плато Сиди Мехедхеб (провинции Сфакс и Сиди-Бу-Зид);</w:t>
      </w:r>
    </w:p>
    <w:p w:rsidR="00000000" w:rsidRDefault="00000000">
      <w:pPr>
        <w:spacing w:after="140"/>
      </w:pPr>
      <w:r>
        <w:tab/>
        <w:t>–</w:t>
      </w:r>
      <w:r>
        <w:tab/>
        <w:t>Комплексный проект сельскохозяйственного развития северо-запада страны (провинция Кайруан);</w:t>
      </w:r>
    </w:p>
    <w:p w:rsidR="00000000" w:rsidRDefault="00000000">
      <w:pPr>
        <w:spacing w:after="140"/>
      </w:pPr>
      <w:r>
        <w:tab/>
        <w:t>–</w:t>
      </w:r>
      <w:r>
        <w:tab/>
        <w:t>Проект сельскохозяйственного развития юго-западной части провинции Эль-Кеф;</w:t>
      </w:r>
    </w:p>
    <w:p w:rsidR="00000000" w:rsidRDefault="00000000">
      <w:r>
        <w:tab/>
        <w:t>–</w:t>
      </w:r>
      <w:r>
        <w:tab/>
        <w:t>Проект защиты и развития лесных и пастбищных ресурсов (провинция Кайруан).</w:t>
      </w:r>
    </w:p>
    <w:p w:rsidR="00000000" w:rsidRDefault="00000000">
      <w:r>
        <w:t>947.</w:t>
      </w:r>
      <w:r>
        <w:tab/>
        <w:t>Программа "Женщины" включает три типа действий: действия, направленные на облегчение труда женщины путем ограничения нагрузки на природные ресурсы; действия по профессиональному обучению; действия производственного характера, направленные на развитие мелких сельскохозяйственных и животноводческих проектов.</w:t>
      </w:r>
    </w:p>
    <w:p w:rsidR="00000000" w:rsidRDefault="00000000">
      <w:pPr>
        <w:spacing w:before="120" w:line="260" w:lineRule="exact"/>
        <w:rPr>
          <w:b/>
          <w:sz w:val="22"/>
        </w:rPr>
      </w:pPr>
      <w:r>
        <w:rPr>
          <w:b/>
          <w:sz w:val="22"/>
          <w:lang w:val="en-US"/>
        </w:rPr>
        <w:t>II</w:t>
      </w:r>
      <w:r>
        <w:rPr>
          <w:b/>
          <w:sz w:val="22"/>
        </w:rPr>
        <w:t>.2.</w:t>
      </w:r>
      <w:r>
        <w:rPr>
          <w:b/>
          <w:sz w:val="22"/>
        </w:rPr>
        <w:tab/>
        <w:t>Вклад неправительственных организаций в развитие сельской местности</w:t>
      </w:r>
    </w:p>
    <w:p w:rsidR="00000000" w:rsidRDefault="00000000">
      <w:r>
        <w:t>948.</w:t>
      </w:r>
      <w:r>
        <w:tab/>
        <w:t>Многие неправительственные организации работают в сельской местности в таких областях, как образование, здравоохранение, развитие сельского хозяйства и ремесел. Деятельность НПО в области развития расширилась благодаря активизации с начала 90-х годов общественных структур.</w:t>
      </w:r>
    </w:p>
    <w:p w:rsidR="00000000" w:rsidRDefault="00000000">
      <w:r>
        <w:t>949.</w:t>
      </w:r>
      <w:r>
        <w:tab/>
      </w:r>
      <w:r>
        <w:rPr>
          <w:b/>
        </w:rPr>
        <w:t>Национальный союз тунисских женщин (НСТЖ)</w:t>
      </w:r>
      <w:r>
        <w:t xml:space="preserve"> действует через собственные региональные и местные структуры в области образования, профессионального обучения, участвуя в развитии и расширении досуговых мероприятий в сельской местности и пропаганде прав женщины. НСТЖ управляет многочисленными центрами профессиональной подготовки сельских девушек, расположенными во всех регионах Туниса. Эти центры (ткачество, шитье, вышивание и т. д.) ориентируются на обеспечение более качественного обучения, лучше отвечающего запросам региональной экономики и нуждам рынка занятости.</w:t>
      </w:r>
    </w:p>
    <w:p w:rsidR="00000000" w:rsidRDefault="00000000">
      <w:r>
        <w:t>950.</w:t>
      </w:r>
      <w:r>
        <w:tab/>
        <w:t>Центр профессиональной подготовки девушек в области современного сельского хозяйства при НСТЖ начал свою деятельность в 1995 году. Этот центр, финансируемый Программой арабских стран Залива для организаций системы Организации Объединенных Наций, занимающихся вопросами развития (АГФУНД), имеет двойное назначение: квалифицированное образование в области сельскохозяйственных технологий и подготовку девушек к предпринимательской деятельности в рамках сельскохозяйственных проектов. В этот центр принимаются девушки, которые имеют образование в объеме от шести лет начальной школы до уровня бакалавра. По завершении обучения, продолжительность которого составляет одиннадцать месяцев, девушки получают аттестат квалифицированных сельскохозяйственных работниц. Программа обучения включает такую дисциплину, как "создание микропроектов и управление ими". В этом контексте НСТЖ подписал три конвенции о партнерстве с ВТС, Министерством по делам женщин и семьи (МДЖС), ФНС .</w:t>
      </w:r>
    </w:p>
    <w:p w:rsidR="00000000" w:rsidRDefault="00000000">
      <w:r>
        <w:t>951.</w:t>
      </w:r>
      <w:r>
        <w:tab/>
        <w:t>170 образовательных центров для девушек, проживающих в сельской местности, функционировавшие ранее в рамках Программы сельского развития, были переподчинены НСТЖ. После оценки, проведенной ЮНФПА и Агентством по профессиональному обучению и занятости, было решено улучшить образовательные программы этих центров и превратить их, кроме того, еще и в производственные центры, с тем чтобы они могли существовать на принципе самофинансирования.</w:t>
      </w:r>
    </w:p>
    <w:p w:rsidR="00000000" w:rsidRDefault="00000000">
      <w:r>
        <w:t>952.</w:t>
      </w:r>
      <w:r>
        <w:tab/>
        <w:t>Центры НСТЖ осуществляют различные виды деятельности, в том числе создают классы по ликвидации неграмотности и способствуют улучшению экономического положения женщин, проживающих в сельской местности.</w:t>
      </w:r>
    </w:p>
    <w:p w:rsidR="00000000" w:rsidRDefault="00000000">
      <w:pPr>
        <w:spacing w:before="120" w:after="180"/>
        <w:rPr>
          <w:b/>
        </w:rPr>
      </w:pPr>
      <w:r>
        <w:rPr>
          <w:b/>
        </w:rPr>
        <w:t xml:space="preserve">Тунисский фонд общинного развития (ТФОР) </w:t>
      </w:r>
    </w:p>
    <w:p w:rsidR="00000000" w:rsidRDefault="00000000">
      <w:r>
        <w:t>953.</w:t>
      </w:r>
      <w:r>
        <w:tab/>
        <w:t>ТФОР осуществляет свою деятельность в центре страны. В рамках содействия общинному  развитию он проводит экспериментальные мероприятия по предоставлению неформального сельского кредита для финансирования производительной занятости женщин. ТФОР было поручено в различных правительственных проектах развития заниматься такими темами, как "женщины и общественная жизнь в сельской местности".</w:t>
      </w:r>
    </w:p>
    <w:p w:rsidR="00000000" w:rsidRDefault="00000000">
      <w:pPr>
        <w:spacing w:before="120" w:after="180"/>
        <w:rPr>
          <w:b/>
        </w:rPr>
      </w:pPr>
      <w:r>
        <w:rPr>
          <w:b/>
        </w:rPr>
        <w:t>Фонд АТЛАС в поддержку саморазвития и солидарности</w:t>
      </w:r>
    </w:p>
    <w:p w:rsidR="00000000" w:rsidRDefault="00000000">
      <w:r>
        <w:t>954.</w:t>
      </w:r>
      <w:r>
        <w:tab/>
        <w:t>Среди этих проектов следует упомянуть проект по эфиромасличному производству в регионе Аин-Драхам, охватывающий 160 женщин, которые получают профессиональную подготовку по технике эксплуатации и дистилляции лесных ароматических веществ. Предусмотрено производство продукции для продажи.</w:t>
      </w:r>
    </w:p>
    <w:p w:rsidR="00000000" w:rsidRDefault="00000000">
      <w:pPr>
        <w:spacing w:before="120" w:after="180"/>
        <w:rPr>
          <w:b/>
        </w:rPr>
      </w:pPr>
      <w:r>
        <w:rPr>
          <w:b/>
        </w:rPr>
        <w:t>Ассоциация  поддержки саморазвития (АПС)</w:t>
      </w:r>
    </w:p>
    <w:p w:rsidR="00000000" w:rsidRDefault="00000000">
      <w:r>
        <w:t>955.</w:t>
      </w:r>
      <w:r>
        <w:tab/>
        <w:t>Эта Ассоциация с 1994 года осуществляет проект поддержки женщин-ремесленниц в Уэсслатии, охватывающий 128 ремесленниц, выбранных НУР, с целью повышения их профессионального уровня и обучения методам более успешного сбыта их продукции.</w:t>
      </w:r>
    </w:p>
    <w:p w:rsidR="00000000" w:rsidRDefault="00000000">
      <w:pPr>
        <w:spacing w:after="180"/>
        <w:rPr>
          <w:b/>
        </w:rPr>
      </w:pPr>
      <w:r>
        <w:rPr>
          <w:b/>
        </w:rPr>
        <w:t>Тунисский союз в поддержку социальной солидарности (ТСПСС)</w:t>
      </w:r>
    </w:p>
    <w:p w:rsidR="00000000" w:rsidRDefault="00000000">
      <w:r>
        <w:t>956.</w:t>
      </w:r>
      <w:r>
        <w:tab/>
        <w:t xml:space="preserve">ТСПСС осуществляет мероприятия в области развития, связанные с разработкой проектов в области животноводства для девушек, прошедших обучение в центрах профессиональной подготовки для работы в сельском хозяйстве. Проект развития молочного животноводства, в котором специально предусмотрено участие женщин, был осуществлен в Эль-Джеме. Для оказания помощи малоимущим женщинам в регионе Мензель-Бургиба был разработан проект по переработке отходов текстильных фабрик.  Предусмотрено распространить его и на другие провинции в рамках соглашения с НСТЖ. ТСПСС создал швейные предприятия, управляемые девушками, окончившими центры профессиональной подготовки для сельских девушек. Эти предприятия, которые производят продукцию на продажу, ставят перед собой цель научить девушек управлять проектами производительного характера. Например, в районе Тхибар девушкам, получившим профессиональную подготовку в центрах для сельских девушек, были предоставлены кредиты на создание проектов в различных сферах деятельности. </w:t>
      </w:r>
    </w:p>
    <w:p w:rsidR="00000000" w:rsidRDefault="00000000">
      <w:pPr>
        <w:spacing w:after="180"/>
        <w:rPr>
          <w:b/>
        </w:rPr>
      </w:pPr>
      <w:r>
        <w:rPr>
          <w:b/>
        </w:rPr>
        <w:t>Ассоциация по развитию в сельской местности (АРОСМ)</w:t>
      </w:r>
    </w:p>
    <w:p w:rsidR="00000000" w:rsidRDefault="00000000">
      <w:r>
        <w:t>957.</w:t>
      </w:r>
      <w:r>
        <w:tab/>
        <w:t>АРОСМ содействует производительной занятости женщин в рамках проекта сельскохозяйственного развития в оазисе Тамегза (Таузар). В районе Калаат Андалус (Ариана) и Сауэфе (Загвун) она осуществляет проекты по разведению мелкого скота, в которых участвуют женщины. Эта НПО создала недавно в Сауэфе центр обучения для девушек, который функционирует с помощью НСТЖ.</w:t>
      </w:r>
    </w:p>
    <w:p w:rsidR="00000000" w:rsidRDefault="00000000">
      <w:pPr>
        <w:spacing w:after="180"/>
        <w:rPr>
          <w:b/>
        </w:rPr>
      </w:pPr>
      <w:r>
        <w:rPr>
          <w:b/>
        </w:rPr>
        <w:t>Ассоциация по улучшению положения в области занятости и жилья (АУПЗЖ)</w:t>
      </w:r>
    </w:p>
    <w:p w:rsidR="00000000" w:rsidRDefault="00000000">
      <w:r>
        <w:t>958.</w:t>
      </w:r>
      <w:r>
        <w:tab/>
        <w:t xml:space="preserve">В рамках проекта развития долины Аин-Драхам-Табарка Ассоциация создала центр профессиональной подготовки девушек в Уэд-Эзене. В центре предусмотрен двухгодичный курс обучения, первый год которого посвящен базовому образованию, а второй – специализированному обучению ткачеству и шитью. </w:t>
      </w:r>
    </w:p>
    <w:p w:rsidR="00000000" w:rsidRDefault="00000000">
      <w:pPr>
        <w:spacing w:after="180"/>
        <w:rPr>
          <w:b/>
        </w:rPr>
      </w:pPr>
      <w:r>
        <w:rPr>
          <w:b/>
        </w:rPr>
        <w:t>Фонд Эль-Кеф в поддержку регионального развития (ФЭКПРР)</w:t>
      </w:r>
    </w:p>
    <w:p w:rsidR="00000000" w:rsidRDefault="00000000">
      <w:pPr>
        <w:spacing w:after="40"/>
      </w:pPr>
      <w:r>
        <w:t>959.</w:t>
      </w:r>
      <w:r>
        <w:tab/>
        <w:t xml:space="preserve">ФЭКПРР осуществляет свою деятельность на северо-западе Туниса. В настоящее время он реализует два проекта в интересах сельских женщин: </w:t>
      </w:r>
    </w:p>
    <w:p w:rsidR="00000000" w:rsidRDefault="00000000">
      <w:pPr>
        <w:spacing w:after="40"/>
        <w:ind w:left="1021" w:hanging="1021"/>
      </w:pPr>
      <w:r>
        <w:rPr>
          <w:lang w:val="en-US"/>
        </w:rPr>
        <w:tab/>
      </w:r>
      <w:r>
        <w:t>–</w:t>
      </w:r>
      <w:r>
        <w:tab/>
        <w:t>первый проект проводится в рамках национальной стратегии, направленной на сокращение числа сельских девушек, бросающих школу, в наименее развитых зонах провинции Эль-Кеф;</w:t>
      </w:r>
    </w:p>
    <w:p w:rsidR="00000000" w:rsidRDefault="00000000">
      <w:pPr>
        <w:spacing w:after="200"/>
        <w:ind w:left="1021" w:hanging="1021"/>
      </w:pPr>
      <w:r>
        <w:rPr>
          <w:lang w:val="en-US"/>
        </w:rPr>
        <w:tab/>
      </w:r>
      <w:r>
        <w:t>–</w:t>
      </w:r>
      <w:r>
        <w:tab/>
        <w:t>второй проект направлен на развитие видов деятельности, приносящих доход, профессиональную подготовку женщин и развитие женских объединений в области кустарного производства и сельского хозяйства.</w:t>
      </w:r>
    </w:p>
    <w:p w:rsidR="00000000" w:rsidRDefault="00000000">
      <w:pPr>
        <w:spacing w:after="120"/>
        <w:rPr>
          <w:b/>
        </w:rPr>
      </w:pPr>
      <w:r>
        <w:rPr>
          <w:b/>
        </w:rPr>
        <w:t>Тунисская ассоциация матерей (ТАМ)</w:t>
      </w:r>
    </w:p>
    <w:p w:rsidR="00000000" w:rsidRDefault="00000000">
      <w:r>
        <w:t>960.</w:t>
      </w:r>
      <w:r>
        <w:tab/>
        <w:t>ТАМ действует в основном в наиболее неблагоприятных сельских районах, в частности, в "теневых зонах", которым особое внимание уделяет Фонд национальной солидарности 26–26. Деятельность Ассоциации нацелена на оказание социальной помощи, повышение роли семейных пособий и помощи сельским девушкам, находящимся в трудной ситуации. ТАМ также периодически организует поездки многопрофильных автопоездов, с тем чтобы приблизить к месту проживания сельских женщин услуги в области репродуктивного здоровья, базового здравоохранения, а также помощи юридического характера.</w:t>
      </w:r>
    </w:p>
    <w:p w:rsidR="00000000" w:rsidRDefault="00000000">
      <w:pPr>
        <w:spacing w:after="180"/>
        <w:rPr>
          <w:b/>
        </w:rPr>
      </w:pPr>
      <w:r>
        <w:rPr>
          <w:b/>
        </w:rPr>
        <w:t>Межарабская организация "Окружающая среда и развитие" (ОСР)</w:t>
      </w:r>
    </w:p>
    <w:p w:rsidR="00000000" w:rsidRDefault="00000000">
      <w:r>
        <w:t>961.</w:t>
      </w:r>
      <w:r>
        <w:tab/>
        <w:t>Эта ассоциация, которая официально оформилась в марте 1999 года (основу межарабской организации ОСР составила секция международной организации ОСР), осуществляет с 1995 года проект комплексного развития пригородных кварталов Хэй Этадхамен на северо-западе Туниса, ориентированный в первую очередь на женщин — глав домохозяйств и безработных девушек. Проект включает три компонента: поддержку микропредприятий (предоставление микрокредитов, профессиональная подготовка руководителей микропредприятий, техническая помощь и надзор), поддержку экономической и социальной интеграции (общее и профессиональное обучение, ликвидация неграмотности и культурная деятельность), а также в качестве составляющей части просвещение в области санитарии, начатое в 1999 году.</w:t>
      </w:r>
    </w:p>
    <w:p w:rsidR="00000000" w:rsidRDefault="00000000">
      <w:pPr>
        <w:spacing w:after="180"/>
        <w:rPr>
          <w:b/>
        </w:rPr>
      </w:pPr>
      <w:r>
        <w:rPr>
          <w:b/>
        </w:rPr>
        <w:t>Деятельность женщин в поддержку долгосрочного развития (ДЖПДР)</w:t>
      </w:r>
    </w:p>
    <w:p w:rsidR="00000000" w:rsidRDefault="00000000">
      <w:r>
        <w:t xml:space="preserve">962. </w:t>
      </w:r>
      <w:r>
        <w:rPr>
          <w:lang w:val="en-US"/>
        </w:rPr>
        <w:tab/>
      </w:r>
      <w:r>
        <w:t>ДЖПДР осуществляет проект долгосрочного развития и защиты природы в зоне Абделадхима в провинции Кассерин (центральная часть западного района страны). Цель этого проекта – создать источники доходов, уменьшив при этом давление на естественные ресурсы. Эта деятельность охватывает 253 малоимущие семьи и состоит, в частности, в обучении женщин основам пчеловодства, садоводства, кустарного производства, равно как в технической и финансовой поддержке при создании микропроектов.</w:t>
      </w:r>
    </w:p>
    <w:p w:rsidR="00000000" w:rsidRDefault="00000000">
      <w:pPr>
        <w:spacing w:before="120" w:line="260" w:lineRule="exact"/>
        <w:rPr>
          <w:b/>
          <w:sz w:val="22"/>
        </w:rPr>
      </w:pPr>
      <w:r>
        <w:rPr>
          <w:b/>
          <w:sz w:val="22"/>
          <w:lang w:val="en-US"/>
        </w:rPr>
        <w:t>II</w:t>
      </w:r>
      <w:r>
        <w:rPr>
          <w:b/>
          <w:sz w:val="22"/>
        </w:rPr>
        <w:t>.3.</w:t>
      </w:r>
      <w:r>
        <w:rPr>
          <w:b/>
          <w:sz w:val="22"/>
        </w:rPr>
        <w:tab/>
        <w:t>Национальные программы социальной помощи</w:t>
      </w:r>
    </w:p>
    <w:p w:rsidR="00000000" w:rsidRDefault="00000000">
      <w:pPr>
        <w:spacing w:after="180"/>
        <w:rPr>
          <w:b/>
        </w:rPr>
      </w:pPr>
      <w:r>
        <w:rPr>
          <w:b/>
        </w:rPr>
        <w:t>Эффективные проекты социальной помощи</w:t>
      </w:r>
    </w:p>
    <w:p w:rsidR="00000000" w:rsidRDefault="00000000">
      <w:r>
        <w:t>963.</w:t>
      </w:r>
      <w:r>
        <w:tab/>
        <w:t xml:space="preserve">Помимо оказания непосредственной помощи нуждающимся семьям Министерство социальных дел в 1990 году организовало один из проектов производительного характера, нацеленный на улучшение положения неполных семей в провинции Кайруан и ориентирующийся на женщин — глав семей. В этом проекте участвуют женщины, получающие помощь в рамках национальной программы помощи нуждающимся семьям и располагающие земельным участком размером не менее двух гектаров. Проект, который предоставляет средства для деятельности в области лесоводства и производства злаковых, охватывает 223 женщины. </w:t>
      </w:r>
    </w:p>
    <w:p w:rsidR="00000000" w:rsidRDefault="00000000">
      <w:r>
        <w:t>964.</w:t>
      </w:r>
      <w:r>
        <w:tab/>
      </w:r>
      <w:r>
        <w:rPr>
          <w:spacing w:val="-2"/>
        </w:rPr>
        <w:t>Другие проекты, построенные на подобном подходе комплексного развития, были осуществлены в регионах Джендуба, Силиана, Табарка, равно как в провинции Ариана, в Хай Этадхамене. Эти проекты распространяются на сельское хозяйство, животноводство, ремесленничество. Наиболее значительный из них – проект</w:t>
      </w:r>
      <w:r>
        <w:t xml:space="preserve"> в Рейхане (регион Табарки) затрагивает 115 человек, среди которых 60 женщин. В целом бюджетные средства, выделенные на различные комплексные проекты, достигают 590 тыс. динаров, из которых примерно треть – 185 тыс. динаров – пошла на нужды женщин – глав семей.</w:t>
      </w:r>
    </w:p>
    <w:p w:rsidR="00000000" w:rsidRDefault="00000000">
      <w:pPr>
        <w:spacing w:before="120" w:line="240" w:lineRule="auto"/>
        <w:rPr>
          <w:b/>
          <w:sz w:val="28"/>
        </w:rPr>
      </w:pPr>
      <w:r>
        <w:rPr>
          <w:b/>
          <w:sz w:val="28"/>
          <w:lang w:val="en-US"/>
        </w:rPr>
        <w:t>III</w:t>
      </w:r>
      <w:r>
        <w:rPr>
          <w:b/>
          <w:sz w:val="28"/>
        </w:rPr>
        <w:t>.</w:t>
      </w:r>
      <w:r>
        <w:rPr>
          <w:b/>
          <w:sz w:val="28"/>
        </w:rPr>
        <w:tab/>
        <w:t>Механизмы финансирования и поощрения</w:t>
      </w:r>
    </w:p>
    <w:p w:rsidR="00000000" w:rsidRDefault="00000000">
      <w:r>
        <w:t>965.</w:t>
      </w:r>
      <w:r>
        <w:tab/>
        <w:t>В целях поощрения капиталовложений в сельскую местность и сельское хозяйство начиная с 80-х годов были созданы многочисленные механизмы, с тем чтобы содействовать, в частности, развитию мелких и средних предприятий в различных сферах деятельности. Тем не менее эти механизмы лишь в малой степени помогали продвижению проектов, способствующих производительной занятости женщин.</w:t>
      </w:r>
    </w:p>
    <w:p w:rsidR="00000000" w:rsidRDefault="00000000">
      <w:pPr>
        <w:spacing w:after="200"/>
      </w:pPr>
      <w:r>
        <w:t>966.</w:t>
      </w:r>
      <w:r>
        <w:tab/>
        <w:t xml:space="preserve">В рамках деятельности Агентства по поощрению инвестиций в сельское хозяйство созданного в </w:t>
      </w:r>
      <w:r>
        <w:br/>
        <w:t xml:space="preserve">1983 году, чтобы способствовать развитию производительных проектов в области сельского хозяйства, определенное число проектов было претворено в жизнь женщинами-фермерами. Но их доля остается очень низкой (менее 3 процентов от общего числа подобных проектов), несмотря на заметно увеличившееся число одобренных Агентством проектов, представленных женщинами в последние годы (111 проектов с 1988 по </w:t>
      </w:r>
      <w:r>
        <w:br/>
        <w:t>1992 год, 182 проекта – с 1992 по 1996 год по сравнению с лишь 17 проектами в период 1985–1987 годов).</w:t>
      </w:r>
    </w:p>
    <w:p w:rsidR="00000000" w:rsidRDefault="00000000">
      <w:pPr>
        <w:spacing w:after="200"/>
      </w:pPr>
      <w:r>
        <w:t>967.</w:t>
      </w:r>
      <w:r>
        <w:tab/>
        <w:t>Другие фонды, такие как Комплексный сельский фонд и Национальный фонд ремесленничества и кустарного производства ФОНАПРАМ (13 процентов), лишь в очень незначительной степени оказали помощь женщинам, проживающим в сельской местности, так как они представляют всего 5,6 процента руководителей фермерских хозяйств и не обладают достаточными гарантиями для получения банковских кредитов.</w:t>
      </w:r>
    </w:p>
    <w:p w:rsidR="00000000" w:rsidRDefault="00000000">
      <w:pPr>
        <w:spacing w:after="200"/>
        <w:rPr>
          <w:spacing w:val="4"/>
        </w:rPr>
      </w:pPr>
      <w:r>
        <w:t>968.</w:t>
      </w:r>
      <w:r>
        <w:tab/>
      </w:r>
      <w:r>
        <w:rPr>
          <w:spacing w:val="4"/>
        </w:rPr>
        <w:t xml:space="preserve">Оборотный фонд НУР выделяет до 70 процентов средств женщинам-ремесленницам. С 1989 по </w:t>
      </w:r>
      <w:r>
        <w:rPr>
          <w:spacing w:val="4"/>
        </w:rPr>
        <w:br/>
        <w:t>1994 год 7800 ремесленниц воспользовались оборотными средствами НУР на сумму в 7,8 тыс. динаров из общей выделенной суммы в 10,8 тыс. динаров, что составило 72,2 процента. В 1995 году объем оборотных средств, предоставляемых женщинам, достиг 2,5 млн. динаров от общей суммы в размере</w:t>
      </w:r>
      <w:r>
        <w:rPr>
          <w:spacing w:val="4"/>
        </w:rPr>
        <w:br/>
        <w:t>3,16 млн. динаров, выделенных на 3056 проектов. Предоставляемые оборотные средства варьируются от 500 до 2000 динаров.</w:t>
      </w:r>
    </w:p>
    <w:p w:rsidR="00000000" w:rsidRDefault="00000000">
      <w:r>
        <w:t>969.</w:t>
      </w:r>
      <w:r>
        <w:tab/>
        <w:t>В общей сумме средств, предоставляемых фондами НУР для развития ремесленничества, доля выделяемых женщинам денег постоянно растет.</w:t>
      </w:r>
    </w:p>
    <w:p w:rsidR="00000000" w:rsidRDefault="00000000">
      <w:r>
        <w:t>970.</w:t>
      </w:r>
      <w:r>
        <w:tab/>
        <w:t xml:space="preserve">НУР оказывает также поддержку мероприятиям в рамках различных программ развития. Так, в </w:t>
      </w:r>
      <w:r>
        <w:br/>
        <w:t xml:space="preserve">1995 году 250 кредитов для оборотных средств на сумму 220 млн. динаров были предоставлены для поддержки так называемых "теневых зон", в то время как 370 кредитов на 350 млн. динаров были направлены в рамках программы развития городских кварталов. </w:t>
      </w:r>
    </w:p>
    <w:p w:rsidR="00000000" w:rsidRDefault="00000000">
      <w:r>
        <w:t>971.</w:t>
      </w:r>
      <w:r>
        <w:tab/>
        <w:t>Женщины и девушки, занятые в мастерских НУР, равно как и те, что работают на дому либо самостоятельно, либо на условиях субподрядчика, чаще всего пользовались возможностями профессиональной подготовки в различных центрах НУР и НСТЖ, а также в рамках программ сельского развития. Большинство имеют начальный уровень образования.</w:t>
      </w:r>
    </w:p>
    <w:p w:rsidR="00000000" w:rsidRDefault="00000000">
      <w:pPr>
        <w:spacing w:before="240" w:line="240" w:lineRule="auto"/>
        <w:rPr>
          <w:b/>
          <w:sz w:val="28"/>
        </w:rPr>
      </w:pPr>
      <w:r>
        <w:rPr>
          <w:b/>
          <w:sz w:val="28"/>
        </w:rPr>
        <w:t>IV.</w:t>
      </w:r>
      <w:r>
        <w:rPr>
          <w:b/>
          <w:sz w:val="28"/>
        </w:rPr>
        <w:tab/>
        <w:t>Новые механизмы</w:t>
      </w:r>
    </w:p>
    <w:p w:rsidR="00000000" w:rsidRDefault="00000000">
      <w:r>
        <w:t>972.</w:t>
      </w:r>
      <w:r>
        <w:tab/>
        <w:t>Механизмы финансирования и общинного развития заставили государство увеличить средства на развитие некоторых регионов, делая при этом ставку на самофинансирование и предпринимательский дух охваченного населения.</w:t>
      </w:r>
    </w:p>
    <w:p w:rsidR="00000000" w:rsidRDefault="00000000">
      <w:r>
        <w:t>973.</w:t>
      </w:r>
      <w:r>
        <w:tab/>
        <w:t>Как следствие в 90-х годах создаются Фонд национальной солидарности и Тунисский банк солидарности, подтверждая тем самым заботу государства о поддержке беднейшей части населения и его обязательства в отношении глобального подхода к правам личности, подразумевающего борьбу против всех форм социальной дискриминации и гарантирование всем права на надлежащие условия жизни и достоинство.</w:t>
      </w:r>
    </w:p>
    <w:p w:rsidR="00000000" w:rsidRDefault="00000000">
      <w:pPr>
        <w:spacing w:before="120" w:line="260" w:lineRule="exact"/>
        <w:rPr>
          <w:b/>
          <w:sz w:val="22"/>
        </w:rPr>
      </w:pPr>
      <w:r>
        <w:rPr>
          <w:b/>
          <w:sz w:val="22"/>
          <w:lang w:val="en-US"/>
        </w:rPr>
        <w:t>IV</w:t>
      </w:r>
      <w:r>
        <w:rPr>
          <w:b/>
          <w:sz w:val="22"/>
        </w:rPr>
        <w:t>.1.</w:t>
      </w:r>
      <w:r>
        <w:rPr>
          <w:b/>
          <w:sz w:val="22"/>
        </w:rPr>
        <w:tab/>
        <w:t>Фонд национальной солидарности 26–26</w:t>
      </w:r>
    </w:p>
    <w:p w:rsidR="00000000" w:rsidRDefault="00000000">
      <w:r>
        <w:t>974.</w:t>
      </w:r>
      <w:r>
        <w:tab/>
        <w:t>Созданный в 1993 году по инициативе Президента Республики Зин аль-Абидина бен Али Фонд национальной солидарности финансирует реализацию проектов, касающихся базовой инфраструктуры (обеспечение питьевой водой, электрификация, строительство проселочных дорог и автотрасс, жилищное строительство, школы и больницы), и создание микропроектов (сельское хозяйство, ремесла, кустарничество) в зонах, не имеющих базовой инфраструктуры или обладающих слабым экономическим потенциалом, а порой вообще его лишенных. Проекты 26–26 поддерживаются специальными программами, осуществляемыми различными департаментами.</w:t>
      </w:r>
    </w:p>
    <w:p w:rsidR="00000000" w:rsidRDefault="00000000">
      <w:r>
        <w:t>975.</w:t>
      </w:r>
      <w:r>
        <w:tab/>
        <w:t xml:space="preserve">Эти зоны, более известные под названием "теневые зоны", были включены в план действий, охватывающий период с 1993 по 2000 год. Число таких зон составляет 1144, в них проживают примерно </w:t>
      </w:r>
      <w:r>
        <w:br/>
        <w:t>200 тыс. семей. Стоимость осуществления проектов, включенных в этот план, оценивается в 500 млн. динаров, из которых 100 млн. динаров выделены на осуществление микропроектов.</w:t>
      </w:r>
    </w:p>
    <w:p w:rsidR="00000000" w:rsidRDefault="00000000">
      <w:r>
        <w:t>976.</w:t>
      </w:r>
      <w:r>
        <w:tab/>
        <w:t>ФНС оказывает помощь женщинам либо непосредственно, либо косвенным образом. Так, проекты, касающиеся снабжения питьевой водой (1993–1997 годы), охватывали около 50 тыс. семей. В результате женщины либо вообще были освобождены от тяжелой обязанности доставки питьевой воды, что занимало у них практически весь день, не говоря уже о связанной с этим усталости, благодаря подсоединению жилищ к водопроводной сети СОНЕДЕ, либо получили возможность набирать питьевую воду в пределах разумных расстояний (не более одного километра) в результате установки водоразборных колонок, находящихся в управлении Ассоциаций коллективных интересов (АКИ).</w:t>
      </w:r>
    </w:p>
    <w:p w:rsidR="00000000" w:rsidRDefault="00000000">
      <w:r>
        <w:t>977.</w:t>
      </w:r>
      <w:r>
        <w:tab/>
        <w:t xml:space="preserve">Кроме того, строительство 2011 км проселочных дорог, в результате чего было ликвидировано само понятие анклавов в данных зонах и стал возможным проезд автомобилей и людей в любую погоду, способствуя таким образом сокращению числа смертных случаев, особенно среди беременных женщин, которые прежде страдали из-за недосягаемости их мест проживания, особенно во время сезона дождей.   </w:t>
      </w:r>
    </w:p>
    <w:p w:rsidR="00000000" w:rsidRDefault="00000000">
      <w:pPr>
        <w:rPr>
          <w:spacing w:val="-4"/>
        </w:rPr>
      </w:pPr>
      <w:r>
        <w:t>978.</w:t>
      </w:r>
      <w:r>
        <w:tab/>
      </w:r>
      <w:r>
        <w:rPr>
          <w:spacing w:val="-4"/>
        </w:rPr>
        <w:t>Строительство и оборудование 94 школ увязано с проектами строительства автотрасс и проселочных дорог, в результате чего девочкам гарантируется доступ к непрерывному образованию, что является формой борьбы с неграмотностью, уровень которой до настоящего времени был довольно высоким среди сельских женщин.</w:t>
      </w:r>
    </w:p>
    <w:p w:rsidR="00000000" w:rsidRDefault="00000000">
      <w:r>
        <w:t>979.</w:t>
      </w:r>
      <w:r>
        <w:tab/>
        <w:t>Строительство 85 центров первичной медицинской помощи и улучшение и строительство новых жилищ (12 426) способствуют обеспечению для женщин здоровой окружающей среды и доступа к различным медицинским услугам профилактического характера (вакцинации) и лечению. Эти центры получили в свое распоряжение материальные и человеческие ресурсы, позволяющие предоставить гражданам минимальный набор первичных медицинских услуг.</w:t>
      </w:r>
    </w:p>
    <w:p w:rsidR="00000000" w:rsidRDefault="00000000">
      <w:r>
        <w:t>980.</w:t>
      </w:r>
      <w:r>
        <w:tab/>
        <w:t xml:space="preserve">Начиная с 1995 года Фонд способствует созданию проектов в области приносящей доход деятельности. 31 тыс. микропроектов были осуществлены с 1995 по 1997 год, 68 процентов из них связаны с сельским хозяйством. Сельские женщины смогли непосредственно воспользоваться проектами в сфере кустарного производства, которые составили 26 процентов от общего числа проектов, и косвенным образом сельскохозяйственными проектами, приносящими доход сельским семьям. </w:t>
      </w:r>
    </w:p>
    <w:p w:rsidR="00000000" w:rsidRDefault="00000000">
      <w:r>
        <w:t>981.</w:t>
      </w:r>
      <w:r>
        <w:tab/>
        <w:t>Фонд также проводит работу с сельскими девушками, которые получили профессиональную подготовку в центрах для девушек, проживающих в сельской местности. Например, были предоставлены микрокредиты (от 3 до 6 тыс. динаров) девушкам, получившим диплом Современного центра сельскохозяйственной подготовки в Шебедде, находящегося в ведении НСТЖ, и все это в рамках соглашения о партнерстве на период 1998–1999 годов, охватывающего 160 девушек.</w:t>
      </w:r>
    </w:p>
    <w:p w:rsidR="00000000" w:rsidRDefault="00000000">
      <w:pPr>
        <w:spacing w:before="120"/>
        <w:rPr>
          <w:b/>
          <w:sz w:val="22"/>
        </w:rPr>
      </w:pPr>
      <w:r>
        <w:rPr>
          <w:b/>
          <w:sz w:val="22"/>
          <w:lang w:val="en-US"/>
        </w:rPr>
        <w:t>IV</w:t>
      </w:r>
      <w:r>
        <w:rPr>
          <w:b/>
          <w:sz w:val="22"/>
        </w:rPr>
        <w:t>.2.</w:t>
      </w:r>
      <w:r>
        <w:rPr>
          <w:b/>
          <w:sz w:val="22"/>
        </w:rPr>
        <w:tab/>
        <w:t>Тунисский банк солидарности (ТБС)</w:t>
      </w:r>
    </w:p>
    <w:p w:rsidR="00000000" w:rsidRDefault="00000000">
      <w:r>
        <w:t>982.</w:t>
      </w:r>
      <w:r>
        <w:tab/>
        <w:t>Создание в декабре 1997 года ТБС стало ответом на потребности мелких предпринимателей, учитывая трудности, с которыми они сталкиваются, и позволило им преодолевать препятствия в плане доступа к обычным источникам финансирования. Например, после создания Банка женщины смогли обеспечить финансирование 27,1 процента проектов, то есть 5988 проектов из общего числа 22 095. Проекты в сельском хозяйстве и кустарном производстве – двух секторах, в которых в основном заняты сельские женщины, составили 12,9 процента от всех проектов, осуществленных женщинами.</w:t>
      </w:r>
    </w:p>
    <w:p w:rsidR="00000000" w:rsidRDefault="00000000">
      <w:r>
        <w:t>983.</w:t>
      </w:r>
      <w:r>
        <w:tab/>
        <w:t>Исходя из географического распределения, на Большой Тунис и северо-восток страны приходится более половины всех проектов. Тем не менее на два региона с преимущественно сельским населением (северо-западный и центральная часть западного) пришлось около четверти финансируемых ТБС проектов с участием женщин.</w:t>
      </w:r>
    </w:p>
    <w:p w:rsidR="00000000" w:rsidRDefault="00000000">
      <w:pPr>
        <w:jc w:val="center"/>
        <w:rPr>
          <w:b/>
        </w:rPr>
      </w:pPr>
      <w:r>
        <w:rPr>
          <w:b/>
        </w:rPr>
        <w:t>Распределение женщин – бенефициаров ТБС по районам</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1077"/>
        <w:gridCol w:w="1247"/>
        <w:gridCol w:w="1134"/>
        <w:gridCol w:w="1361"/>
        <w:gridCol w:w="1418"/>
      </w:tblGrid>
      <w:tr w:rsidR="00000000">
        <w:tblPrEx>
          <w:tblCellMar>
            <w:top w:w="0" w:type="dxa"/>
            <w:bottom w:w="0" w:type="dxa"/>
          </w:tblCellMar>
        </w:tblPrEx>
        <w:trPr>
          <w:jc w:val="center"/>
        </w:trPr>
        <w:tc>
          <w:tcPr>
            <w:tcW w:w="1701" w:type="dxa"/>
          </w:tcPr>
          <w:p w:rsidR="00000000" w:rsidRDefault="00000000">
            <w:pPr>
              <w:spacing w:before="40" w:after="40" w:line="220" w:lineRule="exact"/>
              <w:jc w:val="left"/>
              <w:rPr>
                <w:b/>
                <w:sz w:val="18"/>
              </w:rPr>
            </w:pPr>
            <w:r>
              <w:rPr>
                <w:b/>
                <w:sz w:val="18"/>
              </w:rPr>
              <w:t>Район</w:t>
            </w:r>
          </w:p>
        </w:tc>
        <w:tc>
          <w:tcPr>
            <w:tcW w:w="1077" w:type="dxa"/>
          </w:tcPr>
          <w:p w:rsidR="00000000" w:rsidRDefault="00000000">
            <w:pPr>
              <w:spacing w:before="40" w:after="40" w:line="220" w:lineRule="exact"/>
              <w:jc w:val="center"/>
              <w:rPr>
                <w:b/>
                <w:sz w:val="18"/>
              </w:rPr>
            </w:pPr>
            <w:r>
              <w:rPr>
                <w:b/>
                <w:sz w:val="18"/>
              </w:rPr>
              <w:t>Число кредитов</w:t>
            </w:r>
          </w:p>
        </w:tc>
        <w:tc>
          <w:tcPr>
            <w:tcW w:w="1247" w:type="dxa"/>
          </w:tcPr>
          <w:p w:rsidR="00000000" w:rsidRDefault="00000000">
            <w:pPr>
              <w:spacing w:before="40" w:after="40" w:line="220" w:lineRule="exact"/>
              <w:jc w:val="center"/>
              <w:rPr>
                <w:b/>
                <w:sz w:val="18"/>
              </w:rPr>
            </w:pPr>
            <w:r>
              <w:rPr>
                <w:b/>
                <w:sz w:val="18"/>
              </w:rPr>
              <w:t>Процентная доля</w:t>
            </w:r>
          </w:p>
        </w:tc>
        <w:tc>
          <w:tcPr>
            <w:tcW w:w="1134" w:type="dxa"/>
          </w:tcPr>
          <w:p w:rsidR="00000000" w:rsidRDefault="00000000">
            <w:pPr>
              <w:spacing w:before="40" w:after="40" w:line="220" w:lineRule="exact"/>
              <w:jc w:val="center"/>
              <w:rPr>
                <w:b/>
                <w:sz w:val="18"/>
              </w:rPr>
            </w:pPr>
            <w:r>
              <w:rPr>
                <w:b/>
                <w:sz w:val="18"/>
              </w:rPr>
              <w:t>Средняя сумма кредитов</w:t>
            </w:r>
          </w:p>
        </w:tc>
        <w:tc>
          <w:tcPr>
            <w:tcW w:w="1361" w:type="dxa"/>
          </w:tcPr>
          <w:p w:rsidR="00000000" w:rsidRDefault="00000000">
            <w:pPr>
              <w:spacing w:before="40" w:after="40" w:line="220" w:lineRule="exact"/>
              <w:jc w:val="center"/>
              <w:rPr>
                <w:b/>
                <w:sz w:val="18"/>
              </w:rPr>
            </w:pPr>
            <w:r>
              <w:rPr>
                <w:b/>
                <w:sz w:val="18"/>
              </w:rPr>
              <w:t xml:space="preserve">Самофинан-сирование </w:t>
            </w:r>
            <w:r>
              <w:rPr>
                <w:b/>
                <w:sz w:val="18"/>
              </w:rPr>
              <w:br/>
              <w:t>в среднем</w:t>
            </w:r>
          </w:p>
        </w:tc>
        <w:tc>
          <w:tcPr>
            <w:tcW w:w="1418" w:type="dxa"/>
          </w:tcPr>
          <w:p w:rsidR="00000000" w:rsidRDefault="00000000">
            <w:pPr>
              <w:spacing w:before="40" w:after="40" w:line="220" w:lineRule="exact"/>
              <w:jc w:val="center"/>
              <w:rPr>
                <w:b/>
                <w:sz w:val="18"/>
              </w:rPr>
            </w:pPr>
            <w:r>
              <w:rPr>
                <w:b/>
                <w:sz w:val="18"/>
              </w:rPr>
              <w:t>Число созданных рабочих мест</w:t>
            </w:r>
          </w:p>
        </w:tc>
      </w:tr>
      <w:tr w:rsidR="00000000">
        <w:tblPrEx>
          <w:tblCellMar>
            <w:top w:w="0" w:type="dxa"/>
            <w:bottom w:w="0" w:type="dxa"/>
          </w:tblCellMar>
        </w:tblPrEx>
        <w:trPr>
          <w:jc w:val="center"/>
        </w:trPr>
        <w:tc>
          <w:tcPr>
            <w:tcW w:w="1701" w:type="dxa"/>
          </w:tcPr>
          <w:p w:rsidR="00000000" w:rsidRDefault="00000000">
            <w:pPr>
              <w:spacing w:before="40" w:after="40" w:line="220" w:lineRule="exact"/>
              <w:jc w:val="left"/>
              <w:rPr>
                <w:sz w:val="18"/>
              </w:rPr>
            </w:pPr>
            <w:r>
              <w:rPr>
                <w:sz w:val="18"/>
              </w:rPr>
              <w:t>северо-восточный</w:t>
            </w:r>
          </w:p>
        </w:tc>
        <w:tc>
          <w:tcPr>
            <w:tcW w:w="1077" w:type="dxa"/>
          </w:tcPr>
          <w:p w:rsidR="00000000" w:rsidRDefault="00000000">
            <w:pPr>
              <w:tabs>
                <w:tab w:val="clear" w:pos="680"/>
                <w:tab w:val="clear" w:pos="1021"/>
                <w:tab w:val="decimal" w:pos="598"/>
              </w:tabs>
              <w:spacing w:before="40" w:after="40" w:line="220" w:lineRule="exact"/>
              <w:rPr>
                <w:sz w:val="18"/>
              </w:rPr>
            </w:pPr>
            <w:r>
              <w:rPr>
                <w:sz w:val="18"/>
              </w:rPr>
              <w:t>1 619</w:t>
            </w:r>
          </w:p>
        </w:tc>
        <w:tc>
          <w:tcPr>
            <w:tcW w:w="1247" w:type="dxa"/>
          </w:tcPr>
          <w:p w:rsidR="00000000" w:rsidRDefault="00000000">
            <w:pPr>
              <w:spacing w:before="40" w:after="40" w:line="220" w:lineRule="exact"/>
              <w:jc w:val="center"/>
              <w:rPr>
                <w:sz w:val="18"/>
              </w:rPr>
            </w:pPr>
            <w:r>
              <w:rPr>
                <w:sz w:val="18"/>
              </w:rPr>
              <w:t>42,1</w:t>
            </w:r>
          </w:p>
        </w:tc>
        <w:tc>
          <w:tcPr>
            <w:tcW w:w="1134" w:type="dxa"/>
          </w:tcPr>
          <w:p w:rsidR="00000000" w:rsidRDefault="00000000">
            <w:pPr>
              <w:spacing w:before="40" w:after="40" w:line="220" w:lineRule="exact"/>
              <w:jc w:val="center"/>
              <w:rPr>
                <w:sz w:val="18"/>
              </w:rPr>
            </w:pPr>
            <w:r>
              <w:rPr>
                <w:sz w:val="18"/>
              </w:rPr>
              <w:t>3 521</w:t>
            </w:r>
          </w:p>
        </w:tc>
        <w:tc>
          <w:tcPr>
            <w:tcW w:w="1361" w:type="dxa"/>
          </w:tcPr>
          <w:p w:rsidR="00000000" w:rsidRDefault="00000000">
            <w:pPr>
              <w:spacing w:before="40" w:after="40" w:line="220" w:lineRule="exact"/>
              <w:jc w:val="center"/>
              <w:rPr>
                <w:sz w:val="18"/>
              </w:rPr>
            </w:pPr>
            <w:r>
              <w:rPr>
                <w:sz w:val="18"/>
              </w:rPr>
              <w:t>227</w:t>
            </w:r>
          </w:p>
        </w:tc>
        <w:tc>
          <w:tcPr>
            <w:tcW w:w="1418" w:type="dxa"/>
          </w:tcPr>
          <w:p w:rsidR="00000000" w:rsidRDefault="00000000">
            <w:pPr>
              <w:tabs>
                <w:tab w:val="clear" w:pos="680"/>
                <w:tab w:val="clear" w:pos="1021"/>
                <w:tab w:val="decimal" w:pos="740"/>
              </w:tabs>
              <w:spacing w:before="40" w:after="40" w:line="220" w:lineRule="exact"/>
              <w:rPr>
                <w:sz w:val="18"/>
              </w:rPr>
            </w:pPr>
            <w:r>
              <w:rPr>
                <w:sz w:val="18"/>
              </w:rPr>
              <w:t>2 274</w:t>
            </w:r>
          </w:p>
        </w:tc>
      </w:tr>
      <w:tr w:rsidR="00000000">
        <w:tblPrEx>
          <w:tblCellMar>
            <w:top w:w="0" w:type="dxa"/>
            <w:bottom w:w="0" w:type="dxa"/>
          </w:tblCellMar>
        </w:tblPrEx>
        <w:trPr>
          <w:jc w:val="center"/>
        </w:trPr>
        <w:tc>
          <w:tcPr>
            <w:tcW w:w="1701" w:type="dxa"/>
          </w:tcPr>
          <w:p w:rsidR="00000000" w:rsidRDefault="00000000">
            <w:pPr>
              <w:spacing w:before="40" w:after="40" w:line="220" w:lineRule="exact"/>
              <w:jc w:val="left"/>
              <w:rPr>
                <w:sz w:val="18"/>
              </w:rPr>
            </w:pPr>
            <w:r>
              <w:rPr>
                <w:sz w:val="18"/>
              </w:rPr>
              <w:t>северо-западный</w:t>
            </w:r>
          </w:p>
        </w:tc>
        <w:tc>
          <w:tcPr>
            <w:tcW w:w="1077" w:type="dxa"/>
          </w:tcPr>
          <w:p w:rsidR="00000000" w:rsidRDefault="00000000">
            <w:pPr>
              <w:tabs>
                <w:tab w:val="clear" w:pos="680"/>
                <w:tab w:val="clear" w:pos="1021"/>
                <w:tab w:val="decimal" w:pos="598"/>
              </w:tabs>
              <w:spacing w:before="40" w:after="40" w:line="220" w:lineRule="exact"/>
              <w:rPr>
                <w:sz w:val="18"/>
              </w:rPr>
            </w:pPr>
            <w:r>
              <w:rPr>
                <w:sz w:val="18"/>
              </w:rPr>
              <w:t>417</w:t>
            </w:r>
          </w:p>
        </w:tc>
        <w:tc>
          <w:tcPr>
            <w:tcW w:w="1247" w:type="dxa"/>
          </w:tcPr>
          <w:p w:rsidR="00000000" w:rsidRDefault="00000000">
            <w:pPr>
              <w:spacing w:before="40" w:after="40" w:line="220" w:lineRule="exact"/>
              <w:jc w:val="center"/>
              <w:rPr>
                <w:sz w:val="18"/>
              </w:rPr>
            </w:pPr>
            <w:r>
              <w:rPr>
                <w:sz w:val="18"/>
              </w:rPr>
              <w:t>10,8</w:t>
            </w:r>
          </w:p>
        </w:tc>
        <w:tc>
          <w:tcPr>
            <w:tcW w:w="1134" w:type="dxa"/>
          </w:tcPr>
          <w:p w:rsidR="00000000" w:rsidRDefault="00000000">
            <w:pPr>
              <w:spacing w:before="40" w:after="40" w:line="220" w:lineRule="exact"/>
              <w:jc w:val="center"/>
              <w:rPr>
                <w:sz w:val="18"/>
              </w:rPr>
            </w:pPr>
            <w:r>
              <w:rPr>
                <w:sz w:val="18"/>
              </w:rPr>
              <w:t>2 693</w:t>
            </w:r>
          </w:p>
        </w:tc>
        <w:tc>
          <w:tcPr>
            <w:tcW w:w="1361" w:type="dxa"/>
          </w:tcPr>
          <w:p w:rsidR="00000000" w:rsidRDefault="00000000">
            <w:pPr>
              <w:spacing w:before="40" w:after="40" w:line="220" w:lineRule="exact"/>
              <w:jc w:val="center"/>
              <w:rPr>
                <w:sz w:val="18"/>
              </w:rPr>
            </w:pPr>
            <w:r>
              <w:rPr>
                <w:sz w:val="18"/>
              </w:rPr>
              <w:t>216</w:t>
            </w:r>
          </w:p>
        </w:tc>
        <w:tc>
          <w:tcPr>
            <w:tcW w:w="1418" w:type="dxa"/>
          </w:tcPr>
          <w:p w:rsidR="00000000" w:rsidRDefault="00000000">
            <w:pPr>
              <w:tabs>
                <w:tab w:val="clear" w:pos="680"/>
                <w:tab w:val="clear" w:pos="1021"/>
                <w:tab w:val="decimal" w:pos="740"/>
              </w:tabs>
              <w:spacing w:before="40" w:after="40" w:line="220" w:lineRule="exact"/>
              <w:rPr>
                <w:sz w:val="18"/>
              </w:rPr>
            </w:pPr>
            <w:r>
              <w:rPr>
                <w:sz w:val="18"/>
              </w:rPr>
              <w:t>553</w:t>
            </w:r>
          </w:p>
        </w:tc>
      </w:tr>
      <w:tr w:rsidR="00000000">
        <w:tblPrEx>
          <w:tblCellMar>
            <w:top w:w="0" w:type="dxa"/>
            <w:bottom w:w="0" w:type="dxa"/>
          </w:tblCellMar>
        </w:tblPrEx>
        <w:trPr>
          <w:jc w:val="center"/>
        </w:trPr>
        <w:tc>
          <w:tcPr>
            <w:tcW w:w="1701" w:type="dxa"/>
          </w:tcPr>
          <w:p w:rsidR="00000000" w:rsidRDefault="00000000">
            <w:pPr>
              <w:spacing w:before="40" w:after="40" w:line="220" w:lineRule="exact"/>
              <w:jc w:val="left"/>
              <w:rPr>
                <w:sz w:val="18"/>
              </w:rPr>
            </w:pPr>
            <w:r>
              <w:rPr>
                <w:sz w:val="18"/>
              </w:rPr>
              <w:t>центральная часть западного</w:t>
            </w:r>
          </w:p>
        </w:tc>
        <w:tc>
          <w:tcPr>
            <w:tcW w:w="1077" w:type="dxa"/>
          </w:tcPr>
          <w:p w:rsidR="00000000" w:rsidRDefault="00000000">
            <w:pPr>
              <w:tabs>
                <w:tab w:val="clear" w:pos="680"/>
                <w:tab w:val="clear" w:pos="1021"/>
                <w:tab w:val="decimal" w:pos="598"/>
              </w:tabs>
              <w:spacing w:before="40" w:after="40" w:line="220" w:lineRule="exact"/>
              <w:rPr>
                <w:sz w:val="18"/>
              </w:rPr>
            </w:pPr>
            <w:r>
              <w:rPr>
                <w:sz w:val="18"/>
              </w:rPr>
              <w:t>447</w:t>
            </w:r>
          </w:p>
        </w:tc>
        <w:tc>
          <w:tcPr>
            <w:tcW w:w="1247" w:type="dxa"/>
          </w:tcPr>
          <w:p w:rsidR="00000000" w:rsidRDefault="00000000">
            <w:pPr>
              <w:spacing w:before="40" w:after="40" w:line="220" w:lineRule="exact"/>
              <w:jc w:val="center"/>
              <w:rPr>
                <w:sz w:val="18"/>
              </w:rPr>
            </w:pPr>
            <w:r>
              <w:rPr>
                <w:sz w:val="18"/>
              </w:rPr>
              <w:t>11,6</w:t>
            </w:r>
          </w:p>
        </w:tc>
        <w:tc>
          <w:tcPr>
            <w:tcW w:w="1134" w:type="dxa"/>
          </w:tcPr>
          <w:p w:rsidR="00000000" w:rsidRDefault="00000000">
            <w:pPr>
              <w:spacing w:before="40" w:after="40" w:line="220" w:lineRule="exact"/>
              <w:jc w:val="center"/>
              <w:rPr>
                <w:sz w:val="18"/>
              </w:rPr>
            </w:pPr>
            <w:r>
              <w:rPr>
                <w:sz w:val="18"/>
              </w:rPr>
              <w:t>2 756</w:t>
            </w:r>
          </w:p>
        </w:tc>
        <w:tc>
          <w:tcPr>
            <w:tcW w:w="1361" w:type="dxa"/>
          </w:tcPr>
          <w:p w:rsidR="00000000" w:rsidRDefault="00000000">
            <w:pPr>
              <w:spacing w:before="40" w:after="40" w:line="220" w:lineRule="exact"/>
              <w:jc w:val="center"/>
              <w:rPr>
                <w:sz w:val="18"/>
              </w:rPr>
            </w:pPr>
            <w:r>
              <w:rPr>
                <w:sz w:val="18"/>
              </w:rPr>
              <w:t>193</w:t>
            </w:r>
          </w:p>
        </w:tc>
        <w:tc>
          <w:tcPr>
            <w:tcW w:w="1418" w:type="dxa"/>
          </w:tcPr>
          <w:p w:rsidR="00000000" w:rsidRDefault="00000000">
            <w:pPr>
              <w:tabs>
                <w:tab w:val="clear" w:pos="680"/>
                <w:tab w:val="clear" w:pos="1021"/>
                <w:tab w:val="decimal" w:pos="740"/>
              </w:tabs>
              <w:spacing w:before="40" w:after="40" w:line="220" w:lineRule="exact"/>
              <w:rPr>
                <w:sz w:val="18"/>
              </w:rPr>
            </w:pPr>
            <w:r>
              <w:rPr>
                <w:sz w:val="18"/>
              </w:rPr>
              <w:t>732</w:t>
            </w:r>
          </w:p>
        </w:tc>
      </w:tr>
      <w:tr w:rsidR="00000000">
        <w:tblPrEx>
          <w:tblCellMar>
            <w:top w:w="0" w:type="dxa"/>
            <w:bottom w:w="0" w:type="dxa"/>
          </w:tblCellMar>
        </w:tblPrEx>
        <w:trPr>
          <w:jc w:val="center"/>
        </w:trPr>
        <w:tc>
          <w:tcPr>
            <w:tcW w:w="1701" w:type="dxa"/>
          </w:tcPr>
          <w:p w:rsidR="00000000" w:rsidRDefault="00000000">
            <w:pPr>
              <w:spacing w:before="40" w:after="40" w:line="220" w:lineRule="exact"/>
              <w:jc w:val="left"/>
              <w:rPr>
                <w:sz w:val="18"/>
              </w:rPr>
            </w:pPr>
            <w:r>
              <w:rPr>
                <w:sz w:val="18"/>
              </w:rPr>
              <w:t>центральная часть восточного</w:t>
            </w:r>
          </w:p>
        </w:tc>
        <w:tc>
          <w:tcPr>
            <w:tcW w:w="1077" w:type="dxa"/>
          </w:tcPr>
          <w:p w:rsidR="00000000" w:rsidRDefault="00000000">
            <w:pPr>
              <w:tabs>
                <w:tab w:val="clear" w:pos="680"/>
                <w:tab w:val="clear" w:pos="1021"/>
                <w:tab w:val="decimal" w:pos="598"/>
              </w:tabs>
              <w:spacing w:before="40" w:after="40" w:line="220" w:lineRule="exact"/>
              <w:rPr>
                <w:sz w:val="18"/>
              </w:rPr>
            </w:pPr>
            <w:r>
              <w:rPr>
                <w:sz w:val="18"/>
              </w:rPr>
              <w:t>594</w:t>
            </w:r>
          </w:p>
        </w:tc>
        <w:tc>
          <w:tcPr>
            <w:tcW w:w="1247" w:type="dxa"/>
          </w:tcPr>
          <w:p w:rsidR="00000000" w:rsidRDefault="00000000">
            <w:pPr>
              <w:spacing w:before="40" w:after="40" w:line="220" w:lineRule="exact"/>
              <w:jc w:val="center"/>
              <w:rPr>
                <w:sz w:val="18"/>
              </w:rPr>
            </w:pPr>
            <w:r>
              <w:rPr>
                <w:sz w:val="18"/>
              </w:rPr>
              <w:t>15,4</w:t>
            </w:r>
          </w:p>
        </w:tc>
        <w:tc>
          <w:tcPr>
            <w:tcW w:w="1134" w:type="dxa"/>
          </w:tcPr>
          <w:p w:rsidR="00000000" w:rsidRDefault="00000000">
            <w:pPr>
              <w:spacing w:before="40" w:after="40" w:line="220" w:lineRule="exact"/>
              <w:jc w:val="center"/>
              <w:rPr>
                <w:sz w:val="18"/>
              </w:rPr>
            </w:pPr>
            <w:r>
              <w:rPr>
                <w:sz w:val="18"/>
              </w:rPr>
              <w:t>4 297</w:t>
            </w:r>
          </w:p>
        </w:tc>
        <w:tc>
          <w:tcPr>
            <w:tcW w:w="1361" w:type="dxa"/>
          </w:tcPr>
          <w:p w:rsidR="00000000" w:rsidRDefault="00000000">
            <w:pPr>
              <w:spacing w:before="40" w:after="40" w:line="220" w:lineRule="exact"/>
              <w:jc w:val="center"/>
              <w:rPr>
                <w:sz w:val="18"/>
              </w:rPr>
            </w:pPr>
            <w:r>
              <w:rPr>
                <w:sz w:val="18"/>
              </w:rPr>
              <w:t>359</w:t>
            </w:r>
          </w:p>
        </w:tc>
        <w:tc>
          <w:tcPr>
            <w:tcW w:w="1418" w:type="dxa"/>
          </w:tcPr>
          <w:p w:rsidR="00000000" w:rsidRDefault="00000000">
            <w:pPr>
              <w:tabs>
                <w:tab w:val="clear" w:pos="680"/>
                <w:tab w:val="clear" w:pos="1021"/>
                <w:tab w:val="decimal" w:pos="740"/>
              </w:tabs>
              <w:spacing w:before="40" w:after="40" w:line="220" w:lineRule="exact"/>
              <w:rPr>
                <w:sz w:val="18"/>
              </w:rPr>
            </w:pPr>
            <w:r>
              <w:rPr>
                <w:sz w:val="18"/>
              </w:rPr>
              <w:t>1 003</w:t>
            </w:r>
          </w:p>
        </w:tc>
      </w:tr>
      <w:tr w:rsidR="00000000">
        <w:tblPrEx>
          <w:tblCellMar>
            <w:top w:w="0" w:type="dxa"/>
            <w:bottom w:w="0" w:type="dxa"/>
          </w:tblCellMar>
        </w:tblPrEx>
        <w:trPr>
          <w:jc w:val="center"/>
        </w:trPr>
        <w:tc>
          <w:tcPr>
            <w:tcW w:w="1701" w:type="dxa"/>
          </w:tcPr>
          <w:p w:rsidR="00000000" w:rsidRDefault="00000000">
            <w:pPr>
              <w:spacing w:before="40" w:after="40" w:line="220" w:lineRule="exact"/>
              <w:jc w:val="left"/>
              <w:rPr>
                <w:sz w:val="18"/>
              </w:rPr>
            </w:pPr>
            <w:r>
              <w:rPr>
                <w:sz w:val="18"/>
              </w:rPr>
              <w:t>юго-западный</w:t>
            </w:r>
          </w:p>
        </w:tc>
        <w:tc>
          <w:tcPr>
            <w:tcW w:w="1077" w:type="dxa"/>
          </w:tcPr>
          <w:p w:rsidR="00000000" w:rsidRDefault="00000000">
            <w:pPr>
              <w:tabs>
                <w:tab w:val="clear" w:pos="680"/>
                <w:tab w:val="clear" w:pos="1021"/>
                <w:tab w:val="decimal" w:pos="598"/>
              </w:tabs>
              <w:spacing w:before="40" w:after="40" w:line="220" w:lineRule="exact"/>
              <w:rPr>
                <w:sz w:val="18"/>
              </w:rPr>
            </w:pPr>
            <w:r>
              <w:rPr>
                <w:sz w:val="18"/>
              </w:rPr>
              <w:t>442</w:t>
            </w:r>
          </w:p>
        </w:tc>
        <w:tc>
          <w:tcPr>
            <w:tcW w:w="1247" w:type="dxa"/>
          </w:tcPr>
          <w:p w:rsidR="00000000" w:rsidRDefault="00000000">
            <w:pPr>
              <w:spacing w:before="40" w:after="40" w:line="220" w:lineRule="exact"/>
              <w:jc w:val="center"/>
              <w:rPr>
                <w:sz w:val="18"/>
              </w:rPr>
            </w:pPr>
            <w:r>
              <w:rPr>
                <w:sz w:val="18"/>
              </w:rPr>
              <w:t>11,5</w:t>
            </w:r>
          </w:p>
        </w:tc>
        <w:tc>
          <w:tcPr>
            <w:tcW w:w="1134" w:type="dxa"/>
          </w:tcPr>
          <w:p w:rsidR="00000000" w:rsidRDefault="00000000">
            <w:pPr>
              <w:spacing w:before="40" w:after="40" w:line="220" w:lineRule="exact"/>
              <w:jc w:val="center"/>
              <w:rPr>
                <w:sz w:val="18"/>
              </w:rPr>
            </w:pPr>
            <w:r>
              <w:rPr>
                <w:sz w:val="18"/>
              </w:rPr>
              <w:t>2 699</w:t>
            </w:r>
          </w:p>
        </w:tc>
        <w:tc>
          <w:tcPr>
            <w:tcW w:w="1361" w:type="dxa"/>
          </w:tcPr>
          <w:p w:rsidR="00000000" w:rsidRDefault="00000000">
            <w:pPr>
              <w:spacing w:before="40" w:after="40" w:line="220" w:lineRule="exact"/>
              <w:jc w:val="center"/>
              <w:rPr>
                <w:sz w:val="18"/>
              </w:rPr>
            </w:pPr>
            <w:r>
              <w:rPr>
                <w:sz w:val="18"/>
              </w:rPr>
              <w:t>231</w:t>
            </w:r>
          </w:p>
        </w:tc>
        <w:tc>
          <w:tcPr>
            <w:tcW w:w="1418" w:type="dxa"/>
          </w:tcPr>
          <w:p w:rsidR="00000000" w:rsidRDefault="00000000">
            <w:pPr>
              <w:tabs>
                <w:tab w:val="clear" w:pos="680"/>
                <w:tab w:val="clear" w:pos="1021"/>
                <w:tab w:val="decimal" w:pos="740"/>
              </w:tabs>
              <w:spacing w:before="40" w:after="40" w:line="220" w:lineRule="exact"/>
              <w:rPr>
                <w:sz w:val="18"/>
              </w:rPr>
            </w:pPr>
            <w:r>
              <w:rPr>
                <w:sz w:val="18"/>
              </w:rPr>
              <w:t>840</w:t>
            </w:r>
          </w:p>
        </w:tc>
      </w:tr>
      <w:tr w:rsidR="00000000">
        <w:tblPrEx>
          <w:tblCellMar>
            <w:top w:w="0" w:type="dxa"/>
            <w:bottom w:w="0" w:type="dxa"/>
          </w:tblCellMar>
        </w:tblPrEx>
        <w:trPr>
          <w:jc w:val="center"/>
        </w:trPr>
        <w:tc>
          <w:tcPr>
            <w:tcW w:w="1701" w:type="dxa"/>
          </w:tcPr>
          <w:p w:rsidR="00000000" w:rsidRDefault="00000000">
            <w:pPr>
              <w:spacing w:before="40" w:after="40" w:line="220" w:lineRule="exact"/>
              <w:jc w:val="left"/>
              <w:rPr>
                <w:sz w:val="18"/>
              </w:rPr>
            </w:pPr>
            <w:r>
              <w:rPr>
                <w:sz w:val="18"/>
              </w:rPr>
              <w:t xml:space="preserve">юго-восточный </w:t>
            </w:r>
          </w:p>
        </w:tc>
        <w:tc>
          <w:tcPr>
            <w:tcW w:w="1077" w:type="dxa"/>
          </w:tcPr>
          <w:p w:rsidR="00000000" w:rsidRDefault="00000000">
            <w:pPr>
              <w:tabs>
                <w:tab w:val="clear" w:pos="680"/>
                <w:tab w:val="clear" w:pos="1021"/>
                <w:tab w:val="decimal" w:pos="598"/>
              </w:tabs>
              <w:spacing w:before="40" w:after="40" w:line="220" w:lineRule="exact"/>
              <w:rPr>
                <w:sz w:val="18"/>
              </w:rPr>
            </w:pPr>
            <w:r>
              <w:rPr>
                <w:sz w:val="18"/>
              </w:rPr>
              <w:t>331</w:t>
            </w:r>
          </w:p>
        </w:tc>
        <w:tc>
          <w:tcPr>
            <w:tcW w:w="1247" w:type="dxa"/>
          </w:tcPr>
          <w:p w:rsidR="00000000" w:rsidRDefault="00000000">
            <w:pPr>
              <w:spacing w:before="40" w:after="40" w:line="220" w:lineRule="exact"/>
              <w:jc w:val="center"/>
              <w:rPr>
                <w:sz w:val="18"/>
              </w:rPr>
            </w:pPr>
            <w:r>
              <w:rPr>
                <w:sz w:val="18"/>
              </w:rPr>
              <w:t>8,6</w:t>
            </w:r>
          </w:p>
        </w:tc>
        <w:tc>
          <w:tcPr>
            <w:tcW w:w="1134" w:type="dxa"/>
          </w:tcPr>
          <w:p w:rsidR="00000000" w:rsidRDefault="00000000">
            <w:pPr>
              <w:spacing w:before="40" w:after="40" w:line="220" w:lineRule="exact"/>
              <w:jc w:val="center"/>
              <w:rPr>
                <w:sz w:val="18"/>
              </w:rPr>
            </w:pPr>
            <w:r>
              <w:rPr>
                <w:sz w:val="18"/>
              </w:rPr>
              <w:t>3 250</w:t>
            </w:r>
          </w:p>
        </w:tc>
        <w:tc>
          <w:tcPr>
            <w:tcW w:w="1361" w:type="dxa"/>
          </w:tcPr>
          <w:p w:rsidR="00000000" w:rsidRDefault="00000000">
            <w:pPr>
              <w:spacing w:before="40" w:after="40" w:line="220" w:lineRule="exact"/>
              <w:jc w:val="center"/>
              <w:rPr>
                <w:sz w:val="18"/>
              </w:rPr>
            </w:pPr>
            <w:r>
              <w:rPr>
                <w:sz w:val="18"/>
              </w:rPr>
              <w:t>211</w:t>
            </w:r>
          </w:p>
        </w:tc>
        <w:tc>
          <w:tcPr>
            <w:tcW w:w="1418" w:type="dxa"/>
          </w:tcPr>
          <w:p w:rsidR="00000000" w:rsidRDefault="00000000">
            <w:pPr>
              <w:tabs>
                <w:tab w:val="clear" w:pos="680"/>
                <w:tab w:val="clear" w:pos="1021"/>
                <w:tab w:val="decimal" w:pos="740"/>
              </w:tabs>
              <w:spacing w:before="40" w:after="40" w:line="220" w:lineRule="exact"/>
              <w:rPr>
                <w:sz w:val="18"/>
              </w:rPr>
            </w:pPr>
            <w:r>
              <w:rPr>
                <w:sz w:val="18"/>
              </w:rPr>
              <w:t>480</w:t>
            </w:r>
          </w:p>
        </w:tc>
      </w:tr>
      <w:tr w:rsidR="00000000">
        <w:tblPrEx>
          <w:tblCellMar>
            <w:top w:w="0" w:type="dxa"/>
            <w:bottom w:w="0" w:type="dxa"/>
          </w:tblCellMar>
        </w:tblPrEx>
        <w:trPr>
          <w:jc w:val="center"/>
        </w:trPr>
        <w:tc>
          <w:tcPr>
            <w:tcW w:w="1701" w:type="dxa"/>
          </w:tcPr>
          <w:p w:rsidR="00000000" w:rsidRDefault="00000000">
            <w:pPr>
              <w:spacing w:before="40" w:after="40" w:line="220" w:lineRule="exact"/>
              <w:jc w:val="left"/>
              <w:rPr>
                <w:sz w:val="18"/>
              </w:rPr>
            </w:pPr>
            <w:r>
              <w:rPr>
                <w:sz w:val="18"/>
              </w:rPr>
              <w:t>Всего</w:t>
            </w:r>
          </w:p>
        </w:tc>
        <w:tc>
          <w:tcPr>
            <w:tcW w:w="1077" w:type="dxa"/>
          </w:tcPr>
          <w:p w:rsidR="00000000" w:rsidRDefault="00000000">
            <w:pPr>
              <w:tabs>
                <w:tab w:val="clear" w:pos="680"/>
                <w:tab w:val="clear" w:pos="1021"/>
                <w:tab w:val="decimal" w:pos="598"/>
              </w:tabs>
              <w:spacing w:before="40" w:after="40" w:line="220" w:lineRule="exact"/>
              <w:rPr>
                <w:sz w:val="18"/>
              </w:rPr>
            </w:pPr>
            <w:r>
              <w:rPr>
                <w:sz w:val="18"/>
              </w:rPr>
              <w:t>3 850</w:t>
            </w:r>
          </w:p>
        </w:tc>
        <w:tc>
          <w:tcPr>
            <w:tcW w:w="1247" w:type="dxa"/>
          </w:tcPr>
          <w:p w:rsidR="00000000" w:rsidRDefault="00000000">
            <w:pPr>
              <w:spacing w:before="40" w:after="40" w:line="220" w:lineRule="exact"/>
              <w:jc w:val="center"/>
              <w:rPr>
                <w:sz w:val="18"/>
              </w:rPr>
            </w:pPr>
            <w:r>
              <w:rPr>
                <w:sz w:val="18"/>
              </w:rPr>
              <w:t>100</w:t>
            </w:r>
          </w:p>
        </w:tc>
        <w:tc>
          <w:tcPr>
            <w:tcW w:w="1134" w:type="dxa"/>
          </w:tcPr>
          <w:p w:rsidR="00000000" w:rsidRDefault="00000000">
            <w:pPr>
              <w:spacing w:before="40" w:after="40" w:line="220" w:lineRule="exact"/>
              <w:jc w:val="center"/>
              <w:rPr>
                <w:sz w:val="18"/>
              </w:rPr>
            </w:pPr>
            <w:r>
              <w:rPr>
                <w:sz w:val="18"/>
              </w:rPr>
              <w:t>3 345</w:t>
            </w:r>
          </w:p>
        </w:tc>
        <w:tc>
          <w:tcPr>
            <w:tcW w:w="1361" w:type="dxa"/>
          </w:tcPr>
          <w:p w:rsidR="00000000" w:rsidRDefault="00000000">
            <w:pPr>
              <w:spacing w:before="40" w:after="40" w:line="220" w:lineRule="exact"/>
              <w:jc w:val="center"/>
              <w:rPr>
                <w:sz w:val="18"/>
              </w:rPr>
            </w:pPr>
            <w:r>
              <w:rPr>
                <w:sz w:val="18"/>
              </w:rPr>
              <w:t>241</w:t>
            </w:r>
          </w:p>
        </w:tc>
        <w:tc>
          <w:tcPr>
            <w:tcW w:w="1418" w:type="dxa"/>
          </w:tcPr>
          <w:p w:rsidR="00000000" w:rsidRDefault="00000000">
            <w:pPr>
              <w:tabs>
                <w:tab w:val="clear" w:pos="680"/>
                <w:tab w:val="clear" w:pos="1021"/>
                <w:tab w:val="decimal" w:pos="740"/>
              </w:tabs>
              <w:spacing w:before="40" w:after="40" w:line="220" w:lineRule="exact"/>
              <w:rPr>
                <w:sz w:val="18"/>
                <w:lang w:val="en-US"/>
              </w:rPr>
            </w:pPr>
            <w:r>
              <w:rPr>
                <w:sz w:val="18"/>
              </w:rPr>
              <w:t>5 882</w:t>
            </w:r>
          </w:p>
        </w:tc>
      </w:tr>
    </w:tbl>
    <w:p w:rsidR="00000000" w:rsidRDefault="00000000">
      <w:pPr>
        <w:spacing w:before="120" w:line="220" w:lineRule="exact"/>
        <w:ind w:right="857"/>
        <w:jc w:val="right"/>
        <w:rPr>
          <w:b/>
          <w:sz w:val="18"/>
        </w:rPr>
      </w:pPr>
      <w:r>
        <w:rPr>
          <w:b/>
          <w:sz w:val="18"/>
        </w:rPr>
        <w:t>Источник: ТБС</w:t>
      </w:r>
    </w:p>
    <w:p w:rsidR="00000000" w:rsidRDefault="00000000">
      <w:r>
        <w:t>984.</w:t>
      </w:r>
      <w:r>
        <w:tab/>
        <w:t>Чтобы способствовать доступу женщин, проживающих в сельской местности, к кредитам, ТБС подписал соглашения с Национальным фондом солидарности (26-26) о финансировании проектов, осуществляемых девушками, получившими профессиональную подготовку в области кустарного производства и сельского хозяйства. В рамках таких соглашений первая группа из 40 сельских девушек воспользовалась кредитом ТБС.</w:t>
      </w:r>
    </w:p>
    <w:p w:rsidR="00000000" w:rsidRDefault="00000000">
      <w:r>
        <w:t>985.</w:t>
      </w:r>
      <w:r>
        <w:tab/>
        <w:t>В 1999 году ТБС подписал два соглашения: с Национальным союзом тунисских женщин, чтобы оказывать помощь выпускницам Современного центра профессионального обучения при НСТЖ, и с МДЖС, чтобы содействовать женщинам, пользующимся фондами поддержки производительной занятости женщин.</w:t>
      </w:r>
    </w:p>
    <w:p w:rsidR="00000000" w:rsidRDefault="00000000">
      <w:pPr>
        <w:spacing w:before="240" w:line="240" w:lineRule="auto"/>
        <w:ind w:left="680" w:hanging="680"/>
        <w:jc w:val="left"/>
        <w:rPr>
          <w:b/>
          <w:sz w:val="28"/>
        </w:rPr>
      </w:pPr>
      <w:r>
        <w:rPr>
          <w:b/>
          <w:sz w:val="28"/>
          <w:lang w:val="en-US"/>
        </w:rPr>
        <w:t>V</w:t>
      </w:r>
      <w:r>
        <w:rPr>
          <w:b/>
          <w:sz w:val="28"/>
        </w:rPr>
        <w:t>.</w:t>
      </w:r>
      <w:r>
        <w:rPr>
          <w:b/>
          <w:sz w:val="28"/>
        </w:rPr>
        <w:tab/>
        <w:t>Повышение профессиональной квалификации девушек, проживающих в сельской местности</w:t>
      </w:r>
    </w:p>
    <w:p w:rsidR="00000000" w:rsidRDefault="00000000">
      <w:pPr>
        <w:rPr>
          <w:b/>
        </w:rPr>
      </w:pPr>
      <w:r>
        <w:rPr>
          <w:b/>
        </w:rPr>
        <w:t>Профессиональная подготовка</w:t>
      </w:r>
    </w:p>
    <w:p w:rsidR="00000000" w:rsidRDefault="00000000">
      <w:r>
        <w:t>986.</w:t>
      </w:r>
      <w:r>
        <w:tab/>
        <w:t>В связи с экономическим и социальным развитием появились новые потребности, и для того, чтобы достойно ответить на них, система профессионального обучения также должна была усовершенствовать свою организацию, нацеленную на сельский женский контингент, и сделать это в рамках более тесного увязывания обучения с техническими и экономическими императивами.</w:t>
      </w:r>
    </w:p>
    <w:p w:rsidR="00000000" w:rsidRDefault="00000000">
      <w:r>
        <w:t>987.</w:t>
      </w:r>
      <w:r>
        <w:tab/>
        <w:t xml:space="preserve">Стратегия реформы центров для девушек, проживающих в сельской местности, была принята в </w:t>
      </w:r>
      <w:r>
        <w:br/>
        <w:t xml:space="preserve">1992 году и начала осуществляться в ходе </w:t>
      </w:r>
      <w:r>
        <w:rPr>
          <w:lang w:val="en-US"/>
        </w:rPr>
        <w:t>VIII</w:t>
      </w:r>
      <w:r>
        <w:t xml:space="preserve"> плана развития, чтобы обеспечить улучшение положения сельских девушек путем квалифицированного профессионального обучения. Количественные и качественные положительные результаты были достигнуты как в организационном плане, так и в плане функционирования этой системы профессиональной подготовки.</w:t>
      </w:r>
    </w:p>
    <w:p w:rsidR="00000000" w:rsidRDefault="00000000">
      <w:pPr>
        <w:spacing w:after="40"/>
      </w:pPr>
      <w:r>
        <w:t>988.</w:t>
      </w:r>
      <w:r>
        <w:tab/>
        <w:t>Тринадцать центров профессиональной подготовки сельских девушек при Министерстве профессионального образования и занятости осуществили поставленную задачу по обновлению и упорядочению составляющих элементов такого обучения. Сегодня эти центры могут предоставить:</w:t>
      </w:r>
    </w:p>
    <w:p w:rsidR="00000000" w:rsidRDefault="00000000">
      <w:pPr>
        <w:spacing w:after="40"/>
        <w:ind w:left="1021" w:hanging="1021"/>
      </w:pPr>
      <w:r>
        <w:rPr>
          <w:lang w:val="en-US"/>
        </w:rPr>
        <w:tab/>
      </w:r>
      <w:r>
        <w:t>–</w:t>
      </w:r>
      <w:r>
        <w:tab/>
        <w:t>подготовку в области просвещения, планирования семьи, здравоохранения, окружающей среды, проблем питания и социальной направленности;</w:t>
      </w:r>
    </w:p>
    <w:p w:rsidR="00000000" w:rsidRDefault="00000000">
      <w:pPr>
        <w:spacing w:after="40"/>
        <w:ind w:left="1021" w:hanging="1021"/>
      </w:pPr>
      <w:r>
        <w:tab/>
        <w:t>–</w:t>
      </w:r>
      <w:r>
        <w:tab/>
        <w:t>техническую подготовку в области сельского хозяйства и кустарного производства, чтобы облегчить выход девушек на рынок занятости;</w:t>
      </w:r>
    </w:p>
    <w:p w:rsidR="00000000" w:rsidRDefault="00000000">
      <w:pPr>
        <w:ind w:left="1021" w:hanging="1021"/>
      </w:pPr>
      <w:r>
        <w:tab/>
        <w:t>–</w:t>
      </w:r>
      <w:r>
        <w:tab/>
        <w:t>подготовку по всем аспектам создания предприятий, предпринимательской деятельности и созданию микропроектов.</w:t>
      </w:r>
    </w:p>
    <w:p w:rsidR="00000000" w:rsidRDefault="00000000">
      <w:r>
        <w:t>989.</w:t>
      </w:r>
      <w:r>
        <w:tab/>
        <w:t>Была разработана глобальная образовательная структура для поддержки молодых девушек, получивших профессиональную подготовку, а также для помощи неграмотным или тем, кто вынужден был преждевременно уйти из школы. Эта образовательная структура занялась изданием учебников и различных пособий, необходимых для любых видов профессиональной подготовки. В период 1992–1997 годов 4 тыс. сельских девушек смогли воспользоваться этой формой обучения. Были подписаны соглашения о партнерстве с организациями и структурами, нацеленными на оказание помощи этим девушкам в их предпринимательской деятельности. Подписанное с Тунисским союзом социальной солидарности соглашение о сотрудничестве позволило 60 сельским девушкам воспользоваться кредитами для создания микропредприятий в области животноводства, огородничества и пошива одежды.</w:t>
      </w:r>
    </w:p>
    <w:p w:rsidR="00000000" w:rsidRDefault="00000000">
      <w:r>
        <w:t>990.</w:t>
      </w:r>
      <w:r>
        <w:tab/>
        <w:t>Новые образовательные модули предоставлены в распоряжение различных участников процесса профессиональной подготовки девушек, проживающих в сельской местности. Национальный союз тунисских женщин, которому подчинены 170 центров, начал реформу своей системы подготовки. Он располагает сегодня двумя экспериментальными центрами, которые обеспечивают надлежащее профессиональное обучение в области сельского хозяйства и кустарного производства.</w:t>
      </w:r>
    </w:p>
    <w:p w:rsidR="00000000" w:rsidRDefault="00000000">
      <w:r>
        <w:t>991.</w:t>
      </w:r>
      <w:r>
        <w:tab/>
        <w:t>В рамках реформы системы профессионального обучения Министерство профессионального образования и занятости намерено с сентября 1999 года осуществлять опеку над центрами профессиональной подготовки в области кустарного производства. Эта подготовка, нацеленная прежде всего на девушек из сельской среды и пригородов больших городов, ранее осуществлялась под контролем Министерства туризма, ремесел и досуга. Необходимо эти изменения использовать для улучшения всех компонентов этой подготовки, чтобы сделать ее более качественной.</w:t>
      </w:r>
    </w:p>
    <w:p w:rsidR="00000000" w:rsidRDefault="00000000">
      <w:r>
        <w:t>992.</w:t>
      </w:r>
      <w:r>
        <w:tab/>
        <w:t>Центры профессиональной подготовки в области сельского хозяйства и сельскохозяйственные лицеи предоставляют девушкам из сельской местности техническое обучение. Ежегодно несколько сотен из них получают образование и профессию технических ассистентов в Сельскохозяйственном лицее для девушек в Сукре и в центрах Тибара и Сиди-Бу-Зида, которые готовят квалифицированных работниц. Совсем недавно, соответственно в 1997 и 1995 годах, открылись сельскохозяйственные лицеи для девушек в Бушнике и Тибаре.</w:t>
      </w:r>
    </w:p>
    <w:p w:rsidR="00000000" w:rsidRDefault="00000000">
      <w:r>
        <w:t>993.</w:t>
      </w:r>
      <w:r>
        <w:tab/>
        <w:t>В сельскохозяйственном секторе происходит ориентация на новый тип профессиональной подготовки по модели обучения "под заказ" в зависимости от нужд фермеров, мужчин и женщин, или по переподготовке технических работников. В 1997 году 2700 женщин смогли воспользоваться этой формой подготовки.</w:t>
      </w:r>
    </w:p>
    <w:p w:rsidR="00000000" w:rsidRDefault="00000000">
      <w:r>
        <w:t>994.</w:t>
      </w:r>
      <w:r>
        <w:tab/>
        <w:t>Некоторые центры профессиональной подготовки в области сельского хозяйства, равно как и многие центры переподготовки, организуют специально для сельских женщин и девушек курсы обучения и технического консультирования. В 1997 году 288 женщин смогли закончить курсы переподготовки общей продолжительностью в 1900 дней.</w:t>
      </w:r>
    </w:p>
    <w:p w:rsidR="00000000" w:rsidRDefault="00000000">
      <w:r>
        <w:t>995.</w:t>
      </w:r>
      <w:r>
        <w:tab/>
        <w:t xml:space="preserve">Программа пропаганды женского труда, разработанная в рамках проекта по расширению исследований и распространению сельскохозяйственных знаний (проект МБРР, который начал осуществляться в 1992 году), обеспечивает предоставление консультационной помощи по техническим и управленческим вопросам и подготовку в центрах профессионального сельскохозяйственного образования или непосредственно на рабочих местах, специально создаваемых для удовлетворения потребностей женщин и обеспечения непрерывности подготовки. Эта программа нацелена на следующие категории населения: жен фермеров и женщин-предпринимателей, дочерей фермеров и сельскохозяйственных работниц. </w:t>
      </w:r>
    </w:p>
    <w:p w:rsidR="00000000" w:rsidRDefault="00000000">
      <w:pPr>
        <w:spacing w:after="40"/>
      </w:pPr>
      <w:r>
        <w:t>996.</w:t>
      </w:r>
      <w:r>
        <w:tab/>
        <w:t xml:space="preserve">На первом этапе были выбраны три зоны в провинциях Загхуан, Беджа и Джендуба для организации экспериментальных мероприятий, которые осуществлялись во время кампании 1992–1993 годов. В течение 1993–1995 годов эта программа была распространена на пять других провинций (Кайруан, Ариана, Меденин, Силиана и Сиди-Бу-Зид). Применяются методы, специально разработанные с учетом гендерных аспектов, а именно: </w:t>
      </w:r>
    </w:p>
    <w:p w:rsidR="00000000" w:rsidRDefault="00000000">
      <w:pPr>
        <w:spacing w:after="40"/>
      </w:pPr>
      <w:r>
        <w:rPr>
          <w:lang w:val="en-US"/>
        </w:rPr>
        <w:tab/>
      </w:r>
      <w:r>
        <w:t>–</w:t>
      </w:r>
      <w:r>
        <w:tab/>
        <w:t>организация дней информации и демонстрации на практике;</w:t>
      </w:r>
    </w:p>
    <w:p w:rsidR="00000000" w:rsidRDefault="00000000">
      <w:pPr>
        <w:spacing w:after="40"/>
      </w:pPr>
      <w:r>
        <w:tab/>
        <w:t>–</w:t>
      </w:r>
      <w:r>
        <w:tab/>
        <w:t>создание опытных участков;</w:t>
      </w:r>
    </w:p>
    <w:p w:rsidR="00000000" w:rsidRDefault="00000000">
      <w:r>
        <w:tab/>
        <w:t>–</w:t>
      </w:r>
      <w:r>
        <w:tab/>
        <w:t>организация групповых мероприятий и индивидуальных посещений ферм.</w:t>
      </w:r>
    </w:p>
    <w:p w:rsidR="00000000" w:rsidRDefault="00000000">
      <w:r>
        <w:t>997.</w:t>
      </w:r>
      <w:r>
        <w:tab/>
        <w:t>Помимо пропагандистской деятельности, нацеленной на работниц сельского хозяйства, организованы также курсы для активисток, занимающихся пропагандистской деятельностью. На этих занятиях обсуждаются такие вопросы, как методика профессиональной подготовки, техника коммуникации, техника ведения сельского хозяйства, особые формы обучения.</w:t>
      </w:r>
    </w:p>
    <w:p w:rsidR="00000000" w:rsidRDefault="00000000">
      <w:r>
        <w:t>998.</w:t>
      </w:r>
      <w:r>
        <w:tab/>
        <w:t>Телевизионные сюжеты (клипы), распространяемые в рамках информационных кампаний, и пропаганда сельского труда также рассчитаны на работниц сельского хозяйства.</w:t>
      </w:r>
    </w:p>
    <w:p w:rsidR="00000000" w:rsidRDefault="00000000">
      <w:pPr>
        <w:spacing w:before="240" w:line="240" w:lineRule="auto"/>
        <w:ind w:left="680" w:hanging="680"/>
        <w:jc w:val="left"/>
        <w:rPr>
          <w:b/>
          <w:sz w:val="28"/>
        </w:rPr>
      </w:pPr>
      <w:r>
        <w:rPr>
          <w:b/>
          <w:sz w:val="28"/>
          <w:lang w:val="en-US"/>
        </w:rPr>
        <w:t>VI</w:t>
      </w:r>
      <w:r>
        <w:rPr>
          <w:b/>
          <w:sz w:val="28"/>
        </w:rPr>
        <w:t>.</w:t>
      </w:r>
      <w:r>
        <w:rPr>
          <w:b/>
          <w:sz w:val="28"/>
        </w:rPr>
        <w:tab/>
        <w:t xml:space="preserve">Позитивные действия в интересах женщин, </w:t>
      </w:r>
      <w:r>
        <w:rPr>
          <w:b/>
          <w:sz w:val="28"/>
        </w:rPr>
        <w:br/>
        <w:t>проживающих в сельской местности</w:t>
      </w:r>
    </w:p>
    <w:p w:rsidR="00000000" w:rsidRDefault="00000000">
      <w:r>
        <w:t>999.</w:t>
      </w:r>
      <w:r>
        <w:tab/>
        <w:t xml:space="preserve">Чтобы иметь возможность адекватно реагировать на новые потребности женщин, проживающих в сельской местности, и способствовать их интеграции в динамически развивающуюся национальную экономику, стратегия в отношении женщин, включенная в </w:t>
      </w:r>
      <w:r>
        <w:rPr>
          <w:lang w:val="fr-FR"/>
        </w:rPr>
        <w:t>IX</w:t>
      </w:r>
      <w:r>
        <w:t xml:space="preserve"> план, предполагает осуществление глобальных действий, основная цель которых — поддержка производительной занятости малоимущих женщин путем создания женских и семейных микропредприятий как в сельской местности, так и в пригородных зонах. Кроме того, предусмотрено проведение новых исследований, с тем чтобы точно очертить условия жизни и производственной деятельности женщин, проживающих в сельской местности.</w:t>
      </w:r>
    </w:p>
    <w:p w:rsidR="00000000" w:rsidRDefault="00000000">
      <w:pPr>
        <w:spacing w:before="120" w:line="260" w:lineRule="exact"/>
        <w:rPr>
          <w:b/>
          <w:sz w:val="22"/>
        </w:rPr>
      </w:pPr>
      <w:r>
        <w:rPr>
          <w:b/>
          <w:sz w:val="22"/>
          <w:lang w:val="fr-FR"/>
        </w:rPr>
        <w:t>VI</w:t>
      </w:r>
      <w:r>
        <w:rPr>
          <w:b/>
          <w:sz w:val="22"/>
        </w:rPr>
        <w:t>.1.</w:t>
      </w:r>
      <w:r>
        <w:rPr>
          <w:b/>
          <w:sz w:val="22"/>
        </w:rPr>
        <w:tab/>
        <w:t>Исследования и практические научные работы, касающиеся сельских женщин</w:t>
      </w:r>
    </w:p>
    <w:p w:rsidR="00000000" w:rsidRDefault="00000000">
      <w:r>
        <w:t>1000.</w:t>
      </w:r>
      <w:r>
        <w:tab/>
        <w:t>В рамках деятельности органа по оценке эффективности проектов развития МДЖС провело исследование в отношении той части проекта комплексного развития северо-восточной части страны, которая касается женщин, а также исследование проекта Эттадхамам–Дуар Хишер и изучило, как воздействуют проекты Фонда национальной солидарности (26–26) на условия жизни женщин и семей. Цель этих исследований состояла в том, чтобы повысить эффективность действий, осуществляемых в рамках проектов развития или социальной помощи во имя глобального и долгосрочного развития, при котором учитываются как непосредственные, так и стратегические потребности мужчин и женщин.</w:t>
      </w:r>
    </w:p>
    <w:p w:rsidR="00000000" w:rsidRDefault="00000000">
      <w:r>
        <w:t>1001.</w:t>
      </w:r>
      <w:r>
        <w:tab/>
        <w:t>С тем чтобы лучше оценить положение женщин, проживающих в сельской местности, ЦНИДИЖ опубликовал в 1996 году в рамках деятельности Наблюдательного комитета по проблемам женщин исчерпывающий доклад, озаглавленный "Сельские женщины Туниса".</w:t>
      </w:r>
    </w:p>
    <w:p w:rsidR="00000000" w:rsidRDefault="00000000">
      <w:r>
        <w:t>1002.</w:t>
      </w:r>
      <w:r>
        <w:tab/>
        <w:t xml:space="preserve">В рамках </w:t>
      </w:r>
      <w:r>
        <w:rPr>
          <w:lang w:val="en-US"/>
        </w:rPr>
        <w:t>IX</w:t>
      </w:r>
      <w:r>
        <w:t xml:space="preserve"> плана и в соответствии с рекомендацией доклада "Сельские женщины Туниса" ЦНИДИЖ осуществил следующие исследования:</w:t>
      </w:r>
    </w:p>
    <w:p w:rsidR="00000000" w:rsidRDefault="00000000">
      <w:pPr>
        <w:ind w:left="1021" w:hanging="1021"/>
      </w:pPr>
      <w:r>
        <w:tab/>
        <w:t>–</w:t>
      </w:r>
      <w:r>
        <w:tab/>
        <w:t xml:space="preserve">"Женский труд и стратегии развития семьи в сельской местности в Тунисе" (март 1999 года), являющееся составной частью Программы ДИПЕН (Динамика – Население – Окружающая среда) и основанное на многодисциплинарном подходе. Цель исследования – тщательно изучить деятельность сельских женщин в четырех зонах севера и юга Туниса (Баргу, Крумирия, Мензель-Хабиб и Эль-Фауар). Этот труд является попыткой, с одной стороны, изучить роль женщин в производительной деятельности сельских домохозяйств, в частности в контексте процессов нынешней реструктуризации экономики, а с другой стороны, более четко описать вклад женщин в разработку социальных проектов для сельских семей и их воздействие, в частности, на функционирование и воспроизводство семейных систем в сельском хозяйстве. </w:t>
      </w:r>
    </w:p>
    <w:p w:rsidR="00000000" w:rsidRDefault="00000000">
      <w:pPr>
        <w:ind w:left="1021" w:hanging="1021"/>
      </w:pPr>
      <w:r>
        <w:tab/>
        <w:t>–</w:t>
      </w:r>
      <w:r>
        <w:tab/>
        <w:t>Цель исследования "Сельские женщины-предприниматели и женщины-ремесленницы" – глубоко изучить положение этих двух групп женщин и проблемы, с которыми они сталкиваются. Оно имеет форму исследования, предназначенного для практического применения, осуществляемого в содружестве с различными соответствующими организациями (НПО, агентства по развитию и т. д.).</w:t>
      </w:r>
    </w:p>
    <w:p w:rsidR="00000000" w:rsidRDefault="00000000">
      <w:pPr>
        <w:spacing w:before="120" w:line="260" w:lineRule="exact"/>
        <w:rPr>
          <w:b/>
          <w:sz w:val="22"/>
        </w:rPr>
      </w:pPr>
      <w:r>
        <w:rPr>
          <w:b/>
          <w:sz w:val="22"/>
          <w:lang w:val="en-US"/>
        </w:rPr>
        <w:t>VI</w:t>
      </w:r>
      <w:r>
        <w:rPr>
          <w:b/>
          <w:sz w:val="22"/>
        </w:rPr>
        <w:t>.2.</w:t>
      </w:r>
      <w:r>
        <w:rPr>
          <w:b/>
          <w:sz w:val="22"/>
        </w:rPr>
        <w:tab/>
        <w:t>Национальный план действий в интересах женщин, проживающих в сельской местности</w:t>
      </w:r>
    </w:p>
    <w:p w:rsidR="00000000" w:rsidRDefault="00000000">
      <w:r>
        <w:t>1003.</w:t>
      </w:r>
      <w:r>
        <w:tab/>
        <w:t xml:space="preserve">Исходя из этого, в стратегию </w:t>
      </w:r>
      <w:r>
        <w:rPr>
          <w:lang w:val="en-US"/>
        </w:rPr>
        <w:t>IX</w:t>
      </w:r>
      <w:r>
        <w:t xml:space="preserve"> плана развития были включены задачи по претворению в жизнь национального плана действий в интересах сельских женщин с целью обеспечить лучшую интеграцию сельских женщин в основной процесс развития путем объединения усилий различных участников, использования комплексного подхода с учетом гендерных факторов и осуществления новаторских мероприятий.</w:t>
      </w:r>
    </w:p>
    <w:p w:rsidR="00000000" w:rsidRDefault="00000000">
      <w:pPr>
        <w:spacing w:after="120"/>
      </w:pPr>
      <w:r>
        <w:t>1004.</w:t>
      </w:r>
      <w:r>
        <w:tab/>
        <w:t>Разработанный в 1998 году национальный план действий в интересах женщин, проживающих в сельской местности, строится вокруг шести главных направлений:</w:t>
      </w:r>
    </w:p>
    <w:p w:rsidR="00000000" w:rsidRDefault="00000000">
      <w:pPr>
        <w:spacing w:after="120"/>
      </w:pPr>
      <w:r>
        <w:rPr>
          <w:lang w:val="en-US"/>
        </w:rPr>
        <w:tab/>
      </w:r>
      <w:r>
        <w:t>–</w:t>
      </w:r>
      <w:r>
        <w:tab/>
        <w:t>улучшение условий жизни сельских женщин;</w:t>
      </w:r>
    </w:p>
    <w:p w:rsidR="00000000" w:rsidRDefault="00000000">
      <w:pPr>
        <w:spacing w:after="120"/>
      </w:pPr>
      <w:r>
        <w:tab/>
        <w:t>–</w:t>
      </w:r>
      <w:r>
        <w:tab/>
        <w:t>развитие их способностей и повышение профессионального уровня;</w:t>
      </w:r>
    </w:p>
    <w:p w:rsidR="00000000" w:rsidRDefault="00000000">
      <w:pPr>
        <w:spacing w:after="120"/>
      </w:pPr>
      <w:r>
        <w:tab/>
        <w:t>–</w:t>
      </w:r>
      <w:r>
        <w:tab/>
        <w:t>интеграция в основной экономический цикл, главным образом в сельскохозяйственном секторе;</w:t>
      </w:r>
    </w:p>
    <w:p w:rsidR="00000000" w:rsidRDefault="00000000">
      <w:pPr>
        <w:spacing w:after="120"/>
      </w:pPr>
      <w:r>
        <w:tab/>
        <w:t>–</w:t>
      </w:r>
      <w:r>
        <w:tab/>
        <w:t>улучшение социально-культурных условий;</w:t>
      </w:r>
    </w:p>
    <w:p w:rsidR="00000000" w:rsidRDefault="00000000">
      <w:pPr>
        <w:spacing w:after="120"/>
      </w:pPr>
      <w:r>
        <w:tab/>
        <w:t>–</w:t>
      </w:r>
      <w:r>
        <w:tab/>
        <w:t>оживление общинных процессов;</w:t>
      </w:r>
    </w:p>
    <w:p w:rsidR="00000000" w:rsidRDefault="00000000">
      <w:pPr>
        <w:ind w:left="1021" w:hanging="1021"/>
      </w:pPr>
      <w:r>
        <w:tab/>
        <w:t>–</w:t>
      </w:r>
      <w:r>
        <w:tab/>
        <w:t>признание и оценка вклада сельских женщин в развитие путем выработки соответствующих статистических и методологических инструментов.</w:t>
      </w:r>
    </w:p>
    <w:p w:rsidR="00000000" w:rsidRDefault="00000000">
      <w:r>
        <w:t>1005.</w:t>
      </w:r>
      <w:r>
        <w:tab/>
        <w:t>Подход в осуществлении этого плана действий основывался на принципе участия, включающем планирование по конкретным целям в рамках региональных и национальных консультаций, в которых были задействованы национальные эксперты, руководители департаментов министерств, ответственные лица от НПО и представительницы сельских женщин (активистки, студентки и т. д.).</w:t>
      </w:r>
    </w:p>
    <w:p w:rsidR="00000000" w:rsidRDefault="00000000">
      <w:pPr>
        <w:spacing w:after="120"/>
      </w:pPr>
      <w:r>
        <w:t>1006.</w:t>
      </w:r>
      <w:r>
        <w:tab/>
        <w:t>Одобренный на заседании Совета министров в декабре 1998 года, этот план действий был дополнен инструкциями Президента с целью его конкретизации на уровне регионов, для чего было предусмотрено:</w:t>
      </w:r>
    </w:p>
    <w:p w:rsidR="00000000" w:rsidRDefault="00000000">
      <w:pPr>
        <w:spacing w:after="120"/>
        <w:ind w:left="1021" w:hanging="1021"/>
      </w:pPr>
      <w:r>
        <w:rPr>
          <w:lang w:val="en-US"/>
        </w:rPr>
        <w:tab/>
      </w:r>
      <w:r>
        <w:t>1)</w:t>
      </w:r>
      <w:r>
        <w:tab/>
        <w:t>создание в каждой провинции региональной комиссии во главе с губернатором, задача которой состоит в подготовке, осуществлении и следовании плану действий, адаптированному к особенностям конкретного региона;</w:t>
      </w:r>
    </w:p>
    <w:p w:rsidR="00000000" w:rsidRDefault="00000000">
      <w:pPr>
        <w:spacing w:after="120"/>
      </w:pPr>
      <w:r>
        <w:tab/>
        <w:t>2)</w:t>
      </w:r>
      <w:r>
        <w:tab/>
        <w:t>предоставление людских ресурсов, необходимых для реализации плана действий;</w:t>
      </w:r>
    </w:p>
    <w:p w:rsidR="00000000" w:rsidRDefault="00000000">
      <w:pPr>
        <w:ind w:left="1021" w:hanging="1021"/>
      </w:pPr>
      <w:r>
        <w:tab/>
        <w:t>3)</w:t>
      </w:r>
      <w:r>
        <w:tab/>
        <w:t>начало пилотного эксперимента по созданию "полюсов излучения" в десятке сельских зон, которые будут выполнять стимулирующую роль в оживлении общинной, социально-экономической и культурной жизни регионов, причем особое внимание должно уделяться положению женщин и семей.</w:t>
      </w:r>
    </w:p>
    <w:p w:rsidR="00000000" w:rsidRDefault="00000000">
      <w:r>
        <w:t>1007.</w:t>
      </w:r>
      <w:r>
        <w:tab/>
        <w:t>МДЖС содействует реализации этих региональных планов действия путем специальной подготовки членов региональных комиссий, отвечающих в рамках того или иного плана за определение конкретных целей с учетом гендерных аспектов и развития, а также за использование подхода, основанного на принципе участия. В течение 1999 года МДЖС организовало по три совещания в каждой из географических зон.</w:t>
      </w:r>
    </w:p>
    <w:p w:rsidR="00000000" w:rsidRDefault="00000000">
      <w:r>
        <w:t>1008.</w:t>
      </w:r>
      <w:r>
        <w:tab/>
        <w:t xml:space="preserve">Осуществление этого первого плана действий в отношении сельских женщин продолжится в оставшиеся два года  </w:t>
      </w:r>
      <w:r>
        <w:rPr>
          <w:lang w:val="en-US"/>
        </w:rPr>
        <w:t>IX</w:t>
      </w:r>
      <w:r>
        <w:t xml:space="preserve"> плана. Другие планы комплексных действий, интегрированные в будущие планы экономического и социального развития, станут продолжением деятельности по улучшению положения тунисских женщин, проживающих в сельской местности.</w:t>
      </w:r>
    </w:p>
    <w:p w:rsidR="00000000" w:rsidRDefault="00000000">
      <w:pPr>
        <w:spacing w:before="120" w:line="260" w:lineRule="exact"/>
        <w:rPr>
          <w:b/>
          <w:sz w:val="22"/>
        </w:rPr>
      </w:pPr>
      <w:r>
        <w:rPr>
          <w:b/>
          <w:sz w:val="22"/>
          <w:lang w:val="en-US"/>
        </w:rPr>
        <w:t>VI</w:t>
      </w:r>
      <w:r>
        <w:rPr>
          <w:b/>
          <w:sz w:val="22"/>
        </w:rPr>
        <w:t>.3.</w:t>
      </w:r>
      <w:r>
        <w:rPr>
          <w:b/>
          <w:sz w:val="22"/>
        </w:rPr>
        <w:tab/>
        <w:t>Механизмы в поддержку женских микропредприятий</w:t>
      </w:r>
    </w:p>
    <w:p w:rsidR="00000000" w:rsidRDefault="00000000">
      <w:r>
        <w:t>1009.</w:t>
      </w:r>
      <w:r>
        <w:tab/>
        <w:t>Осуществляя свою стратегию по улучшению положения сельских женщин, МДЖС выделяет более двух третей средств, получаемых в рамках международного и двустороннего сотрудничества, на проекты, инициированные НПО в интересах сельских женщин и их семей.</w:t>
      </w:r>
    </w:p>
    <w:p w:rsidR="00000000" w:rsidRDefault="00000000">
      <w:r>
        <w:t>1010.</w:t>
      </w:r>
      <w:r>
        <w:tab/>
        <w:t xml:space="preserve">Во исполнение положений двустороннего тунисско-шведского соглашения, касающегося создания Фонда развития в интересах женщин и защиты окружающей среды в Тунисе, МДЖС профинансировало с </w:t>
      </w:r>
      <w:r>
        <w:br/>
        <w:t>1995 по 1997 год 21 проект на общую сумму 2,5 млн. динаров. Их осуществление было поручено НПО.</w:t>
      </w:r>
    </w:p>
    <w:p w:rsidR="00000000" w:rsidRDefault="00000000">
      <w:pPr>
        <w:rPr>
          <w:spacing w:val="2"/>
        </w:rPr>
      </w:pPr>
      <w:r>
        <w:t>1011.</w:t>
      </w:r>
      <w:r>
        <w:tab/>
      </w:r>
      <w:r>
        <w:rPr>
          <w:spacing w:val="2"/>
        </w:rPr>
        <w:t>Осуществленные проекты (семь) в рамках первого транша, в частности, были нацелены на обеспечение более качественной профессиональной подготовки и вовлечение сельских девушек в экономику (23 процента средств), на помощь в создании постоянных источников доходов (19 процентов), на улучшение условий жизни наименее обеспеченных сельских женщин и семей путем облегчения ежедневных забот и усилий, связанных с обеспечением семьи питьевой водой и заготовкой дров для отопления, с приготовлением пищи и отоплением (21 процент). Следует придать большее значение роли женщины в обществе путем активизации действий в области информации и коммуникации и пропаганды культурного творчества женщин (23 процента) и, наконец, повысить успеваемость в сельских школах путем улучшения условий для обучения в них (5 процентов).</w:t>
      </w:r>
    </w:p>
    <w:p w:rsidR="00000000" w:rsidRDefault="00000000">
      <w:r>
        <w:t>1012.</w:t>
      </w:r>
      <w:r>
        <w:tab/>
        <w:t>Другие проекты начали осуществляться в 1998 году: порядка десятка проектов в области развития, реализуемых НПО (ТССС, НСТЖ, Ассоциация по улучшению положения в области занятости и жилья, "Окружающая среда и развитие", Ассоциация по содействию саморазвитию, Ассоциация женщин по долгосрочному развитию и др.) в поддержку малоимущих женщин на сумму 223 тыс. динаров. Они главным образом оказали положительное воздействие на зоны, входящие в круг ведения ФНС (26–26).</w:t>
      </w:r>
    </w:p>
    <w:p w:rsidR="00000000" w:rsidRDefault="00000000">
      <w:r>
        <w:t>1013.</w:t>
      </w:r>
      <w:r>
        <w:tab/>
        <w:t>Семь других пилотных проектов, осуществляемых НПО, должны начаться в 1999 году в рамках сотрудничества со шведским фондом, что видно из таблицы, ниже:</w:t>
      </w:r>
    </w:p>
    <w:p w:rsidR="00000000" w:rsidRDefault="00000000">
      <w:pPr>
        <w:jc w:val="center"/>
        <w:rPr>
          <w:b/>
        </w:rPr>
      </w:pPr>
      <w:r>
        <w:rPr>
          <w:b/>
        </w:rPr>
        <w:t>Проекты, осуществляемые в рамках перераспределения долга за 1995–1998 годы</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51"/>
        <w:gridCol w:w="6421"/>
      </w:tblGrid>
      <w:tr w:rsidR="00000000">
        <w:tblPrEx>
          <w:tblCellMar>
            <w:top w:w="0" w:type="dxa"/>
            <w:bottom w:w="0" w:type="dxa"/>
          </w:tblCellMar>
        </w:tblPrEx>
        <w:trPr>
          <w:jc w:val="center"/>
        </w:trPr>
        <w:tc>
          <w:tcPr>
            <w:tcW w:w="2651" w:type="dxa"/>
          </w:tcPr>
          <w:p w:rsidR="00000000" w:rsidRDefault="00000000">
            <w:pPr>
              <w:spacing w:before="120" w:after="120" w:line="220" w:lineRule="exact"/>
              <w:jc w:val="left"/>
              <w:rPr>
                <w:b/>
                <w:sz w:val="18"/>
              </w:rPr>
            </w:pPr>
            <w:r>
              <w:rPr>
                <w:b/>
                <w:sz w:val="18"/>
              </w:rPr>
              <w:t>НПО</w:t>
            </w:r>
          </w:p>
        </w:tc>
        <w:tc>
          <w:tcPr>
            <w:tcW w:w="6421" w:type="dxa"/>
          </w:tcPr>
          <w:p w:rsidR="00000000" w:rsidRDefault="00000000">
            <w:pPr>
              <w:spacing w:before="120" w:after="120" w:line="220" w:lineRule="exact"/>
              <w:jc w:val="left"/>
              <w:rPr>
                <w:b/>
                <w:sz w:val="18"/>
              </w:rPr>
            </w:pPr>
            <w:r>
              <w:rPr>
                <w:b/>
                <w:sz w:val="18"/>
              </w:rPr>
              <w:t>Название проекта</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НСТЖ</w:t>
            </w:r>
          </w:p>
        </w:tc>
        <w:tc>
          <w:tcPr>
            <w:tcW w:w="6421" w:type="dxa"/>
          </w:tcPr>
          <w:p w:rsidR="00000000" w:rsidRDefault="00000000">
            <w:pPr>
              <w:spacing w:before="100" w:after="80" w:line="220" w:lineRule="exact"/>
              <w:jc w:val="left"/>
              <w:rPr>
                <w:sz w:val="18"/>
              </w:rPr>
            </w:pPr>
            <w:r>
              <w:rPr>
                <w:sz w:val="18"/>
              </w:rPr>
              <w:t>Обучение – профессиональная интеграция (фаза 1 и 2)</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НСТЖ</w:t>
            </w:r>
          </w:p>
        </w:tc>
        <w:tc>
          <w:tcPr>
            <w:tcW w:w="6421" w:type="dxa"/>
          </w:tcPr>
          <w:p w:rsidR="00000000" w:rsidRDefault="00000000">
            <w:pPr>
              <w:spacing w:before="100" w:after="80" w:line="220" w:lineRule="exact"/>
              <w:jc w:val="left"/>
              <w:rPr>
                <w:sz w:val="18"/>
              </w:rPr>
            </w:pPr>
            <w:r>
              <w:rPr>
                <w:sz w:val="18"/>
              </w:rPr>
              <w:t>Вышивание как ремесло в Махдия</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НСТЖ</w:t>
            </w:r>
          </w:p>
        </w:tc>
        <w:tc>
          <w:tcPr>
            <w:tcW w:w="6421" w:type="dxa"/>
          </w:tcPr>
          <w:p w:rsidR="00000000" w:rsidRDefault="00000000">
            <w:pPr>
              <w:spacing w:before="100" w:after="80" w:line="220" w:lineRule="exact"/>
              <w:jc w:val="left"/>
              <w:rPr>
                <w:sz w:val="18"/>
              </w:rPr>
            </w:pPr>
            <w:r>
              <w:rPr>
                <w:sz w:val="18"/>
              </w:rPr>
              <w:t>Улучшение условий жизни сельских семей в уэде Эль-Абид</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НСТЖ</w:t>
            </w:r>
          </w:p>
        </w:tc>
        <w:tc>
          <w:tcPr>
            <w:tcW w:w="6421" w:type="dxa"/>
          </w:tcPr>
          <w:p w:rsidR="00000000" w:rsidRDefault="00000000">
            <w:pPr>
              <w:spacing w:before="100" w:after="80" w:line="220" w:lineRule="exact"/>
              <w:jc w:val="left"/>
              <w:rPr>
                <w:sz w:val="18"/>
              </w:rPr>
            </w:pPr>
            <w:r>
              <w:rPr>
                <w:sz w:val="18"/>
              </w:rPr>
              <w:t>Улучшение условий жизни сельских семей в уэде Дхрифаллахе</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ТССС</w:t>
            </w:r>
          </w:p>
        </w:tc>
        <w:tc>
          <w:tcPr>
            <w:tcW w:w="6421" w:type="dxa"/>
          </w:tcPr>
          <w:p w:rsidR="00000000" w:rsidRDefault="00000000">
            <w:pPr>
              <w:spacing w:before="100" w:after="80" w:line="220" w:lineRule="exact"/>
              <w:jc w:val="left"/>
              <w:rPr>
                <w:sz w:val="18"/>
              </w:rPr>
            </w:pPr>
            <w:r>
              <w:rPr>
                <w:sz w:val="18"/>
              </w:rPr>
              <w:t>Интеграция сельских женщин в Эль-Маджре</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Фонд АТЛАС для саморазвития и солидарности</w:t>
            </w:r>
          </w:p>
        </w:tc>
        <w:tc>
          <w:tcPr>
            <w:tcW w:w="6421" w:type="dxa"/>
          </w:tcPr>
          <w:p w:rsidR="00000000" w:rsidRDefault="00000000">
            <w:pPr>
              <w:spacing w:before="100" w:after="80" w:line="220" w:lineRule="exact"/>
              <w:jc w:val="left"/>
              <w:rPr>
                <w:sz w:val="18"/>
              </w:rPr>
            </w:pPr>
            <w:r>
              <w:rPr>
                <w:sz w:val="18"/>
              </w:rPr>
              <w:t>Пропаганда ремесленнической деятельности женщин в Сааде</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Фонд Эль-Кеф за региональное развитие</w:t>
            </w:r>
          </w:p>
        </w:tc>
        <w:tc>
          <w:tcPr>
            <w:tcW w:w="6421" w:type="dxa"/>
          </w:tcPr>
          <w:p w:rsidR="00000000" w:rsidRDefault="00000000">
            <w:pPr>
              <w:spacing w:before="100" w:after="80" w:line="220" w:lineRule="exact"/>
              <w:jc w:val="left"/>
              <w:rPr>
                <w:sz w:val="18"/>
              </w:rPr>
            </w:pPr>
            <w:r>
              <w:rPr>
                <w:sz w:val="18"/>
              </w:rPr>
              <w:t>Улучшение условий жизни сельских женщин в Бир-Хеди</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Путь ребенка</w:t>
            </w:r>
          </w:p>
        </w:tc>
        <w:tc>
          <w:tcPr>
            <w:tcW w:w="6421" w:type="dxa"/>
          </w:tcPr>
          <w:p w:rsidR="00000000" w:rsidRDefault="00000000">
            <w:pPr>
              <w:spacing w:before="100" w:after="80" w:line="220" w:lineRule="exact"/>
              <w:jc w:val="left"/>
              <w:rPr>
                <w:sz w:val="18"/>
              </w:rPr>
            </w:pPr>
            <w:r>
              <w:rPr>
                <w:sz w:val="18"/>
              </w:rPr>
              <w:t xml:space="preserve">Строительство и оборудование социально-образовательного центра </w:t>
            </w:r>
            <w:r>
              <w:rPr>
                <w:sz w:val="18"/>
              </w:rPr>
              <w:br/>
              <w:t>в Ум Эль-Абуаде</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ЦНИДИЖ</w:t>
            </w:r>
          </w:p>
        </w:tc>
        <w:tc>
          <w:tcPr>
            <w:tcW w:w="6421" w:type="dxa"/>
          </w:tcPr>
          <w:p w:rsidR="00000000" w:rsidRDefault="00000000">
            <w:pPr>
              <w:spacing w:before="100" w:after="80" w:line="220" w:lineRule="exact"/>
              <w:jc w:val="left"/>
              <w:rPr>
                <w:sz w:val="18"/>
              </w:rPr>
            </w:pPr>
            <w:r>
              <w:rPr>
                <w:sz w:val="18"/>
              </w:rPr>
              <w:t>Раздел "Информация–Коммуникация"</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ЦНИДИЖ</w:t>
            </w:r>
          </w:p>
        </w:tc>
        <w:tc>
          <w:tcPr>
            <w:tcW w:w="6421" w:type="dxa"/>
          </w:tcPr>
          <w:p w:rsidR="00000000" w:rsidRDefault="00000000">
            <w:pPr>
              <w:spacing w:before="100" w:after="80" w:line="220" w:lineRule="exact"/>
              <w:jc w:val="left"/>
              <w:rPr>
                <w:sz w:val="18"/>
              </w:rPr>
            </w:pPr>
            <w:r>
              <w:rPr>
                <w:sz w:val="18"/>
              </w:rPr>
              <w:t>Раздел "Культура"</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ТССС</w:t>
            </w:r>
          </w:p>
        </w:tc>
        <w:tc>
          <w:tcPr>
            <w:tcW w:w="6421" w:type="dxa"/>
          </w:tcPr>
          <w:p w:rsidR="00000000" w:rsidRDefault="00000000">
            <w:pPr>
              <w:spacing w:before="100" w:after="80" w:line="220" w:lineRule="exact"/>
              <w:jc w:val="left"/>
              <w:rPr>
                <w:sz w:val="18"/>
              </w:rPr>
            </w:pPr>
            <w:r>
              <w:rPr>
                <w:sz w:val="18"/>
              </w:rPr>
              <w:t>Вовлечение сельских девушек в экономику в Тхибаре</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ТССС</w:t>
            </w:r>
          </w:p>
        </w:tc>
        <w:tc>
          <w:tcPr>
            <w:tcW w:w="6421" w:type="dxa"/>
          </w:tcPr>
          <w:p w:rsidR="00000000" w:rsidRDefault="00000000">
            <w:pPr>
              <w:spacing w:before="100" w:after="80" w:line="220" w:lineRule="exact"/>
              <w:jc w:val="left"/>
              <w:rPr>
                <w:sz w:val="18"/>
              </w:rPr>
            </w:pPr>
            <w:r>
              <w:rPr>
                <w:sz w:val="18"/>
              </w:rPr>
              <w:t>Стимулирование ткачества в горных районах</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Ассоциация женщин за долгосрочное развитие</w:t>
            </w:r>
          </w:p>
        </w:tc>
        <w:tc>
          <w:tcPr>
            <w:tcW w:w="6421" w:type="dxa"/>
          </w:tcPr>
          <w:p w:rsidR="00000000" w:rsidRDefault="00000000">
            <w:pPr>
              <w:spacing w:before="100" w:after="80" w:line="220" w:lineRule="exact"/>
              <w:jc w:val="left"/>
              <w:rPr>
                <w:sz w:val="18"/>
              </w:rPr>
            </w:pPr>
            <w:r>
              <w:rPr>
                <w:sz w:val="18"/>
              </w:rPr>
              <w:t>Улучшение положения женщин и защита окружающей среды</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Ассоциация по улучшению положения в области занятости и жилья</w:t>
            </w:r>
          </w:p>
        </w:tc>
        <w:tc>
          <w:tcPr>
            <w:tcW w:w="6421" w:type="dxa"/>
          </w:tcPr>
          <w:p w:rsidR="00000000" w:rsidRDefault="00000000">
            <w:pPr>
              <w:spacing w:before="100" w:after="80" w:line="220" w:lineRule="exact"/>
              <w:jc w:val="left"/>
              <w:rPr>
                <w:sz w:val="18"/>
              </w:rPr>
            </w:pPr>
            <w:r>
              <w:rPr>
                <w:sz w:val="18"/>
              </w:rPr>
              <w:t>Помощь сельским женщинам в Ататфе</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АТЛАС</w:t>
            </w:r>
          </w:p>
        </w:tc>
        <w:tc>
          <w:tcPr>
            <w:tcW w:w="6421" w:type="dxa"/>
          </w:tcPr>
          <w:p w:rsidR="00000000" w:rsidRDefault="00000000">
            <w:pPr>
              <w:spacing w:before="100" w:after="80" w:line="220" w:lineRule="exact"/>
              <w:jc w:val="left"/>
              <w:rPr>
                <w:sz w:val="18"/>
              </w:rPr>
            </w:pPr>
            <w:r>
              <w:rPr>
                <w:sz w:val="18"/>
              </w:rPr>
              <w:t>Строительство Регионального реабилитационного центра для глухих</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ТАМ</w:t>
            </w:r>
          </w:p>
        </w:tc>
        <w:tc>
          <w:tcPr>
            <w:tcW w:w="6421" w:type="dxa"/>
          </w:tcPr>
          <w:p w:rsidR="00000000" w:rsidRDefault="00000000">
            <w:pPr>
              <w:spacing w:before="100" w:after="80" w:line="220" w:lineRule="exact"/>
              <w:jc w:val="left"/>
              <w:rPr>
                <w:sz w:val="18"/>
              </w:rPr>
            </w:pPr>
            <w:r>
              <w:rPr>
                <w:sz w:val="18"/>
              </w:rPr>
              <w:t xml:space="preserve">Строительство и оборудование профилактического центра для предотвращения физических недостатков у детей </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Ассоциация Кайруана по саморазвитию</w:t>
            </w:r>
          </w:p>
        </w:tc>
        <w:tc>
          <w:tcPr>
            <w:tcW w:w="6421" w:type="dxa"/>
          </w:tcPr>
          <w:p w:rsidR="00000000" w:rsidRDefault="00000000">
            <w:pPr>
              <w:spacing w:before="100" w:after="80" w:line="220" w:lineRule="exact"/>
              <w:jc w:val="left"/>
              <w:rPr>
                <w:sz w:val="18"/>
              </w:rPr>
            </w:pPr>
            <w:r>
              <w:rPr>
                <w:sz w:val="18"/>
              </w:rPr>
              <w:t>Помощь в развитии населенного пункта Джбиль</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АСАД</w:t>
            </w:r>
          </w:p>
        </w:tc>
        <w:tc>
          <w:tcPr>
            <w:tcW w:w="6421" w:type="dxa"/>
          </w:tcPr>
          <w:p w:rsidR="00000000" w:rsidRDefault="00000000">
            <w:pPr>
              <w:spacing w:before="100" w:after="80" w:line="220" w:lineRule="exact"/>
              <w:jc w:val="left"/>
              <w:rPr>
                <w:sz w:val="18"/>
              </w:rPr>
            </w:pPr>
            <w:r>
              <w:rPr>
                <w:sz w:val="18"/>
              </w:rPr>
              <w:t>Поддержка женщин, желающих устроиться на работу</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МДЖС</w:t>
            </w:r>
          </w:p>
        </w:tc>
        <w:tc>
          <w:tcPr>
            <w:tcW w:w="6421" w:type="dxa"/>
          </w:tcPr>
          <w:p w:rsidR="00000000" w:rsidRDefault="00000000">
            <w:pPr>
              <w:spacing w:before="100" w:after="80" w:line="220" w:lineRule="exact"/>
              <w:jc w:val="left"/>
              <w:rPr>
                <w:sz w:val="18"/>
              </w:rPr>
            </w:pPr>
            <w:r>
              <w:rPr>
                <w:sz w:val="18"/>
              </w:rPr>
              <w:t>Издание аудиовизуального журнала</w:t>
            </w:r>
          </w:p>
        </w:tc>
      </w:tr>
      <w:tr w:rsidR="00000000">
        <w:tblPrEx>
          <w:tblCellMar>
            <w:top w:w="0" w:type="dxa"/>
            <w:bottom w:w="0" w:type="dxa"/>
          </w:tblCellMar>
        </w:tblPrEx>
        <w:trPr>
          <w:jc w:val="center"/>
        </w:trPr>
        <w:tc>
          <w:tcPr>
            <w:tcW w:w="2651" w:type="dxa"/>
          </w:tcPr>
          <w:p w:rsidR="00000000" w:rsidRDefault="00000000">
            <w:pPr>
              <w:spacing w:before="100" w:after="80" w:line="220" w:lineRule="exact"/>
              <w:jc w:val="left"/>
              <w:rPr>
                <w:sz w:val="18"/>
              </w:rPr>
            </w:pPr>
            <w:r>
              <w:rPr>
                <w:sz w:val="18"/>
              </w:rPr>
              <w:t>"Окружающая среда и развитие"</w:t>
            </w:r>
          </w:p>
        </w:tc>
        <w:tc>
          <w:tcPr>
            <w:tcW w:w="6421" w:type="dxa"/>
          </w:tcPr>
          <w:p w:rsidR="00000000" w:rsidRDefault="00000000">
            <w:pPr>
              <w:spacing w:before="100" w:after="80" w:line="220" w:lineRule="exact"/>
              <w:jc w:val="left"/>
              <w:rPr>
                <w:sz w:val="18"/>
              </w:rPr>
            </w:pPr>
            <w:r>
              <w:rPr>
                <w:sz w:val="18"/>
              </w:rPr>
              <w:t>Поддержка микропредприятия в Хай Эттадхамене</w:t>
            </w:r>
          </w:p>
        </w:tc>
      </w:tr>
    </w:tbl>
    <w:p w:rsidR="00000000" w:rsidRDefault="00000000">
      <w:pPr>
        <w:spacing w:before="120"/>
        <w:ind w:right="289"/>
        <w:jc w:val="right"/>
        <w:rPr>
          <w:b/>
          <w:sz w:val="18"/>
        </w:rPr>
      </w:pPr>
      <w:r>
        <w:rPr>
          <w:b/>
          <w:sz w:val="18"/>
        </w:rPr>
        <w:t>Источник: МДЖС</w:t>
      </w:r>
    </w:p>
    <w:p w:rsidR="00000000" w:rsidRDefault="00000000">
      <w:pPr>
        <w:jc w:val="center"/>
        <w:rPr>
          <w:b/>
        </w:rPr>
      </w:pPr>
      <w:r>
        <w:rPr>
          <w:b/>
        </w:rPr>
        <w:t>Проекты, предложенные в рамках перераспределения долга за 1999 год</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536"/>
      </w:tblGrid>
      <w:tr w:rsidR="00000000">
        <w:tblPrEx>
          <w:tblCellMar>
            <w:top w:w="0" w:type="dxa"/>
            <w:bottom w:w="0" w:type="dxa"/>
          </w:tblCellMar>
        </w:tblPrEx>
        <w:trPr>
          <w:jc w:val="center"/>
        </w:trPr>
        <w:tc>
          <w:tcPr>
            <w:tcW w:w="4536" w:type="dxa"/>
          </w:tcPr>
          <w:p w:rsidR="00000000" w:rsidRDefault="00000000">
            <w:pPr>
              <w:spacing w:before="80" w:after="80" w:line="220" w:lineRule="exact"/>
              <w:jc w:val="left"/>
              <w:rPr>
                <w:b/>
                <w:sz w:val="18"/>
              </w:rPr>
            </w:pPr>
            <w:r>
              <w:rPr>
                <w:b/>
                <w:sz w:val="18"/>
              </w:rPr>
              <w:t>НПО</w:t>
            </w:r>
          </w:p>
        </w:tc>
        <w:tc>
          <w:tcPr>
            <w:tcW w:w="4536" w:type="dxa"/>
          </w:tcPr>
          <w:p w:rsidR="00000000" w:rsidRDefault="00000000">
            <w:pPr>
              <w:spacing w:before="80" w:after="80" w:line="220" w:lineRule="exact"/>
              <w:jc w:val="left"/>
              <w:rPr>
                <w:b/>
                <w:sz w:val="18"/>
              </w:rPr>
            </w:pPr>
            <w:r>
              <w:rPr>
                <w:b/>
                <w:sz w:val="18"/>
              </w:rPr>
              <w:t>Название проекта</w:t>
            </w:r>
          </w:p>
        </w:tc>
      </w:tr>
      <w:tr w:rsidR="00000000">
        <w:tblPrEx>
          <w:tblCellMar>
            <w:top w:w="0" w:type="dxa"/>
            <w:bottom w:w="0" w:type="dxa"/>
          </w:tblCellMar>
        </w:tblPrEx>
        <w:trPr>
          <w:jc w:val="center"/>
        </w:trPr>
        <w:tc>
          <w:tcPr>
            <w:tcW w:w="4536" w:type="dxa"/>
          </w:tcPr>
          <w:p w:rsidR="00000000" w:rsidRDefault="00000000">
            <w:pPr>
              <w:spacing w:before="80" w:after="80" w:line="220" w:lineRule="exact"/>
              <w:jc w:val="left"/>
              <w:rPr>
                <w:sz w:val="18"/>
              </w:rPr>
            </w:pPr>
            <w:r>
              <w:rPr>
                <w:sz w:val="18"/>
              </w:rPr>
              <w:t>Тунисская федерация социальной солидарности (ТФСС)</w:t>
            </w:r>
          </w:p>
        </w:tc>
        <w:tc>
          <w:tcPr>
            <w:tcW w:w="4536" w:type="dxa"/>
          </w:tcPr>
          <w:p w:rsidR="00000000" w:rsidRDefault="00000000">
            <w:pPr>
              <w:spacing w:before="80" w:after="80" w:line="220" w:lineRule="exact"/>
              <w:jc w:val="left"/>
              <w:rPr>
                <w:sz w:val="18"/>
              </w:rPr>
            </w:pPr>
            <w:r>
              <w:rPr>
                <w:sz w:val="18"/>
              </w:rPr>
              <w:t>Программа по приносящим доход видам деятельности в интересах женщин</w:t>
            </w:r>
          </w:p>
        </w:tc>
      </w:tr>
      <w:tr w:rsidR="00000000">
        <w:tblPrEx>
          <w:tblCellMar>
            <w:top w:w="0" w:type="dxa"/>
            <w:bottom w:w="0" w:type="dxa"/>
          </w:tblCellMar>
        </w:tblPrEx>
        <w:trPr>
          <w:jc w:val="center"/>
        </w:trPr>
        <w:tc>
          <w:tcPr>
            <w:tcW w:w="4536" w:type="dxa"/>
          </w:tcPr>
          <w:p w:rsidR="00000000" w:rsidRDefault="00000000">
            <w:pPr>
              <w:spacing w:before="80" w:after="80" w:line="220" w:lineRule="exact"/>
              <w:jc w:val="left"/>
              <w:rPr>
                <w:sz w:val="18"/>
              </w:rPr>
            </w:pPr>
            <w:r>
              <w:rPr>
                <w:sz w:val="18"/>
              </w:rPr>
              <w:t>"Окружающая среда и развитие в арабском мире"</w:t>
            </w:r>
          </w:p>
        </w:tc>
        <w:tc>
          <w:tcPr>
            <w:tcW w:w="4536" w:type="dxa"/>
          </w:tcPr>
          <w:p w:rsidR="00000000" w:rsidRDefault="00000000">
            <w:pPr>
              <w:spacing w:before="80" w:after="80" w:line="220" w:lineRule="exact"/>
              <w:jc w:val="left"/>
              <w:rPr>
                <w:sz w:val="18"/>
              </w:rPr>
            </w:pPr>
            <w:r>
              <w:rPr>
                <w:sz w:val="18"/>
              </w:rPr>
              <w:t>Поддержка при создании женских микропредприятий</w:t>
            </w:r>
          </w:p>
        </w:tc>
      </w:tr>
      <w:tr w:rsidR="00000000">
        <w:tblPrEx>
          <w:tblCellMar>
            <w:top w:w="0" w:type="dxa"/>
            <w:bottom w:w="0" w:type="dxa"/>
          </w:tblCellMar>
        </w:tblPrEx>
        <w:trPr>
          <w:jc w:val="center"/>
        </w:trPr>
        <w:tc>
          <w:tcPr>
            <w:tcW w:w="4536" w:type="dxa"/>
          </w:tcPr>
          <w:p w:rsidR="00000000" w:rsidRDefault="00000000">
            <w:pPr>
              <w:spacing w:before="80" w:after="80" w:line="220" w:lineRule="exact"/>
              <w:jc w:val="left"/>
              <w:rPr>
                <w:sz w:val="18"/>
              </w:rPr>
            </w:pPr>
            <w:r>
              <w:rPr>
                <w:sz w:val="18"/>
              </w:rPr>
              <w:t>Тунисский союз социальной солидарности (ТССС)</w:t>
            </w:r>
          </w:p>
        </w:tc>
        <w:tc>
          <w:tcPr>
            <w:tcW w:w="4536" w:type="dxa"/>
          </w:tcPr>
          <w:p w:rsidR="00000000" w:rsidRDefault="00000000">
            <w:pPr>
              <w:spacing w:before="80" w:after="80" w:line="220" w:lineRule="exact"/>
              <w:jc w:val="left"/>
              <w:rPr>
                <w:sz w:val="18"/>
              </w:rPr>
            </w:pPr>
            <w:r>
              <w:rPr>
                <w:sz w:val="18"/>
              </w:rPr>
              <w:t>Программа пропаганды производительной занятости женщин</w:t>
            </w:r>
          </w:p>
        </w:tc>
      </w:tr>
      <w:tr w:rsidR="00000000">
        <w:tblPrEx>
          <w:tblCellMar>
            <w:top w:w="0" w:type="dxa"/>
            <w:bottom w:w="0" w:type="dxa"/>
          </w:tblCellMar>
        </w:tblPrEx>
        <w:trPr>
          <w:jc w:val="center"/>
        </w:trPr>
        <w:tc>
          <w:tcPr>
            <w:tcW w:w="4536" w:type="dxa"/>
          </w:tcPr>
          <w:p w:rsidR="00000000" w:rsidRDefault="00000000">
            <w:pPr>
              <w:spacing w:before="80" w:after="80" w:line="220" w:lineRule="exact"/>
              <w:jc w:val="left"/>
              <w:rPr>
                <w:sz w:val="18"/>
              </w:rPr>
            </w:pPr>
            <w:r>
              <w:rPr>
                <w:sz w:val="18"/>
              </w:rPr>
              <w:t>Ассоциация в поддержку саморазвития (АПСР)</w:t>
            </w:r>
          </w:p>
        </w:tc>
        <w:tc>
          <w:tcPr>
            <w:tcW w:w="4536" w:type="dxa"/>
          </w:tcPr>
          <w:p w:rsidR="00000000" w:rsidRDefault="00000000">
            <w:pPr>
              <w:spacing w:before="80" w:after="80" w:line="220" w:lineRule="exact"/>
              <w:jc w:val="left"/>
              <w:rPr>
                <w:sz w:val="18"/>
              </w:rPr>
            </w:pPr>
            <w:r>
              <w:rPr>
                <w:sz w:val="18"/>
              </w:rPr>
              <w:t>Расширение женской занятости</w:t>
            </w:r>
          </w:p>
        </w:tc>
      </w:tr>
      <w:tr w:rsidR="00000000">
        <w:tblPrEx>
          <w:tblCellMar>
            <w:top w:w="0" w:type="dxa"/>
            <w:bottom w:w="0" w:type="dxa"/>
          </w:tblCellMar>
        </w:tblPrEx>
        <w:trPr>
          <w:jc w:val="center"/>
        </w:trPr>
        <w:tc>
          <w:tcPr>
            <w:tcW w:w="4536" w:type="dxa"/>
          </w:tcPr>
          <w:p w:rsidR="00000000" w:rsidRDefault="00000000">
            <w:pPr>
              <w:spacing w:before="80" w:after="80" w:line="220" w:lineRule="exact"/>
              <w:jc w:val="left"/>
              <w:rPr>
                <w:sz w:val="18"/>
              </w:rPr>
            </w:pPr>
            <w:r>
              <w:rPr>
                <w:sz w:val="18"/>
              </w:rPr>
              <w:t>Тунисская ассоциация планирования семьи (ТАПС)</w:t>
            </w:r>
          </w:p>
        </w:tc>
        <w:tc>
          <w:tcPr>
            <w:tcW w:w="4536" w:type="dxa"/>
          </w:tcPr>
          <w:p w:rsidR="00000000" w:rsidRDefault="00000000">
            <w:pPr>
              <w:spacing w:before="80" w:after="80" w:line="220" w:lineRule="exact"/>
              <w:jc w:val="left"/>
              <w:rPr>
                <w:sz w:val="18"/>
              </w:rPr>
            </w:pPr>
            <w:r>
              <w:rPr>
                <w:sz w:val="18"/>
              </w:rPr>
              <w:t>Репродуктивное здоровье и сельская семья</w:t>
            </w:r>
          </w:p>
        </w:tc>
      </w:tr>
      <w:tr w:rsidR="00000000">
        <w:tblPrEx>
          <w:tblCellMar>
            <w:top w:w="0" w:type="dxa"/>
            <w:bottom w:w="0" w:type="dxa"/>
          </w:tblCellMar>
        </w:tblPrEx>
        <w:trPr>
          <w:jc w:val="center"/>
        </w:trPr>
        <w:tc>
          <w:tcPr>
            <w:tcW w:w="4536" w:type="dxa"/>
          </w:tcPr>
          <w:p w:rsidR="00000000" w:rsidRDefault="00000000">
            <w:pPr>
              <w:spacing w:before="80" w:after="80" w:line="220" w:lineRule="exact"/>
              <w:jc w:val="left"/>
              <w:rPr>
                <w:sz w:val="18"/>
              </w:rPr>
            </w:pPr>
            <w:r>
              <w:rPr>
                <w:sz w:val="18"/>
              </w:rPr>
              <w:t>Ассоциация развития и прогресса Метлин (АРПМ)</w:t>
            </w:r>
          </w:p>
        </w:tc>
        <w:tc>
          <w:tcPr>
            <w:tcW w:w="4536" w:type="dxa"/>
          </w:tcPr>
          <w:p w:rsidR="00000000" w:rsidRDefault="00000000">
            <w:pPr>
              <w:spacing w:before="80" w:after="80" w:line="220" w:lineRule="exact"/>
              <w:jc w:val="left"/>
              <w:rPr>
                <w:sz w:val="18"/>
              </w:rPr>
            </w:pPr>
            <w:r>
              <w:rPr>
                <w:sz w:val="18"/>
              </w:rPr>
              <w:t>Расширение женской занятости</w:t>
            </w:r>
          </w:p>
        </w:tc>
      </w:tr>
      <w:tr w:rsidR="00000000">
        <w:tblPrEx>
          <w:tblCellMar>
            <w:top w:w="0" w:type="dxa"/>
            <w:bottom w:w="0" w:type="dxa"/>
          </w:tblCellMar>
        </w:tblPrEx>
        <w:trPr>
          <w:jc w:val="center"/>
        </w:trPr>
        <w:tc>
          <w:tcPr>
            <w:tcW w:w="4536" w:type="dxa"/>
          </w:tcPr>
          <w:p w:rsidR="00000000" w:rsidRDefault="00000000">
            <w:pPr>
              <w:spacing w:before="80" w:after="80" w:line="220" w:lineRule="exact"/>
              <w:jc w:val="left"/>
              <w:rPr>
                <w:sz w:val="18"/>
              </w:rPr>
            </w:pPr>
            <w:r>
              <w:rPr>
                <w:sz w:val="18"/>
              </w:rPr>
              <w:t xml:space="preserve">Министерство по делам женщин и семьи </w:t>
            </w:r>
          </w:p>
        </w:tc>
        <w:tc>
          <w:tcPr>
            <w:tcW w:w="4536" w:type="dxa"/>
          </w:tcPr>
          <w:p w:rsidR="00000000" w:rsidRDefault="00000000">
            <w:pPr>
              <w:spacing w:before="80" w:after="80" w:line="220" w:lineRule="exact"/>
              <w:jc w:val="left"/>
              <w:rPr>
                <w:sz w:val="18"/>
              </w:rPr>
            </w:pPr>
            <w:r>
              <w:rPr>
                <w:sz w:val="18"/>
              </w:rPr>
              <w:t>Создание "полюсов излучения"</w:t>
            </w:r>
          </w:p>
        </w:tc>
      </w:tr>
    </w:tbl>
    <w:p w:rsidR="00000000" w:rsidRDefault="00000000">
      <w:pPr>
        <w:spacing w:before="120" w:line="220" w:lineRule="exact"/>
        <w:ind w:right="290"/>
        <w:jc w:val="right"/>
        <w:rPr>
          <w:b/>
          <w:sz w:val="18"/>
        </w:rPr>
      </w:pPr>
      <w:r>
        <w:rPr>
          <w:b/>
          <w:sz w:val="18"/>
        </w:rPr>
        <w:t>Источник: МДЖС</w:t>
      </w:r>
    </w:p>
    <w:p w:rsidR="00000000" w:rsidRDefault="00000000">
      <w:r>
        <w:t>1014.</w:t>
      </w:r>
      <w:r>
        <w:tab/>
        <w:t xml:space="preserve">Чтобы поддержать сельских женщин в их стремлении создать приносящие доход виды деятельности, МДЖС организует начиная с 1998 года по случаю Международного женского дня (8 марта) ежегодные выставки, цель которых – помочь женщинам-предпринимателям в сбыте своей продукции. Для этого в экспериментальном порядке был создан </w:t>
      </w:r>
      <w:r>
        <w:rPr>
          <w:lang w:val="en-US"/>
        </w:rPr>
        <w:t>W</w:t>
      </w:r>
      <w:r>
        <w:t>eb-сайт, с тем чтобы женщины-ремесленницы получили доступ к электронной торговле. Во время работы выставок также организуется обучение по темам создания и управления микропроектами, равно как и инструктирование сотрудников НПО в отношении подхода, основанного на принципе участия.</w:t>
      </w:r>
    </w:p>
    <w:p w:rsidR="00000000" w:rsidRDefault="00000000">
      <w:r>
        <w:t>1015.</w:t>
      </w:r>
      <w:r>
        <w:tab/>
        <w:t>Используя результаты этих экспериментов и исследований в интересах сельских женщин, МДЖС создало механизм технической и финансовой поддержки женских микропредприятий, на основе которого будут осуществляться все действия МДЖС в пользу малоимущих женщин. Первая экспериментальная фаза работы этого механизма при сотрудничестве Всемирного банка, а впоследствии Канадского агентства сотрудничества (КАС) началась в январе 1999 года. Теперь уже подписано соглашение с БТС.</w:t>
      </w:r>
    </w:p>
    <w:p w:rsidR="00000000" w:rsidRDefault="00000000">
      <w:r>
        <w:t>1016.</w:t>
      </w:r>
      <w:r>
        <w:tab/>
        <w:t>Несмотря на то что этот механизм содействия женским микропредприятиям специально разработан для населения и городской, и пригородной зон, а также сельской местности, он, несомненно, окажется очень полезным именно для женщин, проживающих в сельской местности.</w:t>
      </w:r>
    </w:p>
    <w:p w:rsidR="00000000" w:rsidRDefault="00000000">
      <w:pPr>
        <w:spacing w:before="120" w:line="260" w:lineRule="exact"/>
        <w:rPr>
          <w:b/>
          <w:sz w:val="22"/>
        </w:rPr>
      </w:pPr>
      <w:r>
        <w:rPr>
          <w:b/>
          <w:sz w:val="22"/>
          <w:lang w:val="en-US"/>
        </w:rPr>
        <w:t>VI</w:t>
      </w:r>
      <w:r>
        <w:rPr>
          <w:b/>
          <w:sz w:val="22"/>
        </w:rPr>
        <w:t>.4.</w:t>
      </w:r>
      <w:r>
        <w:rPr>
          <w:b/>
          <w:sz w:val="22"/>
        </w:rPr>
        <w:tab/>
        <w:t>Стратегия "Информация – Просвещение – Коммуникация"</w:t>
      </w:r>
    </w:p>
    <w:p w:rsidR="00000000" w:rsidRDefault="00000000">
      <w:r>
        <w:t>1017.</w:t>
      </w:r>
      <w:r>
        <w:tab/>
        <w:t>Сельские женщины также занимают важное место в этой стратегии МДЖС, которое ежегодно организует широкие национальные акции в рамках его программы поддержки малоимущих.</w:t>
      </w:r>
    </w:p>
    <w:p w:rsidR="00000000" w:rsidRDefault="00000000">
      <w:r>
        <w:t>1018.</w:t>
      </w:r>
      <w:r>
        <w:tab/>
        <w:t>В 1997 и 1998 годах в сотрудничестве с Фондом национальной солидарности (26–26) МДЖС организовало два семинара в рамках цикла по профессиональной подготовке, охватывающего 800 женщин — членов комитетов развития в "теневых зонах". Цель этих семинаров состояла в том, чтобы вооружить участниц необходимыми знаниями для содействия женщинам и семьям в их зонах ответственности путем информирования их о правах и завоеваниях женщин, побуждая их к совместным действиям, а также обучая основам создания источников доходов и микропроектов.</w:t>
      </w:r>
    </w:p>
    <w:p w:rsidR="00000000" w:rsidRDefault="00000000">
      <w:r>
        <w:t>1019.</w:t>
      </w:r>
      <w:r>
        <w:tab/>
        <w:t>Министерство способствует более высокой оценке деятельности сельских женщин. "Фестиваль сельских женщин", организованный в 1995 году с участием ста женщин-предпринимателей и представительниц творческих профессий из всех регионов Туниса, позволил лучше оценить вклад сельских женщин в сохранение культурного наследия своих регионов и в придание динамики социально-экономическому развитию в сельской местности. Множество самых разных мероприятий, предложенных по этому случаю (семинар, выставка изделий женщин-мастериц, культурная программа), показало многообразие вклада женщин, проживающих в сельской местности.</w:t>
      </w:r>
    </w:p>
    <w:p w:rsidR="00000000" w:rsidRDefault="00000000">
      <w:r>
        <w:t>1020.</w:t>
      </w:r>
      <w:r>
        <w:tab/>
        <w:t>В сотрудничестве с другими участниками (Национальным бюро по вопросам планирования семьи и народонаселения, Министерством социальных дел, ФНС и т. д.) МДЖС способствовало повышению правовой культуры сельских женщин.</w:t>
      </w:r>
    </w:p>
    <w:p w:rsidR="00000000" w:rsidRDefault="00000000">
      <w:pPr>
        <w:spacing w:before="240" w:line="240" w:lineRule="auto"/>
        <w:rPr>
          <w:b/>
          <w:sz w:val="28"/>
        </w:rPr>
      </w:pPr>
      <w:r>
        <w:rPr>
          <w:b/>
          <w:sz w:val="28"/>
        </w:rPr>
        <w:t>Перспективы</w:t>
      </w:r>
    </w:p>
    <w:p w:rsidR="00000000" w:rsidRDefault="00000000">
      <w:r>
        <w:t>1021.</w:t>
      </w:r>
      <w:r>
        <w:tab/>
        <w:t>Совместные усилия благодаря политике регионального развития, согласованным секторальным действиям и активной деятельности Фонда национальной солидарности и Тунисского банка солидарности привели к явному улучшению качества жизни в сельской среде.</w:t>
      </w:r>
    </w:p>
    <w:p w:rsidR="00000000" w:rsidRDefault="00000000">
      <w:r>
        <w:t>1022.</w:t>
      </w:r>
      <w:r>
        <w:tab/>
        <w:t>Создание новых механизмов и вступление в силу национального плана действий, в дополнение к региональным планам действий в отношении сельских женщин, открывает реальные перспективы для саморазвития и улучшения условий жизни, производства и доступа сельских женщин к различным службам, включая службу помощи в области занятости.</w:t>
      </w:r>
    </w:p>
    <w:p w:rsidR="00000000" w:rsidRDefault="00000000">
      <w:r>
        <w:t>1023.</w:t>
      </w:r>
      <w:r>
        <w:tab/>
        <w:t>В сельской среде женская производительная занятость приобрела значительные масштабы, идет ли речь о сельском хозяйстве, кустарном производстве или промышленности. Это относится как к семейным хозяйствам, так и к оплачиваемой трудовой деятельности. Целые секторы сельскохозяйственного производства держатся преимущественно на женском труде. Доходы значительной части сельского населения тесным образом увязаны с производительной занятостью женщин.</w:t>
      </w:r>
    </w:p>
    <w:p w:rsidR="00000000" w:rsidRDefault="00000000">
      <w:r>
        <w:t>1024.</w:t>
      </w:r>
      <w:r>
        <w:tab/>
        <w:t xml:space="preserve">Начиная с </w:t>
      </w:r>
      <w:r>
        <w:rPr>
          <w:lang w:val="en-US"/>
        </w:rPr>
        <w:t>VIII</w:t>
      </w:r>
      <w:r>
        <w:t xml:space="preserve"> плана улучшение социально-экономического положения женщин и усиление семейных экономических образований в сельской местности фигурируют среди целей политики развития, результатом чего становится создание многочисленных проектов, направленных на улучшение уровня образования и технического обучения сельских женщин и на усиление их возможностей в области производственной деятельности. </w:t>
      </w:r>
    </w:p>
    <w:p w:rsidR="00000000" w:rsidRDefault="00000000">
      <w:pPr>
        <w:spacing w:after="360" w:line="240" w:lineRule="auto"/>
        <w:jc w:val="center"/>
        <w:rPr>
          <w:b/>
          <w:sz w:val="28"/>
        </w:rPr>
      </w:pPr>
      <w:r>
        <w:br w:type="page"/>
      </w:r>
      <w:r>
        <w:rPr>
          <w:b/>
          <w:sz w:val="28"/>
        </w:rPr>
        <w:sym w:font="Qymbol" w:char="F0B7"/>
      </w:r>
      <w:r>
        <w:rPr>
          <w:b/>
          <w:sz w:val="28"/>
        </w:rPr>
        <w:t xml:space="preserve"> Статья 15: Равенство перед законом</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i/>
          <w:lang w:val="en-US"/>
        </w:rPr>
        <w:tab/>
      </w:r>
      <w:r>
        <w:rPr>
          <w:i/>
        </w:rPr>
        <w:t>1.</w:t>
      </w:r>
      <w:r>
        <w:rPr>
          <w:i/>
        </w:rPr>
        <w:tab/>
        <w:t>Государства-участники признают за женщинами равенство с мужчинами перед законом.</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i/>
          <w:lang w:val="en-US"/>
        </w:rPr>
        <w:tab/>
      </w:r>
      <w:r>
        <w:rPr>
          <w:i/>
        </w:rPr>
        <w:t>2.</w:t>
      </w:r>
      <w:r>
        <w:rPr>
          <w:i/>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i/>
        </w:rPr>
        <w:tab/>
        <w:t>3.</w:t>
      </w:r>
      <w:r>
        <w:rPr>
          <w:i/>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pBdr>
          <w:top w:val="single" w:sz="6" w:space="12" w:color="auto"/>
          <w:left w:val="single" w:sz="6" w:space="6" w:color="auto"/>
          <w:bottom w:val="single" w:sz="6" w:space="12" w:color="auto"/>
          <w:right w:val="single" w:sz="6" w:space="6" w:color="auto"/>
        </w:pBdr>
        <w:ind w:left="284" w:right="284"/>
        <w:rPr>
          <w:i/>
        </w:rPr>
      </w:pPr>
      <w:r>
        <w:rPr>
          <w:i/>
          <w:lang w:val="en-US"/>
        </w:rPr>
        <w:tab/>
      </w:r>
      <w:r>
        <w:rPr>
          <w:i/>
        </w:rPr>
        <w:t>4.</w:t>
      </w:r>
      <w:r>
        <w:rPr>
          <w:i/>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spacing w:before="240" w:line="240" w:lineRule="auto"/>
        <w:rPr>
          <w:b/>
          <w:sz w:val="28"/>
        </w:rPr>
      </w:pPr>
      <w:r>
        <w:rPr>
          <w:b/>
          <w:sz w:val="28"/>
        </w:rPr>
        <w:t>I.</w:t>
      </w:r>
      <w:r>
        <w:rPr>
          <w:b/>
          <w:sz w:val="28"/>
        </w:rPr>
        <w:tab/>
        <w:t>Абсолютное равенство в области правоспособности</w:t>
      </w:r>
    </w:p>
    <w:p w:rsidR="00000000" w:rsidRDefault="00000000">
      <w:r>
        <w:t>1025.</w:t>
      </w:r>
      <w:r>
        <w:tab/>
        <w:t>Со дня обретения Тунисом независимости все граждане этой страны, мужчины и женщины, абсолютно равны в том, что касается их правоспособности, как гласит статья 7 Кодекса законов об обязательствах и договорах (КЗОД). 20-летний возраст определен как законный возраст совершеннолетия для мужчин и для женщин. В судах существует равное отношение ко всем правоспособным лицам, независимо от того, идет ли речь о мужчине или женщине. Не делается также никаких различий между мужчиной и женщиной в том, что касается свидетельских показаний в суде.</w:t>
      </w:r>
    </w:p>
    <w:p w:rsidR="00000000" w:rsidRDefault="00000000">
      <w:r>
        <w:t>1026.</w:t>
      </w:r>
      <w:r>
        <w:tab/>
        <w:t>Тунисское законодательство предоставляет женщинам, независимо от их гражданского состояния и наравне с мужчинами, право заключать соглашения от своего имени, право распоряжаться своим имуществом (статья 7 КЗОД), управлять наследством, обращаться в любые суды, в том числе административный.</w:t>
      </w:r>
    </w:p>
    <w:p w:rsidR="00000000" w:rsidRDefault="00000000">
      <w:r>
        <w:t>1027.</w:t>
      </w:r>
      <w:r>
        <w:tab/>
        <w:t>Согласно статье 157 КСЛ ребенок любого пола, которому исполнилось 20 полных лет, пользуется всеми своими правами, выполняет все свои обязанности, может обращаться в суд наравне со взрослыми по всем вопросам, касающимся его личного статуса, гражданско-правовых и торговых сделок, политических прав, без каких-либо ограничений, за исключением предусмотренных законом случаев недееспособности, которые касаются в равной степени как мужчин, так и женщин.</w:t>
      </w:r>
    </w:p>
    <w:p w:rsidR="00000000" w:rsidRDefault="00000000">
      <w:pPr>
        <w:spacing w:after="120"/>
      </w:pPr>
      <w:r>
        <w:t>1028.</w:t>
      </w:r>
      <w:r>
        <w:tab/>
        <w:t>Тунисским законодательством предусмотрено два случая признания мужчины или женщины дееспособными до достижения ими 20 лет:</w:t>
      </w:r>
    </w:p>
    <w:p w:rsidR="00000000" w:rsidRDefault="00000000">
      <w:pPr>
        <w:spacing w:after="120"/>
        <w:ind w:left="680" w:hanging="680"/>
      </w:pPr>
      <w:r>
        <w:t>*</w:t>
      </w:r>
      <w:r>
        <w:tab/>
        <w:t>в соответствии с постановлением суда, разрешающим занятие тем или иным видом коммерческой или иной профессиональной деятельности (статья 170 КСЛ) в силу особых обстоятельств, рассмотрение которых является прерогативой судьи (статьи 11 и 12 Кодекса законов об обязательствах и договорах);</w:t>
      </w:r>
    </w:p>
    <w:p w:rsidR="00000000" w:rsidRDefault="00000000">
      <w:pPr>
        <w:spacing w:after="120"/>
        <w:ind w:left="680" w:hanging="680"/>
      </w:pPr>
      <w:r>
        <w:t>*</w:t>
      </w:r>
      <w:r>
        <w:tab/>
        <w:t>вступление в брак по достижении 17 лет (установленный законом минимальный брачный возраст) предполагает автоматическое обретение дееспособности несовершеннолетними мужчинами и женщинами согласно новой статье 153 КСЛ, дополненной законом от 12 июля 1993 года, в том, что касается их личного статуса и управления своими гражданскими и коммерческими делами. Новая статья 153 гласит: "</w:t>
      </w:r>
      <w:r>
        <w:rPr>
          <w:i/>
        </w:rPr>
        <w:t xml:space="preserve">Признается недееспособным в силу несовершеннолетия лицо любого пола, не достигшее совершеннолетнего возраста полных двадцати лет. Несовершеннолетнее лицо, достигшее </w:t>
      </w:r>
      <w:r>
        <w:rPr>
          <w:i/>
        </w:rPr>
        <w:br/>
        <w:t>17-летнего возраста, становится совершеннолетним на основании вступления в брак в том, что касается его личного статуса и управления своими гражданскими и коммерческими делами</w:t>
      </w:r>
      <w:r>
        <w:t>".</w:t>
      </w:r>
    </w:p>
    <w:p w:rsidR="00000000" w:rsidRDefault="00000000">
      <w:r>
        <w:t>1029.</w:t>
      </w:r>
      <w:r>
        <w:tab/>
        <w:t xml:space="preserve">Новая статья 153 применима, разумеется, к представителям обоих полов, но в действительности она касается в первую очередь женщин, поскольку установленный КСЛ минимальный брачный возраст равен </w:t>
      </w:r>
      <w:r>
        <w:br/>
        <w:t>17 годам для девушек и 20 годам для юношей (статья 5). В 1994 году средний по стране возраст вступления в брак женщин равнялся 27 годам. В тунисском обществе независимо от социальной принадлежности число случаев вступления в брак несовершеннолетних девушек снижается из года в год.</w:t>
      </w:r>
    </w:p>
    <w:p w:rsidR="00000000" w:rsidRDefault="00000000">
      <w:r>
        <w:t>1030.</w:t>
      </w:r>
      <w:r>
        <w:tab/>
        <w:t xml:space="preserve">Чтобы укрепить принцип равенства мужчин и женщин в области прав и обязанностей, 7 февраля </w:t>
      </w:r>
      <w:r>
        <w:br/>
        <w:t>2000 года введен в действие новый закон № 2000-17, отменивший некоторые положения статьи 831, части 2 статьи 1481 и части 2 статьи 1524 Кодекса законов об обязательствах и договорах, в соответствии с которыми муж должен был предварительно дать своей жене разрешение на занятие трудовой деятельностью, а также разрешение на выдачу залога и поручительство по явке замужней женщины в суд.</w:t>
      </w:r>
    </w:p>
    <w:p w:rsidR="00000000" w:rsidRDefault="00000000">
      <w:pPr>
        <w:spacing w:before="240" w:line="240" w:lineRule="auto"/>
        <w:rPr>
          <w:b/>
          <w:sz w:val="28"/>
        </w:rPr>
      </w:pPr>
      <w:r>
        <w:rPr>
          <w:b/>
          <w:sz w:val="28"/>
        </w:rPr>
        <w:t>II.</w:t>
      </w:r>
      <w:r>
        <w:rPr>
          <w:b/>
          <w:sz w:val="28"/>
        </w:rPr>
        <w:tab/>
        <w:t>Недискриминация в отношении доступа к судебным должностям</w:t>
      </w:r>
    </w:p>
    <w:p w:rsidR="00000000" w:rsidRDefault="00000000">
      <w:r>
        <w:t>1031.</w:t>
      </w:r>
      <w:r>
        <w:tab/>
        <w:t>С 1992 года число женщин в различных судебных инстанциях, в частности на руководящих постах, постоянно возрастало: с 1992 по 1998 год доля женщин-судей увеличилась с 22,7 процента до 24 процентов.</w:t>
      </w:r>
    </w:p>
    <w:p w:rsidR="00000000" w:rsidRDefault="00000000">
      <w:r>
        <w:t>1032.</w:t>
      </w:r>
      <w:r>
        <w:tab/>
        <w:t xml:space="preserve">Первая женщина – председатель суда была назначена в 1993 году. В 1998 году несколько женщин занимали посты заместителя председателя суда, председателя суда первой инстанции, генерального директора Центра юридических и судебных исследований, директора управления по гражданским делам, директора управления по уголовным делам в Министерстве юстиции. Многие женщины занимают также должности судьи по делам семьи или судьи по делам детства, учрежденные, соответственно, в 1993 и 1996 годах. В марте </w:t>
      </w:r>
      <w:r>
        <w:br/>
        <w:t>2000 года женщина-судья впервые стала первым председателем апелляционного суда.</w:t>
      </w:r>
    </w:p>
    <w:p w:rsidR="00000000" w:rsidRDefault="00000000">
      <w:r>
        <w:t>1033.</w:t>
      </w:r>
      <w:r>
        <w:tab/>
        <w:t>Женщины выполняют также и различные функции вспомогательного персонала в системе правосудия. В 1998 году их доля в адвокатском корпусе составляла 21,60 процента (10 процентов в 1992 году). Постепенно женщинам становятся доступны и другие должности, которые пока еще в основном занимают их коллеги-мужчины, как видно из таблицы, ниже:</w:t>
      </w:r>
    </w:p>
    <w:p w:rsidR="00000000" w:rsidRDefault="00000000">
      <w:pPr>
        <w:spacing w:before="240"/>
        <w:jc w:val="center"/>
        <w:rPr>
          <w:b/>
        </w:rPr>
      </w:pPr>
      <w:r>
        <w:rPr>
          <w:b/>
        </w:rPr>
        <w:t>Вспомогательный персонал системы правосудия в 1998 году</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98"/>
        <w:gridCol w:w="1103"/>
        <w:gridCol w:w="1377"/>
        <w:gridCol w:w="1377"/>
        <w:gridCol w:w="1377"/>
        <w:gridCol w:w="830"/>
        <w:gridCol w:w="1377"/>
      </w:tblGrid>
      <w:tr w:rsidR="00000000">
        <w:tblPrEx>
          <w:tblCellMar>
            <w:top w:w="0" w:type="dxa"/>
            <w:bottom w:w="0" w:type="dxa"/>
          </w:tblCellMar>
        </w:tblPrEx>
        <w:trPr>
          <w:jc w:val="center"/>
        </w:trPr>
        <w:tc>
          <w:tcPr>
            <w:tcW w:w="2198" w:type="dxa"/>
          </w:tcPr>
          <w:p w:rsidR="00000000" w:rsidRDefault="00000000">
            <w:pPr>
              <w:spacing w:before="120" w:after="120" w:line="220" w:lineRule="exact"/>
              <w:jc w:val="left"/>
              <w:rPr>
                <w:b/>
                <w:sz w:val="18"/>
              </w:rPr>
            </w:pPr>
            <w:r>
              <w:rPr>
                <w:b/>
                <w:sz w:val="18"/>
              </w:rPr>
              <w:t>Вспомогательный персонал</w:t>
            </w:r>
          </w:p>
        </w:tc>
        <w:tc>
          <w:tcPr>
            <w:tcW w:w="1103" w:type="dxa"/>
          </w:tcPr>
          <w:p w:rsidR="00000000" w:rsidRDefault="00000000">
            <w:pPr>
              <w:spacing w:before="120" w:after="120" w:line="220" w:lineRule="exact"/>
              <w:jc w:val="center"/>
              <w:rPr>
                <w:b/>
                <w:sz w:val="18"/>
              </w:rPr>
            </w:pPr>
            <w:r>
              <w:rPr>
                <w:b/>
                <w:sz w:val="18"/>
              </w:rPr>
              <w:t>Всего мужчин</w:t>
            </w:r>
          </w:p>
        </w:tc>
        <w:tc>
          <w:tcPr>
            <w:tcW w:w="1377" w:type="dxa"/>
          </w:tcPr>
          <w:p w:rsidR="00000000" w:rsidRDefault="00000000">
            <w:pPr>
              <w:spacing w:before="120" w:after="120" w:line="220" w:lineRule="exact"/>
              <w:jc w:val="center"/>
              <w:rPr>
                <w:b/>
                <w:sz w:val="18"/>
              </w:rPr>
            </w:pPr>
            <w:r>
              <w:rPr>
                <w:b/>
                <w:sz w:val="18"/>
              </w:rPr>
              <w:t>Процентная доля</w:t>
            </w:r>
          </w:p>
        </w:tc>
        <w:tc>
          <w:tcPr>
            <w:tcW w:w="1377" w:type="dxa"/>
          </w:tcPr>
          <w:p w:rsidR="00000000" w:rsidRDefault="00000000">
            <w:pPr>
              <w:spacing w:before="120" w:after="120" w:line="220" w:lineRule="exact"/>
              <w:jc w:val="center"/>
              <w:rPr>
                <w:b/>
                <w:sz w:val="18"/>
              </w:rPr>
            </w:pPr>
            <w:r>
              <w:rPr>
                <w:b/>
                <w:sz w:val="18"/>
              </w:rPr>
              <w:t>Всего женщин</w:t>
            </w:r>
          </w:p>
        </w:tc>
        <w:tc>
          <w:tcPr>
            <w:tcW w:w="1377" w:type="dxa"/>
          </w:tcPr>
          <w:p w:rsidR="00000000" w:rsidRDefault="00000000">
            <w:pPr>
              <w:spacing w:before="120" w:after="120" w:line="220" w:lineRule="exact"/>
              <w:jc w:val="center"/>
              <w:rPr>
                <w:b/>
                <w:sz w:val="18"/>
              </w:rPr>
            </w:pPr>
            <w:r>
              <w:rPr>
                <w:b/>
                <w:sz w:val="18"/>
              </w:rPr>
              <w:t>Процентная доля</w:t>
            </w:r>
          </w:p>
        </w:tc>
        <w:tc>
          <w:tcPr>
            <w:tcW w:w="830" w:type="dxa"/>
          </w:tcPr>
          <w:p w:rsidR="00000000" w:rsidRDefault="00000000">
            <w:pPr>
              <w:spacing w:before="120" w:after="120" w:line="220" w:lineRule="exact"/>
              <w:jc w:val="center"/>
              <w:rPr>
                <w:b/>
                <w:sz w:val="18"/>
              </w:rPr>
            </w:pPr>
            <w:r>
              <w:rPr>
                <w:b/>
                <w:sz w:val="18"/>
              </w:rPr>
              <w:t>Итого</w:t>
            </w:r>
          </w:p>
        </w:tc>
        <w:tc>
          <w:tcPr>
            <w:tcW w:w="1377" w:type="dxa"/>
          </w:tcPr>
          <w:p w:rsidR="00000000" w:rsidRDefault="00000000">
            <w:pPr>
              <w:spacing w:before="120" w:after="120" w:line="220" w:lineRule="exact"/>
              <w:jc w:val="center"/>
              <w:rPr>
                <w:b/>
                <w:sz w:val="18"/>
              </w:rPr>
            </w:pPr>
            <w:r>
              <w:rPr>
                <w:b/>
                <w:sz w:val="18"/>
              </w:rPr>
              <w:t>Процентная доля</w:t>
            </w:r>
          </w:p>
        </w:tc>
      </w:tr>
      <w:tr w:rsidR="00000000">
        <w:tblPrEx>
          <w:tblCellMar>
            <w:top w:w="0" w:type="dxa"/>
            <w:bottom w:w="0" w:type="dxa"/>
          </w:tblCellMar>
        </w:tblPrEx>
        <w:trPr>
          <w:jc w:val="center"/>
        </w:trPr>
        <w:tc>
          <w:tcPr>
            <w:tcW w:w="2198" w:type="dxa"/>
          </w:tcPr>
          <w:p w:rsidR="00000000" w:rsidRDefault="00000000">
            <w:pPr>
              <w:spacing w:before="120" w:after="120" w:line="220" w:lineRule="exact"/>
              <w:jc w:val="left"/>
              <w:rPr>
                <w:sz w:val="18"/>
              </w:rPr>
            </w:pPr>
            <w:r>
              <w:rPr>
                <w:sz w:val="18"/>
              </w:rPr>
              <w:t xml:space="preserve">Судебные исполнители-нотариусы </w:t>
            </w:r>
          </w:p>
        </w:tc>
        <w:tc>
          <w:tcPr>
            <w:tcW w:w="1103" w:type="dxa"/>
          </w:tcPr>
          <w:p w:rsidR="00000000" w:rsidRDefault="00000000">
            <w:pPr>
              <w:tabs>
                <w:tab w:val="clear" w:pos="680"/>
                <w:tab w:val="clear" w:pos="1021"/>
                <w:tab w:val="decimal" w:pos="567"/>
              </w:tabs>
              <w:spacing w:before="120" w:after="120" w:line="220" w:lineRule="exact"/>
              <w:rPr>
                <w:sz w:val="18"/>
              </w:rPr>
            </w:pPr>
            <w:r>
              <w:rPr>
                <w:sz w:val="18"/>
              </w:rPr>
              <w:t>521</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95</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29</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5</w:t>
            </w:r>
          </w:p>
        </w:tc>
        <w:tc>
          <w:tcPr>
            <w:tcW w:w="830" w:type="dxa"/>
          </w:tcPr>
          <w:p w:rsidR="00000000" w:rsidRDefault="00000000">
            <w:pPr>
              <w:tabs>
                <w:tab w:val="clear" w:pos="680"/>
                <w:tab w:val="clear" w:pos="1021"/>
                <w:tab w:val="decimal" w:pos="395"/>
              </w:tabs>
              <w:spacing w:before="120" w:after="120" w:line="220" w:lineRule="exact"/>
              <w:rPr>
                <w:sz w:val="18"/>
              </w:rPr>
            </w:pPr>
            <w:r>
              <w:rPr>
                <w:sz w:val="18"/>
              </w:rPr>
              <w:t>550</w:t>
            </w:r>
          </w:p>
        </w:tc>
        <w:tc>
          <w:tcPr>
            <w:tcW w:w="1377" w:type="dxa"/>
          </w:tcPr>
          <w:p w:rsidR="00000000" w:rsidRDefault="00000000">
            <w:pPr>
              <w:spacing w:before="120" w:after="120" w:line="220" w:lineRule="exact"/>
              <w:jc w:val="center"/>
              <w:rPr>
                <w:sz w:val="18"/>
              </w:rPr>
            </w:pPr>
            <w:r>
              <w:rPr>
                <w:sz w:val="18"/>
              </w:rPr>
              <w:t>100</w:t>
            </w:r>
          </w:p>
        </w:tc>
      </w:tr>
      <w:tr w:rsidR="00000000">
        <w:tblPrEx>
          <w:tblCellMar>
            <w:top w:w="0" w:type="dxa"/>
            <w:bottom w:w="0" w:type="dxa"/>
          </w:tblCellMar>
        </w:tblPrEx>
        <w:trPr>
          <w:jc w:val="center"/>
        </w:trPr>
        <w:tc>
          <w:tcPr>
            <w:tcW w:w="2198" w:type="dxa"/>
          </w:tcPr>
          <w:p w:rsidR="00000000" w:rsidRDefault="00000000">
            <w:pPr>
              <w:spacing w:before="120" w:after="120" w:line="220" w:lineRule="exact"/>
              <w:jc w:val="left"/>
              <w:rPr>
                <w:sz w:val="18"/>
              </w:rPr>
            </w:pPr>
            <w:r>
              <w:rPr>
                <w:sz w:val="18"/>
              </w:rPr>
              <w:t>Судебные исполнители</w:t>
            </w:r>
          </w:p>
        </w:tc>
        <w:tc>
          <w:tcPr>
            <w:tcW w:w="1103" w:type="dxa"/>
          </w:tcPr>
          <w:p w:rsidR="00000000" w:rsidRDefault="00000000">
            <w:pPr>
              <w:tabs>
                <w:tab w:val="clear" w:pos="680"/>
                <w:tab w:val="clear" w:pos="1021"/>
                <w:tab w:val="decimal" w:pos="567"/>
              </w:tabs>
              <w:spacing w:before="120" w:after="120" w:line="220" w:lineRule="exact"/>
              <w:rPr>
                <w:sz w:val="18"/>
              </w:rPr>
            </w:pPr>
            <w:r>
              <w:rPr>
                <w:sz w:val="18"/>
              </w:rPr>
              <w:t>645</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95</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35</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5</w:t>
            </w:r>
          </w:p>
        </w:tc>
        <w:tc>
          <w:tcPr>
            <w:tcW w:w="830" w:type="dxa"/>
          </w:tcPr>
          <w:p w:rsidR="00000000" w:rsidRDefault="00000000">
            <w:pPr>
              <w:tabs>
                <w:tab w:val="clear" w:pos="680"/>
                <w:tab w:val="clear" w:pos="1021"/>
                <w:tab w:val="decimal" w:pos="395"/>
              </w:tabs>
              <w:spacing w:before="120" w:after="120" w:line="220" w:lineRule="exact"/>
              <w:rPr>
                <w:sz w:val="18"/>
              </w:rPr>
            </w:pPr>
            <w:r>
              <w:rPr>
                <w:sz w:val="18"/>
              </w:rPr>
              <w:t>680</w:t>
            </w:r>
          </w:p>
        </w:tc>
        <w:tc>
          <w:tcPr>
            <w:tcW w:w="1377" w:type="dxa"/>
          </w:tcPr>
          <w:p w:rsidR="00000000" w:rsidRDefault="00000000">
            <w:pPr>
              <w:spacing w:before="120" w:after="120" w:line="220" w:lineRule="exact"/>
              <w:jc w:val="center"/>
              <w:rPr>
                <w:sz w:val="18"/>
              </w:rPr>
            </w:pPr>
            <w:r>
              <w:rPr>
                <w:sz w:val="18"/>
              </w:rPr>
              <w:t>100</w:t>
            </w:r>
          </w:p>
        </w:tc>
      </w:tr>
      <w:tr w:rsidR="00000000">
        <w:tblPrEx>
          <w:tblCellMar>
            <w:top w:w="0" w:type="dxa"/>
            <w:bottom w:w="0" w:type="dxa"/>
          </w:tblCellMar>
        </w:tblPrEx>
        <w:trPr>
          <w:jc w:val="center"/>
        </w:trPr>
        <w:tc>
          <w:tcPr>
            <w:tcW w:w="2198" w:type="dxa"/>
          </w:tcPr>
          <w:p w:rsidR="00000000" w:rsidRDefault="00000000">
            <w:pPr>
              <w:spacing w:before="120" w:after="120" w:line="220" w:lineRule="exact"/>
              <w:jc w:val="left"/>
              <w:rPr>
                <w:sz w:val="18"/>
              </w:rPr>
            </w:pPr>
            <w:r>
              <w:rPr>
                <w:sz w:val="18"/>
              </w:rPr>
              <w:t>Адвокаты</w:t>
            </w:r>
          </w:p>
        </w:tc>
        <w:tc>
          <w:tcPr>
            <w:tcW w:w="1103" w:type="dxa"/>
          </w:tcPr>
          <w:p w:rsidR="00000000" w:rsidRDefault="00000000">
            <w:pPr>
              <w:tabs>
                <w:tab w:val="clear" w:pos="680"/>
                <w:tab w:val="clear" w:pos="1021"/>
                <w:tab w:val="decimal" w:pos="567"/>
              </w:tabs>
              <w:spacing w:before="120" w:after="120" w:line="220" w:lineRule="exact"/>
              <w:rPr>
                <w:sz w:val="18"/>
              </w:rPr>
            </w:pPr>
            <w:r>
              <w:rPr>
                <w:sz w:val="18"/>
              </w:rPr>
              <w:t>2 176</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78,4</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600</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21,6</w:t>
            </w:r>
          </w:p>
        </w:tc>
        <w:tc>
          <w:tcPr>
            <w:tcW w:w="830" w:type="dxa"/>
          </w:tcPr>
          <w:p w:rsidR="00000000" w:rsidRDefault="00000000">
            <w:pPr>
              <w:tabs>
                <w:tab w:val="clear" w:pos="680"/>
                <w:tab w:val="clear" w:pos="1021"/>
                <w:tab w:val="decimal" w:pos="395"/>
              </w:tabs>
              <w:spacing w:before="120" w:after="120" w:line="220" w:lineRule="exact"/>
              <w:rPr>
                <w:sz w:val="18"/>
              </w:rPr>
            </w:pPr>
            <w:r>
              <w:rPr>
                <w:sz w:val="18"/>
              </w:rPr>
              <w:t>2 776</w:t>
            </w:r>
          </w:p>
        </w:tc>
        <w:tc>
          <w:tcPr>
            <w:tcW w:w="1377" w:type="dxa"/>
          </w:tcPr>
          <w:p w:rsidR="00000000" w:rsidRDefault="00000000">
            <w:pPr>
              <w:spacing w:before="120" w:after="120" w:line="220" w:lineRule="exact"/>
              <w:jc w:val="center"/>
              <w:rPr>
                <w:sz w:val="18"/>
              </w:rPr>
            </w:pPr>
            <w:r>
              <w:rPr>
                <w:sz w:val="18"/>
              </w:rPr>
              <w:t>100</w:t>
            </w:r>
          </w:p>
        </w:tc>
      </w:tr>
      <w:tr w:rsidR="00000000">
        <w:tblPrEx>
          <w:tblCellMar>
            <w:top w:w="0" w:type="dxa"/>
            <w:bottom w:w="0" w:type="dxa"/>
          </w:tblCellMar>
        </w:tblPrEx>
        <w:trPr>
          <w:jc w:val="center"/>
        </w:trPr>
        <w:tc>
          <w:tcPr>
            <w:tcW w:w="2198" w:type="dxa"/>
          </w:tcPr>
          <w:p w:rsidR="00000000" w:rsidRDefault="00000000">
            <w:pPr>
              <w:spacing w:before="120" w:after="120" w:line="220" w:lineRule="exact"/>
              <w:jc w:val="left"/>
              <w:rPr>
                <w:sz w:val="18"/>
              </w:rPr>
            </w:pPr>
            <w:r>
              <w:rPr>
                <w:sz w:val="18"/>
              </w:rPr>
              <w:t>Судебные эксперты</w:t>
            </w:r>
          </w:p>
        </w:tc>
        <w:tc>
          <w:tcPr>
            <w:tcW w:w="1103" w:type="dxa"/>
          </w:tcPr>
          <w:p w:rsidR="00000000" w:rsidRDefault="00000000">
            <w:pPr>
              <w:tabs>
                <w:tab w:val="clear" w:pos="680"/>
                <w:tab w:val="clear" w:pos="1021"/>
                <w:tab w:val="decimal" w:pos="567"/>
              </w:tabs>
              <w:spacing w:before="120" w:after="120" w:line="220" w:lineRule="exact"/>
              <w:rPr>
                <w:sz w:val="18"/>
              </w:rPr>
            </w:pPr>
            <w:r>
              <w:rPr>
                <w:sz w:val="18"/>
              </w:rPr>
              <w:t>1 745</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98</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42</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2</w:t>
            </w:r>
          </w:p>
        </w:tc>
        <w:tc>
          <w:tcPr>
            <w:tcW w:w="830" w:type="dxa"/>
          </w:tcPr>
          <w:p w:rsidR="00000000" w:rsidRDefault="00000000">
            <w:pPr>
              <w:tabs>
                <w:tab w:val="clear" w:pos="680"/>
                <w:tab w:val="clear" w:pos="1021"/>
                <w:tab w:val="decimal" w:pos="395"/>
              </w:tabs>
              <w:spacing w:before="120" w:after="120" w:line="220" w:lineRule="exact"/>
              <w:rPr>
                <w:sz w:val="18"/>
              </w:rPr>
            </w:pPr>
            <w:r>
              <w:rPr>
                <w:sz w:val="18"/>
              </w:rPr>
              <w:t>1 787</w:t>
            </w:r>
          </w:p>
        </w:tc>
        <w:tc>
          <w:tcPr>
            <w:tcW w:w="1377" w:type="dxa"/>
          </w:tcPr>
          <w:p w:rsidR="00000000" w:rsidRDefault="00000000">
            <w:pPr>
              <w:spacing w:before="120" w:after="120" w:line="220" w:lineRule="exact"/>
              <w:jc w:val="center"/>
              <w:rPr>
                <w:sz w:val="18"/>
              </w:rPr>
            </w:pPr>
            <w:r>
              <w:rPr>
                <w:sz w:val="18"/>
              </w:rPr>
              <w:t>100</w:t>
            </w:r>
          </w:p>
        </w:tc>
      </w:tr>
      <w:tr w:rsidR="00000000">
        <w:tblPrEx>
          <w:tblCellMar>
            <w:top w:w="0" w:type="dxa"/>
            <w:bottom w:w="0" w:type="dxa"/>
          </w:tblCellMar>
        </w:tblPrEx>
        <w:trPr>
          <w:jc w:val="center"/>
        </w:trPr>
        <w:tc>
          <w:tcPr>
            <w:tcW w:w="2198" w:type="dxa"/>
          </w:tcPr>
          <w:p w:rsidR="00000000" w:rsidRDefault="00000000">
            <w:pPr>
              <w:spacing w:before="120" w:after="120" w:line="220" w:lineRule="exact"/>
              <w:jc w:val="left"/>
              <w:rPr>
                <w:sz w:val="18"/>
              </w:rPr>
            </w:pPr>
            <w:r>
              <w:rPr>
                <w:sz w:val="18"/>
              </w:rPr>
              <w:t>Переводчики, приведенные к присяге</w:t>
            </w:r>
          </w:p>
        </w:tc>
        <w:tc>
          <w:tcPr>
            <w:tcW w:w="1103" w:type="dxa"/>
          </w:tcPr>
          <w:p w:rsidR="00000000" w:rsidRDefault="00000000">
            <w:pPr>
              <w:tabs>
                <w:tab w:val="clear" w:pos="680"/>
                <w:tab w:val="clear" w:pos="1021"/>
                <w:tab w:val="decimal" w:pos="567"/>
              </w:tabs>
              <w:spacing w:before="120" w:after="120" w:line="220" w:lineRule="exact"/>
              <w:rPr>
                <w:sz w:val="18"/>
              </w:rPr>
            </w:pPr>
            <w:r>
              <w:rPr>
                <w:sz w:val="18"/>
              </w:rPr>
              <w:t>44</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84</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8</w:t>
            </w:r>
          </w:p>
        </w:tc>
        <w:tc>
          <w:tcPr>
            <w:tcW w:w="1377" w:type="dxa"/>
          </w:tcPr>
          <w:p w:rsidR="00000000" w:rsidRDefault="00000000">
            <w:pPr>
              <w:tabs>
                <w:tab w:val="clear" w:pos="680"/>
                <w:tab w:val="clear" w:pos="1021"/>
                <w:tab w:val="decimal" w:pos="567"/>
              </w:tabs>
              <w:spacing w:before="120" w:after="120" w:line="220" w:lineRule="exact"/>
              <w:rPr>
                <w:sz w:val="18"/>
              </w:rPr>
            </w:pPr>
            <w:r>
              <w:rPr>
                <w:sz w:val="18"/>
              </w:rPr>
              <w:t>16</w:t>
            </w:r>
          </w:p>
        </w:tc>
        <w:tc>
          <w:tcPr>
            <w:tcW w:w="830" w:type="dxa"/>
          </w:tcPr>
          <w:p w:rsidR="00000000" w:rsidRDefault="00000000">
            <w:pPr>
              <w:tabs>
                <w:tab w:val="clear" w:pos="680"/>
                <w:tab w:val="clear" w:pos="1021"/>
                <w:tab w:val="decimal" w:pos="395"/>
              </w:tabs>
              <w:spacing w:before="120" w:after="120" w:line="220" w:lineRule="exact"/>
              <w:rPr>
                <w:sz w:val="18"/>
              </w:rPr>
            </w:pPr>
            <w:r>
              <w:rPr>
                <w:sz w:val="18"/>
              </w:rPr>
              <w:t>52</w:t>
            </w:r>
          </w:p>
        </w:tc>
        <w:tc>
          <w:tcPr>
            <w:tcW w:w="1377" w:type="dxa"/>
          </w:tcPr>
          <w:p w:rsidR="00000000" w:rsidRDefault="00000000">
            <w:pPr>
              <w:spacing w:before="120" w:after="120" w:line="220" w:lineRule="exact"/>
              <w:jc w:val="center"/>
              <w:rPr>
                <w:sz w:val="18"/>
              </w:rPr>
            </w:pPr>
            <w:r>
              <w:rPr>
                <w:sz w:val="18"/>
              </w:rPr>
              <w:t>100</w:t>
            </w:r>
          </w:p>
        </w:tc>
      </w:tr>
    </w:tbl>
    <w:p w:rsidR="00000000" w:rsidRDefault="00000000"/>
    <w:p w:rsidR="00000000" w:rsidRDefault="00000000">
      <w:r>
        <w:t>1034.</w:t>
      </w:r>
      <w:r>
        <w:tab/>
        <w:t>В 1998 году женщина, в настоящее время член Комитета по ликвидации дискриминации в отношении женщин (КЛДЖ), была впервые назначена первым председателем Счетной палаты, то есть на один из самых высоких судебных постов.</w:t>
      </w:r>
    </w:p>
    <w:p w:rsidR="00000000" w:rsidRDefault="00000000">
      <w:pPr>
        <w:spacing w:line="240" w:lineRule="auto"/>
        <w:rPr>
          <w:b/>
          <w:sz w:val="28"/>
        </w:rPr>
      </w:pPr>
      <w:r>
        <w:rPr>
          <w:b/>
          <w:sz w:val="28"/>
        </w:rPr>
        <w:t>III.</w:t>
      </w:r>
      <w:r>
        <w:rPr>
          <w:b/>
          <w:sz w:val="28"/>
        </w:rPr>
        <w:tab/>
        <w:t>Право женщин выбирать место проживания</w:t>
      </w:r>
    </w:p>
    <w:p w:rsidR="00000000" w:rsidRDefault="00000000">
      <w:r>
        <w:t>1035.</w:t>
      </w:r>
      <w:r>
        <w:tab/>
        <w:t>Учитывая священный характер, придаваемый брачным и семейным узам в тунисской культуре, Кодекс о статусе личности закрепил принцип совместного проживания супругов в качестве основополагающего принципа брачного договора. В статье 23 КСЛ, которая является Хартией тунисской семьи, ясно сказано, что оба супруга должны исполнять свои супружеские обязанности в соответствии с принятой практикой и обычаями. Следовательно</w:t>
      </w:r>
      <w:r>
        <w:rPr>
          <w:color w:val="000000"/>
        </w:rPr>
        <w:t>,</w:t>
      </w:r>
      <w:r>
        <w:t xml:space="preserve"> обязанность совместного проживания вменяется в равной степени обоим супругам.</w:t>
      </w:r>
    </w:p>
    <w:p w:rsidR="00000000" w:rsidRDefault="00000000">
      <w:r>
        <w:t>1036.</w:t>
      </w:r>
      <w:r>
        <w:tab/>
        <w:t>В судебной практике в Тунисе этот принцип был применен в ряде судебных решений о расторжении брака, вынесенных вследствие несоблюдения этой обязанности либо мужем, либо женой без какого-либо различия.</w:t>
      </w:r>
    </w:p>
    <w:p w:rsidR="00000000" w:rsidRDefault="00000000">
      <w:r>
        <w:t>1037.</w:t>
      </w:r>
      <w:r>
        <w:tab/>
        <w:t>Заботясь о защите высших интересов ребенка, тунисские законодатели предусмотрели положения, гарантирующие осуществление родительских прав в отношении ребенка на основе права последнего в полной мере пользоваться заботой  со стороны обоих родителей, быть окруженным добротой и любовью. Об этом гласит статья 61 КСЛ, согласно которой мать лишается своих прав на воспитание и содержание ребенка, если она "</w:t>
      </w:r>
      <w:r>
        <w:rPr>
          <w:i/>
        </w:rPr>
        <w:t>находится на таком расстоянии, которое не позволяет ей в качестве опекуна выполнять свои обязанности в отношении опекаемого</w:t>
      </w:r>
      <w:r>
        <w:t>". И наоборот, в соответствии с новой статьей 67 КСЛ судья может лишить отца опекунства в пользу матери, если</w:t>
      </w:r>
      <w:r>
        <w:rPr>
          <w:i/>
        </w:rPr>
        <w:t xml:space="preserve"> </w:t>
      </w:r>
      <w:r>
        <w:t>он</w:t>
      </w:r>
      <w:r>
        <w:rPr>
          <w:i/>
        </w:rPr>
        <w:t xml:space="preserve"> </w:t>
      </w:r>
      <w:r>
        <w:t>"</w:t>
      </w:r>
      <w:r>
        <w:rPr>
          <w:i/>
        </w:rPr>
        <w:t>скрывается со своего местожительства в неизвестном направлении или в силу любого обстоятельства, наносящего ущерб ребенку</w:t>
      </w:r>
      <w:r>
        <w:t>".</w:t>
      </w:r>
    </w:p>
    <w:p w:rsidR="00000000" w:rsidRDefault="00000000">
      <w:r>
        <w:t>1038.</w:t>
      </w:r>
      <w:r>
        <w:tab/>
        <w:t>Таким образом, закон № 93-74 от 12 июля 1993 года, внесший изменения в некоторые статьи КСЛ, еще более укрепил равенство между супругами в области супружеских и родительских прав и обязанностей, в частности прав на выбор места проживания.</w:t>
      </w:r>
    </w:p>
    <w:p w:rsidR="00000000" w:rsidRDefault="00000000">
      <w:r>
        <w:t>1039.</w:t>
      </w:r>
      <w:r>
        <w:tab/>
        <w:t>При нормальных матримониальных отношениях супруги могут по взаимному согласию либо в экономических интересах, либо в интересах трудовой деятельности выбрать на определенный срок раздельные места проживания в разных странах или удаленных друг от друга городах; однако в случае конфликта могут быть применены статьи 23 и 61 в отношении, соответственно, супруга и супруги. Согласно статье 32 КСЛ один из супругов может требовать расторжения брака по причине нанесения ему ущерба.</w:t>
      </w:r>
    </w:p>
    <w:p w:rsidR="00000000" w:rsidRDefault="00000000">
      <w:pPr>
        <w:spacing w:after="120"/>
      </w:pPr>
      <w:r>
        <w:t>1040.</w:t>
      </w:r>
      <w:r>
        <w:tab/>
        <w:t>В том что касается смешанных браков между тунисскими женщинами и иностранцами, Кодекс международного частного права, вступивший в действие на основании закона №  98-97 от 27 ноября 1998 года, закрепил принцип равенства в области личного статуса, в частности в выборе места жительства супругов в силу статей 47, 48 и 49, в которых говорится, что, если супруги являются гражданами разных стран, применяется:</w:t>
      </w:r>
    </w:p>
    <w:p w:rsidR="00000000" w:rsidRDefault="00000000">
      <w:pPr>
        <w:spacing w:after="120"/>
        <w:ind w:left="680" w:hanging="680"/>
      </w:pPr>
      <w:r>
        <w:t>–</w:t>
      </w:r>
      <w:r>
        <w:tab/>
        <w:t>закон страны последнего общего проживания или, за отсутствием такового, закон страны суда, если речь идет о "соответственных обязанностях супругов (статья 47), о разводе или о раздельном проживании супругов (статья 49)";</w:t>
      </w:r>
    </w:p>
    <w:p w:rsidR="00000000" w:rsidRDefault="00000000">
      <w:pPr>
        <w:ind w:left="680" w:hanging="680"/>
      </w:pPr>
      <w:r>
        <w:t>–</w:t>
      </w:r>
      <w:r>
        <w:tab/>
        <w:t>закон страны первого общего проживания, если таковое существовало, или закон страны заключения брачного договора, если речь идет об имущественных отношениях между супругами (статья 48).</w:t>
      </w:r>
    </w:p>
    <w:p w:rsidR="00000000" w:rsidRDefault="00000000">
      <w:r>
        <w:t>1041.</w:t>
      </w:r>
      <w:r>
        <w:tab/>
        <w:t>Теперь при бракоразводном процессе применяется не закон страны мужа на момент заключения брака, а закон страны последнего проживания супругов или, за неимением такового, закон страны суда.</w:t>
      </w:r>
    </w:p>
    <w:p w:rsidR="00000000" w:rsidRDefault="00000000">
      <w:pPr>
        <w:spacing w:after="360" w:line="240" w:lineRule="auto"/>
        <w:ind w:left="284" w:right="284"/>
        <w:jc w:val="center"/>
        <w:rPr>
          <w:b/>
          <w:sz w:val="28"/>
        </w:rPr>
      </w:pPr>
      <w:r>
        <w:br w:type="page"/>
      </w:r>
      <w:r>
        <w:rPr>
          <w:b/>
          <w:sz w:val="28"/>
        </w:rPr>
        <w:sym w:font="Qymbol" w:char="F0B7"/>
      </w:r>
      <w:r>
        <w:rPr>
          <w:b/>
          <w:sz w:val="28"/>
        </w:rPr>
        <w:t xml:space="preserve"> Статья 16: Право, касающееся брака и семьи</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lang w:val="en-US"/>
        </w:rPr>
        <w:tab/>
      </w:r>
      <w:r>
        <w:rPr>
          <w:i/>
        </w:rPr>
        <w:t>1.</w:t>
      </w:r>
      <w:r>
        <w:rPr>
          <w:i/>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lang w:val="en-US"/>
        </w:rPr>
        <w:tab/>
      </w:r>
      <w:r>
        <w:rPr>
          <w:i/>
        </w:rPr>
        <w:t>а)</w:t>
      </w:r>
      <w:r>
        <w:rPr>
          <w:i/>
        </w:rPr>
        <w:tab/>
        <w:t>одинаковые права на вступление в брак;</w:t>
      </w:r>
    </w:p>
    <w:p w:rsidR="00000000" w:rsidRDefault="00000000">
      <w:pPr>
        <w:pBdr>
          <w:top w:val="single" w:sz="6" w:space="12" w:color="auto"/>
          <w:left w:val="single" w:sz="6" w:space="6" w:color="auto"/>
          <w:bottom w:val="single" w:sz="6" w:space="12" w:color="auto"/>
          <w:right w:val="single" w:sz="6" w:space="6" w:color="auto"/>
        </w:pBdr>
        <w:spacing w:after="120"/>
        <w:ind w:left="1021" w:right="284" w:hanging="737"/>
        <w:rPr>
          <w:i/>
        </w:rPr>
      </w:pPr>
      <w:r>
        <w:rPr>
          <w:i/>
          <w:lang w:val="en-US"/>
        </w:rPr>
        <w:tab/>
        <w:t>b</w:t>
      </w:r>
      <w:r>
        <w:rPr>
          <w:i/>
        </w:rPr>
        <w:t>)</w:t>
      </w:r>
      <w:r>
        <w:rPr>
          <w:i/>
        </w:rPr>
        <w:tab/>
        <w:t>одинаковые права на свободный выбор супруга и на вступление в брак только со своего свободного и полного согласия;</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lang w:val="en-US"/>
        </w:rPr>
        <w:tab/>
      </w:r>
      <w:r>
        <w:rPr>
          <w:i/>
        </w:rPr>
        <w:t>с)</w:t>
      </w:r>
      <w:r>
        <w:rPr>
          <w:i/>
        </w:rPr>
        <w:tab/>
        <w:t>одинаковые права и обязанности в период брака и при его расторжении;</w:t>
      </w:r>
    </w:p>
    <w:p w:rsidR="00000000" w:rsidRDefault="00000000">
      <w:pPr>
        <w:pBdr>
          <w:top w:val="single" w:sz="6" w:space="12" w:color="auto"/>
          <w:left w:val="single" w:sz="6" w:space="6" w:color="auto"/>
          <w:bottom w:val="single" w:sz="6" w:space="12" w:color="auto"/>
          <w:right w:val="single" w:sz="6" w:space="6" w:color="auto"/>
        </w:pBdr>
        <w:spacing w:after="120"/>
        <w:ind w:left="1021" w:right="284" w:hanging="737"/>
        <w:rPr>
          <w:i/>
        </w:rPr>
      </w:pPr>
      <w:r>
        <w:rPr>
          <w:i/>
        </w:rPr>
        <w:tab/>
      </w:r>
      <w:r>
        <w:rPr>
          <w:i/>
          <w:lang w:val="en-US"/>
        </w:rPr>
        <w:t>d</w:t>
      </w:r>
      <w:r>
        <w:rPr>
          <w:i/>
        </w:rPr>
        <w:t>)</w:t>
      </w:r>
      <w:r>
        <w:rPr>
          <w:i/>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pBdr>
          <w:top w:val="single" w:sz="6" w:space="12" w:color="auto"/>
          <w:left w:val="single" w:sz="6" w:space="6" w:color="auto"/>
          <w:bottom w:val="single" w:sz="6" w:space="12" w:color="auto"/>
          <w:right w:val="single" w:sz="6" w:space="6" w:color="auto"/>
        </w:pBdr>
        <w:spacing w:after="120"/>
        <w:ind w:left="1021" w:right="284" w:hanging="737"/>
        <w:rPr>
          <w:i/>
        </w:rPr>
      </w:pPr>
      <w:r>
        <w:rPr>
          <w:i/>
          <w:lang w:val="en-US"/>
        </w:rPr>
        <w:tab/>
      </w:r>
      <w:r>
        <w:rPr>
          <w:i/>
        </w:rPr>
        <w:t>е)</w:t>
      </w:r>
      <w:r>
        <w:rPr>
          <w:i/>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pBdr>
          <w:top w:val="single" w:sz="6" w:space="12" w:color="auto"/>
          <w:left w:val="single" w:sz="6" w:space="6" w:color="auto"/>
          <w:bottom w:val="single" w:sz="6" w:space="12" w:color="auto"/>
          <w:right w:val="single" w:sz="6" w:space="6" w:color="auto"/>
        </w:pBdr>
        <w:spacing w:after="120"/>
        <w:ind w:left="1021" w:right="284" w:hanging="737"/>
        <w:rPr>
          <w:i/>
        </w:rPr>
      </w:pPr>
      <w:r>
        <w:rPr>
          <w:i/>
          <w:lang w:val="en-US"/>
        </w:rPr>
        <w:tab/>
        <w:t>f</w:t>
      </w:r>
      <w:r>
        <w:rPr>
          <w:i/>
        </w:rPr>
        <w:t>)</w:t>
      </w:r>
      <w:r>
        <w:rPr>
          <w:i/>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pBdr>
          <w:top w:val="single" w:sz="6" w:space="12" w:color="auto"/>
          <w:left w:val="single" w:sz="6" w:space="6" w:color="auto"/>
          <w:bottom w:val="single" w:sz="6" w:space="12" w:color="auto"/>
          <w:right w:val="single" w:sz="6" w:space="6" w:color="auto"/>
        </w:pBdr>
        <w:spacing w:after="120"/>
        <w:ind w:left="284" w:right="284"/>
        <w:rPr>
          <w:i/>
        </w:rPr>
      </w:pPr>
      <w:r>
        <w:rPr>
          <w:i/>
        </w:rPr>
        <w:tab/>
      </w:r>
      <w:r>
        <w:rPr>
          <w:i/>
          <w:lang w:val="en-US"/>
        </w:rPr>
        <w:t>g</w:t>
      </w:r>
      <w:r>
        <w:rPr>
          <w:i/>
        </w:rPr>
        <w:t>)</w:t>
      </w:r>
      <w:r>
        <w:rPr>
          <w:i/>
        </w:rPr>
        <w:tab/>
        <w:t>равные личные права мужа и жены, в том числе право выбора фамилии, профессии и занятия;</w:t>
      </w:r>
    </w:p>
    <w:p w:rsidR="00000000" w:rsidRDefault="00000000">
      <w:pPr>
        <w:pBdr>
          <w:top w:val="single" w:sz="6" w:space="12" w:color="auto"/>
          <w:left w:val="single" w:sz="6" w:space="6" w:color="auto"/>
          <w:bottom w:val="single" w:sz="6" w:space="12" w:color="auto"/>
          <w:right w:val="single" w:sz="6" w:space="6" w:color="auto"/>
        </w:pBdr>
        <w:ind w:left="1021" w:right="284" w:hanging="737"/>
        <w:rPr>
          <w:i/>
        </w:rPr>
      </w:pPr>
      <w:r>
        <w:rPr>
          <w:i/>
          <w:lang w:val="en-US"/>
        </w:rPr>
        <w:tab/>
        <w:t>h</w:t>
      </w:r>
      <w:r>
        <w:rPr>
          <w:i/>
        </w:rPr>
        <w:t>)</w:t>
      </w:r>
      <w:r>
        <w:rPr>
          <w:i/>
        </w:rPr>
        <w:tab/>
        <w:t>равные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pBdr>
          <w:top w:val="single" w:sz="6" w:space="12" w:color="auto"/>
          <w:left w:val="single" w:sz="6" w:space="6" w:color="auto"/>
          <w:bottom w:val="single" w:sz="6" w:space="12" w:color="auto"/>
          <w:right w:val="single" w:sz="6" w:space="6" w:color="auto"/>
        </w:pBdr>
        <w:ind w:left="284" w:right="284"/>
      </w:pPr>
      <w:r>
        <w:rPr>
          <w:i/>
        </w:rPr>
        <w:tab/>
        <w:t>2.</w:t>
      </w:r>
      <w:r>
        <w:rPr>
          <w:i/>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spacing w:before="240" w:line="240" w:lineRule="auto"/>
        <w:rPr>
          <w:b/>
          <w:sz w:val="28"/>
        </w:rPr>
      </w:pPr>
      <w:r>
        <w:rPr>
          <w:b/>
          <w:sz w:val="28"/>
          <w:lang w:val="en-US"/>
        </w:rPr>
        <w:t>I</w:t>
      </w:r>
      <w:r>
        <w:rPr>
          <w:b/>
          <w:sz w:val="28"/>
        </w:rPr>
        <w:t>.</w:t>
      </w:r>
      <w:r>
        <w:rPr>
          <w:b/>
          <w:sz w:val="28"/>
        </w:rPr>
        <w:tab/>
        <w:t>Равенство и партнерство в семье</w:t>
      </w:r>
    </w:p>
    <w:p w:rsidR="00000000" w:rsidRDefault="00000000">
      <w:pPr>
        <w:spacing w:after="100"/>
      </w:pPr>
      <w:r>
        <w:t>1042.</w:t>
      </w:r>
      <w:r>
        <w:tab/>
        <w:t>Семейные отношения в тунисской семье регулируются Кодексом о статусе личности (КСЛ), устанавливающим новый порядок организации семьи на основе равноправия мужчин и женщин и нравственных принципов отношений между супругами в семье и обществе. В частности, предусматриваются:</w:t>
      </w:r>
    </w:p>
    <w:p w:rsidR="00000000" w:rsidRDefault="00000000">
      <w:pPr>
        <w:spacing w:after="100"/>
      </w:pPr>
      <w:r>
        <w:t>–</w:t>
      </w:r>
      <w:r>
        <w:tab/>
        <w:t>ликвидация полигамии (нарушение этого принципа влечет за собой уголовное наказание);</w:t>
      </w:r>
    </w:p>
    <w:p w:rsidR="00000000" w:rsidRDefault="00000000">
      <w:pPr>
        <w:spacing w:after="100"/>
        <w:ind w:left="680" w:hanging="680"/>
      </w:pPr>
      <w:r>
        <w:t>–</w:t>
      </w:r>
      <w:r>
        <w:tab/>
        <w:t>расторжение брака в суде, запрещение изгнания жены из семьи и предоставление обоим супругам права на развод;</w:t>
      </w:r>
    </w:p>
    <w:p w:rsidR="00000000" w:rsidRDefault="00000000">
      <w:pPr>
        <w:spacing w:after="100"/>
        <w:ind w:left="680" w:hanging="680"/>
      </w:pPr>
      <w:r>
        <w:t>–</w:t>
      </w:r>
      <w:r>
        <w:tab/>
        <w:t>ограничение 17 годами установленного законом возраста вступления в брак девушки при условии ее согласия;</w:t>
      </w:r>
    </w:p>
    <w:p w:rsidR="00000000" w:rsidRDefault="00000000">
      <w:pPr>
        <w:spacing w:after="100"/>
        <w:ind w:left="680" w:hanging="680"/>
      </w:pPr>
      <w:r>
        <w:t>–</w:t>
      </w:r>
      <w:r>
        <w:tab/>
        <w:t>предоставление женщине права предъявлять иск в суде и быть ответчицей, предоставление ей тех же возможностей доступа в судебные органы, что и мужчинам;</w:t>
      </w:r>
    </w:p>
    <w:p w:rsidR="00000000" w:rsidRDefault="00000000">
      <w:pPr>
        <w:spacing w:after="100"/>
      </w:pPr>
      <w:r>
        <w:t>–</w:t>
      </w:r>
      <w:r>
        <w:tab/>
        <w:t>предоставление жене в случае смерти супруга права на опеку над ее несовершеннолетними детьми;</w:t>
      </w:r>
    </w:p>
    <w:p w:rsidR="00000000" w:rsidRDefault="00000000">
      <w:pPr>
        <w:spacing w:after="100"/>
        <w:ind w:left="680" w:hanging="680"/>
      </w:pPr>
      <w:r>
        <w:t>–</w:t>
      </w:r>
      <w:r>
        <w:tab/>
        <w:t>определение при наследовании размера обязательной доли наследства для детей женщины в том случае, если она умирает раньше своего мужа;</w:t>
      </w:r>
    </w:p>
    <w:p w:rsidR="00000000" w:rsidRDefault="00000000">
      <w:pPr>
        <w:spacing w:after="120"/>
      </w:pPr>
      <w:r>
        <w:t>–</w:t>
      </w:r>
      <w:r>
        <w:tab/>
        <w:t>право на "возврат": единственная дочь наследует все состояние своих родителей.</w:t>
      </w:r>
    </w:p>
    <w:p w:rsidR="00000000" w:rsidRDefault="00000000">
      <w:r>
        <w:t>1043.</w:t>
      </w:r>
      <w:r>
        <w:tab/>
        <w:t>В соответствии с изменениями в тунисском обществе в КСЛ неоднократно вносились поправки. Поправки 1993 года коренным образом изменили характер брачных и семейных отношений, еще более закрепив принцип равенства между мужчиной и женщиной и укрепив устои демократического ведения дел семьи.</w:t>
      </w:r>
    </w:p>
    <w:p w:rsidR="00000000" w:rsidRDefault="00000000">
      <w:r>
        <w:t>1044.</w:t>
      </w:r>
      <w:r>
        <w:tab/>
        <w:t>После принятия закона № 93-74 от 12 июля 1993 года, вносившего поправки в КСЛ, права и обязанности супругов в семье подверглись существенным изменениям, основанным на приверженности принципам равенства и общей ответственности. Благодаря расширению прав на участие в принятии решений, касающихся управления делами детей и семьи, супруга стала играть в семье более важную роль.</w:t>
      </w:r>
    </w:p>
    <w:p w:rsidR="00000000" w:rsidRDefault="00000000">
      <w:r>
        <w:t>1045.</w:t>
      </w:r>
      <w:r>
        <w:tab/>
        <w:t>Предоставление супруге и матери новых прав в управлении делами семьи и улучшение семейного климата, основанного на взаимопомощи и солидарности родителей, с одной стороны, и молодого поколения – с другой, в значительной степени способствовали укреплению семьи.</w:t>
      </w:r>
    </w:p>
    <w:p w:rsidR="00000000" w:rsidRDefault="00000000">
      <w:pPr>
        <w:spacing w:before="120" w:line="260" w:lineRule="exact"/>
        <w:rPr>
          <w:b/>
          <w:sz w:val="22"/>
        </w:rPr>
      </w:pPr>
      <w:r>
        <w:rPr>
          <w:b/>
          <w:sz w:val="22"/>
        </w:rPr>
        <w:t>1.</w:t>
      </w:r>
      <w:r>
        <w:rPr>
          <w:b/>
          <w:sz w:val="22"/>
        </w:rPr>
        <w:tab/>
        <w:t>Отношения между супругами: взаимные обязательства</w:t>
      </w:r>
    </w:p>
    <w:p w:rsidR="00000000" w:rsidRDefault="00000000">
      <w:r>
        <w:t>1046.</w:t>
      </w:r>
      <w:r>
        <w:tab/>
        <w:t>В прежних статьях 2 (о расторжении помолвки) и 28 (о расторжении брачного договора) КСЛ говорилось, что только жених или супруг имеют право получить обратно подарки, сделанные им невесте или супруге. Однако социальная и культурная эволюция тунисского общества привела к тому, что работающая женщина обычно обладает своим собственным имуществом и также делает подарки своему будущему или настоящему супругу… Поэтому вполне нормально, что она пользуется таким же правом на возврат подарков, как и ее жених или супруг, в случае расторжения помолвки или брачного договора.</w:t>
      </w:r>
    </w:p>
    <w:p w:rsidR="00000000" w:rsidRDefault="00000000">
      <w:pPr>
        <w:spacing w:after="120"/>
      </w:pPr>
      <w:r>
        <w:t>1047.</w:t>
      </w:r>
      <w:r>
        <w:tab/>
        <w:t>Закон № 93-74 от 12 июля 1993 года изменил эти две статьи таким образом, чтобы мужчина и женщина стали равны в этой области.</w:t>
      </w:r>
    </w:p>
    <w:p w:rsidR="00000000" w:rsidRDefault="00000000">
      <w:pPr>
        <w:spacing w:after="120"/>
      </w:pPr>
      <w:r>
        <w:rPr>
          <w:lang w:val="en-US"/>
        </w:rPr>
        <w:tab/>
      </w:r>
      <w:r>
        <w:t>Статья 2 (новая): "</w:t>
      </w:r>
      <w:r>
        <w:rPr>
          <w:i/>
        </w:rPr>
        <w:t>Каждый из обрученных имеет право на возвращение подарков, сделанных другому, кроме случаев нарушения своего обещания или утверждения обратного</w:t>
      </w:r>
      <w:r>
        <w:t>".</w:t>
      </w:r>
    </w:p>
    <w:p w:rsidR="00000000" w:rsidRDefault="00000000">
      <w:r>
        <w:rPr>
          <w:lang w:val="en-US"/>
        </w:rPr>
        <w:tab/>
      </w:r>
      <w:r>
        <w:t>Статья 28 (новая): "</w:t>
      </w:r>
      <w:r>
        <w:rPr>
          <w:i/>
        </w:rPr>
        <w:t>В случае прекращения брака до начала осуществления супругами своих супружеских обязанностей по вине одного из них подарки, сделанные каждым из них после заключения брака, возвращаются в их фактическом состоянии даже в случае их изменения. После начала осуществления супружеских отношений никакого возвращения не производится</w:t>
      </w:r>
      <w:r>
        <w:t>".</w:t>
      </w:r>
    </w:p>
    <w:p w:rsidR="00000000" w:rsidRDefault="00000000">
      <w:r>
        <w:t>1048.</w:t>
      </w:r>
      <w:r>
        <w:tab/>
        <w:t>Очевидно, что эти поправки закрепляют принцип недискриминации в отношениях между мужчиной и женщиной в течение периода, предшествующего началу осуществления супружеских отношений, устанавливая тем самым атмосферу равенства в семье.</w:t>
      </w:r>
    </w:p>
    <w:p w:rsidR="00000000" w:rsidRDefault="00000000">
      <w:pPr>
        <w:spacing w:before="120" w:line="260" w:lineRule="exact"/>
        <w:rPr>
          <w:b/>
          <w:sz w:val="22"/>
        </w:rPr>
      </w:pPr>
      <w:r>
        <w:rPr>
          <w:b/>
          <w:sz w:val="22"/>
        </w:rPr>
        <w:t>2.</w:t>
      </w:r>
      <w:r>
        <w:rPr>
          <w:b/>
          <w:sz w:val="22"/>
        </w:rPr>
        <w:tab/>
        <w:t>Отмена предусмотренной законом оценки приданого</w:t>
      </w:r>
    </w:p>
    <w:p w:rsidR="00000000" w:rsidRDefault="00000000">
      <w:r>
        <w:t>1049.</w:t>
      </w:r>
      <w:r>
        <w:tab/>
        <w:t>Согласно статье 3 КСЛ "определение размера приданого в пользу женщины" является одним из условий действительности брачного договора.</w:t>
      </w:r>
    </w:p>
    <w:p w:rsidR="00000000" w:rsidRDefault="00000000">
      <w:pPr>
        <w:spacing w:after="120"/>
      </w:pPr>
      <w:r>
        <w:t>1050.</w:t>
      </w:r>
      <w:r>
        <w:tab/>
        <w:t>Прежняя статья 12 КСЛ требовала, чтобы стоимость приданого была значительна и не ограничивалась каким-либо образом. Из новой статьи 12 это положение было исключено, чтобы устранить малейший намек на отношение к женщине как объекту купли-продажи.</w:t>
      </w:r>
    </w:p>
    <w:p w:rsidR="00000000" w:rsidRDefault="00000000">
      <w:pPr>
        <w:spacing w:after="120"/>
      </w:pPr>
      <w:r>
        <w:rPr>
          <w:lang w:val="en-US"/>
        </w:rPr>
        <w:tab/>
      </w:r>
      <w:r>
        <w:t>Статья 12 (новая): "</w:t>
      </w:r>
      <w:r>
        <w:rPr>
          <w:i/>
        </w:rPr>
        <w:t>Приданым может быть любое законное имущество, оцениваемое в должном выражении. Оно принадлежит супруге</w:t>
      </w:r>
      <w:r>
        <w:t>".</w:t>
      </w:r>
    </w:p>
    <w:p w:rsidR="00000000" w:rsidRDefault="00000000">
      <w:r>
        <w:rPr>
          <w:lang w:val="en-US"/>
        </w:rPr>
        <w:tab/>
      </w:r>
      <w:r>
        <w:t>Приданое больше не является материальным условием для заключения брака, это скорее условие психологического характера, демонстрация любви к супруге.</w:t>
      </w:r>
    </w:p>
    <w:p w:rsidR="00000000" w:rsidRDefault="00000000">
      <w:r>
        <w:t>1051.</w:t>
      </w:r>
      <w:r>
        <w:tab/>
        <w:t>Фактически приданое все меньше и меньше воспринимается в обществе как условие для заключения брака и приобретает на практике все более символический характер. В большинстве брачных договоров указывается символический размер приданого: "пять динаров в пользу женщины" (то есть около 5 долл. США), что поощряется органами государственной власти.</w:t>
      </w:r>
    </w:p>
    <w:p w:rsidR="00000000" w:rsidRDefault="00000000">
      <w:pPr>
        <w:spacing w:before="120" w:line="260" w:lineRule="exact"/>
        <w:ind w:left="680" w:hanging="680"/>
        <w:jc w:val="left"/>
        <w:rPr>
          <w:b/>
          <w:sz w:val="22"/>
        </w:rPr>
      </w:pPr>
      <w:r>
        <w:rPr>
          <w:b/>
          <w:sz w:val="22"/>
        </w:rPr>
        <w:t>3.</w:t>
      </w:r>
      <w:r>
        <w:rPr>
          <w:b/>
          <w:sz w:val="22"/>
        </w:rPr>
        <w:tab/>
        <w:t xml:space="preserve">Приобретение несовершеннолетней супругой дееспособности в полном объеме </w:t>
      </w:r>
      <w:r>
        <w:rPr>
          <w:b/>
          <w:sz w:val="22"/>
        </w:rPr>
        <w:br/>
        <w:t>в результате вступления в брак</w:t>
      </w:r>
    </w:p>
    <w:p w:rsidR="00000000" w:rsidRDefault="00000000">
      <w:r>
        <w:t>1052.</w:t>
      </w:r>
      <w:r>
        <w:tab/>
        <w:t>Согласно статье 5 КСЛ, установленный законом минимальный брачный возраст равен 17 годам для девушки и 20 годам для юноши, а в статье 153 этого Кодекса говорится, что "</w:t>
      </w:r>
      <w:r>
        <w:rPr>
          <w:i/>
        </w:rPr>
        <w:t>лицо любого пола, не достигшее совершеннолетнего возраста полных двадцати лет, признается недееспособным в силу несовершеннолетия</w:t>
      </w:r>
      <w:r>
        <w:t>".</w:t>
      </w:r>
    </w:p>
    <w:p w:rsidR="00000000" w:rsidRDefault="00000000">
      <w:r>
        <w:t>1053.</w:t>
      </w:r>
      <w:r>
        <w:tab/>
        <w:t>Чтобы уравнять супругов в области правоспособности, законодатели включили в статью 153 новое положение, согласно которому "</w:t>
      </w:r>
      <w:r>
        <w:rPr>
          <w:i/>
        </w:rPr>
        <w:t>несовершеннолетнее лицо, достигшее 17-летнего возраста, становится совершеннолетним на основании вступления в брак в том, что касается его личного статуса и управления своими гражданскими и коммерческими делами</w:t>
      </w:r>
      <w:r>
        <w:t>".</w:t>
      </w:r>
    </w:p>
    <w:p w:rsidR="00000000" w:rsidRDefault="00000000">
      <w:r>
        <w:t>1054.</w:t>
      </w:r>
      <w:r>
        <w:tab/>
        <w:t>Статья 153 (новая): "</w:t>
      </w:r>
      <w:r>
        <w:rPr>
          <w:i/>
        </w:rPr>
        <w:t xml:space="preserve">Признается недееспособным в силу несовершеннолетия лицо любого пола, не достигшее совершеннолетнего возраста полных двадцати лет. Несовершеннолетнее лицо, достигшее </w:t>
      </w:r>
      <w:r>
        <w:rPr>
          <w:i/>
        </w:rPr>
        <w:br/>
        <w:t>17-летнего возраста, становится совершеннолетним на основании вступления в брак в том, что касается его личного статуса и управления своими гражданскими и коммерческими делами</w:t>
      </w:r>
      <w:r>
        <w:t>".</w:t>
      </w:r>
    </w:p>
    <w:p w:rsidR="00000000" w:rsidRDefault="00000000">
      <w:r>
        <w:t>1055.</w:t>
      </w:r>
      <w:r>
        <w:tab/>
        <w:t>Следовательно, несовершеннолетняя супруга может лично управлять своими гражданскими и коммерческими делами, а ее супруг не имеет права вмешиваться в этот аспект ее личной жизни.</w:t>
      </w:r>
    </w:p>
    <w:p w:rsidR="00000000" w:rsidRDefault="00000000">
      <w:pPr>
        <w:spacing w:before="240" w:line="240" w:lineRule="auto"/>
        <w:rPr>
          <w:b/>
          <w:sz w:val="28"/>
        </w:rPr>
      </w:pPr>
      <w:r>
        <w:rPr>
          <w:b/>
          <w:sz w:val="28"/>
          <w:lang w:val="en-US"/>
        </w:rPr>
        <w:t>II</w:t>
      </w:r>
      <w:r>
        <w:rPr>
          <w:b/>
          <w:sz w:val="28"/>
        </w:rPr>
        <w:t>.</w:t>
      </w:r>
      <w:r>
        <w:rPr>
          <w:b/>
          <w:sz w:val="28"/>
        </w:rPr>
        <w:tab/>
        <w:t>Более сбалансированные права и обязанности супругов</w:t>
      </w:r>
    </w:p>
    <w:p w:rsidR="00000000" w:rsidRDefault="00000000">
      <w:pPr>
        <w:spacing w:after="120"/>
      </w:pPr>
      <w:r>
        <w:t>1056.</w:t>
      </w:r>
      <w:r>
        <w:tab/>
        <w:t>В соответствии с прежней статьей 23 КСЛ отношения между супругами были по сути своей неравноправными, что предопределялось иерархическим превосходством мужа, которому принадлежало право принимать решения, и подчиненным положением жены, обязанной исполнять решения своего супруга и повиноваться ему. В ней говорилось:</w:t>
      </w:r>
    </w:p>
    <w:p w:rsidR="00000000" w:rsidRDefault="00000000">
      <w:r>
        <w:rPr>
          <w:lang w:val="en-US"/>
        </w:rPr>
        <w:tab/>
      </w:r>
      <w:r>
        <w:t>"</w:t>
      </w:r>
      <w:r>
        <w:rPr>
          <w:i/>
        </w:rPr>
        <w:t>Муж обязан относиться к своей жене доброжелательно и поддерживать с ней хорошие отношения. Он должен избегать нанесения ей ущерба. Он должен оплачивать семейные расходы и обеспечивать существование своих жены и детей в меру своих возможностей и в зависимости от материального положения жены. Жена участвует в семейных расходах при наличии у нее имущества. Женщина должна уважать преимущественные права мужа как главы семьи и повиноваться ему в этих пределах. Жена должна исполнять свои супружеские обязанности в соответствии с принятой практикой и обычаями</w:t>
      </w:r>
      <w:r>
        <w:t>".</w:t>
      </w:r>
    </w:p>
    <w:p w:rsidR="00000000" w:rsidRDefault="00000000">
      <w:pPr>
        <w:spacing w:after="80"/>
      </w:pPr>
      <w:r>
        <w:t>1057.</w:t>
      </w:r>
      <w:r>
        <w:tab/>
        <w:t>В результате пересмотра КСЛ на основании закона № 93-74 от 12 июля 1993 года была сформулирована новая концепция отношений между супругами. Теперь речь идет о сотрудничестве в ведении дел семьи и детей.</w:t>
      </w:r>
    </w:p>
    <w:p w:rsidR="00000000" w:rsidRDefault="00000000">
      <w:pPr>
        <w:spacing w:after="80"/>
        <w:rPr>
          <w:i/>
        </w:rPr>
      </w:pPr>
      <w:r>
        <w:rPr>
          <w:lang w:val="en-US"/>
        </w:rPr>
        <w:tab/>
      </w:r>
      <w:r>
        <w:t>Статья 23 (новая): "</w:t>
      </w:r>
      <w:r>
        <w:rPr>
          <w:i/>
        </w:rPr>
        <w:t>Каждый из супругов должен относиться к другому доброжелательно, поддерживать с ним хорошие отношения и избегать нанесения ему ущерба. Оба супруга должны исполнять свои супружеские обязанности в соответствии с принятой практикой и обычаями.</w:t>
      </w:r>
    </w:p>
    <w:p w:rsidR="00000000" w:rsidRDefault="00000000">
      <w:pPr>
        <w:spacing w:after="80"/>
        <w:rPr>
          <w:i/>
        </w:rPr>
      </w:pPr>
      <w:r>
        <w:rPr>
          <w:i/>
          <w:lang w:val="en-US"/>
        </w:rPr>
        <w:tab/>
      </w:r>
      <w:r>
        <w:rPr>
          <w:i/>
        </w:rPr>
        <w:t>Они совместно участвуют в ведении семейных дел, в надлежащем воспитании детей, а также в управлении делами последних, включая их образование, поездки и финансовые операции.</w:t>
      </w:r>
    </w:p>
    <w:p w:rsidR="00000000" w:rsidRDefault="00000000">
      <w:pPr>
        <w:spacing w:after="80"/>
        <w:rPr>
          <w:i/>
        </w:rPr>
      </w:pPr>
      <w:r>
        <w:rPr>
          <w:i/>
          <w:lang w:val="en-US"/>
        </w:rPr>
        <w:tab/>
      </w:r>
      <w:r>
        <w:rPr>
          <w:i/>
        </w:rPr>
        <w:t xml:space="preserve">Муж в качестве главы семьи должен обеспечивать средствами существования своих жену и детей в меру своих средств и с учетом их состояния. </w:t>
      </w:r>
    </w:p>
    <w:p w:rsidR="00000000" w:rsidRDefault="00000000">
      <w:r>
        <w:rPr>
          <w:i/>
        </w:rPr>
        <w:tab/>
        <w:t>Жена должна участвовать в семейных расходах при наличии у нее имущества</w:t>
      </w:r>
      <w:r>
        <w:t>".</w:t>
      </w:r>
    </w:p>
    <w:p w:rsidR="00000000" w:rsidRDefault="00000000">
      <w:r>
        <w:t>1058.</w:t>
      </w:r>
      <w:r>
        <w:tab/>
        <w:t>Вследствие социальных перемен, в частности обеспечения доступа женщин к трудовой деятельности и экономическим ресурсам, сегодня большинство (более 60 процентов) тунисских семей являются нуклеарными, в то время как в 1956 году 60 процентов семей имели расширенный состав.</w:t>
      </w:r>
    </w:p>
    <w:p w:rsidR="00000000" w:rsidRDefault="00000000">
      <w:pPr>
        <w:spacing w:before="120" w:line="260" w:lineRule="exact"/>
        <w:rPr>
          <w:b/>
          <w:sz w:val="22"/>
        </w:rPr>
      </w:pPr>
      <w:r>
        <w:rPr>
          <w:b/>
          <w:sz w:val="22"/>
          <w:lang w:val="en-US"/>
        </w:rPr>
        <w:t>II</w:t>
      </w:r>
      <w:r>
        <w:rPr>
          <w:b/>
          <w:sz w:val="22"/>
        </w:rPr>
        <w:t>.1.</w:t>
      </w:r>
      <w:r>
        <w:rPr>
          <w:b/>
          <w:sz w:val="22"/>
        </w:rPr>
        <w:tab/>
        <w:t>Обязанность супругов сотрудничать друг с другом</w:t>
      </w:r>
    </w:p>
    <w:p w:rsidR="00000000" w:rsidRDefault="00000000">
      <w:r>
        <w:t>1059.</w:t>
      </w:r>
      <w:r>
        <w:tab/>
        <w:t>Введение обязанности супругов сотрудничать друг с другом позволяет придать нравственный характер новым взаимоотношениям между ними и обозначить для них новые законодательные ориентиры, делая условия семейного и общественного окружения более благоприятными в отношении прав человеческой личности, в частности прав жены и ребенка.</w:t>
      </w:r>
    </w:p>
    <w:p w:rsidR="00000000" w:rsidRDefault="00000000">
      <w:r>
        <w:t>1060.</w:t>
      </w:r>
      <w:r>
        <w:tab/>
        <w:t xml:space="preserve">Понятие партнерства и общей ответственности супругов находится в стадии становления, что позволит постепенно упразднять неэгалитарные положения, устранять последние пережитки патриархата. В декрете </w:t>
      </w:r>
      <w:r>
        <w:br/>
        <w:t>1956 года о матримониальном статусе семей, возникших в результате смешанных браков, говорилось, что в этом случае законом, применяемым для разрешения конфликтов между супругами, является закон страны мужа, что давало ему преимущественные права, основанные на дискриминации по признаку пола.</w:t>
      </w:r>
    </w:p>
    <w:p w:rsidR="00000000" w:rsidRDefault="00000000">
      <w:r>
        <w:t>1061.</w:t>
      </w:r>
      <w:r>
        <w:tab/>
        <w:t>Кодекс международного частного права, вступивший в силу на основании закона № 98-97 от 27 ноября 1998 года, устанавливает в своих статьях 47 (обязанности супругов), 48 (имущественные отношения между супругами) и 49 (развод), что теперь в этих случаях будет применяться закон страны последнего места проживания супругов или, за неимением последнего, закон страны суда (страны, в которой был подан иск о расторжении брака), закрепляя таким образом принцип абсолютного равенства супругов в области личного статуса и выбора места жительства супругов.</w:t>
      </w:r>
    </w:p>
    <w:p w:rsidR="00000000" w:rsidRDefault="00000000">
      <w:pPr>
        <w:spacing w:before="120" w:line="260" w:lineRule="exact"/>
        <w:rPr>
          <w:b/>
          <w:sz w:val="22"/>
        </w:rPr>
      </w:pPr>
      <w:r>
        <w:rPr>
          <w:b/>
          <w:sz w:val="22"/>
          <w:lang w:val="en-US"/>
        </w:rPr>
        <w:t>II</w:t>
      </w:r>
      <w:r>
        <w:rPr>
          <w:b/>
          <w:sz w:val="22"/>
        </w:rPr>
        <w:t>.2.</w:t>
      </w:r>
      <w:r>
        <w:rPr>
          <w:b/>
          <w:sz w:val="22"/>
        </w:rPr>
        <w:tab/>
        <w:t>Признание экономической роли супруги в семье</w:t>
      </w:r>
    </w:p>
    <w:p w:rsidR="00000000" w:rsidRDefault="00000000">
      <w:r>
        <w:t>1062.</w:t>
      </w:r>
      <w:r>
        <w:tab/>
        <w:t>Поправка к статье 23 является важным нововведением, представляя обязанность супруги участвовать в семейных расходах, вытекающую из признания новой роли женщины как субъекта экономических отношений. Теперь супруга является для семьи источником экономических ресурсов.</w:t>
      </w:r>
    </w:p>
    <w:p w:rsidR="00000000" w:rsidRDefault="00000000">
      <w:r>
        <w:t>1063.</w:t>
      </w:r>
      <w:r>
        <w:tab/>
        <w:t>Тем не менее экономические обязанности супругов неодинаковы. Если муж в основном обеспечивает семью, то супруге экономические обязанности вменяются лишь в том случае, если она обладает своими собственными средствами. Такое положение оправдано экономической действительностью страны, в которой, согласно всеобщей переписи населения 1994 года, работающие женщины составляли 24 процента всего экономически активного населения.</w:t>
      </w:r>
    </w:p>
    <w:p w:rsidR="00000000" w:rsidRDefault="00000000">
      <w:r>
        <w:t>1064.</w:t>
      </w:r>
      <w:r>
        <w:tab/>
        <w:t>Однако роль женщины в приумножении экономических ресурсов семьи все более укореняется в коллективном сознании.</w:t>
      </w:r>
    </w:p>
    <w:p w:rsidR="00000000" w:rsidRDefault="00000000">
      <w:r>
        <w:t>1065.</w:t>
      </w:r>
      <w:r>
        <w:tab/>
        <w:t>Роль "главы семьи" также признается обществом за женщинами, являющимися главой неполных семей, на которые приходится около 52 процента социальной помощи, оказываемой Национальным фондом помощи нуждающимся семьям.</w:t>
      </w:r>
    </w:p>
    <w:p w:rsidR="00000000" w:rsidRDefault="00000000">
      <w:pPr>
        <w:spacing w:before="240" w:line="240" w:lineRule="auto"/>
        <w:rPr>
          <w:b/>
          <w:sz w:val="28"/>
        </w:rPr>
      </w:pPr>
      <w:r>
        <w:rPr>
          <w:b/>
          <w:sz w:val="28"/>
          <w:lang w:val="en-US"/>
        </w:rPr>
        <w:t>III</w:t>
      </w:r>
      <w:r>
        <w:rPr>
          <w:b/>
          <w:sz w:val="28"/>
        </w:rPr>
        <w:t>.</w:t>
      </w:r>
      <w:r>
        <w:rPr>
          <w:b/>
          <w:sz w:val="28"/>
        </w:rPr>
        <w:tab/>
        <w:t>Упразднение понятия подчинения</w:t>
      </w:r>
    </w:p>
    <w:p w:rsidR="00000000" w:rsidRDefault="00000000">
      <w:r>
        <w:t>1066.</w:t>
      </w:r>
      <w:r>
        <w:tab/>
        <w:t>Часть 3 прежней статьи 23 обязывала супругу уважать преимущественные права мужа и повиноваться ему как главе семьи. В новой статье это положение отсутствует.</w:t>
      </w:r>
    </w:p>
    <w:p w:rsidR="00000000" w:rsidRDefault="00000000">
      <w:r>
        <w:t>1067.</w:t>
      </w:r>
      <w:r>
        <w:tab/>
        <w:t>Теперь отношения между мужчиной и женщиной, являющимися супругами, не основаны на принципе подчинения или силы.</w:t>
      </w:r>
    </w:p>
    <w:p w:rsidR="00000000" w:rsidRDefault="00000000">
      <w:r>
        <w:t>1068.</w:t>
      </w:r>
      <w:r>
        <w:tab/>
        <w:t>Если даже муж и является "главой семьи", теперь это не дает оснований для его доминирующего положения, поскольку отныне это понятие связано не с упраздненным положением о подчинении, а с экономической ролью супруга, обязанного "обеспечивать существование своих жены и детей в меру своих средств". Теперь роль главы семьи является не правом, предоставленным мужу за счет его жены, а экономической функцией, связанной с его обязанностью обеспечивать существование своих жены и детей.</w:t>
      </w:r>
    </w:p>
    <w:p w:rsidR="00000000" w:rsidRDefault="00000000">
      <w:pPr>
        <w:spacing w:before="120" w:line="260" w:lineRule="exact"/>
        <w:rPr>
          <w:b/>
          <w:sz w:val="22"/>
        </w:rPr>
      </w:pPr>
      <w:r>
        <w:rPr>
          <w:b/>
          <w:sz w:val="22"/>
        </w:rPr>
        <w:t>III.1.</w:t>
      </w:r>
      <w:r>
        <w:rPr>
          <w:b/>
          <w:sz w:val="22"/>
        </w:rPr>
        <w:tab/>
        <w:t>Взаимное уважение между супругами</w:t>
      </w:r>
    </w:p>
    <w:p w:rsidR="00000000" w:rsidRDefault="00000000">
      <w:r>
        <w:t>1069.</w:t>
      </w:r>
      <w:r>
        <w:tab/>
        <w:t>Прежняя статья 23 обязывала, с одной стороны, мужа "относиться к супруге доброжелательно и избегать нанесения ей ущерба", а с другой стороны, жену повиноваться ему и "исполнять свои супружеские обязанности в соответствии с принятой практикой и обычаями".</w:t>
      </w:r>
    </w:p>
    <w:p w:rsidR="00000000" w:rsidRDefault="00000000">
      <w:r>
        <w:t>1070.</w:t>
      </w:r>
      <w:r>
        <w:tab/>
        <w:t>Пересмотр этой статьи на основании закона № 93-74 от 12 июля 1993 года привел к установлению новых отношений, основанных на взаимности. Теперь на обоих супругов наложена взаимная обязанность относиться друг к другу доброжелательно, избегать нанесения ущерба друг другу и исполнять супружеские обязанности в соответствии с принятой практикой и обычаями.</w:t>
      </w:r>
    </w:p>
    <w:p w:rsidR="00000000" w:rsidRDefault="00000000">
      <w:r>
        <w:t>1071.</w:t>
      </w:r>
      <w:r>
        <w:tab/>
        <w:t xml:space="preserve">Жена теперь не воспринимается как собственность мужа, который обязан ее защищать, а имеет статус полноправного юридического лица, обладающего такими же правами и имеющего такие же обязанности, что и ее супруг, в том, что касается уважения достоинства, любви и хорошего обращения. Коренным образом меняется не только восприятие супруги ее супругом, но и вся основа отношений между ними. </w:t>
      </w:r>
    </w:p>
    <w:p w:rsidR="00000000" w:rsidRDefault="00000000">
      <w:pPr>
        <w:spacing w:before="120" w:line="260" w:lineRule="exact"/>
        <w:rPr>
          <w:b/>
          <w:sz w:val="22"/>
        </w:rPr>
      </w:pPr>
      <w:r>
        <w:rPr>
          <w:b/>
          <w:sz w:val="22"/>
        </w:rPr>
        <w:t>III.2.</w:t>
      </w:r>
      <w:r>
        <w:rPr>
          <w:b/>
          <w:sz w:val="22"/>
        </w:rPr>
        <w:tab/>
        <w:t>Неотъемлемое право супруги на жизнь и физическую неприкосновенность</w:t>
      </w:r>
    </w:p>
    <w:p w:rsidR="00000000" w:rsidRDefault="00000000">
      <w:r>
        <w:t>1072.</w:t>
      </w:r>
      <w:r>
        <w:tab/>
        <w:t>Установление принципа взаимности в отношениях супругов вытекает из признания законом индивидуальности женщины как человеческой личности, которая обладает присущими ей правами, независимо от семейного положения.</w:t>
      </w:r>
    </w:p>
    <w:p w:rsidR="00000000" w:rsidRDefault="00000000">
      <w:r>
        <w:t>1073.</w:t>
      </w:r>
      <w:r>
        <w:tab/>
        <w:t>Пересмотренный в 1993 году на основании тех же принципов Уголовный кодекс признал за супругой ее неотъемлемое право на жизнь как индивида и на уважение ее физической неприкосновенности, которое является неотъемлемым правом человеческой личности. Это признание проявилось в форме отмены статьи 207, которая в случае убийства мужем своей жены в момент совершения ею адюльтера определяла для него смягчающие вину обстоятельства. Теперь такое преступление квалифицируется как умышленное убийство, карающееся пожизненным тюремным заключением.</w:t>
      </w:r>
    </w:p>
    <w:p w:rsidR="00000000" w:rsidRDefault="00000000">
      <w:r>
        <w:t>1074.</w:t>
      </w:r>
      <w:r>
        <w:tab/>
        <w:t>Муж более не обладает правом решать вопрос жизни и смерти своей супруги, которая утверждена теперь в своем праве на жизнь, являющемся неотъемлемым правом человеческой личности, независимо от того, насколько противоправным является ее поведение.</w:t>
      </w:r>
    </w:p>
    <w:p w:rsidR="00000000" w:rsidRDefault="00000000">
      <w:r>
        <w:t>1075.</w:t>
      </w:r>
      <w:r>
        <w:tab/>
        <w:t>Было установлено равенство полов перед уголовным законодательством  в том, что касается преступлений, совершенных в состоянии аффекта, что в значительной степени способствовало укоренению в общественном сознании принципа личной неприкосновенности женщины независимо от ее семейного положения.</w:t>
      </w:r>
    </w:p>
    <w:p w:rsidR="00000000" w:rsidRDefault="00000000">
      <w:r>
        <w:t>1076.</w:t>
      </w:r>
      <w:r>
        <w:tab/>
        <w:t xml:space="preserve">Соответственно, что касается насилия, совершаемого в отношении супруги/а, закон № 93-74 от </w:t>
      </w:r>
      <w:r>
        <w:br/>
        <w:t>12 июля 1993 года, изменивший статью 218 Уголовного кодекса, рассматривает наличие супружеской связи как отягчающее вину обстоятельство, оправдывающее ужесточение наказания, тогда как прежде за насилие в семье предусматривалась обычная мера наказания, применявшаяся в отношении любых насильственных действий.</w:t>
      </w:r>
    </w:p>
    <w:p w:rsidR="00000000" w:rsidRDefault="00000000">
      <w:pPr>
        <w:spacing w:after="120"/>
      </w:pPr>
      <w:r>
        <w:t>1077.</w:t>
      </w:r>
      <w:r>
        <w:tab/>
        <w:t>Теперь за насилие в семье полагается вдвое больший срок лишения свободы, то есть два года, и штраф в две тысячи динаров, в то время как за любые другие формы насилия или агрессивных действий предусматривается один год лишения свободы и штраф в одну тысячу динаров.</w:t>
      </w:r>
    </w:p>
    <w:p w:rsidR="00000000" w:rsidRDefault="00000000">
      <w:pPr>
        <w:spacing w:after="120"/>
      </w:pPr>
      <w:r>
        <w:tab/>
        <w:t>В статье 218 (новой) говорится:</w:t>
      </w:r>
    </w:p>
    <w:p w:rsidR="00000000" w:rsidRDefault="00000000">
      <w:pPr>
        <w:spacing w:after="120"/>
        <w:rPr>
          <w:i/>
        </w:rPr>
      </w:pPr>
      <w:r>
        <w:rPr>
          <w:lang w:val="en-US"/>
        </w:rPr>
        <w:tab/>
      </w:r>
      <w:r>
        <w:t>"</w:t>
      </w:r>
      <w:r>
        <w:rPr>
          <w:i/>
        </w:rPr>
        <w:t>Любое лицо, умышленно нанесшее телесные повреждения или совершившее любые другие акты насилия или насильственные действия, не предусмотренные статьей 319, наказывается лишением свободы сроком на один год и штрафом в одну тысячу динаров (1000 динаров).</w:t>
      </w:r>
    </w:p>
    <w:p w:rsidR="00000000" w:rsidRDefault="00000000">
      <w:pPr>
        <w:spacing w:after="0"/>
        <w:rPr>
          <w:i/>
        </w:rPr>
      </w:pPr>
      <w:r>
        <w:rPr>
          <w:i/>
        </w:rPr>
        <w:tab/>
        <w:t>Если акт агрессии был совершен родственником по нисходящей линии или супругом пострадавшего, он наказывается лишением свободы сроком на два года и штрафом в две тысячи динаров (2000 динаров).</w:t>
      </w:r>
    </w:p>
    <w:p w:rsidR="00000000" w:rsidRDefault="00000000">
      <w:pPr>
        <w:spacing w:after="80"/>
        <w:rPr>
          <w:i/>
        </w:rPr>
      </w:pPr>
      <w:r>
        <w:rPr>
          <w:i/>
        </w:rPr>
        <w:tab/>
        <w:t>При умышленном характере вышеуказанных действий предусматривается наказание в виде лишения свободы сроком на три года и штрафа в три тысячи динаров (3000 динаров).</w:t>
      </w:r>
    </w:p>
    <w:p w:rsidR="00000000" w:rsidRDefault="00000000">
      <w:pPr>
        <w:spacing w:after="80"/>
        <w:rPr>
          <w:i/>
        </w:rPr>
      </w:pPr>
      <w:r>
        <w:rPr>
          <w:i/>
        </w:rPr>
        <w:tab/>
        <w:t>При отказе от иска со стороны пострадавшего родственника по восходящей линии или супруга судебное преследование, судопроизводство или исполнение наказания прекращаются.</w:t>
      </w:r>
    </w:p>
    <w:p w:rsidR="00000000" w:rsidRDefault="00000000">
      <w:pPr>
        <w:spacing w:after="80"/>
      </w:pPr>
      <w:r>
        <w:rPr>
          <w:i/>
          <w:lang w:val="en-US"/>
        </w:rPr>
        <w:tab/>
      </w:r>
      <w:r>
        <w:rPr>
          <w:i/>
        </w:rPr>
        <w:t>Попытка совершения подобных действий наказуема</w:t>
      </w:r>
      <w:r>
        <w:t>".</w:t>
      </w:r>
    </w:p>
    <w:p w:rsidR="00000000" w:rsidRDefault="00000000">
      <w:r>
        <w:rPr>
          <w:lang w:val="en-US"/>
        </w:rPr>
        <w:tab/>
      </w:r>
      <w:r>
        <w:t>Таким образом, что касается насилия в семье, то законодательство предусматривает как ужесточение наказания, так и прощение супруга.</w:t>
      </w:r>
    </w:p>
    <w:p w:rsidR="00000000" w:rsidRDefault="00000000">
      <w:pPr>
        <w:spacing w:before="240" w:line="240" w:lineRule="auto"/>
        <w:rPr>
          <w:b/>
          <w:sz w:val="28"/>
        </w:rPr>
      </w:pPr>
      <w:r>
        <w:rPr>
          <w:b/>
          <w:sz w:val="28"/>
          <w:lang w:val="sr-Cyrl-CS"/>
        </w:rPr>
        <w:t>IV.</w:t>
      </w:r>
      <w:r>
        <w:rPr>
          <w:b/>
          <w:sz w:val="28"/>
          <w:lang w:val="sr-Cyrl-CS"/>
        </w:rPr>
        <w:tab/>
        <w:t>Права родителей: сотрудничество в надлежащем воспитании</w:t>
      </w:r>
      <w:r>
        <w:rPr>
          <w:b/>
          <w:sz w:val="28"/>
        </w:rPr>
        <w:t xml:space="preserve"> детей</w:t>
      </w:r>
    </w:p>
    <w:p w:rsidR="00000000" w:rsidRDefault="00000000">
      <w:pPr>
        <w:spacing w:after="120"/>
      </w:pPr>
      <w:r>
        <w:t>1078.</w:t>
      </w:r>
      <w:r>
        <w:tab/>
        <w:t>Закон № 93-74 от 12 июля 1993 года способствовал определенной сбалансированности прав отца и матери.</w:t>
      </w:r>
    </w:p>
    <w:p w:rsidR="00000000" w:rsidRDefault="00000000">
      <w:r>
        <w:rPr>
          <w:lang w:val="en-US"/>
        </w:rPr>
        <w:tab/>
      </w:r>
      <w:r>
        <w:t>Права и обязанности родителей в некоторой степени различаются, и это различие может даже оправдывать так называемую позитивную дискриминацию в отношении женщины, например в том, что касается алиментов.</w:t>
      </w:r>
    </w:p>
    <w:p w:rsidR="00000000" w:rsidRDefault="00000000">
      <w:pPr>
        <w:spacing w:after="80"/>
      </w:pPr>
      <w:r>
        <w:t>1079.</w:t>
      </w:r>
      <w:r>
        <w:tab/>
        <w:t>В новой статье 23 КСЛ говорится, что "</w:t>
      </w:r>
      <w:r>
        <w:rPr>
          <w:i/>
        </w:rPr>
        <w:t>оба супруга совместно участвуют в ведении семейных дел, в надлежащем воспитании детей, а также в управлении делами последних, включая их образование, поездки и финансовые операции</w:t>
      </w:r>
      <w:r>
        <w:t>".</w:t>
      </w:r>
    </w:p>
    <w:p w:rsidR="00000000" w:rsidRDefault="00000000">
      <w:r>
        <w:tab/>
        <w:t>Прежняя статья 23 не позволяла матери пользоваться банковским счетом своего ребенка, участвовать в принятии решений, касающихся его обучения или поездок. Новая статья 23 в пункте 3 устанавливает совместную ответственность родителей в этой области.</w:t>
      </w:r>
    </w:p>
    <w:p w:rsidR="00000000" w:rsidRDefault="00000000">
      <w:pPr>
        <w:spacing w:before="120" w:after="200" w:line="260" w:lineRule="exact"/>
        <w:rPr>
          <w:b/>
          <w:sz w:val="22"/>
        </w:rPr>
      </w:pPr>
      <w:r>
        <w:rPr>
          <w:b/>
          <w:sz w:val="22"/>
          <w:lang w:val="en-US"/>
        </w:rPr>
        <w:t>IV</w:t>
      </w:r>
      <w:r>
        <w:rPr>
          <w:b/>
          <w:sz w:val="22"/>
        </w:rPr>
        <w:t>.1.</w:t>
      </w:r>
      <w:r>
        <w:rPr>
          <w:b/>
          <w:sz w:val="22"/>
        </w:rPr>
        <w:tab/>
        <w:t>Участие матери в принятии решения о вступлении в брак несовершеннолетнего ребенка</w:t>
      </w:r>
    </w:p>
    <w:p w:rsidR="00000000" w:rsidRDefault="00000000">
      <w:pPr>
        <w:spacing w:after="80"/>
      </w:pPr>
      <w:r>
        <w:t>1080.</w:t>
      </w:r>
      <w:r>
        <w:tab/>
        <w:t>Прежняя статья 6 КСЛ предусматривала, что несовершеннолетнее лицо могло вступать в брак с разрешения опекуна. Поскольку опекуном был отец или его представитель, мать была лишена права участвовать в принятии решения о вступлении в брак своего несовершеннолетнего ребенка.</w:t>
      </w:r>
    </w:p>
    <w:p w:rsidR="00000000" w:rsidRDefault="00000000">
      <w:pPr>
        <w:spacing w:after="80"/>
      </w:pPr>
      <w:r>
        <w:tab/>
        <w:t>Внесенная в статью 6 поправка положила конец такому неравенству. Согласно новой статье 6 мать имеет такое же право, как и опекун, давать согласие на вступление в брак своего ребенка. Тем самым устанавливаются совместные родительские права в интересах несовершеннолетнего, предупреждая возможность одностороннего решения по поводу его вступления в брак (в основном от этого страдают девушки).</w:t>
      </w:r>
    </w:p>
    <w:p w:rsidR="00000000" w:rsidRDefault="00000000">
      <w:r>
        <w:rPr>
          <w:lang w:val="en-US"/>
        </w:rPr>
        <w:tab/>
      </w:r>
      <w:r>
        <w:t>Статья 6 (новая): "</w:t>
      </w:r>
      <w:r>
        <w:rPr>
          <w:i/>
        </w:rPr>
        <w:t>Вступление в брак несовершеннолетнего лица обусловлено согласием его опекуна или его матери. В случае отказа опекуна или матери и настойчивости несовершеннолетнего лица вопрос о его вступлении в брак передается на рассмотрение судьи. Его постановление, разрешающее брак, обжалованию не подлежит</w:t>
      </w:r>
      <w:r>
        <w:t>".</w:t>
      </w:r>
    </w:p>
    <w:p w:rsidR="00000000" w:rsidRDefault="00000000">
      <w:pPr>
        <w:spacing w:before="120" w:after="200" w:line="260" w:lineRule="exact"/>
        <w:rPr>
          <w:b/>
          <w:sz w:val="22"/>
        </w:rPr>
      </w:pPr>
      <w:r>
        <w:rPr>
          <w:b/>
          <w:sz w:val="22"/>
          <w:lang w:val="en-US"/>
        </w:rPr>
        <w:t>IV</w:t>
      </w:r>
      <w:r>
        <w:rPr>
          <w:b/>
          <w:sz w:val="22"/>
        </w:rPr>
        <w:t>.2.</w:t>
      </w:r>
      <w:r>
        <w:rPr>
          <w:b/>
          <w:sz w:val="22"/>
        </w:rPr>
        <w:tab/>
        <w:t>Равная ответственность родителей за противоправные действия своих детей</w:t>
      </w:r>
    </w:p>
    <w:p w:rsidR="00000000" w:rsidRDefault="00000000">
      <w:pPr>
        <w:spacing w:after="80"/>
      </w:pPr>
      <w:r>
        <w:t>1081.</w:t>
      </w:r>
      <w:r>
        <w:tab/>
        <w:t>В соответствии с прежним законодательством только отец нес гражданскую ответственность за действия его несовершеннолетнего ребенка, причинившие ущерб другим лицам. Эта ответственность перекладывалась на мать лишь после смерти ее мужа.</w:t>
      </w:r>
    </w:p>
    <w:p w:rsidR="00000000" w:rsidRDefault="00000000">
      <w:pPr>
        <w:spacing w:after="80"/>
      </w:pPr>
      <w:r>
        <w:rPr>
          <w:lang w:val="en-US"/>
        </w:rPr>
        <w:tab/>
      </w:r>
      <w:r>
        <w:t>После пересмотра Кодекса законов об обязательствах и договорах от 9 ноября 1996 года мать стала солидарно с отцом нести ответственность за противоправные действия своих детей. Это полностью согласуется с их обязанностью сотрудничать друг с другом и с совместно осуществляемыми ими родительскими правами, о которых говорится в статье 23.</w:t>
      </w:r>
    </w:p>
    <w:p w:rsidR="00000000" w:rsidRDefault="00000000">
      <w:r>
        <w:rPr>
          <w:lang w:val="en-US"/>
        </w:rPr>
        <w:tab/>
      </w:r>
      <w:r>
        <w:t>Статья 23-бис гласит: "</w:t>
      </w:r>
      <w:r>
        <w:rPr>
          <w:i/>
        </w:rPr>
        <w:t>Отец и мать солидарно несут ответственность за противоправные действия своего ребенка, при условии, что тот проживает вместе с ними</w:t>
      </w:r>
      <w:r>
        <w:t>…".</w:t>
      </w:r>
    </w:p>
    <w:p w:rsidR="00000000" w:rsidRDefault="00000000">
      <w:pPr>
        <w:spacing w:before="120" w:line="260" w:lineRule="exact"/>
        <w:rPr>
          <w:b/>
          <w:sz w:val="22"/>
        </w:rPr>
      </w:pPr>
      <w:r>
        <w:rPr>
          <w:b/>
          <w:sz w:val="22"/>
          <w:lang w:val="en-US"/>
        </w:rPr>
        <w:t>IV</w:t>
      </w:r>
      <w:r>
        <w:rPr>
          <w:b/>
          <w:sz w:val="22"/>
        </w:rPr>
        <w:t>.3.</w:t>
      </w:r>
      <w:r>
        <w:rPr>
          <w:b/>
          <w:sz w:val="22"/>
        </w:rPr>
        <w:tab/>
        <w:t>Алименты, присуждаемые родственникам матери по восходящей линии</w:t>
      </w:r>
    </w:p>
    <w:p w:rsidR="00000000" w:rsidRDefault="00000000">
      <w:pPr>
        <w:spacing w:after="120"/>
      </w:pPr>
      <w:r>
        <w:t>1082.</w:t>
      </w:r>
      <w:r>
        <w:tab/>
        <w:t>В соответствии с прежним законодательством право на алименты имели только родственники по нисходящей линии и бабушки и дедушки отца. После реформы 12 июля 1993 года это право было распространено на бабушек и дедушек матери.</w:t>
      </w:r>
    </w:p>
    <w:p w:rsidR="00000000" w:rsidRDefault="00000000">
      <w:pPr>
        <w:spacing w:after="120"/>
      </w:pPr>
      <w:r>
        <w:rPr>
          <w:lang w:val="en-US"/>
        </w:rPr>
        <w:tab/>
      </w:r>
      <w:r>
        <w:t>Статья 43 (новая): "</w:t>
      </w:r>
      <w:r>
        <w:rPr>
          <w:i/>
        </w:rPr>
        <w:t>Право на алименты имеют:</w:t>
      </w:r>
    </w:p>
    <w:p w:rsidR="00000000" w:rsidRDefault="00000000">
      <w:pPr>
        <w:spacing w:after="120"/>
        <w:ind w:left="1021" w:hanging="1021"/>
        <w:rPr>
          <w:i/>
        </w:rPr>
      </w:pPr>
      <w:r>
        <w:rPr>
          <w:lang w:val="en-US"/>
        </w:rPr>
        <w:tab/>
      </w:r>
      <w:r>
        <w:rPr>
          <w:i/>
        </w:rPr>
        <w:t>а)</w:t>
      </w:r>
      <w:r>
        <w:rPr>
          <w:i/>
        </w:rPr>
        <w:tab/>
        <w:t>отец и мать, дедушка и бабушка по отцовской линии любой степени родства и дедушка и бабушка по материнской линии первой степени родства;</w:t>
      </w:r>
    </w:p>
    <w:p w:rsidR="00000000" w:rsidRDefault="00000000">
      <w:r>
        <w:rPr>
          <w:i/>
        </w:rPr>
        <w:tab/>
        <w:t>b)</w:t>
      </w:r>
      <w:r>
        <w:rPr>
          <w:i/>
        </w:rPr>
        <w:tab/>
        <w:t>родственники по нисходящей линии любой степени родства</w:t>
      </w:r>
      <w:r>
        <w:t>".</w:t>
      </w:r>
    </w:p>
    <w:p w:rsidR="00000000" w:rsidRDefault="00000000">
      <w:r>
        <w:t>1083.</w:t>
      </w:r>
      <w:r>
        <w:tab/>
        <w:t>Соответственно, в новой статье 44, определяющей обязанности зажиточных детей любого пола перед своими родственниками по восходящей линии, среди родителей, имеющих право на алименты, кроме отца, матери, бабушек и дедушек по отцовской линии любой степени родства упоминаются также бабушки и дедушки по материнской линии первой степени родства.</w:t>
      </w:r>
    </w:p>
    <w:p w:rsidR="00000000" w:rsidRDefault="00000000">
      <w:pPr>
        <w:spacing w:before="240" w:line="240" w:lineRule="auto"/>
        <w:ind w:left="680" w:hanging="680"/>
        <w:jc w:val="left"/>
        <w:rPr>
          <w:b/>
          <w:sz w:val="28"/>
        </w:rPr>
      </w:pPr>
      <w:r>
        <w:rPr>
          <w:b/>
          <w:sz w:val="28"/>
          <w:lang w:val="en-US"/>
        </w:rPr>
        <w:t>V</w:t>
      </w:r>
      <w:r>
        <w:rPr>
          <w:b/>
          <w:sz w:val="28"/>
        </w:rPr>
        <w:t>.</w:t>
      </w:r>
      <w:r>
        <w:rPr>
          <w:b/>
          <w:sz w:val="28"/>
        </w:rPr>
        <w:tab/>
        <w:t xml:space="preserve">Равенство супругов в принятии решений о числе детей </w:t>
      </w:r>
      <w:r>
        <w:rPr>
          <w:b/>
          <w:sz w:val="28"/>
        </w:rPr>
        <w:br/>
        <w:t>и планировании семьи</w:t>
      </w:r>
    </w:p>
    <w:p w:rsidR="00000000" w:rsidRDefault="00000000">
      <w:r>
        <w:t>1084.</w:t>
      </w:r>
      <w:r>
        <w:tab/>
        <w:t>Равенство супругов в том, что касается свободного решения вопроса о числе детей и промежутках между их рождениями, существует в Тунисе с начала 70-х годов.</w:t>
      </w:r>
    </w:p>
    <w:p w:rsidR="00000000" w:rsidRDefault="00000000">
      <w:r>
        <w:t>1085.</w:t>
      </w:r>
      <w:r>
        <w:tab/>
        <w:t>В результате благоприятного законодательства и широкой кампании по привлечению внимания общественности понятие планирования семьи прочно вошло в сознание общества как неотъемлемая часть права на здоровье.</w:t>
      </w:r>
    </w:p>
    <w:p w:rsidR="00000000" w:rsidRDefault="00000000">
      <w:r>
        <w:t>1086.</w:t>
      </w:r>
      <w:r>
        <w:tab/>
        <w:t>В самых отдаленных сельских районах осуществляются специальные информационные, образовательные и коммуникационные программы с участием Фонда национальной солидарности с целью пропаганды идеи планирования семьи. Эти акции, проводимые с помощью молодых сельских активисток, нацелены не только на женщин, но и на мужчин.</w:t>
      </w:r>
    </w:p>
    <w:p w:rsidR="00000000" w:rsidRDefault="00000000">
      <w:pPr>
        <w:spacing w:before="180" w:after="200" w:line="240" w:lineRule="auto"/>
        <w:rPr>
          <w:b/>
          <w:sz w:val="28"/>
        </w:rPr>
      </w:pPr>
      <w:r>
        <w:rPr>
          <w:b/>
          <w:sz w:val="28"/>
        </w:rPr>
        <w:t>VI.</w:t>
      </w:r>
      <w:r>
        <w:rPr>
          <w:b/>
          <w:sz w:val="28"/>
        </w:rPr>
        <w:tab/>
        <w:t>Права супругов, касающиеся собственности и наследования</w:t>
      </w:r>
    </w:p>
    <w:p w:rsidR="00000000" w:rsidRDefault="00000000">
      <w:pPr>
        <w:spacing w:line="260" w:lineRule="exact"/>
        <w:rPr>
          <w:b/>
          <w:sz w:val="22"/>
        </w:rPr>
      </w:pPr>
      <w:r>
        <w:rPr>
          <w:b/>
          <w:sz w:val="22"/>
          <w:lang w:val="en-US"/>
        </w:rPr>
        <w:t>VI</w:t>
      </w:r>
      <w:r>
        <w:rPr>
          <w:b/>
          <w:sz w:val="22"/>
        </w:rPr>
        <w:t>.1.</w:t>
      </w:r>
      <w:r>
        <w:rPr>
          <w:b/>
          <w:sz w:val="22"/>
        </w:rPr>
        <w:tab/>
        <w:t>Право женщин владеть, приобретать, сохранять и уступать имущество</w:t>
      </w:r>
    </w:p>
    <w:p w:rsidR="00000000" w:rsidRDefault="00000000">
      <w:r>
        <w:t>1087.</w:t>
      </w:r>
      <w:r>
        <w:tab/>
        <w:t>Кодекс законов об обязательствах и договорах, а также Кодекс вещных прав не проводят никакой дискриминации по признаку пола в отношении владения, приобретения, сохранения или уступки имущества.</w:t>
      </w:r>
    </w:p>
    <w:p w:rsidR="00000000" w:rsidRDefault="00000000">
      <w:r>
        <w:t>1088.</w:t>
      </w:r>
      <w:r>
        <w:tab/>
        <w:t>Статья 24 КСЛ закрепляет принцип раздела имущества между супругами. Замужние женщины распоряжаются своим имуществом, приобретенным в период брака, на равных с мужчинами условиях.</w:t>
      </w:r>
    </w:p>
    <w:p w:rsidR="00000000" w:rsidRDefault="00000000">
      <w:r>
        <w:t>1089.</w:t>
      </w:r>
      <w:r>
        <w:tab/>
        <w:t>Согласно решениям, принятым на заседании кабинета министров ограниченного состава, состоявшемся 5 апреля 1996 года под председательством Главы государства и посвященном плану действий в защиту семьи, в циркуляре от 9 мая 1996 года национальным кассам социального обеспечения было предложено разрешать супругам заключать, каждому со своей стороны, договор о найме одного и того же семейного жилища (или брать ссуду на его покупку), что должно склонять их к выбору режима общности имущества.</w:t>
      </w:r>
    </w:p>
    <w:p w:rsidR="00000000" w:rsidRDefault="00000000">
      <w:r>
        <w:t>1090.</w:t>
      </w:r>
      <w:r>
        <w:tab/>
        <w:t>Чтобы расширить возможности замужних женщин в области владения имуществом, законодатели приняли по инициативе Президента Зин аль-Абидина бен Али закон о режиме общности имущества супругов, который соответствует новым отношениям супругов, построенным на взаимной ответственности и сотрудничестве, о которых говорится в новой статье 23 КСЛ.</w:t>
      </w:r>
    </w:p>
    <w:p w:rsidR="00000000" w:rsidRDefault="00000000">
      <w:pPr>
        <w:spacing w:before="120" w:line="260" w:lineRule="exact"/>
        <w:rPr>
          <w:b/>
          <w:sz w:val="22"/>
        </w:rPr>
      </w:pPr>
      <w:r>
        <w:rPr>
          <w:b/>
          <w:sz w:val="22"/>
        </w:rPr>
        <w:t>VI.2.</w:t>
      </w:r>
      <w:r>
        <w:rPr>
          <w:b/>
          <w:sz w:val="22"/>
        </w:rPr>
        <w:tab/>
        <w:t>Закон об общности имущества супругов</w:t>
      </w:r>
    </w:p>
    <w:p w:rsidR="00000000" w:rsidRDefault="00000000">
      <w:pPr>
        <w:spacing w:after="120"/>
      </w:pPr>
      <w:r>
        <w:t>1091.</w:t>
      </w:r>
      <w:r>
        <w:tab/>
        <w:t>Закон № 98-91 от 9 ноября 1998 года о режиме общности имущества супругов гласит:</w:t>
      </w:r>
    </w:p>
    <w:p w:rsidR="00000000" w:rsidRDefault="00000000">
      <w:pPr>
        <w:spacing w:after="120"/>
      </w:pPr>
      <w:r>
        <w:rPr>
          <w:lang w:val="en-US"/>
        </w:rPr>
        <w:tab/>
      </w:r>
      <w:r>
        <w:t>Статья 1: "</w:t>
      </w:r>
      <w:r>
        <w:rPr>
          <w:i/>
        </w:rPr>
        <w:t>Режим общности имущества является необязательным режимом, который супруги могут выбрать при заключении брачного договора либо позднее. Цель этого режима состоит в том, чтобы сделать какой-либо предмет недвижимого имущества или совокупность таких предметов общей и неделимой между супругами собственностью, если эта недвижимость может использоваться в целях семьи</w:t>
      </w:r>
      <w:r>
        <w:t>".</w:t>
      </w:r>
    </w:p>
    <w:p w:rsidR="00000000" w:rsidRDefault="00000000">
      <w:r>
        <w:rPr>
          <w:lang w:val="en-US"/>
        </w:rPr>
        <w:tab/>
      </w:r>
      <w:r>
        <w:t>Статья 2: "</w:t>
      </w:r>
      <w:r>
        <w:rPr>
          <w:i/>
        </w:rPr>
        <w:t>Если супруги заявляют об избрании ими режима общности имущества, они подпадают под действие этого закона. Тем не менее они могут договориться о расширении режима общности, при условии, что это будет ими специально указано в соответствующем документе</w:t>
      </w:r>
      <w:r>
        <w:t>".</w:t>
      </w:r>
    </w:p>
    <w:p w:rsidR="00000000" w:rsidRDefault="00000000">
      <w:r>
        <w:t>1092.</w:t>
      </w:r>
      <w:r>
        <w:tab/>
        <w:t>Режим общности имущества не является обязательным; кроме того, он не применяется при осуществлении процедуры наследования. Статья 3 уточняет, что этот режим "не исключает применения правил наследования".</w:t>
      </w:r>
    </w:p>
    <w:p w:rsidR="00000000" w:rsidRDefault="00000000">
      <w:r>
        <w:t>1093.</w:t>
      </w:r>
      <w:r>
        <w:tab/>
        <w:t>В статье 7 закон также уточняет, что, "если брак заключен без указания на то, что супругами выбран режим общности имущества, считается, что ими был выбран режим раздельного владения имуществом".</w:t>
      </w:r>
    </w:p>
    <w:p w:rsidR="00000000" w:rsidRDefault="00000000">
      <w:r>
        <w:t>1094.</w:t>
      </w:r>
      <w:r>
        <w:tab/>
        <w:t>Этот закон, который впервые ввел в действующее тунисское право режим общности имущества супругов в отступление от законного и основного режима раздельного владения, характеризуется в основном необязательностью и добровольностью в том, что касается момента выбора этого режима (супруги могут это сделать при заключении брака или позже), имущества, которое может быть определено в качестве его объекта (только недвижимость или все движимое и недвижимое имущество…), и возможности отменить этот режим по обоюдному согласию сторон.</w:t>
      </w:r>
    </w:p>
    <w:p w:rsidR="00000000" w:rsidRDefault="00000000">
      <w:r>
        <w:t>1095.</w:t>
      </w:r>
      <w:r>
        <w:tab/>
        <w:t>Этот закон фактически вписывается в рамки просветительского подхода тунисских законодателей к политике в отношении семьи, который предусматривает принцип партнерства супругов. Супруги, которые после внесения законом от 12 июля 1993 года поправок в Кодекс о статусе личности (статья 23), обязаны сотрудничать друг с другом с целью успешного управления делами семьи и участвовать в ее расходах своими собственными средствами (в частности, супруга), должны, как правило, стремиться к равноправному сотрудничеству в делах, касающихся собственности (финансы и недвижимость).</w:t>
      </w:r>
    </w:p>
    <w:p w:rsidR="00000000" w:rsidRDefault="00000000">
      <w:r>
        <w:tab/>
        <w:t>Именно это является задачей, поставленной и достигнутой законом от 30 ноября 1998 года, в пункте 2 статьи первой которого говорится, что "</w:t>
      </w:r>
      <w:r>
        <w:rPr>
          <w:i/>
        </w:rPr>
        <w:t>цель этого режима состоит в том, чтобы превратить какой-либо предмет недвижимости или их совокупность в нераздельную собственность супругов, если эта недвижимость может использоваться в целях семьи</w:t>
      </w:r>
      <w:r>
        <w:t>".</w:t>
      </w:r>
    </w:p>
    <w:p w:rsidR="00000000" w:rsidRDefault="00000000">
      <w:r>
        <w:t>1096. Закон об общности имущества супругов исходит из новаторского подхода к этому вопросу и вводит новые юридические и социальные нормы, касающиеся владения собственностью.</w:t>
      </w:r>
    </w:p>
    <w:p w:rsidR="00000000" w:rsidRDefault="00000000">
      <w:pPr>
        <w:spacing w:before="240" w:line="240" w:lineRule="auto"/>
        <w:rPr>
          <w:b/>
          <w:sz w:val="28"/>
        </w:rPr>
      </w:pPr>
      <w:r>
        <w:rPr>
          <w:b/>
          <w:sz w:val="28"/>
        </w:rPr>
        <w:t>VII.</w:t>
      </w:r>
      <w:r>
        <w:rPr>
          <w:b/>
          <w:sz w:val="28"/>
        </w:rPr>
        <w:tab/>
        <w:t>Равенство в отношении расторжения брака</w:t>
      </w:r>
    </w:p>
    <w:p w:rsidR="00000000" w:rsidRDefault="00000000">
      <w:r>
        <w:t>1097.</w:t>
      </w:r>
      <w:r>
        <w:tab/>
        <w:t>В 1956 году КСЛ ввел положение о расторжении брака только в суде (статья 30) и предоставил супругам равные возможности добиваться развода (статья 31).</w:t>
      </w:r>
    </w:p>
    <w:p w:rsidR="00000000" w:rsidRDefault="00000000">
      <w:r>
        <w:t>1098.</w:t>
      </w:r>
      <w:r>
        <w:tab/>
        <w:t>Супруги могут абсолютно свободно подавать иск о расторжении брака. Они могут выбрать одну из трех форм развода: по взаимному согласию, по заявлению одного из супругов в связи с причиненным ему ущербом и по заявлению мужа или жены в связи с несовместимостью.</w:t>
      </w:r>
    </w:p>
    <w:p w:rsidR="00000000" w:rsidRDefault="00000000">
      <w:pPr>
        <w:spacing w:after="120"/>
      </w:pPr>
      <w:r>
        <w:t>1099.</w:t>
      </w:r>
      <w:r>
        <w:tab/>
        <w:t>В случае начала процедуры развода после неудачных попыток примирения, обязательно предпринимаемых судьей согласно статье 31 КСЛ, последний дает распоряжение о принятии безотлагательных мер, касающихся алиментов, и устанавливает их размер.</w:t>
      </w:r>
    </w:p>
    <w:p w:rsidR="00000000" w:rsidRDefault="00000000">
      <w:r>
        <w:t>1100.</w:t>
      </w:r>
      <w:r>
        <w:tab/>
        <w:t>В случае расторжения брака суд устанавливает, если необходимо, размер пенсии, причитающейся разведенной жене на основании закона № 81-7 от 18 февраля 1981 года (статья 53-бис), и выносит постановление о срочных мерах, по которым судья-примиритель выносит постановление. Положения постановления о расторжении брака, касающиеся алиментов, подлежат обязательному исполнению, несмотря на обжалование или кассацию.</w:t>
      </w:r>
    </w:p>
    <w:p w:rsidR="00000000" w:rsidRDefault="00000000">
      <w:r>
        <w:t>1101.</w:t>
      </w:r>
      <w:r>
        <w:tab/>
        <w:t>После уведомления должников на основании указанных постановлений против них могут возбуждаться судебные преследования в случае злостного уклонения от исполнения семейных обязанностей (статья 53-бис).</w:t>
      </w:r>
    </w:p>
    <w:p w:rsidR="00000000" w:rsidRDefault="00000000">
      <w:pPr>
        <w:spacing w:before="160" w:line="260" w:lineRule="exact"/>
        <w:rPr>
          <w:b/>
          <w:sz w:val="22"/>
        </w:rPr>
      </w:pPr>
      <w:r>
        <w:rPr>
          <w:b/>
          <w:sz w:val="22"/>
          <w:lang w:val="en-US"/>
        </w:rPr>
        <w:t>VII</w:t>
      </w:r>
      <w:r>
        <w:rPr>
          <w:b/>
          <w:sz w:val="22"/>
        </w:rPr>
        <w:t>.1.</w:t>
      </w:r>
      <w:r>
        <w:rPr>
          <w:b/>
          <w:sz w:val="22"/>
        </w:rPr>
        <w:tab/>
        <w:t>Учреждение должности судьи по делам семьи</w:t>
      </w:r>
    </w:p>
    <w:p w:rsidR="00000000" w:rsidRDefault="00000000">
      <w:r>
        <w:t>1102.</w:t>
      </w:r>
      <w:r>
        <w:tab/>
        <w:t>В целях защиты соответствующих прав супругов и желая предоставить семье последний шанс на примирение, законодатели решили, основываясь на реформе 1993 года, доверить рассмотрение подобных дел специалисту в области коллизионного права, учредив должность "судьи по делам семьи".</w:t>
      </w:r>
    </w:p>
    <w:p w:rsidR="00000000" w:rsidRDefault="00000000">
      <w:r>
        <w:t>1103.</w:t>
      </w:r>
      <w:r>
        <w:tab/>
        <w:t>Судья по делам семьи назначается председателем суда для совершения попыток примирения, принятия срочных мер и наблюдения за правильностью процедуры.</w:t>
      </w:r>
    </w:p>
    <w:p w:rsidR="00000000" w:rsidRDefault="00000000">
      <w:pPr>
        <w:spacing w:before="160" w:line="260" w:lineRule="exact"/>
        <w:rPr>
          <w:b/>
          <w:sz w:val="22"/>
        </w:rPr>
      </w:pPr>
      <w:r>
        <w:rPr>
          <w:b/>
          <w:sz w:val="22"/>
          <w:lang w:val="en-US"/>
        </w:rPr>
        <w:t>VII</w:t>
      </w:r>
      <w:r>
        <w:rPr>
          <w:b/>
          <w:sz w:val="22"/>
        </w:rPr>
        <w:t>.2.</w:t>
      </w:r>
      <w:r>
        <w:rPr>
          <w:b/>
          <w:sz w:val="22"/>
        </w:rPr>
        <w:tab/>
        <w:t>Меры по обеспечению надлежащей процедуры судопроизводства</w:t>
      </w:r>
    </w:p>
    <w:p w:rsidR="00000000" w:rsidRDefault="00000000">
      <w:r>
        <w:t>1104.</w:t>
      </w:r>
      <w:r>
        <w:tab/>
        <w:t>Чтобы гарантировать надлежащую процедуру предусмотренного законом судебного разбирательства, законом № 93-74 от 12 июля 1993 года были внесены поправки в статьи 32, 6 и 67 КСЛ, предусматривающие новые предупреждающие меры, которые позволяют лучше защитить права женщины как во время бракоразводного процесса, так и в случае расторжения брака.</w:t>
      </w:r>
    </w:p>
    <w:p w:rsidR="00000000" w:rsidRDefault="00000000">
      <w:pPr>
        <w:spacing w:after="160"/>
      </w:pPr>
      <w:r>
        <w:t>1105.</w:t>
      </w:r>
      <w:r>
        <w:tab/>
        <w:t>Судья обязан лично позаботиться о том, чтобы разводящиеся супруги уведомлялись о ходе судебного разбирательства, а в случае неявки ответчика отложить слушание дела. Цель этого положения состоит в том, чтобы исключить малейшую возможность "расторжения брака в отсутствие ответчика", в частности гарантируя супруге право получать информацию о ходе процесса.</w:t>
      </w:r>
    </w:p>
    <w:p w:rsidR="00000000" w:rsidRDefault="00000000">
      <w:pPr>
        <w:spacing w:after="160"/>
        <w:rPr>
          <w:lang w:val="en-US"/>
        </w:rPr>
      </w:pPr>
      <w:r>
        <w:tab/>
        <w:t xml:space="preserve">В новой статье 32 говорится: </w:t>
      </w:r>
    </w:p>
    <w:p w:rsidR="00000000" w:rsidRDefault="00000000">
      <w:r>
        <w:rPr>
          <w:lang w:val="en-US"/>
        </w:rPr>
        <w:tab/>
      </w:r>
      <w:r>
        <w:t>"</w:t>
      </w:r>
      <w:r>
        <w:rPr>
          <w:i/>
        </w:rPr>
        <w:t>В случае неявки ответчика в суд без личного уведомления об этом судьи по делам семьи последний переносит рассмотрение дела на другое заседание и привлекает любое лицо по своему усмотрению для передачи извещения лично заинтересованному лицу или установления его настоящего местожительства с целью обеспечить его явку в суд</w:t>
      </w:r>
      <w:r>
        <w:t>".</w:t>
      </w:r>
    </w:p>
    <w:p w:rsidR="00000000" w:rsidRDefault="00000000">
      <w:pPr>
        <w:spacing w:after="120"/>
      </w:pPr>
      <w:r>
        <w:t>1106.</w:t>
      </w:r>
      <w:r>
        <w:tab/>
        <w:t>Новая статья 32-бис КСЛ предупреждает любые попытки нарушить установленную законом процедуру судопроизводства, в результате которых обычно пострадавшей стороной являются женщины, и устанавливает меру наказания за задержку в доставке повестки. В статье 32-бис говорится:</w:t>
      </w:r>
    </w:p>
    <w:p w:rsidR="00000000" w:rsidRDefault="00000000">
      <w:r>
        <w:rPr>
          <w:lang w:val="en-US"/>
        </w:rPr>
        <w:tab/>
      </w:r>
      <w:r>
        <w:t>"</w:t>
      </w:r>
      <w:r>
        <w:rPr>
          <w:i/>
        </w:rPr>
        <w:t>Наказывается лишением свободы сроком на один год тот из супругов, который прибегает к различным обманным действиям с целью помешать получению судебной повестки другим супругом</w:t>
      </w:r>
      <w:r>
        <w:t>".</w:t>
      </w:r>
    </w:p>
    <w:p w:rsidR="00000000" w:rsidRDefault="00000000">
      <w:pPr>
        <w:spacing w:before="160" w:line="260" w:lineRule="exact"/>
        <w:ind w:left="680" w:hanging="680"/>
        <w:jc w:val="left"/>
        <w:rPr>
          <w:b/>
          <w:sz w:val="22"/>
        </w:rPr>
      </w:pPr>
      <w:r>
        <w:rPr>
          <w:b/>
          <w:sz w:val="22"/>
          <w:lang w:val="en-US"/>
        </w:rPr>
        <w:t>VII</w:t>
      </w:r>
      <w:r>
        <w:rPr>
          <w:b/>
          <w:sz w:val="22"/>
        </w:rPr>
        <w:t>.3.</w:t>
      </w:r>
      <w:r>
        <w:rPr>
          <w:b/>
          <w:sz w:val="22"/>
        </w:rPr>
        <w:tab/>
        <w:t xml:space="preserve">Три попытки с целью добиться примирения супругов, </w:t>
      </w:r>
      <w:r>
        <w:rPr>
          <w:b/>
          <w:sz w:val="22"/>
        </w:rPr>
        <w:br/>
        <w:t>у которых имеются несовершеннолетние дети</w:t>
      </w:r>
    </w:p>
    <w:p w:rsidR="00000000" w:rsidRDefault="00000000">
      <w:r>
        <w:t>1107.</w:t>
      </w:r>
      <w:r>
        <w:tab/>
        <w:t>Согласно новой статье 32 при наличии у разводящихся супругов одного или более несовершеннолетних детей судья по делам семьи обязан провести "три заседания с целью добиться примирения с интервалами не менее тридцати дней. В течение этого периода судья прилагает все усилия по достижению примирения. С этой целью он использует услуги любого лица, помощь которого, по его мнению, может быть полезной". Также в целях защиты несовершеннолетних детей и их права жить в полной семье закон разрешает судье по делам семьи пользоваться услугами посредника в семейных делах.</w:t>
      </w:r>
    </w:p>
    <w:p w:rsidR="00000000" w:rsidRDefault="00000000">
      <w:pPr>
        <w:spacing w:before="120" w:after="280" w:line="260" w:lineRule="exact"/>
        <w:rPr>
          <w:b/>
          <w:sz w:val="22"/>
        </w:rPr>
      </w:pPr>
      <w:r>
        <w:rPr>
          <w:b/>
          <w:sz w:val="22"/>
        </w:rPr>
        <w:t>VII.4.</w:t>
      </w:r>
      <w:r>
        <w:rPr>
          <w:b/>
          <w:sz w:val="22"/>
        </w:rPr>
        <w:tab/>
        <w:t>Гарантийный фонд выплаты алиментов или пенсии в связи с расторжением брака</w:t>
      </w:r>
    </w:p>
    <w:p w:rsidR="00000000" w:rsidRDefault="00000000">
      <w:pPr>
        <w:spacing w:after="280"/>
        <w:rPr>
          <w:i/>
        </w:rPr>
      </w:pPr>
      <w:r>
        <w:t>1108.</w:t>
      </w:r>
      <w:r>
        <w:tab/>
        <w:t>Согласно статье 53-бис КСЛ с поправками, внесенными законом № 93-74 от 12 июля 1993 года, "</w:t>
      </w:r>
      <w:r>
        <w:rPr>
          <w:i/>
        </w:rPr>
        <w:t xml:space="preserve">лицо, которое было присуждено к выплате алиментов или пенсии в связи с расторжением брака и которое умышленно просрочивает ее на один месяц, не погашая своей задолженности, подлежит наказанию в виде тюремного заключения сроком от трех месяцев до одного года и штрафу в размере от ста (100) до тысячи </w:t>
      </w:r>
      <w:r>
        <w:rPr>
          <w:i/>
        </w:rPr>
        <w:br/>
        <w:t>(1000) динаров</w:t>
      </w:r>
      <w:r>
        <w:t xml:space="preserve">. </w:t>
      </w:r>
      <w:r>
        <w:rPr>
          <w:i/>
        </w:rPr>
        <w:t>С выплатой задолженности судебное преследование, разбирательство или исполнение наказания прекращаются.</w:t>
      </w:r>
    </w:p>
    <w:p w:rsidR="00000000" w:rsidRDefault="00000000">
      <w:pPr>
        <w:spacing w:after="280"/>
      </w:pPr>
      <w:r>
        <w:tab/>
      </w:r>
      <w:r>
        <w:rPr>
          <w:i/>
        </w:rPr>
        <w:t>Гарантийный фонд выплаты алиментов или пенсии в связи с расторжением брака на условиях, предусмотренных законом о создании Фонда, производит  выплату алиментов или пенсии в связи с расторжением брака, предусмотренных вступившими в силу судебными постановлениями, вынесенными в пользу разведенных женщин и детей от их союза с должниками, но оставшимися неисполненными в связи с отсрочкой платежа последними. Гарантийный фонд исполняет обязанности кредитора бенефициаров судебного постановления с точки зрения выплаты причитающихся им сумм</w:t>
      </w:r>
      <w:r>
        <w:t>".</w:t>
      </w:r>
    </w:p>
    <w:p w:rsidR="00000000" w:rsidRDefault="00000000">
      <w:pPr>
        <w:spacing w:after="280"/>
      </w:pPr>
      <w:r>
        <w:t>1109.</w:t>
      </w:r>
      <w:r>
        <w:tab/>
        <w:t>Учрежденный на основании закона № 93-65 от 5 июля 1993 года Гарантийный фонд выплаты алиментов и пенсии в связи с расторжением брака "выплачивает управомоченным лицам алименты или пенсию, назначенные на основании окончательного судебного постановления, которое не исполняется неисправным должником, не позднее, чем через 15 дней после даты представления искового заявления, отвечающего правовым требованиям" (статья 2). Кроме того, "Фонд представляет интересы лиц, управомоченных получать алименты или пенсию в связи с расторжением брака, в отношениях с лицами, не выплатившими суммы, причитающиеся с них на основании судебного постановления. Он правомочен взыскивать эти суммы в пределах выплаченных им средств" (статья 3) (см. статьи 1, 2, 3 и 13).</w:t>
      </w:r>
    </w:p>
    <w:p w:rsidR="00000000" w:rsidRDefault="00000000">
      <w:pPr>
        <w:spacing w:after="160"/>
      </w:pPr>
      <w:r>
        <w:t>1110.</w:t>
      </w:r>
      <w:r>
        <w:tab/>
        <w:t>Через три года после создания Гарантийного фонда выплаты алиментов и пенсии в связи с расторжением брака его работа была рассмотрена на заседании кабинета министров ограниченного состава, состоявшегося 11 августа 1997 года под председательством Главы государства. На нем было, в частности, решено, что:</w:t>
      </w:r>
    </w:p>
    <w:p w:rsidR="00000000" w:rsidRDefault="00000000">
      <w:pPr>
        <w:spacing w:after="160"/>
        <w:ind w:left="680" w:hanging="680"/>
      </w:pPr>
      <w:r>
        <w:t>*</w:t>
      </w:r>
      <w:r>
        <w:tab/>
        <w:t>Фонд непрерывно выплачивает соответствующие суммы управомоченным лицам, за исключением крайних случаев, когда взыскание средств оказывается невозможным;</w:t>
      </w:r>
    </w:p>
    <w:p w:rsidR="00000000" w:rsidRDefault="00000000">
      <w:pPr>
        <w:spacing w:after="160"/>
        <w:ind w:left="680" w:hanging="680"/>
      </w:pPr>
      <w:r>
        <w:t>*</w:t>
      </w:r>
      <w:r>
        <w:tab/>
        <w:t>Фонд берет на себя обязанность управомоченных лиц обращаться в суд с просьбой подтвердить факт злостного уклонения от исполнения семейных обязанностей (эти лица больше не будут обязаны каждые три месяца представлять в вышеуказанный Фонд выданное судом свидетельство, подтверждающее факт злостного уклонения от исполнения семейных обязанностей);</w:t>
      </w:r>
    </w:p>
    <w:p w:rsidR="00000000" w:rsidRDefault="00000000">
      <w:pPr>
        <w:ind w:left="680" w:hanging="680"/>
      </w:pPr>
      <w:r>
        <w:t>*</w:t>
      </w:r>
      <w:r>
        <w:tab/>
        <w:t>необходимо гарантировать последующую деятельность в связи с решениями Фонда в рамках каждого регионального отделения Национальной кассы социального обеспечения.</w:t>
      </w:r>
    </w:p>
    <w:p w:rsidR="00000000" w:rsidRDefault="00000000">
      <w:pPr>
        <w:spacing w:after="120"/>
      </w:pPr>
      <w:r>
        <w:t>Во исполнение этих решений были изданы следующие документы:</w:t>
      </w:r>
    </w:p>
    <w:p w:rsidR="00000000" w:rsidRDefault="00000000">
      <w:pPr>
        <w:spacing w:after="120"/>
        <w:ind w:left="680" w:hanging="680"/>
      </w:pPr>
      <w:r>
        <w:t>–</w:t>
      </w:r>
      <w:r>
        <w:tab/>
        <w:t>циркуляр № 17 от 24 сентября 1997 года министра социальных дел, направленный региональным отделениям Национальной кассы социального обеспечения;</w:t>
      </w:r>
    </w:p>
    <w:p w:rsidR="00000000" w:rsidRDefault="00000000">
      <w:pPr>
        <w:spacing w:after="160"/>
      </w:pPr>
      <w:r>
        <w:t>–</w:t>
      </w:r>
      <w:r>
        <w:tab/>
        <w:t>циркуляр министров юстиции и социальных дел от 24 ноября 1997 года;</w:t>
      </w:r>
    </w:p>
    <w:p w:rsidR="00000000" w:rsidRDefault="00000000">
      <w:r>
        <w:t>–</w:t>
      </w:r>
      <w:r>
        <w:tab/>
        <w:t>декрет № 671/98 от 19 марта 1998 года о внесении поправок в декрет от 9 августа 1993 года.</w:t>
      </w:r>
    </w:p>
    <w:p w:rsidR="00000000" w:rsidRDefault="00000000">
      <w:r>
        <w:t>1111.</w:t>
      </w:r>
      <w:r>
        <w:tab/>
        <w:t>Во исполнение этих решений была создана сеть из 23 региональных координаторов для оказания большего внимания женщинам, пользующимся услугами Фонда.</w:t>
      </w:r>
    </w:p>
    <w:p w:rsidR="00000000" w:rsidRDefault="00000000">
      <w:r>
        <w:t>1112.</w:t>
      </w:r>
      <w:r>
        <w:tab/>
        <w:t>Учреждение этого Фонда является важным новшеством, свидетельствующим о заботе государства и лично Президента Зин аль-Абидина бен Али об охране прав матери и ребенка от превратностей судьбы, которым подвержена семья.</w:t>
      </w:r>
    </w:p>
    <w:p w:rsidR="00000000" w:rsidRDefault="00000000">
      <w:pPr>
        <w:spacing w:before="240" w:line="240" w:lineRule="auto"/>
        <w:rPr>
          <w:b/>
          <w:sz w:val="28"/>
        </w:rPr>
      </w:pPr>
      <w:r>
        <w:rPr>
          <w:b/>
          <w:sz w:val="28"/>
        </w:rPr>
        <w:t>VIII.</w:t>
      </w:r>
      <w:r>
        <w:rPr>
          <w:b/>
          <w:sz w:val="28"/>
        </w:rPr>
        <w:tab/>
        <w:t>Права и обязанности в области опеки</w:t>
      </w:r>
    </w:p>
    <w:p w:rsidR="00000000" w:rsidRDefault="00000000">
      <w:pPr>
        <w:spacing w:before="120" w:line="260" w:lineRule="exact"/>
        <w:ind w:left="737" w:hanging="737"/>
        <w:jc w:val="left"/>
        <w:rPr>
          <w:b/>
          <w:sz w:val="22"/>
        </w:rPr>
      </w:pPr>
      <w:r>
        <w:rPr>
          <w:b/>
          <w:sz w:val="22"/>
          <w:lang w:val="en-US"/>
        </w:rPr>
        <w:t>VIII</w:t>
      </w:r>
      <w:r>
        <w:rPr>
          <w:b/>
          <w:sz w:val="22"/>
        </w:rPr>
        <w:t xml:space="preserve">.1. Право разведенной матери контролировать дела ребенка, </w:t>
      </w:r>
      <w:r>
        <w:rPr>
          <w:b/>
          <w:sz w:val="22"/>
        </w:rPr>
        <w:br/>
        <w:t>воспитание и содержание которого доверено другому лицу</w:t>
      </w:r>
    </w:p>
    <w:p w:rsidR="00000000" w:rsidRDefault="00000000">
      <w:pPr>
        <w:spacing w:after="120"/>
      </w:pPr>
      <w:r>
        <w:t>1113.</w:t>
      </w:r>
      <w:r>
        <w:tab/>
        <w:t xml:space="preserve">В соответствии с прежним законодательством разведенная мать, которой не были доверены воспитание и содержание ее ребенка, не имела никакого права контролировать его дела и участвовать в его жизни. </w:t>
      </w:r>
      <w:r>
        <w:br/>
        <w:t>Статья 60 КСЛ признавала такое право лишь за отцом или иным опекуном. Ввиду дискриминационного характера этой статьи и учитывая статус общей ответственности супругов, в эту статью были внесены изменения с целью укрепить механизмы контроля за делами ребенка. На основании закона № 93-74 от 12 июля 1993 года новая статья 60 признает за матерью это право.</w:t>
      </w:r>
    </w:p>
    <w:p w:rsidR="00000000" w:rsidRDefault="00000000">
      <w:r>
        <w:rPr>
          <w:lang w:val="en-US"/>
        </w:rPr>
        <w:tab/>
      </w:r>
      <w:r>
        <w:t>Статья 60 (новая): "</w:t>
      </w:r>
      <w:r>
        <w:rPr>
          <w:i/>
        </w:rPr>
        <w:t>Отцу, опекуну и матери ребенка может быть предоставлено право контролировать его дела, обеспечивать его образование, направлять в учебные заведения, однако ребенок может ночевать только у лица, обеспечивающего его содержание и воспитание, за исключением случаев вынесения судебного решения исходя из интересов ребенка</w:t>
      </w:r>
      <w:r>
        <w:t>".</w:t>
      </w:r>
    </w:p>
    <w:p w:rsidR="00000000" w:rsidRDefault="00000000">
      <w:pPr>
        <w:spacing w:before="120" w:line="260" w:lineRule="exact"/>
        <w:rPr>
          <w:b/>
          <w:sz w:val="22"/>
        </w:rPr>
      </w:pPr>
      <w:r>
        <w:rPr>
          <w:b/>
          <w:sz w:val="22"/>
          <w:lang w:val="en-US"/>
        </w:rPr>
        <w:t>VII</w:t>
      </w:r>
      <w:r>
        <w:rPr>
          <w:b/>
          <w:sz w:val="22"/>
        </w:rPr>
        <w:t>.2.</w:t>
      </w:r>
      <w:r>
        <w:rPr>
          <w:b/>
          <w:sz w:val="22"/>
        </w:rPr>
        <w:tab/>
        <w:t>Опекунство над детьми: новые права матери</w:t>
      </w:r>
    </w:p>
    <w:p w:rsidR="00000000" w:rsidRDefault="00000000">
      <w:pPr>
        <w:spacing w:after="200"/>
      </w:pPr>
      <w:r>
        <w:t>1114.</w:t>
      </w:r>
      <w:r>
        <w:tab/>
        <w:t>Что касается установления опеки, новые законодательные акты имеют целью закрепить в этой области принцип взаимности между мужчиной и женщиной для достижения большей сбалансированности их взаимных прав.</w:t>
      </w:r>
    </w:p>
    <w:p w:rsidR="00000000" w:rsidRDefault="00000000">
      <w:pPr>
        <w:spacing w:after="200"/>
      </w:pPr>
      <w:r>
        <w:t>1115.</w:t>
      </w:r>
      <w:r>
        <w:tab/>
        <w:t>В 1981 году законодатели предоставили матери право на опеку над своими несовершеннолетними детьми в случае смерти их отца. Однако в случае развода, даже если мать и сохраняла право на воспитание и содержание детей, опекунство переходило полностью к отцу.</w:t>
      </w:r>
    </w:p>
    <w:p w:rsidR="00000000" w:rsidRDefault="00000000">
      <w:pPr>
        <w:spacing w:after="200"/>
      </w:pPr>
      <w:r>
        <w:t>1116.</w:t>
      </w:r>
      <w:r>
        <w:tab/>
        <w:t>Новая статья 67, в которую были внесены поправки законом № 93-74 от 12 июля 1993 года, предоставила матери, с которой остались дети, "</w:t>
      </w:r>
      <w:r>
        <w:rPr>
          <w:i/>
        </w:rPr>
        <w:t>право на опеку в отношении поездок ребенка, его учебы и управления его финансовыми счетами</w:t>
      </w:r>
      <w:r>
        <w:t>". Судья может возложить функции опекуна на мать, "</w:t>
      </w:r>
      <w:r>
        <w:rPr>
          <w:i/>
        </w:rPr>
        <w:t>если опекун не может обеспечить выполнение таких функций, совершает неправомерные действия при выполнении своей миссии, не выполняет должным образом возложенные на него обязательства или скрывается со своего местожительства в неизвестном направлении или в силу любого обстоятельства, наносящего ущерб интересам ребенка</w:t>
      </w:r>
      <w:r>
        <w:t>".</w:t>
      </w:r>
    </w:p>
    <w:p w:rsidR="00000000" w:rsidRDefault="00000000">
      <w:pPr>
        <w:spacing w:after="200"/>
      </w:pPr>
      <w:r>
        <w:t>1117.</w:t>
      </w:r>
      <w:r>
        <w:tab/>
        <w:t>В статье 67 (новой) говорится: "</w:t>
      </w:r>
      <w:r>
        <w:rPr>
          <w:i/>
        </w:rPr>
        <w:t>В случае прекращения брака в результате смерти одного из родителей обязанность по воспитанию и содержанию несовершеннолетнего ребенка возлагается на оставшегося родителя. В случае прекращения брака между живыми супругами такая обязанность возлагается на одного из них либо на третье лицо. Судья выносит решение по этому вопросу, принимая во внимание интересы ребенка. В том случае, если обязанность по воспитанию и содержанию ребенка возлагается на мать, последняя пользуется преимущественными правами опекуна в отношении поездок ребенка, его учебы и управления его финансовыми счетами. Судья может возложить функции опекуна на мать, которая обеспечивает содержание и воспитание ребенка, если опекун не может обеспечить выполнение таких функций, совершает неправомерные действия при выполнении своей миссии, не выполняет должным образом возложенные на него обязанности или скрывается со своего местожительства в неизвестном направлении или в силу любого обстоятельства, наносящего ущерб интересам ребенка</w:t>
      </w:r>
      <w:r>
        <w:t>".</w:t>
      </w:r>
    </w:p>
    <w:p w:rsidR="00000000" w:rsidRDefault="00000000">
      <w:pPr>
        <w:spacing w:after="200"/>
      </w:pPr>
      <w:r>
        <w:t>1118.</w:t>
      </w:r>
      <w:r>
        <w:tab/>
        <w:t>Чтобы эта статья была более эффективной, в частности в том, что касается управления финансовыми счетами и поездок (выдача паспортов), органы государственной власти издали циркуляр № 7-97 от 3 сентября 1997 года, подписанный министрами юстиции, внутренних дел, образования и иностранных дел, предлагавший службам каждого из министерств действовать строго в соответствии с формулировками закона.</w:t>
      </w:r>
    </w:p>
    <w:p w:rsidR="00000000" w:rsidRDefault="00000000">
      <w:r>
        <w:t>1119.</w:t>
      </w:r>
      <w:r>
        <w:tab/>
        <w:t>Хотя опекунские права матери и отца не являются полностью равными, отец все же не обладает в этой области абсолютным правом. В целях защиты неотъемлемого права ребенка на должное воспитание и заботу со стороны обоих родителей законодатели предусмотрели в случае расторжения брака ограничения, касающиеся местожительства, в отношении не только матери, но и отца. Например, если мать, которая воспитывает детей, совершает поездки, препятствующие отцу в осуществлении его опекунских прав, она может быть лишена прав на воспитание и содержание ребенка (статья 61 КСЛ). Соответственно, если местожительство отца неизвестно, суд лишает его права на опеку (новая статья 67 КСЛ).</w:t>
      </w:r>
    </w:p>
    <w:p w:rsidR="00000000" w:rsidRDefault="00000000">
      <w:pPr>
        <w:spacing w:before="120" w:line="240" w:lineRule="auto"/>
        <w:rPr>
          <w:b/>
          <w:sz w:val="28"/>
        </w:rPr>
      </w:pPr>
      <w:r>
        <w:rPr>
          <w:b/>
          <w:sz w:val="28"/>
        </w:rPr>
        <w:t>IX.</w:t>
      </w:r>
      <w:r>
        <w:rPr>
          <w:b/>
          <w:sz w:val="28"/>
        </w:rPr>
        <w:tab/>
        <w:t>Внебрачные отношения</w:t>
      </w:r>
    </w:p>
    <w:p w:rsidR="00000000" w:rsidRDefault="00000000">
      <w:r>
        <w:t>1120.</w:t>
      </w:r>
      <w:r>
        <w:tab/>
        <w:t>В Тунисе закон запрещает внебрачное сожительство и виновные подвергаются наказанию в соответствии с Гражданским и Уголовным кодексами, поскольку считается, что, будучи уподобленным традиционному браку (основанному на арабских обычаях), оно может фактически благоприятствовать полигамии.</w:t>
      </w:r>
    </w:p>
    <w:p w:rsidR="00000000" w:rsidRDefault="00000000">
      <w:r>
        <w:t>1121.</w:t>
      </w:r>
      <w:r>
        <w:tab/>
        <w:t>Однако государство всегда заботилось о внебрачных детях, разрабатывая специальные программы, особенно в целях их защиты и укрепления их права на жизнь. Национальный институт защиты детства, а также различные благотворительные ассоциации активно работают в этой области.</w:t>
      </w:r>
    </w:p>
    <w:p w:rsidR="00000000" w:rsidRDefault="00000000">
      <w:r>
        <w:t>1122.</w:t>
      </w:r>
      <w:r>
        <w:tab/>
        <w:t>Кодекс законов о защите ребенка, вступивший в силу в 1996 году, закрепил право ребенка на фамилию и отчество независимо от матримониальных отношений его родителей. Закон № 98-75 от 28 октября 1998 года в четких выражениях подтвердил это право, указав, какие меры следует принимать в случае неизвестного происхождения ребенка.</w:t>
      </w:r>
    </w:p>
    <w:p w:rsidR="00000000" w:rsidRDefault="00000000">
      <w:pPr>
        <w:spacing w:before="80" w:after="180"/>
        <w:rPr>
          <w:b/>
          <w:sz w:val="22"/>
        </w:rPr>
      </w:pPr>
      <w:r>
        <w:rPr>
          <w:b/>
          <w:sz w:val="22"/>
        </w:rPr>
        <w:t>Родственные связи: новые права матери</w:t>
      </w:r>
    </w:p>
    <w:p w:rsidR="00000000" w:rsidRDefault="00000000">
      <w:pPr>
        <w:spacing w:after="120"/>
      </w:pPr>
      <w:r>
        <w:t>1123.</w:t>
      </w:r>
      <w:r>
        <w:tab/>
        <w:t>Что касается родственных связей, прежде права отца и матери были далеки от равенства в области признания родства или присвоения фамилии. Только отец мог установить свое отцовство в отношении ребенка путем его признания или с помощью свидетелей. Мать зависела от свидетельских показаний или признания отца, которые могли быть ложными. Закон № 98-75 от 28 октября 1998 года о присвоении фамилии детям, покинутым родителями или неизвестного происхождения, восстановил равноправие между мужчиной и женщиной, предоставив матери новые права:</w:t>
      </w:r>
    </w:p>
    <w:p w:rsidR="00000000" w:rsidRDefault="00000000">
      <w:pPr>
        <w:spacing w:after="120"/>
        <w:ind w:left="680" w:hanging="680"/>
      </w:pPr>
      <w:r>
        <w:t>*</w:t>
      </w:r>
      <w:r>
        <w:tab/>
        <w:t>Мать может на абсолютно законных основаниях дать свою фамилию своему несовершеннолетнему ребенку неизвестного происхождения. С точки зрения закона она даже обязана это сделать. В статье первой вышеупомянутого закона говорится, что "</w:t>
      </w:r>
      <w:r>
        <w:rPr>
          <w:i/>
        </w:rPr>
        <w:t>мать, которой доверены воспитание и содержание ее несовершеннолетнего ребенка неизвестного происхождения, обязана дать ему имя и присвоить свою фамилию или же попросить разрешение на это в соответствии с положениями, регламентирующими акты гражданского состояния</w:t>
      </w:r>
      <w:r>
        <w:t>".</w:t>
      </w:r>
    </w:p>
    <w:p w:rsidR="00000000" w:rsidRDefault="00000000">
      <w:pPr>
        <w:ind w:left="680" w:hanging="680"/>
      </w:pPr>
      <w:r>
        <w:t>*</w:t>
      </w:r>
      <w:r>
        <w:tab/>
        <w:t>Мать может доказывать отцовство своего ребенка, в случае неисполнения отцом своих обязанностей по отношению к своему ребенку, с помощью генетического тестирования.</w:t>
      </w:r>
    </w:p>
    <w:p w:rsidR="00000000" w:rsidRDefault="00000000">
      <w:r>
        <w:t>1124.</w:t>
      </w:r>
      <w:r>
        <w:tab/>
        <w:t>Использование этого законного научного метода позволяет матери заставить отца признать свое отцовство в отношении своего ребенка и уберегает ее от ложных признаний или свидетельских показаний.</w:t>
      </w:r>
    </w:p>
    <w:p w:rsidR="00000000" w:rsidRDefault="00000000">
      <w:pPr>
        <w:spacing w:before="240" w:line="240" w:lineRule="auto"/>
        <w:rPr>
          <w:b/>
          <w:sz w:val="28"/>
        </w:rPr>
      </w:pPr>
      <w:r>
        <w:rPr>
          <w:b/>
          <w:sz w:val="28"/>
        </w:rPr>
        <w:t>Перспективы</w:t>
      </w:r>
    </w:p>
    <w:p w:rsidR="00000000" w:rsidRDefault="00000000">
      <w:r>
        <w:t>1125.</w:t>
      </w:r>
      <w:r>
        <w:tab/>
        <w:t>Положение женщины в семье непрерывно и существенно меняется под влиянием законодательных реформ июля 1993 года и законов, вступивших в силу в 1998 году, которые значительно укрепили права женщины (даже несовершеннолетней) как матери, супруги и личности. Ее участие в принятии решений в период пребывания в браке и после возможного развода стало более широким.</w:t>
      </w:r>
    </w:p>
    <w:p w:rsidR="00000000" w:rsidRDefault="00000000">
      <w:r>
        <w:t>1126.</w:t>
      </w:r>
      <w:r>
        <w:tab/>
        <w:t>Тунисские законодатели постоянно выступают в защиту прав и завоеваний женщины, заботясь о том, чтобы начатые реформы имели большое будущее и подготовили почву для следующего этапа преобразований.</w:t>
      </w:r>
    </w:p>
    <w:p w:rsidR="00000000" w:rsidRDefault="00000000">
      <w:pPr>
        <w:spacing w:after="120" w:line="240" w:lineRule="auto"/>
        <w:jc w:val="center"/>
        <w:rPr>
          <w:b/>
          <w:sz w:val="28"/>
        </w:rPr>
      </w:pPr>
      <w:r>
        <w:br w:type="page"/>
      </w:r>
      <w:r>
        <w:rPr>
          <w:b/>
          <w:sz w:val="28"/>
        </w:rPr>
        <w:t>Заключение</w:t>
      </w:r>
    </w:p>
    <w:p w:rsidR="00000000" w:rsidRDefault="00000000">
      <w:pPr>
        <w:spacing w:after="360" w:line="240" w:lineRule="auto"/>
        <w:jc w:val="center"/>
        <w:rPr>
          <w:b/>
          <w:sz w:val="28"/>
        </w:rPr>
      </w:pPr>
      <w:r>
        <w:rPr>
          <w:b/>
          <w:sz w:val="28"/>
        </w:rPr>
        <w:t>Необратимость процесса демократизации и развития</w:t>
      </w:r>
    </w:p>
    <w:p w:rsidR="00000000" w:rsidRDefault="00000000">
      <w:r>
        <w:t>1127.</w:t>
      </w:r>
      <w:r>
        <w:tab/>
        <w:t>В конце этого века процесс демократизации и развития, происходивший в Тунисе, еще более консолидировал завоевания женщин. В 90-х годах женщина стала активным партнером и участником процесса всестороннего экономического и социального развития.</w:t>
      </w:r>
    </w:p>
    <w:p w:rsidR="00000000" w:rsidRDefault="00000000">
      <w:r>
        <w:t>1128.</w:t>
      </w:r>
      <w:r>
        <w:tab/>
        <w:t xml:space="preserve">Рассматриваемая в качестве значительной движущей силы гражданского общества и "партнера" в процессе развития, женщина будет определять одно из главных измерений, в соответствии с которым осуществляется проект построения общества, провозглашенный в исторической декларации от 7 ноября </w:t>
      </w:r>
      <w:r>
        <w:br/>
        <w:t>1987 года.</w:t>
      </w:r>
    </w:p>
    <w:p w:rsidR="00000000" w:rsidRDefault="00000000">
      <w:pPr>
        <w:spacing w:before="120" w:line="260" w:lineRule="exact"/>
        <w:rPr>
          <w:b/>
          <w:sz w:val="22"/>
        </w:rPr>
      </w:pPr>
      <w:r>
        <w:rPr>
          <w:b/>
          <w:sz w:val="22"/>
        </w:rPr>
        <w:t>Высокая политическая сознательность</w:t>
      </w:r>
    </w:p>
    <w:p w:rsidR="00000000" w:rsidRDefault="00000000">
      <w:r>
        <w:t>1129.</w:t>
      </w:r>
      <w:r>
        <w:tab/>
        <w:t>Благодаря политической воле и усилиям, направленным на закрепление принципов прав человека, женщинам удалось расширить свои права, их роль стала более многообразной, их статус повысился. Рост творческой активности женщин в области экономики, общественной жизни, культуры и искусства, который наблюдался в последние годы, свидетельствует не только о высоком уровне их сознательности, о значимости их роли как участников осуществления национальных задач развития, но и о признании, которым они пользуются у органов государственной власти и всего гражданского общества.</w:t>
      </w:r>
    </w:p>
    <w:p w:rsidR="00000000" w:rsidRDefault="00000000">
      <w:r>
        <w:t>1130.</w:t>
      </w:r>
      <w:r>
        <w:tab/>
        <w:t xml:space="preserve">IX план экономического и социального развития (1997–2001 годы), который выведет страну на орбиту XXI века, продолжит эти начинания. Одной из его стратегических целей станет еще большая интеграция женщины в процесс развития. Первостепенные задачи этого нового пятилетнего плана были определены с помощью подходов и проекций, выявленных в результате всенародного референдума 1997 года по вопросам, касающимся образа Туниса </w:t>
      </w:r>
      <w:r>
        <w:rPr>
          <w:lang w:val="en-US"/>
        </w:rPr>
        <w:t>XXI</w:t>
      </w:r>
      <w:r>
        <w:t xml:space="preserve"> века, который подтвердил правильность выбора в пользу гармоничного сочетания атрибутов современности с приверженностью арабо-мусульманским культурным ценностям, что предполагает повышение роли женщины в развитии как участника и бенефициара.</w:t>
      </w:r>
    </w:p>
    <w:p w:rsidR="00000000" w:rsidRDefault="00000000">
      <w:r>
        <w:t>1131.</w:t>
      </w:r>
      <w:r>
        <w:tab/>
        <w:t>Рекомендации и стратегические цели, обозначенные в Платформе действий на четвертой Всемирной конференции по положению женщин (Пекин, 4–15 сентября 1995 года), а также приоритеты региональных – африканского и арабского – планов действий также были учтены при определении этих первостепенных задач.</w:t>
      </w:r>
    </w:p>
    <w:p w:rsidR="00000000" w:rsidRDefault="00000000">
      <w:r>
        <w:t>1132.</w:t>
      </w:r>
      <w:r>
        <w:tab/>
        <w:t>На заре XXI века женщины Туниса располагают эффективными средствами для углубления своих завоеваний и достижения новых успехов. Это законы, гарантирующие их основные права, специальные институциональные механизмы, политика систематической интеграции женщин в отраслевые стратегии развития, женские НПО и т. д. Однако их главным подспорьем, несомненно, является политическая воля, постоянно демонстрируемая на самом высоком государственном уровне.</w:t>
      </w:r>
    </w:p>
    <w:p w:rsidR="00000000" w:rsidRDefault="00000000">
      <w:r>
        <w:t>1133.</w:t>
      </w:r>
      <w:r>
        <w:tab/>
        <w:t>Улучшение положения женщины является одним из приоритетов будущей Программы действий наравне с задачами в области занятости, образования и заботы о молодежи. Продолжая просветительскую деятельность, начатую Тахар Хаддадом и Хабибом Бургибой, эта политика будет осуществляться по трем основным направлениям: равенство в общественной жизни, партнерство в семье и доступ к директивным должностям.</w:t>
      </w:r>
    </w:p>
    <w:sectPr w:rsidR="00000000">
      <w:headerReference w:type="even" r:id="rId10"/>
      <w:headerReference w:type="default" r:id="rId11"/>
      <w:footerReference w:type="even" r:id="rId12"/>
      <w:footerReference w:type="default" r:id="rId13"/>
      <w:pgSz w:w="12242" w:h="15842" w:code="1"/>
      <w:pgMar w:top="1247" w:right="1298" w:bottom="1531" w:left="1298" w:header="720" w:footer="851" w:gutter="0"/>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0058743R</w:t>
      </w:r>
      <w:r>
        <w:t>&lt;&lt;ODS JOB NO&gt;&gt;</w:t>
      </w:r>
    </w:p>
    <w:p w:rsidR="00000000" w:rsidRDefault="00000000">
      <w:pPr>
        <w:pStyle w:val="CommentText"/>
      </w:pPr>
      <w:r>
        <w:t>&lt;&lt;ODS DOC SYMBOL1&gt;&gt;</w:t>
      </w:r>
      <w:r>
        <w:rPr>
          <w:lang w:val="en-US"/>
        </w:rPr>
        <w:t>CEDAW/C/TUN/3-4</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Qymbol">
    <w:altName w:val="Symbol"/>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line="240" w:lineRule="auto"/>
      </w:pPr>
      <w:r>
        <w:separator/>
      </w:r>
    </w:p>
  </w:footnote>
  <w:footnote w:type="continuationSeparator" w:id="0">
    <w:p w:rsidR="00000000" w:rsidRDefault="00000000">
      <w:pPr>
        <w:spacing w:after="0" w:line="240" w:lineRule="auto"/>
      </w:pPr>
      <w:r>
        <w:continuationSeparator/>
      </w:r>
    </w:p>
  </w:footnote>
  <w:footnote w:id="1">
    <w:p w:rsidR="00000000" w:rsidRDefault="00000000">
      <w:pPr>
        <w:pStyle w:val="FootnoteText"/>
        <w:spacing w:after="0"/>
        <w:ind w:firstLine="720"/>
        <w:rPr>
          <w:lang w:val="en-US"/>
        </w:rPr>
      </w:pPr>
      <w:r>
        <w:rPr>
          <w:rStyle w:val="FootnoteReference"/>
          <w:vertAlign w:val="baseline"/>
        </w:rPr>
        <w:t>*</w:t>
      </w:r>
      <w:r>
        <w:t xml:space="preserve"> </w:t>
      </w:r>
      <w:r>
        <w:rPr>
          <w:lang w:val="ru-RU"/>
        </w:rPr>
        <w:t xml:space="preserve">Настоящий доклад представляется в том виде, в каком он был получен, без его официального редактирования. Объединенный первоначальный и второй доклады, представленные правительством Туниса, см. в документе </w:t>
      </w:r>
      <w:r>
        <w:rPr>
          <w:lang w:val="en-US"/>
        </w:rPr>
        <w:t>CEDAW</w:t>
      </w:r>
      <w:r>
        <w:rPr>
          <w:lang w:val="ru-RU"/>
        </w:rPr>
        <w:t>/</w:t>
      </w:r>
      <w:r>
        <w:rPr>
          <w:lang w:val="en-US"/>
        </w:rPr>
        <w:t>C</w:t>
      </w:r>
      <w:r>
        <w:rPr>
          <w:lang w:val="ru-RU"/>
        </w:rPr>
        <w:t>/</w:t>
      </w:r>
      <w:r>
        <w:rPr>
          <w:lang w:val="en-US"/>
        </w:rPr>
        <w:t>TUN</w:t>
      </w:r>
      <w:r>
        <w:rPr>
          <w:lang w:val="ru-RU"/>
        </w:rPr>
        <w:t>/1-2, рассмотренном Комитетом на его четырнадцатой сессии.</w:t>
      </w:r>
    </w:p>
    <w:p w:rsidR="00000000" w:rsidRDefault="00000000">
      <w:pPr>
        <w:pStyle w:val="FootnoteText"/>
        <w:spacing w:after="0"/>
        <w:ind w:firstLine="720"/>
        <w:rPr>
          <w:lang w:val="en-US"/>
        </w:rPr>
      </w:pPr>
    </w:p>
    <w:p w:rsidR="00000000" w:rsidRDefault="00000000">
      <w:pPr>
        <w:pStyle w:val="FootnoteText"/>
        <w:spacing w:after="0"/>
        <w:rPr>
          <w:lang w:val="en-US"/>
        </w:rPr>
      </w:pPr>
      <w:r>
        <w:rPr>
          <w:lang w:val="en-US"/>
        </w:rPr>
        <w:t>00-58743(R)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s>
      <w:ind w:right="36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4F07"/>
    <w:multiLevelType w:val="singleLevel"/>
    <w:tmpl w:val="DE948AC4"/>
    <w:lvl w:ilvl="0">
      <w:start w:val="459"/>
      <w:numFmt w:val="decimal"/>
      <w:lvlText w:val="%1."/>
      <w:lvlJc w:val="left"/>
      <w:pPr>
        <w:tabs>
          <w:tab w:val="num" w:pos="360"/>
        </w:tabs>
        <w:ind w:left="360" w:hanging="360"/>
      </w:pPr>
    </w:lvl>
  </w:abstractNum>
  <w:abstractNum w:abstractNumId="1">
    <w:nsid w:val="008221F2"/>
    <w:multiLevelType w:val="singleLevel"/>
    <w:tmpl w:val="2850F2E6"/>
    <w:lvl w:ilvl="0">
      <w:start w:val="471"/>
      <w:numFmt w:val="decimal"/>
      <w:lvlText w:val="%1."/>
      <w:lvlJc w:val="left"/>
      <w:pPr>
        <w:tabs>
          <w:tab w:val="num" w:pos="360"/>
        </w:tabs>
        <w:ind w:left="360" w:hanging="360"/>
      </w:pPr>
    </w:lvl>
  </w:abstractNum>
  <w:abstractNum w:abstractNumId="2">
    <w:nsid w:val="00846A7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
    <w:nsid w:val="00E1644A"/>
    <w:multiLevelType w:val="singleLevel"/>
    <w:tmpl w:val="755E186A"/>
    <w:lvl w:ilvl="0">
      <w:start w:val="110"/>
      <w:numFmt w:val="decimal"/>
      <w:lvlText w:val="%1."/>
      <w:lvlJc w:val="left"/>
      <w:pPr>
        <w:tabs>
          <w:tab w:val="num" w:pos="360"/>
        </w:tabs>
        <w:ind w:left="360" w:hanging="360"/>
      </w:pPr>
    </w:lvl>
  </w:abstractNum>
  <w:abstractNum w:abstractNumId="4">
    <w:nsid w:val="01216E17"/>
    <w:multiLevelType w:val="singleLevel"/>
    <w:tmpl w:val="BC9AD2DC"/>
    <w:lvl w:ilvl="0">
      <w:start w:val="425"/>
      <w:numFmt w:val="decimal"/>
      <w:lvlText w:val="%1."/>
      <w:lvlJc w:val="left"/>
      <w:pPr>
        <w:tabs>
          <w:tab w:val="num" w:pos="360"/>
        </w:tabs>
        <w:ind w:left="360" w:hanging="360"/>
      </w:pPr>
    </w:lvl>
  </w:abstractNum>
  <w:abstractNum w:abstractNumId="5">
    <w:nsid w:val="01217FFE"/>
    <w:multiLevelType w:val="hybridMultilevel"/>
    <w:tmpl w:val="074404A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
    <w:nsid w:val="014E4299"/>
    <w:multiLevelType w:val="singleLevel"/>
    <w:tmpl w:val="2B3E4394"/>
    <w:lvl w:ilvl="0">
      <w:start w:val="42"/>
      <w:numFmt w:val="decimal"/>
      <w:lvlText w:val="%1."/>
      <w:lvlJc w:val="left"/>
      <w:pPr>
        <w:tabs>
          <w:tab w:val="num" w:pos="360"/>
        </w:tabs>
        <w:ind w:left="360" w:hanging="360"/>
      </w:pPr>
    </w:lvl>
  </w:abstractNum>
  <w:abstractNum w:abstractNumId="7">
    <w:nsid w:val="01B3557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8">
    <w:nsid w:val="01DC7C88"/>
    <w:multiLevelType w:val="singleLevel"/>
    <w:tmpl w:val="D98C7C6A"/>
    <w:lvl w:ilvl="0">
      <w:numFmt w:val="bullet"/>
      <w:lvlText w:val="-"/>
      <w:lvlJc w:val="left"/>
      <w:pPr>
        <w:tabs>
          <w:tab w:val="num" w:pos="360"/>
        </w:tabs>
        <w:ind w:left="360" w:hanging="360"/>
      </w:pPr>
      <w:rPr>
        <w:rFonts w:hint="default"/>
      </w:rPr>
    </w:lvl>
  </w:abstractNum>
  <w:abstractNum w:abstractNumId="9">
    <w:nsid w:val="026E53AD"/>
    <w:multiLevelType w:val="hybridMultilevel"/>
    <w:tmpl w:val="963AC25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
    <w:nsid w:val="02E4095A"/>
    <w:multiLevelType w:val="singleLevel"/>
    <w:tmpl w:val="0C8471B8"/>
    <w:lvl w:ilvl="0">
      <w:start w:val="60"/>
      <w:numFmt w:val="decimal"/>
      <w:lvlText w:val="%1."/>
      <w:lvlJc w:val="left"/>
      <w:pPr>
        <w:tabs>
          <w:tab w:val="num" w:pos="360"/>
        </w:tabs>
        <w:ind w:left="340" w:hanging="340"/>
      </w:pPr>
    </w:lvl>
  </w:abstractNum>
  <w:abstractNum w:abstractNumId="11">
    <w:nsid w:val="02ED681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2">
    <w:nsid w:val="03020784"/>
    <w:multiLevelType w:val="singleLevel"/>
    <w:tmpl w:val="0419000F"/>
    <w:lvl w:ilvl="0">
      <w:start w:val="1"/>
      <w:numFmt w:val="decimal"/>
      <w:lvlText w:val="%1."/>
      <w:lvlJc w:val="left"/>
      <w:pPr>
        <w:tabs>
          <w:tab w:val="num" w:pos="360"/>
        </w:tabs>
        <w:ind w:left="360" w:hanging="360"/>
      </w:pPr>
    </w:lvl>
  </w:abstractNum>
  <w:abstractNum w:abstractNumId="13">
    <w:nsid w:val="03300648"/>
    <w:multiLevelType w:val="singleLevel"/>
    <w:tmpl w:val="B45CB0C8"/>
    <w:lvl w:ilvl="0">
      <w:start w:val="220"/>
      <w:numFmt w:val="decimal"/>
      <w:lvlText w:val="%1."/>
      <w:lvlJc w:val="left"/>
      <w:pPr>
        <w:tabs>
          <w:tab w:val="num" w:pos="360"/>
        </w:tabs>
        <w:ind w:left="360" w:hanging="360"/>
      </w:pPr>
    </w:lvl>
  </w:abstractNum>
  <w:abstractNum w:abstractNumId="14">
    <w:nsid w:val="033953E4"/>
    <w:multiLevelType w:val="singleLevel"/>
    <w:tmpl w:val="7DEAE99E"/>
    <w:lvl w:ilvl="0">
      <w:start w:val="424"/>
      <w:numFmt w:val="decimal"/>
      <w:lvlText w:val="%1."/>
      <w:lvlJc w:val="left"/>
      <w:pPr>
        <w:tabs>
          <w:tab w:val="num" w:pos="360"/>
        </w:tabs>
        <w:ind w:left="360" w:hanging="360"/>
      </w:pPr>
    </w:lvl>
  </w:abstractNum>
  <w:abstractNum w:abstractNumId="15">
    <w:nsid w:val="03712975"/>
    <w:multiLevelType w:val="singleLevel"/>
    <w:tmpl w:val="8B12959E"/>
    <w:lvl w:ilvl="0">
      <w:start w:val="101"/>
      <w:numFmt w:val="decimal"/>
      <w:lvlText w:val="%1."/>
      <w:lvlJc w:val="left"/>
      <w:pPr>
        <w:tabs>
          <w:tab w:val="num" w:pos="624"/>
        </w:tabs>
        <w:ind w:left="624" w:hanging="624"/>
      </w:pPr>
    </w:lvl>
  </w:abstractNum>
  <w:abstractNum w:abstractNumId="16">
    <w:nsid w:val="039A58AF"/>
    <w:multiLevelType w:val="singleLevel"/>
    <w:tmpl w:val="B1C45F64"/>
    <w:lvl w:ilvl="0">
      <w:start w:val="41"/>
      <w:numFmt w:val="decimal"/>
      <w:lvlText w:val="%1."/>
      <w:lvlJc w:val="left"/>
      <w:pPr>
        <w:tabs>
          <w:tab w:val="num" w:pos="360"/>
        </w:tabs>
        <w:ind w:left="360" w:hanging="360"/>
      </w:pPr>
    </w:lvl>
  </w:abstractNum>
  <w:abstractNum w:abstractNumId="17">
    <w:nsid w:val="03AA362D"/>
    <w:multiLevelType w:val="singleLevel"/>
    <w:tmpl w:val="D98C7C6A"/>
    <w:lvl w:ilvl="0">
      <w:numFmt w:val="bullet"/>
      <w:lvlText w:val="-"/>
      <w:lvlJc w:val="left"/>
      <w:pPr>
        <w:tabs>
          <w:tab w:val="num" w:pos="360"/>
        </w:tabs>
        <w:ind w:left="360" w:hanging="360"/>
      </w:pPr>
      <w:rPr>
        <w:rFonts w:hint="default"/>
      </w:rPr>
    </w:lvl>
  </w:abstractNum>
  <w:abstractNum w:abstractNumId="18">
    <w:nsid w:val="03AC1DE7"/>
    <w:multiLevelType w:val="singleLevel"/>
    <w:tmpl w:val="D7B00A52"/>
    <w:lvl w:ilvl="0">
      <w:start w:val="872"/>
      <w:numFmt w:val="decimal"/>
      <w:lvlText w:val="%1. "/>
      <w:legacy w:legacy="1" w:legacySpace="0" w:legacyIndent="283"/>
      <w:lvlJc w:val="left"/>
      <w:pPr>
        <w:ind w:left="283" w:hanging="283"/>
      </w:pPr>
      <w:rPr>
        <w:b w:val="0"/>
        <w:i w:val="0"/>
        <w:sz w:val="24"/>
      </w:rPr>
    </w:lvl>
  </w:abstractNum>
  <w:abstractNum w:abstractNumId="19">
    <w:nsid w:val="03ED4F82"/>
    <w:multiLevelType w:val="singleLevel"/>
    <w:tmpl w:val="F2EA8066"/>
    <w:lvl w:ilvl="0">
      <w:start w:val="1"/>
      <w:numFmt w:val="decimal"/>
      <w:lvlText w:val="(%1)"/>
      <w:lvlJc w:val="left"/>
      <w:pPr>
        <w:tabs>
          <w:tab w:val="num" w:pos="360"/>
        </w:tabs>
        <w:ind w:left="360" w:hanging="360"/>
      </w:pPr>
      <w:rPr>
        <w:rFonts w:hint="default"/>
      </w:rPr>
    </w:lvl>
  </w:abstractNum>
  <w:abstractNum w:abstractNumId="20">
    <w:nsid w:val="046C6186"/>
    <w:multiLevelType w:val="hybridMultilevel"/>
    <w:tmpl w:val="1CB6ECF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
    <w:nsid w:val="04777D89"/>
    <w:multiLevelType w:val="singleLevel"/>
    <w:tmpl w:val="98464852"/>
    <w:lvl w:ilvl="0">
      <w:start w:val="186"/>
      <w:numFmt w:val="decimal"/>
      <w:lvlText w:val="%1."/>
      <w:lvlJc w:val="left"/>
      <w:pPr>
        <w:tabs>
          <w:tab w:val="num" w:pos="360"/>
        </w:tabs>
        <w:ind w:left="360" w:hanging="360"/>
      </w:pPr>
    </w:lvl>
  </w:abstractNum>
  <w:abstractNum w:abstractNumId="22">
    <w:nsid w:val="04BC58F0"/>
    <w:multiLevelType w:val="singleLevel"/>
    <w:tmpl w:val="D98C7C6A"/>
    <w:lvl w:ilvl="0">
      <w:numFmt w:val="bullet"/>
      <w:lvlText w:val="-"/>
      <w:lvlJc w:val="left"/>
      <w:pPr>
        <w:tabs>
          <w:tab w:val="num" w:pos="360"/>
        </w:tabs>
        <w:ind w:left="360" w:hanging="360"/>
      </w:pPr>
      <w:rPr>
        <w:rFonts w:hint="default"/>
      </w:rPr>
    </w:lvl>
  </w:abstractNum>
  <w:abstractNum w:abstractNumId="23">
    <w:nsid w:val="053A4145"/>
    <w:multiLevelType w:val="singleLevel"/>
    <w:tmpl w:val="45EE22BC"/>
    <w:lvl w:ilvl="0">
      <w:start w:val="465"/>
      <w:numFmt w:val="decimal"/>
      <w:lvlText w:val="%1."/>
      <w:lvlJc w:val="left"/>
      <w:pPr>
        <w:tabs>
          <w:tab w:val="num" w:pos="360"/>
        </w:tabs>
        <w:ind w:left="360" w:hanging="360"/>
      </w:pPr>
    </w:lvl>
  </w:abstractNum>
  <w:abstractNum w:abstractNumId="24">
    <w:nsid w:val="05750455"/>
    <w:multiLevelType w:val="singleLevel"/>
    <w:tmpl w:val="6CD0C1CA"/>
    <w:lvl w:ilvl="0">
      <w:start w:val="301"/>
      <w:numFmt w:val="decimal"/>
      <w:lvlText w:val="%1."/>
      <w:lvlJc w:val="left"/>
      <w:pPr>
        <w:tabs>
          <w:tab w:val="num" w:pos="360"/>
        </w:tabs>
        <w:ind w:left="360" w:hanging="360"/>
      </w:pPr>
    </w:lvl>
  </w:abstractNum>
  <w:abstractNum w:abstractNumId="25">
    <w:nsid w:val="05C17620"/>
    <w:multiLevelType w:val="singleLevel"/>
    <w:tmpl w:val="83F6E720"/>
    <w:lvl w:ilvl="0">
      <w:start w:val="276"/>
      <w:numFmt w:val="decimal"/>
      <w:lvlText w:val="%1."/>
      <w:lvlJc w:val="left"/>
      <w:pPr>
        <w:tabs>
          <w:tab w:val="num" w:pos="360"/>
        </w:tabs>
        <w:ind w:left="360" w:hanging="360"/>
      </w:pPr>
    </w:lvl>
  </w:abstractNum>
  <w:abstractNum w:abstractNumId="26">
    <w:nsid w:val="05D8710C"/>
    <w:multiLevelType w:val="singleLevel"/>
    <w:tmpl w:val="11624234"/>
    <w:lvl w:ilvl="0">
      <w:start w:val="99"/>
      <w:numFmt w:val="decimal"/>
      <w:lvlText w:val="%1."/>
      <w:lvlJc w:val="left"/>
      <w:pPr>
        <w:tabs>
          <w:tab w:val="num" w:pos="360"/>
        </w:tabs>
        <w:ind w:left="360" w:hanging="360"/>
      </w:pPr>
    </w:lvl>
  </w:abstractNum>
  <w:abstractNum w:abstractNumId="27">
    <w:nsid w:val="05EC5078"/>
    <w:multiLevelType w:val="singleLevel"/>
    <w:tmpl w:val="A14EA06A"/>
    <w:lvl w:ilvl="0">
      <w:start w:val="2"/>
      <w:numFmt w:val="decimal"/>
      <w:lvlText w:val="%1. "/>
      <w:legacy w:legacy="1" w:legacySpace="0" w:legacyIndent="283"/>
      <w:lvlJc w:val="left"/>
      <w:pPr>
        <w:ind w:left="283" w:hanging="283"/>
      </w:pPr>
      <w:rPr>
        <w:b w:val="0"/>
        <w:i w:val="0"/>
        <w:sz w:val="24"/>
      </w:rPr>
    </w:lvl>
  </w:abstractNum>
  <w:abstractNum w:abstractNumId="28">
    <w:nsid w:val="06CB3F11"/>
    <w:multiLevelType w:val="singleLevel"/>
    <w:tmpl w:val="E28A6A80"/>
    <w:lvl w:ilvl="0">
      <w:start w:val="11"/>
      <w:numFmt w:val="decimal"/>
      <w:lvlText w:val="%1."/>
      <w:lvlJc w:val="left"/>
      <w:pPr>
        <w:tabs>
          <w:tab w:val="num" w:pos="360"/>
        </w:tabs>
        <w:ind w:left="360" w:hanging="360"/>
      </w:pPr>
    </w:lvl>
  </w:abstractNum>
  <w:abstractNum w:abstractNumId="29">
    <w:nsid w:val="07C1231B"/>
    <w:multiLevelType w:val="singleLevel"/>
    <w:tmpl w:val="D98C7C6A"/>
    <w:lvl w:ilvl="0">
      <w:numFmt w:val="bullet"/>
      <w:lvlText w:val="-"/>
      <w:lvlJc w:val="left"/>
      <w:pPr>
        <w:tabs>
          <w:tab w:val="num" w:pos="360"/>
        </w:tabs>
        <w:ind w:left="360" w:hanging="360"/>
      </w:pPr>
      <w:rPr>
        <w:rFonts w:hint="default"/>
      </w:rPr>
    </w:lvl>
  </w:abstractNum>
  <w:abstractNum w:abstractNumId="30">
    <w:nsid w:val="07D5341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1">
    <w:nsid w:val="07F3193D"/>
    <w:multiLevelType w:val="singleLevel"/>
    <w:tmpl w:val="876A867E"/>
    <w:lvl w:ilvl="0">
      <w:start w:val="67"/>
      <w:numFmt w:val="decimal"/>
      <w:lvlText w:val="%1."/>
      <w:lvlJc w:val="left"/>
      <w:pPr>
        <w:tabs>
          <w:tab w:val="num" w:pos="360"/>
        </w:tabs>
        <w:ind w:left="360" w:hanging="360"/>
      </w:pPr>
    </w:lvl>
  </w:abstractNum>
  <w:abstractNum w:abstractNumId="32">
    <w:nsid w:val="081A042B"/>
    <w:multiLevelType w:val="singleLevel"/>
    <w:tmpl w:val="D98C7C6A"/>
    <w:lvl w:ilvl="0">
      <w:numFmt w:val="bullet"/>
      <w:lvlText w:val="-"/>
      <w:lvlJc w:val="left"/>
      <w:pPr>
        <w:tabs>
          <w:tab w:val="num" w:pos="360"/>
        </w:tabs>
        <w:ind w:left="360" w:hanging="360"/>
      </w:pPr>
      <w:rPr>
        <w:rFonts w:hint="default"/>
      </w:rPr>
    </w:lvl>
  </w:abstractNum>
  <w:abstractNum w:abstractNumId="33">
    <w:nsid w:val="0901104C"/>
    <w:multiLevelType w:val="singleLevel"/>
    <w:tmpl w:val="4DDC6CAE"/>
    <w:lvl w:ilvl="0">
      <w:start w:val="396"/>
      <w:numFmt w:val="decimal"/>
      <w:lvlText w:val="%1."/>
      <w:lvlJc w:val="left"/>
      <w:pPr>
        <w:tabs>
          <w:tab w:val="num" w:pos="360"/>
        </w:tabs>
        <w:ind w:left="360" w:hanging="360"/>
      </w:pPr>
    </w:lvl>
  </w:abstractNum>
  <w:abstractNum w:abstractNumId="34">
    <w:nsid w:val="09036564"/>
    <w:multiLevelType w:val="singleLevel"/>
    <w:tmpl w:val="0419000F"/>
    <w:lvl w:ilvl="0">
      <w:start w:val="1"/>
      <w:numFmt w:val="decimal"/>
      <w:lvlText w:val="%1."/>
      <w:lvlJc w:val="left"/>
      <w:pPr>
        <w:tabs>
          <w:tab w:val="num" w:pos="360"/>
        </w:tabs>
        <w:ind w:left="360" w:hanging="360"/>
      </w:pPr>
    </w:lvl>
  </w:abstractNum>
  <w:abstractNum w:abstractNumId="35">
    <w:nsid w:val="09047EE4"/>
    <w:multiLevelType w:val="singleLevel"/>
    <w:tmpl w:val="A5342E18"/>
    <w:lvl w:ilvl="0">
      <w:start w:val="779"/>
      <w:numFmt w:val="bullet"/>
      <w:lvlText w:val="-"/>
      <w:lvlJc w:val="left"/>
      <w:pPr>
        <w:tabs>
          <w:tab w:val="num" w:pos="360"/>
        </w:tabs>
        <w:ind w:left="360" w:hanging="360"/>
      </w:pPr>
      <w:rPr>
        <w:rFonts w:hint="default"/>
      </w:rPr>
    </w:lvl>
  </w:abstractNum>
  <w:abstractNum w:abstractNumId="36">
    <w:nsid w:val="09F9506F"/>
    <w:multiLevelType w:val="singleLevel"/>
    <w:tmpl w:val="DE948AC4"/>
    <w:lvl w:ilvl="0">
      <w:start w:val="459"/>
      <w:numFmt w:val="decimal"/>
      <w:lvlText w:val="%1."/>
      <w:lvlJc w:val="left"/>
      <w:pPr>
        <w:tabs>
          <w:tab w:val="num" w:pos="360"/>
        </w:tabs>
        <w:ind w:left="360" w:hanging="360"/>
      </w:pPr>
    </w:lvl>
  </w:abstractNum>
  <w:abstractNum w:abstractNumId="37">
    <w:nsid w:val="0A34259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8">
    <w:nsid w:val="0AA05498"/>
    <w:multiLevelType w:val="singleLevel"/>
    <w:tmpl w:val="D98C7C6A"/>
    <w:lvl w:ilvl="0">
      <w:numFmt w:val="bullet"/>
      <w:lvlText w:val="-"/>
      <w:lvlJc w:val="left"/>
      <w:pPr>
        <w:tabs>
          <w:tab w:val="num" w:pos="360"/>
        </w:tabs>
        <w:ind w:left="360" w:hanging="360"/>
      </w:pPr>
      <w:rPr>
        <w:rFonts w:hint="default"/>
      </w:rPr>
    </w:lvl>
  </w:abstractNum>
  <w:abstractNum w:abstractNumId="39">
    <w:nsid w:val="0AAD310A"/>
    <w:multiLevelType w:val="singleLevel"/>
    <w:tmpl w:val="5EC4F830"/>
    <w:lvl w:ilvl="0">
      <w:start w:val="476"/>
      <w:numFmt w:val="decimal"/>
      <w:lvlText w:val="%1."/>
      <w:lvlJc w:val="left"/>
      <w:pPr>
        <w:tabs>
          <w:tab w:val="num" w:pos="360"/>
        </w:tabs>
        <w:ind w:left="360" w:hanging="360"/>
      </w:pPr>
    </w:lvl>
  </w:abstractNum>
  <w:abstractNum w:abstractNumId="40">
    <w:nsid w:val="0B405250"/>
    <w:multiLevelType w:val="hybridMultilevel"/>
    <w:tmpl w:val="FA46ED2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1">
    <w:nsid w:val="0B520A42"/>
    <w:multiLevelType w:val="singleLevel"/>
    <w:tmpl w:val="11624234"/>
    <w:lvl w:ilvl="0">
      <w:start w:val="99"/>
      <w:numFmt w:val="decimal"/>
      <w:lvlText w:val="%1."/>
      <w:lvlJc w:val="left"/>
      <w:pPr>
        <w:tabs>
          <w:tab w:val="num" w:pos="360"/>
        </w:tabs>
        <w:ind w:left="360" w:hanging="360"/>
      </w:pPr>
    </w:lvl>
  </w:abstractNum>
  <w:abstractNum w:abstractNumId="42">
    <w:nsid w:val="0BA31606"/>
    <w:multiLevelType w:val="singleLevel"/>
    <w:tmpl w:val="7DEAE99E"/>
    <w:lvl w:ilvl="0">
      <w:start w:val="424"/>
      <w:numFmt w:val="decimal"/>
      <w:lvlText w:val="%1."/>
      <w:lvlJc w:val="left"/>
      <w:pPr>
        <w:tabs>
          <w:tab w:val="num" w:pos="360"/>
        </w:tabs>
        <w:ind w:left="360" w:hanging="360"/>
      </w:pPr>
    </w:lvl>
  </w:abstractNum>
  <w:abstractNum w:abstractNumId="43">
    <w:nsid w:val="0BDC3695"/>
    <w:multiLevelType w:val="singleLevel"/>
    <w:tmpl w:val="3B082418"/>
    <w:lvl w:ilvl="0">
      <w:start w:val="1"/>
      <w:numFmt w:val="decimal"/>
      <w:lvlText w:val="%1."/>
      <w:lvlJc w:val="left"/>
      <w:pPr>
        <w:tabs>
          <w:tab w:val="num" w:pos="360"/>
        </w:tabs>
      </w:pPr>
    </w:lvl>
  </w:abstractNum>
  <w:abstractNum w:abstractNumId="44">
    <w:nsid w:val="0CAC4F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5">
    <w:nsid w:val="0D064241"/>
    <w:multiLevelType w:val="singleLevel"/>
    <w:tmpl w:val="0652F8F0"/>
    <w:lvl w:ilvl="0">
      <w:start w:val="197"/>
      <w:numFmt w:val="decimal"/>
      <w:lvlText w:val="%1."/>
      <w:lvlJc w:val="left"/>
      <w:pPr>
        <w:tabs>
          <w:tab w:val="num" w:pos="360"/>
        </w:tabs>
        <w:ind w:left="360" w:hanging="360"/>
      </w:pPr>
    </w:lvl>
  </w:abstractNum>
  <w:abstractNum w:abstractNumId="46">
    <w:nsid w:val="0D174D09"/>
    <w:multiLevelType w:val="singleLevel"/>
    <w:tmpl w:val="DA50B50C"/>
    <w:lvl w:ilvl="0">
      <w:start w:val="474"/>
      <w:numFmt w:val="decimal"/>
      <w:lvlText w:val="%1."/>
      <w:lvlJc w:val="left"/>
      <w:pPr>
        <w:tabs>
          <w:tab w:val="num" w:pos="360"/>
        </w:tabs>
        <w:ind w:left="360" w:hanging="360"/>
      </w:pPr>
    </w:lvl>
  </w:abstractNum>
  <w:abstractNum w:abstractNumId="47">
    <w:nsid w:val="0D62211F"/>
    <w:multiLevelType w:val="singleLevel"/>
    <w:tmpl w:val="B6E647CC"/>
    <w:lvl w:ilvl="0">
      <w:start w:val="233"/>
      <w:numFmt w:val="decimal"/>
      <w:lvlText w:val="%1."/>
      <w:lvlJc w:val="left"/>
      <w:pPr>
        <w:tabs>
          <w:tab w:val="num" w:pos="360"/>
        </w:tabs>
        <w:ind w:left="360" w:hanging="360"/>
      </w:pPr>
    </w:lvl>
  </w:abstractNum>
  <w:abstractNum w:abstractNumId="48">
    <w:nsid w:val="0D802714"/>
    <w:multiLevelType w:val="singleLevel"/>
    <w:tmpl w:val="83F6E720"/>
    <w:lvl w:ilvl="0">
      <w:start w:val="276"/>
      <w:numFmt w:val="decimal"/>
      <w:lvlText w:val="%1."/>
      <w:lvlJc w:val="left"/>
      <w:pPr>
        <w:tabs>
          <w:tab w:val="num" w:pos="360"/>
        </w:tabs>
        <w:ind w:left="360" w:hanging="360"/>
      </w:pPr>
    </w:lvl>
  </w:abstractNum>
  <w:abstractNum w:abstractNumId="49">
    <w:nsid w:val="0D9B18BC"/>
    <w:multiLevelType w:val="singleLevel"/>
    <w:tmpl w:val="876A867E"/>
    <w:lvl w:ilvl="0">
      <w:start w:val="67"/>
      <w:numFmt w:val="decimal"/>
      <w:lvlText w:val="%1."/>
      <w:lvlJc w:val="left"/>
      <w:pPr>
        <w:tabs>
          <w:tab w:val="num" w:pos="360"/>
        </w:tabs>
        <w:ind w:left="360" w:hanging="360"/>
      </w:pPr>
    </w:lvl>
  </w:abstractNum>
  <w:abstractNum w:abstractNumId="50">
    <w:nsid w:val="0DAF195A"/>
    <w:multiLevelType w:val="singleLevel"/>
    <w:tmpl w:val="54222EEE"/>
    <w:lvl w:ilvl="0">
      <w:start w:val="133"/>
      <w:numFmt w:val="decimal"/>
      <w:lvlText w:val="%1."/>
      <w:lvlJc w:val="left"/>
      <w:pPr>
        <w:tabs>
          <w:tab w:val="num" w:pos="360"/>
        </w:tabs>
        <w:ind w:left="360" w:hanging="360"/>
      </w:pPr>
    </w:lvl>
  </w:abstractNum>
  <w:abstractNum w:abstractNumId="51">
    <w:nsid w:val="0DFB0688"/>
    <w:multiLevelType w:val="singleLevel"/>
    <w:tmpl w:val="D98C7C6A"/>
    <w:lvl w:ilvl="0">
      <w:numFmt w:val="bullet"/>
      <w:lvlText w:val="-"/>
      <w:lvlJc w:val="left"/>
      <w:pPr>
        <w:tabs>
          <w:tab w:val="num" w:pos="360"/>
        </w:tabs>
        <w:ind w:left="360" w:hanging="360"/>
      </w:pPr>
      <w:rPr>
        <w:rFonts w:hint="default"/>
      </w:rPr>
    </w:lvl>
  </w:abstractNum>
  <w:abstractNum w:abstractNumId="52">
    <w:nsid w:val="0E0A4E80"/>
    <w:multiLevelType w:val="singleLevel"/>
    <w:tmpl w:val="20E6903C"/>
    <w:lvl w:ilvl="0">
      <w:start w:val="183"/>
      <w:numFmt w:val="decimal"/>
      <w:lvlText w:val="%1."/>
      <w:lvlJc w:val="left"/>
      <w:pPr>
        <w:tabs>
          <w:tab w:val="num" w:pos="360"/>
        </w:tabs>
        <w:ind w:left="360" w:hanging="360"/>
      </w:pPr>
    </w:lvl>
  </w:abstractNum>
  <w:abstractNum w:abstractNumId="53">
    <w:nsid w:val="0E2C5939"/>
    <w:multiLevelType w:val="singleLevel"/>
    <w:tmpl w:val="4B6CC44C"/>
    <w:lvl w:ilvl="0">
      <w:start w:val="151"/>
      <w:numFmt w:val="decimal"/>
      <w:lvlText w:val="%1."/>
      <w:lvlJc w:val="left"/>
      <w:pPr>
        <w:tabs>
          <w:tab w:val="num" w:pos="360"/>
        </w:tabs>
        <w:ind w:left="360" w:hanging="360"/>
      </w:pPr>
    </w:lvl>
  </w:abstractNum>
  <w:abstractNum w:abstractNumId="54">
    <w:nsid w:val="0E766E67"/>
    <w:multiLevelType w:val="singleLevel"/>
    <w:tmpl w:val="2B082170"/>
    <w:lvl w:ilvl="0">
      <w:start w:val="420"/>
      <w:numFmt w:val="decimal"/>
      <w:lvlText w:val="%1."/>
      <w:lvlJc w:val="left"/>
      <w:pPr>
        <w:tabs>
          <w:tab w:val="num" w:pos="360"/>
        </w:tabs>
        <w:ind w:left="360" w:hanging="360"/>
      </w:pPr>
    </w:lvl>
  </w:abstractNum>
  <w:abstractNum w:abstractNumId="55">
    <w:nsid w:val="0F0436FA"/>
    <w:multiLevelType w:val="singleLevel"/>
    <w:tmpl w:val="0419000F"/>
    <w:lvl w:ilvl="0">
      <w:start w:val="1"/>
      <w:numFmt w:val="decimal"/>
      <w:lvlText w:val="%1."/>
      <w:lvlJc w:val="left"/>
      <w:pPr>
        <w:tabs>
          <w:tab w:val="num" w:pos="360"/>
        </w:tabs>
        <w:ind w:left="360" w:hanging="360"/>
      </w:pPr>
    </w:lvl>
  </w:abstractNum>
  <w:abstractNum w:abstractNumId="56">
    <w:nsid w:val="0F0E2D57"/>
    <w:multiLevelType w:val="singleLevel"/>
    <w:tmpl w:val="51349E1C"/>
    <w:lvl w:ilvl="0">
      <w:start w:val="92"/>
      <w:numFmt w:val="decimal"/>
      <w:lvlText w:val="%1."/>
      <w:lvlJc w:val="left"/>
      <w:pPr>
        <w:tabs>
          <w:tab w:val="num" w:pos="360"/>
        </w:tabs>
        <w:ind w:left="360" w:hanging="360"/>
      </w:pPr>
    </w:lvl>
  </w:abstractNum>
  <w:abstractNum w:abstractNumId="57">
    <w:nsid w:val="0F15477C"/>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8">
    <w:nsid w:val="0F6F494C"/>
    <w:multiLevelType w:val="singleLevel"/>
    <w:tmpl w:val="8B084C4A"/>
    <w:lvl w:ilvl="0">
      <w:start w:val="346"/>
      <w:numFmt w:val="decimal"/>
      <w:lvlText w:val="%1."/>
      <w:lvlJc w:val="left"/>
      <w:pPr>
        <w:tabs>
          <w:tab w:val="num" w:pos="360"/>
        </w:tabs>
        <w:ind w:left="360" w:hanging="360"/>
      </w:pPr>
    </w:lvl>
  </w:abstractNum>
  <w:abstractNum w:abstractNumId="59">
    <w:nsid w:val="0FD10723"/>
    <w:multiLevelType w:val="singleLevel"/>
    <w:tmpl w:val="B0FA0884"/>
    <w:lvl w:ilvl="0">
      <w:start w:val="401"/>
      <w:numFmt w:val="decimal"/>
      <w:lvlText w:val="%1."/>
      <w:lvlJc w:val="left"/>
      <w:pPr>
        <w:tabs>
          <w:tab w:val="num" w:pos="360"/>
        </w:tabs>
        <w:ind w:left="360" w:hanging="360"/>
      </w:pPr>
    </w:lvl>
  </w:abstractNum>
  <w:abstractNum w:abstractNumId="60">
    <w:nsid w:val="105A7D7D"/>
    <w:multiLevelType w:val="singleLevel"/>
    <w:tmpl w:val="52EEECB4"/>
    <w:lvl w:ilvl="0">
      <w:start w:val="352"/>
      <w:numFmt w:val="bullet"/>
      <w:lvlText w:val="-"/>
      <w:lvlJc w:val="left"/>
      <w:pPr>
        <w:tabs>
          <w:tab w:val="num" w:pos="360"/>
        </w:tabs>
        <w:ind w:left="360" w:hanging="360"/>
      </w:pPr>
      <w:rPr>
        <w:rFonts w:hint="default"/>
      </w:rPr>
    </w:lvl>
  </w:abstractNum>
  <w:abstractNum w:abstractNumId="61">
    <w:nsid w:val="108E53AF"/>
    <w:multiLevelType w:val="singleLevel"/>
    <w:tmpl w:val="67D01C16"/>
    <w:lvl w:ilvl="0">
      <w:start w:val="293"/>
      <w:numFmt w:val="decimal"/>
      <w:lvlText w:val="%1."/>
      <w:lvlJc w:val="left"/>
      <w:pPr>
        <w:tabs>
          <w:tab w:val="num" w:pos="360"/>
        </w:tabs>
        <w:ind w:left="360" w:hanging="360"/>
      </w:pPr>
    </w:lvl>
  </w:abstractNum>
  <w:abstractNum w:abstractNumId="62">
    <w:nsid w:val="10B640E4"/>
    <w:multiLevelType w:val="singleLevel"/>
    <w:tmpl w:val="163E87CC"/>
    <w:lvl w:ilvl="0">
      <w:start w:val="344"/>
      <w:numFmt w:val="decimal"/>
      <w:lvlText w:val="%1."/>
      <w:lvlJc w:val="left"/>
      <w:pPr>
        <w:tabs>
          <w:tab w:val="num" w:pos="360"/>
        </w:tabs>
        <w:ind w:left="360" w:hanging="360"/>
      </w:pPr>
    </w:lvl>
  </w:abstractNum>
  <w:abstractNum w:abstractNumId="63">
    <w:nsid w:val="10C51853"/>
    <w:multiLevelType w:val="singleLevel"/>
    <w:tmpl w:val="325E9D5C"/>
    <w:lvl w:ilvl="0">
      <w:start w:val="431"/>
      <w:numFmt w:val="decimal"/>
      <w:lvlText w:val="%1."/>
      <w:lvlJc w:val="left"/>
      <w:pPr>
        <w:tabs>
          <w:tab w:val="num" w:pos="360"/>
        </w:tabs>
        <w:ind w:left="360" w:hanging="360"/>
      </w:pPr>
    </w:lvl>
  </w:abstractNum>
  <w:abstractNum w:abstractNumId="64">
    <w:nsid w:val="10C765FE"/>
    <w:multiLevelType w:val="singleLevel"/>
    <w:tmpl w:val="B45CB0C8"/>
    <w:lvl w:ilvl="0">
      <w:start w:val="220"/>
      <w:numFmt w:val="decimal"/>
      <w:lvlText w:val="%1."/>
      <w:lvlJc w:val="left"/>
      <w:pPr>
        <w:tabs>
          <w:tab w:val="num" w:pos="360"/>
        </w:tabs>
        <w:ind w:left="360" w:hanging="360"/>
      </w:pPr>
    </w:lvl>
  </w:abstractNum>
  <w:abstractNum w:abstractNumId="65">
    <w:nsid w:val="112F6926"/>
    <w:multiLevelType w:val="singleLevel"/>
    <w:tmpl w:val="0419000F"/>
    <w:lvl w:ilvl="0">
      <w:start w:val="1"/>
      <w:numFmt w:val="decimal"/>
      <w:lvlText w:val="%1."/>
      <w:lvlJc w:val="left"/>
      <w:pPr>
        <w:tabs>
          <w:tab w:val="num" w:pos="360"/>
        </w:tabs>
        <w:ind w:left="360" w:hanging="360"/>
      </w:pPr>
    </w:lvl>
  </w:abstractNum>
  <w:abstractNum w:abstractNumId="66">
    <w:nsid w:val="11662A1D"/>
    <w:multiLevelType w:val="singleLevel"/>
    <w:tmpl w:val="9654B976"/>
    <w:lvl w:ilvl="0">
      <w:start w:val="154"/>
      <w:numFmt w:val="decimal"/>
      <w:lvlText w:val="%1."/>
      <w:lvlJc w:val="left"/>
      <w:pPr>
        <w:tabs>
          <w:tab w:val="num" w:pos="624"/>
        </w:tabs>
        <w:ind w:left="624" w:hanging="624"/>
      </w:pPr>
    </w:lvl>
  </w:abstractNum>
  <w:abstractNum w:abstractNumId="67">
    <w:nsid w:val="11DC62FD"/>
    <w:multiLevelType w:val="singleLevel"/>
    <w:tmpl w:val="28603432"/>
    <w:lvl w:ilvl="0">
      <w:start w:val="363"/>
      <w:numFmt w:val="decimal"/>
      <w:lvlText w:val="%1."/>
      <w:lvlJc w:val="left"/>
      <w:pPr>
        <w:tabs>
          <w:tab w:val="num" w:pos="360"/>
        </w:tabs>
        <w:ind w:left="360" w:hanging="360"/>
      </w:pPr>
    </w:lvl>
  </w:abstractNum>
  <w:abstractNum w:abstractNumId="68">
    <w:nsid w:val="12184540"/>
    <w:multiLevelType w:val="singleLevel"/>
    <w:tmpl w:val="940AB8B2"/>
    <w:lvl w:ilvl="0">
      <w:start w:val="94"/>
      <w:numFmt w:val="decimal"/>
      <w:lvlText w:val="%1."/>
      <w:lvlJc w:val="left"/>
      <w:pPr>
        <w:tabs>
          <w:tab w:val="num" w:pos="360"/>
        </w:tabs>
        <w:ind w:left="360" w:hanging="360"/>
      </w:pPr>
    </w:lvl>
  </w:abstractNum>
  <w:abstractNum w:abstractNumId="69">
    <w:nsid w:val="12464BF1"/>
    <w:multiLevelType w:val="hybridMultilevel"/>
    <w:tmpl w:val="3AC85990"/>
    <w:lvl w:ilvl="0">
      <w:start w:val="1"/>
      <w:numFmt w:val="bullet"/>
      <w:lvlText w:val=""/>
      <w:lvlJc w:val="left"/>
      <w:pPr>
        <w:tabs>
          <w:tab w:val="num" w:pos="1664"/>
        </w:tabs>
        <w:ind w:left="1474" w:hanging="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
    <w:nsid w:val="128A76E3"/>
    <w:multiLevelType w:val="singleLevel"/>
    <w:tmpl w:val="2850F2E6"/>
    <w:lvl w:ilvl="0">
      <w:start w:val="471"/>
      <w:numFmt w:val="decimal"/>
      <w:lvlText w:val="%1."/>
      <w:lvlJc w:val="left"/>
      <w:pPr>
        <w:tabs>
          <w:tab w:val="num" w:pos="360"/>
        </w:tabs>
        <w:ind w:left="360" w:hanging="360"/>
      </w:pPr>
    </w:lvl>
  </w:abstractNum>
  <w:abstractNum w:abstractNumId="71">
    <w:nsid w:val="13962072"/>
    <w:multiLevelType w:val="singleLevel"/>
    <w:tmpl w:val="D98C7C6A"/>
    <w:lvl w:ilvl="0">
      <w:numFmt w:val="bullet"/>
      <w:lvlText w:val="-"/>
      <w:lvlJc w:val="left"/>
      <w:pPr>
        <w:tabs>
          <w:tab w:val="num" w:pos="360"/>
        </w:tabs>
        <w:ind w:left="360" w:hanging="360"/>
      </w:pPr>
      <w:rPr>
        <w:rFonts w:hint="default"/>
      </w:rPr>
    </w:lvl>
  </w:abstractNum>
  <w:abstractNum w:abstractNumId="72">
    <w:nsid w:val="13D752B5"/>
    <w:multiLevelType w:val="singleLevel"/>
    <w:tmpl w:val="0419000F"/>
    <w:lvl w:ilvl="0">
      <w:start w:val="1"/>
      <w:numFmt w:val="decimal"/>
      <w:lvlText w:val="%1."/>
      <w:lvlJc w:val="left"/>
      <w:pPr>
        <w:tabs>
          <w:tab w:val="num" w:pos="360"/>
        </w:tabs>
        <w:ind w:left="360" w:hanging="360"/>
      </w:pPr>
    </w:lvl>
  </w:abstractNum>
  <w:abstractNum w:abstractNumId="73">
    <w:nsid w:val="14C87F4D"/>
    <w:multiLevelType w:val="singleLevel"/>
    <w:tmpl w:val="0D6AE728"/>
    <w:lvl w:ilvl="0">
      <w:start w:val="72"/>
      <w:numFmt w:val="decimal"/>
      <w:lvlText w:val="%1."/>
      <w:lvlJc w:val="left"/>
      <w:pPr>
        <w:tabs>
          <w:tab w:val="num" w:pos="360"/>
        </w:tabs>
        <w:ind w:left="360" w:hanging="360"/>
      </w:pPr>
    </w:lvl>
  </w:abstractNum>
  <w:abstractNum w:abstractNumId="74">
    <w:nsid w:val="14DA3638"/>
    <w:multiLevelType w:val="singleLevel"/>
    <w:tmpl w:val="C91A934A"/>
    <w:lvl w:ilvl="0">
      <w:start w:val="88"/>
      <w:numFmt w:val="decimal"/>
      <w:lvlText w:val="%1."/>
      <w:lvlJc w:val="left"/>
      <w:pPr>
        <w:tabs>
          <w:tab w:val="num" w:pos="360"/>
        </w:tabs>
        <w:ind w:left="360" w:hanging="360"/>
      </w:pPr>
    </w:lvl>
  </w:abstractNum>
  <w:abstractNum w:abstractNumId="75">
    <w:nsid w:val="15841ECE"/>
    <w:multiLevelType w:val="singleLevel"/>
    <w:tmpl w:val="D6B09A80"/>
    <w:lvl w:ilvl="0">
      <w:start w:val="330"/>
      <w:numFmt w:val="decimal"/>
      <w:lvlText w:val="%1."/>
      <w:lvlJc w:val="left"/>
      <w:pPr>
        <w:tabs>
          <w:tab w:val="num" w:pos="360"/>
        </w:tabs>
        <w:ind w:left="360" w:hanging="360"/>
      </w:pPr>
    </w:lvl>
  </w:abstractNum>
  <w:abstractNum w:abstractNumId="76">
    <w:nsid w:val="17460082"/>
    <w:multiLevelType w:val="singleLevel"/>
    <w:tmpl w:val="52EEECB4"/>
    <w:lvl w:ilvl="0">
      <w:start w:val="352"/>
      <w:numFmt w:val="bullet"/>
      <w:lvlText w:val="-"/>
      <w:lvlJc w:val="left"/>
      <w:pPr>
        <w:tabs>
          <w:tab w:val="num" w:pos="360"/>
        </w:tabs>
        <w:ind w:left="360" w:hanging="360"/>
      </w:pPr>
      <w:rPr>
        <w:rFonts w:hint="default"/>
      </w:rPr>
    </w:lvl>
  </w:abstractNum>
  <w:abstractNum w:abstractNumId="77">
    <w:nsid w:val="17B4786C"/>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78">
    <w:nsid w:val="17CF1789"/>
    <w:multiLevelType w:val="singleLevel"/>
    <w:tmpl w:val="CA940702"/>
    <w:lvl w:ilvl="0">
      <w:start w:val="71"/>
      <w:numFmt w:val="decimal"/>
      <w:lvlText w:val="%1."/>
      <w:lvlJc w:val="left"/>
      <w:pPr>
        <w:tabs>
          <w:tab w:val="num" w:pos="360"/>
        </w:tabs>
        <w:ind w:left="360" w:hanging="360"/>
      </w:pPr>
    </w:lvl>
  </w:abstractNum>
  <w:abstractNum w:abstractNumId="79">
    <w:nsid w:val="17D218D9"/>
    <w:multiLevelType w:val="singleLevel"/>
    <w:tmpl w:val="F7007F5A"/>
    <w:lvl w:ilvl="0">
      <w:start w:val="1"/>
      <w:numFmt w:val="decimal"/>
      <w:lvlText w:val="(%1)"/>
      <w:lvlJc w:val="left"/>
      <w:pPr>
        <w:tabs>
          <w:tab w:val="num" w:pos="360"/>
        </w:tabs>
        <w:ind w:left="360" w:hanging="360"/>
      </w:pPr>
      <w:rPr>
        <w:rFonts w:hint="default"/>
      </w:rPr>
    </w:lvl>
  </w:abstractNum>
  <w:abstractNum w:abstractNumId="80">
    <w:nsid w:val="17E13F70"/>
    <w:multiLevelType w:val="singleLevel"/>
    <w:tmpl w:val="D98C7C6A"/>
    <w:lvl w:ilvl="0">
      <w:numFmt w:val="bullet"/>
      <w:lvlText w:val="-"/>
      <w:lvlJc w:val="left"/>
      <w:pPr>
        <w:tabs>
          <w:tab w:val="num" w:pos="360"/>
        </w:tabs>
        <w:ind w:left="360" w:hanging="360"/>
      </w:pPr>
      <w:rPr>
        <w:rFonts w:hint="default"/>
      </w:rPr>
    </w:lvl>
  </w:abstractNum>
  <w:abstractNum w:abstractNumId="81">
    <w:nsid w:val="182B58E0"/>
    <w:multiLevelType w:val="multilevel"/>
    <w:tmpl w:val="F89C32C2"/>
    <w:lvl w:ilvl="0">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2">
    <w:nsid w:val="18900757"/>
    <w:multiLevelType w:val="singleLevel"/>
    <w:tmpl w:val="EB78E1B4"/>
    <w:lvl w:ilvl="0">
      <w:start w:val="271"/>
      <w:numFmt w:val="decimal"/>
      <w:lvlText w:val="%1."/>
      <w:lvlJc w:val="left"/>
      <w:pPr>
        <w:tabs>
          <w:tab w:val="num" w:pos="360"/>
        </w:tabs>
        <w:ind w:left="360" w:hanging="360"/>
      </w:pPr>
    </w:lvl>
  </w:abstractNum>
  <w:abstractNum w:abstractNumId="83">
    <w:nsid w:val="18EA73C7"/>
    <w:multiLevelType w:val="singleLevel"/>
    <w:tmpl w:val="52EEECB4"/>
    <w:lvl w:ilvl="0">
      <w:start w:val="352"/>
      <w:numFmt w:val="bullet"/>
      <w:lvlText w:val="-"/>
      <w:lvlJc w:val="left"/>
      <w:pPr>
        <w:tabs>
          <w:tab w:val="num" w:pos="360"/>
        </w:tabs>
        <w:ind w:left="360" w:hanging="360"/>
      </w:pPr>
      <w:rPr>
        <w:rFonts w:hint="default"/>
      </w:rPr>
    </w:lvl>
  </w:abstractNum>
  <w:abstractNum w:abstractNumId="84">
    <w:nsid w:val="190D3967"/>
    <w:multiLevelType w:val="singleLevel"/>
    <w:tmpl w:val="0419000F"/>
    <w:lvl w:ilvl="0">
      <w:start w:val="1"/>
      <w:numFmt w:val="decimal"/>
      <w:lvlText w:val="%1."/>
      <w:lvlJc w:val="left"/>
      <w:pPr>
        <w:tabs>
          <w:tab w:val="num" w:pos="360"/>
        </w:tabs>
        <w:ind w:left="360" w:hanging="360"/>
      </w:pPr>
    </w:lvl>
  </w:abstractNum>
  <w:abstractNum w:abstractNumId="85">
    <w:nsid w:val="1931103E"/>
    <w:multiLevelType w:val="singleLevel"/>
    <w:tmpl w:val="0419000F"/>
    <w:lvl w:ilvl="0">
      <w:start w:val="1"/>
      <w:numFmt w:val="decimal"/>
      <w:lvlText w:val="%1."/>
      <w:lvlJc w:val="left"/>
      <w:pPr>
        <w:tabs>
          <w:tab w:val="num" w:pos="360"/>
        </w:tabs>
        <w:ind w:left="360" w:hanging="360"/>
      </w:pPr>
    </w:lvl>
  </w:abstractNum>
  <w:abstractNum w:abstractNumId="86">
    <w:nsid w:val="1948032B"/>
    <w:multiLevelType w:val="singleLevel"/>
    <w:tmpl w:val="A7D41F14"/>
    <w:lvl w:ilvl="0">
      <w:start w:val="393"/>
      <w:numFmt w:val="decimal"/>
      <w:lvlText w:val="%1."/>
      <w:lvlJc w:val="left"/>
      <w:pPr>
        <w:tabs>
          <w:tab w:val="num" w:pos="360"/>
        </w:tabs>
        <w:ind w:left="360" w:hanging="360"/>
      </w:pPr>
    </w:lvl>
  </w:abstractNum>
  <w:abstractNum w:abstractNumId="87">
    <w:nsid w:val="19657B11"/>
    <w:multiLevelType w:val="singleLevel"/>
    <w:tmpl w:val="99E6BC32"/>
    <w:lvl w:ilvl="0">
      <w:start w:val="355"/>
      <w:numFmt w:val="decimal"/>
      <w:lvlText w:val="%1."/>
      <w:lvlJc w:val="left"/>
      <w:pPr>
        <w:tabs>
          <w:tab w:val="num" w:pos="360"/>
        </w:tabs>
        <w:ind w:left="360" w:hanging="360"/>
      </w:pPr>
    </w:lvl>
  </w:abstractNum>
  <w:abstractNum w:abstractNumId="88">
    <w:nsid w:val="198D79E4"/>
    <w:multiLevelType w:val="singleLevel"/>
    <w:tmpl w:val="C164CA86"/>
    <w:lvl w:ilvl="0">
      <w:start w:val="384"/>
      <w:numFmt w:val="decimal"/>
      <w:lvlText w:val="%1."/>
      <w:lvlJc w:val="left"/>
      <w:pPr>
        <w:tabs>
          <w:tab w:val="num" w:pos="360"/>
        </w:tabs>
        <w:ind w:left="0" w:firstLine="0"/>
      </w:pPr>
    </w:lvl>
  </w:abstractNum>
  <w:abstractNum w:abstractNumId="89">
    <w:nsid w:val="199A637E"/>
    <w:multiLevelType w:val="singleLevel"/>
    <w:tmpl w:val="2B56CBF4"/>
    <w:lvl w:ilvl="0">
      <w:start w:val="4"/>
      <w:numFmt w:val="decimal"/>
      <w:lvlText w:val="(%1)"/>
      <w:lvlJc w:val="left"/>
      <w:pPr>
        <w:tabs>
          <w:tab w:val="num" w:pos="360"/>
        </w:tabs>
        <w:ind w:left="360" w:hanging="360"/>
      </w:pPr>
      <w:rPr>
        <w:rFonts w:hint="default"/>
      </w:rPr>
    </w:lvl>
  </w:abstractNum>
  <w:abstractNum w:abstractNumId="90">
    <w:nsid w:val="19BC6E76"/>
    <w:multiLevelType w:val="singleLevel"/>
    <w:tmpl w:val="286887F8"/>
    <w:lvl w:ilvl="0">
      <w:start w:val="289"/>
      <w:numFmt w:val="decimal"/>
      <w:lvlText w:val="%1."/>
      <w:lvlJc w:val="left"/>
      <w:pPr>
        <w:tabs>
          <w:tab w:val="num" w:pos="360"/>
        </w:tabs>
        <w:ind w:left="360" w:hanging="360"/>
      </w:pPr>
    </w:lvl>
  </w:abstractNum>
  <w:abstractNum w:abstractNumId="91">
    <w:nsid w:val="19EA4C1D"/>
    <w:multiLevelType w:val="singleLevel"/>
    <w:tmpl w:val="EB78E1B4"/>
    <w:lvl w:ilvl="0">
      <w:start w:val="271"/>
      <w:numFmt w:val="decimal"/>
      <w:lvlText w:val="%1."/>
      <w:lvlJc w:val="left"/>
      <w:pPr>
        <w:tabs>
          <w:tab w:val="num" w:pos="360"/>
        </w:tabs>
        <w:ind w:left="360" w:hanging="360"/>
      </w:pPr>
    </w:lvl>
  </w:abstractNum>
  <w:abstractNum w:abstractNumId="92">
    <w:nsid w:val="1AB125B3"/>
    <w:multiLevelType w:val="singleLevel"/>
    <w:tmpl w:val="D98C7C6A"/>
    <w:lvl w:ilvl="0">
      <w:numFmt w:val="bullet"/>
      <w:lvlText w:val="-"/>
      <w:lvlJc w:val="left"/>
      <w:pPr>
        <w:tabs>
          <w:tab w:val="num" w:pos="360"/>
        </w:tabs>
        <w:ind w:left="360" w:hanging="360"/>
      </w:pPr>
      <w:rPr>
        <w:rFonts w:hint="default"/>
      </w:rPr>
    </w:lvl>
  </w:abstractNum>
  <w:abstractNum w:abstractNumId="93">
    <w:nsid w:val="1ABE2D86"/>
    <w:multiLevelType w:val="singleLevel"/>
    <w:tmpl w:val="8B12959E"/>
    <w:lvl w:ilvl="0">
      <w:start w:val="101"/>
      <w:numFmt w:val="decimal"/>
      <w:lvlText w:val="%1."/>
      <w:lvlJc w:val="left"/>
      <w:pPr>
        <w:tabs>
          <w:tab w:val="num" w:pos="624"/>
        </w:tabs>
        <w:ind w:left="624" w:hanging="624"/>
      </w:pPr>
    </w:lvl>
  </w:abstractNum>
  <w:abstractNum w:abstractNumId="94">
    <w:nsid w:val="1AE87479"/>
    <w:multiLevelType w:val="singleLevel"/>
    <w:tmpl w:val="51349E1C"/>
    <w:lvl w:ilvl="0">
      <w:start w:val="92"/>
      <w:numFmt w:val="decimal"/>
      <w:lvlText w:val="%1."/>
      <w:lvlJc w:val="left"/>
      <w:pPr>
        <w:tabs>
          <w:tab w:val="num" w:pos="360"/>
        </w:tabs>
        <w:ind w:left="360" w:hanging="360"/>
      </w:pPr>
    </w:lvl>
  </w:abstractNum>
  <w:abstractNum w:abstractNumId="95">
    <w:nsid w:val="1B0006BE"/>
    <w:multiLevelType w:val="singleLevel"/>
    <w:tmpl w:val="6AE8CDD4"/>
    <w:lvl w:ilvl="0">
      <w:start w:val="260"/>
      <w:numFmt w:val="decimal"/>
      <w:lvlText w:val="%1."/>
      <w:lvlJc w:val="left"/>
      <w:pPr>
        <w:tabs>
          <w:tab w:val="num" w:pos="360"/>
        </w:tabs>
        <w:ind w:left="360" w:hanging="360"/>
      </w:pPr>
    </w:lvl>
  </w:abstractNum>
  <w:abstractNum w:abstractNumId="96">
    <w:nsid w:val="1B176AD4"/>
    <w:multiLevelType w:val="singleLevel"/>
    <w:tmpl w:val="44AE2E64"/>
    <w:lvl w:ilvl="0">
      <w:start w:val="181"/>
      <w:numFmt w:val="decimal"/>
      <w:lvlText w:val="%1."/>
      <w:lvlJc w:val="left"/>
      <w:pPr>
        <w:tabs>
          <w:tab w:val="num" w:pos="360"/>
        </w:tabs>
        <w:ind w:left="360" w:hanging="360"/>
      </w:pPr>
    </w:lvl>
  </w:abstractNum>
  <w:abstractNum w:abstractNumId="97">
    <w:nsid w:val="1B49745F"/>
    <w:multiLevelType w:val="singleLevel"/>
    <w:tmpl w:val="8C8AFE16"/>
    <w:lvl w:ilvl="0">
      <w:start w:val="463"/>
      <w:numFmt w:val="decimal"/>
      <w:lvlText w:val="%1."/>
      <w:lvlJc w:val="left"/>
      <w:pPr>
        <w:tabs>
          <w:tab w:val="num" w:pos="360"/>
        </w:tabs>
        <w:ind w:left="360" w:hanging="360"/>
      </w:pPr>
    </w:lvl>
  </w:abstractNum>
  <w:abstractNum w:abstractNumId="98">
    <w:nsid w:val="1B52604D"/>
    <w:multiLevelType w:val="singleLevel"/>
    <w:tmpl w:val="731090B0"/>
    <w:lvl w:ilvl="0">
      <w:start w:val="876"/>
      <w:numFmt w:val="decimal"/>
      <w:lvlText w:val="%1. "/>
      <w:legacy w:legacy="1" w:legacySpace="0" w:legacyIndent="283"/>
      <w:lvlJc w:val="left"/>
      <w:pPr>
        <w:ind w:left="283" w:hanging="283"/>
      </w:pPr>
      <w:rPr>
        <w:b w:val="0"/>
        <w:i w:val="0"/>
        <w:sz w:val="24"/>
      </w:rPr>
    </w:lvl>
  </w:abstractNum>
  <w:abstractNum w:abstractNumId="99">
    <w:nsid w:val="1C366A2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00">
    <w:nsid w:val="1D981614"/>
    <w:multiLevelType w:val="singleLevel"/>
    <w:tmpl w:val="8AD46BF0"/>
    <w:lvl w:ilvl="0">
      <w:start w:val="157"/>
      <w:numFmt w:val="decimal"/>
      <w:lvlText w:val="%1."/>
      <w:lvlJc w:val="left"/>
      <w:pPr>
        <w:tabs>
          <w:tab w:val="num" w:pos="624"/>
        </w:tabs>
        <w:ind w:left="624" w:hanging="624"/>
      </w:pPr>
    </w:lvl>
  </w:abstractNum>
  <w:abstractNum w:abstractNumId="101">
    <w:nsid w:val="1D9A499B"/>
    <w:multiLevelType w:val="singleLevel"/>
    <w:tmpl w:val="B3A8B37E"/>
    <w:lvl w:ilvl="0">
      <w:start w:val="100"/>
      <w:numFmt w:val="decimal"/>
      <w:lvlText w:val="%1."/>
      <w:lvlJc w:val="left"/>
      <w:pPr>
        <w:tabs>
          <w:tab w:val="num" w:pos="624"/>
        </w:tabs>
        <w:ind w:left="624" w:hanging="624"/>
      </w:pPr>
    </w:lvl>
  </w:abstractNum>
  <w:abstractNum w:abstractNumId="102">
    <w:nsid w:val="1DA61E60"/>
    <w:multiLevelType w:val="singleLevel"/>
    <w:tmpl w:val="70143DC6"/>
    <w:lvl w:ilvl="0">
      <w:start w:val="338"/>
      <w:numFmt w:val="decimal"/>
      <w:lvlText w:val="%1."/>
      <w:lvlJc w:val="left"/>
      <w:pPr>
        <w:tabs>
          <w:tab w:val="num" w:pos="360"/>
        </w:tabs>
        <w:ind w:left="360" w:hanging="360"/>
      </w:pPr>
    </w:lvl>
  </w:abstractNum>
  <w:abstractNum w:abstractNumId="103">
    <w:nsid w:val="1DAD3376"/>
    <w:multiLevelType w:val="singleLevel"/>
    <w:tmpl w:val="BDCCEA6E"/>
    <w:lvl w:ilvl="0">
      <w:start w:val="123"/>
      <w:numFmt w:val="decimal"/>
      <w:lvlText w:val="%1."/>
      <w:lvlJc w:val="left"/>
      <w:pPr>
        <w:tabs>
          <w:tab w:val="num" w:pos="360"/>
        </w:tabs>
        <w:ind w:left="360" w:hanging="360"/>
      </w:pPr>
    </w:lvl>
  </w:abstractNum>
  <w:abstractNum w:abstractNumId="104">
    <w:nsid w:val="1DB5545E"/>
    <w:multiLevelType w:val="singleLevel"/>
    <w:tmpl w:val="B5ACFCD2"/>
    <w:lvl w:ilvl="0">
      <w:start w:val="87"/>
      <w:numFmt w:val="decimal"/>
      <w:lvlText w:val="%1."/>
      <w:lvlJc w:val="left"/>
      <w:pPr>
        <w:tabs>
          <w:tab w:val="num" w:pos="360"/>
        </w:tabs>
        <w:ind w:left="360" w:hanging="360"/>
      </w:pPr>
    </w:lvl>
  </w:abstractNum>
  <w:abstractNum w:abstractNumId="105">
    <w:nsid w:val="1DE7569B"/>
    <w:multiLevelType w:val="singleLevel"/>
    <w:tmpl w:val="DA50B50C"/>
    <w:lvl w:ilvl="0">
      <w:start w:val="474"/>
      <w:numFmt w:val="decimal"/>
      <w:lvlText w:val="%1."/>
      <w:lvlJc w:val="left"/>
      <w:pPr>
        <w:tabs>
          <w:tab w:val="num" w:pos="360"/>
        </w:tabs>
        <w:ind w:left="360" w:hanging="360"/>
      </w:pPr>
    </w:lvl>
  </w:abstractNum>
  <w:abstractNum w:abstractNumId="106">
    <w:nsid w:val="1E403796"/>
    <w:multiLevelType w:val="singleLevel"/>
    <w:tmpl w:val="7C621A74"/>
    <w:lvl w:ilvl="0">
      <w:start w:val="100"/>
      <w:numFmt w:val="decimal"/>
      <w:lvlText w:val="%1."/>
      <w:lvlJc w:val="left"/>
      <w:pPr>
        <w:tabs>
          <w:tab w:val="num" w:pos="360"/>
        </w:tabs>
        <w:ind w:left="360" w:hanging="360"/>
      </w:pPr>
    </w:lvl>
  </w:abstractNum>
  <w:abstractNum w:abstractNumId="107">
    <w:nsid w:val="1EAE2F4C"/>
    <w:multiLevelType w:val="singleLevel"/>
    <w:tmpl w:val="6C8A8058"/>
    <w:lvl w:ilvl="0">
      <w:start w:val="292"/>
      <w:numFmt w:val="decimal"/>
      <w:lvlText w:val="%1."/>
      <w:lvlJc w:val="left"/>
      <w:pPr>
        <w:tabs>
          <w:tab w:val="num" w:pos="360"/>
        </w:tabs>
        <w:ind w:left="0" w:firstLine="0"/>
      </w:pPr>
    </w:lvl>
  </w:abstractNum>
  <w:abstractNum w:abstractNumId="108">
    <w:nsid w:val="1EAF50AC"/>
    <w:multiLevelType w:val="singleLevel"/>
    <w:tmpl w:val="BC9AD2DC"/>
    <w:lvl w:ilvl="0">
      <w:start w:val="425"/>
      <w:numFmt w:val="decimal"/>
      <w:lvlText w:val="%1."/>
      <w:lvlJc w:val="left"/>
      <w:pPr>
        <w:tabs>
          <w:tab w:val="num" w:pos="360"/>
        </w:tabs>
        <w:ind w:left="360" w:hanging="360"/>
      </w:pPr>
    </w:lvl>
  </w:abstractNum>
  <w:abstractNum w:abstractNumId="109">
    <w:nsid w:val="1EC22CEA"/>
    <w:multiLevelType w:val="singleLevel"/>
    <w:tmpl w:val="52EEECB4"/>
    <w:lvl w:ilvl="0">
      <w:start w:val="352"/>
      <w:numFmt w:val="bullet"/>
      <w:lvlText w:val="-"/>
      <w:lvlJc w:val="left"/>
      <w:pPr>
        <w:tabs>
          <w:tab w:val="num" w:pos="360"/>
        </w:tabs>
        <w:ind w:left="360" w:hanging="360"/>
      </w:pPr>
      <w:rPr>
        <w:rFonts w:hint="default"/>
      </w:rPr>
    </w:lvl>
  </w:abstractNum>
  <w:abstractNum w:abstractNumId="110">
    <w:nsid w:val="1EC40937"/>
    <w:multiLevelType w:val="singleLevel"/>
    <w:tmpl w:val="13085D8C"/>
    <w:lvl w:ilvl="0">
      <w:start w:val="144"/>
      <w:numFmt w:val="decimal"/>
      <w:lvlText w:val="%1."/>
      <w:lvlJc w:val="left"/>
      <w:pPr>
        <w:tabs>
          <w:tab w:val="num" w:pos="360"/>
        </w:tabs>
        <w:ind w:left="360" w:hanging="360"/>
      </w:pPr>
    </w:lvl>
  </w:abstractNum>
  <w:abstractNum w:abstractNumId="111">
    <w:nsid w:val="1EDB6ED1"/>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12">
    <w:nsid w:val="1F177E76"/>
    <w:multiLevelType w:val="singleLevel"/>
    <w:tmpl w:val="8D06AD0E"/>
    <w:lvl w:ilvl="0">
      <w:start w:val="99"/>
      <w:numFmt w:val="decimal"/>
      <w:lvlText w:val="%1."/>
      <w:lvlJc w:val="left"/>
      <w:pPr>
        <w:tabs>
          <w:tab w:val="num" w:pos="360"/>
        </w:tabs>
        <w:ind w:left="360" w:hanging="360"/>
      </w:pPr>
    </w:lvl>
  </w:abstractNum>
  <w:abstractNum w:abstractNumId="113">
    <w:nsid w:val="1F732C75"/>
    <w:multiLevelType w:val="singleLevel"/>
    <w:tmpl w:val="0419000F"/>
    <w:lvl w:ilvl="0">
      <w:start w:val="1"/>
      <w:numFmt w:val="decimal"/>
      <w:lvlText w:val="%1."/>
      <w:lvlJc w:val="left"/>
      <w:pPr>
        <w:tabs>
          <w:tab w:val="num" w:pos="360"/>
        </w:tabs>
        <w:ind w:left="360" w:hanging="360"/>
      </w:pPr>
    </w:lvl>
  </w:abstractNum>
  <w:abstractNum w:abstractNumId="114">
    <w:nsid w:val="205932F3"/>
    <w:multiLevelType w:val="singleLevel"/>
    <w:tmpl w:val="D98C7C6A"/>
    <w:lvl w:ilvl="0">
      <w:numFmt w:val="bullet"/>
      <w:lvlText w:val="-"/>
      <w:lvlJc w:val="left"/>
      <w:pPr>
        <w:tabs>
          <w:tab w:val="num" w:pos="360"/>
        </w:tabs>
        <w:ind w:left="360" w:hanging="360"/>
      </w:pPr>
      <w:rPr>
        <w:rFonts w:hint="default"/>
      </w:rPr>
    </w:lvl>
  </w:abstractNum>
  <w:abstractNum w:abstractNumId="115">
    <w:nsid w:val="20A20C97"/>
    <w:multiLevelType w:val="singleLevel"/>
    <w:tmpl w:val="344E0954"/>
    <w:lvl w:ilvl="0">
      <w:start w:val="176"/>
      <w:numFmt w:val="decimal"/>
      <w:lvlText w:val="%1."/>
      <w:lvlJc w:val="left"/>
      <w:pPr>
        <w:tabs>
          <w:tab w:val="num" w:pos="360"/>
        </w:tabs>
        <w:ind w:left="360" w:hanging="360"/>
      </w:pPr>
    </w:lvl>
  </w:abstractNum>
  <w:abstractNum w:abstractNumId="116">
    <w:nsid w:val="20C025DB"/>
    <w:multiLevelType w:val="singleLevel"/>
    <w:tmpl w:val="CBE49D04"/>
    <w:lvl w:ilvl="0">
      <w:start w:val="333"/>
      <w:numFmt w:val="decimal"/>
      <w:lvlText w:val="%1."/>
      <w:lvlJc w:val="left"/>
      <w:pPr>
        <w:tabs>
          <w:tab w:val="num" w:pos="360"/>
        </w:tabs>
        <w:ind w:left="360" w:hanging="360"/>
      </w:pPr>
    </w:lvl>
  </w:abstractNum>
  <w:abstractNum w:abstractNumId="117">
    <w:nsid w:val="211560E9"/>
    <w:multiLevelType w:val="singleLevel"/>
    <w:tmpl w:val="52EEECB4"/>
    <w:lvl w:ilvl="0">
      <w:start w:val="1040"/>
      <w:numFmt w:val="bullet"/>
      <w:lvlText w:val="-"/>
      <w:lvlJc w:val="left"/>
      <w:pPr>
        <w:tabs>
          <w:tab w:val="num" w:pos="360"/>
        </w:tabs>
        <w:ind w:left="360" w:hanging="360"/>
      </w:pPr>
      <w:rPr>
        <w:rFonts w:hint="default"/>
      </w:rPr>
    </w:lvl>
  </w:abstractNum>
  <w:abstractNum w:abstractNumId="118">
    <w:nsid w:val="213F2CAB"/>
    <w:multiLevelType w:val="singleLevel"/>
    <w:tmpl w:val="EB2E02D0"/>
    <w:lvl w:ilvl="0">
      <w:start w:val="141"/>
      <w:numFmt w:val="decimal"/>
      <w:lvlText w:val="%1."/>
      <w:lvlJc w:val="left"/>
      <w:pPr>
        <w:tabs>
          <w:tab w:val="num" w:pos="360"/>
        </w:tabs>
        <w:ind w:left="360" w:hanging="360"/>
      </w:pPr>
    </w:lvl>
  </w:abstractNum>
  <w:abstractNum w:abstractNumId="119">
    <w:nsid w:val="218063A6"/>
    <w:multiLevelType w:val="singleLevel"/>
    <w:tmpl w:val="62CA395A"/>
    <w:lvl w:ilvl="0">
      <w:start w:val="110"/>
      <w:numFmt w:val="decimal"/>
      <w:lvlText w:val="%1."/>
      <w:lvlJc w:val="left"/>
      <w:pPr>
        <w:tabs>
          <w:tab w:val="num" w:pos="360"/>
        </w:tabs>
        <w:ind w:left="360" w:hanging="360"/>
      </w:pPr>
    </w:lvl>
  </w:abstractNum>
  <w:abstractNum w:abstractNumId="120">
    <w:nsid w:val="21CC5464"/>
    <w:multiLevelType w:val="singleLevel"/>
    <w:tmpl w:val="ADAAEEB2"/>
    <w:lvl w:ilvl="0">
      <w:numFmt w:val="bullet"/>
      <w:lvlText w:val="–"/>
      <w:lvlJc w:val="left"/>
      <w:pPr>
        <w:tabs>
          <w:tab w:val="num" w:pos="360"/>
        </w:tabs>
        <w:ind w:left="360" w:hanging="360"/>
      </w:pPr>
      <w:rPr>
        <w:rFonts w:hint="default"/>
      </w:rPr>
    </w:lvl>
  </w:abstractNum>
  <w:abstractNum w:abstractNumId="121">
    <w:nsid w:val="22210335"/>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22">
    <w:nsid w:val="22914D40"/>
    <w:multiLevelType w:val="singleLevel"/>
    <w:tmpl w:val="CA940702"/>
    <w:lvl w:ilvl="0">
      <w:start w:val="71"/>
      <w:numFmt w:val="decimal"/>
      <w:lvlText w:val="%1."/>
      <w:lvlJc w:val="left"/>
      <w:pPr>
        <w:tabs>
          <w:tab w:val="num" w:pos="360"/>
        </w:tabs>
        <w:ind w:left="360" w:hanging="360"/>
      </w:pPr>
    </w:lvl>
  </w:abstractNum>
  <w:abstractNum w:abstractNumId="123">
    <w:nsid w:val="229C6A84"/>
    <w:multiLevelType w:val="singleLevel"/>
    <w:tmpl w:val="B944E7A8"/>
    <w:lvl w:ilvl="0">
      <w:start w:val="30"/>
      <w:numFmt w:val="decimal"/>
      <w:lvlText w:val="%1."/>
      <w:lvlJc w:val="left"/>
      <w:pPr>
        <w:tabs>
          <w:tab w:val="num" w:pos="360"/>
        </w:tabs>
        <w:ind w:left="360" w:hanging="360"/>
      </w:pPr>
    </w:lvl>
  </w:abstractNum>
  <w:abstractNum w:abstractNumId="124">
    <w:nsid w:val="233E3592"/>
    <w:multiLevelType w:val="singleLevel"/>
    <w:tmpl w:val="974853C6"/>
    <w:lvl w:ilvl="0">
      <w:start w:val="253"/>
      <w:numFmt w:val="decimal"/>
      <w:lvlText w:val="%1."/>
      <w:lvlJc w:val="left"/>
      <w:pPr>
        <w:tabs>
          <w:tab w:val="num" w:pos="360"/>
        </w:tabs>
        <w:ind w:left="360" w:hanging="360"/>
      </w:pPr>
    </w:lvl>
  </w:abstractNum>
  <w:abstractNum w:abstractNumId="125">
    <w:nsid w:val="236B0423"/>
    <w:multiLevelType w:val="singleLevel"/>
    <w:tmpl w:val="0A5003C6"/>
    <w:lvl w:ilvl="0">
      <w:start w:val="165"/>
      <w:numFmt w:val="decimal"/>
      <w:lvlText w:val="%1."/>
      <w:lvlJc w:val="left"/>
      <w:pPr>
        <w:tabs>
          <w:tab w:val="num" w:pos="360"/>
        </w:tabs>
        <w:ind w:left="360" w:hanging="360"/>
      </w:pPr>
    </w:lvl>
  </w:abstractNum>
  <w:abstractNum w:abstractNumId="126">
    <w:nsid w:val="236F1F20"/>
    <w:multiLevelType w:val="singleLevel"/>
    <w:tmpl w:val="0D12DE58"/>
    <w:lvl w:ilvl="0">
      <w:start w:val="379"/>
      <w:numFmt w:val="decimal"/>
      <w:lvlText w:val="%1."/>
      <w:lvlJc w:val="left"/>
      <w:pPr>
        <w:tabs>
          <w:tab w:val="num" w:pos="360"/>
        </w:tabs>
        <w:ind w:left="360" w:hanging="360"/>
      </w:pPr>
    </w:lvl>
  </w:abstractNum>
  <w:abstractNum w:abstractNumId="127">
    <w:nsid w:val="24464CC8"/>
    <w:multiLevelType w:val="singleLevel"/>
    <w:tmpl w:val="0644B848"/>
    <w:lvl w:ilvl="0">
      <w:start w:val="228"/>
      <w:numFmt w:val="decimal"/>
      <w:lvlText w:val="%1."/>
      <w:lvlJc w:val="left"/>
      <w:pPr>
        <w:tabs>
          <w:tab w:val="num" w:pos="360"/>
        </w:tabs>
        <w:ind w:left="360" w:hanging="360"/>
      </w:pPr>
    </w:lvl>
  </w:abstractNum>
  <w:abstractNum w:abstractNumId="128">
    <w:nsid w:val="244936D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29">
    <w:nsid w:val="247E2075"/>
    <w:multiLevelType w:val="hybridMultilevel"/>
    <w:tmpl w:val="D53ABEDE"/>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0">
    <w:nsid w:val="248F4CD0"/>
    <w:multiLevelType w:val="singleLevel"/>
    <w:tmpl w:val="44AE2E64"/>
    <w:lvl w:ilvl="0">
      <w:start w:val="181"/>
      <w:numFmt w:val="decimal"/>
      <w:lvlText w:val="%1."/>
      <w:lvlJc w:val="left"/>
      <w:pPr>
        <w:tabs>
          <w:tab w:val="num" w:pos="360"/>
        </w:tabs>
        <w:ind w:left="360" w:hanging="360"/>
      </w:pPr>
    </w:lvl>
  </w:abstractNum>
  <w:abstractNum w:abstractNumId="131">
    <w:nsid w:val="24BB4707"/>
    <w:multiLevelType w:val="singleLevel"/>
    <w:tmpl w:val="70143DC6"/>
    <w:lvl w:ilvl="0">
      <w:start w:val="338"/>
      <w:numFmt w:val="decimal"/>
      <w:lvlText w:val="%1."/>
      <w:lvlJc w:val="left"/>
      <w:pPr>
        <w:tabs>
          <w:tab w:val="num" w:pos="360"/>
        </w:tabs>
        <w:ind w:left="360" w:hanging="360"/>
      </w:pPr>
    </w:lvl>
  </w:abstractNum>
  <w:abstractNum w:abstractNumId="132">
    <w:nsid w:val="24C37908"/>
    <w:multiLevelType w:val="singleLevel"/>
    <w:tmpl w:val="FBD0EE7A"/>
    <w:lvl w:ilvl="0">
      <w:start w:val="205"/>
      <w:numFmt w:val="decimal"/>
      <w:lvlText w:val="%1."/>
      <w:lvlJc w:val="left"/>
      <w:pPr>
        <w:tabs>
          <w:tab w:val="num" w:pos="360"/>
        </w:tabs>
        <w:ind w:left="360" w:hanging="360"/>
      </w:pPr>
    </w:lvl>
  </w:abstractNum>
  <w:abstractNum w:abstractNumId="133">
    <w:nsid w:val="25336028"/>
    <w:multiLevelType w:val="singleLevel"/>
    <w:tmpl w:val="3266C95E"/>
    <w:lvl w:ilvl="0">
      <w:start w:val="323"/>
      <w:numFmt w:val="decimal"/>
      <w:lvlText w:val="%1."/>
      <w:lvlJc w:val="left"/>
      <w:pPr>
        <w:tabs>
          <w:tab w:val="num" w:pos="360"/>
        </w:tabs>
        <w:ind w:left="360" w:hanging="360"/>
      </w:pPr>
    </w:lvl>
  </w:abstractNum>
  <w:abstractNum w:abstractNumId="134">
    <w:nsid w:val="25393691"/>
    <w:multiLevelType w:val="singleLevel"/>
    <w:tmpl w:val="52EEECB4"/>
    <w:lvl w:ilvl="0">
      <w:start w:val="352"/>
      <w:numFmt w:val="bullet"/>
      <w:lvlText w:val="-"/>
      <w:lvlJc w:val="left"/>
      <w:pPr>
        <w:tabs>
          <w:tab w:val="num" w:pos="360"/>
        </w:tabs>
        <w:ind w:left="360" w:hanging="360"/>
      </w:pPr>
      <w:rPr>
        <w:rFonts w:hint="default"/>
      </w:rPr>
    </w:lvl>
  </w:abstractNum>
  <w:abstractNum w:abstractNumId="135">
    <w:nsid w:val="25846B8B"/>
    <w:multiLevelType w:val="singleLevel"/>
    <w:tmpl w:val="83F6E720"/>
    <w:lvl w:ilvl="0">
      <w:start w:val="276"/>
      <w:numFmt w:val="decimal"/>
      <w:lvlText w:val="%1."/>
      <w:lvlJc w:val="left"/>
      <w:pPr>
        <w:tabs>
          <w:tab w:val="num" w:pos="360"/>
        </w:tabs>
        <w:ind w:left="360" w:hanging="360"/>
      </w:pPr>
    </w:lvl>
  </w:abstractNum>
  <w:abstractNum w:abstractNumId="136">
    <w:nsid w:val="264D21EC"/>
    <w:multiLevelType w:val="singleLevel"/>
    <w:tmpl w:val="4C640D34"/>
    <w:lvl w:ilvl="0">
      <w:start w:val="224"/>
      <w:numFmt w:val="decimal"/>
      <w:lvlText w:val="%1."/>
      <w:lvlJc w:val="left"/>
      <w:pPr>
        <w:tabs>
          <w:tab w:val="num" w:pos="360"/>
        </w:tabs>
        <w:ind w:left="360" w:hanging="360"/>
      </w:pPr>
    </w:lvl>
  </w:abstractNum>
  <w:abstractNum w:abstractNumId="137">
    <w:nsid w:val="26CA416A"/>
    <w:multiLevelType w:val="singleLevel"/>
    <w:tmpl w:val="1FB0F7A6"/>
    <w:lvl w:ilvl="0">
      <w:start w:val="142"/>
      <w:numFmt w:val="decimal"/>
      <w:lvlText w:val="%1."/>
      <w:lvlJc w:val="left"/>
      <w:pPr>
        <w:tabs>
          <w:tab w:val="num" w:pos="360"/>
        </w:tabs>
        <w:ind w:left="360" w:hanging="360"/>
      </w:pPr>
    </w:lvl>
  </w:abstractNum>
  <w:abstractNum w:abstractNumId="138">
    <w:nsid w:val="26F964E9"/>
    <w:multiLevelType w:val="singleLevel"/>
    <w:tmpl w:val="8242B7C4"/>
    <w:lvl w:ilvl="0">
      <w:start w:val="1"/>
      <w:numFmt w:val="decimal"/>
      <w:lvlText w:val="(%1)"/>
      <w:lvlJc w:val="left"/>
      <w:pPr>
        <w:tabs>
          <w:tab w:val="num" w:pos="360"/>
        </w:tabs>
        <w:ind w:left="360" w:hanging="360"/>
      </w:pPr>
      <w:rPr>
        <w:rFonts w:hint="default"/>
      </w:rPr>
    </w:lvl>
  </w:abstractNum>
  <w:abstractNum w:abstractNumId="139">
    <w:nsid w:val="27080807"/>
    <w:multiLevelType w:val="singleLevel"/>
    <w:tmpl w:val="198C5FA4"/>
    <w:lvl w:ilvl="0">
      <w:start w:val="411"/>
      <w:numFmt w:val="decimal"/>
      <w:lvlText w:val="%1."/>
      <w:lvlJc w:val="left"/>
      <w:pPr>
        <w:tabs>
          <w:tab w:val="num" w:pos="360"/>
        </w:tabs>
        <w:ind w:left="360" w:hanging="360"/>
      </w:pPr>
    </w:lvl>
  </w:abstractNum>
  <w:abstractNum w:abstractNumId="140">
    <w:nsid w:val="27EB0DB8"/>
    <w:multiLevelType w:val="singleLevel"/>
    <w:tmpl w:val="18D04F30"/>
    <w:lvl w:ilvl="0">
      <w:start w:val="100"/>
      <w:numFmt w:val="decimal"/>
      <w:lvlText w:val="%1."/>
      <w:lvlJc w:val="left"/>
      <w:pPr>
        <w:tabs>
          <w:tab w:val="num" w:pos="624"/>
        </w:tabs>
        <w:ind w:left="624" w:hanging="624"/>
      </w:pPr>
    </w:lvl>
  </w:abstractNum>
  <w:abstractNum w:abstractNumId="141">
    <w:nsid w:val="27F05DB1"/>
    <w:multiLevelType w:val="singleLevel"/>
    <w:tmpl w:val="D98C7C6A"/>
    <w:lvl w:ilvl="0">
      <w:numFmt w:val="bullet"/>
      <w:lvlText w:val="-"/>
      <w:lvlJc w:val="left"/>
      <w:pPr>
        <w:tabs>
          <w:tab w:val="num" w:pos="360"/>
        </w:tabs>
        <w:ind w:left="360" w:hanging="360"/>
      </w:pPr>
      <w:rPr>
        <w:rFonts w:hint="default"/>
      </w:rPr>
    </w:lvl>
  </w:abstractNum>
  <w:abstractNum w:abstractNumId="142">
    <w:nsid w:val="285E5EE7"/>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3">
    <w:nsid w:val="28755143"/>
    <w:multiLevelType w:val="singleLevel"/>
    <w:tmpl w:val="13564EEE"/>
    <w:lvl w:ilvl="0">
      <w:start w:val="257"/>
      <w:numFmt w:val="decimal"/>
      <w:lvlText w:val="%1."/>
      <w:lvlJc w:val="left"/>
      <w:pPr>
        <w:tabs>
          <w:tab w:val="num" w:pos="360"/>
        </w:tabs>
        <w:ind w:left="360" w:hanging="360"/>
      </w:pPr>
    </w:lvl>
  </w:abstractNum>
  <w:abstractNum w:abstractNumId="144">
    <w:nsid w:val="28B72A61"/>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45">
    <w:nsid w:val="28EE77FA"/>
    <w:multiLevelType w:val="singleLevel"/>
    <w:tmpl w:val="11624234"/>
    <w:lvl w:ilvl="0">
      <w:start w:val="99"/>
      <w:numFmt w:val="decimal"/>
      <w:lvlText w:val="%1."/>
      <w:lvlJc w:val="left"/>
      <w:pPr>
        <w:tabs>
          <w:tab w:val="num" w:pos="360"/>
        </w:tabs>
        <w:ind w:left="360" w:hanging="360"/>
      </w:pPr>
    </w:lvl>
  </w:abstractNum>
  <w:abstractNum w:abstractNumId="146">
    <w:nsid w:val="29944978"/>
    <w:multiLevelType w:val="singleLevel"/>
    <w:tmpl w:val="C5500D30"/>
    <w:lvl w:ilvl="0">
      <w:start w:val="83"/>
      <w:numFmt w:val="decimal"/>
      <w:lvlText w:val="%1."/>
      <w:lvlJc w:val="left"/>
      <w:pPr>
        <w:tabs>
          <w:tab w:val="num" w:pos="360"/>
        </w:tabs>
        <w:ind w:left="360" w:hanging="360"/>
      </w:pPr>
    </w:lvl>
  </w:abstractNum>
  <w:abstractNum w:abstractNumId="147">
    <w:nsid w:val="29AB5253"/>
    <w:multiLevelType w:val="singleLevel"/>
    <w:tmpl w:val="45EE22BC"/>
    <w:lvl w:ilvl="0">
      <w:start w:val="465"/>
      <w:numFmt w:val="decimal"/>
      <w:lvlText w:val="%1."/>
      <w:lvlJc w:val="left"/>
      <w:pPr>
        <w:tabs>
          <w:tab w:val="num" w:pos="360"/>
        </w:tabs>
        <w:ind w:left="360" w:hanging="360"/>
      </w:pPr>
    </w:lvl>
  </w:abstractNum>
  <w:abstractNum w:abstractNumId="148">
    <w:nsid w:val="29C9419D"/>
    <w:multiLevelType w:val="singleLevel"/>
    <w:tmpl w:val="CFEACC2C"/>
    <w:lvl w:ilvl="0">
      <w:start w:val="65"/>
      <w:numFmt w:val="decimal"/>
      <w:lvlText w:val="%1."/>
      <w:lvlJc w:val="left"/>
      <w:pPr>
        <w:tabs>
          <w:tab w:val="num" w:pos="360"/>
        </w:tabs>
        <w:ind w:left="340" w:hanging="340"/>
      </w:pPr>
    </w:lvl>
  </w:abstractNum>
  <w:abstractNum w:abstractNumId="149">
    <w:nsid w:val="2A094A65"/>
    <w:multiLevelType w:val="singleLevel"/>
    <w:tmpl w:val="51349E1C"/>
    <w:lvl w:ilvl="0">
      <w:start w:val="92"/>
      <w:numFmt w:val="decimal"/>
      <w:lvlText w:val="%1."/>
      <w:lvlJc w:val="left"/>
      <w:pPr>
        <w:tabs>
          <w:tab w:val="num" w:pos="360"/>
        </w:tabs>
        <w:ind w:left="360" w:hanging="360"/>
      </w:pPr>
    </w:lvl>
  </w:abstractNum>
  <w:abstractNum w:abstractNumId="150">
    <w:nsid w:val="2A0B222B"/>
    <w:multiLevelType w:val="singleLevel"/>
    <w:tmpl w:val="BE88F3D2"/>
    <w:lvl w:ilvl="0">
      <w:start w:val="348"/>
      <w:numFmt w:val="decimal"/>
      <w:lvlText w:val="%1."/>
      <w:lvlJc w:val="left"/>
      <w:pPr>
        <w:tabs>
          <w:tab w:val="num" w:pos="360"/>
        </w:tabs>
        <w:ind w:left="360" w:hanging="360"/>
      </w:pPr>
    </w:lvl>
  </w:abstractNum>
  <w:abstractNum w:abstractNumId="151">
    <w:nsid w:val="2AE84751"/>
    <w:multiLevelType w:val="singleLevel"/>
    <w:tmpl w:val="755E186A"/>
    <w:lvl w:ilvl="0">
      <w:start w:val="110"/>
      <w:numFmt w:val="decimal"/>
      <w:lvlText w:val="%1."/>
      <w:lvlJc w:val="left"/>
      <w:pPr>
        <w:tabs>
          <w:tab w:val="num" w:pos="360"/>
        </w:tabs>
        <w:ind w:left="360" w:hanging="360"/>
      </w:pPr>
    </w:lvl>
  </w:abstractNum>
  <w:abstractNum w:abstractNumId="152">
    <w:nsid w:val="2AF231CE"/>
    <w:multiLevelType w:val="singleLevel"/>
    <w:tmpl w:val="163E87CC"/>
    <w:lvl w:ilvl="0">
      <w:start w:val="344"/>
      <w:numFmt w:val="decimal"/>
      <w:lvlText w:val="%1."/>
      <w:lvlJc w:val="left"/>
      <w:pPr>
        <w:tabs>
          <w:tab w:val="num" w:pos="360"/>
        </w:tabs>
        <w:ind w:left="360" w:hanging="360"/>
      </w:pPr>
    </w:lvl>
  </w:abstractNum>
  <w:abstractNum w:abstractNumId="153">
    <w:nsid w:val="2B0D48E4"/>
    <w:multiLevelType w:val="singleLevel"/>
    <w:tmpl w:val="1D06BCB4"/>
    <w:lvl w:ilvl="0">
      <w:start w:val="308"/>
      <w:numFmt w:val="decimal"/>
      <w:lvlText w:val="%1."/>
      <w:lvlJc w:val="left"/>
      <w:pPr>
        <w:tabs>
          <w:tab w:val="num" w:pos="360"/>
        </w:tabs>
        <w:ind w:left="360" w:hanging="360"/>
      </w:pPr>
    </w:lvl>
  </w:abstractNum>
  <w:abstractNum w:abstractNumId="154">
    <w:nsid w:val="2B44147B"/>
    <w:multiLevelType w:val="singleLevel"/>
    <w:tmpl w:val="B0765612"/>
    <w:lvl w:ilvl="0">
      <w:start w:val="188"/>
      <w:numFmt w:val="decimal"/>
      <w:lvlText w:val="%1."/>
      <w:lvlJc w:val="left"/>
      <w:pPr>
        <w:tabs>
          <w:tab w:val="num" w:pos="360"/>
        </w:tabs>
        <w:ind w:left="360" w:hanging="360"/>
      </w:pPr>
    </w:lvl>
  </w:abstractNum>
  <w:abstractNum w:abstractNumId="155">
    <w:nsid w:val="2B784707"/>
    <w:multiLevelType w:val="singleLevel"/>
    <w:tmpl w:val="D98C7C6A"/>
    <w:lvl w:ilvl="0">
      <w:numFmt w:val="bullet"/>
      <w:lvlText w:val="-"/>
      <w:lvlJc w:val="left"/>
      <w:pPr>
        <w:tabs>
          <w:tab w:val="num" w:pos="360"/>
        </w:tabs>
        <w:ind w:left="360" w:hanging="360"/>
      </w:pPr>
      <w:rPr>
        <w:rFonts w:hint="default"/>
      </w:rPr>
    </w:lvl>
  </w:abstractNum>
  <w:abstractNum w:abstractNumId="156">
    <w:nsid w:val="2B9352A7"/>
    <w:multiLevelType w:val="singleLevel"/>
    <w:tmpl w:val="D98C7C6A"/>
    <w:lvl w:ilvl="0">
      <w:numFmt w:val="bullet"/>
      <w:lvlText w:val="-"/>
      <w:lvlJc w:val="left"/>
      <w:pPr>
        <w:tabs>
          <w:tab w:val="num" w:pos="360"/>
        </w:tabs>
        <w:ind w:left="360" w:hanging="360"/>
      </w:pPr>
      <w:rPr>
        <w:rFonts w:hint="default"/>
      </w:rPr>
    </w:lvl>
  </w:abstractNum>
  <w:abstractNum w:abstractNumId="157">
    <w:nsid w:val="2BA228B3"/>
    <w:multiLevelType w:val="singleLevel"/>
    <w:tmpl w:val="80D87F62"/>
    <w:lvl w:ilvl="0">
      <w:start w:val="334"/>
      <w:numFmt w:val="decimal"/>
      <w:lvlText w:val="%1."/>
      <w:lvlJc w:val="left"/>
      <w:pPr>
        <w:tabs>
          <w:tab w:val="num" w:pos="360"/>
        </w:tabs>
        <w:ind w:left="360" w:hanging="360"/>
      </w:pPr>
    </w:lvl>
  </w:abstractNum>
  <w:abstractNum w:abstractNumId="158">
    <w:nsid w:val="2BBE5120"/>
    <w:multiLevelType w:val="singleLevel"/>
    <w:tmpl w:val="42A06A96"/>
    <w:lvl w:ilvl="0">
      <w:start w:val="16"/>
      <w:numFmt w:val="decimal"/>
      <w:lvlText w:val="%1."/>
      <w:lvlJc w:val="left"/>
      <w:pPr>
        <w:tabs>
          <w:tab w:val="num" w:pos="360"/>
        </w:tabs>
        <w:ind w:left="360" w:hanging="360"/>
      </w:pPr>
    </w:lvl>
  </w:abstractNum>
  <w:abstractNum w:abstractNumId="159">
    <w:nsid w:val="2C527E6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60">
    <w:nsid w:val="2C5F008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61">
    <w:nsid w:val="2C666DD1"/>
    <w:multiLevelType w:val="singleLevel"/>
    <w:tmpl w:val="BE2056E8"/>
    <w:lvl w:ilvl="0">
      <w:start w:val="37"/>
      <w:numFmt w:val="decimal"/>
      <w:lvlText w:val="%1."/>
      <w:lvlJc w:val="left"/>
      <w:pPr>
        <w:tabs>
          <w:tab w:val="num" w:pos="360"/>
        </w:tabs>
        <w:ind w:left="360" w:hanging="360"/>
      </w:pPr>
    </w:lvl>
  </w:abstractNum>
  <w:abstractNum w:abstractNumId="162">
    <w:nsid w:val="2CB67B4D"/>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163">
    <w:nsid w:val="2CB71D66"/>
    <w:multiLevelType w:val="singleLevel"/>
    <w:tmpl w:val="F8AA4340"/>
    <w:lvl w:ilvl="0">
      <w:start w:val="292"/>
      <w:numFmt w:val="decimal"/>
      <w:lvlText w:val="%1."/>
      <w:lvlJc w:val="left"/>
      <w:pPr>
        <w:tabs>
          <w:tab w:val="num" w:pos="732"/>
        </w:tabs>
        <w:ind w:left="732" w:hanging="732"/>
      </w:pPr>
      <w:rPr>
        <w:rFonts w:hint="default"/>
      </w:rPr>
    </w:lvl>
  </w:abstractNum>
  <w:abstractNum w:abstractNumId="164">
    <w:nsid w:val="2CBA0796"/>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65">
    <w:nsid w:val="2CC07282"/>
    <w:multiLevelType w:val="singleLevel"/>
    <w:tmpl w:val="52EEECB4"/>
    <w:lvl w:ilvl="0">
      <w:start w:val="352"/>
      <w:numFmt w:val="bullet"/>
      <w:lvlText w:val="-"/>
      <w:lvlJc w:val="left"/>
      <w:pPr>
        <w:tabs>
          <w:tab w:val="num" w:pos="360"/>
        </w:tabs>
        <w:ind w:left="360" w:hanging="360"/>
      </w:pPr>
      <w:rPr>
        <w:rFonts w:hint="default"/>
      </w:rPr>
    </w:lvl>
  </w:abstractNum>
  <w:abstractNum w:abstractNumId="166">
    <w:nsid w:val="2CDF263D"/>
    <w:multiLevelType w:val="singleLevel"/>
    <w:tmpl w:val="F2404A1A"/>
    <w:lvl w:ilvl="0">
      <w:start w:val="394"/>
      <w:numFmt w:val="decimal"/>
      <w:lvlText w:val="%1."/>
      <w:lvlJc w:val="left"/>
      <w:pPr>
        <w:tabs>
          <w:tab w:val="num" w:pos="360"/>
        </w:tabs>
        <w:ind w:left="0" w:firstLine="0"/>
      </w:pPr>
    </w:lvl>
  </w:abstractNum>
  <w:abstractNum w:abstractNumId="167">
    <w:nsid w:val="2CE038F9"/>
    <w:multiLevelType w:val="singleLevel"/>
    <w:tmpl w:val="80360294"/>
    <w:lvl w:ilvl="0">
      <w:start w:val="49"/>
      <w:numFmt w:val="decimal"/>
      <w:lvlText w:val="%1."/>
      <w:lvlJc w:val="left"/>
      <w:pPr>
        <w:tabs>
          <w:tab w:val="num" w:pos="360"/>
        </w:tabs>
        <w:ind w:left="360" w:hanging="360"/>
      </w:pPr>
    </w:lvl>
  </w:abstractNum>
  <w:abstractNum w:abstractNumId="168">
    <w:nsid w:val="2D6E06A3"/>
    <w:multiLevelType w:val="singleLevel"/>
    <w:tmpl w:val="0419000F"/>
    <w:lvl w:ilvl="0">
      <w:start w:val="1"/>
      <w:numFmt w:val="decimal"/>
      <w:lvlText w:val="%1."/>
      <w:lvlJc w:val="left"/>
      <w:pPr>
        <w:tabs>
          <w:tab w:val="num" w:pos="360"/>
        </w:tabs>
        <w:ind w:left="360" w:hanging="360"/>
      </w:pPr>
    </w:lvl>
  </w:abstractNum>
  <w:abstractNum w:abstractNumId="169">
    <w:nsid w:val="2DAC4E8A"/>
    <w:multiLevelType w:val="singleLevel"/>
    <w:tmpl w:val="8DFA31DE"/>
    <w:lvl w:ilvl="0">
      <w:start w:val="371"/>
      <w:numFmt w:val="decimal"/>
      <w:lvlText w:val="%1."/>
      <w:lvlJc w:val="left"/>
      <w:pPr>
        <w:tabs>
          <w:tab w:val="num" w:pos="360"/>
        </w:tabs>
        <w:ind w:left="360" w:hanging="360"/>
      </w:pPr>
    </w:lvl>
  </w:abstractNum>
  <w:abstractNum w:abstractNumId="170">
    <w:nsid w:val="2E0F2311"/>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71">
    <w:nsid w:val="2E39733B"/>
    <w:multiLevelType w:val="singleLevel"/>
    <w:tmpl w:val="0E9A76F6"/>
    <w:lvl w:ilvl="0">
      <w:start w:val="15"/>
      <w:numFmt w:val="decimal"/>
      <w:lvlText w:val="%1."/>
      <w:lvlJc w:val="left"/>
      <w:pPr>
        <w:tabs>
          <w:tab w:val="num" w:pos="360"/>
        </w:tabs>
        <w:ind w:left="360" w:hanging="360"/>
      </w:pPr>
    </w:lvl>
  </w:abstractNum>
  <w:abstractNum w:abstractNumId="172">
    <w:nsid w:val="2ECC02B3"/>
    <w:multiLevelType w:val="singleLevel"/>
    <w:tmpl w:val="8242B7C4"/>
    <w:lvl w:ilvl="0">
      <w:start w:val="1"/>
      <w:numFmt w:val="decimal"/>
      <w:lvlText w:val="(%1)"/>
      <w:lvlJc w:val="left"/>
      <w:pPr>
        <w:tabs>
          <w:tab w:val="num" w:pos="360"/>
        </w:tabs>
        <w:ind w:left="360" w:hanging="360"/>
      </w:pPr>
      <w:rPr>
        <w:rFonts w:hint="default"/>
      </w:rPr>
    </w:lvl>
  </w:abstractNum>
  <w:abstractNum w:abstractNumId="173">
    <w:nsid w:val="2F2140EF"/>
    <w:multiLevelType w:val="singleLevel"/>
    <w:tmpl w:val="5950EED0"/>
    <w:lvl w:ilvl="0">
      <w:start w:val="314"/>
      <w:numFmt w:val="decimal"/>
      <w:lvlText w:val="%1."/>
      <w:lvlJc w:val="left"/>
      <w:pPr>
        <w:tabs>
          <w:tab w:val="num" w:pos="360"/>
        </w:tabs>
        <w:ind w:left="360" w:hanging="360"/>
      </w:pPr>
    </w:lvl>
  </w:abstractNum>
  <w:abstractNum w:abstractNumId="174">
    <w:nsid w:val="2F76038E"/>
    <w:multiLevelType w:val="singleLevel"/>
    <w:tmpl w:val="0D38706E"/>
    <w:lvl w:ilvl="0">
      <w:start w:val="34"/>
      <w:numFmt w:val="decimal"/>
      <w:lvlText w:val="%1."/>
      <w:lvlJc w:val="left"/>
      <w:pPr>
        <w:tabs>
          <w:tab w:val="num" w:pos="360"/>
        </w:tabs>
        <w:ind w:left="360" w:hanging="360"/>
      </w:pPr>
    </w:lvl>
  </w:abstractNum>
  <w:abstractNum w:abstractNumId="175">
    <w:nsid w:val="30C9532F"/>
    <w:multiLevelType w:val="singleLevel"/>
    <w:tmpl w:val="67D01C16"/>
    <w:lvl w:ilvl="0">
      <w:start w:val="293"/>
      <w:numFmt w:val="decimal"/>
      <w:lvlText w:val="%1."/>
      <w:lvlJc w:val="left"/>
      <w:pPr>
        <w:tabs>
          <w:tab w:val="num" w:pos="360"/>
        </w:tabs>
        <w:ind w:left="360" w:hanging="360"/>
      </w:pPr>
    </w:lvl>
  </w:abstractNum>
  <w:abstractNum w:abstractNumId="176">
    <w:nsid w:val="31820C0B"/>
    <w:multiLevelType w:val="singleLevel"/>
    <w:tmpl w:val="798A0ED2"/>
    <w:lvl w:ilvl="0">
      <w:start w:val="281"/>
      <w:numFmt w:val="decimal"/>
      <w:lvlText w:val="%1."/>
      <w:lvlJc w:val="left"/>
      <w:pPr>
        <w:tabs>
          <w:tab w:val="num" w:pos="360"/>
        </w:tabs>
        <w:ind w:left="360" w:hanging="360"/>
      </w:pPr>
    </w:lvl>
  </w:abstractNum>
  <w:abstractNum w:abstractNumId="177">
    <w:nsid w:val="32080F9D"/>
    <w:multiLevelType w:val="singleLevel"/>
    <w:tmpl w:val="3CF27CAC"/>
    <w:lvl w:ilvl="0">
      <w:start w:val="353"/>
      <w:numFmt w:val="decimal"/>
      <w:lvlText w:val="%1."/>
      <w:lvlJc w:val="left"/>
      <w:pPr>
        <w:tabs>
          <w:tab w:val="num" w:pos="360"/>
        </w:tabs>
        <w:ind w:left="360" w:hanging="360"/>
      </w:pPr>
    </w:lvl>
  </w:abstractNum>
  <w:abstractNum w:abstractNumId="178">
    <w:nsid w:val="326346D5"/>
    <w:multiLevelType w:val="singleLevel"/>
    <w:tmpl w:val="52EEECB4"/>
    <w:lvl w:ilvl="0">
      <w:start w:val="352"/>
      <w:numFmt w:val="bullet"/>
      <w:lvlText w:val="-"/>
      <w:lvlJc w:val="left"/>
      <w:pPr>
        <w:tabs>
          <w:tab w:val="num" w:pos="360"/>
        </w:tabs>
        <w:ind w:left="360" w:hanging="360"/>
      </w:pPr>
      <w:rPr>
        <w:rFonts w:hint="default"/>
      </w:rPr>
    </w:lvl>
  </w:abstractNum>
  <w:abstractNum w:abstractNumId="179">
    <w:nsid w:val="32995E0E"/>
    <w:multiLevelType w:val="singleLevel"/>
    <w:tmpl w:val="B6E647CC"/>
    <w:lvl w:ilvl="0">
      <w:start w:val="233"/>
      <w:numFmt w:val="decimal"/>
      <w:lvlText w:val="%1."/>
      <w:lvlJc w:val="left"/>
      <w:pPr>
        <w:tabs>
          <w:tab w:val="num" w:pos="360"/>
        </w:tabs>
        <w:ind w:left="360" w:hanging="360"/>
      </w:pPr>
    </w:lvl>
  </w:abstractNum>
  <w:abstractNum w:abstractNumId="180">
    <w:nsid w:val="32AE0778"/>
    <w:multiLevelType w:val="singleLevel"/>
    <w:tmpl w:val="DDCA232C"/>
    <w:lvl w:ilvl="0">
      <w:start w:val="129"/>
      <w:numFmt w:val="decimal"/>
      <w:lvlText w:val="%1."/>
      <w:lvlJc w:val="left"/>
      <w:pPr>
        <w:tabs>
          <w:tab w:val="num" w:pos="360"/>
        </w:tabs>
        <w:ind w:left="360" w:hanging="360"/>
      </w:pPr>
    </w:lvl>
  </w:abstractNum>
  <w:abstractNum w:abstractNumId="181">
    <w:nsid w:val="32EC37F1"/>
    <w:multiLevelType w:val="singleLevel"/>
    <w:tmpl w:val="F5CC58DC"/>
    <w:lvl w:ilvl="0">
      <w:start w:val="238"/>
      <w:numFmt w:val="decimal"/>
      <w:lvlText w:val="%1."/>
      <w:lvlJc w:val="left"/>
      <w:pPr>
        <w:tabs>
          <w:tab w:val="num" w:pos="360"/>
        </w:tabs>
        <w:ind w:left="360" w:hanging="360"/>
      </w:pPr>
    </w:lvl>
  </w:abstractNum>
  <w:abstractNum w:abstractNumId="182">
    <w:nsid w:val="33102689"/>
    <w:multiLevelType w:val="singleLevel"/>
    <w:tmpl w:val="325E9D5C"/>
    <w:lvl w:ilvl="0">
      <w:start w:val="431"/>
      <w:numFmt w:val="decimal"/>
      <w:lvlText w:val="%1."/>
      <w:lvlJc w:val="left"/>
      <w:pPr>
        <w:tabs>
          <w:tab w:val="num" w:pos="360"/>
        </w:tabs>
        <w:ind w:left="360" w:hanging="360"/>
      </w:pPr>
    </w:lvl>
  </w:abstractNum>
  <w:abstractNum w:abstractNumId="183">
    <w:nsid w:val="33C3042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84">
    <w:nsid w:val="342D516E"/>
    <w:multiLevelType w:val="singleLevel"/>
    <w:tmpl w:val="89842F8C"/>
    <w:lvl w:ilvl="0">
      <w:start w:val="445"/>
      <w:numFmt w:val="decimal"/>
      <w:lvlText w:val="%1."/>
      <w:lvlJc w:val="left"/>
      <w:pPr>
        <w:tabs>
          <w:tab w:val="num" w:pos="360"/>
        </w:tabs>
        <w:ind w:left="360" w:hanging="360"/>
      </w:pPr>
    </w:lvl>
  </w:abstractNum>
  <w:abstractNum w:abstractNumId="185">
    <w:nsid w:val="34782523"/>
    <w:multiLevelType w:val="singleLevel"/>
    <w:tmpl w:val="05362BFC"/>
    <w:lvl w:ilvl="0">
      <w:start w:val="210"/>
      <w:numFmt w:val="decimal"/>
      <w:lvlText w:val="%1."/>
      <w:lvlJc w:val="left"/>
      <w:pPr>
        <w:tabs>
          <w:tab w:val="num" w:pos="360"/>
        </w:tabs>
        <w:ind w:left="360" w:hanging="360"/>
      </w:pPr>
    </w:lvl>
  </w:abstractNum>
  <w:abstractNum w:abstractNumId="186">
    <w:nsid w:val="35DE494C"/>
    <w:multiLevelType w:val="singleLevel"/>
    <w:tmpl w:val="D98C7C6A"/>
    <w:lvl w:ilvl="0">
      <w:numFmt w:val="bullet"/>
      <w:lvlText w:val="-"/>
      <w:lvlJc w:val="left"/>
      <w:pPr>
        <w:tabs>
          <w:tab w:val="num" w:pos="360"/>
        </w:tabs>
        <w:ind w:left="360" w:hanging="360"/>
      </w:pPr>
      <w:rPr>
        <w:rFonts w:hint="default"/>
      </w:rPr>
    </w:lvl>
  </w:abstractNum>
  <w:abstractNum w:abstractNumId="187">
    <w:nsid w:val="36800BE2"/>
    <w:multiLevelType w:val="singleLevel"/>
    <w:tmpl w:val="009A67DE"/>
    <w:lvl w:ilvl="0">
      <w:start w:val="156"/>
      <w:numFmt w:val="decimal"/>
      <w:lvlText w:val="%1."/>
      <w:lvlJc w:val="left"/>
      <w:pPr>
        <w:tabs>
          <w:tab w:val="num" w:pos="624"/>
        </w:tabs>
        <w:ind w:left="624" w:hanging="624"/>
      </w:pPr>
    </w:lvl>
  </w:abstractNum>
  <w:abstractNum w:abstractNumId="188">
    <w:nsid w:val="36830CB9"/>
    <w:multiLevelType w:val="singleLevel"/>
    <w:tmpl w:val="D98C7C6A"/>
    <w:lvl w:ilvl="0">
      <w:numFmt w:val="bullet"/>
      <w:lvlText w:val="-"/>
      <w:lvlJc w:val="left"/>
      <w:pPr>
        <w:tabs>
          <w:tab w:val="num" w:pos="360"/>
        </w:tabs>
        <w:ind w:left="360" w:hanging="360"/>
      </w:pPr>
      <w:rPr>
        <w:rFonts w:hint="default"/>
      </w:rPr>
    </w:lvl>
  </w:abstractNum>
  <w:abstractNum w:abstractNumId="189">
    <w:nsid w:val="36AB7A8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90">
    <w:nsid w:val="3759034F"/>
    <w:multiLevelType w:val="singleLevel"/>
    <w:tmpl w:val="344E0954"/>
    <w:lvl w:ilvl="0">
      <w:start w:val="176"/>
      <w:numFmt w:val="decimal"/>
      <w:lvlText w:val="%1."/>
      <w:lvlJc w:val="left"/>
      <w:pPr>
        <w:tabs>
          <w:tab w:val="num" w:pos="360"/>
        </w:tabs>
        <w:ind w:left="360" w:hanging="360"/>
      </w:pPr>
    </w:lvl>
  </w:abstractNum>
  <w:abstractNum w:abstractNumId="191">
    <w:nsid w:val="37A742A9"/>
    <w:multiLevelType w:val="singleLevel"/>
    <w:tmpl w:val="FF0ACA6E"/>
    <w:lvl w:ilvl="0">
      <w:start w:val="464"/>
      <w:numFmt w:val="decimal"/>
      <w:lvlText w:val="%1."/>
      <w:lvlJc w:val="left"/>
      <w:pPr>
        <w:tabs>
          <w:tab w:val="num" w:pos="360"/>
        </w:tabs>
        <w:ind w:left="360" w:hanging="360"/>
      </w:pPr>
    </w:lvl>
  </w:abstractNum>
  <w:abstractNum w:abstractNumId="192">
    <w:nsid w:val="37AA434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93">
    <w:nsid w:val="37F5690B"/>
    <w:multiLevelType w:val="singleLevel"/>
    <w:tmpl w:val="EB78E1B4"/>
    <w:lvl w:ilvl="0">
      <w:start w:val="271"/>
      <w:numFmt w:val="decimal"/>
      <w:lvlText w:val="%1."/>
      <w:lvlJc w:val="left"/>
      <w:pPr>
        <w:tabs>
          <w:tab w:val="num" w:pos="360"/>
        </w:tabs>
        <w:ind w:left="360" w:hanging="360"/>
      </w:pPr>
    </w:lvl>
  </w:abstractNum>
  <w:abstractNum w:abstractNumId="194">
    <w:nsid w:val="384C7447"/>
    <w:multiLevelType w:val="singleLevel"/>
    <w:tmpl w:val="C27C9FF2"/>
    <w:lvl w:ilvl="0">
      <w:start w:val="462"/>
      <w:numFmt w:val="decimal"/>
      <w:lvlText w:val="%1."/>
      <w:lvlJc w:val="left"/>
      <w:pPr>
        <w:tabs>
          <w:tab w:val="num" w:pos="360"/>
        </w:tabs>
        <w:ind w:left="360" w:hanging="360"/>
      </w:pPr>
    </w:lvl>
  </w:abstractNum>
  <w:abstractNum w:abstractNumId="195">
    <w:nsid w:val="38530C3D"/>
    <w:multiLevelType w:val="singleLevel"/>
    <w:tmpl w:val="35B25B14"/>
    <w:lvl w:ilvl="0">
      <w:start w:val="108"/>
      <w:numFmt w:val="decimal"/>
      <w:lvlText w:val="%1."/>
      <w:lvlJc w:val="left"/>
      <w:pPr>
        <w:tabs>
          <w:tab w:val="num" w:pos="624"/>
        </w:tabs>
        <w:ind w:left="624" w:hanging="624"/>
      </w:pPr>
    </w:lvl>
  </w:abstractNum>
  <w:abstractNum w:abstractNumId="196">
    <w:nsid w:val="386408DF"/>
    <w:multiLevelType w:val="singleLevel"/>
    <w:tmpl w:val="1922AF88"/>
    <w:lvl w:ilvl="0">
      <w:start w:val="352"/>
      <w:numFmt w:val="decimal"/>
      <w:lvlText w:val="%1."/>
      <w:lvlJc w:val="left"/>
      <w:pPr>
        <w:tabs>
          <w:tab w:val="num" w:pos="360"/>
        </w:tabs>
        <w:ind w:left="340" w:hanging="340"/>
      </w:pPr>
      <w:rPr>
        <w:rFonts w:hint="default"/>
      </w:rPr>
    </w:lvl>
  </w:abstractNum>
  <w:abstractNum w:abstractNumId="197">
    <w:nsid w:val="38851727"/>
    <w:multiLevelType w:val="singleLevel"/>
    <w:tmpl w:val="4E848D5A"/>
    <w:lvl w:ilvl="0">
      <w:start w:val="379"/>
      <w:numFmt w:val="decimal"/>
      <w:lvlText w:val="%1."/>
      <w:lvlJc w:val="left"/>
      <w:pPr>
        <w:tabs>
          <w:tab w:val="num" w:pos="360"/>
        </w:tabs>
        <w:ind w:left="360" w:hanging="360"/>
      </w:pPr>
    </w:lvl>
  </w:abstractNum>
  <w:abstractNum w:abstractNumId="198">
    <w:nsid w:val="38FC65F0"/>
    <w:multiLevelType w:val="singleLevel"/>
    <w:tmpl w:val="D98C7C6A"/>
    <w:lvl w:ilvl="0">
      <w:numFmt w:val="bullet"/>
      <w:lvlText w:val="-"/>
      <w:lvlJc w:val="left"/>
      <w:pPr>
        <w:tabs>
          <w:tab w:val="num" w:pos="360"/>
        </w:tabs>
        <w:ind w:left="360" w:hanging="360"/>
      </w:pPr>
      <w:rPr>
        <w:rFonts w:hint="default"/>
      </w:rPr>
    </w:lvl>
  </w:abstractNum>
  <w:abstractNum w:abstractNumId="199">
    <w:nsid w:val="39041C85"/>
    <w:multiLevelType w:val="singleLevel"/>
    <w:tmpl w:val="B3A6698C"/>
    <w:lvl w:ilvl="0">
      <w:start w:val="350"/>
      <w:numFmt w:val="decimal"/>
      <w:lvlText w:val="%1."/>
      <w:lvlJc w:val="left"/>
      <w:pPr>
        <w:tabs>
          <w:tab w:val="num" w:pos="360"/>
        </w:tabs>
        <w:ind w:left="360" w:hanging="360"/>
      </w:pPr>
    </w:lvl>
  </w:abstractNum>
  <w:abstractNum w:abstractNumId="200">
    <w:nsid w:val="390E1657"/>
    <w:multiLevelType w:val="singleLevel"/>
    <w:tmpl w:val="FFBA5198"/>
    <w:lvl w:ilvl="0">
      <w:start w:val="100"/>
      <w:numFmt w:val="decimal"/>
      <w:lvlText w:val="%1."/>
      <w:lvlJc w:val="left"/>
      <w:pPr>
        <w:tabs>
          <w:tab w:val="num" w:pos="360"/>
        </w:tabs>
        <w:ind w:left="284" w:hanging="284"/>
      </w:pPr>
    </w:lvl>
  </w:abstractNum>
  <w:abstractNum w:abstractNumId="201">
    <w:nsid w:val="398D13EE"/>
    <w:multiLevelType w:val="singleLevel"/>
    <w:tmpl w:val="B15E0070"/>
    <w:lvl w:ilvl="0">
      <w:start w:val="2"/>
      <w:numFmt w:val="lowerLetter"/>
      <w:lvlText w:val="%1) "/>
      <w:legacy w:legacy="1" w:legacySpace="0" w:legacyIndent="283"/>
      <w:lvlJc w:val="left"/>
      <w:pPr>
        <w:ind w:left="283" w:hanging="283"/>
      </w:pPr>
      <w:rPr>
        <w:b w:val="0"/>
        <w:i w:val="0"/>
        <w:sz w:val="24"/>
      </w:rPr>
    </w:lvl>
  </w:abstractNum>
  <w:abstractNum w:abstractNumId="202">
    <w:nsid w:val="39B52752"/>
    <w:multiLevelType w:val="singleLevel"/>
    <w:tmpl w:val="BE2056E8"/>
    <w:lvl w:ilvl="0">
      <w:start w:val="37"/>
      <w:numFmt w:val="decimal"/>
      <w:lvlText w:val="%1."/>
      <w:lvlJc w:val="left"/>
      <w:pPr>
        <w:tabs>
          <w:tab w:val="num" w:pos="360"/>
        </w:tabs>
        <w:ind w:left="360" w:hanging="360"/>
      </w:pPr>
    </w:lvl>
  </w:abstractNum>
  <w:abstractNum w:abstractNumId="203">
    <w:nsid w:val="3A8960C4"/>
    <w:multiLevelType w:val="singleLevel"/>
    <w:tmpl w:val="0D6AE728"/>
    <w:lvl w:ilvl="0">
      <w:start w:val="72"/>
      <w:numFmt w:val="decimal"/>
      <w:lvlText w:val="%1."/>
      <w:lvlJc w:val="left"/>
      <w:pPr>
        <w:tabs>
          <w:tab w:val="num" w:pos="360"/>
        </w:tabs>
        <w:ind w:left="360" w:hanging="360"/>
      </w:pPr>
    </w:lvl>
  </w:abstractNum>
  <w:abstractNum w:abstractNumId="204">
    <w:nsid w:val="3ADF29F5"/>
    <w:multiLevelType w:val="singleLevel"/>
    <w:tmpl w:val="D98C7C6A"/>
    <w:lvl w:ilvl="0">
      <w:numFmt w:val="bullet"/>
      <w:lvlText w:val="-"/>
      <w:lvlJc w:val="left"/>
      <w:pPr>
        <w:tabs>
          <w:tab w:val="num" w:pos="360"/>
        </w:tabs>
        <w:ind w:left="360" w:hanging="360"/>
      </w:pPr>
      <w:rPr>
        <w:rFonts w:hint="default"/>
      </w:rPr>
    </w:lvl>
  </w:abstractNum>
  <w:abstractNum w:abstractNumId="205">
    <w:nsid w:val="3B45100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06">
    <w:nsid w:val="3BC9512F"/>
    <w:multiLevelType w:val="singleLevel"/>
    <w:tmpl w:val="76065622"/>
    <w:lvl w:ilvl="0">
      <w:start w:val="100"/>
      <w:numFmt w:val="decimal"/>
      <w:lvlText w:val="%1."/>
      <w:lvlJc w:val="left"/>
      <w:pPr>
        <w:tabs>
          <w:tab w:val="num" w:pos="360"/>
        </w:tabs>
        <w:ind w:left="360" w:hanging="360"/>
      </w:pPr>
    </w:lvl>
  </w:abstractNum>
  <w:abstractNum w:abstractNumId="207">
    <w:nsid w:val="3BD22870"/>
    <w:multiLevelType w:val="singleLevel"/>
    <w:tmpl w:val="99E6BC32"/>
    <w:lvl w:ilvl="0">
      <w:start w:val="355"/>
      <w:numFmt w:val="decimal"/>
      <w:lvlText w:val="%1."/>
      <w:lvlJc w:val="left"/>
      <w:pPr>
        <w:tabs>
          <w:tab w:val="num" w:pos="360"/>
        </w:tabs>
        <w:ind w:left="360" w:hanging="360"/>
      </w:pPr>
    </w:lvl>
  </w:abstractNum>
  <w:abstractNum w:abstractNumId="208">
    <w:nsid w:val="3D082399"/>
    <w:multiLevelType w:val="singleLevel"/>
    <w:tmpl w:val="963A98AC"/>
    <w:lvl w:ilvl="0">
      <w:start w:val="79"/>
      <w:numFmt w:val="decimal"/>
      <w:lvlText w:val="%1."/>
      <w:lvlJc w:val="left"/>
      <w:pPr>
        <w:tabs>
          <w:tab w:val="num" w:pos="360"/>
        </w:tabs>
        <w:ind w:left="360" w:hanging="360"/>
      </w:pPr>
    </w:lvl>
  </w:abstractNum>
  <w:abstractNum w:abstractNumId="209">
    <w:nsid w:val="3D4304DB"/>
    <w:multiLevelType w:val="singleLevel"/>
    <w:tmpl w:val="D23CC508"/>
    <w:lvl w:ilvl="0">
      <w:start w:val="2"/>
      <w:numFmt w:val="lowerLetter"/>
      <w:lvlText w:val="%1)"/>
      <w:lvlJc w:val="left"/>
      <w:pPr>
        <w:tabs>
          <w:tab w:val="num" w:pos="360"/>
        </w:tabs>
        <w:ind w:left="360" w:hanging="360"/>
      </w:pPr>
    </w:lvl>
  </w:abstractNum>
  <w:abstractNum w:abstractNumId="210">
    <w:nsid w:val="3D5E0B9B"/>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11">
    <w:nsid w:val="3DCB6756"/>
    <w:multiLevelType w:val="singleLevel"/>
    <w:tmpl w:val="B0AAE21A"/>
    <w:lvl w:ilvl="0">
      <w:start w:val="236"/>
      <w:numFmt w:val="decimal"/>
      <w:lvlText w:val="%1."/>
      <w:lvlJc w:val="left"/>
      <w:pPr>
        <w:tabs>
          <w:tab w:val="num" w:pos="360"/>
        </w:tabs>
        <w:ind w:left="360" w:hanging="360"/>
      </w:pPr>
    </w:lvl>
  </w:abstractNum>
  <w:abstractNum w:abstractNumId="212">
    <w:nsid w:val="3DFA52BE"/>
    <w:multiLevelType w:val="singleLevel"/>
    <w:tmpl w:val="C5500D30"/>
    <w:lvl w:ilvl="0">
      <w:start w:val="83"/>
      <w:numFmt w:val="decimal"/>
      <w:lvlText w:val="%1."/>
      <w:lvlJc w:val="left"/>
      <w:pPr>
        <w:tabs>
          <w:tab w:val="num" w:pos="360"/>
        </w:tabs>
        <w:ind w:left="360" w:hanging="360"/>
      </w:pPr>
    </w:lvl>
  </w:abstractNum>
  <w:abstractNum w:abstractNumId="213">
    <w:nsid w:val="3E43608B"/>
    <w:multiLevelType w:val="singleLevel"/>
    <w:tmpl w:val="B45CB0C8"/>
    <w:lvl w:ilvl="0">
      <w:start w:val="220"/>
      <w:numFmt w:val="decimal"/>
      <w:lvlText w:val="%1."/>
      <w:lvlJc w:val="left"/>
      <w:pPr>
        <w:tabs>
          <w:tab w:val="num" w:pos="360"/>
        </w:tabs>
        <w:ind w:left="360" w:hanging="360"/>
      </w:pPr>
    </w:lvl>
  </w:abstractNum>
  <w:abstractNum w:abstractNumId="214">
    <w:nsid w:val="3EAE5807"/>
    <w:multiLevelType w:val="singleLevel"/>
    <w:tmpl w:val="52EEECB4"/>
    <w:lvl w:ilvl="0">
      <w:start w:val="352"/>
      <w:numFmt w:val="bullet"/>
      <w:lvlText w:val="-"/>
      <w:lvlJc w:val="left"/>
      <w:pPr>
        <w:tabs>
          <w:tab w:val="num" w:pos="360"/>
        </w:tabs>
        <w:ind w:left="360" w:hanging="360"/>
      </w:pPr>
      <w:rPr>
        <w:rFonts w:hint="default"/>
      </w:rPr>
    </w:lvl>
  </w:abstractNum>
  <w:abstractNum w:abstractNumId="215">
    <w:nsid w:val="3EB20177"/>
    <w:multiLevelType w:val="singleLevel"/>
    <w:tmpl w:val="710C5F5A"/>
    <w:lvl w:ilvl="0">
      <w:start w:val="100"/>
      <w:numFmt w:val="decimal"/>
      <w:lvlText w:val="%1."/>
      <w:lvlJc w:val="left"/>
      <w:pPr>
        <w:tabs>
          <w:tab w:val="num" w:pos="360"/>
        </w:tabs>
        <w:ind w:left="360" w:hanging="360"/>
      </w:pPr>
    </w:lvl>
  </w:abstractNum>
  <w:abstractNum w:abstractNumId="216">
    <w:nsid w:val="3FE1511D"/>
    <w:multiLevelType w:val="singleLevel"/>
    <w:tmpl w:val="B3A8B37E"/>
    <w:lvl w:ilvl="0">
      <w:start w:val="100"/>
      <w:numFmt w:val="decimal"/>
      <w:lvlText w:val="%1."/>
      <w:lvlJc w:val="left"/>
      <w:pPr>
        <w:tabs>
          <w:tab w:val="num" w:pos="624"/>
        </w:tabs>
        <w:ind w:left="624" w:hanging="624"/>
      </w:pPr>
    </w:lvl>
  </w:abstractNum>
  <w:abstractNum w:abstractNumId="217">
    <w:nsid w:val="40053E7C"/>
    <w:multiLevelType w:val="singleLevel"/>
    <w:tmpl w:val="3CF27CAC"/>
    <w:lvl w:ilvl="0">
      <w:start w:val="353"/>
      <w:numFmt w:val="decimal"/>
      <w:lvlText w:val="%1."/>
      <w:lvlJc w:val="left"/>
      <w:pPr>
        <w:tabs>
          <w:tab w:val="num" w:pos="360"/>
        </w:tabs>
        <w:ind w:left="360" w:hanging="360"/>
      </w:pPr>
    </w:lvl>
  </w:abstractNum>
  <w:abstractNum w:abstractNumId="218">
    <w:nsid w:val="40083AE2"/>
    <w:multiLevelType w:val="singleLevel"/>
    <w:tmpl w:val="13085D8C"/>
    <w:lvl w:ilvl="0">
      <w:start w:val="144"/>
      <w:numFmt w:val="decimal"/>
      <w:lvlText w:val="%1."/>
      <w:lvlJc w:val="left"/>
      <w:pPr>
        <w:tabs>
          <w:tab w:val="num" w:pos="360"/>
        </w:tabs>
        <w:ind w:left="360" w:hanging="360"/>
      </w:pPr>
    </w:lvl>
  </w:abstractNum>
  <w:abstractNum w:abstractNumId="219">
    <w:nsid w:val="401C42B9"/>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20">
    <w:nsid w:val="407101FD"/>
    <w:multiLevelType w:val="singleLevel"/>
    <w:tmpl w:val="5CCA3436"/>
    <w:lvl w:ilvl="0">
      <w:start w:val="119"/>
      <w:numFmt w:val="decimal"/>
      <w:lvlText w:val="%1."/>
      <w:lvlJc w:val="left"/>
      <w:pPr>
        <w:tabs>
          <w:tab w:val="num" w:pos="360"/>
        </w:tabs>
        <w:ind w:left="360" w:hanging="360"/>
      </w:pPr>
    </w:lvl>
  </w:abstractNum>
  <w:abstractNum w:abstractNumId="221">
    <w:nsid w:val="407E633E"/>
    <w:multiLevelType w:val="singleLevel"/>
    <w:tmpl w:val="93C46E88"/>
    <w:lvl w:ilvl="0">
      <w:start w:val="136"/>
      <w:numFmt w:val="decimal"/>
      <w:lvlText w:val="%1."/>
      <w:lvlJc w:val="left"/>
      <w:pPr>
        <w:tabs>
          <w:tab w:val="num" w:pos="360"/>
        </w:tabs>
        <w:ind w:left="360" w:hanging="360"/>
      </w:pPr>
    </w:lvl>
  </w:abstractNum>
  <w:abstractNum w:abstractNumId="222">
    <w:nsid w:val="416D25B3"/>
    <w:multiLevelType w:val="singleLevel"/>
    <w:tmpl w:val="DE948AC4"/>
    <w:lvl w:ilvl="0">
      <w:start w:val="459"/>
      <w:numFmt w:val="decimal"/>
      <w:lvlText w:val="%1."/>
      <w:lvlJc w:val="left"/>
      <w:pPr>
        <w:tabs>
          <w:tab w:val="num" w:pos="360"/>
        </w:tabs>
        <w:ind w:left="360" w:hanging="360"/>
      </w:pPr>
    </w:lvl>
  </w:abstractNum>
  <w:abstractNum w:abstractNumId="223">
    <w:nsid w:val="42213BA8"/>
    <w:multiLevelType w:val="singleLevel"/>
    <w:tmpl w:val="385C7538"/>
    <w:lvl w:ilvl="0">
      <w:start w:val="34"/>
      <w:numFmt w:val="decimal"/>
      <w:lvlText w:val="%1."/>
      <w:lvlJc w:val="left"/>
      <w:pPr>
        <w:tabs>
          <w:tab w:val="num" w:pos="360"/>
        </w:tabs>
        <w:ind w:left="360" w:hanging="360"/>
      </w:pPr>
    </w:lvl>
  </w:abstractNum>
  <w:abstractNum w:abstractNumId="224">
    <w:nsid w:val="426F5C1A"/>
    <w:multiLevelType w:val="singleLevel"/>
    <w:tmpl w:val="1FB0F7A6"/>
    <w:lvl w:ilvl="0">
      <w:start w:val="142"/>
      <w:numFmt w:val="decimal"/>
      <w:lvlText w:val="%1."/>
      <w:lvlJc w:val="left"/>
      <w:pPr>
        <w:tabs>
          <w:tab w:val="num" w:pos="360"/>
        </w:tabs>
        <w:ind w:left="360" w:hanging="360"/>
      </w:pPr>
    </w:lvl>
  </w:abstractNum>
  <w:abstractNum w:abstractNumId="225">
    <w:nsid w:val="42AD3753"/>
    <w:multiLevelType w:val="singleLevel"/>
    <w:tmpl w:val="AB94BB4A"/>
    <w:lvl w:ilvl="0">
      <w:start w:val="89"/>
      <w:numFmt w:val="decimal"/>
      <w:lvlText w:val="%1."/>
      <w:lvlJc w:val="left"/>
      <w:pPr>
        <w:tabs>
          <w:tab w:val="num" w:pos="360"/>
        </w:tabs>
        <w:ind w:left="360" w:hanging="360"/>
      </w:pPr>
    </w:lvl>
  </w:abstractNum>
  <w:abstractNum w:abstractNumId="226">
    <w:nsid w:val="438F7AB8"/>
    <w:multiLevelType w:val="singleLevel"/>
    <w:tmpl w:val="25AEE960"/>
    <w:lvl w:ilvl="0">
      <w:start w:val="1"/>
      <w:numFmt w:val="bullet"/>
      <w:lvlText w:val="­"/>
      <w:lvlJc w:val="left"/>
      <w:pPr>
        <w:tabs>
          <w:tab w:val="num" w:pos="360"/>
        </w:tabs>
      </w:pPr>
      <w:rPr>
        <w:rFonts w:ascii="Times New Roman" w:hAnsi="Times New Roman" w:hint="default"/>
        <w:sz w:val="28"/>
      </w:rPr>
    </w:lvl>
  </w:abstractNum>
  <w:abstractNum w:abstractNumId="227">
    <w:nsid w:val="43AB404E"/>
    <w:multiLevelType w:val="singleLevel"/>
    <w:tmpl w:val="FFBA5198"/>
    <w:lvl w:ilvl="0">
      <w:start w:val="100"/>
      <w:numFmt w:val="decimal"/>
      <w:lvlText w:val="%1."/>
      <w:lvlJc w:val="left"/>
      <w:pPr>
        <w:tabs>
          <w:tab w:val="num" w:pos="360"/>
        </w:tabs>
        <w:ind w:left="284" w:hanging="284"/>
      </w:pPr>
    </w:lvl>
  </w:abstractNum>
  <w:abstractNum w:abstractNumId="228">
    <w:nsid w:val="43D75987"/>
    <w:multiLevelType w:val="singleLevel"/>
    <w:tmpl w:val="0419000F"/>
    <w:lvl w:ilvl="0">
      <w:start w:val="1"/>
      <w:numFmt w:val="decimal"/>
      <w:lvlText w:val="%1."/>
      <w:lvlJc w:val="left"/>
      <w:pPr>
        <w:tabs>
          <w:tab w:val="num" w:pos="360"/>
        </w:tabs>
        <w:ind w:left="360" w:hanging="360"/>
      </w:pPr>
    </w:lvl>
  </w:abstractNum>
  <w:abstractNum w:abstractNumId="229">
    <w:nsid w:val="445B1C87"/>
    <w:multiLevelType w:val="singleLevel"/>
    <w:tmpl w:val="43824188"/>
    <w:lvl w:ilvl="0">
      <w:start w:val="448"/>
      <w:numFmt w:val="decimal"/>
      <w:lvlText w:val="%1."/>
      <w:lvlJc w:val="left"/>
      <w:pPr>
        <w:tabs>
          <w:tab w:val="num" w:pos="360"/>
        </w:tabs>
        <w:ind w:left="360" w:hanging="360"/>
      </w:pPr>
    </w:lvl>
  </w:abstractNum>
  <w:abstractNum w:abstractNumId="230">
    <w:nsid w:val="44890A07"/>
    <w:multiLevelType w:val="singleLevel"/>
    <w:tmpl w:val="934C392A"/>
    <w:lvl w:ilvl="0">
      <w:start w:val="9"/>
      <w:numFmt w:val="decimal"/>
      <w:lvlText w:val="%1."/>
      <w:lvlJc w:val="left"/>
      <w:pPr>
        <w:tabs>
          <w:tab w:val="num" w:pos="360"/>
        </w:tabs>
        <w:ind w:left="360" w:hanging="360"/>
      </w:pPr>
    </w:lvl>
  </w:abstractNum>
  <w:abstractNum w:abstractNumId="231">
    <w:nsid w:val="45934B7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32">
    <w:nsid w:val="45C01888"/>
    <w:multiLevelType w:val="hybridMultilevel"/>
    <w:tmpl w:val="95C891BA"/>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3">
    <w:nsid w:val="460033A3"/>
    <w:multiLevelType w:val="singleLevel"/>
    <w:tmpl w:val="A7260CA4"/>
    <w:lvl w:ilvl="0">
      <w:start w:val="1"/>
      <w:numFmt w:val="upperRoman"/>
      <w:lvlText w:val="%1."/>
      <w:lvlJc w:val="left"/>
      <w:pPr>
        <w:tabs>
          <w:tab w:val="num" w:pos="1131"/>
        </w:tabs>
        <w:ind w:left="1131" w:hanging="564"/>
      </w:pPr>
      <w:rPr>
        <w:rFonts w:hint="default"/>
        <w:i w:val="0"/>
      </w:rPr>
    </w:lvl>
  </w:abstractNum>
  <w:abstractNum w:abstractNumId="234">
    <w:nsid w:val="462B184A"/>
    <w:multiLevelType w:val="singleLevel"/>
    <w:tmpl w:val="934C392A"/>
    <w:lvl w:ilvl="0">
      <w:start w:val="9"/>
      <w:numFmt w:val="decimal"/>
      <w:lvlText w:val="%1."/>
      <w:lvlJc w:val="left"/>
      <w:pPr>
        <w:tabs>
          <w:tab w:val="num" w:pos="360"/>
        </w:tabs>
        <w:ind w:left="360" w:hanging="360"/>
      </w:pPr>
    </w:lvl>
  </w:abstractNum>
  <w:abstractNum w:abstractNumId="235">
    <w:nsid w:val="47874BC1"/>
    <w:multiLevelType w:val="singleLevel"/>
    <w:tmpl w:val="6DEA3E5C"/>
    <w:lvl w:ilvl="0">
      <w:start w:val="326"/>
      <w:numFmt w:val="decimal"/>
      <w:lvlText w:val="%1."/>
      <w:lvlJc w:val="left"/>
      <w:pPr>
        <w:tabs>
          <w:tab w:val="num" w:pos="360"/>
        </w:tabs>
        <w:ind w:left="360" w:hanging="360"/>
      </w:pPr>
    </w:lvl>
  </w:abstractNum>
  <w:abstractNum w:abstractNumId="236">
    <w:nsid w:val="47CF2507"/>
    <w:multiLevelType w:val="singleLevel"/>
    <w:tmpl w:val="88FCB36E"/>
    <w:lvl w:ilvl="0">
      <w:start w:val="247"/>
      <w:numFmt w:val="decimal"/>
      <w:lvlText w:val="%1."/>
      <w:lvlJc w:val="left"/>
      <w:pPr>
        <w:tabs>
          <w:tab w:val="num" w:pos="360"/>
        </w:tabs>
        <w:ind w:left="360" w:hanging="360"/>
      </w:pPr>
    </w:lvl>
  </w:abstractNum>
  <w:abstractNum w:abstractNumId="237">
    <w:nsid w:val="47D864AE"/>
    <w:multiLevelType w:val="singleLevel"/>
    <w:tmpl w:val="3118B894"/>
    <w:lvl w:ilvl="0">
      <w:start w:val="175"/>
      <w:numFmt w:val="decimal"/>
      <w:lvlText w:val="%1."/>
      <w:lvlJc w:val="left"/>
      <w:pPr>
        <w:tabs>
          <w:tab w:val="num" w:pos="360"/>
        </w:tabs>
        <w:ind w:left="360" w:hanging="360"/>
      </w:pPr>
    </w:lvl>
  </w:abstractNum>
  <w:abstractNum w:abstractNumId="238">
    <w:nsid w:val="47F94EFB"/>
    <w:multiLevelType w:val="singleLevel"/>
    <w:tmpl w:val="385C7538"/>
    <w:lvl w:ilvl="0">
      <w:start w:val="34"/>
      <w:numFmt w:val="decimal"/>
      <w:lvlText w:val="%1."/>
      <w:lvlJc w:val="left"/>
      <w:pPr>
        <w:tabs>
          <w:tab w:val="num" w:pos="360"/>
        </w:tabs>
        <w:ind w:left="360" w:hanging="360"/>
      </w:pPr>
    </w:lvl>
  </w:abstractNum>
  <w:abstractNum w:abstractNumId="239">
    <w:nsid w:val="487F7C9B"/>
    <w:multiLevelType w:val="singleLevel"/>
    <w:tmpl w:val="D98C7C6A"/>
    <w:lvl w:ilvl="0">
      <w:numFmt w:val="bullet"/>
      <w:lvlText w:val="-"/>
      <w:lvlJc w:val="left"/>
      <w:pPr>
        <w:tabs>
          <w:tab w:val="num" w:pos="360"/>
        </w:tabs>
        <w:ind w:left="360" w:hanging="360"/>
      </w:pPr>
      <w:rPr>
        <w:rFonts w:hint="default"/>
      </w:rPr>
    </w:lvl>
  </w:abstractNum>
  <w:abstractNum w:abstractNumId="240">
    <w:nsid w:val="48DF617C"/>
    <w:multiLevelType w:val="singleLevel"/>
    <w:tmpl w:val="8242B7C4"/>
    <w:lvl w:ilvl="0">
      <w:start w:val="1"/>
      <w:numFmt w:val="decimal"/>
      <w:lvlText w:val="(%1)"/>
      <w:lvlJc w:val="left"/>
      <w:pPr>
        <w:tabs>
          <w:tab w:val="num" w:pos="360"/>
        </w:tabs>
        <w:ind w:left="360" w:hanging="360"/>
      </w:pPr>
      <w:rPr>
        <w:rFonts w:hint="default"/>
      </w:rPr>
    </w:lvl>
  </w:abstractNum>
  <w:abstractNum w:abstractNumId="241">
    <w:nsid w:val="4918607C"/>
    <w:multiLevelType w:val="singleLevel"/>
    <w:tmpl w:val="AB94BB4A"/>
    <w:lvl w:ilvl="0">
      <w:start w:val="89"/>
      <w:numFmt w:val="decimal"/>
      <w:lvlText w:val="%1."/>
      <w:lvlJc w:val="left"/>
      <w:pPr>
        <w:tabs>
          <w:tab w:val="num" w:pos="360"/>
        </w:tabs>
        <w:ind w:left="360" w:hanging="360"/>
      </w:pPr>
    </w:lvl>
  </w:abstractNum>
  <w:abstractNum w:abstractNumId="242">
    <w:nsid w:val="497B3488"/>
    <w:multiLevelType w:val="singleLevel"/>
    <w:tmpl w:val="55EA754A"/>
    <w:lvl w:ilvl="0">
      <w:start w:val="284"/>
      <w:numFmt w:val="decimal"/>
      <w:lvlText w:val="%1."/>
      <w:lvlJc w:val="left"/>
      <w:pPr>
        <w:tabs>
          <w:tab w:val="num" w:pos="360"/>
        </w:tabs>
        <w:ind w:left="360" w:hanging="360"/>
      </w:pPr>
    </w:lvl>
  </w:abstractNum>
  <w:abstractNum w:abstractNumId="243">
    <w:nsid w:val="4A1C650E"/>
    <w:multiLevelType w:val="singleLevel"/>
    <w:tmpl w:val="6AE8CDD4"/>
    <w:lvl w:ilvl="0">
      <w:start w:val="260"/>
      <w:numFmt w:val="decimal"/>
      <w:lvlText w:val="%1."/>
      <w:lvlJc w:val="left"/>
      <w:pPr>
        <w:tabs>
          <w:tab w:val="num" w:pos="360"/>
        </w:tabs>
        <w:ind w:left="360" w:hanging="360"/>
      </w:pPr>
    </w:lvl>
  </w:abstractNum>
  <w:abstractNum w:abstractNumId="244">
    <w:nsid w:val="4A5B49F4"/>
    <w:multiLevelType w:val="singleLevel"/>
    <w:tmpl w:val="F6E8C09C"/>
    <w:lvl w:ilvl="0">
      <w:start w:val="85"/>
      <w:numFmt w:val="decimal"/>
      <w:lvlText w:val="%1."/>
      <w:lvlJc w:val="left"/>
      <w:pPr>
        <w:tabs>
          <w:tab w:val="num" w:pos="360"/>
        </w:tabs>
        <w:ind w:left="360" w:hanging="360"/>
      </w:pPr>
    </w:lvl>
  </w:abstractNum>
  <w:abstractNum w:abstractNumId="245">
    <w:nsid w:val="4B5E0BD0"/>
    <w:multiLevelType w:val="singleLevel"/>
    <w:tmpl w:val="B9A8F5FE"/>
    <w:lvl w:ilvl="0">
      <w:start w:val="264"/>
      <w:numFmt w:val="decimal"/>
      <w:lvlText w:val="%1."/>
      <w:lvlJc w:val="left"/>
      <w:pPr>
        <w:tabs>
          <w:tab w:val="num" w:pos="360"/>
        </w:tabs>
        <w:ind w:left="360" w:hanging="360"/>
      </w:pPr>
    </w:lvl>
  </w:abstractNum>
  <w:abstractNum w:abstractNumId="246">
    <w:nsid w:val="4BA95833"/>
    <w:multiLevelType w:val="singleLevel"/>
    <w:tmpl w:val="0419000F"/>
    <w:lvl w:ilvl="0">
      <w:start w:val="1"/>
      <w:numFmt w:val="decimal"/>
      <w:lvlText w:val="%1."/>
      <w:lvlJc w:val="left"/>
      <w:pPr>
        <w:tabs>
          <w:tab w:val="num" w:pos="360"/>
        </w:tabs>
        <w:ind w:left="360" w:hanging="360"/>
      </w:pPr>
      <w:rPr>
        <w:rFonts w:hint="default"/>
      </w:rPr>
    </w:lvl>
  </w:abstractNum>
  <w:abstractNum w:abstractNumId="247">
    <w:nsid w:val="4C371B48"/>
    <w:multiLevelType w:val="singleLevel"/>
    <w:tmpl w:val="963A98AC"/>
    <w:lvl w:ilvl="0">
      <w:start w:val="79"/>
      <w:numFmt w:val="decimal"/>
      <w:lvlText w:val="%1."/>
      <w:lvlJc w:val="left"/>
      <w:pPr>
        <w:tabs>
          <w:tab w:val="num" w:pos="360"/>
        </w:tabs>
        <w:ind w:left="360" w:hanging="360"/>
      </w:pPr>
    </w:lvl>
  </w:abstractNum>
  <w:abstractNum w:abstractNumId="248">
    <w:nsid w:val="4C3A20B3"/>
    <w:multiLevelType w:val="singleLevel"/>
    <w:tmpl w:val="FF0ACA6E"/>
    <w:lvl w:ilvl="0">
      <w:start w:val="464"/>
      <w:numFmt w:val="decimal"/>
      <w:lvlText w:val="%1."/>
      <w:lvlJc w:val="left"/>
      <w:pPr>
        <w:tabs>
          <w:tab w:val="num" w:pos="360"/>
        </w:tabs>
        <w:ind w:left="360" w:hanging="360"/>
      </w:pPr>
    </w:lvl>
  </w:abstractNum>
  <w:abstractNum w:abstractNumId="249">
    <w:nsid w:val="4C466D16"/>
    <w:multiLevelType w:val="singleLevel"/>
    <w:tmpl w:val="13564EEE"/>
    <w:lvl w:ilvl="0">
      <w:start w:val="257"/>
      <w:numFmt w:val="decimal"/>
      <w:lvlText w:val="%1."/>
      <w:lvlJc w:val="left"/>
      <w:pPr>
        <w:tabs>
          <w:tab w:val="num" w:pos="360"/>
        </w:tabs>
        <w:ind w:left="360" w:hanging="360"/>
      </w:pPr>
    </w:lvl>
  </w:abstractNum>
  <w:abstractNum w:abstractNumId="250">
    <w:nsid w:val="4C726630"/>
    <w:multiLevelType w:val="singleLevel"/>
    <w:tmpl w:val="A7D41F14"/>
    <w:lvl w:ilvl="0">
      <w:start w:val="393"/>
      <w:numFmt w:val="decimal"/>
      <w:lvlText w:val="%1."/>
      <w:lvlJc w:val="left"/>
      <w:pPr>
        <w:tabs>
          <w:tab w:val="num" w:pos="360"/>
        </w:tabs>
        <w:ind w:left="360" w:hanging="360"/>
      </w:pPr>
    </w:lvl>
  </w:abstractNum>
  <w:abstractNum w:abstractNumId="251">
    <w:nsid w:val="4CF75F07"/>
    <w:multiLevelType w:val="singleLevel"/>
    <w:tmpl w:val="2758D1E4"/>
    <w:lvl w:ilvl="0">
      <w:start w:val="138"/>
      <w:numFmt w:val="decimal"/>
      <w:lvlText w:val="%1."/>
      <w:lvlJc w:val="left"/>
      <w:pPr>
        <w:tabs>
          <w:tab w:val="num" w:pos="360"/>
        </w:tabs>
        <w:ind w:left="360" w:hanging="360"/>
      </w:pPr>
    </w:lvl>
  </w:abstractNum>
  <w:abstractNum w:abstractNumId="252">
    <w:nsid w:val="4D78482A"/>
    <w:multiLevelType w:val="singleLevel"/>
    <w:tmpl w:val="6DEA3E5C"/>
    <w:lvl w:ilvl="0">
      <w:start w:val="326"/>
      <w:numFmt w:val="decimal"/>
      <w:lvlText w:val="%1."/>
      <w:lvlJc w:val="left"/>
      <w:pPr>
        <w:tabs>
          <w:tab w:val="num" w:pos="360"/>
        </w:tabs>
        <w:ind w:left="360" w:hanging="360"/>
      </w:pPr>
    </w:lvl>
  </w:abstractNum>
  <w:abstractNum w:abstractNumId="253">
    <w:nsid w:val="4FB75B28"/>
    <w:multiLevelType w:val="singleLevel"/>
    <w:tmpl w:val="F9086910"/>
    <w:lvl w:ilvl="0">
      <w:start w:val="75"/>
      <w:numFmt w:val="decimal"/>
      <w:lvlText w:val="%1."/>
      <w:lvlJc w:val="left"/>
      <w:pPr>
        <w:tabs>
          <w:tab w:val="num" w:pos="360"/>
        </w:tabs>
        <w:ind w:left="360" w:hanging="360"/>
      </w:pPr>
    </w:lvl>
  </w:abstractNum>
  <w:abstractNum w:abstractNumId="254">
    <w:nsid w:val="4FC57F64"/>
    <w:multiLevelType w:val="singleLevel"/>
    <w:tmpl w:val="5950EED0"/>
    <w:lvl w:ilvl="0">
      <w:start w:val="314"/>
      <w:numFmt w:val="decimal"/>
      <w:lvlText w:val="%1."/>
      <w:lvlJc w:val="left"/>
      <w:pPr>
        <w:tabs>
          <w:tab w:val="num" w:pos="360"/>
        </w:tabs>
        <w:ind w:left="360" w:hanging="360"/>
      </w:pPr>
    </w:lvl>
  </w:abstractNum>
  <w:abstractNum w:abstractNumId="255">
    <w:nsid w:val="502A2D43"/>
    <w:multiLevelType w:val="singleLevel"/>
    <w:tmpl w:val="0419000F"/>
    <w:lvl w:ilvl="0">
      <w:start w:val="1"/>
      <w:numFmt w:val="decimal"/>
      <w:lvlText w:val="%1."/>
      <w:lvlJc w:val="left"/>
      <w:pPr>
        <w:tabs>
          <w:tab w:val="num" w:pos="360"/>
        </w:tabs>
        <w:ind w:left="360" w:hanging="360"/>
      </w:pPr>
    </w:lvl>
  </w:abstractNum>
  <w:abstractNum w:abstractNumId="256">
    <w:nsid w:val="509226B4"/>
    <w:multiLevelType w:val="singleLevel"/>
    <w:tmpl w:val="F5CC58DC"/>
    <w:lvl w:ilvl="0">
      <w:start w:val="238"/>
      <w:numFmt w:val="decimal"/>
      <w:lvlText w:val="%1."/>
      <w:lvlJc w:val="left"/>
      <w:pPr>
        <w:tabs>
          <w:tab w:val="num" w:pos="360"/>
        </w:tabs>
        <w:ind w:left="360" w:hanging="360"/>
      </w:pPr>
    </w:lvl>
  </w:abstractNum>
  <w:abstractNum w:abstractNumId="257">
    <w:nsid w:val="50AD4DA6"/>
    <w:multiLevelType w:val="singleLevel"/>
    <w:tmpl w:val="C91A934A"/>
    <w:lvl w:ilvl="0">
      <w:start w:val="88"/>
      <w:numFmt w:val="decimal"/>
      <w:lvlText w:val="%1."/>
      <w:lvlJc w:val="left"/>
      <w:pPr>
        <w:tabs>
          <w:tab w:val="num" w:pos="360"/>
        </w:tabs>
        <w:ind w:left="360" w:hanging="360"/>
      </w:pPr>
    </w:lvl>
  </w:abstractNum>
  <w:abstractNum w:abstractNumId="258">
    <w:nsid w:val="50B90CFE"/>
    <w:multiLevelType w:val="singleLevel"/>
    <w:tmpl w:val="8DFA31DE"/>
    <w:lvl w:ilvl="0">
      <w:start w:val="371"/>
      <w:numFmt w:val="decimal"/>
      <w:lvlText w:val="%1."/>
      <w:lvlJc w:val="left"/>
      <w:pPr>
        <w:tabs>
          <w:tab w:val="num" w:pos="360"/>
        </w:tabs>
        <w:ind w:left="360" w:hanging="360"/>
      </w:pPr>
    </w:lvl>
  </w:abstractNum>
  <w:abstractNum w:abstractNumId="259">
    <w:nsid w:val="50C71F11"/>
    <w:multiLevelType w:val="singleLevel"/>
    <w:tmpl w:val="6D32A7BE"/>
    <w:lvl w:ilvl="0">
      <w:start w:val="170"/>
      <w:numFmt w:val="decimal"/>
      <w:lvlText w:val="%1."/>
      <w:lvlJc w:val="left"/>
      <w:pPr>
        <w:tabs>
          <w:tab w:val="num" w:pos="360"/>
        </w:tabs>
        <w:ind w:left="360" w:hanging="360"/>
      </w:pPr>
    </w:lvl>
  </w:abstractNum>
  <w:abstractNum w:abstractNumId="260">
    <w:nsid w:val="50E35F52"/>
    <w:multiLevelType w:val="singleLevel"/>
    <w:tmpl w:val="0652F8F0"/>
    <w:lvl w:ilvl="0">
      <w:start w:val="197"/>
      <w:numFmt w:val="decimal"/>
      <w:lvlText w:val="%1."/>
      <w:lvlJc w:val="left"/>
      <w:pPr>
        <w:tabs>
          <w:tab w:val="num" w:pos="360"/>
        </w:tabs>
        <w:ind w:left="360" w:hanging="360"/>
      </w:pPr>
    </w:lvl>
  </w:abstractNum>
  <w:abstractNum w:abstractNumId="261">
    <w:nsid w:val="514919FC"/>
    <w:multiLevelType w:val="singleLevel"/>
    <w:tmpl w:val="62CA395A"/>
    <w:lvl w:ilvl="0">
      <w:start w:val="110"/>
      <w:numFmt w:val="decimal"/>
      <w:lvlText w:val="%1."/>
      <w:lvlJc w:val="left"/>
      <w:pPr>
        <w:tabs>
          <w:tab w:val="num" w:pos="360"/>
        </w:tabs>
        <w:ind w:left="360" w:hanging="360"/>
      </w:pPr>
    </w:lvl>
  </w:abstractNum>
  <w:abstractNum w:abstractNumId="262">
    <w:nsid w:val="51AB4B59"/>
    <w:multiLevelType w:val="singleLevel"/>
    <w:tmpl w:val="52EEECB4"/>
    <w:lvl w:ilvl="0">
      <w:start w:val="352"/>
      <w:numFmt w:val="bullet"/>
      <w:lvlText w:val="-"/>
      <w:lvlJc w:val="left"/>
      <w:pPr>
        <w:tabs>
          <w:tab w:val="num" w:pos="360"/>
        </w:tabs>
        <w:ind w:left="360" w:hanging="360"/>
      </w:pPr>
      <w:rPr>
        <w:rFonts w:hint="default"/>
      </w:rPr>
    </w:lvl>
  </w:abstractNum>
  <w:abstractNum w:abstractNumId="263">
    <w:nsid w:val="51E803F5"/>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264">
    <w:nsid w:val="521C30FF"/>
    <w:multiLevelType w:val="singleLevel"/>
    <w:tmpl w:val="198C5FA4"/>
    <w:lvl w:ilvl="0">
      <w:start w:val="411"/>
      <w:numFmt w:val="decimal"/>
      <w:lvlText w:val="%1."/>
      <w:lvlJc w:val="left"/>
      <w:pPr>
        <w:tabs>
          <w:tab w:val="num" w:pos="360"/>
        </w:tabs>
        <w:ind w:left="360" w:hanging="360"/>
      </w:pPr>
    </w:lvl>
  </w:abstractNum>
  <w:abstractNum w:abstractNumId="265">
    <w:nsid w:val="52887B5A"/>
    <w:multiLevelType w:val="singleLevel"/>
    <w:tmpl w:val="974853C6"/>
    <w:lvl w:ilvl="0">
      <w:start w:val="253"/>
      <w:numFmt w:val="decimal"/>
      <w:lvlText w:val="%1."/>
      <w:lvlJc w:val="left"/>
      <w:pPr>
        <w:tabs>
          <w:tab w:val="num" w:pos="360"/>
        </w:tabs>
        <w:ind w:left="360" w:hanging="360"/>
      </w:pPr>
    </w:lvl>
  </w:abstractNum>
  <w:abstractNum w:abstractNumId="266">
    <w:nsid w:val="52A42B81"/>
    <w:multiLevelType w:val="singleLevel"/>
    <w:tmpl w:val="57EC715E"/>
    <w:lvl w:ilvl="0">
      <w:start w:val="174"/>
      <w:numFmt w:val="decimal"/>
      <w:lvlText w:val="%1."/>
      <w:lvlJc w:val="left"/>
      <w:pPr>
        <w:tabs>
          <w:tab w:val="num" w:pos="360"/>
        </w:tabs>
        <w:ind w:left="360" w:hanging="360"/>
      </w:pPr>
    </w:lvl>
  </w:abstractNum>
  <w:abstractNum w:abstractNumId="267">
    <w:nsid w:val="52C22487"/>
    <w:multiLevelType w:val="singleLevel"/>
    <w:tmpl w:val="D98C7C6A"/>
    <w:lvl w:ilvl="0">
      <w:numFmt w:val="bullet"/>
      <w:lvlText w:val="-"/>
      <w:lvlJc w:val="left"/>
      <w:pPr>
        <w:tabs>
          <w:tab w:val="num" w:pos="360"/>
        </w:tabs>
        <w:ind w:left="360" w:hanging="360"/>
      </w:pPr>
      <w:rPr>
        <w:rFonts w:hint="default"/>
      </w:rPr>
    </w:lvl>
  </w:abstractNum>
  <w:abstractNum w:abstractNumId="268">
    <w:nsid w:val="52F4270D"/>
    <w:multiLevelType w:val="singleLevel"/>
    <w:tmpl w:val="325E9D5C"/>
    <w:lvl w:ilvl="0">
      <w:start w:val="431"/>
      <w:numFmt w:val="decimal"/>
      <w:lvlText w:val="%1."/>
      <w:lvlJc w:val="left"/>
      <w:pPr>
        <w:tabs>
          <w:tab w:val="num" w:pos="360"/>
        </w:tabs>
        <w:ind w:left="360" w:hanging="360"/>
      </w:pPr>
    </w:lvl>
  </w:abstractNum>
  <w:abstractNum w:abstractNumId="269">
    <w:nsid w:val="531E7E0D"/>
    <w:multiLevelType w:val="singleLevel"/>
    <w:tmpl w:val="1E60BFEE"/>
    <w:lvl w:ilvl="0">
      <w:start w:val="176"/>
      <w:numFmt w:val="decimal"/>
      <w:lvlText w:val="%1."/>
      <w:lvlJc w:val="left"/>
      <w:pPr>
        <w:tabs>
          <w:tab w:val="num" w:pos="360"/>
        </w:tabs>
        <w:ind w:left="360" w:hanging="360"/>
      </w:pPr>
    </w:lvl>
  </w:abstractNum>
  <w:abstractNum w:abstractNumId="270">
    <w:nsid w:val="53B34997"/>
    <w:multiLevelType w:val="singleLevel"/>
    <w:tmpl w:val="100E6E1E"/>
    <w:lvl w:ilvl="0">
      <w:start w:val="268"/>
      <w:numFmt w:val="decimal"/>
      <w:lvlText w:val="%1."/>
      <w:lvlJc w:val="left"/>
      <w:pPr>
        <w:tabs>
          <w:tab w:val="num" w:pos="360"/>
        </w:tabs>
        <w:ind w:left="360" w:hanging="360"/>
      </w:pPr>
    </w:lvl>
  </w:abstractNum>
  <w:abstractNum w:abstractNumId="271">
    <w:nsid w:val="53EA7EE6"/>
    <w:multiLevelType w:val="singleLevel"/>
    <w:tmpl w:val="D98C7C6A"/>
    <w:lvl w:ilvl="0">
      <w:numFmt w:val="bullet"/>
      <w:lvlText w:val="-"/>
      <w:lvlJc w:val="left"/>
      <w:pPr>
        <w:tabs>
          <w:tab w:val="num" w:pos="360"/>
        </w:tabs>
        <w:ind w:left="360" w:hanging="360"/>
      </w:pPr>
      <w:rPr>
        <w:rFonts w:hint="default"/>
      </w:rPr>
    </w:lvl>
  </w:abstractNum>
  <w:abstractNum w:abstractNumId="272">
    <w:nsid w:val="53EF43B4"/>
    <w:multiLevelType w:val="singleLevel"/>
    <w:tmpl w:val="48FA23E0"/>
    <w:lvl w:ilvl="0">
      <w:start w:val="173"/>
      <w:numFmt w:val="decimal"/>
      <w:lvlText w:val="%1."/>
      <w:lvlJc w:val="left"/>
      <w:pPr>
        <w:tabs>
          <w:tab w:val="num" w:pos="360"/>
        </w:tabs>
        <w:ind w:left="360" w:hanging="360"/>
      </w:pPr>
    </w:lvl>
  </w:abstractNum>
  <w:abstractNum w:abstractNumId="273">
    <w:nsid w:val="54725FBB"/>
    <w:multiLevelType w:val="singleLevel"/>
    <w:tmpl w:val="82B49A10"/>
    <w:lvl w:ilvl="0">
      <w:start w:val="229"/>
      <w:numFmt w:val="decimal"/>
      <w:lvlText w:val="%1."/>
      <w:lvlJc w:val="left"/>
      <w:pPr>
        <w:tabs>
          <w:tab w:val="num" w:pos="360"/>
        </w:tabs>
        <w:ind w:left="360" w:hanging="360"/>
      </w:pPr>
    </w:lvl>
  </w:abstractNum>
  <w:abstractNum w:abstractNumId="274">
    <w:nsid w:val="54F33BE2"/>
    <w:multiLevelType w:val="singleLevel"/>
    <w:tmpl w:val="B3A6698C"/>
    <w:lvl w:ilvl="0">
      <w:start w:val="350"/>
      <w:numFmt w:val="decimal"/>
      <w:lvlText w:val="%1."/>
      <w:lvlJc w:val="left"/>
      <w:pPr>
        <w:tabs>
          <w:tab w:val="num" w:pos="360"/>
        </w:tabs>
        <w:ind w:left="360" w:hanging="360"/>
      </w:pPr>
    </w:lvl>
  </w:abstractNum>
  <w:abstractNum w:abstractNumId="275">
    <w:nsid w:val="55055F1F"/>
    <w:multiLevelType w:val="singleLevel"/>
    <w:tmpl w:val="3B080650"/>
    <w:lvl w:ilvl="0">
      <w:start w:val="143"/>
      <w:numFmt w:val="decimal"/>
      <w:lvlText w:val="%1."/>
      <w:lvlJc w:val="left"/>
      <w:pPr>
        <w:tabs>
          <w:tab w:val="num" w:pos="360"/>
        </w:tabs>
        <w:ind w:left="360" w:hanging="360"/>
      </w:pPr>
    </w:lvl>
  </w:abstractNum>
  <w:abstractNum w:abstractNumId="276">
    <w:nsid w:val="556F51B4"/>
    <w:multiLevelType w:val="singleLevel"/>
    <w:tmpl w:val="B944E7A8"/>
    <w:lvl w:ilvl="0">
      <w:start w:val="30"/>
      <w:numFmt w:val="decimal"/>
      <w:lvlText w:val="%1."/>
      <w:lvlJc w:val="left"/>
      <w:pPr>
        <w:tabs>
          <w:tab w:val="num" w:pos="360"/>
        </w:tabs>
        <w:ind w:left="360" w:hanging="360"/>
      </w:pPr>
    </w:lvl>
  </w:abstractNum>
  <w:abstractNum w:abstractNumId="277">
    <w:nsid w:val="55B000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78">
    <w:nsid w:val="56123899"/>
    <w:multiLevelType w:val="hybridMultilevel"/>
    <w:tmpl w:val="2820B08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9">
    <w:nsid w:val="568E5A4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80">
    <w:nsid w:val="569F61F0"/>
    <w:multiLevelType w:val="singleLevel"/>
    <w:tmpl w:val="623E5544"/>
    <w:lvl w:ilvl="0">
      <w:start w:val="97"/>
      <w:numFmt w:val="decimal"/>
      <w:lvlText w:val="%1."/>
      <w:lvlJc w:val="left"/>
      <w:pPr>
        <w:tabs>
          <w:tab w:val="num" w:pos="360"/>
        </w:tabs>
        <w:ind w:left="360" w:hanging="360"/>
      </w:pPr>
    </w:lvl>
  </w:abstractNum>
  <w:abstractNum w:abstractNumId="281">
    <w:nsid w:val="57551293"/>
    <w:multiLevelType w:val="singleLevel"/>
    <w:tmpl w:val="AA8EA840"/>
    <w:lvl w:ilvl="0">
      <w:start w:val="351"/>
      <w:numFmt w:val="decimal"/>
      <w:lvlText w:val="%1."/>
      <w:lvlJc w:val="left"/>
      <w:pPr>
        <w:tabs>
          <w:tab w:val="num" w:pos="360"/>
        </w:tabs>
        <w:ind w:left="360" w:hanging="360"/>
      </w:pPr>
    </w:lvl>
  </w:abstractNum>
  <w:abstractNum w:abstractNumId="282">
    <w:nsid w:val="585B6AEE"/>
    <w:multiLevelType w:val="singleLevel"/>
    <w:tmpl w:val="4DDC6CAE"/>
    <w:lvl w:ilvl="0">
      <w:start w:val="396"/>
      <w:numFmt w:val="decimal"/>
      <w:lvlText w:val="%1."/>
      <w:lvlJc w:val="left"/>
      <w:pPr>
        <w:tabs>
          <w:tab w:val="num" w:pos="360"/>
        </w:tabs>
        <w:ind w:left="360" w:hanging="360"/>
      </w:pPr>
    </w:lvl>
  </w:abstractNum>
  <w:abstractNum w:abstractNumId="283">
    <w:nsid w:val="58893C78"/>
    <w:multiLevelType w:val="singleLevel"/>
    <w:tmpl w:val="6B286302"/>
    <w:lvl w:ilvl="0">
      <w:start w:val="292"/>
      <w:numFmt w:val="decimal"/>
      <w:lvlText w:val="%1."/>
      <w:lvlJc w:val="left"/>
      <w:pPr>
        <w:tabs>
          <w:tab w:val="num" w:pos="360"/>
        </w:tabs>
        <w:ind w:left="340" w:hanging="340"/>
      </w:pPr>
      <w:rPr>
        <w:rFonts w:hint="default"/>
      </w:rPr>
    </w:lvl>
  </w:abstractNum>
  <w:abstractNum w:abstractNumId="284">
    <w:nsid w:val="58EF0861"/>
    <w:multiLevelType w:val="singleLevel"/>
    <w:tmpl w:val="755E186A"/>
    <w:lvl w:ilvl="0">
      <w:start w:val="110"/>
      <w:numFmt w:val="decimal"/>
      <w:lvlText w:val="%1."/>
      <w:lvlJc w:val="left"/>
      <w:pPr>
        <w:tabs>
          <w:tab w:val="num" w:pos="360"/>
        </w:tabs>
        <w:ind w:left="360" w:hanging="360"/>
      </w:pPr>
    </w:lvl>
  </w:abstractNum>
  <w:abstractNum w:abstractNumId="285">
    <w:nsid w:val="58F44E9E"/>
    <w:multiLevelType w:val="singleLevel"/>
    <w:tmpl w:val="B3A6698C"/>
    <w:lvl w:ilvl="0">
      <w:start w:val="350"/>
      <w:numFmt w:val="decimal"/>
      <w:lvlText w:val="%1."/>
      <w:lvlJc w:val="left"/>
      <w:pPr>
        <w:tabs>
          <w:tab w:val="num" w:pos="360"/>
        </w:tabs>
        <w:ind w:left="360" w:hanging="360"/>
      </w:pPr>
    </w:lvl>
  </w:abstractNum>
  <w:abstractNum w:abstractNumId="286">
    <w:nsid w:val="59DF0EC2"/>
    <w:multiLevelType w:val="singleLevel"/>
    <w:tmpl w:val="C91CAB04"/>
    <w:lvl w:ilvl="0">
      <w:start w:val="198"/>
      <w:numFmt w:val="decimal"/>
      <w:lvlText w:val="%1."/>
      <w:lvlJc w:val="left"/>
      <w:pPr>
        <w:tabs>
          <w:tab w:val="num" w:pos="720"/>
        </w:tabs>
        <w:ind w:left="720" w:hanging="720"/>
      </w:pPr>
      <w:rPr>
        <w:rFonts w:hint="default"/>
      </w:rPr>
    </w:lvl>
  </w:abstractNum>
  <w:abstractNum w:abstractNumId="287">
    <w:nsid w:val="5A861465"/>
    <w:multiLevelType w:val="singleLevel"/>
    <w:tmpl w:val="2758D1E4"/>
    <w:lvl w:ilvl="0">
      <w:start w:val="138"/>
      <w:numFmt w:val="decimal"/>
      <w:lvlText w:val="%1."/>
      <w:lvlJc w:val="left"/>
      <w:pPr>
        <w:tabs>
          <w:tab w:val="num" w:pos="360"/>
        </w:tabs>
        <w:ind w:left="360" w:hanging="360"/>
      </w:pPr>
    </w:lvl>
  </w:abstractNum>
  <w:abstractNum w:abstractNumId="288">
    <w:nsid w:val="5B0B6D52"/>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289">
    <w:nsid w:val="5B3A7E06"/>
    <w:multiLevelType w:val="singleLevel"/>
    <w:tmpl w:val="D98C7C6A"/>
    <w:lvl w:ilvl="0">
      <w:numFmt w:val="bullet"/>
      <w:lvlText w:val="-"/>
      <w:lvlJc w:val="left"/>
      <w:pPr>
        <w:tabs>
          <w:tab w:val="num" w:pos="360"/>
        </w:tabs>
        <w:ind w:left="360" w:hanging="360"/>
      </w:pPr>
      <w:rPr>
        <w:rFonts w:hint="default"/>
      </w:rPr>
    </w:lvl>
  </w:abstractNum>
  <w:abstractNum w:abstractNumId="290">
    <w:nsid w:val="5BFD4BF9"/>
    <w:multiLevelType w:val="singleLevel"/>
    <w:tmpl w:val="748A3BFC"/>
    <w:lvl w:ilvl="0">
      <w:start w:val="307"/>
      <w:numFmt w:val="decimal"/>
      <w:lvlText w:val="%1."/>
      <w:lvlJc w:val="left"/>
      <w:pPr>
        <w:tabs>
          <w:tab w:val="num" w:pos="360"/>
        </w:tabs>
        <w:ind w:left="360" w:hanging="360"/>
      </w:pPr>
    </w:lvl>
  </w:abstractNum>
  <w:abstractNum w:abstractNumId="291">
    <w:nsid w:val="5C4E5F36"/>
    <w:multiLevelType w:val="singleLevel"/>
    <w:tmpl w:val="464A0D82"/>
    <w:lvl w:ilvl="0">
      <w:start w:val="140"/>
      <w:numFmt w:val="decimal"/>
      <w:lvlText w:val="%1."/>
      <w:lvlJc w:val="left"/>
      <w:pPr>
        <w:tabs>
          <w:tab w:val="num" w:pos="360"/>
        </w:tabs>
        <w:ind w:left="360" w:hanging="360"/>
      </w:pPr>
    </w:lvl>
  </w:abstractNum>
  <w:abstractNum w:abstractNumId="292">
    <w:nsid w:val="5D20655E"/>
    <w:multiLevelType w:val="singleLevel"/>
    <w:tmpl w:val="28603432"/>
    <w:lvl w:ilvl="0">
      <w:start w:val="363"/>
      <w:numFmt w:val="decimal"/>
      <w:lvlText w:val="%1."/>
      <w:lvlJc w:val="left"/>
      <w:pPr>
        <w:tabs>
          <w:tab w:val="num" w:pos="360"/>
        </w:tabs>
        <w:ind w:left="360" w:hanging="360"/>
      </w:pPr>
    </w:lvl>
  </w:abstractNum>
  <w:abstractNum w:abstractNumId="293">
    <w:nsid w:val="5D4C7FD3"/>
    <w:multiLevelType w:val="singleLevel"/>
    <w:tmpl w:val="3266C95E"/>
    <w:lvl w:ilvl="0">
      <w:start w:val="323"/>
      <w:numFmt w:val="decimal"/>
      <w:lvlText w:val="%1."/>
      <w:lvlJc w:val="left"/>
      <w:pPr>
        <w:tabs>
          <w:tab w:val="num" w:pos="360"/>
        </w:tabs>
        <w:ind w:left="360" w:hanging="360"/>
      </w:pPr>
    </w:lvl>
  </w:abstractNum>
  <w:abstractNum w:abstractNumId="294">
    <w:nsid w:val="5D6824F7"/>
    <w:multiLevelType w:val="singleLevel"/>
    <w:tmpl w:val="BE88F3D2"/>
    <w:lvl w:ilvl="0">
      <w:start w:val="348"/>
      <w:numFmt w:val="decimal"/>
      <w:lvlText w:val="%1."/>
      <w:lvlJc w:val="left"/>
      <w:pPr>
        <w:tabs>
          <w:tab w:val="num" w:pos="360"/>
        </w:tabs>
        <w:ind w:left="360" w:hanging="360"/>
      </w:pPr>
    </w:lvl>
  </w:abstractNum>
  <w:abstractNum w:abstractNumId="295">
    <w:nsid w:val="5D8323DC"/>
    <w:multiLevelType w:val="singleLevel"/>
    <w:tmpl w:val="AE86E8AC"/>
    <w:lvl w:ilvl="0">
      <w:start w:val="198"/>
      <w:numFmt w:val="decimal"/>
      <w:lvlText w:val="%1."/>
      <w:lvlJc w:val="left"/>
      <w:pPr>
        <w:tabs>
          <w:tab w:val="num" w:pos="360"/>
        </w:tabs>
        <w:ind w:left="0" w:firstLine="0"/>
      </w:pPr>
    </w:lvl>
  </w:abstractNum>
  <w:abstractNum w:abstractNumId="296">
    <w:nsid w:val="5D8B65FF"/>
    <w:multiLevelType w:val="singleLevel"/>
    <w:tmpl w:val="93C46E88"/>
    <w:lvl w:ilvl="0">
      <w:start w:val="136"/>
      <w:numFmt w:val="decimal"/>
      <w:lvlText w:val="%1."/>
      <w:lvlJc w:val="left"/>
      <w:pPr>
        <w:tabs>
          <w:tab w:val="num" w:pos="360"/>
        </w:tabs>
        <w:ind w:left="360" w:hanging="360"/>
      </w:pPr>
    </w:lvl>
  </w:abstractNum>
  <w:abstractNum w:abstractNumId="297">
    <w:nsid w:val="5DE13FC6"/>
    <w:multiLevelType w:val="singleLevel"/>
    <w:tmpl w:val="89842F8C"/>
    <w:lvl w:ilvl="0">
      <w:start w:val="445"/>
      <w:numFmt w:val="decimal"/>
      <w:lvlText w:val="%1."/>
      <w:lvlJc w:val="left"/>
      <w:pPr>
        <w:tabs>
          <w:tab w:val="num" w:pos="360"/>
        </w:tabs>
        <w:ind w:left="360" w:hanging="360"/>
      </w:pPr>
    </w:lvl>
  </w:abstractNum>
  <w:abstractNum w:abstractNumId="298">
    <w:nsid w:val="5E4A76CA"/>
    <w:multiLevelType w:val="singleLevel"/>
    <w:tmpl w:val="711A8E62"/>
    <w:lvl w:ilvl="0">
      <w:start w:val="26"/>
      <w:numFmt w:val="decimal"/>
      <w:lvlText w:val="%1."/>
      <w:lvlJc w:val="left"/>
      <w:pPr>
        <w:tabs>
          <w:tab w:val="num" w:pos="360"/>
        </w:tabs>
        <w:ind w:left="360" w:hanging="360"/>
      </w:pPr>
    </w:lvl>
  </w:abstractNum>
  <w:abstractNum w:abstractNumId="299">
    <w:nsid w:val="5EA53D5B"/>
    <w:multiLevelType w:val="singleLevel"/>
    <w:tmpl w:val="D98C7C6A"/>
    <w:lvl w:ilvl="0">
      <w:numFmt w:val="bullet"/>
      <w:lvlText w:val="-"/>
      <w:lvlJc w:val="left"/>
      <w:pPr>
        <w:tabs>
          <w:tab w:val="num" w:pos="360"/>
        </w:tabs>
        <w:ind w:left="360" w:hanging="360"/>
      </w:pPr>
      <w:rPr>
        <w:rFonts w:hint="default"/>
      </w:rPr>
    </w:lvl>
  </w:abstractNum>
  <w:abstractNum w:abstractNumId="300">
    <w:nsid w:val="5EF9397A"/>
    <w:multiLevelType w:val="singleLevel"/>
    <w:tmpl w:val="3ED60002"/>
    <w:lvl w:ilvl="0">
      <w:start w:val="150"/>
      <w:numFmt w:val="decimal"/>
      <w:lvlText w:val="%1."/>
      <w:lvlJc w:val="left"/>
      <w:pPr>
        <w:tabs>
          <w:tab w:val="num" w:pos="360"/>
        </w:tabs>
        <w:ind w:left="360" w:hanging="360"/>
      </w:pPr>
    </w:lvl>
  </w:abstractNum>
  <w:abstractNum w:abstractNumId="301">
    <w:nsid w:val="5F574F95"/>
    <w:multiLevelType w:val="singleLevel"/>
    <w:tmpl w:val="52EEECB4"/>
    <w:lvl w:ilvl="0">
      <w:start w:val="352"/>
      <w:numFmt w:val="bullet"/>
      <w:lvlText w:val="-"/>
      <w:lvlJc w:val="left"/>
      <w:pPr>
        <w:tabs>
          <w:tab w:val="num" w:pos="360"/>
        </w:tabs>
        <w:ind w:left="360" w:hanging="360"/>
      </w:pPr>
      <w:rPr>
        <w:rFonts w:hint="default"/>
      </w:rPr>
    </w:lvl>
  </w:abstractNum>
  <w:abstractNum w:abstractNumId="302">
    <w:nsid w:val="5F700877"/>
    <w:multiLevelType w:val="singleLevel"/>
    <w:tmpl w:val="0419000F"/>
    <w:lvl w:ilvl="0">
      <w:start w:val="1"/>
      <w:numFmt w:val="decimal"/>
      <w:lvlText w:val="%1."/>
      <w:lvlJc w:val="left"/>
      <w:pPr>
        <w:tabs>
          <w:tab w:val="num" w:pos="360"/>
        </w:tabs>
        <w:ind w:left="360" w:hanging="360"/>
      </w:pPr>
    </w:lvl>
  </w:abstractNum>
  <w:abstractNum w:abstractNumId="303">
    <w:nsid w:val="60270283"/>
    <w:multiLevelType w:val="singleLevel"/>
    <w:tmpl w:val="0E8EA210"/>
    <w:lvl w:ilvl="0">
      <w:start w:val="1"/>
      <w:numFmt w:val="lowerLetter"/>
      <w:lvlText w:val="%1)"/>
      <w:lvlJc w:val="left"/>
      <w:pPr>
        <w:tabs>
          <w:tab w:val="num" w:pos="360"/>
        </w:tabs>
        <w:ind w:left="360" w:hanging="360"/>
      </w:pPr>
    </w:lvl>
  </w:abstractNum>
  <w:abstractNum w:abstractNumId="304">
    <w:nsid w:val="60A56935"/>
    <w:multiLevelType w:val="singleLevel"/>
    <w:tmpl w:val="027CA574"/>
    <w:lvl w:ilvl="0">
      <w:start w:val="317"/>
      <w:numFmt w:val="decimal"/>
      <w:lvlText w:val="%1."/>
      <w:lvlJc w:val="left"/>
      <w:pPr>
        <w:tabs>
          <w:tab w:val="num" w:pos="360"/>
        </w:tabs>
        <w:ind w:left="360" w:hanging="360"/>
      </w:pPr>
    </w:lvl>
  </w:abstractNum>
  <w:abstractNum w:abstractNumId="305">
    <w:nsid w:val="60A97855"/>
    <w:multiLevelType w:val="singleLevel"/>
    <w:tmpl w:val="0419000F"/>
    <w:lvl w:ilvl="0">
      <w:start w:val="1"/>
      <w:numFmt w:val="decimal"/>
      <w:lvlText w:val="%1."/>
      <w:lvlJc w:val="left"/>
      <w:pPr>
        <w:tabs>
          <w:tab w:val="num" w:pos="360"/>
        </w:tabs>
        <w:ind w:left="360" w:hanging="360"/>
      </w:pPr>
    </w:lvl>
  </w:abstractNum>
  <w:abstractNum w:abstractNumId="306">
    <w:nsid w:val="60E746A1"/>
    <w:multiLevelType w:val="singleLevel"/>
    <w:tmpl w:val="271239D4"/>
    <w:lvl w:ilvl="0">
      <w:start w:val="291"/>
      <w:numFmt w:val="decimal"/>
      <w:lvlText w:val="%1."/>
      <w:lvlJc w:val="left"/>
      <w:pPr>
        <w:tabs>
          <w:tab w:val="num" w:pos="360"/>
        </w:tabs>
        <w:ind w:left="360" w:hanging="360"/>
      </w:pPr>
    </w:lvl>
  </w:abstractNum>
  <w:abstractNum w:abstractNumId="307">
    <w:nsid w:val="619D7DF7"/>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08">
    <w:nsid w:val="61D56459"/>
    <w:multiLevelType w:val="singleLevel"/>
    <w:tmpl w:val="E5EC1932"/>
    <w:lvl w:ilvl="0">
      <w:start w:val="2"/>
      <w:numFmt w:val="decimal"/>
      <w:lvlText w:val="%1."/>
      <w:lvlJc w:val="left"/>
      <w:pPr>
        <w:tabs>
          <w:tab w:val="num" w:pos="360"/>
        </w:tabs>
        <w:ind w:left="360" w:hanging="360"/>
      </w:pPr>
    </w:lvl>
  </w:abstractNum>
  <w:abstractNum w:abstractNumId="309">
    <w:nsid w:val="61DA3877"/>
    <w:multiLevelType w:val="singleLevel"/>
    <w:tmpl w:val="23D62BDA"/>
    <w:lvl w:ilvl="0">
      <w:start w:val="168"/>
      <w:numFmt w:val="decimal"/>
      <w:lvlText w:val="%1."/>
      <w:lvlJc w:val="left"/>
      <w:pPr>
        <w:tabs>
          <w:tab w:val="num" w:pos="360"/>
        </w:tabs>
        <w:ind w:left="360" w:hanging="360"/>
      </w:pPr>
    </w:lvl>
  </w:abstractNum>
  <w:abstractNum w:abstractNumId="310">
    <w:nsid w:val="6335316B"/>
    <w:multiLevelType w:val="singleLevel"/>
    <w:tmpl w:val="67F22938"/>
    <w:lvl w:ilvl="0">
      <w:start w:val="155"/>
      <w:numFmt w:val="decimal"/>
      <w:lvlText w:val="%1."/>
      <w:lvlJc w:val="left"/>
      <w:pPr>
        <w:tabs>
          <w:tab w:val="num" w:pos="624"/>
        </w:tabs>
        <w:ind w:left="624" w:hanging="624"/>
      </w:pPr>
    </w:lvl>
  </w:abstractNum>
  <w:abstractNum w:abstractNumId="311">
    <w:nsid w:val="6356214E"/>
    <w:multiLevelType w:val="singleLevel"/>
    <w:tmpl w:val="52EEECB4"/>
    <w:lvl w:ilvl="0">
      <w:start w:val="352"/>
      <w:numFmt w:val="bullet"/>
      <w:lvlText w:val="-"/>
      <w:lvlJc w:val="left"/>
      <w:pPr>
        <w:tabs>
          <w:tab w:val="num" w:pos="360"/>
        </w:tabs>
        <w:ind w:left="360" w:hanging="360"/>
      </w:pPr>
      <w:rPr>
        <w:rFonts w:hint="default"/>
      </w:rPr>
    </w:lvl>
  </w:abstractNum>
  <w:abstractNum w:abstractNumId="312">
    <w:nsid w:val="635B58F4"/>
    <w:multiLevelType w:val="singleLevel"/>
    <w:tmpl w:val="A766748E"/>
    <w:lvl w:ilvl="0">
      <w:start w:val="167"/>
      <w:numFmt w:val="decimal"/>
      <w:lvlText w:val="%1."/>
      <w:lvlJc w:val="left"/>
      <w:pPr>
        <w:tabs>
          <w:tab w:val="num" w:pos="360"/>
        </w:tabs>
        <w:ind w:left="360" w:hanging="360"/>
      </w:pPr>
    </w:lvl>
  </w:abstractNum>
  <w:abstractNum w:abstractNumId="313">
    <w:nsid w:val="6440408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14">
    <w:nsid w:val="6452700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5">
    <w:nsid w:val="646F4107"/>
    <w:multiLevelType w:val="singleLevel"/>
    <w:tmpl w:val="3AD68B42"/>
    <w:lvl w:ilvl="0">
      <w:start w:val="169"/>
      <w:numFmt w:val="decimal"/>
      <w:lvlText w:val="%1."/>
      <w:lvlJc w:val="left"/>
      <w:pPr>
        <w:tabs>
          <w:tab w:val="num" w:pos="360"/>
        </w:tabs>
        <w:ind w:left="360" w:hanging="360"/>
      </w:pPr>
    </w:lvl>
  </w:abstractNum>
  <w:abstractNum w:abstractNumId="316">
    <w:nsid w:val="64990DCE"/>
    <w:multiLevelType w:val="singleLevel"/>
    <w:tmpl w:val="7A1CE3FC"/>
    <w:lvl w:ilvl="0">
      <w:start w:val="46"/>
      <w:numFmt w:val="decimal"/>
      <w:lvlText w:val="%1."/>
      <w:lvlJc w:val="left"/>
      <w:pPr>
        <w:tabs>
          <w:tab w:val="num" w:pos="360"/>
        </w:tabs>
        <w:ind w:left="360" w:hanging="360"/>
      </w:pPr>
    </w:lvl>
  </w:abstractNum>
  <w:abstractNum w:abstractNumId="317">
    <w:nsid w:val="64B25C05"/>
    <w:multiLevelType w:val="singleLevel"/>
    <w:tmpl w:val="441A0002"/>
    <w:lvl w:ilvl="0">
      <w:start w:val="162"/>
      <w:numFmt w:val="decimal"/>
      <w:lvlText w:val="%1."/>
      <w:lvlJc w:val="left"/>
      <w:pPr>
        <w:tabs>
          <w:tab w:val="num" w:pos="360"/>
        </w:tabs>
        <w:ind w:left="360" w:hanging="360"/>
      </w:pPr>
    </w:lvl>
  </w:abstractNum>
  <w:abstractNum w:abstractNumId="318">
    <w:nsid w:val="64BF3DA8"/>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319">
    <w:nsid w:val="65151EC9"/>
    <w:multiLevelType w:val="singleLevel"/>
    <w:tmpl w:val="6AE8CDD4"/>
    <w:lvl w:ilvl="0">
      <w:start w:val="260"/>
      <w:numFmt w:val="decimal"/>
      <w:lvlText w:val="%1."/>
      <w:lvlJc w:val="left"/>
      <w:pPr>
        <w:tabs>
          <w:tab w:val="num" w:pos="360"/>
        </w:tabs>
        <w:ind w:left="360" w:hanging="360"/>
      </w:pPr>
    </w:lvl>
  </w:abstractNum>
  <w:abstractNum w:abstractNumId="320">
    <w:nsid w:val="65605DA2"/>
    <w:multiLevelType w:val="singleLevel"/>
    <w:tmpl w:val="AB0EC75C"/>
    <w:lvl w:ilvl="0">
      <w:start w:val="208"/>
      <w:numFmt w:val="decimal"/>
      <w:lvlText w:val="%1."/>
      <w:lvlJc w:val="left"/>
      <w:pPr>
        <w:tabs>
          <w:tab w:val="num" w:pos="360"/>
        </w:tabs>
        <w:ind w:left="360" w:hanging="360"/>
      </w:pPr>
    </w:lvl>
  </w:abstractNum>
  <w:abstractNum w:abstractNumId="321">
    <w:nsid w:val="656825E9"/>
    <w:multiLevelType w:val="hybridMultilevel"/>
    <w:tmpl w:val="42E0F4C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2">
    <w:nsid w:val="656B11E4"/>
    <w:multiLevelType w:val="singleLevel"/>
    <w:tmpl w:val="6B669F24"/>
    <w:lvl w:ilvl="0">
      <w:start w:val="40"/>
      <w:numFmt w:val="decimal"/>
      <w:lvlText w:val="%1."/>
      <w:lvlJc w:val="left"/>
      <w:pPr>
        <w:tabs>
          <w:tab w:val="num" w:pos="360"/>
        </w:tabs>
        <w:ind w:left="360" w:hanging="360"/>
      </w:pPr>
    </w:lvl>
  </w:abstractNum>
  <w:abstractNum w:abstractNumId="323">
    <w:nsid w:val="6653573A"/>
    <w:multiLevelType w:val="singleLevel"/>
    <w:tmpl w:val="9274F460"/>
    <w:lvl w:ilvl="0">
      <w:start w:val="433"/>
      <w:numFmt w:val="decimal"/>
      <w:lvlText w:val="%1."/>
      <w:lvlJc w:val="left"/>
      <w:pPr>
        <w:tabs>
          <w:tab w:val="num" w:pos="360"/>
        </w:tabs>
        <w:ind w:left="360" w:hanging="360"/>
      </w:pPr>
    </w:lvl>
  </w:abstractNum>
  <w:abstractNum w:abstractNumId="324">
    <w:nsid w:val="66686379"/>
    <w:multiLevelType w:val="singleLevel"/>
    <w:tmpl w:val="7A0460F2"/>
    <w:lvl w:ilvl="0">
      <w:start w:val="393"/>
      <w:numFmt w:val="decimal"/>
      <w:lvlText w:val="%1."/>
      <w:lvlJc w:val="left"/>
      <w:pPr>
        <w:tabs>
          <w:tab w:val="num" w:pos="360"/>
        </w:tabs>
        <w:ind w:left="360" w:hanging="360"/>
      </w:pPr>
    </w:lvl>
  </w:abstractNum>
  <w:abstractNum w:abstractNumId="325">
    <w:nsid w:val="67CA0BA7"/>
    <w:multiLevelType w:val="singleLevel"/>
    <w:tmpl w:val="F73EB5C4"/>
    <w:lvl w:ilvl="0">
      <w:start w:val="23"/>
      <w:numFmt w:val="decimal"/>
      <w:lvlText w:val="%1."/>
      <w:lvlJc w:val="left"/>
      <w:pPr>
        <w:tabs>
          <w:tab w:val="num" w:pos="360"/>
        </w:tabs>
        <w:ind w:left="360" w:hanging="360"/>
      </w:pPr>
    </w:lvl>
  </w:abstractNum>
  <w:abstractNum w:abstractNumId="326">
    <w:nsid w:val="67E87D16"/>
    <w:multiLevelType w:val="singleLevel"/>
    <w:tmpl w:val="2B56CBF4"/>
    <w:lvl w:ilvl="0">
      <w:start w:val="4"/>
      <w:numFmt w:val="decimal"/>
      <w:lvlText w:val="(%1)"/>
      <w:lvlJc w:val="left"/>
      <w:pPr>
        <w:tabs>
          <w:tab w:val="num" w:pos="360"/>
        </w:tabs>
        <w:ind w:left="360" w:hanging="360"/>
      </w:pPr>
      <w:rPr>
        <w:rFonts w:hint="default"/>
      </w:rPr>
    </w:lvl>
  </w:abstractNum>
  <w:abstractNum w:abstractNumId="327">
    <w:nsid w:val="68777C5B"/>
    <w:multiLevelType w:val="singleLevel"/>
    <w:tmpl w:val="0A5003C6"/>
    <w:lvl w:ilvl="0">
      <w:start w:val="165"/>
      <w:numFmt w:val="decimal"/>
      <w:lvlText w:val="%1."/>
      <w:lvlJc w:val="left"/>
      <w:pPr>
        <w:tabs>
          <w:tab w:val="num" w:pos="360"/>
        </w:tabs>
        <w:ind w:left="360" w:hanging="360"/>
      </w:pPr>
    </w:lvl>
  </w:abstractNum>
  <w:abstractNum w:abstractNumId="328">
    <w:nsid w:val="68AE2258"/>
    <w:multiLevelType w:val="singleLevel"/>
    <w:tmpl w:val="6CD0C1CA"/>
    <w:lvl w:ilvl="0">
      <w:start w:val="301"/>
      <w:numFmt w:val="decimal"/>
      <w:lvlText w:val="%1."/>
      <w:lvlJc w:val="left"/>
      <w:pPr>
        <w:tabs>
          <w:tab w:val="num" w:pos="360"/>
        </w:tabs>
        <w:ind w:left="360" w:hanging="360"/>
      </w:pPr>
    </w:lvl>
  </w:abstractNum>
  <w:abstractNum w:abstractNumId="329">
    <w:nsid w:val="68BE1FF2"/>
    <w:multiLevelType w:val="singleLevel"/>
    <w:tmpl w:val="1D06BCB4"/>
    <w:lvl w:ilvl="0">
      <w:start w:val="308"/>
      <w:numFmt w:val="decimal"/>
      <w:lvlText w:val="%1."/>
      <w:lvlJc w:val="left"/>
      <w:pPr>
        <w:tabs>
          <w:tab w:val="num" w:pos="360"/>
        </w:tabs>
        <w:ind w:left="360" w:hanging="360"/>
      </w:pPr>
    </w:lvl>
  </w:abstractNum>
  <w:abstractNum w:abstractNumId="330">
    <w:nsid w:val="68F30B0E"/>
    <w:multiLevelType w:val="singleLevel"/>
    <w:tmpl w:val="8DFA31DE"/>
    <w:lvl w:ilvl="0">
      <w:start w:val="371"/>
      <w:numFmt w:val="decimal"/>
      <w:lvlText w:val="%1."/>
      <w:lvlJc w:val="left"/>
      <w:pPr>
        <w:tabs>
          <w:tab w:val="num" w:pos="360"/>
        </w:tabs>
        <w:ind w:left="360" w:hanging="360"/>
      </w:pPr>
    </w:lvl>
  </w:abstractNum>
  <w:abstractNum w:abstractNumId="331">
    <w:nsid w:val="693022F6"/>
    <w:multiLevelType w:val="singleLevel"/>
    <w:tmpl w:val="F45E5A54"/>
    <w:lvl w:ilvl="0">
      <w:start w:val="52"/>
      <w:numFmt w:val="decimal"/>
      <w:lvlText w:val="%1."/>
      <w:lvlJc w:val="left"/>
      <w:pPr>
        <w:tabs>
          <w:tab w:val="num" w:pos="360"/>
        </w:tabs>
        <w:ind w:left="360" w:hanging="360"/>
      </w:pPr>
    </w:lvl>
  </w:abstractNum>
  <w:abstractNum w:abstractNumId="332">
    <w:nsid w:val="69453D5D"/>
    <w:multiLevelType w:val="singleLevel"/>
    <w:tmpl w:val="5CCA3436"/>
    <w:lvl w:ilvl="0">
      <w:start w:val="119"/>
      <w:numFmt w:val="decimal"/>
      <w:lvlText w:val="%1."/>
      <w:lvlJc w:val="left"/>
      <w:pPr>
        <w:tabs>
          <w:tab w:val="num" w:pos="360"/>
        </w:tabs>
        <w:ind w:left="360" w:hanging="360"/>
      </w:pPr>
    </w:lvl>
  </w:abstractNum>
  <w:abstractNum w:abstractNumId="333">
    <w:nsid w:val="69B1779D"/>
    <w:multiLevelType w:val="singleLevel"/>
    <w:tmpl w:val="0419000F"/>
    <w:lvl w:ilvl="0">
      <w:start w:val="1"/>
      <w:numFmt w:val="decimal"/>
      <w:lvlText w:val="%1."/>
      <w:lvlJc w:val="left"/>
      <w:pPr>
        <w:tabs>
          <w:tab w:val="num" w:pos="360"/>
        </w:tabs>
        <w:ind w:left="360" w:hanging="360"/>
      </w:pPr>
    </w:lvl>
  </w:abstractNum>
  <w:abstractNum w:abstractNumId="334">
    <w:nsid w:val="6A824451"/>
    <w:multiLevelType w:val="singleLevel"/>
    <w:tmpl w:val="4C640D34"/>
    <w:lvl w:ilvl="0">
      <w:start w:val="224"/>
      <w:numFmt w:val="decimal"/>
      <w:lvlText w:val="%1."/>
      <w:lvlJc w:val="left"/>
      <w:pPr>
        <w:tabs>
          <w:tab w:val="num" w:pos="360"/>
        </w:tabs>
        <w:ind w:left="360" w:hanging="360"/>
      </w:pPr>
    </w:lvl>
  </w:abstractNum>
  <w:abstractNum w:abstractNumId="335">
    <w:nsid w:val="6A906862"/>
    <w:multiLevelType w:val="singleLevel"/>
    <w:tmpl w:val="710C5F5A"/>
    <w:lvl w:ilvl="0">
      <w:start w:val="100"/>
      <w:numFmt w:val="decimal"/>
      <w:lvlText w:val="%1."/>
      <w:lvlJc w:val="left"/>
      <w:pPr>
        <w:tabs>
          <w:tab w:val="num" w:pos="360"/>
        </w:tabs>
        <w:ind w:left="360" w:hanging="360"/>
      </w:pPr>
    </w:lvl>
  </w:abstractNum>
  <w:abstractNum w:abstractNumId="336">
    <w:nsid w:val="6AAD2E90"/>
    <w:multiLevelType w:val="singleLevel"/>
    <w:tmpl w:val="0419000F"/>
    <w:lvl w:ilvl="0">
      <w:start w:val="1"/>
      <w:numFmt w:val="decimal"/>
      <w:lvlText w:val="%1."/>
      <w:lvlJc w:val="left"/>
      <w:pPr>
        <w:tabs>
          <w:tab w:val="num" w:pos="360"/>
        </w:tabs>
        <w:ind w:left="360" w:hanging="360"/>
      </w:pPr>
    </w:lvl>
  </w:abstractNum>
  <w:abstractNum w:abstractNumId="337">
    <w:nsid w:val="6ACD0A38"/>
    <w:multiLevelType w:val="singleLevel"/>
    <w:tmpl w:val="798A0ED2"/>
    <w:lvl w:ilvl="0">
      <w:start w:val="281"/>
      <w:numFmt w:val="decimal"/>
      <w:lvlText w:val="%1."/>
      <w:lvlJc w:val="left"/>
      <w:pPr>
        <w:tabs>
          <w:tab w:val="num" w:pos="360"/>
        </w:tabs>
        <w:ind w:left="360" w:hanging="360"/>
      </w:pPr>
    </w:lvl>
  </w:abstractNum>
  <w:abstractNum w:abstractNumId="338">
    <w:nsid w:val="6AD54D8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39">
    <w:nsid w:val="6B310637"/>
    <w:multiLevelType w:val="singleLevel"/>
    <w:tmpl w:val="61F69BBC"/>
    <w:lvl w:ilvl="0">
      <w:start w:val="114"/>
      <w:numFmt w:val="decimal"/>
      <w:lvlText w:val="%1."/>
      <w:lvlJc w:val="left"/>
      <w:pPr>
        <w:tabs>
          <w:tab w:val="num" w:pos="360"/>
        </w:tabs>
        <w:ind w:left="360" w:hanging="360"/>
      </w:pPr>
    </w:lvl>
  </w:abstractNum>
  <w:abstractNum w:abstractNumId="340">
    <w:nsid w:val="6B79579B"/>
    <w:multiLevelType w:val="singleLevel"/>
    <w:tmpl w:val="52EEECB4"/>
    <w:lvl w:ilvl="0">
      <w:start w:val="352"/>
      <w:numFmt w:val="bullet"/>
      <w:lvlText w:val="-"/>
      <w:lvlJc w:val="left"/>
      <w:pPr>
        <w:tabs>
          <w:tab w:val="num" w:pos="360"/>
        </w:tabs>
        <w:ind w:left="360" w:hanging="360"/>
      </w:pPr>
      <w:rPr>
        <w:rFonts w:hint="default"/>
      </w:rPr>
    </w:lvl>
  </w:abstractNum>
  <w:abstractNum w:abstractNumId="341">
    <w:nsid w:val="6B7A00B4"/>
    <w:multiLevelType w:val="singleLevel"/>
    <w:tmpl w:val="45149E4C"/>
    <w:lvl w:ilvl="0">
      <w:numFmt w:val="bullet"/>
      <w:lvlText w:val="–"/>
      <w:lvlJc w:val="left"/>
      <w:pPr>
        <w:tabs>
          <w:tab w:val="num" w:pos="360"/>
        </w:tabs>
        <w:ind w:left="360" w:hanging="360"/>
      </w:pPr>
      <w:rPr>
        <w:rFonts w:hint="default"/>
      </w:rPr>
    </w:lvl>
  </w:abstractNum>
  <w:abstractNum w:abstractNumId="342">
    <w:nsid w:val="6B8A519D"/>
    <w:multiLevelType w:val="singleLevel"/>
    <w:tmpl w:val="DDCA232C"/>
    <w:lvl w:ilvl="0">
      <w:start w:val="129"/>
      <w:numFmt w:val="decimal"/>
      <w:lvlText w:val="%1."/>
      <w:lvlJc w:val="left"/>
      <w:pPr>
        <w:tabs>
          <w:tab w:val="num" w:pos="360"/>
        </w:tabs>
        <w:ind w:left="360" w:hanging="360"/>
      </w:pPr>
    </w:lvl>
  </w:abstractNum>
  <w:abstractNum w:abstractNumId="343">
    <w:nsid w:val="6C5B34B2"/>
    <w:multiLevelType w:val="singleLevel"/>
    <w:tmpl w:val="4E848D5A"/>
    <w:lvl w:ilvl="0">
      <w:start w:val="379"/>
      <w:numFmt w:val="decimal"/>
      <w:lvlText w:val="%1."/>
      <w:lvlJc w:val="left"/>
      <w:pPr>
        <w:tabs>
          <w:tab w:val="num" w:pos="360"/>
        </w:tabs>
        <w:ind w:left="360" w:hanging="360"/>
      </w:pPr>
    </w:lvl>
  </w:abstractNum>
  <w:abstractNum w:abstractNumId="344">
    <w:nsid w:val="6C5C463C"/>
    <w:multiLevelType w:val="singleLevel"/>
    <w:tmpl w:val="940AB8B2"/>
    <w:lvl w:ilvl="0">
      <w:start w:val="94"/>
      <w:numFmt w:val="decimal"/>
      <w:lvlText w:val="%1."/>
      <w:lvlJc w:val="left"/>
      <w:pPr>
        <w:tabs>
          <w:tab w:val="num" w:pos="360"/>
        </w:tabs>
        <w:ind w:left="360" w:hanging="360"/>
      </w:pPr>
    </w:lvl>
  </w:abstractNum>
  <w:abstractNum w:abstractNumId="345">
    <w:nsid w:val="6C7D57CA"/>
    <w:multiLevelType w:val="singleLevel"/>
    <w:tmpl w:val="286887F8"/>
    <w:lvl w:ilvl="0">
      <w:start w:val="289"/>
      <w:numFmt w:val="decimal"/>
      <w:lvlText w:val="%1."/>
      <w:lvlJc w:val="left"/>
      <w:pPr>
        <w:tabs>
          <w:tab w:val="num" w:pos="360"/>
        </w:tabs>
        <w:ind w:left="360" w:hanging="360"/>
      </w:pPr>
    </w:lvl>
  </w:abstractNum>
  <w:abstractNum w:abstractNumId="346">
    <w:nsid w:val="6CEB4C5D"/>
    <w:multiLevelType w:val="singleLevel"/>
    <w:tmpl w:val="0419000F"/>
    <w:lvl w:ilvl="0">
      <w:start w:val="1"/>
      <w:numFmt w:val="decimal"/>
      <w:lvlText w:val="%1."/>
      <w:lvlJc w:val="left"/>
      <w:pPr>
        <w:tabs>
          <w:tab w:val="num" w:pos="360"/>
        </w:tabs>
        <w:ind w:left="360" w:hanging="360"/>
      </w:pPr>
    </w:lvl>
  </w:abstractNum>
  <w:abstractNum w:abstractNumId="347">
    <w:nsid w:val="6CF9613C"/>
    <w:multiLevelType w:val="singleLevel"/>
    <w:tmpl w:val="05EA60FE"/>
    <w:lvl w:ilvl="0">
      <w:start w:val="332"/>
      <w:numFmt w:val="decimal"/>
      <w:lvlText w:val="%1."/>
      <w:lvlJc w:val="left"/>
      <w:pPr>
        <w:tabs>
          <w:tab w:val="num" w:pos="360"/>
        </w:tabs>
        <w:ind w:left="360" w:hanging="360"/>
      </w:pPr>
    </w:lvl>
  </w:abstractNum>
  <w:abstractNum w:abstractNumId="348">
    <w:nsid w:val="6D565C60"/>
    <w:multiLevelType w:val="singleLevel"/>
    <w:tmpl w:val="D2E6750C"/>
    <w:lvl w:ilvl="0">
      <w:start w:val="4"/>
      <w:numFmt w:val="lowerLetter"/>
      <w:lvlText w:val="%1)"/>
      <w:lvlJc w:val="left"/>
      <w:pPr>
        <w:tabs>
          <w:tab w:val="num" w:pos="360"/>
        </w:tabs>
        <w:ind w:left="360" w:hanging="360"/>
      </w:pPr>
    </w:lvl>
  </w:abstractNum>
  <w:abstractNum w:abstractNumId="349">
    <w:nsid w:val="6D900E37"/>
    <w:multiLevelType w:val="singleLevel"/>
    <w:tmpl w:val="EA72D116"/>
    <w:lvl w:ilvl="0">
      <w:start w:val="320"/>
      <w:numFmt w:val="decimal"/>
      <w:lvlText w:val="%1."/>
      <w:lvlJc w:val="left"/>
      <w:pPr>
        <w:tabs>
          <w:tab w:val="num" w:pos="360"/>
        </w:tabs>
        <w:ind w:left="360" w:hanging="360"/>
      </w:pPr>
    </w:lvl>
  </w:abstractNum>
  <w:abstractNum w:abstractNumId="350">
    <w:nsid w:val="6DE07D9B"/>
    <w:multiLevelType w:val="singleLevel"/>
    <w:tmpl w:val="42A06A96"/>
    <w:lvl w:ilvl="0">
      <w:start w:val="16"/>
      <w:numFmt w:val="decimal"/>
      <w:lvlText w:val="%1."/>
      <w:lvlJc w:val="left"/>
      <w:pPr>
        <w:tabs>
          <w:tab w:val="num" w:pos="360"/>
        </w:tabs>
        <w:ind w:left="360" w:hanging="360"/>
      </w:pPr>
    </w:lvl>
  </w:abstractNum>
  <w:abstractNum w:abstractNumId="351">
    <w:nsid w:val="6DE65CC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52">
    <w:nsid w:val="6E0049AA"/>
    <w:multiLevelType w:val="singleLevel"/>
    <w:tmpl w:val="0419000F"/>
    <w:lvl w:ilvl="0">
      <w:start w:val="1"/>
      <w:numFmt w:val="decimal"/>
      <w:lvlText w:val="%1."/>
      <w:lvlJc w:val="left"/>
      <w:pPr>
        <w:tabs>
          <w:tab w:val="num" w:pos="360"/>
        </w:tabs>
        <w:ind w:left="360" w:hanging="360"/>
      </w:pPr>
    </w:lvl>
  </w:abstractNum>
  <w:abstractNum w:abstractNumId="353">
    <w:nsid w:val="6EC846C4"/>
    <w:multiLevelType w:val="singleLevel"/>
    <w:tmpl w:val="52EEECB4"/>
    <w:lvl w:ilvl="0">
      <w:start w:val="352"/>
      <w:numFmt w:val="bullet"/>
      <w:lvlText w:val="-"/>
      <w:lvlJc w:val="left"/>
      <w:pPr>
        <w:tabs>
          <w:tab w:val="num" w:pos="360"/>
        </w:tabs>
        <w:ind w:left="360" w:hanging="360"/>
      </w:pPr>
      <w:rPr>
        <w:rFonts w:hint="default"/>
      </w:rPr>
    </w:lvl>
  </w:abstractNum>
  <w:abstractNum w:abstractNumId="354">
    <w:nsid w:val="6EE8030D"/>
    <w:multiLevelType w:val="singleLevel"/>
    <w:tmpl w:val="05362BFC"/>
    <w:lvl w:ilvl="0">
      <w:start w:val="210"/>
      <w:numFmt w:val="decimal"/>
      <w:lvlText w:val="%1."/>
      <w:lvlJc w:val="left"/>
      <w:pPr>
        <w:tabs>
          <w:tab w:val="num" w:pos="360"/>
        </w:tabs>
        <w:ind w:left="360" w:hanging="360"/>
      </w:pPr>
    </w:lvl>
  </w:abstractNum>
  <w:abstractNum w:abstractNumId="355">
    <w:nsid w:val="70536272"/>
    <w:multiLevelType w:val="singleLevel"/>
    <w:tmpl w:val="027CA574"/>
    <w:lvl w:ilvl="0">
      <w:start w:val="317"/>
      <w:numFmt w:val="decimal"/>
      <w:lvlText w:val="%1."/>
      <w:lvlJc w:val="left"/>
      <w:pPr>
        <w:tabs>
          <w:tab w:val="num" w:pos="360"/>
        </w:tabs>
        <w:ind w:left="360" w:hanging="360"/>
      </w:pPr>
    </w:lvl>
  </w:abstractNum>
  <w:abstractNum w:abstractNumId="356">
    <w:nsid w:val="7059486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57">
    <w:nsid w:val="71203B80"/>
    <w:multiLevelType w:val="singleLevel"/>
    <w:tmpl w:val="F9086910"/>
    <w:lvl w:ilvl="0">
      <w:start w:val="75"/>
      <w:numFmt w:val="decimal"/>
      <w:lvlText w:val="%1."/>
      <w:lvlJc w:val="left"/>
      <w:pPr>
        <w:tabs>
          <w:tab w:val="num" w:pos="360"/>
        </w:tabs>
        <w:ind w:left="360" w:hanging="360"/>
      </w:pPr>
    </w:lvl>
  </w:abstractNum>
  <w:abstractNum w:abstractNumId="358">
    <w:nsid w:val="715814D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59">
    <w:nsid w:val="729621E3"/>
    <w:multiLevelType w:val="singleLevel"/>
    <w:tmpl w:val="D98C7C6A"/>
    <w:lvl w:ilvl="0">
      <w:numFmt w:val="bullet"/>
      <w:lvlText w:val="-"/>
      <w:lvlJc w:val="left"/>
      <w:pPr>
        <w:tabs>
          <w:tab w:val="num" w:pos="360"/>
        </w:tabs>
        <w:ind w:left="360" w:hanging="360"/>
      </w:pPr>
      <w:rPr>
        <w:rFonts w:hint="default"/>
      </w:rPr>
    </w:lvl>
  </w:abstractNum>
  <w:abstractNum w:abstractNumId="360">
    <w:nsid w:val="72A86A28"/>
    <w:multiLevelType w:val="singleLevel"/>
    <w:tmpl w:val="710C5F5A"/>
    <w:lvl w:ilvl="0">
      <w:start w:val="100"/>
      <w:numFmt w:val="decimal"/>
      <w:lvlText w:val="%1."/>
      <w:lvlJc w:val="left"/>
      <w:pPr>
        <w:tabs>
          <w:tab w:val="num" w:pos="360"/>
        </w:tabs>
        <w:ind w:left="360" w:hanging="360"/>
      </w:pPr>
    </w:lvl>
  </w:abstractNum>
  <w:abstractNum w:abstractNumId="361">
    <w:nsid w:val="730A1EC4"/>
    <w:multiLevelType w:val="singleLevel"/>
    <w:tmpl w:val="54222EEE"/>
    <w:lvl w:ilvl="0">
      <w:start w:val="133"/>
      <w:numFmt w:val="decimal"/>
      <w:lvlText w:val="%1."/>
      <w:lvlJc w:val="left"/>
      <w:pPr>
        <w:tabs>
          <w:tab w:val="num" w:pos="360"/>
        </w:tabs>
        <w:ind w:left="360" w:hanging="360"/>
      </w:pPr>
    </w:lvl>
  </w:abstractNum>
  <w:abstractNum w:abstractNumId="362">
    <w:nsid w:val="732F14C8"/>
    <w:multiLevelType w:val="singleLevel"/>
    <w:tmpl w:val="0419000F"/>
    <w:lvl w:ilvl="0">
      <w:start w:val="1"/>
      <w:numFmt w:val="decimal"/>
      <w:lvlText w:val="%1."/>
      <w:lvlJc w:val="left"/>
      <w:pPr>
        <w:tabs>
          <w:tab w:val="num" w:pos="360"/>
        </w:tabs>
        <w:ind w:left="360" w:hanging="360"/>
      </w:pPr>
    </w:lvl>
  </w:abstractNum>
  <w:abstractNum w:abstractNumId="363">
    <w:nsid w:val="7372224D"/>
    <w:multiLevelType w:val="singleLevel"/>
    <w:tmpl w:val="D98C7C6A"/>
    <w:lvl w:ilvl="0">
      <w:numFmt w:val="bullet"/>
      <w:lvlText w:val="-"/>
      <w:lvlJc w:val="left"/>
      <w:pPr>
        <w:tabs>
          <w:tab w:val="num" w:pos="360"/>
        </w:tabs>
        <w:ind w:left="360" w:hanging="360"/>
      </w:pPr>
      <w:rPr>
        <w:rFonts w:hint="default"/>
      </w:rPr>
    </w:lvl>
  </w:abstractNum>
  <w:abstractNum w:abstractNumId="364">
    <w:nsid w:val="74715624"/>
    <w:multiLevelType w:val="singleLevel"/>
    <w:tmpl w:val="7E5E5BDE"/>
    <w:lvl w:ilvl="0">
      <w:start w:val="347"/>
      <w:numFmt w:val="decimal"/>
      <w:lvlText w:val="%1."/>
      <w:lvlJc w:val="left"/>
      <w:pPr>
        <w:tabs>
          <w:tab w:val="num" w:pos="360"/>
        </w:tabs>
        <w:ind w:left="360" w:hanging="360"/>
      </w:pPr>
    </w:lvl>
  </w:abstractNum>
  <w:abstractNum w:abstractNumId="365">
    <w:nsid w:val="749D6991"/>
    <w:multiLevelType w:val="singleLevel"/>
    <w:tmpl w:val="48D47A94"/>
    <w:lvl w:ilvl="0">
      <w:start w:val="1"/>
      <w:numFmt w:val="decimal"/>
      <w:lvlText w:val="%1)"/>
      <w:lvlJc w:val="left"/>
      <w:pPr>
        <w:tabs>
          <w:tab w:val="num" w:pos="360"/>
        </w:tabs>
        <w:ind w:left="284" w:hanging="284"/>
      </w:pPr>
    </w:lvl>
  </w:abstractNum>
  <w:abstractNum w:abstractNumId="366">
    <w:nsid w:val="74B047D4"/>
    <w:multiLevelType w:val="singleLevel"/>
    <w:tmpl w:val="0419000F"/>
    <w:lvl w:ilvl="0">
      <w:start w:val="1"/>
      <w:numFmt w:val="decimal"/>
      <w:lvlText w:val="%1."/>
      <w:lvlJc w:val="left"/>
      <w:pPr>
        <w:tabs>
          <w:tab w:val="num" w:pos="360"/>
        </w:tabs>
        <w:ind w:left="360" w:hanging="360"/>
      </w:pPr>
    </w:lvl>
  </w:abstractNum>
  <w:abstractNum w:abstractNumId="367">
    <w:nsid w:val="75936514"/>
    <w:multiLevelType w:val="singleLevel"/>
    <w:tmpl w:val="67D01C16"/>
    <w:lvl w:ilvl="0">
      <w:start w:val="293"/>
      <w:numFmt w:val="decimal"/>
      <w:lvlText w:val="%1."/>
      <w:lvlJc w:val="left"/>
      <w:pPr>
        <w:tabs>
          <w:tab w:val="num" w:pos="360"/>
        </w:tabs>
        <w:ind w:left="360" w:hanging="360"/>
      </w:pPr>
    </w:lvl>
  </w:abstractNum>
  <w:abstractNum w:abstractNumId="368">
    <w:nsid w:val="75E35DF4"/>
    <w:multiLevelType w:val="singleLevel"/>
    <w:tmpl w:val="58C02F9A"/>
    <w:lvl w:ilvl="0">
      <w:start w:val="302"/>
      <w:numFmt w:val="bullet"/>
      <w:lvlText w:val="-"/>
      <w:lvlJc w:val="left"/>
      <w:pPr>
        <w:tabs>
          <w:tab w:val="num" w:pos="720"/>
        </w:tabs>
        <w:ind w:left="720" w:hanging="360"/>
      </w:pPr>
      <w:rPr>
        <w:rFonts w:hint="default"/>
      </w:rPr>
    </w:lvl>
  </w:abstractNum>
  <w:abstractNum w:abstractNumId="369">
    <w:nsid w:val="75FC0CBD"/>
    <w:multiLevelType w:val="singleLevel"/>
    <w:tmpl w:val="D98C7C6A"/>
    <w:lvl w:ilvl="0">
      <w:numFmt w:val="bullet"/>
      <w:lvlText w:val="-"/>
      <w:lvlJc w:val="left"/>
      <w:pPr>
        <w:tabs>
          <w:tab w:val="num" w:pos="360"/>
        </w:tabs>
        <w:ind w:left="360" w:hanging="360"/>
      </w:pPr>
      <w:rPr>
        <w:rFonts w:hint="default"/>
      </w:rPr>
    </w:lvl>
  </w:abstractNum>
  <w:abstractNum w:abstractNumId="370">
    <w:nsid w:val="75FE575E"/>
    <w:multiLevelType w:val="singleLevel"/>
    <w:tmpl w:val="0419000F"/>
    <w:lvl w:ilvl="0">
      <w:start w:val="1"/>
      <w:numFmt w:val="decimal"/>
      <w:lvlText w:val="%1."/>
      <w:lvlJc w:val="left"/>
      <w:pPr>
        <w:tabs>
          <w:tab w:val="num" w:pos="360"/>
        </w:tabs>
        <w:ind w:left="360" w:hanging="360"/>
      </w:pPr>
    </w:lvl>
  </w:abstractNum>
  <w:abstractNum w:abstractNumId="371">
    <w:nsid w:val="76114E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2">
    <w:nsid w:val="761C51BE"/>
    <w:multiLevelType w:val="singleLevel"/>
    <w:tmpl w:val="7C52DBE2"/>
    <w:lvl w:ilvl="0">
      <w:start w:val="159"/>
      <w:numFmt w:val="decimal"/>
      <w:lvlText w:val="%1."/>
      <w:lvlJc w:val="left"/>
      <w:pPr>
        <w:tabs>
          <w:tab w:val="num" w:pos="360"/>
        </w:tabs>
        <w:ind w:left="360" w:hanging="360"/>
      </w:pPr>
    </w:lvl>
  </w:abstractNum>
  <w:abstractNum w:abstractNumId="373">
    <w:nsid w:val="761E2CFF"/>
    <w:multiLevelType w:val="singleLevel"/>
    <w:tmpl w:val="FAB823DA"/>
    <w:lvl w:ilvl="0">
      <w:start w:val="328"/>
      <w:numFmt w:val="decimal"/>
      <w:lvlText w:val="%1."/>
      <w:lvlJc w:val="left"/>
      <w:pPr>
        <w:tabs>
          <w:tab w:val="num" w:pos="360"/>
        </w:tabs>
        <w:ind w:left="360" w:hanging="360"/>
      </w:pPr>
    </w:lvl>
  </w:abstractNum>
  <w:abstractNum w:abstractNumId="374">
    <w:nsid w:val="762670AA"/>
    <w:multiLevelType w:val="singleLevel"/>
    <w:tmpl w:val="11ECFD04"/>
    <w:lvl w:ilvl="0">
      <w:numFmt w:val="bullet"/>
      <w:lvlText w:val="–"/>
      <w:lvlJc w:val="left"/>
      <w:pPr>
        <w:tabs>
          <w:tab w:val="num" w:pos="360"/>
        </w:tabs>
        <w:ind w:left="360" w:hanging="360"/>
      </w:pPr>
      <w:rPr>
        <w:rFonts w:hint="default"/>
      </w:rPr>
    </w:lvl>
  </w:abstractNum>
  <w:abstractNum w:abstractNumId="375">
    <w:nsid w:val="76336711"/>
    <w:multiLevelType w:val="singleLevel"/>
    <w:tmpl w:val="B6E647CC"/>
    <w:lvl w:ilvl="0">
      <w:start w:val="233"/>
      <w:numFmt w:val="decimal"/>
      <w:lvlText w:val="%1."/>
      <w:lvlJc w:val="left"/>
      <w:pPr>
        <w:tabs>
          <w:tab w:val="num" w:pos="360"/>
        </w:tabs>
        <w:ind w:left="360" w:hanging="360"/>
      </w:pPr>
    </w:lvl>
  </w:abstractNum>
  <w:abstractNum w:abstractNumId="376">
    <w:nsid w:val="765A3F49"/>
    <w:multiLevelType w:val="singleLevel"/>
    <w:tmpl w:val="0419000F"/>
    <w:lvl w:ilvl="0">
      <w:start w:val="1"/>
      <w:numFmt w:val="decimal"/>
      <w:lvlText w:val="%1."/>
      <w:lvlJc w:val="left"/>
      <w:pPr>
        <w:tabs>
          <w:tab w:val="num" w:pos="360"/>
        </w:tabs>
        <w:ind w:left="360" w:hanging="360"/>
      </w:pPr>
    </w:lvl>
  </w:abstractNum>
  <w:abstractNum w:abstractNumId="377">
    <w:nsid w:val="76B1386D"/>
    <w:multiLevelType w:val="singleLevel"/>
    <w:tmpl w:val="B3A6698C"/>
    <w:lvl w:ilvl="0">
      <w:start w:val="350"/>
      <w:numFmt w:val="decimal"/>
      <w:lvlText w:val="%1."/>
      <w:lvlJc w:val="left"/>
      <w:pPr>
        <w:tabs>
          <w:tab w:val="num" w:pos="360"/>
        </w:tabs>
        <w:ind w:left="360" w:hanging="360"/>
      </w:pPr>
    </w:lvl>
  </w:abstractNum>
  <w:abstractNum w:abstractNumId="378">
    <w:nsid w:val="76B30109"/>
    <w:multiLevelType w:val="singleLevel"/>
    <w:tmpl w:val="0419000F"/>
    <w:lvl w:ilvl="0">
      <w:start w:val="1"/>
      <w:numFmt w:val="decimal"/>
      <w:lvlText w:val="%1."/>
      <w:lvlJc w:val="left"/>
      <w:pPr>
        <w:tabs>
          <w:tab w:val="num" w:pos="360"/>
        </w:tabs>
        <w:ind w:left="360" w:hanging="360"/>
      </w:pPr>
    </w:lvl>
  </w:abstractNum>
  <w:abstractNum w:abstractNumId="379">
    <w:nsid w:val="76FE2E23"/>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80">
    <w:nsid w:val="772A65CB"/>
    <w:multiLevelType w:val="singleLevel"/>
    <w:tmpl w:val="BDCCEA6E"/>
    <w:lvl w:ilvl="0">
      <w:start w:val="123"/>
      <w:numFmt w:val="decimal"/>
      <w:lvlText w:val="%1."/>
      <w:lvlJc w:val="left"/>
      <w:pPr>
        <w:tabs>
          <w:tab w:val="num" w:pos="360"/>
        </w:tabs>
        <w:ind w:left="360" w:hanging="360"/>
      </w:pPr>
    </w:lvl>
  </w:abstractNum>
  <w:abstractNum w:abstractNumId="381">
    <w:nsid w:val="77524E97"/>
    <w:multiLevelType w:val="singleLevel"/>
    <w:tmpl w:val="0C8471B8"/>
    <w:lvl w:ilvl="0">
      <w:start w:val="60"/>
      <w:numFmt w:val="decimal"/>
      <w:lvlText w:val="%1."/>
      <w:lvlJc w:val="left"/>
      <w:pPr>
        <w:tabs>
          <w:tab w:val="num" w:pos="360"/>
        </w:tabs>
        <w:ind w:left="340" w:hanging="340"/>
      </w:pPr>
    </w:lvl>
  </w:abstractNum>
  <w:abstractNum w:abstractNumId="382">
    <w:nsid w:val="77F0144B"/>
    <w:multiLevelType w:val="singleLevel"/>
    <w:tmpl w:val="D98C7C6A"/>
    <w:lvl w:ilvl="0">
      <w:numFmt w:val="bullet"/>
      <w:lvlText w:val="-"/>
      <w:lvlJc w:val="left"/>
      <w:pPr>
        <w:tabs>
          <w:tab w:val="num" w:pos="360"/>
        </w:tabs>
        <w:ind w:left="360" w:hanging="360"/>
      </w:pPr>
      <w:rPr>
        <w:rFonts w:hint="default"/>
      </w:rPr>
    </w:lvl>
  </w:abstractNum>
  <w:abstractNum w:abstractNumId="383">
    <w:nsid w:val="78121EF6"/>
    <w:multiLevelType w:val="singleLevel"/>
    <w:tmpl w:val="20E6903C"/>
    <w:lvl w:ilvl="0">
      <w:start w:val="183"/>
      <w:numFmt w:val="decimal"/>
      <w:lvlText w:val="%1."/>
      <w:lvlJc w:val="left"/>
      <w:pPr>
        <w:tabs>
          <w:tab w:val="num" w:pos="360"/>
        </w:tabs>
        <w:ind w:left="360" w:hanging="360"/>
      </w:pPr>
    </w:lvl>
  </w:abstractNum>
  <w:abstractNum w:abstractNumId="384">
    <w:nsid w:val="78175D7F"/>
    <w:multiLevelType w:val="singleLevel"/>
    <w:tmpl w:val="1484923E"/>
    <w:lvl w:ilvl="0">
      <w:start w:val="36"/>
      <w:numFmt w:val="decimal"/>
      <w:lvlText w:val="%1."/>
      <w:lvlJc w:val="left"/>
      <w:pPr>
        <w:tabs>
          <w:tab w:val="num" w:pos="360"/>
        </w:tabs>
        <w:ind w:left="360" w:hanging="360"/>
      </w:pPr>
    </w:lvl>
  </w:abstractNum>
  <w:abstractNum w:abstractNumId="385">
    <w:nsid w:val="786F1A4B"/>
    <w:multiLevelType w:val="singleLevel"/>
    <w:tmpl w:val="F45E5A54"/>
    <w:lvl w:ilvl="0">
      <w:start w:val="52"/>
      <w:numFmt w:val="decimal"/>
      <w:lvlText w:val="%1."/>
      <w:lvlJc w:val="left"/>
      <w:pPr>
        <w:tabs>
          <w:tab w:val="num" w:pos="360"/>
        </w:tabs>
        <w:ind w:left="360" w:hanging="360"/>
      </w:pPr>
    </w:lvl>
  </w:abstractNum>
  <w:abstractNum w:abstractNumId="386">
    <w:nsid w:val="78B46F49"/>
    <w:multiLevelType w:val="singleLevel"/>
    <w:tmpl w:val="286887F8"/>
    <w:lvl w:ilvl="0">
      <w:start w:val="289"/>
      <w:numFmt w:val="decimal"/>
      <w:lvlText w:val="%1."/>
      <w:lvlJc w:val="left"/>
      <w:pPr>
        <w:tabs>
          <w:tab w:val="num" w:pos="360"/>
        </w:tabs>
        <w:ind w:left="360" w:hanging="360"/>
      </w:pPr>
    </w:lvl>
  </w:abstractNum>
  <w:abstractNum w:abstractNumId="387">
    <w:nsid w:val="791D19CD"/>
    <w:multiLevelType w:val="singleLevel"/>
    <w:tmpl w:val="67D01C16"/>
    <w:lvl w:ilvl="0">
      <w:start w:val="293"/>
      <w:numFmt w:val="decimal"/>
      <w:lvlText w:val="%1."/>
      <w:lvlJc w:val="left"/>
      <w:pPr>
        <w:tabs>
          <w:tab w:val="num" w:pos="360"/>
        </w:tabs>
        <w:ind w:left="360" w:hanging="360"/>
      </w:pPr>
    </w:lvl>
  </w:abstractNum>
  <w:abstractNum w:abstractNumId="388">
    <w:nsid w:val="793D5898"/>
    <w:multiLevelType w:val="singleLevel"/>
    <w:tmpl w:val="B0765612"/>
    <w:lvl w:ilvl="0">
      <w:start w:val="188"/>
      <w:numFmt w:val="decimal"/>
      <w:lvlText w:val="%1."/>
      <w:lvlJc w:val="left"/>
      <w:pPr>
        <w:tabs>
          <w:tab w:val="num" w:pos="360"/>
        </w:tabs>
        <w:ind w:left="360" w:hanging="360"/>
      </w:pPr>
    </w:lvl>
  </w:abstractNum>
  <w:abstractNum w:abstractNumId="389">
    <w:nsid w:val="7999367D"/>
    <w:multiLevelType w:val="singleLevel"/>
    <w:tmpl w:val="52EEECB4"/>
    <w:lvl w:ilvl="0">
      <w:start w:val="352"/>
      <w:numFmt w:val="bullet"/>
      <w:lvlText w:val="-"/>
      <w:lvlJc w:val="left"/>
      <w:pPr>
        <w:tabs>
          <w:tab w:val="num" w:pos="360"/>
        </w:tabs>
        <w:ind w:left="360" w:hanging="360"/>
      </w:pPr>
      <w:rPr>
        <w:rFonts w:hint="default"/>
      </w:rPr>
    </w:lvl>
  </w:abstractNum>
  <w:abstractNum w:abstractNumId="390">
    <w:nsid w:val="7A764853"/>
    <w:multiLevelType w:val="singleLevel"/>
    <w:tmpl w:val="82B49A10"/>
    <w:lvl w:ilvl="0">
      <w:start w:val="229"/>
      <w:numFmt w:val="decimal"/>
      <w:lvlText w:val="%1."/>
      <w:lvlJc w:val="left"/>
      <w:pPr>
        <w:tabs>
          <w:tab w:val="num" w:pos="360"/>
        </w:tabs>
        <w:ind w:left="360" w:hanging="360"/>
      </w:pPr>
    </w:lvl>
  </w:abstractNum>
  <w:abstractNum w:abstractNumId="391">
    <w:nsid w:val="7ABE2788"/>
    <w:multiLevelType w:val="singleLevel"/>
    <w:tmpl w:val="100E6E1E"/>
    <w:lvl w:ilvl="0">
      <w:start w:val="268"/>
      <w:numFmt w:val="decimal"/>
      <w:lvlText w:val="%1."/>
      <w:lvlJc w:val="left"/>
      <w:pPr>
        <w:tabs>
          <w:tab w:val="num" w:pos="360"/>
        </w:tabs>
        <w:ind w:left="360" w:hanging="360"/>
      </w:pPr>
    </w:lvl>
  </w:abstractNum>
  <w:abstractNum w:abstractNumId="392">
    <w:nsid w:val="7B3451D5"/>
    <w:multiLevelType w:val="singleLevel"/>
    <w:tmpl w:val="B0FA0884"/>
    <w:lvl w:ilvl="0">
      <w:start w:val="401"/>
      <w:numFmt w:val="decimal"/>
      <w:lvlText w:val="%1."/>
      <w:lvlJc w:val="left"/>
      <w:pPr>
        <w:tabs>
          <w:tab w:val="num" w:pos="360"/>
        </w:tabs>
        <w:ind w:left="360" w:hanging="360"/>
      </w:pPr>
    </w:lvl>
  </w:abstractNum>
  <w:abstractNum w:abstractNumId="393">
    <w:nsid w:val="7BDD147F"/>
    <w:multiLevelType w:val="singleLevel"/>
    <w:tmpl w:val="52EEECB4"/>
    <w:lvl w:ilvl="0">
      <w:start w:val="352"/>
      <w:numFmt w:val="bullet"/>
      <w:lvlText w:val="-"/>
      <w:lvlJc w:val="left"/>
      <w:pPr>
        <w:tabs>
          <w:tab w:val="num" w:pos="360"/>
        </w:tabs>
        <w:ind w:left="360" w:hanging="360"/>
      </w:pPr>
      <w:rPr>
        <w:rFonts w:hint="default"/>
      </w:rPr>
    </w:lvl>
  </w:abstractNum>
  <w:abstractNum w:abstractNumId="394">
    <w:nsid w:val="7C022BFC"/>
    <w:multiLevelType w:val="singleLevel"/>
    <w:tmpl w:val="2B4C8064"/>
    <w:lvl w:ilvl="0">
      <w:start w:val="305"/>
      <w:numFmt w:val="decimal"/>
      <w:lvlText w:val="%1."/>
      <w:lvlJc w:val="left"/>
      <w:pPr>
        <w:tabs>
          <w:tab w:val="num" w:pos="360"/>
        </w:tabs>
        <w:ind w:left="360" w:hanging="360"/>
      </w:pPr>
    </w:lvl>
  </w:abstractNum>
  <w:abstractNum w:abstractNumId="395">
    <w:nsid w:val="7C6B6DBF"/>
    <w:multiLevelType w:val="singleLevel"/>
    <w:tmpl w:val="0419000F"/>
    <w:lvl w:ilvl="0">
      <w:start w:val="1"/>
      <w:numFmt w:val="decimal"/>
      <w:lvlText w:val="%1."/>
      <w:lvlJc w:val="left"/>
      <w:pPr>
        <w:tabs>
          <w:tab w:val="num" w:pos="360"/>
        </w:tabs>
        <w:ind w:left="360" w:hanging="360"/>
      </w:pPr>
    </w:lvl>
  </w:abstractNum>
  <w:abstractNum w:abstractNumId="396">
    <w:nsid w:val="7D46307E"/>
    <w:multiLevelType w:val="singleLevel"/>
    <w:tmpl w:val="9AEA7A36"/>
    <w:lvl w:ilvl="0">
      <w:start w:val="1"/>
      <w:numFmt w:val="lowerLetter"/>
      <w:lvlText w:val="%1)"/>
      <w:lvlJc w:val="left"/>
      <w:pPr>
        <w:tabs>
          <w:tab w:val="num" w:pos="360"/>
        </w:tabs>
        <w:ind w:left="360" w:hanging="360"/>
      </w:pPr>
    </w:lvl>
  </w:abstractNum>
  <w:abstractNum w:abstractNumId="397">
    <w:nsid w:val="7DAE56FE"/>
    <w:multiLevelType w:val="singleLevel"/>
    <w:tmpl w:val="0419000F"/>
    <w:lvl w:ilvl="0">
      <w:start w:val="1"/>
      <w:numFmt w:val="decimal"/>
      <w:lvlText w:val="%1."/>
      <w:lvlJc w:val="left"/>
      <w:pPr>
        <w:tabs>
          <w:tab w:val="num" w:pos="360"/>
        </w:tabs>
        <w:ind w:left="360" w:hanging="360"/>
      </w:pPr>
    </w:lvl>
  </w:abstractNum>
  <w:abstractNum w:abstractNumId="398">
    <w:nsid w:val="7DF16D01"/>
    <w:multiLevelType w:val="singleLevel"/>
    <w:tmpl w:val="590EBFEA"/>
    <w:lvl w:ilvl="0">
      <w:start w:val="9"/>
      <w:numFmt w:val="decimal"/>
      <w:lvlText w:val="(%1)"/>
      <w:lvlJc w:val="left"/>
      <w:pPr>
        <w:tabs>
          <w:tab w:val="num" w:pos="360"/>
        </w:tabs>
        <w:ind w:left="360" w:hanging="360"/>
      </w:pPr>
      <w:rPr>
        <w:rFonts w:hint="default"/>
      </w:rPr>
    </w:lvl>
  </w:abstractNum>
  <w:abstractNum w:abstractNumId="399">
    <w:nsid w:val="7E7B1307"/>
    <w:multiLevelType w:val="singleLevel"/>
    <w:tmpl w:val="80D87F62"/>
    <w:lvl w:ilvl="0">
      <w:start w:val="334"/>
      <w:numFmt w:val="decimal"/>
      <w:lvlText w:val="%1."/>
      <w:lvlJc w:val="left"/>
      <w:pPr>
        <w:tabs>
          <w:tab w:val="num" w:pos="360"/>
        </w:tabs>
        <w:ind w:left="360" w:hanging="360"/>
      </w:pPr>
    </w:lvl>
  </w:abstractNum>
  <w:abstractNum w:abstractNumId="400">
    <w:nsid w:val="7E901B9C"/>
    <w:multiLevelType w:val="singleLevel"/>
    <w:tmpl w:val="0419000F"/>
    <w:lvl w:ilvl="0">
      <w:start w:val="1"/>
      <w:numFmt w:val="decimal"/>
      <w:lvlText w:val="%1."/>
      <w:lvlJc w:val="left"/>
      <w:pPr>
        <w:tabs>
          <w:tab w:val="num" w:pos="360"/>
        </w:tabs>
        <w:ind w:left="360" w:hanging="360"/>
      </w:pPr>
    </w:lvl>
  </w:abstractNum>
  <w:abstractNum w:abstractNumId="401">
    <w:nsid w:val="7EA37FAB"/>
    <w:multiLevelType w:val="singleLevel"/>
    <w:tmpl w:val="EA72D116"/>
    <w:lvl w:ilvl="0">
      <w:start w:val="320"/>
      <w:numFmt w:val="decimal"/>
      <w:lvlText w:val="%1."/>
      <w:lvlJc w:val="left"/>
      <w:pPr>
        <w:tabs>
          <w:tab w:val="num" w:pos="360"/>
        </w:tabs>
        <w:ind w:left="360" w:hanging="360"/>
      </w:pPr>
    </w:lvl>
  </w:abstractNum>
  <w:abstractNum w:abstractNumId="402">
    <w:nsid w:val="7EED12A5"/>
    <w:multiLevelType w:val="singleLevel"/>
    <w:tmpl w:val="755E186A"/>
    <w:lvl w:ilvl="0">
      <w:start w:val="110"/>
      <w:numFmt w:val="decimal"/>
      <w:lvlText w:val="%1."/>
      <w:lvlJc w:val="left"/>
      <w:pPr>
        <w:tabs>
          <w:tab w:val="num" w:pos="360"/>
        </w:tabs>
        <w:ind w:left="360" w:hanging="360"/>
      </w:pPr>
    </w:lvl>
  </w:abstractNum>
  <w:abstractNum w:abstractNumId="403">
    <w:nsid w:val="7F4425FD"/>
    <w:multiLevelType w:val="singleLevel"/>
    <w:tmpl w:val="98B265B2"/>
    <w:lvl w:ilvl="0">
      <w:start w:val="424"/>
      <w:numFmt w:val="decimal"/>
      <w:lvlText w:val="%1."/>
      <w:lvlJc w:val="left"/>
      <w:pPr>
        <w:tabs>
          <w:tab w:val="num" w:pos="360"/>
        </w:tabs>
        <w:ind w:left="360" w:hanging="360"/>
      </w:pPr>
    </w:lvl>
  </w:abstractNum>
  <w:abstractNum w:abstractNumId="404">
    <w:nsid w:val="7F5D701A"/>
    <w:multiLevelType w:val="singleLevel"/>
    <w:tmpl w:val="FBD0EE7A"/>
    <w:lvl w:ilvl="0">
      <w:start w:val="205"/>
      <w:numFmt w:val="decimal"/>
      <w:lvlText w:val="%1."/>
      <w:lvlJc w:val="left"/>
      <w:pPr>
        <w:tabs>
          <w:tab w:val="num" w:pos="360"/>
        </w:tabs>
        <w:ind w:left="360" w:hanging="360"/>
      </w:pPr>
    </w:lvl>
  </w:abstractNum>
  <w:abstractNum w:abstractNumId="405">
    <w:nsid w:val="7F8B39E2"/>
    <w:multiLevelType w:val="singleLevel"/>
    <w:tmpl w:val="55EA754A"/>
    <w:lvl w:ilvl="0">
      <w:start w:val="284"/>
      <w:numFmt w:val="decimal"/>
      <w:lvlText w:val="%1."/>
      <w:lvlJc w:val="left"/>
      <w:pPr>
        <w:tabs>
          <w:tab w:val="num" w:pos="360"/>
        </w:tabs>
        <w:ind w:left="360" w:hanging="360"/>
      </w:pPr>
    </w:lvl>
  </w:abstractNum>
  <w:abstractNum w:abstractNumId="406">
    <w:nsid w:val="7F8B4C22"/>
    <w:multiLevelType w:val="singleLevel"/>
    <w:tmpl w:val="61F69BBC"/>
    <w:lvl w:ilvl="0">
      <w:start w:val="114"/>
      <w:numFmt w:val="decimal"/>
      <w:lvlText w:val="%1."/>
      <w:lvlJc w:val="left"/>
      <w:pPr>
        <w:tabs>
          <w:tab w:val="num" w:pos="360"/>
        </w:tabs>
        <w:ind w:left="360" w:hanging="360"/>
      </w:pPr>
    </w:lvl>
  </w:abstractNum>
  <w:num w:numId="1">
    <w:abstractNumId w:val="305"/>
  </w:num>
  <w:num w:numId="2">
    <w:abstractNumId w:val="35"/>
  </w:num>
  <w:num w:numId="3">
    <w:abstractNumId w:val="246"/>
  </w:num>
  <w:num w:numId="4">
    <w:abstractNumId w:val="79"/>
  </w:num>
  <w:num w:numId="5">
    <w:abstractNumId w:val="371"/>
  </w:num>
  <w:num w:numId="6">
    <w:abstractNumId w:val="278"/>
  </w:num>
  <w:num w:numId="7">
    <w:abstractNumId w:val="5"/>
  </w:num>
  <w:num w:numId="8">
    <w:abstractNumId w:val="40"/>
  </w:num>
  <w:num w:numId="9">
    <w:abstractNumId w:val="232"/>
  </w:num>
  <w:num w:numId="10">
    <w:abstractNumId w:val="9"/>
  </w:num>
  <w:num w:numId="11">
    <w:abstractNumId w:val="129"/>
  </w:num>
  <w:num w:numId="12">
    <w:abstractNumId w:val="321"/>
  </w:num>
  <w:num w:numId="13">
    <w:abstractNumId w:val="20"/>
  </w:num>
  <w:num w:numId="14">
    <w:abstractNumId w:val="346"/>
  </w:num>
  <w:num w:numId="15">
    <w:abstractNumId w:val="81"/>
  </w:num>
  <w:num w:numId="16">
    <w:abstractNumId w:val="142"/>
  </w:num>
  <w:num w:numId="17">
    <w:abstractNumId w:val="57"/>
  </w:num>
  <w:num w:numId="18">
    <w:abstractNumId w:val="352"/>
  </w:num>
  <w:num w:numId="19">
    <w:abstractNumId w:val="230"/>
  </w:num>
  <w:num w:numId="20">
    <w:abstractNumId w:val="351"/>
  </w:num>
  <w:num w:numId="21">
    <w:abstractNumId w:val="234"/>
  </w:num>
  <w:num w:numId="22">
    <w:abstractNumId w:val="28"/>
  </w:num>
  <w:num w:numId="23">
    <w:abstractNumId w:val="170"/>
  </w:num>
  <w:num w:numId="24">
    <w:abstractNumId w:val="356"/>
  </w:num>
  <w:num w:numId="25">
    <w:abstractNumId w:val="77"/>
  </w:num>
  <w:num w:numId="26">
    <w:abstractNumId w:val="158"/>
  </w:num>
  <w:num w:numId="27">
    <w:abstractNumId w:val="44"/>
  </w:num>
  <w:num w:numId="28">
    <w:abstractNumId w:val="350"/>
  </w:num>
  <w:num w:numId="29">
    <w:abstractNumId w:val="325"/>
  </w:num>
  <w:num w:numId="30">
    <w:abstractNumId w:val="192"/>
  </w:num>
  <w:num w:numId="31">
    <w:abstractNumId w:val="128"/>
  </w:num>
  <w:num w:numId="32">
    <w:abstractNumId w:val="396"/>
  </w:num>
  <w:num w:numId="33">
    <w:abstractNumId w:val="11"/>
  </w:num>
  <w:num w:numId="34">
    <w:abstractNumId w:val="298"/>
  </w:num>
  <w:num w:numId="35">
    <w:abstractNumId w:val="228"/>
  </w:num>
  <w:num w:numId="36">
    <w:abstractNumId w:val="276"/>
  </w:num>
  <w:num w:numId="37">
    <w:abstractNumId w:val="123"/>
  </w:num>
  <w:num w:numId="38">
    <w:abstractNumId w:val="238"/>
  </w:num>
  <w:num w:numId="39">
    <w:abstractNumId w:val="174"/>
  </w:num>
  <w:num w:numId="40">
    <w:abstractNumId w:val="384"/>
  </w:num>
  <w:num w:numId="41">
    <w:abstractNumId w:val="223"/>
  </w:num>
  <w:num w:numId="42">
    <w:abstractNumId w:val="202"/>
  </w:num>
  <w:num w:numId="43">
    <w:abstractNumId w:val="161"/>
  </w:num>
  <w:num w:numId="44">
    <w:abstractNumId w:val="322"/>
  </w:num>
  <w:num w:numId="45">
    <w:abstractNumId w:val="400"/>
  </w:num>
  <w:num w:numId="46">
    <w:abstractNumId w:val="16"/>
  </w:num>
  <w:num w:numId="47">
    <w:abstractNumId w:val="303"/>
  </w:num>
  <w:num w:numId="48">
    <w:abstractNumId w:val="6"/>
  </w:num>
  <w:num w:numId="49">
    <w:abstractNumId w:val="209"/>
  </w:num>
  <w:num w:numId="50">
    <w:abstractNumId w:val="316"/>
  </w:num>
  <w:num w:numId="51">
    <w:abstractNumId w:val="167"/>
  </w:num>
  <w:num w:numId="52">
    <w:abstractNumId w:val="348"/>
  </w:num>
  <w:num w:numId="53">
    <w:abstractNumId w:val="302"/>
  </w:num>
  <w:num w:numId="54">
    <w:abstractNumId w:val="362"/>
  </w:num>
  <w:num w:numId="55">
    <w:abstractNumId w:val="331"/>
  </w:num>
  <w:num w:numId="56">
    <w:abstractNumId w:val="385"/>
  </w:num>
  <w:num w:numId="57">
    <w:abstractNumId w:val="381"/>
  </w:num>
  <w:num w:numId="58">
    <w:abstractNumId w:val="10"/>
  </w:num>
  <w:num w:numId="59">
    <w:abstractNumId w:val="148"/>
  </w:num>
  <w:num w:numId="60">
    <w:abstractNumId w:val="85"/>
  </w:num>
  <w:num w:numId="61">
    <w:abstractNumId w:val="49"/>
  </w:num>
  <w:num w:numId="62">
    <w:abstractNumId w:val="31"/>
  </w:num>
  <w:num w:numId="63">
    <w:abstractNumId w:val="122"/>
  </w:num>
  <w:num w:numId="64">
    <w:abstractNumId w:val="299"/>
  </w:num>
  <w:num w:numId="65">
    <w:abstractNumId w:val="78"/>
  </w:num>
  <w:num w:numId="66">
    <w:abstractNumId w:val="203"/>
  </w:num>
  <w:num w:numId="67">
    <w:abstractNumId w:val="73"/>
  </w:num>
  <w:num w:numId="68">
    <w:abstractNumId w:val="357"/>
  </w:num>
  <w:num w:numId="69">
    <w:abstractNumId w:val="253"/>
  </w:num>
  <w:num w:numId="70">
    <w:abstractNumId w:val="208"/>
  </w:num>
  <w:num w:numId="71">
    <w:abstractNumId w:val="247"/>
  </w:num>
  <w:num w:numId="72">
    <w:abstractNumId w:val="146"/>
  </w:num>
  <w:num w:numId="73">
    <w:abstractNumId w:val="212"/>
  </w:num>
  <w:num w:numId="74">
    <w:abstractNumId w:val="244"/>
  </w:num>
  <w:num w:numId="75">
    <w:abstractNumId w:val="226"/>
  </w:num>
  <w:num w:numId="76">
    <w:abstractNumId w:val="239"/>
  </w:num>
  <w:num w:numId="77">
    <w:abstractNumId w:val="366"/>
  </w:num>
  <w:num w:numId="78">
    <w:abstractNumId w:val="74"/>
  </w:num>
  <w:num w:numId="79">
    <w:abstractNumId w:val="257"/>
  </w:num>
  <w:num w:numId="80">
    <w:abstractNumId w:val="104"/>
  </w:num>
  <w:num w:numId="81">
    <w:abstractNumId w:val="241"/>
  </w:num>
  <w:num w:numId="82">
    <w:abstractNumId w:val="225"/>
  </w:num>
  <w:num w:numId="83">
    <w:abstractNumId w:val="56"/>
  </w:num>
  <w:num w:numId="84">
    <w:abstractNumId w:val="94"/>
  </w:num>
  <w:num w:numId="85">
    <w:abstractNumId w:val="149"/>
  </w:num>
  <w:num w:numId="86">
    <w:abstractNumId w:val="68"/>
  </w:num>
  <w:num w:numId="87">
    <w:abstractNumId w:val="344"/>
  </w:num>
  <w:num w:numId="88">
    <w:abstractNumId w:val="280"/>
  </w:num>
  <w:num w:numId="89">
    <w:abstractNumId w:val="34"/>
  </w:num>
  <w:num w:numId="90">
    <w:abstractNumId w:val="145"/>
  </w:num>
  <w:num w:numId="91">
    <w:abstractNumId w:val="26"/>
  </w:num>
  <w:num w:numId="92">
    <w:abstractNumId w:val="112"/>
  </w:num>
  <w:num w:numId="93">
    <w:abstractNumId w:val="41"/>
  </w:num>
  <w:num w:numId="94">
    <w:abstractNumId w:val="15"/>
  </w:num>
  <w:num w:numId="95">
    <w:abstractNumId w:val="376"/>
  </w:num>
  <w:num w:numId="96">
    <w:abstractNumId w:val="140"/>
  </w:num>
  <w:num w:numId="97">
    <w:abstractNumId w:val="101"/>
  </w:num>
  <w:num w:numId="98">
    <w:abstractNumId w:val="216"/>
  </w:num>
  <w:num w:numId="99">
    <w:abstractNumId w:val="227"/>
  </w:num>
  <w:num w:numId="100">
    <w:abstractNumId w:val="200"/>
  </w:num>
  <w:num w:numId="101">
    <w:abstractNumId w:val="106"/>
  </w:num>
  <w:num w:numId="102">
    <w:abstractNumId w:val="206"/>
  </w:num>
  <w:num w:numId="103">
    <w:abstractNumId w:val="360"/>
  </w:num>
  <w:num w:numId="104">
    <w:abstractNumId w:val="215"/>
  </w:num>
  <w:num w:numId="105">
    <w:abstractNumId w:val="335"/>
  </w:num>
  <w:num w:numId="106">
    <w:abstractNumId w:val="93"/>
  </w:num>
  <w:num w:numId="107">
    <w:abstractNumId w:val="195"/>
  </w:num>
  <w:num w:numId="108">
    <w:abstractNumId w:val="336"/>
  </w:num>
  <w:num w:numId="109">
    <w:abstractNumId w:val="65"/>
  </w:num>
  <w:num w:numId="110">
    <w:abstractNumId w:val="261"/>
  </w:num>
  <w:num w:numId="111">
    <w:abstractNumId w:val="119"/>
  </w:num>
  <w:num w:numId="112">
    <w:abstractNumId w:val="406"/>
  </w:num>
  <w:num w:numId="113">
    <w:abstractNumId w:val="339"/>
  </w:num>
  <w:num w:numId="114">
    <w:abstractNumId w:val="220"/>
  </w:num>
  <w:num w:numId="115">
    <w:abstractNumId w:val="332"/>
  </w:num>
  <w:num w:numId="116">
    <w:abstractNumId w:val="103"/>
  </w:num>
  <w:num w:numId="117">
    <w:abstractNumId w:val="380"/>
  </w:num>
  <w:num w:numId="118">
    <w:abstractNumId w:val="342"/>
  </w:num>
  <w:num w:numId="119">
    <w:abstractNumId w:val="180"/>
  </w:num>
  <w:num w:numId="120">
    <w:abstractNumId w:val="361"/>
  </w:num>
  <w:num w:numId="121">
    <w:abstractNumId w:val="50"/>
  </w:num>
  <w:num w:numId="122">
    <w:abstractNumId w:val="296"/>
  </w:num>
  <w:num w:numId="123">
    <w:abstractNumId w:val="221"/>
  </w:num>
  <w:num w:numId="124">
    <w:abstractNumId w:val="251"/>
  </w:num>
  <w:num w:numId="125">
    <w:abstractNumId w:val="287"/>
  </w:num>
  <w:num w:numId="126">
    <w:abstractNumId w:val="291"/>
  </w:num>
  <w:num w:numId="127">
    <w:abstractNumId w:val="137"/>
  </w:num>
  <w:num w:numId="128">
    <w:abstractNumId w:val="224"/>
  </w:num>
  <w:num w:numId="129">
    <w:abstractNumId w:val="118"/>
  </w:num>
  <w:num w:numId="130">
    <w:abstractNumId w:val="275"/>
  </w:num>
  <w:num w:numId="131">
    <w:abstractNumId w:val="363"/>
  </w:num>
  <w:num w:numId="132">
    <w:abstractNumId w:val="92"/>
  </w:num>
  <w:num w:numId="133">
    <w:abstractNumId w:val="30"/>
  </w:num>
  <w:num w:numId="134">
    <w:abstractNumId w:val="397"/>
  </w:num>
  <w:num w:numId="135">
    <w:abstractNumId w:val="110"/>
  </w:num>
  <w:num w:numId="136">
    <w:abstractNumId w:val="218"/>
  </w:num>
  <w:num w:numId="137">
    <w:abstractNumId w:val="300"/>
  </w:num>
  <w:num w:numId="138">
    <w:abstractNumId w:val="255"/>
  </w:num>
  <w:num w:numId="139">
    <w:abstractNumId w:val="53"/>
  </w:num>
  <w:num w:numId="140">
    <w:abstractNumId w:val="310"/>
  </w:num>
  <w:num w:numId="141">
    <w:abstractNumId w:val="66"/>
  </w:num>
  <w:num w:numId="142">
    <w:abstractNumId w:val="100"/>
  </w:num>
  <w:num w:numId="143">
    <w:abstractNumId w:val="187"/>
  </w:num>
  <w:num w:numId="144">
    <w:abstractNumId w:val="168"/>
  </w:num>
  <w:num w:numId="145">
    <w:abstractNumId w:val="372"/>
  </w:num>
  <w:num w:numId="146">
    <w:abstractNumId w:val="120"/>
  </w:num>
  <w:num w:numId="147">
    <w:abstractNumId w:val="374"/>
  </w:num>
  <w:num w:numId="148">
    <w:abstractNumId w:val="317"/>
  </w:num>
  <w:num w:numId="149">
    <w:abstractNumId w:val="125"/>
  </w:num>
  <w:num w:numId="150">
    <w:abstractNumId w:val="327"/>
  </w:num>
  <w:num w:numId="151">
    <w:abstractNumId w:val="309"/>
  </w:num>
  <w:num w:numId="152">
    <w:abstractNumId w:val="312"/>
  </w:num>
  <w:num w:numId="153">
    <w:abstractNumId w:val="19"/>
  </w:num>
  <w:num w:numId="154">
    <w:abstractNumId w:val="315"/>
  </w:num>
  <w:num w:numId="155">
    <w:abstractNumId w:val="113"/>
  </w:num>
  <w:num w:numId="156">
    <w:abstractNumId w:val="259"/>
  </w:num>
  <w:num w:numId="157">
    <w:abstractNumId w:val="269"/>
  </w:num>
  <w:num w:numId="158">
    <w:abstractNumId w:val="237"/>
  </w:num>
  <w:num w:numId="159">
    <w:abstractNumId w:val="266"/>
  </w:num>
  <w:num w:numId="160">
    <w:abstractNumId w:val="272"/>
  </w:num>
  <w:num w:numId="161">
    <w:abstractNumId w:val="115"/>
  </w:num>
  <w:num w:numId="162">
    <w:abstractNumId w:val="204"/>
  </w:num>
  <w:num w:numId="163">
    <w:abstractNumId w:val="277"/>
  </w:num>
  <w:num w:numId="164">
    <w:abstractNumId w:val="190"/>
  </w:num>
  <w:num w:numId="165">
    <w:abstractNumId w:val="96"/>
  </w:num>
  <w:num w:numId="166">
    <w:abstractNumId w:val="130"/>
  </w:num>
  <w:num w:numId="167">
    <w:abstractNumId w:val="383"/>
  </w:num>
  <w:num w:numId="168">
    <w:abstractNumId w:val="52"/>
  </w:num>
  <w:num w:numId="169">
    <w:abstractNumId w:val="21"/>
  </w:num>
  <w:num w:numId="170">
    <w:abstractNumId w:val="84"/>
  </w:num>
  <w:num w:numId="171">
    <w:abstractNumId w:val="154"/>
  </w:num>
  <w:num w:numId="172">
    <w:abstractNumId w:val="388"/>
  </w:num>
  <w:num w:numId="173">
    <w:abstractNumId w:val="260"/>
  </w:num>
  <w:num w:numId="174">
    <w:abstractNumId w:val="45"/>
  </w:num>
  <w:num w:numId="175">
    <w:abstractNumId w:val="132"/>
  </w:num>
  <w:num w:numId="176">
    <w:abstractNumId w:val="404"/>
  </w:num>
  <w:num w:numId="177">
    <w:abstractNumId w:val="320"/>
  </w:num>
  <w:num w:numId="178">
    <w:abstractNumId w:val="370"/>
  </w:num>
  <w:num w:numId="179">
    <w:abstractNumId w:val="354"/>
  </w:num>
  <w:num w:numId="180">
    <w:abstractNumId w:val="185"/>
  </w:num>
  <w:num w:numId="181">
    <w:abstractNumId w:val="213"/>
  </w:num>
  <w:num w:numId="182">
    <w:abstractNumId w:val="64"/>
  </w:num>
  <w:num w:numId="183">
    <w:abstractNumId w:val="13"/>
  </w:num>
  <w:num w:numId="184">
    <w:abstractNumId w:val="334"/>
  </w:num>
  <w:num w:numId="185">
    <w:abstractNumId w:val="136"/>
  </w:num>
  <w:num w:numId="186">
    <w:abstractNumId w:val="127"/>
  </w:num>
  <w:num w:numId="187">
    <w:abstractNumId w:val="72"/>
  </w:num>
  <w:num w:numId="188">
    <w:abstractNumId w:val="390"/>
  </w:num>
  <w:num w:numId="189">
    <w:abstractNumId w:val="273"/>
  </w:num>
  <w:num w:numId="190">
    <w:abstractNumId w:val="375"/>
  </w:num>
  <w:num w:numId="191">
    <w:abstractNumId w:val="179"/>
  </w:num>
  <w:num w:numId="192">
    <w:abstractNumId w:val="47"/>
  </w:num>
  <w:num w:numId="193">
    <w:abstractNumId w:val="211"/>
  </w:num>
  <w:num w:numId="194">
    <w:abstractNumId w:val="231"/>
  </w:num>
  <w:num w:numId="195">
    <w:abstractNumId w:val="219"/>
  </w:num>
  <w:num w:numId="196">
    <w:abstractNumId w:val="181"/>
  </w:num>
  <w:num w:numId="197">
    <w:abstractNumId w:val="256"/>
  </w:num>
  <w:num w:numId="198">
    <w:abstractNumId w:val="236"/>
  </w:num>
  <w:num w:numId="199">
    <w:abstractNumId w:val="55"/>
  </w:num>
  <w:num w:numId="200">
    <w:abstractNumId w:val="124"/>
  </w:num>
  <w:num w:numId="201">
    <w:abstractNumId w:val="265"/>
  </w:num>
  <w:num w:numId="202">
    <w:abstractNumId w:val="143"/>
  </w:num>
  <w:num w:numId="203">
    <w:abstractNumId w:val="249"/>
  </w:num>
  <w:num w:numId="204">
    <w:abstractNumId w:val="319"/>
  </w:num>
  <w:num w:numId="205">
    <w:abstractNumId w:val="243"/>
  </w:num>
  <w:num w:numId="206">
    <w:abstractNumId w:val="95"/>
  </w:num>
  <w:num w:numId="207">
    <w:abstractNumId w:val="245"/>
  </w:num>
  <w:num w:numId="208">
    <w:abstractNumId w:val="333"/>
  </w:num>
  <w:num w:numId="209">
    <w:abstractNumId w:val="391"/>
  </w:num>
  <w:num w:numId="210">
    <w:abstractNumId w:val="270"/>
  </w:num>
  <w:num w:numId="211">
    <w:abstractNumId w:val="91"/>
  </w:num>
  <w:num w:numId="212">
    <w:abstractNumId w:val="193"/>
  </w:num>
  <w:num w:numId="213">
    <w:abstractNumId w:val="82"/>
  </w:num>
  <w:num w:numId="214">
    <w:abstractNumId w:val="135"/>
  </w:num>
  <w:num w:numId="215">
    <w:abstractNumId w:val="25"/>
  </w:num>
  <w:num w:numId="216">
    <w:abstractNumId w:val="48"/>
  </w:num>
  <w:num w:numId="217">
    <w:abstractNumId w:val="176"/>
  </w:num>
  <w:num w:numId="218">
    <w:abstractNumId w:val="337"/>
  </w:num>
  <w:num w:numId="219">
    <w:abstractNumId w:val="405"/>
  </w:num>
  <w:num w:numId="220">
    <w:abstractNumId w:val="242"/>
  </w:num>
  <w:num w:numId="221">
    <w:abstractNumId w:val="345"/>
  </w:num>
  <w:num w:numId="222">
    <w:abstractNumId w:val="90"/>
  </w:num>
  <w:num w:numId="223">
    <w:abstractNumId w:val="386"/>
  </w:num>
  <w:num w:numId="224">
    <w:abstractNumId w:val="171"/>
  </w:num>
  <w:num w:numId="225">
    <w:abstractNumId w:val="12"/>
  </w:num>
  <w:num w:numId="226">
    <w:abstractNumId w:val="306"/>
  </w:num>
  <w:num w:numId="227">
    <w:abstractNumId w:val="308"/>
  </w:num>
  <w:num w:numId="228">
    <w:abstractNumId w:val="3"/>
  </w:num>
  <w:num w:numId="229">
    <w:abstractNumId w:val="151"/>
  </w:num>
  <w:num w:numId="230">
    <w:abstractNumId w:val="402"/>
  </w:num>
  <w:num w:numId="231">
    <w:abstractNumId w:val="32"/>
  </w:num>
  <w:num w:numId="232">
    <w:abstractNumId w:val="71"/>
  </w:num>
  <w:num w:numId="233">
    <w:abstractNumId w:val="369"/>
  </w:num>
  <w:num w:numId="234">
    <w:abstractNumId w:val="284"/>
  </w:num>
  <w:num w:numId="235">
    <w:abstractNumId w:val="341"/>
  </w:num>
  <w:num w:numId="236">
    <w:abstractNumId w:val="61"/>
  </w:num>
  <w:num w:numId="237">
    <w:abstractNumId w:val="358"/>
  </w:num>
  <w:num w:numId="238">
    <w:abstractNumId w:val="159"/>
  </w:num>
  <w:num w:numId="239">
    <w:abstractNumId w:val="175"/>
  </w:num>
  <w:num w:numId="240">
    <w:abstractNumId w:val="387"/>
  </w:num>
  <w:num w:numId="241">
    <w:abstractNumId w:val="367"/>
  </w:num>
  <w:num w:numId="242">
    <w:abstractNumId w:val="368"/>
  </w:num>
  <w:num w:numId="243">
    <w:abstractNumId w:val="24"/>
  </w:num>
  <w:num w:numId="244">
    <w:abstractNumId w:val="328"/>
  </w:num>
  <w:num w:numId="245">
    <w:abstractNumId w:val="290"/>
  </w:num>
  <w:num w:numId="246">
    <w:abstractNumId w:val="153"/>
  </w:num>
  <w:num w:numId="247">
    <w:abstractNumId w:val="329"/>
  </w:num>
  <w:num w:numId="248">
    <w:abstractNumId w:val="173"/>
  </w:num>
  <w:num w:numId="249">
    <w:abstractNumId w:val="254"/>
  </w:num>
  <w:num w:numId="250">
    <w:abstractNumId w:val="304"/>
  </w:num>
  <w:num w:numId="251">
    <w:abstractNumId w:val="355"/>
  </w:num>
  <w:num w:numId="252">
    <w:abstractNumId w:val="349"/>
  </w:num>
  <w:num w:numId="253">
    <w:abstractNumId w:val="401"/>
  </w:num>
  <w:num w:numId="254">
    <w:abstractNumId w:val="293"/>
  </w:num>
  <w:num w:numId="255">
    <w:abstractNumId w:val="133"/>
  </w:num>
  <w:num w:numId="256">
    <w:abstractNumId w:val="252"/>
  </w:num>
  <w:num w:numId="257">
    <w:abstractNumId w:val="235"/>
  </w:num>
  <w:num w:numId="258">
    <w:abstractNumId w:val="373"/>
  </w:num>
  <w:num w:numId="259">
    <w:abstractNumId w:val="116"/>
  </w:num>
  <w:num w:numId="260">
    <w:abstractNumId w:val="347"/>
  </w:num>
  <w:num w:numId="261">
    <w:abstractNumId w:val="157"/>
  </w:num>
  <w:num w:numId="262">
    <w:abstractNumId w:val="399"/>
  </w:num>
  <w:num w:numId="263">
    <w:abstractNumId w:val="131"/>
  </w:num>
  <w:num w:numId="264">
    <w:abstractNumId w:val="102"/>
  </w:num>
  <w:num w:numId="265">
    <w:abstractNumId w:val="62"/>
  </w:num>
  <w:num w:numId="266">
    <w:abstractNumId w:val="152"/>
  </w:num>
  <w:num w:numId="267">
    <w:abstractNumId w:val="150"/>
  </w:num>
  <w:num w:numId="268">
    <w:abstractNumId w:val="2"/>
  </w:num>
  <w:num w:numId="269">
    <w:abstractNumId w:val="294"/>
  </w:num>
  <w:num w:numId="270">
    <w:abstractNumId w:val="14"/>
  </w:num>
  <w:num w:numId="271">
    <w:abstractNumId w:val="42"/>
  </w:num>
  <w:num w:numId="272">
    <w:abstractNumId w:val="182"/>
  </w:num>
  <w:num w:numId="273">
    <w:abstractNumId w:val="63"/>
  </w:num>
  <w:num w:numId="274">
    <w:abstractNumId w:val="268"/>
  </w:num>
  <w:num w:numId="275">
    <w:abstractNumId w:val="323"/>
  </w:num>
  <w:num w:numId="276">
    <w:abstractNumId w:val="297"/>
  </w:num>
  <w:num w:numId="277">
    <w:abstractNumId w:val="184"/>
  </w:num>
  <w:num w:numId="278">
    <w:abstractNumId w:val="229"/>
  </w:num>
  <w:num w:numId="279">
    <w:abstractNumId w:val="222"/>
  </w:num>
  <w:num w:numId="280">
    <w:abstractNumId w:val="36"/>
  </w:num>
  <w:num w:numId="281">
    <w:abstractNumId w:val="0"/>
  </w:num>
  <w:num w:numId="282">
    <w:abstractNumId w:val="191"/>
  </w:num>
  <w:num w:numId="283">
    <w:abstractNumId w:val="248"/>
  </w:num>
  <w:num w:numId="284">
    <w:abstractNumId w:val="194"/>
  </w:num>
  <w:num w:numId="285">
    <w:abstractNumId w:val="97"/>
  </w:num>
  <w:num w:numId="286">
    <w:abstractNumId w:val="23"/>
  </w:num>
  <w:num w:numId="287">
    <w:abstractNumId w:val="147"/>
  </w:num>
  <w:num w:numId="288">
    <w:abstractNumId w:val="70"/>
  </w:num>
  <w:num w:numId="289">
    <w:abstractNumId w:val="183"/>
  </w:num>
  <w:num w:numId="290">
    <w:abstractNumId w:val="1"/>
  </w:num>
  <w:num w:numId="291">
    <w:abstractNumId w:val="46"/>
  </w:num>
  <w:num w:numId="292">
    <w:abstractNumId w:val="105"/>
  </w:num>
  <w:num w:numId="293">
    <w:abstractNumId w:val="39"/>
  </w:num>
  <w:num w:numId="294">
    <w:abstractNumId w:val="279"/>
  </w:num>
  <w:num w:numId="295">
    <w:abstractNumId w:val="313"/>
  </w:num>
  <w:num w:numId="296">
    <w:abstractNumId w:val="379"/>
  </w:num>
  <w:num w:numId="297">
    <w:abstractNumId w:val="160"/>
  </w:num>
  <w:num w:numId="298">
    <w:abstractNumId w:val="307"/>
  </w:num>
  <w:num w:numId="299">
    <w:abstractNumId w:val="205"/>
  </w:num>
  <w:num w:numId="300">
    <w:abstractNumId w:val="178"/>
  </w:num>
  <w:num w:numId="301">
    <w:abstractNumId w:val="393"/>
  </w:num>
  <w:num w:numId="302">
    <w:abstractNumId w:val="378"/>
  </w:num>
  <w:num w:numId="303">
    <w:abstractNumId w:val="377"/>
  </w:num>
  <w:num w:numId="304">
    <w:abstractNumId w:val="285"/>
  </w:num>
  <w:num w:numId="305">
    <w:abstractNumId w:val="199"/>
  </w:num>
  <w:num w:numId="306">
    <w:abstractNumId w:val="274"/>
  </w:num>
  <w:num w:numId="307">
    <w:abstractNumId w:val="177"/>
  </w:num>
  <w:num w:numId="308">
    <w:abstractNumId w:val="217"/>
  </w:num>
  <w:num w:numId="309">
    <w:abstractNumId w:val="207"/>
  </w:num>
  <w:num w:numId="310">
    <w:abstractNumId w:val="87"/>
  </w:num>
  <w:num w:numId="311">
    <w:abstractNumId w:val="292"/>
  </w:num>
  <w:num w:numId="312">
    <w:abstractNumId w:val="67"/>
  </w:num>
  <w:num w:numId="313">
    <w:abstractNumId w:val="169"/>
  </w:num>
  <w:num w:numId="314">
    <w:abstractNumId w:val="258"/>
  </w:num>
  <w:num w:numId="315">
    <w:abstractNumId w:val="126"/>
  </w:num>
  <w:num w:numId="316">
    <w:abstractNumId w:val="197"/>
  </w:num>
  <w:num w:numId="317">
    <w:abstractNumId w:val="343"/>
  </w:num>
  <w:num w:numId="318">
    <w:abstractNumId w:val="250"/>
  </w:num>
  <w:num w:numId="319">
    <w:abstractNumId w:val="86"/>
  </w:num>
  <w:num w:numId="320">
    <w:abstractNumId w:val="282"/>
  </w:num>
  <w:num w:numId="321">
    <w:abstractNumId w:val="33"/>
  </w:num>
  <w:num w:numId="322">
    <w:abstractNumId w:val="392"/>
  </w:num>
  <w:num w:numId="323">
    <w:abstractNumId w:val="59"/>
  </w:num>
  <w:num w:numId="324">
    <w:abstractNumId w:val="264"/>
  </w:num>
  <w:num w:numId="325">
    <w:abstractNumId w:val="353"/>
  </w:num>
  <w:num w:numId="326">
    <w:abstractNumId w:val="76"/>
  </w:num>
  <w:num w:numId="327">
    <w:abstractNumId w:val="109"/>
  </w:num>
  <w:num w:numId="328">
    <w:abstractNumId w:val="262"/>
  </w:num>
  <w:num w:numId="329">
    <w:abstractNumId w:val="340"/>
  </w:num>
  <w:num w:numId="330">
    <w:abstractNumId w:val="139"/>
  </w:num>
  <w:num w:numId="331">
    <w:abstractNumId w:val="54"/>
  </w:num>
  <w:num w:numId="332">
    <w:abstractNumId w:val="394"/>
  </w:num>
  <w:num w:numId="333">
    <w:abstractNumId w:val="75"/>
  </w:num>
  <w:num w:numId="334">
    <w:abstractNumId w:val="58"/>
  </w:num>
  <w:num w:numId="335">
    <w:abstractNumId w:val="364"/>
  </w:num>
  <w:num w:numId="336">
    <w:abstractNumId w:val="330"/>
  </w:num>
  <w:num w:numId="337">
    <w:abstractNumId w:val="283"/>
  </w:num>
  <w:num w:numId="338">
    <w:abstractNumId w:val="163"/>
  </w:num>
  <w:num w:numId="339">
    <w:abstractNumId w:val="7"/>
  </w:num>
  <w:num w:numId="340">
    <w:abstractNumId w:val="186"/>
  </w:num>
  <w:num w:numId="341">
    <w:abstractNumId w:val="188"/>
  </w:num>
  <w:num w:numId="342">
    <w:abstractNumId w:val="198"/>
  </w:num>
  <w:num w:numId="343">
    <w:abstractNumId w:val="359"/>
  </w:num>
  <w:num w:numId="344">
    <w:abstractNumId w:val="281"/>
  </w:num>
  <w:num w:numId="345">
    <w:abstractNumId w:val="196"/>
  </w:num>
  <w:num w:numId="346">
    <w:abstractNumId w:val="134"/>
  </w:num>
  <w:num w:numId="347">
    <w:abstractNumId w:val="83"/>
  </w:num>
  <w:num w:numId="348">
    <w:abstractNumId w:val="324"/>
  </w:num>
  <w:num w:numId="349">
    <w:abstractNumId w:val="311"/>
  </w:num>
  <w:num w:numId="350">
    <w:abstractNumId w:val="301"/>
  </w:num>
  <w:num w:numId="351">
    <w:abstractNumId w:val="214"/>
  </w:num>
  <w:num w:numId="352">
    <w:abstractNumId w:val="403"/>
  </w:num>
  <w:num w:numId="353">
    <w:abstractNumId w:val="108"/>
  </w:num>
  <w:num w:numId="354">
    <w:abstractNumId w:val="4"/>
  </w:num>
  <w:num w:numId="355">
    <w:abstractNumId w:val="155"/>
  </w:num>
  <w:num w:numId="356">
    <w:abstractNumId w:val="114"/>
  </w:num>
  <w:num w:numId="357">
    <w:abstractNumId w:val="289"/>
  </w:num>
  <w:num w:numId="358">
    <w:abstractNumId w:val="29"/>
  </w:num>
  <w:num w:numId="359">
    <w:abstractNumId w:val="17"/>
  </w:num>
  <w:num w:numId="360">
    <w:abstractNumId w:val="51"/>
  </w:num>
  <w:num w:numId="361">
    <w:abstractNumId w:val="267"/>
  </w:num>
  <w:num w:numId="362">
    <w:abstractNumId w:val="8"/>
  </w:num>
  <w:num w:numId="363">
    <w:abstractNumId w:val="271"/>
  </w:num>
  <w:num w:numId="364">
    <w:abstractNumId w:val="38"/>
  </w:num>
  <w:num w:numId="365">
    <w:abstractNumId w:val="22"/>
  </w:num>
  <w:num w:numId="366">
    <w:abstractNumId w:val="156"/>
  </w:num>
  <w:num w:numId="367">
    <w:abstractNumId w:val="141"/>
  </w:num>
  <w:num w:numId="368">
    <w:abstractNumId w:val="43"/>
  </w:num>
  <w:num w:numId="369">
    <w:abstractNumId w:val="172"/>
  </w:num>
  <w:num w:numId="370">
    <w:abstractNumId w:val="240"/>
  </w:num>
  <w:num w:numId="371">
    <w:abstractNumId w:val="138"/>
  </w:num>
  <w:num w:numId="372">
    <w:abstractNumId w:val="326"/>
  </w:num>
  <w:num w:numId="373">
    <w:abstractNumId w:val="89"/>
  </w:num>
  <w:num w:numId="374">
    <w:abstractNumId w:val="398"/>
  </w:num>
  <w:num w:numId="375">
    <w:abstractNumId w:val="80"/>
  </w:num>
  <w:num w:numId="376">
    <w:abstractNumId w:val="382"/>
  </w:num>
  <w:num w:numId="377">
    <w:abstractNumId w:val="99"/>
  </w:num>
  <w:num w:numId="378">
    <w:abstractNumId w:val="233"/>
  </w:num>
  <w:num w:numId="379">
    <w:abstractNumId w:val="111"/>
  </w:num>
  <w:num w:numId="380">
    <w:abstractNumId w:val="121"/>
  </w:num>
  <w:num w:numId="381">
    <w:abstractNumId w:val="210"/>
  </w:num>
  <w:num w:numId="382">
    <w:abstractNumId w:val="288"/>
  </w:num>
  <w:num w:numId="383">
    <w:abstractNumId w:val="144"/>
  </w:num>
  <w:num w:numId="384">
    <w:abstractNumId w:val="365"/>
  </w:num>
  <w:num w:numId="385">
    <w:abstractNumId w:val="295"/>
  </w:num>
  <w:num w:numId="386">
    <w:abstractNumId w:val="286"/>
  </w:num>
  <w:num w:numId="387">
    <w:abstractNumId w:val="107"/>
  </w:num>
  <w:num w:numId="388">
    <w:abstractNumId w:val="189"/>
  </w:num>
  <w:num w:numId="389">
    <w:abstractNumId w:val="88"/>
  </w:num>
  <w:num w:numId="390">
    <w:abstractNumId w:val="166"/>
  </w:num>
  <w:num w:numId="391">
    <w:abstractNumId w:val="69"/>
  </w:num>
  <w:num w:numId="392">
    <w:abstractNumId w:val="27"/>
  </w:num>
  <w:num w:numId="393">
    <w:abstractNumId w:val="201"/>
  </w:num>
  <w:num w:numId="394">
    <w:abstractNumId w:val="201"/>
    <w:lvlOverride w:ilvl="0">
      <w:lvl w:ilvl="0">
        <w:start w:val="1"/>
        <w:numFmt w:val="lowerLetter"/>
        <w:lvlText w:val="%1) "/>
        <w:legacy w:legacy="1" w:legacySpace="0" w:legacyIndent="283"/>
        <w:lvlJc w:val="left"/>
        <w:pPr>
          <w:ind w:left="283" w:hanging="283"/>
        </w:pPr>
        <w:rPr>
          <w:b w:val="0"/>
          <w:i w:val="0"/>
          <w:sz w:val="24"/>
        </w:rPr>
      </w:lvl>
    </w:lvlOverride>
  </w:num>
  <w:num w:numId="395">
    <w:abstractNumId w:val="18"/>
  </w:num>
  <w:num w:numId="396">
    <w:abstractNumId w:val="18"/>
    <w:lvlOverride w:ilvl="0">
      <w:lvl w:ilvl="0">
        <w:start w:val="1"/>
        <w:numFmt w:val="decimal"/>
        <w:lvlText w:val="%1. "/>
        <w:legacy w:legacy="1" w:legacySpace="0" w:legacyIndent="283"/>
        <w:lvlJc w:val="left"/>
        <w:pPr>
          <w:ind w:left="283" w:hanging="283"/>
        </w:pPr>
        <w:rPr>
          <w:b w:val="0"/>
          <w:i w:val="0"/>
          <w:sz w:val="24"/>
        </w:rPr>
      </w:lvl>
    </w:lvlOverride>
  </w:num>
  <w:num w:numId="397">
    <w:abstractNumId w:val="98"/>
  </w:num>
  <w:num w:numId="398">
    <w:abstractNumId w:val="98"/>
    <w:lvlOverride w:ilvl="0">
      <w:lvl w:ilvl="0">
        <w:start w:val="1"/>
        <w:numFmt w:val="decimal"/>
        <w:lvlText w:val="%1. "/>
        <w:legacy w:legacy="1" w:legacySpace="0" w:legacyIndent="283"/>
        <w:lvlJc w:val="left"/>
        <w:pPr>
          <w:ind w:left="283" w:hanging="283"/>
        </w:pPr>
        <w:rPr>
          <w:b w:val="0"/>
          <w:i w:val="0"/>
          <w:sz w:val="24"/>
        </w:rPr>
      </w:lvl>
    </w:lvlOverride>
  </w:num>
  <w:num w:numId="399">
    <w:abstractNumId w:val="162"/>
  </w:num>
  <w:num w:numId="400">
    <w:abstractNumId w:val="318"/>
  </w:num>
  <w:num w:numId="401">
    <w:abstractNumId w:val="263"/>
  </w:num>
  <w:num w:numId="402">
    <w:abstractNumId w:val="338"/>
  </w:num>
  <w:num w:numId="403">
    <w:abstractNumId w:val="117"/>
  </w:num>
  <w:num w:numId="404">
    <w:abstractNumId w:val="60"/>
  </w:num>
  <w:num w:numId="405">
    <w:abstractNumId w:val="389"/>
  </w:num>
  <w:num w:numId="406">
    <w:abstractNumId w:val="37"/>
  </w:num>
  <w:num w:numId="407">
    <w:abstractNumId w:val="164"/>
  </w:num>
  <w:num w:numId="408">
    <w:abstractNumId w:val="165"/>
  </w:num>
  <w:num w:numId="409">
    <w:abstractNumId w:val="314"/>
  </w:num>
  <w:num w:numId="410">
    <w:abstractNumId w:val="3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en-US" w:vendorID="8" w:dllVersion="513" w:checkStyle="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058743R"/>
    <w:docVar w:name="Symbol1" w:val="CEDAW/C/TUN/3-4"/>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021"/>
      </w:tabs>
      <w:spacing w:after="240" w:line="240" w:lineRule="exact"/>
      <w:jc w:val="both"/>
    </w:pPr>
    <w:rPr>
      <w:lang w:val="ru-RU" w:eastAsia="ru-RU"/>
    </w:rPr>
  </w:style>
  <w:style w:type="paragraph" w:styleId="Heading1">
    <w:name w:val="heading 1"/>
    <w:basedOn w:val="Normal"/>
    <w:next w:val="Normal"/>
    <w:qFormat/>
    <w:pPr>
      <w:keepNext/>
      <w:spacing w:line="480" w:lineRule="auto"/>
      <w:jc w:val="center"/>
      <w:outlineLvl w:val="0"/>
    </w:pPr>
    <w:rPr>
      <w:b/>
      <w:sz w:val="28"/>
      <w:u w:val="single"/>
    </w:rPr>
  </w:style>
  <w:style w:type="paragraph" w:styleId="Heading2">
    <w:name w:val="heading 2"/>
    <w:basedOn w:val="Normal"/>
    <w:next w:val="Normal"/>
    <w:qFormat/>
    <w:pPr>
      <w:keepNext/>
      <w:spacing w:line="480" w:lineRule="auto"/>
      <w:outlineLvl w:val="1"/>
    </w:pPr>
    <w:rPr>
      <w:sz w:val="24"/>
    </w:rPr>
  </w:style>
  <w:style w:type="paragraph" w:styleId="Heading3">
    <w:name w:val="heading 3"/>
    <w:basedOn w:val="Normal"/>
    <w:next w:val="Normal"/>
    <w:qFormat/>
    <w:pPr>
      <w:keepNext/>
      <w:spacing w:before="120" w:line="480" w:lineRule="auto"/>
      <w:jc w:val="center"/>
      <w:outlineLvl w:val="2"/>
    </w:pPr>
    <w:rPr>
      <w:b/>
      <w:sz w:val="22"/>
    </w:rPr>
  </w:style>
  <w:style w:type="paragraph" w:styleId="Heading4">
    <w:name w:val="heading 4"/>
    <w:basedOn w:val="Normal"/>
    <w:next w:val="Normal"/>
    <w:qFormat/>
    <w:pPr>
      <w:keepNext/>
      <w:spacing w:line="480" w:lineRule="auto"/>
      <w:outlineLvl w:val="3"/>
    </w:pPr>
    <w:rPr>
      <w:b/>
      <w:sz w:val="24"/>
    </w:rPr>
  </w:style>
  <w:style w:type="paragraph" w:styleId="Heading5">
    <w:name w:val="heading 5"/>
    <w:basedOn w:val="Normal"/>
    <w:next w:val="Normal"/>
    <w:qFormat/>
    <w:pPr>
      <w:keepNext/>
      <w:ind w:left="2160"/>
      <w:outlineLvl w:val="4"/>
    </w:pPr>
    <w:rPr>
      <w:i/>
      <w:color w:val="000000"/>
      <w:sz w:val="24"/>
      <w:lang w:val="fr-FR"/>
    </w:rPr>
  </w:style>
  <w:style w:type="paragraph" w:styleId="Heading8">
    <w:name w:val="heading 8"/>
    <w:basedOn w:val="Normal"/>
    <w:next w:val="Normal"/>
    <w:qFormat/>
    <w:pPr>
      <w:keepNext/>
      <w:outlineLvl w:val="7"/>
    </w:pPr>
    <w:rPr>
      <w:i/>
      <w:noProof/>
      <w:color w:val="00000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480" w:lineRule="auto"/>
    </w:pPr>
    <w:rPr>
      <w:sz w:val="24"/>
    </w:rPr>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Title">
    <w:name w:val="Title"/>
    <w:basedOn w:val="Normal"/>
    <w:qFormat/>
    <w:pPr>
      <w:spacing w:line="480" w:lineRule="auto"/>
      <w:jc w:val="center"/>
    </w:pPr>
    <w:rPr>
      <w:b/>
      <w:sz w:val="24"/>
    </w:rPr>
  </w:style>
  <w:style w:type="paragraph" w:styleId="Caption">
    <w:name w:val="caption"/>
    <w:basedOn w:val="Normal"/>
    <w:next w:val="Normal"/>
    <w:qFormat/>
    <w:pPr>
      <w:spacing w:line="480" w:lineRule="auto"/>
    </w:pPr>
    <w:rPr>
      <w:b/>
      <w:bCs/>
      <w:sz w:val="24"/>
    </w:rPr>
  </w:style>
  <w:style w:type="paragraph" w:styleId="BodyTextIndent">
    <w:name w:val="Body Text Indent"/>
    <w:basedOn w:val="Normal"/>
    <w:semiHidden/>
    <w:rPr>
      <w:color w:val="000000"/>
      <w:sz w:val="24"/>
    </w:rPr>
  </w:style>
  <w:style w:type="paragraph" w:styleId="BodyTextIndent2">
    <w:name w:val="Body Text Indent 2"/>
    <w:basedOn w:val="Normal"/>
    <w:semiHidden/>
    <w:pPr>
      <w:ind w:left="360"/>
    </w:pPr>
    <w:rPr>
      <w:color w:val="0000FF"/>
      <w:sz w:val="24"/>
    </w:rPr>
  </w:style>
  <w:style w:type="paragraph" w:styleId="BodyTextIndent3">
    <w:name w:val="Body Text Indent 3"/>
    <w:basedOn w:val="Normal"/>
    <w:semiHidden/>
    <w:pPr>
      <w:ind w:left="720"/>
    </w:pPr>
    <w:rPr>
      <w:color w:val="000000"/>
      <w:sz w:val="24"/>
    </w:rPr>
  </w:style>
  <w:style w:type="paragraph" w:styleId="BodyText2">
    <w:name w:val="Body Text 2"/>
    <w:basedOn w:val="Normal"/>
    <w:semiHidden/>
    <w:pPr>
      <w:spacing w:line="480" w:lineRule="auto"/>
      <w:jc w:val="center"/>
    </w:pPr>
    <w:rPr>
      <w:color w:val="000000"/>
      <w:sz w:val="24"/>
    </w:rPr>
  </w:style>
  <w:style w:type="paragraph" w:styleId="FootnoteText">
    <w:name w:val="footnote text"/>
    <w:basedOn w:val="Normal"/>
    <w:semiHidden/>
    <w:rPr>
      <w:color w:val="000000"/>
      <w:lang w:val="fr-FR"/>
    </w:rPr>
  </w:style>
  <w:style w:type="paragraph" w:styleId="BodyText3">
    <w:name w:val="Body Text 3"/>
    <w:basedOn w:val="Normal"/>
    <w:semiHidden/>
    <w:pPr>
      <w:spacing w:line="480" w:lineRule="auto"/>
    </w:pPr>
    <w:rPr>
      <w:i/>
      <w:color w:val="000000"/>
      <w:sz w:val="24"/>
    </w:rPr>
  </w:style>
  <w:style w:type="character" w:styleId="FootnoteReference">
    <w:name w:val="footnote reference"/>
    <w:semiHidden/>
    <w:rPr>
      <w:vertAlign w:val="superscript"/>
    </w:rPr>
  </w:style>
  <w:style w:type="character" w:styleId="CommentReference">
    <w:name w:val="annotation reference"/>
    <w:semiHidden/>
    <w:rPr>
      <w:sz w:val="16"/>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80068</Words>
  <Characters>456389</Characters>
  <Application>Microsoft Office Word</Application>
  <DocSecurity>4</DocSecurity>
  <Lines>3803</Lines>
  <Paragraphs>912</Paragraphs>
  <ScaleCrop>false</ScaleCrop>
  <HeadingPairs>
    <vt:vector size="2" baseType="variant">
      <vt:variant>
        <vt:lpstr>Title</vt:lpstr>
      </vt:variant>
      <vt:variant>
        <vt:i4>1</vt:i4>
      </vt:variant>
    </vt:vector>
  </HeadingPairs>
  <TitlesOfParts>
    <vt:vector size="1" baseType="lpstr">
      <vt:lpstr>Часть ХII</vt:lpstr>
    </vt:vector>
  </TitlesOfParts>
  <Company>Компания ВИСТ</Company>
  <LinksUpToDate>false</LinksUpToDate>
  <CharactersWithSpaces>560477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ХII</dc:title>
  <dc:subject/>
  <dc:creator>ОЕМ Пользователь</dc:creator>
  <cp:keywords/>
  <cp:lastModifiedBy>DGAACS User</cp:lastModifiedBy>
  <cp:revision>6</cp:revision>
  <cp:lastPrinted>2001-03-07T15:32:00Z</cp:lastPrinted>
  <dcterms:created xsi:type="dcterms:W3CDTF">2001-03-07T15:28:00Z</dcterms:created>
  <dcterms:modified xsi:type="dcterms:W3CDTF">2001-03-08T09:03:00Z</dcterms:modified>
</cp:coreProperties>
</file>