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7DCCF0" w14:textId="77777777" w:rsidR="00DC6EF5" w:rsidRDefault="00DC6EF5" w:rsidP="00DC6EF5">
      <w:pPr>
        <w:spacing w:line="60" w:lineRule="exact"/>
        <w:rPr>
          <w:sz w:val="2"/>
        </w:rPr>
        <w:sectPr w:rsidR="00DC6EF5" w:rsidSect="008546AB">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728" w:left="1200" w:header="432" w:footer="504" w:gutter="0"/>
          <w:cols w:space="425"/>
          <w:titlePg/>
          <w:docGrid w:linePitch="312"/>
        </w:sectPr>
      </w:pPr>
      <w:r>
        <w:rPr>
          <w:rStyle w:val="ad"/>
        </w:rPr>
        <w:commentReference w:id="0"/>
      </w:r>
    </w:p>
    <w:p w14:paraId="70FE0376" w14:textId="77777777" w:rsidR="00F443F8" w:rsidRDefault="00F443F8" w:rsidP="00F443F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消除</w:t>
      </w:r>
      <w:r w:rsidRPr="008F447E">
        <w:rPr>
          <w:rFonts w:hint="eastAsia"/>
        </w:rPr>
        <w:t>对</w:t>
      </w:r>
      <w:r>
        <w:rPr>
          <w:rFonts w:hint="eastAsia"/>
        </w:rPr>
        <w:t>妇女歧视委员会</w:t>
      </w:r>
    </w:p>
    <w:p w14:paraId="5BD7B715" w14:textId="77777777" w:rsidR="00F443F8" w:rsidRPr="0074733C" w:rsidRDefault="00F443F8" w:rsidP="0074733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Pr>
          <w:noProof/>
        </w:rPr>
        <mc:AlternateContent>
          <mc:Choice Requires="wps">
            <w:drawing>
              <wp:anchor distT="0" distB="0" distL="114300" distR="114300" simplePos="0" relativeHeight="251659264" behindDoc="0" locked="0" layoutInCell="1" allowOverlap="1" wp14:anchorId="08B2FD3C" wp14:editId="55A9ACC7">
                <wp:simplePos x="0" y="0"/>
                <wp:positionH relativeFrom="column">
                  <wp:posOffset>548640</wp:posOffset>
                </wp:positionH>
                <wp:positionV relativeFrom="paragraph">
                  <wp:posOffset>-12700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5A4518A" id="直接连接符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" strokecolor="#010000" strokeweight=".25pt"/>
            </w:pict>
          </mc:Fallback>
        </mc:AlternateContent>
      </w:r>
      <w:r>
        <w:rPr>
          <w:sz w:val="18"/>
        </w:rPr>
        <w:tab/>
      </w:r>
      <w:r w:rsidRPr="0074733C">
        <w:rPr>
          <w:rFonts w:hint="eastAsia"/>
          <w:sz w:val="18"/>
        </w:rPr>
        <w:t>*</w:t>
      </w:r>
      <w:r>
        <w:rPr>
          <w:sz w:val="18"/>
        </w:rPr>
        <w:tab/>
      </w:r>
      <w:r w:rsidRPr="0074733C">
        <w:rPr>
          <w:rFonts w:hint="eastAsia"/>
          <w:sz w:val="18"/>
        </w:rPr>
        <w:t>委员会第七十四届会议</w:t>
      </w:r>
      <w:r w:rsidRPr="0074733C">
        <w:rPr>
          <w:rFonts w:hint="eastAsia"/>
          <w:sz w:val="18"/>
        </w:rPr>
        <w:t>(2019</w:t>
      </w:r>
      <w:r w:rsidRPr="0074733C">
        <w:rPr>
          <w:rFonts w:hint="eastAsia"/>
          <w:sz w:val="18"/>
        </w:rPr>
        <w:t>年</w:t>
      </w:r>
      <w:r w:rsidRPr="0074733C">
        <w:rPr>
          <w:rFonts w:hint="eastAsia"/>
          <w:sz w:val="18"/>
        </w:rPr>
        <w:t>10</w:t>
      </w:r>
      <w:r w:rsidRPr="0074733C">
        <w:rPr>
          <w:rFonts w:hint="eastAsia"/>
          <w:sz w:val="18"/>
        </w:rPr>
        <w:t>月</w:t>
      </w:r>
      <w:r w:rsidRPr="0074733C">
        <w:rPr>
          <w:rFonts w:hint="eastAsia"/>
          <w:sz w:val="18"/>
        </w:rPr>
        <w:t>21</w:t>
      </w:r>
      <w:r w:rsidRPr="0074733C">
        <w:rPr>
          <w:rFonts w:hint="eastAsia"/>
          <w:sz w:val="18"/>
        </w:rPr>
        <w:t>日至</w:t>
      </w:r>
      <w:r w:rsidRPr="0074733C">
        <w:rPr>
          <w:rFonts w:hint="eastAsia"/>
          <w:sz w:val="18"/>
        </w:rPr>
        <w:t>11</w:t>
      </w:r>
      <w:r w:rsidRPr="0074733C">
        <w:rPr>
          <w:rFonts w:hint="eastAsia"/>
          <w:sz w:val="18"/>
        </w:rPr>
        <w:t>月</w:t>
      </w:r>
      <w:r w:rsidRPr="0074733C">
        <w:rPr>
          <w:rFonts w:hint="eastAsia"/>
          <w:sz w:val="18"/>
        </w:rPr>
        <w:t>8</w:t>
      </w:r>
      <w:r w:rsidRPr="0074733C">
        <w:rPr>
          <w:rFonts w:hint="eastAsia"/>
          <w:sz w:val="18"/>
        </w:rPr>
        <w:t>日</w:t>
      </w:r>
      <w:r w:rsidRPr="0074733C">
        <w:rPr>
          <w:rFonts w:hint="eastAsia"/>
          <w:sz w:val="18"/>
        </w:rPr>
        <w:t>)</w:t>
      </w:r>
      <w:r w:rsidRPr="0074733C">
        <w:rPr>
          <w:rFonts w:hint="eastAsia"/>
          <w:sz w:val="18"/>
        </w:rPr>
        <w:t>通过。</w:t>
      </w:r>
    </w:p>
    <w:p w14:paraId="7D978C26" w14:textId="77777777" w:rsidR="00F443F8" w:rsidRDefault="00F443F8" w:rsidP="0060556D">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ind w:left="1267" w:right="1260" w:hanging="1267"/>
      </w:pPr>
      <w:r>
        <w:tab/>
      </w:r>
      <w:r>
        <w:tab/>
      </w:r>
      <w:r>
        <w:rPr>
          <w:rFonts w:hint="eastAsia"/>
        </w:rPr>
        <w:t>关于立陶宛第六次定期报告的结论性意见</w:t>
      </w:r>
      <w:r>
        <w:rPr>
          <w:rFonts w:hint="eastAsia"/>
        </w:rPr>
        <w:t>*</w:t>
      </w:r>
    </w:p>
    <w:p w14:paraId="39E880BF" w14:textId="71C2D7A0" w:rsidR="00F443F8" w:rsidRDefault="00F443F8" w:rsidP="00337A2E">
      <w:pPr>
        <w:pStyle w:val="SingleTxt"/>
        <w:spacing w:before="240"/>
      </w:pPr>
      <w:r>
        <w:rPr>
          <w:rFonts w:hint="eastAsia"/>
        </w:rPr>
        <w:t>1.</w:t>
      </w:r>
      <w:r>
        <w:rPr>
          <w:rFonts w:hint="eastAsia"/>
        </w:rPr>
        <w:tab/>
      </w:r>
      <w:r>
        <w:rPr>
          <w:rFonts w:hint="eastAsia"/>
        </w:rPr>
        <w:t>委员会在</w:t>
      </w:r>
      <w:r>
        <w:rPr>
          <w:rFonts w:hint="eastAsia"/>
        </w:rPr>
        <w:t>2019</w:t>
      </w:r>
      <w:r>
        <w:rPr>
          <w:rFonts w:hint="eastAsia"/>
        </w:rPr>
        <w:t>年</w:t>
      </w:r>
      <w:r>
        <w:rPr>
          <w:rFonts w:hint="eastAsia"/>
        </w:rPr>
        <w:t>10</w:t>
      </w:r>
      <w:r>
        <w:rPr>
          <w:rFonts w:hint="eastAsia"/>
        </w:rPr>
        <w:t>月</w:t>
      </w:r>
      <w:r>
        <w:rPr>
          <w:rFonts w:hint="eastAsia"/>
        </w:rPr>
        <w:t>31</w:t>
      </w:r>
      <w:r>
        <w:rPr>
          <w:rFonts w:hint="eastAsia"/>
        </w:rPr>
        <w:t>日举行的第</w:t>
      </w:r>
      <w:r>
        <w:rPr>
          <w:rFonts w:hint="eastAsia"/>
        </w:rPr>
        <w:t>1734</w:t>
      </w:r>
      <w:r>
        <w:rPr>
          <w:rFonts w:hint="eastAsia"/>
        </w:rPr>
        <w:t>和</w:t>
      </w:r>
      <w:r>
        <w:rPr>
          <w:rFonts w:hint="eastAsia"/>
        </w:rPr>
        <w:t>1735</w:t>
      </w:r>
      <w:r>
        <w:rPr>
          <w:rFonts w:hint="eastAsia"/>
        </w:rPr>
        <w:t>次会议</w:t>
      </w:r>
      <w:r>
        <w:rPr>
          <w:rFonts w:hint="eastAsia"/>
        </w:rPr>
        <w:t>(</w:t>
      </w:r>
      <w:r>
        <w:rPr>
          <w:rFonts w:hint="eastAsia"/>
        </w:rPr>
        <w:t>见</w:t>
      </w:r>
      <w:hyperlink r:id="rId16" w:history="1">
        <w:r w:rsidRPr="00A601C7">
          <w:rPr>
            <w:rStyle w:val="af4"/>
            <w:rFonts w:hint="eastAsia"/>
          </w:rPr>
          <w:t>CEDAW/C/SR.1734</w:t>
        </w:r>
      </w:hyperlink>
      <w:r>
        <w:rPr>
          <w:rFonts w:hint="eastAsia"/>
        </w:rPr>
        <w:t>和</w:t>
      </w:r>
      <w:hyperlink r:id="rId17" w:history="1">
        <w:r w:rsidRPr="00A601C7">
          <w:rPr>
            <w:rStyle w:val="af4"/>
            <w:rFonts w:hint="eastAsia"/>
          </w:rPr>
          <w:t>CEDAW/C/SR.1735</w:t>
        </w:r>
      </w:hyperlink>
      <w:r>
        <w:rPr>
          <w:rFonts w:hint="eastAsia"/>
        </w:rPr>
        <w:t>)</w:t>
      </w:r>
      <w:r>
        <w:rPr>
          <w:rFonts w:hint="eastAsia"/>
        </w:rPr>
        <w:t>上审议了立陶宛的第六次定期报告</w:t>
      </w:r>
      <w:r>
        <w:rPr>
          <w:rFonts w:hint="eastAsia"/>
        </w:rPr>
        <w:t>(</w:t>
      </w:r>
      <w:hyperlink r:id="rId18" w:history="1">
        <w:r w:rsidRPr="00A601C7">
          <w:rPr>
            <w:rStyle w:val="af4"/>
            <w:rFonts w:hint="eastAsia"/>
          </w:rPr>
          <w:t>CEDAW/C/LTU/6</w:t>
        </w:r>
      </w:hyperlink>
      <w:r>
        <w:rPr>
          <w:rFonts w:hint="eastAsia"/>
        </w:rPr>
        <w:t>)</w:t>
      </w:r>
      <w:r>
        <w:rPr>
          <w:rFonts w:hint="eastAsia"/>
        </w:rPr>
        <w:t>。会前工作组提出的议题和问题清单载于</w:t>
      </w:r>
      <w:hyperlink r:id="rId19" w:history="1">
        <w:r w:rsidRPr="00A601C7">
          <w:rPr>
            <w:rStyle w:val="af4"/>
            <w:rFonts w:hint="eastAsia"/>
          </w:rPr>
          <w:t>CEDAW/C/LTU/Q/6</w:t>
        </w:r>
      </w:hyperlink>
      <w:r>
        <w:rPr>
          <w:rFonts w:hint="eastAsia"/>
        </w:rPr>
        <w:t>，立陶宛的答复载于</w:t>
      </w:r>
      <w:hyperlink r:id="rId20" w:history="1">
        <w:r w:rsidRPr="00A601C7">
          <w:rPr>
            <w:rStyle w:val="af4"/>
            <w:rFonts w:hint="eastAsia"/>
          </w:rPr>
          <w:t>CEDAW/C/LTU/Q/6/Add.1</w:t>
        </w:r>
      </w:hyperlink>
      <w:r>
        <w:rPr>
          <w:rFonts w:hint="eastAsia"/>
        </w:rPr>
        <w:t>。</w:t>
      </w:r>
    </w:p>
    <w:p w14:paraId="279FEB71" w14:textId="77777777" w:rsidR="00F443F8" w:rsidRDefault="00F443F8" w:rsidP="008F447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Pr>
          <w:rFonts w:hint="eastAsia"/>
        </w:rPr>
        <w:t>A.</w:t>
      </w:r>
      <w:r>
        <w:rPr>
          <w:rFonts w:hint="eastAsia"/>
        </w:rPr>
        <w:tab/>
      </w:r>
      <w:r>
        <w:rPr>
          <w:rFonts w:hint="eastAsia"/>
        </w:rPr>
        <w:tab/>
      </w:r>
      <w:r>
        <w:rPr>
          <w:rFonts w:hint="eastAsia"/>
        </w:rPr>
        <w:t>导言</w:t>
      </w:r>
    </w:p>
    <w:p w14:paraId="3D180F8A" w14:textId="5AD6FE66" w:rsidR="00F443F8" w:rsidRDefault="00F443F8" w:rsidP="00183E6F">
      <w:pPr>
        <w:pStyle w:val="SingleTxt"/>
      </w:pPr>
      <w:r>
        <w:rPr>
          <w:rFonts w:hint="eastAsia"/>
        </w:rPr>
        <w:t>2.</w:t>
      </w:r>
      <w:r>
        <w:rPr>
          <w:rFonts w:hint="eastAsia"/>
        </w:rPr>
        <w:tab/>
      </w:r>
      <w:r>
        <w:rPr>
          <w:rFonts w:hint="eastAsia"/>
        </w:rPr>
        <w:t>委员会感谢缔约国提交第六次定期报告。委员会还感谢缔约国提交后续报告</w:t>
      </w:r>
      <w:r>
        <w:rPr>
          <w:rFonts w:hint="eastAsia"/>
        </w:rPr>
        <w:t>(</w:t>
      </w:r>
      <w:hyperlink r:id="rId21" w:history="1">
        <w:r w:rsidRPr="00A601C7">
          <w:rPr>
            <w:rStyle w:val="af4"/>
            <w:rFonts w:hint="eastAsia"/>
          </w:rPr>
          <w:t>CEDAW/C/LTU/CO/5/Add.1</w:t>
        </w:r>
      </w:hyperlink>
      <w:r>
        <w:rPr>
          <w:rFonts w:hint="eastAsia"/>
        </w:rPr>
        <w:t>)</w:t>
      </w:r>
      <w:r>
        <w:rPr>
          <w:rFonts w:hint="eastAsia"/>
        </w:rPr>
        <w:t>并对会前工作组就第六次定期报告提出的议题和问题清单作出书面答复，感谢代表团进行口头介绍并就委员会在对话期间口头提出的问题作出进一步澄清。</w:t>
      </w:r>
    </w:p>
    <w:p w14:paraId="5F18F188" w14:textId="77777777" w:rsidR="00F443F8" w:rsidRDefault="00F443F8" w:rsidP="00183E6F">
      <w:pPr>
        <w:pStyle w:val="SingleTxt"/>
      </w:pPr>
      <w:r>
        <w:rPr>
          <w:rFonts w:hint="eastAsia"/>
        </w:rPr>
        <w:t>3.</w:t>
      </w:r>
      <w:r>
        <w:rPr>
          <w:rFonts w:hint="eastAsia"/>
        </w:rPr>
        <w:tab/>
      </w:r>
      <w:r>
        <w:rPr>
          <w:rFonts w:hint="eastAsia"/>
        </w:rPr>
        <w:t>委员会赞扬缔约国派出由立陶宛社会保障与劳动部副部长埃特维达斯·宾格利斯率领的高级别代表团，代表团成员包括立陶宛常驻联合国日内瓦办事处和其他国际组织代表安德留斯·克里瓦斯，以及外交部、社会保障与劳动部、卫生部、内务部、司法部、刑事警察局、国家劳动监察局和国家教育局代表、议会人权委员会成员及立陶宛常驻联合国日内瓦办事处和其他国际组织代表团代表。</w:t>
      </w:r>
    </w:p>
    <w:p w14:paraId="5AF6C46C" w14:textId="77777777" w:rsidR="00F443F8" w:rsidRDefault="00F443F8" w:rsidP="008F447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Pr>
          <w:rFonts w:hint="eastAsia"/>
        </w:rPr>
        <w:t>B.</w:t>
      </w:r>
      <w:r>
        <w:rPr>
          <w:rFonts w:hint="eastAsia"/>
        </w:rPr>
        <w:tab/>
      </w:r>
      <w:r>
        <w:rPr>
          <w:rFonts w:hint="eastAsia"/>
        </w:rPr>
        <w:tab/>
      </w:r>
      <w:r>
        <w:rPr>
          <w:rFonts w:hint="eastAsia"/>
        </w:rPr>
        <w:t>积极方面</w:t>
      </w:r>
    </w:p>
    <w:p w14:paraId="47DA5127" w14:textId="04EA70D7" w:rsidR="00F443F8" w:rsidRDefault="00F443F8" w:rsidP="00183E6F">
      <w:pPr>
        <w:pStyle w:val="SingleTxt"/>
      </w:pPr>
      <w:r>
        <w:rPr>
          <w:rFonts w:hint="eastAsia"/>
        </w:rPr>
        <w:t>4.</w:t>
      </w:r>
      <w:r>
        <w:rPr>
          <w:rFonts w:hint="eastAsia"/>
        </w:rPr>
        <w:tab/>
      </w:r>
      <w:r>
        <w:rPr>
          <w:rFonts w:hint="eastAsia"/>
        </w:rPr>
        <w:t>委员会欢迎自</w:t>
      </w:r>
      <w:r>
        <w:rPr>
          <w:rFonts w:hint="eastAsia"/>
        </w:rPr>
        <w:t>2014</w:t>
      </w:r>
      <w:r>
        <w:rPr>
          <w:rFonts w:hint="eastAsia"/>
        </w:rPr>
        <w:t>年审议缔约国第五次定期报告</w:t>
      </w:r>
      <w:r>
        <w:rPr>
          <w:rFonts w:hint="eastAsia"/>
        </w:rPr>
        <w:t>(</w:t>
      </w:r>
      <w:hyperlink r:id="rId22" w:history="1">
        <w:r w:rsidRPr="00A601C7">
          <w:rPr>
            <w:rStyle w:val="af4"/>
            <w:rFonts w:hint="eastAsia"/>
          </w:rPr>
          <w:t>CEDAW/C/LTU/5</w:t>
        </w:r>
      </w:hyperlink>
      <w:r>
        <w:rPr>
          <w:rFonts w:hint="eastAsia"/>
        </w:rPr>
        <w:t>)</w:t>
      </w:r>
      <w:r>
        <w:rPr>
          <w:rFonts w:hint="eastAsia"/>
        </w:rPr>
        <w:t>以来，缔约国在开展立法改革方面取得的进展，特别是通过了以下立法：</w:t>
      </w:r>
    </w:p>
    <w:p w14:paraId="1D6830EB" w14:textId="77777777" w:rsidR="00F443F8" w:rsidRDefault="00F443F8" w:rsidP="00183E6F">
      <w:pPr>
        <w:pStyle w:val="SingleTxt"/>
      </w:pPr>
      <w:r>
        <w:rPr>
          <w:rFonts w:hint="eastAsia"/>
        </w:rPr>
        <w:tab/>
        <w:t>(a)</w:t>
      </w:r>
      <w:r>
        <w:tab/>
      </w:r>
      <w:r>
        <w:rPr>
          <w:rFonts w:hint="eastAsia"/>
        </w:rPr>
        <w:t>《平等待遇法》和《男女机会平等法》修正案：</w:t>
      </w:r>
    </w:p>
    <w:p w14:paraId="4129627D" w14:textId="77777777" w:rsidR="00F443F8" w:rsidRPr="008F447E" w:rsidRDefault="00F443F8" w:rsidP="008F447E">
      <w:pPr>
        <w:pStyle w:val="SingleTxt"/>
        <w:ind w:left="2104"/>
        <w:rPr>
          <w:spacing w:val="-2"/>
        </w:rPr>
      </w:pPr>
      <w:r>
        <w:rPr>
          <w:rFonts w:hint="eastAsia"/>
        </w:rPr>
        <w:lastRenderedPageBreak/>
        <w:t>㈠</w:t>
      </w:r>
      <w:r>
        <w:tab/>
      </w:r>
      <w:r w:rsidRPr="008F447E">
        <w:rPr>
          <w:rFonts w:hint="eastAsia"/>
          <w:spacing w:val="-2"/>
        </w:rPr>
        <w:t>2019</w:t>
      </w:r>
      <w:r w:rsidRPr="008F447E">
        <w:rPr>
          <w:rFonts w:hint="eastAsia"/>
          <w:spacing w:val="-2"/>
        </w:rPr>
        <w:t>年修正案扩大了机会平等监察员的职责范围，规定由其负责监测《残疾人权利公约》的执行情况，包括与残疾妇女和女童有关的情况；</w:t>
      </w:r>
    </w:p>
    <w:p w14:paraId="6BB43B4F" w14:textId="77777777" w:rsidR="00F443F8" w:rsidRDefault="00F443F8" w:rsidP="008F447E">
      <w:pPr>
        <w:pStyle w:val="SingleTxt"/>
        <w:ind w:left="2104"/>
      </w:pPr>
      <w:r>
        <w:rPr>
          <w:rFonts w:hint="eastAsia"/>
        </w:rPr>
        <w:t>㈡</w:t>
      </w:r>
      <w:r>
        <w:tab/>
      </w:r>
      <w:r>
        <w:rPr>
          <w:rFonts w:hint="eastAsia"/>
        </w:rPr>
        <w:t>2017</w:t>
      </w:r>
      <w:r>
        <w:rPr>
          <w:rFonts w:hint="eastAsia"/>
        </w:rPr>
        <w:t>年修正案切实规定，反对性骚扰方面的保护对象不仅包括定期合同雇员和公务员，还包括求职者；</w:t>
      </w:r>
    </w:p>
    <w:p w14:paraId="7C544719" w14:textId="77777777" w:rsidR="00F443F8" w:rsidRDefault="00F443F8" w:rsidP="008F447E">
      <w:pPr>
        <w:pStyle w:val="SingleTxt"/>
        <w:ind w:left="2104"/>
      </w:pPr>
      <w:r>
        <w:rPr>
          <w:rFonts w:hint="eastAsia"/>
        </w:rPr>
        <w:t>㈢</w:t>
      </w:r>
      <w:r>
        <w:tab/>
      </w:r>
      <w:r>
        <w:rPr>
          <w:rFonts w:hint="eastAsia"/>
        </w:rPr>
        <w:t>2016</w:t>
      </w:r>
      <w:r>
        <w:rPr>
          <w:rFonts w:hint="eastAsia"/>
        </w:rPr>
        <w:t>年修正案澄清，歧视包含基于怀孕和生育理由对妇女的歧视，且工作场所中禁止的骚扰行为不仅包括性骚扰，还包括其他形式的骚扰；</w:t>
      </w:r>
    </w:p>
    <w:p w14:paraId="48387E98" w14:textId="77777777" w:rsidR="00F443F8" w:rsidRDefault="00F443F8" w:rsidP="008F447E">
      <w:pPr>
        <w:pStyle w:val="SingleTxt"/>
        <w:ind w:left="2104"/>
      </w:pPr>
      <w:r>
        <w:rPr>
          <w:rFonts w:hint="eastAsia"/>
        </w:rPr>
        <w:t>㈣</w:t>
      </w:r>
      <w:r>
        <w:tab/>
      </w:r>
      <w:r>
        <w:rPr>
          <w:rFonts w:hint="eastAsia"/>
        </w:rPr>
        <w:t>2014</w:t>
      </w:r>
      <w:r>
        <w:rPr>
          <w:rFonts w:hint="eastAsia"/>
        </w:rPr>
        <w:t>年修正案要求国家机构、包括市级机构在战略规划文件和</w:t>
      </w:r>
      <w:r>
        <w:rPr>
          <w:rFonts w:hint="eastAsia"/>
        </w:rPr>
        <w:t>(</w:t>
      </w:r>
      <w:r>
        <w:rPr>
          <w:rFonts w:hint="eastAsia"/>
        </w:rPr>
        <w:t>或</w:t>
      </w:r>
      <w:r>
        <w:rPr>
          <w:rFonts w:hint="eastAsia"/>
        </w:rPr>
        <w:t>)</w:t>
      </w:r>
      <w:r>
        <w:rPr>
          <w:rFonts w:hint="eastAsia"/>
        </w:rPr>
        <w:t>战略行动计划中规定采取保障男女机会平等的措施，防止和打击学校、高等教育机构和工作场所中的性骚扰现象；</w:t>
      </w:r>
    </w:p>
    <w:p w14:paraId="3A5D7871" w14:textId="77777777" w:rsidR="00F443F8" w:rsidRDefault="00F443F8" w:rsidP="00183E6F">
      <w:pPr>
        <w:pStyle w:val="SingleTxt"/>
      </w:pPr>
      <w:r>
        <w:tab/>
      </w:r>
      <w:r>
        <w:rPr>
          <w:rFonts w:hint="eastAsia"/>
        </w:rPr>
        <w:t>(b)</w:t>
      </w:r>
      <w:r>
        <w:tab/>
      </w:r>
      <w:r>
        <w:rPr>
          <w:rFonts w:hint="eastAsia"/>
        </w:rPr>
        <w:t>《刑法典》修正案：</w:t>
      </w:r>
    </w:p>
    <w:p w14:paraId="2EE25E1E" w14:textId="77777777" w:rsidR="00F443F8" w:rsidRDefault="00F443F8" w:rsidP="008F447E">
      <w:pPr>
        <w:pStyle w:val="SingleTxt"/>
        <w:ind w:left="2104"/>
      </w:pPr>
      <w:r>
        <w:rPr>
          <w:rFonts w:hint="eastAsia"/>
        </w:rPr>
        <w:t>㈠</w:t>
      </w:r>
      <w:r>
        <w:tab/>
      </w:r>
      <w:r>
        <w:rPr>
          <w:rFonts w:hint="eastAsia"/>
        </w:rPr>
        <w:t>2017</w:t>
      </w:r>
      <w:r>
        <w:rPr>
          <w:rFonts w:hint="eastAsia"/>
        </w:rPr>
        <w:t>年修正案规定，歧视或煽动仇恨行为、尤其是基于性、性别和性取向的此类行为须负刑事责任；</w:t>
      </w:r>
    </w:p>
    <w:p w14:paraId="3D418149" w14:textId="77777777" w:rsidR="00F443F8" w:rsidRDefault="00F443F8" w:rsidP="0074733C">
      <w:pPr>
        <w:pStyle w:val="SingleTxt"/>
        <w:ind w:left="2104"/>
      </w:pPr>
      <w:r w:rsidRPr="0074733C">
        <w:rPr>
          <w:rFonts w:hint="eastAsia"/>
          <w:sz w:val="20"/>
        </w:rPr>
        <w:t>㈡</w:t>
      </w:r>
      <w:r>
        <w:tab/>
      </w:r>
      <w:r>
        <w:rPr>
          <w:rFonts w:hint="eastAsia"/>
        </w:rPr>
        <w:t>2015</w:t>
      </w:r>
      <w:r>
        <w:rPr>
          <w:rFonts w:hint="eastAsia"/>
        </w:rPr>
        <w:t>年修正案就家庭暴力案件中的临时保护令作出规定，包括要求施害者与受害者分开居住，且不得接近受害者；</w:t>
      </w:r>
    </w:p>
    <w:p w14:paraId="1509A5F0" w14:textId="77777777" w:rsidR="00F443F8" w:rsidRDefault="00F443F8" w:rsidP="00183E6F">
      <w:pPr>
        <w:pStyle w:val="SingleTxt"/>
      </w:pPr>
      <w:r>
        <w:tab/>
      </w:r>
      <w:r>
        <w:rPr>
          <w:rFonts w:hint="eastAsia"/>
        </w:rPr>
        <w:t>(c)</w:t>
      </w:r>
      <w:r>
        <w:tab/>
      </w:r>
      <w:r>
        <w:rPr>
          <w:rFonts w:hint="eastAsia"/>
        </w:rPr>
        <w:t>2017</w:t>
      </w:r>
      <w:r>
        <w:rPr>
          <w:rFonts w:hint="eastAsia"/>
        </w:rPr>
        <w:t>年的《刑事诉讼法》修正案废除了某些罪行的自诉制度，遭受性别暴力、包括家庭暴力侵害的妇女不必再在相关刑事审判中出庭作证；</w:t>
      </w:r>
    </w:p>
    <w:p w14:paraId="2E2FA88D" w14:textId="77777777" w:rsidR="00F443F8" w:rsidRDefault="00F443F8" w:rsidP="00183E6F">
      <w:pPr>
        <w:pStyle w:val="SingleTxt"/>
      </w:pPr>
      <w:r>
        <w:tab/>
      </w:r>
      <w:r>
        <w:rPr>
          <w:rFonts w:hint="eastAsia"/>
        </w:rPr>
        <w:t>(d)</w:t>
      </w:r>
      <w:r>
        <w:tab/>
      </w:r>
      <w:r>
        <w:rPr>
          <w:rFonts w:hint="eastAsia"/>
        </w:rPr>
        <w:t>2016</w:t>
      </w:r>
      <w:r>
        <w:rPr>
          <w:rFonts w:hint="eastAsia"/>
        </w:rPr>
        <w:t>年的《反对家庭暴力法》修正案旨在改进机构间协调、多学科培训和审前调查之前的受害者保护工作；</w:t>
      </w:r>
    </w:p>
    <w:p w14:paraId="7562042F" w14:textId="77777777" w:rsidR="00F443F8" w:rsidRDefault="00F443F8" w:rsidP="00183E6F">
      <w:pPr>
        <w:pStyle w:val="SingleTxt"/>
      </w:pPr>
      <w:r>
        <w:tab/>
      </w:r>
      <w:r>
        <w:rPr>
          <w:rFonts w:hint="eastAsia"/>
        </w:rPr>
        <w:t>(e)</w:t>
      </w:r>
      <w:r>
        <w:tab/>
      </w:r>
      <w:r>
        <w:rPr>
          <w:rFonts w:hint="eastAsia"/>
        </w:rPr>
        <w:t>2016</w:t>
      </w:r>
      <w:r>
        <w:rPr>
          <w:rFonts w:hint="eastAsia"/>
        </w:rPr>
        <w:t>年，缔约国对《关于行政违法行为法的核准、生效和执行法》的条款作出修改，使其与《平等待遇法》和《男女机会平等法》修正案保持一致。</w:t>
      </w:r>
    </w:p>
    <w:p w14:paraId="4C476C8B" w14:textId="77777777" w:rsidR="00F443F8" w:rsidRDefault="00F443F8" w:rsidP="00183E6F">
      <w:pPr>
        <w:pStyle w:val="SingleTxt"/>
      </w:pPr>
      <w:r>
        <w:rPr>
          <w:rFonts w:hint="eastAsia"/>
        </w:rPr>
        <w:lastRenderedPageBreak/>
        <w:t>5.</w:t>
      </w:r>
      <w:r>
        <w:rPr>
          <w:rFonts w:hint="eastAsia"/>
        </w:rPr>
        <w:tab/>
      </w:r>
      <w:r>
        <w:rPr>
          <w:rFonts w:hint="eastAsia"/>
        </w:rPr>
        <w:t>委员会欢迎缔约国努力完善其体制和政策框架，以加快消除歧视妇女现象，促进性别平等。例如，缔约国为此通过了以下文件和项目：</w:t>
      </w:r>
    </w:p>
    <w:p w14:paraId="6B1BF8DE" w14:textId="77777777" w:rsidR="00F443F8" w:rsidRDefault="00F443F8" w:rsidP="00183E6F">
      <w:pPr>
        <w:pStyle w:val="SingleTxt"/>
      </w:pPr>
      <w:r>
        <w:rPr>
          <w:rFonts w:hint="eastAsia"/>
        </w:rPr>
        <w:tab/>
        <w:t>(a)</w:t>
      </w:r>
      <w:r>
        <w:tab/>
      </w:r>
      <w:r>
        <w:rPr>
          <w:rFonts w:hint="eastAsia"/>
        </w:rPr>
        <w:t>2018</w:t>
      </w:r>
      <w:r>
        <w:rPr>
          <w:rFonts w:hint="eastAsia"/>
        </w:rPr>
        <w:t>年，关于执行</w:t>
      </w:r>
      <w:r>
        <w:rPr>
          <w:rFonts w:hint="eastAsia"/>
        </w:rPr>
        <w:t>2015-2021</w:t>
      </w:r>
      <w:r>
        <w:rPr>
          <w:rFonts w:hint="eastAsia"/>
        </w:rPr>
        <w:t>年男女机会平等国家方案的</w:t>
      </w:r>
      <w:r>
        <w:rPr>
          <w:rFonts w:hint="eastAsia"/>
        </w:rPr>
        <w:t>2018-2021</w:t>
      </w:r>
      <w:r>
        <w:rPr>
          <w:rFonts w:hint="eastAsia"/>
        </w:rPr>
        <w:t>年期间行动计划获得通过，其中特别规定，将为符合条件且致力于促进男女平等的民间社会组织提供部分项目资金，并采取措施消除教育系统中的陈规定型观念；</w:t>
      </w:r>
    </w:p>
    <w:p w14:paraId="2B275DD4" w14:textId="77777777" w:rsidR="00F443F8" w:rsidRDefault="00F443F8" w:rsidP="00183E6F">
      <w:pPr>
        <w:pStyle w:val="SingleTxt"/>
      </w:pPr>
      <w:r>
        <w:rPr>
          <w:rFonts w:hint="eastAsia"/>
        </w:rPr>
        <w:tab/>
        <w:t>(b)</w:t>
      </w:r>
      <w:r>
        <w:tab/>
      </w:r>
      <w:r>
        <w:rPr>
          <w:rFonts w:hint="eastAsia"/>
        </w:rPr>
        <w:t>2018</w:t>
      </w:r>
      <w:r>
        <w:rPr>
          <w:rFonts w:hint="eastAsia"/>
        </w:rPr>
        <w:t>年，缔约国通过了</w:t>
      </w:r>
      <w:r>
        <w:rPr>
          <w:rFonts w:hint="eastAsia"/>
        </w:rPr>
        <w:t>2014-2020</w:t>
      </w:r>
      <w:r>
        <w:rPr>
          <w:rFonts w:hint="eastAsia"/>
        </w:rPr>
        <w:t>年预防家庭暴力和向受害者提供援助国家方案相关行动计划的修正案，以免违背缔约国已经签署但尚未批准的《欧洲委员会预防和打击暴力侵害妇女行为及家庭暴力公约》</w:t>
      </w:r>
      <w:r>
        <w:rPr>
          <w:rFonts w:hint="eastAsia"/>
        </w:rPr>
        <w:t>(</w:t>
      </w:r>
      <w:r>
        <w:rPr>
          <w:rFonts w:hint="eastAsia"/>
        </w:rPr>
        <w:t>《伊斯坦布尔公约》</w:t>
      </w:r>
      <w:r>
        <w:rPr>
          <w:rFonts w:hint="eastAsia"/>
        </w:rPr>
        <w:t>)</w:t>
      </w:r>
      <w:r>
        <w:rPr>
          <w:rFonts w:hint="eastAsia"/>
        </w:rPr>
        <w:t>的目标和宗旨；</w:t>
      </w:r>
    </w:p>
    <w:p w14:paraId="20474730" w14:textId="77777777" w:rsidR="00F443F8" w:rsidRDefault="00F443F8" w:rsidP="00183E6F">
      <w:pPr>
        <w:pStyle w:val="SingleTxt"/>
      </w:pPr>
      <w:r>
        <w:rPr>
          <w:rFonts w:hint="eastAsia"/>
        </w:rPr>
        <w:tab/>
        <w:t>(c)</w:t>
      </w:r>
      <w:r>
        <w:tab/>
      </w:r>
      <w:r>
        <w:rPr>
          <w:rFonts w:hint="eastAsia"/>
        </w:rPr>
        <w:t>2017</w:t>
      </w:r>
      <w:r>
        <w:rPr>
          <w:rFonts w:hint="eastAsia"/>
        </w:rPr>
        <w:t>年的指标数据库发展计划补编有助于立陶宛统计局发布更加详细的性别统计指标；</w:t>
      </w:r>
    </w:p>
    <w:p w14:paraId="6982C69D" w14:textId="77777777" w:rsidR="00F443F8" w:rsidRDefault="00F443F8" w:rsidP="00183E6F">
      <w:pPr>
        <w:pStyle w:val="SingleTxt"/>
      </w:pPr>
      <w:r>
        <w:rPr>
          <w:rFonts w:hint="eastAsia"/>
        </w:rPr>
        <w:tab/>
        <w:t>(d)</w:t>
      </w:r>
      <w:r>
        <w:tab/>
      </w:r>
      <w:r>
        <w:rPr>
          <w:rFonts w:hint="eastAsia"/>
        </w:rPr>
        <w:t>缔约国通过了</w:t>
      </w:r>
      <w:r>
        <w:rPr>
          <w:rFonts w:hint="eastAsia"/>
        </w:rPr>
        <w:t>2015-2025</w:t>
      </w:r>
      <w:r>
        <w:rPr>
          <w:rFonts w:hint="eastAsia"/>
        </w:rPr>
        <w:t>年公共安全发展方案、与其相关的</w:t>
      </w:r>
      <w:r>
        <w:rPr>
          <w:rFonts w:hint="eastAsia"/>
        </w:rPr>
        <w:t>2016</w:t>
      </w:r>
      <w:r>
        <w:rPr>
          <w:rFonts w:hint="eastAsia"/>
        </w:rPr>
        <w:t>年机构间行动计划</w:t>
      </w:r>
      <w:r>
        <w:rPr>
          <w:rFonts w:hint="eastAsia"/>
        </w:rPr>
        <w:t>(</w:t>
      </w:r>
      <w:r>
        <w:rPr>
          <w:rFonts w:hint="eastAsia"/>
        </w:rPr>
        <w:t>旨在有效打击人口贩运，包括妇女和女童贩运</w:t>
      </w:r>
      <w:r>
        <w:rPr>
          <w:rFonts w:hint="eastAsia"/>
        </w:rPr>
        <w:t>)</w:t>
      </w:r>
      <w:r>
        <w:rPr>
          <w:rFonts w:hint="eastAsia"/>
        </w:rPr>
        <w:t>，以及</w:t>
      </w:r>
      <w:r>
        <w:rPr>
          <w:rFonts w:hint="eastAsia"/>
        </w:rPr>
        <w:t>2017</w:t>
      </w:r>
      <w:r>
        <w:rPr>
          <w:rFonts w:hint="eastAsia"/>
        </w:rPr>
        <w:t>年的预防和调查人口贩运现象特别教育模块方案；</w:t>
      </w:r>
    </w:p>
    <w:p w14:paraId="590A6E7E" w14:textId="77777777" w:rsidR="00F443F8" w:rsidRDefault="00F443F8" w:rsidP="00183E6F">
      <w:pPr>
        <w:pStyle w:val="SingleTxt"/>
      </w:pPr>
      <w:r>
        <w:rPr>
          <w:rFonts w:hint="eastAsia"/>
        </w:rPr>
        <w:tab/>
        <w:t>(e)</w:t>
      </w:r>
      <w:r>
        <w:tab/>
      </w:r>
      <w:r>
        <w:rPr>
          <w:rFonts w:hint="eastAsia"/>
        </w:rPr>
        <w:t>2016</w:t>
      </w:r>
      <w:r>
        <w:rPr>
          <w:rFonts w:hint="eastAsia"/>
        </w:rPr>
        <w:t>年，名为“城市成功密码——性别平等”的项目获得通过，旨在系统性减少与市政当局职权范围内所有专题有关的性别不平等现象；</w:t>
      </w:r>
    </w:p>
    <w:p w14:paraId="003DC27A" w14:textId="77777777" w:rsidR="00F443F8" w:rsidRDefault="00F443F8" w:rsidP="00183E6F">
      <w:pPr>
        <w:pStyle w:val="SingleTxt"/>
      </w:pPr>
      <w:r>
        <w:rPr>
          <w:rFonts w:hint="eastAsia"/>
        </w:rPr>
        <w:tab/>
        <w:t>(f)</w:t>
      </w:r>
      <w:r>
        <w:tab/>
      </w:r>
      <w:r>
        <w:rPr>
          <w:rFonts w:hint="eastAsia"/>
        </w:rPr>
        <w:t>2016</w:t>
      </w:r>
      <w:r>
        <w:rPr>
          <w:rFonts w:hint="eastAsia"/>
        </w:rPr>
        <w:t>年，缔约国通过了</w:t>
      </w:r>
      <w:r>
        <w:rPr>
          <w:rFonts w:hint="eastAsia"/>
        </w:rPr>
        <w:t>2017-2019</w:t>
      </w:r>
      <w:r>
        <w:rPr>
          <w:rFonts w:hint="eastAsia"/>
        </w:rPr>
        <w:t>年打击人口贩运行动计划。</w:t>
      </w:r>
    </w:p>
    <w:p w14:paraId="5C5A689B" w14:textId="77777777" w:rsidR="00F443F8" w:rsidRDefault="00F443F8" w:rsidP="008F447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Pr>
          <w:rFonts w:hint="eastAsia"/>
        </w:rPr>
        <w:t>C.</w:t>
      </w:r>
      <w:r>
        <w:rPr>
          <w:rFonts w:hint="eastAsia"/>
        </w:rPr>
        <w:tab/>
      </w:r>
      <w:r>
        <w:rPr>
          <w:rFonts w:hint="eastAsia"/>
        </w:rPr>
        <w:tab/>
      </w:r>
      <w:r>
        <w:rPr>
          <w:rFonts w:hint="eastAsia"/>
        </w:rPr>
        <w:t>可持续发展目标</w:t>
      </w:r>
    </w:p>
    <w:p w14:paraId="136BFB8C" w14:textId="77777777" w:rsidR="00F443F8" w:rsidRDefault="00F443F8" w:rsidP="00183E6F">
      <w:pPr>
        <w:pStyle w:val="SingleTxt"/>
      </w:pPr>
      <w:r>
        <w:rPr>
          <w:rFonts w:hint="eastAsia"/>
        </w:rPr>
        <w:t>6.</w:t>
      </w:r>
      <w:r>
        <w:rPr>
          <w:rFonts w:hint="eastAsia"/>
        </w:rPr>
        <w:tab/>
      </w:r>
      <w:r w:rsidRPr="0074733C">
        <w:rPr>
          <w:rFonts w:eastAsia="黑体" w:hint="eastAsia"/>
        </w:rPr>
        <w:t>委员会欢迎国际社会对可持续发展目标的支持，呼吁在执行《</w:t>
      </w:r>
      <w:r w:rsidRPr="0074733C">
        <w:rPr>
          <w:rFonts w:eastAsia="黑体" w:hint="eastAsia"/>
        </w:rPr>
        <w:t>2030</w:t>
      </w:r>
      <w:r w:rsidRPr="0074733C">
        <w:rPr>
          <w:rFonts w:eastAsia="黑体" w:hint="eastAsia"/>
        </w:rPr>
        <w:t>年可持续发展议程》的全过程中，根据《公约》条款实现法律上和实质上的性别平等。委员会忆及可持续发展目标</w:t>
      </w:r>
      <w:r w:rsidRPr="0074733C">
        <w:rPr>
          <w:rFonts w:eastAsia="黑体" w:hint="eastAsia"/>
        </w:rPr>
        <w:t>5</w:t>
      </w:r>
      <w:r w:rsidRPr="0074733C">
        <w:rPr>
          <w:rFonts w:eastAsia="黑体" w:hint="eastAsia"/>
        </w:rPr>
        <w:t>以及将平等和不歧视原则纳入所有</w:t>
      </w:r>
      <w:r w:rsidRPr="0074733C">
        <w:rPr>
          <w:rFonts w:eastAsia="黑体" w:hint="eastAsia"/>
        </w:rPr>
        <w:t>17</w:t>
      </w:r>
      <w:r w:rsidRPr="0074733C">
        <w:rPr>
          <w:rFonts w:eastAsia="黑体" w:hint="eastAsia"/>
        </w:rPr>
        <w:t>项目标主流的重要性。委员会敦促缔约国认识到妇女是</w:t>
      </w:r>
      <w:r w:rsidRPr="0074733C">
        <w:rPr>
          <w:rFonts w:eastAsia="黑体" w:hint="eastAsia"/>
        </w:rPr>
        <w:lastRenderedPageBreak/>
        <w:t>本国实现可持续发展的推动力，并为此采取相关政策和战略</w:t>
      </w:r>
      <w:r>
        <w:rPr>
          <w:rFonts w:hint="eastAsia"/>
        </w:rPr>
        <w:t>。</w:t>
      </w:r>
    </w:p>
    <w:p w14:paraId="309DE7AD" w14:textId="77777777" w:rsidR="00F443F8" w:rsidRDefault="00F443F8" w:rsidP="008F447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Pr>
          <w:rFonts w:hint="eastAsia"/>
        </w:rPr>
        <w:t>D.</w:t>
      </w:r>
      <w:r>
        <w:rPr>
          <w:rFonts w:hint="eastAsia"/>
        </w:rPr>
        <w:tab/>
      </w:r>
      <w:r>
        <w:rPr>
          <w:rFonts w:hint="eastAsia"/>
        </w:rPr>
        <w:tab/>
      </w:r>
      <w:r>
        <w:rPr>
          <w:rFonts w:hint="eastAsia"/>
        </w:rPr>
        <w:t>议会</w:t>
      </w:r>
    </w:p>
    <w:p w14:paraId="34CDAC11" w14:textId="30F79D28" w:rsidR="00F443F8" w:rsidRDefault="00F443F8" w:rsidP="00183E6F">
      <w:pPr>
        <w:pStyle w:val="SingleTxt"/>
      </w:pPr>
      <w:r>
        <w:rPr>
          <w:rFonts w:hint="eastAsia"/>
        </w:rPr>
        <w:t>7.</w:t>
      </w:r>
      <w:r>
        <w:rPr>
          <w:rFonts w:hint="eastAsia"/>
        </w:rPr>
        <w:tab/>
      </w:r>
      <w:r w:rsidRPr="0074733C">
        <w:rPr>
          <w:rFonts w:eastAsia="黑体" w:hint="eastAsia"/>
        </w:rPr>
        <w:t>委员会强调指出立法权在确保充分执行《公约》方面的关键作用</w:t>
      </w:r>
      <w:r w:rsidRPr="0074733C">
        <w:rPr>
          <w:rFonts w:eastAsia="黑体" w:hint="eastAsia"/>
        </w:rPr>
        <w:t>(</w:t>
      </w:r>
      <w:r w:rsidRPr="0074733C">
        <w:rPr>
          <w:rFonts w:eastAsia="黑体" w:hint="eastAsia"/>
        </w:rPr>
        <w:t>见</w:t>
      </w:r>
      <w:hyperlink r:id="rId23" w:history="1">
        <w:r w:rsidRPr="00A601C7">
          <w:rPr>
            <w:rStyle w:val="af4"/>
            <w:rFonts w:eastAsia="黑体" w:hint="eastAsia"/>
          </w:rPr>
          <w:t>A/65/38</w:t>
        </w:r>
      </w:hyperlink>
      <w:r w:rsidRPr="0074733C">
        <w:rPr>
          <w:rFonts w:eastAsia="黑体" w:hint="eastAsia"/>
        </w:rPr>
        <w:t>，第二部分，附件六</w:t>
      </w:r>
      <w:r w:rsidRPr="0074733C">
        <w:rPr>
          <w:rFonts w:eastAsia="黑体" w:hint="eastAsia"/>
        </w:rPr>
        <w:t>)</w:t>
      </w:r>
      <w:r w:rsidRPr="0074733C">
        <w:rPr>
          <w:rFonts w:eastAsia="黑体" w:hint="eastAsia"/>
        </w:rPr>
        <w:t>。委员会请议会从现在起直至根据《公约》提交下一次定期报告时，按照其任务授权，采取必要步骤落实本结论性意见</w:t>
      </w:r>
      <w:r>
        <w:rPr>
          <w:rFonts w:hint="eastAsia"/>
        </w:rPr>
        <w:t>。</w:t>
      </w:r>
    </w:p>
    <w:p w14:paraId="514EE84F" w14:textId="77777777" w:rsidR="00F443F8" w:rsidRDefault="00F443F8" w:rsidP="008F447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Pr>
          <w:rFonts w:hint="eastAsia"/>
        </w:rPr>
        <w:t>E.</w:t>
      </w:r>
      <w:r>
        <w:rPr>
          <w:rFonts w:hint="eastAsia"/>
        </w:rPr>
        <w:tab/>
      </w:r>
      <w:r>
        <w:rPr>
          <w:rFonts w:hint="eastAsia"/>
        </w:rPr>
        <w:tab/>
      </w:r>
      <w:r>
        <w:rPr>
          <w:rFonts w:hint="eastAsia"/>
        </w:rPr>
        <w:t>主要关切领域和建议</w:t>
      </w:r>
    </w:p>
    <w:p w14:paraId="5B32FA43" w14:textId="77777777" w:rsidR="00F443F8" w:rsidRPr="0074733C" w:rsidRDefault="00F443F8" w:rsidP="00183E6F">
      <w:pPr>
        <w:pStyle w:val="SingleTxt"/>
        <w:rPr>
          <w:rFonts w:ascii="黑体" w:eastAsia="黑体"/>
        </w:rPr>
      </w:pPr>
      <w:r w:rsidRPr="0074733C">
        <w:rPr>
          <w:rFonts w:ascii="黑体" w:eastAsia="黑体" w:hint="eastAsia"/>
        </w:rPr>
        <w:t>《公约》及其《任择议定书》以及委员会一般性建议的可见度</w:t>
      </w:r>
    </w:p>
    <w:p w14:paraId="4DB7B4D4" w14:textId="77777777" w:rsidR="00F443F8" w:rsidRDefault="00F443F8" w:rsidP="00183E6F">
      <w:pPr>
        <w:pStyle w:val="SingleTxt"/>
      </w:pPr>
      <w:r>
        <w:rPr>
          <w:rFonts w:hint="eastAsia"/>
        </w:rPr>
        <w:t>8.</w:t>
      </w:r>
      <w:r>
        <w:rPr>
          <w:rFonts w:hint="eastAsia"/>
        </w:rPr>
        <w:tab/>
      </w:r>
      <w:r>
        <w:rPr>
          <w:rFonts w:hint="eastAsia"/>
        </w:rPr>
        <w:t>委员会欢迎缔约国打算为落实本结论性意见单独编写行动计划。尽管如此，委员会仍然关切以下方面：</w:t>
      </w:r>
    </w:p>
    <w:p w14:paraId="1BA116B7" w14:textId="77777777" w:rsidR="00F443F8" w:rsidRDefault="00F443F8" w:rsidP="00183E6F">
      <w:pPr>
        <w:pStyle w:val="SingleTxt"/>
      </w:pPr>
      <w:r>
        <w:tab/>
      </w:r>
      <w:r>
        <w:rPr>
          <w:rFonts w:hint="eastAsia"/>
        </w:rPr>
        <w:t>(a)</w:t>
      </w:r>
      <w:r>
        <w:tab/>
      </w:r>
      <w:r>
        <w:rPr>
          <w:rFonts w:hint="eastAsia"/>
        </w:rPr>
        <w:t>有关在法院诉讼中援引《公约》的案件数据匮乏；</w:t>
      </w:r>
    </w:p>
    <w:p w14:paraId="0DF11AF6" w14:textId="77777777" w:rsidR="00F443F8" w:rsidRDefault="00F443F8" w:rsidP="00183E6F">
      <w:pPr>
        <w:pStyle w:val="SingleTxt"/>
      </w:pPr>
      <w:r>
        <w:tab/>
      </w:r>
      <w:r>
        <w:rPr>
          <w:rFonts w:hint="eastAsia"/>
        </w:rPr>
        <w:t>(b)</w:t>
      </w:r>
      <w:r>
        <w:tab/>
      </w:r>
      <w:r>
        <w:rPr>
          <w:rFonts w:hint="eastAsia"/>
        </w:rPr>
        <w:t>缔约国公众对整个《公约》、委员会的一般性建议和《任择议定书》下的判例缺乏认识；</w:t>
      </w:r>
    </w:p>
    <w:p w14:paraId="75A416D9" w14:textId="77777777" w:rsidR="00F443F8" w:rsidRDefault="00F443F8" w:rsidP="00183E6F">
      <w:pPr>
        <w:pStyle w:val="SingleTxt"/>
      </w:pPr>
      <w:r>
        <w:tab/>
      </w:r>
      <w:r>
        <w:rPr>
          <w:rFonts w:hint="eastAsia"/>
        </w:rPr>
        <w:t>(c)</w:t>
      </w:r>
      <w:r>
        <w:tab/>
      </w:r>
      <w:r>
        <w:rPr>
          <w:rFonts w:hint="eastAsia"/>
        </w:rPr>
        <w:t>与执行《公约》有关的提高认识和培训活动不成系统。</w:t>
      </w:r>
    </w:p>
    <w:p w14:paraId="330D679D" w14:textId="2654D216" w:rsidR="00F443F8" w:rsidRDefault="00F443F8" w:rsidP="00183E6F">
      <w:pPr>
        <w:pStyle w:val="SingleTxt"/>
      </w:pPr>
      <w:r>
        <w:rPr>
          <w:rFonts w:hint="eastAsia"/>
        </w:rPr>
        <w:t>9.</w:t>
      </w:r>
      <w:r>
        <w:rPr>
          <w:rFonts w:hint="eastAsia"/>
        </w:rPr>
        <w:tab/>
      </w:r>
      <w:r w:rsidRPr="0074733C">
        <w:rPr>
          <w:rFonts w:eastAsia="黑体" w:hint="eastAsia"/>
        </w:rPr>
        <w:t>委员会重申之前的建议</w:t>
      </w:r>
      <w:r w:rsidRPr="0074733C">
        <w:rPr>
          <w:rFonts w:eastAsia="黑体" w:hint="eastAsia"/>
        </w:rPr>
        <w:t>(</w:t>
      </w:r>
      <w:hyperlink r:id="rId24" w:history="1">
        <w:r w:rsidRPr="00A601C7">
          <w:rPr>
            <w:rStyle w:val="af4"/>
            <w:rFonts w:eastAsia="黑体" w:hint="eastAsia"/>
          </w:rPr>
          <w:t>CEDAW/C/LTU/CO/5</w:t>
        </w:r>
      </w:hyperlink>
      <w:r w:rsidRPr="0074733C">
        <w:rPr>
          <w:rFonts w:eastAsia="黑体" w:hint="eastAsia"/>
        </w:rPr>
        <w:t>，第</w:t>
      </w:r>
      <w:r w:rsidRPr="0074733C">
        <w:rPr>
          <w:rFonts w:eastAsia="黑体" w:hint="eastAsia"/>
        </w:rPr>
        <w:t>9</w:t>
      </w:r>
      <w:r w:rsidRPr="0074733C">
        <w:rPr>
          <w:rFonts w:eastAsia="黑体" w:hint="eastAsia"/>
        </w:rPr>
        <w:t>段</w:t>
      </w:r>
      <w:r w:rsidRPr="0074733C">
        <w:rPr>
          <w:rFonts w:eastAsia="黑体" w:hint="eastAsia"/>
        </w:rPr>
        <w:t>)</w:t>
      </w:r>
      <w:r w:rsidRPr="0074733C">
        <w:rPr>
          <w:rFonts w:eastAsia="黑体" w:hint="eastAsia"/>
        </w:rPr>
        <w:t>，促请缔约国</w:t>
      </w:r>
      <w:r>
        <w:rPr>
          <w:rFonts w:hint="eastAsia"/>
        </w:rPr>
        <w:t>：</w:t>
      </w:r>
    </w:p>
    <w:p w14:paraId="244CB15A" w14:textId="77777777" w:rsidR="00F443F8" w:rsidRDefault="00F443F8" w:rsidP="00183E6F">
      <w:pPr>
        <w:pStyle w:val="SingleTxt"/>
      </w:pPr>
      <w:r>
        <w:rPr>
          <w:rFonts w:hint="eastAsia"/>
        </w:rPr>
        <w:tab/>
        <w:t>(a)</w:t>
      </w:r>
      <w:r>
        <w:tab/>
      </w:r>
      <w:r w:rsidRPr="0074733C">
        <w:rPr>
          <w:rFonts w:ascii="黑体" w:eastAsia="黑体" w:hint="eastAsia"/>
        </w:rPr>
        <w:t>在下一次定期报告中提供综合数据，说明自本结论性意见发布以来，每年在国内法院援引《公约》的案件数目</w:t>
      </w:r>
      <w:r>
        <w:rPr>
          <w:rFonts w:hint="eastAsia"/>
        </w:rPr>
        <w:t>；</w:t>
      </w:r>
    </w:p>
    <w:p w14:paraId="2D3C8FD4" w14:textId="77777777" w:rsidR="00F443F8" w:rsidRDefault="00F443F8" w:rsidP="00183E6F">
      <w:pPr>
        <w:pStyle w:val="SingleTxt"/>
      </w:pPr>
      <w:r>
        <w:tab/>
      </w:r>
      <w:r>
        <w:rPr>
          <w:rFonts w:hint="eastAsia"/>
        </w:rPr>
        <w:t>(b)</w:t>
      </w:r>
      <w:r>
        <w:tab/>
      </w:r>
      <w:r w:rsidRPr="0074733C">
        <w:rPr>
          <w:rFonts w:ascii="黑体" w:eastAsia="黑体" w:hint="eastAsia"/>
        </w:rPr>
        <w:t>传播并加大力度宣传《公约》及其《任择议定书》，以及委员会的结论性意见和一般性建议及其对根据《任择议定书》提交的个人来文和询问的意见和建议，使妇女和男子更加了解《公约》为其规定的权利以及可用于主张这些权利的法律补救方法</w:t>
      </w:r>
      <w:r>
        <w:rPr>
          <w:rFonts w:hint="eastAsia"/>
        </w:rPr>
        <w:t>；</w:t>
      </w:r>
    </w:p>
    <w:p w14:paraId="07669275" w14:textId="77777777" w:rsidR="00F443F8" w:rsidRPr="0074733C" w:rsidRDefault="00F443F8" w:rsidP="00183E6F">
      <w:pPr>
        <w:pStyle w:val="SingleTxt"/>
        <w:rPr>
          <w:rFonts w:ascii="黑体" w:eastAsia="黑体"/>
        </w:rPr>
      </w:pPr>
      <w:r>
        <w:tab/>
      </w:r>
      <w:r>
        <w:rPr>
          <w:rFonts w:hint="eastAsia"/>
        </w:rPr>
        <w:t>(c)</w:t>
      </w:r>
      <w:r>
        <w:tab/>
      </w:r>
      <w:r w:rsidRPr="0074733C">
        <w:rPr>
          <w:rFonts w:ascii="黑体" w:eastAsia="黑体" w:hint="eastAsia"/>
        </w:rPr>
        <w:t>在这方面加强法官、检察官、警察和其他执法官员以及律师的能力建设方案。</w:t>
      </w:r>
    </w:p>
    <w:p w14:paraId="050D4F33" w14:textId="77777777" w:rsidR="00F443F8" w:rsidRPr="0074733C" w:rsidRDefault="00F443F8" w:rsidP="00183E6F">
      <w:pPr>
        <w:pStyle w:val="SingleTxt"/>
        <w:rPr>
          <w:rFonts w:ascii="黑体" w:eastAsia="黑体"/>
        </w:rPr>
      </w:pPr>
      <w:r w:rsidRPr="0074733C">
        <w:rPr>
          <w:rFonts w:ascii="黑体" w:eastAsia="黑体" w:hint="eastAsia"/>
        </w:rPr>
        <w:t>平等和不歧视的定义</w:t>
      </w:r>
    </w:p>
    <w:p w14:paraId="6AA40FF2" w14:textId="77777777" w:rsidR="00F443F8" w:rsidRDefault="00F443F8" w:rsidP="00183E6F">
      <w:pPr>
        <w:pStyle w:val="SingleTxt"/>
      </w:pPr>
      <w:r>
        <w:rPr>
          <w:rFonts w:hint="eastAsia"/>
        </w:rPr>
        <w:lastRenderedPageBreak/>
        <w:t>10.</w:t>
      </w:r>
      <w:r>
        <w:rPr>
          <w:rFonts w:hint="eastAsia"/>
        </w:rPr>
        <w:tab/>
      </w:r>
      <w:r>
        <w:rPr>
          <w:rFonts w:hint="eastAsia"/>
        </w:rPr>
        <w:t>委员会认识到，缔约国已对立法框架作出改进，以确保男女平等，禁止性别歧视，包括基于各种理由的直接和间接歧视。但委员会关切地注意到：</w:t>
      </w:r>
    </w:p>
    <w:p w14:paraId="3304AE80" w14:textId="77777777" w:rsidR="00F443F8" w:rsidRDefault="00F443F8" w:rsidP="00183E6F">
      <w:pPr>
        <w:pStyle w:val="SingleTxt"/>
      </w:pPr>
      <w:r>
        <w:tab/>
      </w:r>
      <w:r>
        <w:rPr>
          <w:rFonts w:hint="eastAsia"/>
        </w:rPr>
        <w:t>(a)</w:t>
      </w:r>
      <w:r>
        <w:tab/>
      </w:r>
      <w:r>
        <w:rPr>
          <w:rFonts w:hint="eastAsia"/>
        </w:rPr>
        <w:t>许多妇女需要在家庭和私人生活中获得法律保护，但《平等待遇法》和《男女机会平等法》不适用于此类问题；</w:t>
      </w:r>
    </w:p>
    <w:p w14:paraId="55A73A71" w14:textId="77777777" w:rsidR="00F443F8" w:rsidRDefault="00F443F8" w:rsidP="00183E6F">
      <w:pPr>
        <w:pStyle w:val="SingleTxt"/>
      </w:pPr>
      <w:r>
        <w:tab/>
      </w:r>
      <w:r>
        <w:rPr>
          <w:rFonts w:hint="eastAsia"/>
        </w:rPr>
        <w:t>(b)</w:t>
      </w:r>
      <w:r>
        <w:tab/>
      </w:r>
      <w:r>
        <w:rPr>
          <w:rFonts w:hint="eastAsia"/>
        </w:rPr>
        <w:t>缔约国没有在立法中具体禁止对妇女的交叉形式歧视，也没有界定性别和性这两个法律概念；</w:t>
      </w:r>
    </w:p>
    <w:p w14:paraId="0B79E801" w14:textId="77777777" w:rsidR="00F443F8" w:rsidRDefault="00F443F8" w:rsidP="00183E6F">
      <w:pPr>
        <w:pStyle w:val="SingleTxt"/>
      </w:pPr>
      <w:r>
        <w:tab/>
      </w:r>
      <w:r>
        <w:rPr>
          <w:rFonts w:hint="eastAsia"/>
        </w:rPr>
        <w:t>(c)</w:t>
      </w:r>
      <w:r>
        <w:tab/>
      </w:r>
      <w:r>
        <w:rPr>
          <w:rFonts w:hint="eastAsia"/>
        </w:rPr>
        <w:t>缔约国没有在立法中禁止基于性别变更理由的歧视，而在一些法院裁定中，此类歧视已被确认为性歧视。</w:t>
      </w:r>
    </w:p>
    <w:p w14:paraId="5EC637DE" w14:textId="77777777" w:rsidR="00F443F8" w:rsidRDefault="00F443F8" w:rsidP="00183E6F">
      <w:pPr>
        <w:pStyle w:val="SingleTxt"/>
      </w:pPr>
      <w:r>
        <w:rPr>
          <w:rFonts w:hint="eastAsia"/>
        </w:rPr>
        <w:t>11.</w:t>
      </w:r>
      <w:r>
        <w:rPr>
          <w:rFonts w:hint="eastAsia"/>
        </w:rPr>
        <w:tab/>
      </w:r>
      <w:r w:rsidRPr="0074733C">
        <w:rPr>
          <w:rFonts w:ascii="黑体" w:eastAsia="黑体" w:hint="eastAsia"/>
        </w:rPr>
        <w:t>委员会建议缔约国考虑通过关于性别平等和不歧视的综合法律。委员会还建议缔约国</w:t>
      </w:r>
      <w:r>
        <w:rPr>
          <w:rFonts w:hint="eastAsia"/>
        </w:rPr>
        <w:t>：</w:t>
      </w:r>
    </w:p>
    <w:p w14:paraId="755A20C1" w14:textId="77777777" w:rsidR="00F443F8" w:rsidRPr="0074733C" w:rsidRDefault="00F443F8" w:rsidP="00183E6F">
      <w:pPr>
        <w:pStyle w:val="SingleTxt"/>
        <w:rPr>
          <w:rFonts w:ascii="黑体" w:eastAsia="黑体"/>
        </w:rPr>
      </w:pPr>
      <w:r>
        <w:tab/>
      </w:r>
      <w:r>
        <w:rPr>
          <w:rFonts w:hint="eastAsia"/>
        </w:rPr>
        <w:t>(a)</w:t>
      </w:r>
      <w:r>
        <w:tab/>
      </w:r>
      <w:r w:rsidRPr="0074733C">
        <w:rPr>
          <w:rFonts w:ascii="黑体" w:eastAsia="黑体" w:hint="eastAsia"/>
        </w:rPr>
        <w:t>将反歧视和机会平等法律的适用范围扩大至家庭和私人生活问题；</w:t>
      </w:r>
    </w:p>
    <w:p w14:paraId="1DA7758A" w14:textId="77777777" w:rsidR="00F443F8" w:rsidRPr="0074733C" w:rsidRDefault="00F443F8" w:rsidP="00183E6F">
      <w:pPr>
        <w:pStyle w:val="SingleTxt"/>
        <w:rPr>
          <w:rFonts w:ascii="黑体" w:eastAsia="黑体"/>
        </w:rPr>
      </w:pPr>
      <w:r w:rsidRPr="0074733C">
        <w:rPr>
          <w:rFonts w:ascii="黑体" w:eastAsia="黑体"/>
        </w:rPr>
        <w:tab/>
      </w:r>
      <w:r w:rsidRPr="0074733C">
        <w:rPr>
          <w:rFonts w:eastAsia="黑体" w:hint="eastAsia"/>
        </w:rPr>
        <w:t>(b)</w:t>
      </w:r>
      <w:r w:rsidRPr="0074733C">
        <w:rPr>
          <w:rFonts w:ascii="黑体" w:eastAsia="黑体"/>
        </w:rPr>
        <w:tab/>
      </w:r>
      <w:r w:rsidRPr="0074733C">
        <w:rPr>
          <w:rFonts w:ascii="黑体" w:eastAsia="黑体" w:hint="eastAsia"/>
        </w:rPr>
        <w:t>通过相关法律，明确保护妇女不受交叉形式的歧视，并在法律上界定性别和性的概念；</w:t>
      </w:r>
    </w:p>
    <w:p w14:paraId="3C54F87D" w14:textId="77777777" w:rsidR="00F443F8" w:rsidRPr="0074733C" w:rsidRDefault="00F443F8" w:rsidP="00183E6F">
      <w:pPr>
        <w:pStyle w:val="SingleTxt"/>
        <w:rPr>
          <w:rFonts w:ascii="黑体" w:eastAsia="黑体"/>
        </w:rPr>
      </w:pPr>
      <w:r w:rsidRPr="0074733C">
        <w:rPr>
          <w:rFonts w:ascii="黑体" w:eastAsia="黑体"/>
        </w:rPr>
        <w:tab/>
      </w:r>
      <w:r w:rsidRPr="0074733C">
        <w:rPr>
          <w:rFonts w:eastAsia="黑体" w:hint="eastAsia"/>
        </w:rPr>
        <w:t>(c)</w:t>
      </w:r>
      <w:r w:rsidRPr="0074733C">
        <w:rPr>
          <w:rFonts w:ascii="黑体" w:eastAsia="黑体"/>
        </w:rPr>
        <w:tab/>
      </w:r>
      <w:r w:rsidRPr="0074733C">
        <w:rPr>
          <w:rFonts w:ascii="黑体" w:eastAsia="黑体" w:hint="eastAsia"/>
        </w:rPr>
        <w:t>在法律中明确承认基于性别变更理由的歧视妇女行为是性别歧视。</w:t>
      </w:r>
    </w:p>
    <w:p w14:paraId="22CDA695" w14:textId="77777777" w:rsidR="00F443F8" w:rsidRPr="0074733C" w:rsidRDefault="00F443F8" w:rsidP="00183E6F">
      <w:pPr>
        <w:pStyle w:val="SingleTxt"/>
        <w:rPr>
          <w:rFonts w:ascii="黑体" w:eastAsia="黑体"/>
        </w:rPr>
      </w:pPr>
      <w:r w:rsidRPr="0074733C">
        <w:rPr>
          <w:rFonts w:ascii="黑体" w:eastAsia="黑体" w:hint="eastAsia"/>
        </w:rPr>
        <w:t>司法救助和法律申诉机制</w:t>
      </w:r>
    </w:p>
    <w:p w14:paraId="467C6D6F" w14:textId="77777777" w:rsidR="00F443F8" w:rsidRDefault="00F443F8" w:rsidP="00183E6F">
      <w:pPr>
        <w:pStyle w:val="SingleTxt"/>
      </w:pPr>
      <w:r>
        <w:rPr>
          <w:rFonts w:hint="eastAsia"/>
        </w:rPr>
        <w:t>12.</w:t>
      </w:r>
      <w:r>
        <w:rPr>
          <w:rFonts w:hint="eastAsia"/>
        </w:rPr>
        <w:tab/>
      </w:r>
      <w:r>
        <w:rPr>
          <w:rFonts w:hint="eastAsia"/>
        </w:rPr>
        <w:t>委员会欢迎</w:t>
      </w:r>
      <w:r>
        <w:rPr>
          <w:rFonts w:hint="eastAsia"/>
        </w:rPr>
        <w:t>2019</w:t>
      </w:r>
      <w:r>
        <w:rPr>
          <w:rFonts w:hint="eastAsia"/>
        </w:rPr>
        <w:t>年的法律援助改革，其中规定向包括妇女在内的所有弱势人群提供一级法律援助</w:t>
      </w:r>
      <w:r>
        <w:rPr>
          <w:rFonts w:hint="eastAsia"/>
        </w:rPr>
        <w:t>(</w:t>
      </w:r>
      <w:r>
        <w:rPr>
          <w:rFonts w:hint="eastAsia"/>
        </w:rPr>
        <w:t>法院诉讼除外</w:t>
      </w:r>
      <w:r>
        <w:rPr>
          <w:rFonts w:hint="eastAsia"/>
        </w:rPr>
        <w:t>)</w:t>
      </w:r>
      <w:r>
        <w:rPr>
          <w:rFonts w:hint="eastAsia"/>
        </w:rPr>
        <w:t>，并在法院诉讼中向所有受害者、尤其是性别暴力</w:t>
      </w:r>
      <w:r>
        <w:rPr>
          <w:rFonts w:hint="eastAsia"/>
        </w:rPr>
        <w:t>(</w:t>
      </w:r>
      <w:r>
        <w:rPr>
          <w:rFonts w:hint="eastAsia"/>
        </w:rPr>
        <w:t>包括性暴力和家庭暴力</w:t>
      </w:r>
      <w:r>
        <w:rPr>
          <w:rFonts w:hint="eastAsia"/>
        </w:rPr>
        <w:t>)</w:t>
      </w:r>
      <w:r>
        <w:rPr>
          <w:rFonts w:hint="eastAsia"/>
        </w:rPr>
        <w:t>和仇恨犯罪受害者提供二级法律援助，无论其经济状况如何。但委员会注意到，</w:t>
      </w:r>
      <w:r>
        <w:rPr>
          <w:rFonts w:hint="eastAsia"/>
        </w:rPr>
        <w:t>2018</w:t>
      </w:r>
      <w:r>
        <w:rPr>
          <w:rFonts w:hint="eastAsia"/>
        </w:rPr>
        <w:t>年，机会平等监察员办公室没有收到残疾妇女或女童提出的任何申诉，与性歧视或性别歧视有关的申诉总体数目也较少，部分原因是该办公室没有设立地区和地方分支机构。</w:t>
      </w:r>
    </w:p>
    <w:p w14:paraId="2E7F03DB" w14:textId="77777777" w:rsidR="00F443F8" w:rsidRDefault="00F443F8" w:rsidP="00183E6F">
      <w:pPr>
        <w:pStyle w:val="SingleTxt"/>
      </w:pPr>
      <w:r>
        <w:rPr>
          <w:rFonts w:hint="eastAsia"/>
        </w:rPr>
        <w:t>13.</w:t>
      </w:r>
      <w:r>
        <w:rPr>
          <w:rFonts w:hint="eastAsia"/>
        </w:rPr>
        <w:tab/>
      </w:r>
      <w:r w:rsidRPr="0074733C">
        <w:rPr>
          <w:rFonts w:ascii="黑体" w:eastAsia="黑体" w:hint="eastAsia"/>
        </w:rPr>
        <w:t>委员会根据其关于妇</w:t>
      </w:r>
      <w:r w:rsidRPr="00C80DF7">
        <w:rPr>
          <w:rFonts w:eastAsia="黑体" w:hint="eastAsia"/>
        </w:rPr>
        <w:t>女获得司法救助的第</w:t>
      </w:r>
      <w:r w:rsidRPr="00C80DF7">
        <w:rPr>
          <w:rFonts w:eastAsia="黑体" w:hint="eastAsia"/>
        </w:rPr>
        <w:t>33</w:t>
      </w:r>
      <w:r w:rsidRPr="00C80DF7">
        <w:rPr>
          <w:rFonts w:eastAsia="黑体" w:hint="eastAsia"/>
        </w:rPr>
        <w:t>号一般性建议</w:t>
      </w:r>
      <w:r w:rsidRPr="00C80DF7">
        <w:rPr>
          <w:rFonts w:eastAsia="黑体" w:hint="eastAsia"/>
        </w:rPr>
        <w:t>(2015</w:t>
      </w:r>
      <w:r w:rsidRPr="00C80DF7">
        <w:rPr>
          <w:rFonts w:eastAsia="黑体" w:hint="eastAsia"/>
        </w:rPr>
        <w:t>年</w:t>
      </w:r>
      <w:r w:rsidRPr="00C80DF7">
        <w:rPr>
          <w:rFonts w:eastAsia="黑体" w:hint="eastAsia"/>
        </w:rPr>
        <w:t>)</w:t>
      </w:r>
      <w:r w:rsidRPr="00C80DF7">
        <w:rPr>
          <w:rFonts w:eastAsia="黑体" w:hint="eastAsia"/>
        </w:rPr>
        <w:t>，</w:t>
      </w:r>
      <w:r w:rsidRPr="0074733C">
        <w:rPr>
          <w:rFonts w:ascii="黑体" w:eastAsia="黑体" w:hint="eastAsia"/>
        </w:rPr>
        <w:t>建议缔约国</w:t>
      </w:r>
      <w:r>
        <w:rPr>
          <w:rFonts w:hint="eastAsia"/>
        </w:rPr>
        <w:t>：</w:t>
      </w:r>
    </w:p>
    <w:p w14:paraId="59C3BBCD" w14:textId="77777777" w:rsidR="00F443F8" w:rsidRPr="0074733C" w:rsidRDefault="00F443F8" w:rsidP="00183E6F">
      <w:pPr>
        <w:pStyle w:val="SingleTxt"/>
        <w:rPr>
          <w:rFonts w:eastAsia="黑体"/>
        </w:rPr>
      </w:pPr>
      <w:r>
        <w:lastRenderedPageBreak/>
        <w:tab/>
      </w:r>
      <w:r>
        <w:rPr>
          <w:rFonts w:hint="eastAsia"/>
        </w:rPr>
        <w:t>(a)</w:t>
      </w:r>
      <w:r>
        <w:tab/>
      </w:r>
      <w:r w:rsidRPr="0074733C">
        <w:rPr>
          <w:rFonts w:eastAsia="黑体" w:hint="eastAsia"/>
        </w:rPr>
        <w:t>确保弱势或边缘化群体，如少数群体妇女、移民、农村妇女和老年妇女、残疾妇女、女同性恋、双性恋和跨性别妇女以及间性者，能够充分获得司法救助；</w:t>
      </w:r>
    </w:p>
    <w:p w14:paraId="4508A01B" w14:textId="77777777" w:rsidR="00F443F8" w:rsidRPr="0074733C" w:rsidRDefault="00F443F8" w:rsidP="00183E6F">
      <w:pPr>
        <w:pStyle w:val="SingleTxt"/>
        <w:rPr>
          <w:rFonts w:eastAsia="黑体"/>
          <w:spacing w:val="-4"/>
        </w:rPr>
      </w:pPr>
      <w:r w:rsidRPr="0074733C">
        <w:rPr>
          <w:rFonts w:eastAsia="黑体"/>
        </w:rPr>
        <w:tab/>
      </w:r>
      <w:r w:rsidRPr="0074733C">
        <w:rPr>
          <w:rFonts w:eastAsia="黑体" w:hint="eastAsia"/>
        </w:rPr>
        <w:t>(b)</w:t>
      </w:r>
      <w:r w:rsidRPr="0074733C">
        <w:rPr>
          <w:rFonts w:eastAsia="黑体"/>
        </w:rPr>
        <w:tab/>
      </w:r>
      <w:r w:rsidRPr="0074733C">
        <w:rPr>
          <w:rFonts w:eastAsia="黑体" w:hint="eastAsia"/>
          <w:spacing w:val="-4"/>
        </w:rPr>
        <w:t>使妇女更加了解在《公约》为其规定的权利受到侵犯时可使用的补救方法；</w:t>
      </w:r>
    </w:p>
    <w:p w14:paraId="76F31694" w14:textId="77777777" w:rsidR="00F443F8" w:rsidRPr="0074733C" w:rsidRDefault="00F443F8" w:rsidP="00183E6F">
      <w:pPr>
        <w:pStyle w:val="SingleTxt"/>
        <w:rPr>
          <w:rFonts w:eastAsia="黑体"/>
        </w:rPr>
      </w:pPr>
      <w:r w:rsidRPr="0074733C">
        <w:rPr>
          <w:rFonts w:eastAsia="黑体"/>
        </w:rPr>
        <w:tab/>
      </w:r>
      <w:r w:rsidRPr="0074733C">
        <w:rPr>
          <w:rFonts w:eastAsia="黑体" w:hint="eastAsia"/>
        </w:rPr>
        <w:t>(c)</w:t>
      </w:r>
      <w:r w:rsidRPr="0074733C">
        <w:rPr>
          <w:rFonts w:eastAsia="黑体"/>
        </w:rPr>
        <w:tab/>
      </w:r>
      <w:r w:rsidRPr="0074733C">
        <w:rPr>
          <w:rFonts w:eastAsia="黑体" w:hint="eastAsia"/>
        </w:rPr>
        <w:t>扩大机会平等监察员办公室的工作范围，在地区和地方两级为所有妇女获得司法救助提供便利。</w:t>
      </w:r>
    </w:p>
    <w:p w14:paraId="66B625BF" w14:textId="77777777" w:rsidR="00F443F8" w:rsidRPr="0074733C" w:rsidRDefault="00F443F8" w:rsidP="00183E6F">
      <w:pPr>
        <w:pStyle w:val="SingleTxt"/>
        <w:rPr>
          <w:rFonts w:ascii="黑体" w:eastAsia="黑体"/>
        </w:rPr>
      </w:pPr>
      <w:r w:rsidRPr="0074733C">
        <w:rPr>
          <w:rFonts w:ascii="黑体" w:eastAsia="黑体" w:hint="eastAsia"/>
        </w:rPr>
        <w:t>提高妇女地位的国家机构</w:t>
      </w:r>
    </w:p>
    <w:p w14:paraId="74D3057F" w14:textId="77777777" w:rsidR="00F443F8" w:rsidRDefault="00F443F8" w:rsidP="00183E6F">
      <w:pPr>
        <w:pStyle w:val="SingleTxt"/>
      </w:pPr>
      <w:r>
        <w:rPr>
          <w:rFonts w:hint="eastAsia"/>
        </w:rPr>
        <w:t>14.</w:t>
      </w:r>
      <w:r>
        <w:rPr>
          <w:rFonts w:hint="eastAsia"/>
        </w:rPr>
        <w:tab/>
      </w:r>
      <w:r>
        <w:rPr>
          <w:rFonts w:hint="eastAsia"/>
        </w:rPr>
        <w:t>委员会欢迎促进性别平等和妇女权利的非政府组织所获资金稳步增加。委员会还欢迎《设立男女机会平等委员会法令》修正草案，其中尤其设想将委任不低于副部长级的国家代表。尽管如此，委员会仍有以下关切：</w:t>
      </w:r>
    </w:p>
    <w:p w14:paraId="5E86D5AA" w14:textId="77777777" w:rsidR="00F443F8" w:rsidRDefault="00F443F8" w:rsidP="00183E6F">
      <w:pPr>
        <w:pStyle w:val="SingleTxt"/>
      </w:pPr>
      <w:r>
        <w:tab/>
      </w:r>
      <w:r>
        <w:rPr>
          <w:rFonts w:hint="eastAsia"/>
        </w:rPr>
        <w:t>(a)</w:t>
      </w:r>
      <w:r>
        <w:tab/>
      </w:r>
      <w:r>
        <w:rPr>
          <w:rFonts w:hint="eastAsia"/>
        </w:rPr>
        <w:t>男女机会平等委员会作为监测和监督机构，还直接参与制定和实施关于执行</w:t>
      </w:r>
      <w:r>
        <w:rPr>
          <w:rFonts w:hint="eastAsia"/>
        </w:rPr>
        <w:t>2015-2021</w:t>
      </w:r>
      <w:r>
        <w:rPr>
          <w:rFonts w:hint="eastAsia"/>
        </w:rPr>
        <w:t>年男女机会平等国家方案的</w:t>
      </w:r>
      <w:r>
        <w:rPr>
          <w:rFonts w:hint="eastAsia"/>
        </w:rPr>
        <w:t>2018-2021</w:t>
      </w:r>
      <w:r>
        <w:rPr>
          <w:rFonts w:hint="eastAsia"/>
        </w:rPr>
        <w:t>年期间行动计划；</w:t>
      </w:r>
    </w:p>
    <w:p w14:paraId="75BFD6C3" w14:textId="77777777" w:rsidR="00F443F8" w:rsidRDefault="00F443F8" w:rsidP="00183E6F">
      <w:pPr>
        <w:pStyle w:val="SingleTxt"/>
      </w:pPr>
      <w:r>
        <w:tab/>
      </w:r>
      <w:r>
        <w:rPr>
          <w:rFonts w:hint="eastAsia"/>
        </w:rPr>
        <w:t>(b)</w:t>
      </w:r>
      <w:r>
        <w:tab/>
      </w:r>
      <w:r>
        <w:rPr>
          <w:rFonts w:hint="eastAsia"/>
        </w:rPr>
        <w:t>机会平等监察员的任务授权已转变为性别中立的任务授权；</w:t>
      </w:r>
    </w:p>
    <w:p w14:paraId="5B9EE848" w14:textId="77777777" w:rsidR="00F443F8" w:rsidRDefault="00F443F8" w:rsidP="00183E6F">
      <w:pPr>
        <w:pStyle w:val="SingleTxt"/>
      </w:pPr>
      <w:r>
        <w:tab/>
      </w:r>
      <w:r>
        <w:rPr>
          <w:rFonts w:hint="eastAsia"/>
        </w:rPr>
        <w:t>(c)</w:t>
      </w:r>
      <w:r>
        <w:tab/>
      </w:r>
      <w:r>
        <w:rPr>
          <w:rFonts w:hint="eastAsia"/>
        </w:rPr>
        <w:t>缺乏综合的性别预算编制战略和预算拨款。</w:t>
      </w:r>
    </w:p>
    <w:p w14:paraId="7A496741" w14:textId="77777777" w:rsidR="00CA797E" w:rsidRDefault="00CA797E">
      <w:pPr>
        <w:spacing w:line="240" w:lineRule="auto"/>
        <w:jc w:val="left"/>
      </w:pPr>
      <w:r>
        <w:br w:type="page"/>
      </w:r>
    </w:p>
    <w:p w14:paraId="7A41EC4B" w14:textId="1DDB1F38" w:rsidR="00F443F8" w:rsidRDefault="00F443F8" w:rsidP="00183E6F">
      <w:pPr>
        <w:pStyle w:val="SingleTxt"/>
      </w:pPr>
      <w:r>
        <w:rPr>
          <w:rFonts w:hint="eastAsia"/>
        </w:rPr>
        <w:lastRenderedPageBreak/>
        <w:t>15.</w:t>
      </w:r>
      <w:r>
        <w:rPr>
          <w:rFonts w:hint="eastAsia"/>
        </w:rPr>
        <w:tab/>
      </w:r>
      <w:r w:rsidRPr="0074733C">
        <w:rPr>
          <w:rFonts w:ascii="黑体" w:eastAsia="黑体" w:hint="eastAsia"/>
        </w:rPr>
        <w:t>委员会建议缔约国</w:t>
      </w:r>
      <w:r>
        <w:rPr>
          <w:rFonts w:hint="eastAsia"/>
        </w:rPr>
        <w:t>：</w:t>
      </w:r>
    </w:p>
    <w:p w14:paraId="4E12E6CA" w14:textId="77777777" w:rsidR="00F443F8" w:rsidRPr="0074733C" w:rsidRDefault="00F443F8" w:rsidP="00183E6F">
      <w:pPr>
        <w:pStyle w:val="SingleTxt"/>
        <w:rPr>
          <w:rFonts w:eastAsia="黑体"/>
        </w:rPr>
      </w:pPr>
      <w:r>
        <w:tab/>
      </w:r>
      <w:r>
        <w:rPr>
          <w:rFonts w:hint="eastAsia"/>
        </w:rPr>
        <w:t>(a)</w:t>
      </w:r>
      <w:r>
        <w:tab/>
      </w:r>
      <w:r w:rsidRPr="0074733C">
        <w:rPr>
          <w:rFonts w:eastAsia="黑体" w:hint="eastAsia"/>
        </w:rPr>
        <w:t>迅速通过《设立男女机会平等委员会法令》修正草案，澄清该委员会的任务授权，避免在其监测和决策职能方面造成任何不必要的混淆；</w:t>
      </w:r>
    </w:p>
    <w:p w14:paraId="462CC2CD" w14:textId="77777777" w:rsidR="00F443F8" w:rsidRPr="0074733C" w:rsidRDefault="00F443F8" w:rsidP="00183E6F">
      <w:pPr>
        <w:pStyle w:val="SingleTxt"/>
        <w:rPr>
          <w:rFonts w:eastAsia="黑体"/>
        </w:rPr>
      </w:pPr>
      <w:r w:rsidRPr="0074733C">
        <w:rPr>
          <w:rFonts w:eastAsia="黑体"/>
        </w:rPr>
        <w:tab/>
      </w:r>
      <w:r w:rsidRPr="0074733C">
        <w:rPr>
          <w:rFonts w:eastAsia="黑体" w:hint="eastAsia"/>
        </w:rPr>
        <w:t>(b)</w:t>
      </w:r>
      <w:r w:rsidRPr="0074733C">
        <w:rPr>
          <w:rFonts w:eastAsia="黑体"/>
        </w:rPr>
        <w:tab/>
      </w:r>
      <w:r w:rsidRPr="0074733C">
        <w:rPr>
          <w:rFonts w:eastAsia="黑体" w:hint="eastAsia"/>
        </w:rPr>
        <w:t>采取措施，扭转机会平等监察员任务授权中根深蒂固的性别中立性，并设立对性别问题有敏感认识的专门单位，更好地保护妇女和女童权利，促进性别平等；</w:t>
      </w:r>
    </w:p>
    <w:p w14:paraId="3E3A1022" w14:textId="77777777" w:rsidR="00F443F8" w:rsidRPr="0074733C" w:rsidRDefault="00F443F8" w:rsidP="00183E6F">
      <w:pPr>
        <w:pStyle w:val="SingleTxt"/>
        <w:rPr>
          <w:rFonts w:eastAsia="黑体"/>
        </w:rPr>
      </w:pPr>
      <w:r w:rsidRPr="0074733C">
        <w:rPr>
          <w:rFonts w:eastAsia="黑体"/>
        </w:rPr>
        <w:tab/>
      </w:r>
      <w:r w:rsidRPr="0074733C">
        <w:rPr>
          <w:rFonts w:eastAsia="黑体" w:hint="eastAsia"/>
        </w:rPr>
        <w:t>(c)</w:t>
      </w:r>
      <w:r w:rsidRPr="0074733C">
        <w:rPr>
          <w:rFonts w:eastAsia="黑体"/>
        </w:rPr>
        <w:tab/>
      </w:r>
      <w:r w:rsidRPr="0074733C">
        <w:rPr>
          <w:rFonts w:eastAsia="黑体" w:hint="eastAsia"/>
        </w:rPr>
        <w:t>通过综合的性别预算编制战略，规定设立特别预算拨款，以便在缔约国全国执行关于性别平等和提高妇女地位的政策、战略和方案。</w:t>
      </w:r>
    </w:p>
    <w:p w14:paraId="5489C423" w14:textId="77777777" w:rsidR="00F443F8" w:rsidRPr="0074733C" w:rsidRDefault="00F443F8" w:rsidP="00183E6F">
      <w:pPr>
        <w:pStyle w:val="SingleTxt"/>
        <w:rPr>
          <w:rFonts w:ascii="黑体" w:eastAsia="黑体"/>
        </w:rPr>
      </w:pPr>
      <w:r w:rsidRPr="0074733C">
        <w:rPr>
          <w:rFonts w:ascii="黑体" w:eastAsia="黑体" w:hint="eastAsia"/>
        </w:rPr>
        <w:t>国家人权机构</w:t>
      </w:r>
    </w:p>
    <w:p w14:paraId="4436601C" w14:textId="77777777" w:rsidR="00F443F8" w:rsidRDefault="00F443F8" w:rsidP="00183E6F">
      <w:pPr>
        <w:pStyle w:val="SingleTxt"/>
      </w:pPr>
      <w:r>
        <w:rPr>
          <w:rFonts w:hint="eastAsia"/>
        </w:rPr>
        <w:t>16.</w:t>
      </w:r>
      <w:r>
        <w:rPr>
          <w:rFonts w:hint="eastAsia"/>
        </w:rPr>
        <w:tab/>
      </w:r>
      <w:r>
        <w:rPr>
          <w:rFonts w:hint="eastAsia"/>
        </w:rPr>
        <w:t>委员会欢迎国家人权机构全球联盟在</w:t>
      </w:r>
      <w:r>
        <w:rPr>
          <w:rFonts w:hint="eastAsia"/>
        </w:rPr>
        <w:t>2017</w:t>
      </w:r>
      <w:r>
        <w:rPr>
          <w:rFonts w:hint="eastAsia"/>
        </w:rPr>
        <w:t>年依照《关于促进和保护人权的国家机构的地位的原则》</w:t>
      </w:r>
      <w:r>
        <w:rPr>
          <w:rFonts w:hint="eastAsia"/>
        </w:rPr>
        <w:t>(</w:t>
      </w:r>
      <w:r>
        <w:rPr>
          <w:rFonts w:hint="eastAsia"/>
        </w:rPr>
        <w:t>《巴黎原则》</w:t>
      </w:r>
      <w:r>
        <w:rPr>
          <w:rFonts w:hint="eastAsia"/>
        </w:rPr>
        <w:t>)</w:t>
      </w:r>
      <w:r>
        <w:rPr>
          <w:rFonts w:hint="eastAsia"/>
        </w:rPr>
        <w:t>给予议会监察员办公室</w:t>
      </w:r>
      <w:r>
        <w:rPr>
          <w:rFonts w:hint="eastAsia"/>
        </w:rPr>
        <w:t>A</w:t>
      </w:r>
      <w:r>
        <w:rPr>
          <w:rFonts w:hint="eastAsia"/>
        </w:rPr>
        <w:t>级认证。但委员会对以下问题表示关切：</w:t>
      </w:r>
    </w:p>
    <w:p w14:paraId="7511F380" w14:textId="77777777" w:rsidR="00F443F8" w:rsidRDefault="00F443F8" w:rsidP="00183E6F">
      <w:pPr>
        <w:pStyle w:val="SingleTxt"/>
      </w:pPr>
      <w:r>
        <w:tab/>
      </w:r>
      <w:r>
        <w:rPr>
          <w:rFonts w:hint="eastAsia"/>
        </w:rPr>
        <w:t>(a)</w:t>
      </w:r>
      <w:r>
        <w:tab/>
      </w:r>
      <w:r>
        <w:rPr>
          <w:rFonts w:hint="eastAsia"/>
        </w:rPr>
        <w:t>议会监察员办公室在处理妇女提出的申诉，特别是性别暴力、包括私人领域内的申诉方面，任务授权有限；</w:t>
      </w:r>
    </w:p>
    <w:p w14:paraId="4CB773D4" w14:textId="77777777" w:rsidR="00F443F8" w:rsidRDefault="00F443F8" w:rsidP="00183E6F">
      <w:pPr>
        <w:pStyle w:val="SingleTxt"/>
      </w:pPr>
      <w:r>
        <w:tab/>
      </w:r>
      <w:r>
        <w:rPr>
          <w:rFonts w:hint="eastAsia"/>
        </w:rPr>
        <w:t>(b)</w:t>
      </w:r>
      <w:r>
        <w:tab/>
      </w:r>
      <w:r>
        <w:rPr>
          <w:rFonts w:hint="eastAsia"/>
        </w:rPr>
        <w:t>议会监察员办公室资金不足。</w:t>
      </w:r>
    </w:p>
    <w:p w14:paraId="34E36F72" w14:textId="77777777" w:rsidR="00F443F8" w:rsidRDefault="00F443F8" w:rsidP="00183E6F">
      <w:pPr>
        <w:pStyle w:val="SingleTxt"/>
      </w:pPr>
      <w:r>
        <w:rPr>
          <w:rFonts w:hint="eastAsia"/>
        </w:rPr>
        <w:t>17.</w:t>
      </w:r>
      <w:r>
        <w:rPr>
          <w:rFonts w:hint="eastAsia"/>
        </w:rPr>
        <w:tab/>
      </w:r>
      <w:r w:rsidRPr="0074733C">
        <w:rPr>
          <w:rFonts w:ascii="黑体" w:eastAsia="黑体" w:hint="eastAsia"/>
        </w:rPr>
        <w:t>委员会建议缔约国：</w:t>
      </w:r>
    </w:p>
    <w:p w14:paraId="143743AE" w14:textId="77777777" w:rsidR="00F443F8" w:rsidRPr="0074733C" w:rsidRDefault="00F443F8" w:rsidP="00183E6F">
      <w:pPr>
        <w:pStyle w:val="SingleTxt"/>
        <w:rPr>
          <w:rFonts w:eastAsia="黑体"/>
        </w:rPr>
      </w:pPr>
      <w:r>
        <w:tab/>
      </w:r>
      <w:r>
        <w:rPr>
          <w:rFonts w:hint="eastAsia"/>
        </w:rPr>
        <w:t>(a)</w:t>
      </w:r>
      <w:r>
        <w:tab/>
      </w:r>
      <w:r w:rsidRPr="0074733C">
        <w:rPr>
          <w:rFonts w:eastAsia="黑体" w:hint="eastAsia"/>
        </w:rPr>
        <w:t>扩大议会监察员的任务授权，使其能够受理妇女提出的申诉、包括私人领域内的申诉，并就这些申诉提供权威调查结果和建议；</w:t>
      </w:r>
    </w:p>
    <w:p w14:paraId="272C26D4" w14:textId="77777777" w:rsidR="00F443F8" w:rsidRPr="0074733C" w:rsidRDefault="00F443F8" w:rsidP="00183E6F">
      <w:pPr>
        <w:pStyle w:val="SingleTxt"/>
        <w:rPr>
          <w:rFonts w:eastAsia="黑体"/>
        </w:rPr>
      </w:pPr>
      <w:r w:rsidRPr="0074733C">
        <w:rPr>
          <w:rFonts w:eastAsia="黑体"/>
        </w:rPr>
        <w:tab/>
      </w:r>
      <w:r w:rsidRPr="0074733C">
        <w:rPr>
          <w:rFonts w:eastAsia="黑体" w:hint="eastAsia"/>
        </w:rPr>
        <w:t>(b)</w:t>
      </w:r>
      <w:r w:rsidRPr="0074733C">
        <w:rPr>
          <w:rFonts w:eastAsia="黑体"/>
        </w:rPr>
        <w:tab/>
      </w:r>
      <w:r w:rsidRPr="0074733C">
        <w:rPr>
          <w:rFonts w:eastAsia="黑体" w:hint="eastAsia"/>
        </w:rPr>
        <w:t>增加议会监察员办公室的人力、技术和财政资源，使其能够有效执行促进和保护妇女权利的任务。</w:t>
      </w:r>
    </w:p>
    <w:p w14:paraId="63DA6AD4" w14:textId="77777777" w:rsidR="00F443F8" w:rsidRPr="0074733C" w:rsidRDefault="00F443F8" w:rsidP="00183E6F">
      <w:pPr>
        <w:pStyle w:val="SingleTxt"/>
        <w:rPr>
          <w:rFonts w:ascii="黑体" w:eastAsia="黑体"/>
        </w:rPr>
      </w:pPr>
      <w:r w:rsidRPr="0074733C">
        <w:rPr>
          <w:rFonts w:ascii="黑体" w:eastAsia="黑体" w:hint="eastAsia"/>
        </w:rPr>
        <w:t>暂行特别措施</w:t>
      </w:r>
    </w:p>
    <w:p w14:paraId="4D4142B9" w14:textId="77777777" w:rsidR="00F443F8" w:rsidRDefault="00F443F8" w:rsidP="00183E6F">
      <w:pPr>
        <w:pStyle w:val="SingleTxt"/>
      </w:pPr>
      <w:r>
        <w:rPr>
          <w:rFonts w:hint="eastAsia"/>
        </w:rPr>
        <w:t>18.</w:t>
      </w:r>
      <w:r>
        <w:rPr>
          <w:rFonts w:hint="eastAsia"/>
        </w:rPr>
        <w:tab/>
      </w:r>
      <w:r>
        <w:rPr>
          <w:rFonts w:hint="eastAsia"/>
        </w:rPr>
        <w:t>委员会仍然感到关切的是，缔约国没有采取暂行特别措施，加快实现男女实质平等，尽管这是解决历史造成的性别失衡问题和相互交织的跨部门权利关切的公认途径。委员会注意到缔约国提供的解释：根据宪法法院判例，限制人权需要有立法依据，而目前版本的《男女机会平等法》是基于这样一种理解，即这部法律不足以为采取暂行特别措施提供立法依据，要采取任何此类措施，必须制定其他具体法律。</w:t>
      </w:r>
    </w:p>
    <w:p w14:paraId="5BA988C6" w14:textId="1F0C6592" w:rsidR="00F443F8" w:rsidRDefault="00F443F8" w:rsidP="00183E6F">
      <w:pPr>
        <w:pStyle w:val="SingleTxt"/>
      </w:pPr>
      <w:r>
        <w:rPr>
          <w:rFonts w:hint="eastAsia"/>
        </w:rPr>
        <w:t>19.</w:t>
      </w:r>
      <w:r>
        <w:rPr>
          <w:rFonts w:hint="eastAsia"/>
        </w:rPr>
        <w:tab/>
      </w:r>
      <w:r w:rsidRPr="0074733C">
        <w:rPr>
          <w:rFonts w:eastAsia="黑体" w:hint="eastAsia"/>
        </w:rPr>
        <w:t>委员会重申之前的建议</w:t>
      </w:r>
      <w:r w:rsidRPr="0074733C">
        <w:rPr>
          <w:rFonts w:eastAsia="黑体" w:hint="eastAsia"/>
        </w:rPr>
        <w:t>(</w:t>
      </w:r>
      <w:hyperlink r:id="rId25" w:history="1">
        <w:r w:rsidRPr="00A601C7">
          <w:rPr>
            <w:rStyle w:val="af4"/>
            <w:rFonts w:eastAsia="黑体" w:hint="eastAsia"/>
          </w:rPr>
          <w:t>CEDAW/C/LTU/CO/5</w:t>
        </w:r>
      </w:hyperlink>
      <w:r w:rsidRPr="0074733C">
        <w:rPr>
          <w:rFonts w:eastAsia="黑体" w:hint="eastAsia"/>
        </w:rPr>
        <w:t>，第</w:t>
      </w:r>
      <w:r w:rsidRPr="0074733C">
        <w:rPr>
          <w:rFonts w:eastAsia="黑体" w:hint="eastAsia"/>
        </w:rPr>
        <w:t>19</w:t>
      </w:r>
      <w:r w:rsidRPr="0074733C">
        <w:rPr>
          <w:rFonts w:eastAsia="黑体" w:hint="eastAsia"/>
        </w:rPr>
        <w:t>段</w:t>
      </w:r>
      <w:r w:rsidRPr="0074733C">
        <w:rPr>
          <w:rFonts w:eastAsia="黑体" w:hint="eastAsia"/>
        </w:rPr>
        <w:t>)</w:t>
      </w:r>
      <w:r w:rsidRPr="0074733C">
        <w:rPr>
          <w:rFonts w:eastAsia="黑体" w:hint="eastAsia"/>
        </w:rPr>
        <w:t>，建议缔约国</w:t>
      </w:r>
      <w:r>
        <w:rPr>
          <w:rFonts w:hint="eastAsia"/>
        </w:rPr>
        <w:t>：</w:t>
      </w:r>
    </w:p>
    <w:p w14:paraId="11F0FE68" w14:textId="77777777" w:rsidR="00F443F8" w:rsidRPr="0074733C" w:rsidRDefault="00F443F8" w:rsidP="00183E6F">
      <w:pPr>
        <w:pStyle w:val="SingleTxt"/>
        <w:rPr>
          <w:rFonts w:eastAsia="黑体"/>
        </w:rPr>
      </w:pPr>
      <w:r>
        <w:tab/>
      </w:r>
      <w:r>
        <w:rPr>
          <w:rFonts w:hint="eastAsia"/>
        </w:rPr>
        <w:t>(a)</w:t>
      </w:r>
      <w:r>
        <w:tab/>
      </w:r>
      <w:r w:rsidRPr="0074733C">
        <w:rPr>
          <w:rFonts w:eastAsia="黑体" w:hint="eastAsia"/>
        </w:rPr>
        <w:t>为采</w:t>
      </w:r>
      <w:r w:rsidRPr="00A02591">
        <w:rPr>
          <w:rFonts w:eastAsia="黑体" w:hint="eastAsia"/>
          <w:spacing w:val="-4"/>
        </w:rPr>
        <w:t>取和适用暂行特别措施扫除立法障碍，确保并鼓励运用相关</w:t>
      </w:r>
      <w:r w:rsidRPr="0074733C">
        <w:rPr>
          <w:rFonts w:eastAsia="黑体" w:hint="eastAsia"/>
        </w:rPr>
        <w:t>的行政、管理、政策和方案模式，按照《公约》为缔约国规定的义务促进男女实质平等；</w:t>
      </w:r>
    </w:p>
    <w:p w14:paraId="655C9387" w14:textId="77777777" w:rsidR="00F443F8" w:rsidRPr="0074733C" w:rsidRDefault="00F443F8" w:rsidP="00183E6F">
      <w:pPr>
        <w:pStyle w:val="SingleTxt"/>
        <w:rPr>
          <w:rFonts w:eastAsia="黑体"/>
        </w:rPr>
      </w:pPr>
      <w:r w:rsidRPr="0074733C">
        <w:rPr>
          <w:rFonts w:eastAsia="黑体"/>
        </w:rPr>
        <w:tab/>
      </w:r>
      <w:r w:rsidRPr="0074733C">
        <w:rPr>
          <w:rFonts w:eastAsia="黑体" w:hint="eastAsia"/>
        </w:rPr>
        <w:t>(b)</w:t>
      </w:r>
      <w:r w:rsidRPr="0074733C">
        <w:rPr>
          <w:rFonts w:eastAsia="黑体"/>
        </w:rPr>
        <w:tab/>
      </w:r>
      <w:r w:rsidRPr="0074733C">
        <w:rPr>
          <w:rFonts w:eastAsia="黑体" w:hint="eastAsia"/>
        </w:rPr>
        <w:t>使立法机构、决策者以及其他国家和非国家行为体、包括私营部门进一步认识到，暂行特别措施可作为关键手段，用于消除所有领域内的歧视现象，实现实质平等；</w:t>
      </w:r>
    </w:p>
    <w:p w14:paraId="2B948147" w14:textId="77777777" w:rsidR="00F443F8" w:rsidRDefault="00F443F8" w:rsidP="00183E6F">
      <w:pPr>
        <w:pStyle w:val="SingleTxt"/>
      </w:pPr>
      <w:r w:rsidRPr="0074733C">
        <w:rPr>
          <w:rFonts w:eastAsia="黑体"/>
        </w:rPr>
        <w:tab/>
      </w:r>
      <w:r w:rsidRPr="0074733C">
        <w:rPr>
          <w:rFonts w:eastAsia="黑体" w:hint="eastAsia"/>
        </w:rPr>
        <w:t>(c)</w:t>
      </w:r>
      <w:r w:rsidRPr="0074733C">
        <w:rPr>
          <w:rFonts w:eastAsia="黑体"/>
        </w:rPr>
        <w:tab/>
      </w:r>
      <w:r w:rsidRPr="0074733C">
        <w:rPr>
          <w:rFonts w:eastAsia="黑体" w:hint="eastAsia"/>
        </w:rPr>
        <w:t>根据《公约》第四条第</w:t>
      </w:r>
      <w:r w:rsidRPr="0074733C">
        <w:rPr>
          <w:rFonts w:eastAsia="黑体" w:hint="eastAsia"/>
        </w:rPr>
        <w:t>1</w:t>
      </w:r>
      <w:r w:rsidRPr="0074733C">
        <w:rPr>
          <w:rFonts w:eastAsia="黑体" w:hint="eastAsia"/>
        </w:rPr>
        <w:t>款和委员会关于暂行特别措施的第</w:t>
      </w:r>
      <w:r w:rsidRPr="0074733C">
        <w:rPr>
          <w:rFonts w:eastAsia="黑体" w:hint="eastAsia"/>
        </w:rPr>
        <w:t>25</w:t>
      </w:r>
      <w:r w:rsidRPr="0074733C">
        <w:rPr>
          <w:rFonts w:eastAsia="黑体" w:hint="eastAsia"/>
        </w:rPr>
        <w:t>号一般性建议</w:t>
      </w:r>
      <w:r w:rsidRPr="0074733C">
        <w:rPr>
          <w:rFonts w:eastAsia="黑体" w:hint="eastAsia"/>
        </w:rPr>
        <w:t>(2004</w:t>
      </w:r>
      <w:r w:rsidRPr="0074733C">
        <w:rPr>
          <w:rFonts w:eastAsia="黑体" w:hint="eastAsia"/>
        </w:rPr>
        <w:t>年</w:t>
      </w:r>
      <w:r w:rsidRPr="0074733C">
        <w:rPr>
          <w:rFonts w:eastAsia="黑体" w:hint="eastAsia"/>
        </w:rPr>
        <w:t>)</w:t>
      </w:r>
      <w:r w:rsidRPr="0074733C">
        <w:rPr>
          <w:rFonts w:eastAsia="黑体" w:hint="eastAsia"/>
        </w:rPr>
        <w:t>，采取暂行特别措施，在参与政治和公共生活、教育、就业等妇女人数不足或处于不利地位的所有领域促进男女实质平等，并设立监测措施执行情况的机制</w:t>
      </w:r>
      <w:r>
        <w:rPr>
          <w:rFonts w:hint="eastAsia"/>
        </w:rPr>
        <w:t>。</w:t>
      </w:r>
    </w:p>
    <w:p w14:paraId="7B305575" w14:textId="77777777" w:rsidR="00F443F8" w:rsidRPr="0074733C" w:rsidRDefault="00F443F8" w:rsidP="00183E6F">
      <w:pPr>
        <w:pStyle w:val="SingleTxt"/>
        <w:rPr>
          <w:rFonts w:ascii="黑体" w:eastAsia="黑体"/>
        </w:rPr>
      </w:pPr>
      <w:r w:rsidRPr="0074733C">
        <w:rPr>
          <w:rFonts w:ascii="黑体" w:eastAsia="黑体" w:hint="eastAsia"/>
        </w:rPr>
        <w:t>陈规定型观念</w:t>
      </w:r>
    </w:p>
    <w:p w14:paraId="084B7373" w14:textId="77777777" w:rsidR="00F443F8" w:rsidRDefault="00F443F8" w:rsidP="00183E6F">
      <w:pPr>
        <w:pStyle w:val="SingleTxt"/>
      </w:pPr>
      <w:r>
        <w:rPr>
          <w:rFonts w:hint="eastAsia"/>
        </w:rPr>
        <w:t>20.</w:t>
      </w:r>
      <w:r>
        <w:rPr>
          <w:rFonts w:hint="eastAsia"/>
        </w:rPr>
        <w:tab/>
      </w:r>
      <w:r>
        <w:rPr>
          <w:rFonts w:hint="eastAsia"/>
        </w:rPr>
        <w:t>委员会欢迎机会平等监察员审查学校教科书和其他教育材料。审查发现，书籍材料中的性别陈规定型观念对女童的就业选择和职业机会产生影响，并加剧了薪酬不平等现象。委员会注意到缔约国打算对监察员的建议采取后续行动。委员会还欢迎为学校教科书和培训工具的作者和审查人员举办讲习班，为教师举行关于打击性别陈规定型观念的培训，并采取措施消除性别仇恨言论，包括在社交媒体和互联网上。但委员会仍然感到关切的是，如机会平等监察员开展的调查所示，歧视性的性别陈规定型观念以及带有父权主义和性别歧视色彩的信息依然存在，关于妇女应遵循传统角色和价值观的呼吁仍未断绝，媒体上也有此类声音；《家庭强化法》可能加剧关于家庭和社会中男女角色和责任的歧视性陈规定型观念。</w:t>
      </w:r>
    </w:p>
    <w:p w14:paraId="5198C5B0" w14:textId="77777777" w:rsidR="00F443F8" w:rsidRDefault="00F443F8" w:rsidP="00183E6F">
      <w:pPr>
        <w:pStyle w:val="SingleTxt"/>
      </w:pPr>
      <w:r>
        <w:rPr>
          <w:rFonts w:hint="eastAsia"/>
        </w:rPr>
        <w:t>21.</w:t>
      </w:r>
      <w:r>
        <w:rPr>
          <w:rFonts w:hint="eastAsia"/>
        </w:rPr>
        <w:tab/>
      </w:r>
      <w:r w:rsidRPr="0074733C">
        <w:rPr>
          <w:rFonts w:ascii="黑体" w:eastAsia="黑体" w:hint="eastAsia"/>
        </w:rPr>
        <w:t>委员会建议缔约国：</w:t>
      </w:r>
    </w:p>
    <w:p w14:paraId="6CE4D2A4" w14:textId="77777777" w:rsidR="00F443F8" w:rsidRPr="0074733C" w:rsidRDefault="00F443F8" w:rsidP="00183E6F">
      <w:pPr>
        <w:pStyle w:val="SingleTxt"/>
        <w:rPr>
          <w:rFonts w:eastAsia="黑体"/>
        </w:rPr>
      </w:pPr>
      <w:r>
        <w:tab/>
      </w:r>
      <w:r>
        <w:rPr>
          <w:rFonts w:hint="eastAsia"/>
        </w:rPr>
        <w:t>(a)</w:t>
      </w:r>
      <w:r>
        <w:tab/>
      </w:r>
      <w:r w:rsidRPr="0074733C">
        <w:rPr>
          <w:rFonts w:eastAsia="黑体" w:hint="eastAsia"/>
        </w:rPr>
        <w:t>按照关于执行</w:t>
      </w:r>
      <w:r w:rsidRPr="0074733C">
        <w:rPr>
          <w:rFonts w:eastAsia="黑体" w:hint="eastAsia"/>
        </w:rPr>
        <w:t>2015-2021</w:t>
      </w:r>
      <w:r w:rsidRPr="0074733C">
        <w:rPr>
          <w:rFonts w:eastAsia="黑体" w:hint="eastAsia"/>
        </w:rPr>
        <w:t>年男女机会平等国家方案的</w:t>
      </w:r>
      <w:r w:rsidRPr="0074733C">
        <w:rPr>
          <w:rFonts w:eastAsia="黑体" w:hint="eastAsia"/>
        </w:rPr>
        <w:t>2018-2021</w:t>
      </w:r>
      <w:r w:rsidRPr="0074733C">
        <w:rPr>
          <w:rFonts w:eastAsia="黑体" w:hint="eastAsia"/>
        </w:rPr>
        <w:t>年期间行动计划的设想，加强执行消除教育系统中陈规定型观念的措施，就机会平等监察员对学校材料的审查制定并执行具体的后续行动计划，推动性别问题专家和妇女非政府组织代表参与学校课程评价和改革；</w:t>
      </w:r>
    </w:p>
    <w:p w14:paraId="2171D863" w14:textId="77777777" w:rsidR="00F443F8" w:rsidRPr="0074733C" w:rsidRDefault="00F443F8" w:rsidP="00183E6F">
      <w:pPr>
        <w:pStyle w:val="SingleTxt"/>
        <w:rPr>
          <w:rFonts w:eastAsia="黑体"/>
        </w:rPr>
      </w:pPr>
      <w:r w:rsidRPr="0074733C">
        <w:rPr>
          <w:rFonts w:eastAsia="黑体"/>
        </w:rPr>
        <w:tab/>
      </w:r>
      <w:r w:rsidRPr="0074733C">
        <w:rPr>
          <w:rFonts w:eastAsia="黑体" w:hint="eastAsia"/>
        </w:rPr>
        <w:t>(b)</w:t>
      </w:r>
      <w:r w:rsidRPr="0074733C">
        <w:rPr>
          <w:rFonts w:eastAsia="黑体"/>
        </w:rPr>
        <w:tab/>
      </w:r>
      <w:r w:rsidRPr="0074733C">
        <w:rPr>
          <w:rFonts w:eastAsia="黑体" w:hint="eastAsia"/>
        </w:rPr>
        <w:t>加强执行《平等待遇法》为机会平等监察员规定的任务，即改变男女社会和文化行为模式，以消除关于家庭和社会中男女角色和责任的歧视性陈规定型观念；</w:t>
      </w:r>
    </w:p>
    <w:p w14:paraId="27871CB7" w14:textId="77777777" w:rsidR="00F443F8" w:rsidRPr="0074733C" w:rsidRDefault="00F443F8" w:rsidP="00183E6F">
      <w:pPr>
        <w:pStyle w:val="SingleTxt"/>
        <w:rPr>
          <w:rFonts w:eastAsia="黑体"/>
        </w:rPr>
      </w:pPr>
      <w:r w:rsidRPr="0074733C">
        <w:rPr>
          <w:rFonts w:eastAsia="黑体"/>
        </w:rPr>
        <w:tab/>
      </w:r>
      <w:r w:rsidRPr="0074733C">
        <w:rPr>
          <w:rFonts w:eastAsia="黑体" w:hint="eastAsia"/>
        </w:rPr>
        <w:t>(c)</w:t>
      </w:r>
      <w:r w:rsidRPr="0074733C">
        <w:rPr>
          <w:rFonts w:eastAsia="黑体"/>
        </w:rPr>
        <w:tab/>
      </w:r>
      <w:r w:rsidRPr="0074733C">
        <w:rPr>
          <w:rFonts w:eastAsia="黑体" w:hint="eastAsia"/>
        </w:rPr>
        <w:t>提高媒体机构的认识和能力，包括在广告、媒体报道、社交媒体和广播电视节目中努力打击性别陈规定型观念，加强媒体伦理监察员与机会平等监察员在这方面的合作，使妇女、包括妇女非政府组织代表参与评价和制作广播电视节目内容，以鼓励媒体为妇女塑造积极参与公共和私人生活的正面形象；</w:t>
      </w:r>
    </w:p>
    <w:p w14:paraId="05656EA7" w14:textId="77777777" w:rsidR="00F443F8" w:rsidRDefault="00F443F8" w:rsidP="00183E6F">
      <w:pPr>
        <w:pStyle w:val="SingleTxt"/>
      </w:pPr>
      <w:r w:rsidRPr="0074733C">
        <w:rPr>
          <w:rFonts w:eastAsia="黑体"/>
        </w:rPr>
        <w:tab/>
      </w:r>
      <w:r w:rsidRPr="0074733C">
        <w:rPr>
          <w:rFonts w:eastAsia="黑体" w:hint="eastAsia"/>
        </w:rPr>
        <w:t>(d)</w:t>
      </w:r>
      <w:r w:rsidRPr="0074733C">
        <w:rPr>
          <w:rFonts w:eastAsia="黑体"/>
        </w:rPr>
        <w:tab/>
      </w:r>
      <w:r w:rsidRPr="0074733C">
        <w:rPr>
          <w:rFonts w:eastAsia="黑体" w:hint="eastAsia"/>
        </w:rPr>
        <w:t>研究《家庭强化法》对进一步加深关于家庭和社会中男女角色和责任的歧视性陈规定型观念有何影响，并在下一次定期报告中说明研究结果</w:t>
      </w:r>
      <w:r>
        <w:rPr>
          <w:rFonts w:hint="eastAsia"/>
        </w:rPr>
        <w:t>。</w:t>
      </w:r>
    </w:p>
    <w:p w14:paraId="1F52ABCD" w14:textId="77777777" w:rsidR="00F443F8" w:rsidRPr="0074733C" w:rsidRDefault="00F443F8" w:rsidP="00183E6F">
      <w:pPr>
        <w:pStyle w:val="SingleTxt"/>
        <w:rPr>
          <w:rFonts w:ascii="黑体" w:eastAsia="黑体"/>
        </w:rPr>
      </w:pPr>
      <w:r w:rsidRPr="0074733C">
        <w:rPr>
          <w:rFonts w:ascii="黑体" w:eastAsia="黑体" w:hint="eastAsia"/>
        </w:rPr>
        <w:t>针对妇女的性别暴力</w:t>
      </w:r>
    </w:p>
    <w:p w14:paraId="4195949D" w14:textId="77777777" w:rsidR="00F443F8" w:rsidRDefault="00F443F8" w:rsidP="00183E6F">
      <w:pPr>
        <w:pStyle w:val="SingleTxt"/>
      </w:pPr>
      <w:r>
        <w:rPr>
          <w:rFonts w:hint="eastAsia"/>
        </w:rPr>
        <w:t>22.</w:t>
      </w:r>
      <w:r>
        <w:rPr>
          <w:rFonts w:hint="eastAsia"/>
        </w:rPr>
        <w:tab/>
      </w:r>
      <w:r>
        <w:rPr>
          <w:rFonts w:hint="eastAsia"/>
        </w:rPr>
        <w:t>委员会欢迎缔约国为打击针对妇女的性别暴力、包括性暴力和家庭暴力而采取的立法措施，包括受《伊斯坦布尔公约》启发而采取的措施，如关于盯梢骚扰问题的法律草案。但委员会关切地注意到以下方面：</w:t>
      </w:r>
    </w:p>
    <w:p w14:paraId="22732D45" w14:textId="77777777" w:rsidR="00F443F8" w:rsidRDefault="00F443F8" w:rsidP="00183E6F">
      <w:pPr>
        <w:pStyle w:val="SingleTxt"/>
      </w:pPr>
      <w:r>
        <w:tab/>
      </w:r>
      <w:r>
        <w:rPr>
          <w:rFonts w:hint="eastAsia"/>
        </w:rPr>
        <w:t>(a)</w:t>
      </w:r>
      <w:r>
        <w:tab/>
      </w:r>
      <w:r>
        <w:rPr>
          <w:rFonts w:hint="eastAsia"/>
        </w:rPr>
        <w:t>议会尚未批准缔约国于</w:t>
      </w:r>
      <w:r>
        <w:rPr>
          <w:rFonts w:hint="eastAsia"/>
        </w:rPr>
        <w:t>2013</w:t>
      </w:r>
      <w:r>
        <w:rPr>
          <w:rFonts w:hint="eastAsia"/>
        </w:rPr>
        <w:t>年签署的《伊斯坦布尔公约》；</w:t>
      </w:r>
    </w:p>
    <w:p w14:paraId="379C6890" w14:textId="77777777" w:rsidR="00F443F8" w:rsidRDefault="00F443F8" w:rsidP="00183E6F">
      <w:pPr>
        <w:pStyle w:val="SingleTxt"/>
      </w:pPr>
      <w:r>
        <w:tab/>
      </w:r>
      <w:r>
        <w:rPr>
          <w:rFonts w:hint="eastAsia"/>
        </w:rPr>
        <w:t>(b)</w:t>
      </w:r>
      <w:r>
        <w:tab/>
      </w:r>
      <w:r>
        <w:rPr>
          <w:rFonts w:hint="eastAsia"/>
        </w:rPr>
        <w:t>有关修正《民事纠纷调解法》的法律可能使遭受性别暴力侵害的幸存妇女和女童再次受害；</w:t>
      </w:r>
    </w:p>
    <w:p w14:paraId="06643482" w14:textId="77777777" w:rsidR="00F443F8" w:rsidRDefault="00F443F8" w:rsidP="00183E6F">
      <w:pPr>
        <w:pStyle w:val="SingleTxt"/>
      </w:pPr>
      <w:r>
        <w:tab/>
      </w:r>
      <w:r>
        <w:rPr>
          <w:rFonts w:hint="eastAsia"/>
        </w:rPr>
        <w:t>(c)</w:t>
      </w:r>
      <w:r>
        <w:tab/>
      </w:r>
      <w:r>
        <w:rPr>
          <w:rFonts w:hint="eastAsia"/>
        </w:rPr>
        <w:t>调查当局对针对妇女的性别暴力案件、特别是性暴力和家庭暴力案件处理不当，例如未能完成调查或未能进入刑事诉讼阶段；</w:t>
      </w:r>
    </w:p>
    <w:p w14:paraId="4D3F0AAF" w14:textId="77777777" w:rsidR="00F443F8" w:rsidRDefault="00F443F8" w:rsidP="00183E6F">
      <w:pPr>
        <w:pStyle w:val="SingleTxt"/>
      </w:pPr>
      <w:r>
        <w:tab/>
      </w:r>
      <w:r>
        <w:rPr>
          <w:rFonts w:hint="eastAsia"/>
        </w:rPr>
        <w:t>(d)</w:t>
      </w:r>
      <w:r>
        <w:tab/>
      </w:r>
      <w:r>
        <w:rPr>
          <w:rFonts w:hint="eastAsia"/>
        </w:rPr>
        <w:t>只有在审前调查启动后，警察才能为家庭暴力受害者申请限制性或保护措施；强制执行保护令或监测保护令遵守情况的力度不够，导致家庭暴力事件中的受害妇女可能遭受更多暴力侵害；</w:t>
      </w:r>
    </w:p>
    <w:p w14:paraId="0689C2E7" w14:textId="77777777" w:rsidR="00F443F8" w:rsidRDefault="00F443F8" w:rsidP="00183E6F">
      <w:pPr>
        <w:pStyle w:val="SingleTxt"/>
      </w:pPr>
      <w:r>
        <w:tab/>
      </w:r>
      <w:r>
        <w:rPr>
          <w:rFonts w:hint="eastAsia"/>
        </w:rPr>
        <w:t>(e)</w:t>
      </w:r>
      <w:r>
        <w:tab/>
      </w:r>
      <w:r>
        <w:rPr>
          <w:rFonts w:hint="eastAsia"/>
        </w:rPr>
        <w:t>缺乏单独为家庭暴力受害者设立的民事保护令程序；</w:t>
      </w:r>
    </w:p>
    <w:p w14:paraId="6E06DDE6" w14:textId="77777777" w:rsidR="00F443F8" w:rsidRDefault="00F443F8" w:rsidP="00183E6F">
      <w:pPr>
        <w:pStyle w:val="SingleTxt"/>
      </w:pPr>
      <w:r>
        <w:tab/>
      </w:r>
      <w:r>
        <w:rPr>
          <w:rFonts w:hint="eastAsia"/>
        </w:rPr>
        <w:t>(f)</w:t>
      </w:r>
      <w:r>
        <w:tab/>
      </w:r>
      <w:r>
        <w:rPr>
          <w:rFonts w:hint="eastAsia"/>
        </w:rPr>
        <w:t>性别暴力受害妇女特别援助中心资金不足，农村地区的专门支援中心数目不足。</w:t>
      </w:r>
    </w:p>
    <w:p w14:paraId="187BB36C" w14:textId="39A141C5" w:rsidR="00F443F8" w:rsidRPr="0074733C" w:rsidRDefault="00F443F8" w:rsidP="00183E6F">
      <w:pPr>
        <w:pStyle w:val="SingleTxt"/>
        <w:rPr>
          <w:rFonts w:eastAsia="黑体"/>
        </w:rPr>
      </w:pPr>
      <w:r>
        <w:rPr>
          <w:rFonts w:hint="eastAsia"/>
        </w:rPr>
        <w:t>23.</w:t>
      </w:r>
      <w:r>
        <w:rPr>
          <w:rFonts w:hint="eastAsia"/>
        </w:rPr>
        <w:tab/>
      </w:r>
      <w:r w:rsidRPr="0074733C">
        <w:rPr>
          <w:rFonts w:eastAsia="黑体" w:hint="eastAsia"/>
        </w:rPr>
        <w:t>委员会重申之前的建议</w:t>
      </w:r>
      <w:r w:rsidRPr="0074733C">
        <w:rPr>
          <w:rFonts w:eastAsia="黑体" w:hint="eastAsia"/>
        </w:rPr>
        <w:t>(</w:t>
      </w:r>
      <w:hyperlink r:id="rId26" w:history="1">
        <w:r w:rsidRPr="00A601C7">
          <w:rPr>
            <w:rStyle w:val="af4"/>
            <w:rFonts w:eastAsia="黑体" w:hint="eastAsia"/>
          </w:rPr>
          <w:t>CEDAW/C/LTU/CO/5</w:t>
        </w:r>
      </w:hyperlink>
      <w:r w:rsidRPr="0074733C">
        <w:rPr>
          <w:rFonts w:eastAsia="黑体" w:hint="eastAsia"/>
        </w:rPr>
        <w:t>，第</w:t>
      </w:r>
      <w:r w:rsidRPr="0074733C">
        <w:rPr>
          <w:rFonts w:eastAsia="黑体" w:hint="eastAsia"/>
        </w:rPr>
        <w:t>23</w:t>
      </w:r>
      <w:r w:rsidRPr="0074733C">
        <w:rPr>
          <w:rFonts w:eastAsia="黑体" w:hint="eastAsia"/>
        </w:rPr>
        <w:t>段</w:t>
      </w:r>
      <w:r w:rsidRPr="0074733C">
        <w:rPr>
          <w:rFonts w:eastAsia="黑体" w:hint="eastAsia"/>
        </w:rPr>
        <w:t>)</w:t>
      </w:r>
      <w:r w:rsidRPr="0074733C">
        <w:rPr>
          <w:rFonts w:eastAsia="黑体" w:hint="eastAsia"/>
        </w:rPr>
        <w:t>，回顾关于基于性别的暴力侵害妇女行为的第</w:t>
      </w:r>
      <w:r w:rsidRPr="0074733C">
        <w:rPr>
          <w:rFonts w:eastAsia="黑体" w:hint="eastAsia"/>
        </w:rPr>
        <w:t>35</w:t>
      </w:r>
      <w:r w:rsidRPr="0074733C">
        <w:rPr>
          <w:rFonts w:eastAsia="黑体" w:hint="eastAsia"/>
        </w:rPr>
        <w:t>号一般性建议</w:t>
      </w:r>
      <w:r w:rsidRPr="0074733C">
        <w:rPr>
          <w:rFonts w:eastAsia="黑体" w:hint="eastAsia"/>
        </w:rPr>
        <w:t>(2017</w:t>
      </w:r>
      <w:r w:rsidRPr="0074733C">
        <w:rPr>
          <w:rFonts w:eastAsia="黑体" w:hint="eastAsia"/>
        </w:rPr>
        <w:t>年</w:t>
      </w:r>
      <w:r w:rsidRPr="0074733C">
        <w:rPr>
          <w:rFonts w:eastAsia="黑体" w:hint="eastAsia"/>
        </w:rPr>
        <w:t>)(</w:t>
      </w:r>
      <w:r w:rsidRPr="0074733C">
        <w:rPr>
          <w:rFonts w:eastAsia="黑体" w:hint="eastAsia"/>
        </w:rPr>
        <w:t>更新第</w:t>
      </w:r>
      <w:r w:rsidRPr="0074733C">
        <w:rPr>
          <w:rFonts w:eastAsia="黑体" w:hint="eastAsia"/>
        </w:rPr>
        <w:t>19</w:t>
      </w:r>
      <w:r w:rsidRPr="0074733C">
        <w:rPr>
          <w:rFonts w:eastAsia="黑体" w:hint="eastAsia"/>
        </w:rPr>
        <w:t>号一般性建议</w:t>
      </w:r>
      <w:r w:rsidRPr="0074733C">
        <w:rPr>
          <w:rFonts w:eastAsia="黑体" w:hint="eastAsia"/>
        </w:rPr>
        <w:t>)</w:t>
      </w:r>
      <w:r w:rsidRPr="0074733C">
        <w:rPr>
          <w:rFonts w:eastAsia="黑体" w:hint="eastAsia"/>
        </w:rPr>
        <w:t>，促请缔约国：</w:t>
      </w:r>
    </w:p>
    <w:p w14:paraId="5C9EFB3E" w14:textId="77777777" w:rsidR="00F443F8" w:rsidRPr="0074733C" w:rsidRDefault="00F443F8" w:rsidP="00183E6F">
      <w:pPr>
        <w:pStyle w:val="SingleTxt"/>
        <w:rPr>
          <w:rFonts w:eastAsia="黑体"/>
          <w:spacing w:val="-4"/>
        </w:rPr>
      </w:pPr>
      <w:r>
        <w:rPr>
          <w:rFonts w:eastAsia="黑体"/>
        </w:rPr>
        <w:tab/>
      </w:r>
      <w:r w:rsidRPr="0074733C">
        <w:rPr>
          <w:rFonts w:eastAsia="黑体" w:hint="eastAsia"/>
        </w:rPr>
        <w:t>(a)</w:t>
      </w:r>
      <w:r>
        <w:rPr>
          <w:rFonts w:eastAsia="黑体"/>
        </w:rPr>
        <w:tab/>
      </w:r>
      <w:r w:rsidRPr="0074733C">
        <w:rPr>
          <w:rFonts w:eastAsia="黑体" w:hint="eastAsia"/>
          <w:spacing w:val="-4"/>
        </w:rPr>
        <w:t>在依照《公约》打击针对妇女的性别暴力方面，加快开展持续进行的立法协调工作，包括为此通过关于盯梢骚扰问题的法律草案并批准《伊斯坦布尔公约》；</w:t>
      </w:r>
    </w:p>
    <w:p w14:paraId="5A195E87" w14:textId="77777777" w:rsidR="00F443F8" w:rsidRPr="0074733C" w:rsidRDefault="00F443F8" w:rsidP="00183E6F">
      <w:pPr>
        <w:pStyle w:val="SingleTxt"/>
        <w:rPr>
          <w:rFonts w:eastAsia="黑体"/>
        </w:rPr>
      </w:pPr>
      <w:r>
        <w:rPr>
          <w:rFonts w:eastAsia="黑体"/>
        </w:rPr>
        <w:tab/>
      </w:r>
      <w:r w:rsidRPr="0074733C">
        <w:rPr>
          <w:rFonts w:eastAsia="黑体" w:hint="eastAsia"/>
        </w:rPr>
        <w:t>(b)</w:t>
      </w:r>
      <w:r>
        <w:rPr>
          <w:rFonts w:eastAsia="黑体"/>
        </w:rPr>
        <w:tab/>
      </w:r>
      <w:r w:rsidRPr="0074733C">
        <w:rPr>
          <w:rFonts w:eastAsia="黑体" w:hint="eastAsia"/>
        </w:rPr>
        <w:t>在</w:t>
      </w:r>
      <w:r w:rsidRPr="00646F43">
        <w:rPr>
          <w:rFonts w:eastAsia="黑体" w:hint="eastAsia"/>
          <w:spacing w:val="4"/>
        </w:rPr>
        <w:t>家庭暴力案件的刑事诉讼中优先采用刑事起诉手段，而非和解或调</w:t>
      </w:r>
      <w:r w:rsidRPr="0074733C">
        <w:rPr>
          <w:rFonts w:eastAsia="黑体" w:hint="eastAsia"/>
        </w:rPr>
        <w:t>解，评估新的和解与调解法律是否最终会对遭受家庭暴力侵害的妇女产生负面影响，并在下一次定期报告中说明评估结果；</w:t>
      </w:r>
    </w:p>
    <w:p w14:paraId="1A4C3531" w14:textId="77777777" w:rsidR="00F443F8" w:rsidRPr="0074733C" w:rsidRDefault="00F443F8" w:rsidP="00183E6F">
      <w:pPr>
        <w:pStyle w:val="SingleTxt"/>
        <w:rPr>
          <w:rFonts w:eastAsia="黑体"/>
        </w:rPr>
      </w:pPr>
      <w:r>
        <w:rPr>
          <w:rFonts w:eastAsia="黑体"/>
        </w:rPr>
        <w:tab/>
      </w:r>
      <w:r w:rsidRPr="0074733C">
        <w:rPr>
          <w:rFonts w:eastAsia="黑体" w:hint="eastAsia"/>
        </w:rPr>
        <w:t>(c)</w:t>
      </w:r>
      <w:r>
        <w:rPr>
          <w:rFonts w:eastAsia="黑体"/>
        </w:rPr>
        <w:tab/>
      </w:r>
      <w:r w:rsidRPr="0074733C">
        <w:rPr>
          <w:rFonts w:eastAsia="黑体" w:hint="eastAsia"/>
        </w:rPr>
        <w:t>监测并评估司法机关成员、检察官和警察在性别暴力、包括性暴力和家庭暴力案件中的反应能力，对法官、检察官、警察和其他执法人员强制开展能力建设，使其能够严格适用与针对妇女的性别暴力有关的刑法条款，并掌握对性别问题有敏感认识的调查程序，有效起诉和惩处一切形式性别暴力的施害者；</w:t>
      </w:r>
    </w:p>
    <w:p w14:paraId="78A14B99" w14:textId="77777777" w:rsidR="00F443F8" w:rsidRPr="0074733C" w:rsidRDefault="00F443F8" w:rsidP="00183E6F">
      <w:pPr>
        <w:pStyle w:val="SingleTxt"/>
        <w:rPr>
          <w:rFonts w:eastAsia="黑体"/>
        </w:rPr>
      </w:pPr>
      <w:r>
        <w:rPr>
          <w:rFonts w:eastAsia="黑体"/>
        </w:rPr>
        <w:tab/>
      </w:r>
      <w:r w:rsidRPr="0074733C">
        <w:rPr>
          <w:rFonts w:eastAsia="黑体" w:hint="eastAsia"/>
        </w:rPr>
        <w:t>(d)</w:t>
      </w:r>
      <w:r>
        <w:rPr>
          <w:rFonts w:eastAsia="黑体"/>
        </w:rPr>
        <w:tab/>
      </w:r>
      <w:r w:rsidRPr="0074733C">
        <w:rPr>
          <w:rFonts w:eastAsia="黑体" w:hint="eastAsia"/>
        </w:rPr>
        <w:t>废除警察只有在审前调查启动后才能申请限制性或保护措施的规定，加大力度强制执行此类命令，保护遭受性别暴力侵害的妇女，包括为此对法官、检察官和警察开展能力建设；</w:t>
      </w:r>
    </w:p>
    <w:p w14:paraId="5EDE32A1" w14:textId="77777777" w:rsidR="00F443F8" w:rsidRPr="0074733C" w:rsidRDefault="00F443F8" w:rsidP="00183E6F">
      <w:pPr>
        <w:pStyle w:val="SingleTxt"/>
        <w:rPr>
          <w:rFonts w:eastAsia="黑体"/>
        </w:rPr>
      </w:pPr>
      <w:r>
        <w:rPr>
          <w:rFonts w:eastAsia="黑体"/>
        </w:rPr>
        <w:tab/>
      </w:r>
      <w:r w:rsidRPr="0074733C">
        <w:rPr>
          <w:rFonts w:eastAsia="黑体" w:hint="eastAsia"/>
        </w:rPr>
        <w:t>(e)</w:t>
      </w:r>
      <w:r>
        <w:rPr>
          <w:rFonts w:eastAsia="黑体"/>
        </w:rPr>
        <w:tab/>
      </w:r>
      <w:r w:rsidRPr="0074733C">
        <w:rPr>
          <w:rFonts w:eastAsia="黑体" w:hint="eastAsia"/>
        </w:rPr>
        <w:t>通过相关法律，单独为家庭暴力受害者设立民事保护令程序；</w:t>
      </w:r>
    </w:p>
    <w:p w14:paraId="0D4922AF" w14:textId="77777777" w:rsidR="00F443F8" w:rsidRDefault="00F443F8" w:rsidP="00183E6F">
      <w:pPr>
        <w:pStyle w:val="SingleTxt"/>
        <w:rPr>
          <w:rFonts w:eastAsia="黑体"/>
        </w:rPr>
      </w:pPr>
      <w:r>
        <w:rPr>
          <w:rFonts w:eastAsia="黑体"/>
        </w:rPr>
        <w:tab/>
      </w:r>
      <w:r w:rsidRPr="0074733C">
        <w:rPr>
          <w:rFonts w:eastAsia="黑体" w:hint="eastAsia"/>
        </w:rPr>
        <w:t>(f)</w:t>
      </w:r>
      <w:r>
        <w:rPr>
          <w:rFonts w:eastAsia="黑体"/>
        </w:rPr>
        <w:tab/>
      </w:r>
      <w:r w:rsidRPr="0074733C">
        <w:rPr>
          <w:rFonts w:eastAsia="黑体" w:hint="eastAsia"/>
        </w:rPr>
        <w:t>增加对性别暴力受害妇女特别援助中心的供资，使其能够有效运作，并增加农村地区的专门支援中心数目。</w:t>
      </w:r>
    </w:p>
    <w:p w14:paraId="6E7C9F47" w14:textId="77777777" w:rsidR="00AD0239" w:rsidRPr="00B07D58"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ascii="黑体" w:eastAsia="黑体" w:hAnsi="黑体"/>
        </w:rPr>
      </w:pPr>
      <w:r w:rsidRPr="00B07D58">
        <w:rPr>
          <w:rFonts w:ascii="黑体" w:eastAsia="黑体" w:hAnsi="黑体" w:hint="eastAsia"/>
        </w:rPr>
        <w:t>贩运人口和利用妇女卖淫意图营利</w:t>
      </w:r>
    </w:p>
    <w:p w14:paraId="3DF765CC" w14:textId="77777777" w:rsidR="00AD0239"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pPr>
      <w:r>
        <w:rPr>
          <w:rFonts w:hint="eastAsia"/>
        </w:rPr>
        <w:t>24.</w:t>
      </w:r>
      <w:r>
        <w:tab/>
      </w:r>
      <w:r>
        <w:rPr>
          <w:rFonts w:hint="eastAsia"/>
        </w:rPr>
        <w:t>委员会欢迎缔约国努力打击贩运人口，特别是贩运妇女和女童，包括通过国际合作进行打击。具体而言，委员会欢迎设立负责统计数据收集和发布的国家报告员办公室，成立支持受害者并为相关民间社会组织筹集资金的非政府组织“全国反人口贩运协会”。委员会还注意到，缔约国打算为难民和寻求庇护者接待中心的工作人员组织关于及早识别贩运受害者、特别是无人陪伴的女童和男孩并将其移交适当服务机构的专门培训，并打算通过一项关于在</w:t>
      </w:r>
      <w:r>
        <w:rPr>
          <w:rFonts w:hint="eastAsia"/>
        </w:rPr>
        <w:t>2020-2023</w:t>
      </w:r>
      <w:r>
        <w:rPr>
          <w:rFonts w:hint="eastAsia"/>
        </w:rPr>
        <w:t>年期间打击贩运人口的新的国家行动计划。然而，委员会感到关切的是：</w:t>
      </w:r>
    </w:p>
    <w:p w14:paraId="57091874" w14:textId="77777777" w:rsidR="00AD0239"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pPr>
      <w:r>
        <w:tab/>
      </w:r>
      <w:r>
        <w:rPr>
          <w:rFonts w:hint="eastAsia"/>
        </w:rPr>
        <w:t>(a)</w:t>
      </w:r>
      <w:r>
        <w:tab/>
      </w:r>
      <w:r>
        <w:rPr>
          <w:rFonts w:hint="eastAsia"/>
        </w:rPr>
        <w:t>在调查和审判阶段对包括妇女在内的贩运受害者保护不足，相关政府机构对贩运儿童</w:t>
      </w:r>
      <w:r>
        <w:rPr>
          <w:rFonts w:hint="eastAsia"/>
        </w:rPr>
        <w:t>(</w:t>
      </w:r>
      <w:r>
        <w:rPr>
          <w:rFonts w:hint="eastAsia"/>
        </w:rPr>
        <w:t>包括贩运女童</w:t>
      </w:r>
      <w:r>
        <w:rPr>
          <w:rFonts w:hint="eastAsia"/>
        </w:rPr>
        <w:t>)</w:t>
      </w:r>
      <w:r>
        <w:rPr>
          <w:rFonts w:hint="eastAsia"/>
        </w:rPr>
        <w:t>的指标缺乏了解和理解；</w:t>
      </w:r>
    </w:p>
    <w:p w14:paraId="12FBEFB6" w14:textId="77777777" w:rsidR="00AD0239"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pPr>
      <w:r>
        <w:tab/>
      </w:r>
      <w:r>
        <w:rPr>
          <w:rFonts w:hint="eastAsia"/>
        </w:rPr>
        <w:t>(b)</w:t>
      </w:r>
      <w:r>
        <w:tab/>
      </w:r>
      <w:r>
        <w:rPr>
          <w:rFonts w:hint="eastAsia"/>
        </w:rPr>
        <w:t>受害者识别和移交机制不一致，在农村地区尤其如此；</w:t>
      </w:r>
    </w:p>
    <w:p w14:paraId="6627DD3A" w14:textId="77777777" w:rsidR="00AD0239"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pPr>
      <w:r>
        <w:tab/>
      </w:r>
      <w:r>
        <w:rPr>
          <w:rFonts w:hint="eastAsia"/>
        </w:rPr>
        <w:t>(c)</w:t>
      </w:r>
      <w:r>
        <w:tab/>
      </w:r>
      <w:r>
        <w:rPr>
          <w:rFonts w:hint="eastAsia"/>
        </w:rPr>
        <w:t>贩运者越来越多地通过社交媒体和互联网以失业人员和低收入家庭成员为目标；</w:t>
      </w:r>
    </w:p>
    <w:p w14:paraId="225ED82F" w14:textId="77777777" w:rsidR="00AD0239"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pPr>
      <w:r>
        <w:tab/>
      </w:r>
      <w:r>
        <w:rPr>
          <w:rFonts w:hint="eastAsia"/>
        </w:rPr>
        <w:t>(d)</w:t>
      </w:r>
      <w:r>
        <w:tab/>
      </w:r>
      <w:r>
        <w:rPr>
          <w:rFonts w:hint="eastAsia"/>
        </w:rPr>
        <w:t>缺乏关于对贩运行为人进行调查、起诉和定罪及判刑的数量的全面资料和易于理解的数据。</w:t>
      </w:r>
    </w:p>
    <w:p w14:paraId="2B983BF2" w14:textId="7A64F117" w:rsidR="00AD0239"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pPr>
      <w:r>
        <w:rPr>
          <w:rFonts w:hint="eastAsia"/>
        </w:rPr>
        <w:t>25.</w:t>
      </w:r>
      <w:r>
        <w:tab/>
      </w:r>
      <w:r w:rsidRPr="00B07D58">
        <w:rPr>
          <w:rFonts w:asciiTheme="majorBidi" w:eastAsia="黑体" w:hAnsiTheme="majorBidi" w:cstheme="majorBidi"/>
        </w:rPr>
        <w:t>委员会忆及其此前的建议</w:t>
      </w:r>
      <w:r w:rsidRPr="00B07D58">
        <w:rPr>
          <w:rFonts w:asciiTheme="majorBidi" w:eastAsia="黑体" w:hAnsiTheme="majorBidi" w:cstheme="majorBidi"/>
        </w:rPr>
        <w:t>(</w:t>
      </w:r>
      <w:hyperlink r:id="rId27" w:history="1">
        <w:r w:rsidRPr="00A601C7">
          <w:rPr>
            <w:rStyle w:val="af4"/>
            <w:rFonts w:asciiTheme="majorBidi" w:eastAsia="黑体" w:hAnsiTheme="majorBidi" w:cstheme="majorBidi" w:hint="eastAsia"/>
          </w:rPr>
          <w:t>CEDAW/C/LTU/CO/5</w:t>
        </w:r>
      </w:hyperlink>
      <w:r w:rsidRPr="00B07D58">
        <w:rPr>
          <w:rFonts w:asciiTheme="majorBidi" w:eastAsia="黑体" w:hAnsiTheme="majorBidi" w:cstheme="majorBidi"/>
        </w:rPr>
        <w:t>，第</w:t>
      </w:r>
      <w:r w:rsidRPr="00B07D58">
        <w:rPr>
          <w:rFonts w:asciiTheme="majorBidi" w:eastAsia="黑体" w:hAnsiTheme="majorBidi" w:cstheme="majorBidi"/>
        </w:rPr>
        <w:t>27</w:t>
      </w:r>
      <w:r w:rsidRPr="00B07D58">
        <w:rPr>
          <w:rFonts w:asciiTheme="majorBidi" w:eastAsia="黑体" w:hAnsiTheme="majorBidi" w:cstheme="majorBidi"/>
        </w:rPr>
        <w:t>段</w:t>
      </w:r>
      <w:r w:rsidRPr="00B07D58">
        <w:rPr>
          <w:rFonts w:asciiTheme="majorBidi" w:eastAsia="黑体" w:hAnsiTheme="majorBidi" w:cstheme="majorBidi"/>
        </w:rPr>
        <w:t>)</w:t>
      </w:r>
      <w:r w:rsidRPr="00B07D58">
        <w:rPr>
          <w:rFonts w:asciiTheme="majorBidi" w:eastAsia="黑体" w:hAnsiTheme="majorBidi" w:cstheme="majorBidi"/>
        </w:rPr>
        <w:t>，建议缔约国：</w:t>
      </w:r>
    </w:p>
    <w:p w14:paraId="0A408796" w14:textId="77777777" w:rsidR="00AD0239"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pPr>
      <w:r>
        <w:tab/>
      </w:r>
      <w:r>
        <w:rPr>
          <w:rFonts w:hint="eastAsia"/>
        </w:rPr>
        <w:t>(a)</w:t>
      </w:r>
      <w:r>
        <w:tab/>
      </w:r>
      <w:r w:rsidRPr="00B07D58">
        <w:rPr>
          <w:rFonts w:ascii="黑体" w:eastAsia="黑体" w:hAnsi="黑体" w:hint="eastAsia"/>
        </w:rPr>
        <w:t>继续努力就贩运人口特别是贩运妇女和女童的所有方面加强对法官、检察官、警察、边防卫队、社会工作者、心理学家、儿童保护官员和儿童护理专家进行对性别问题有敏感认识的培训，包括市一级的培训；</w:t>
      </w:r>
    </w:p>
    <w:p w14:paraId="689E42B5" w14:textId="77777777" w:rsidR="00AD0239"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pPr>
      <w:r>
        <w:tab/>
      </w:r>
      <w:r>
        <w:rPr>
          <w:rFonts w:hint="eastAsia"/>
        </w:rPr>
        <w:t>(b)</w:t>
      </w:r>
      <w:r>
        <w:tab/>
      </w:r>
      <w:r w:rsidRPr="00B07D58">
        <w:rPr>
          <w:rFonts w:ascii="黑体" w:eastAsia="黑体" w:hAnsi="黑体" w:hint="eastAsia"/>
        </w:rPr>
        <w:t>改进及早识别贩运受害者特别是受害女童并将其移交适当服务机构的程序，加强受害者和证人保护及支持服务，包括医疗、心理咨询、康复和重返社会方案，无论受害者是否有能力或是否准备与检察当局合作；</w:t>
      </w:r>
    </w:p>
    <w:p w14:paraId="1A7202F5" w14:textId="77777777" w:rsidR="00AD0239"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pPr>
      <w:r>
        <w:tab/>
      </w:r>
      <w:r>
        <w:rPr>
          <w:rFonts w:hint="eastAsia"/>
        </w:rPr>
        <w:t>(c)</w:t>
      </w:r>
      <w:r>
        <w:tab/>
      </w:r>
      <w:r w:rsidRPr="00B07D58">
        <w:rPr>
          <w:rFonts w:ascii="黑体" w:eastAsia="黑体" w:hAnsi="黑体" w:hint="eastAsia"/>
        </w:rPr>
        <w:t>提高对贩运风险(包括通过社交媒体和互联网招募失业和低收入家庭受害者)的认识，包括在学校和家庭提高认识；</w:t>
      </w:r>
    </w:p>
    <w:p w14:paraId="22E82562" w14:textId="77777777" w:rsidR="00AD0239"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pPr>
      <w:r>
        <w:tab/>
      </w:r>
      <w:r>
        <w:rPr>
          <w:rFonts w:hint="eastAsia"/>
        </w:rPr>
        <w:t>(d)</w:t>
      </w:r>
      <w:r>
        <w:tab/>
      </w:r>
      <w:r w:rsidRPr="00B07D58">
        <w:rPr>
          <w:rFonts w:ascii="黑体" w:eastAsia="黑体" w:hAnsi="黑体" w:hint="eastAsia"/>
        </w:rPr>
        <w:t>在下一次定期报告中有效起诉和适当惩处贩运行为人，并提供按性别、年龄、民族血统、就业和社会地位分列的相关统计数据。</w:t>
      </w:r>
    </w:p>
    <w:p w14:paraId="3EEED2CE" w14:textId="77777777" w:rsidR="00AD0239"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pPr>
      <w:r>
        <w:rPr>
          <w:rFonts w:hint="eastAsia"/>
        </w:rPr>
        <w:t>26.</w:t>
      </w:r>
      <w:r>
        <w:tab/>
      </w:r>
      <w:r>
        <w:rPr>
          <w:rFonts w:hint="eastAsia"/>
        </w:rPr>
        <w:t>委员会注意到，《行政犯罪法》规定，可以处罚对卖淫的需求。然而，委员会感到关切的是，缺乏关于缔约国为减少卖淫需求而采取的措施的资料，而且缔约国未针对希望脱离卖淫业的妇女提供退出方案。此外，委员会感到遗憾的是，缺乏关于在卖淫中受到剥削的妇女是否被认定为受害者以及她们的身份</w:t>
      </w:r>
      <w:r>
        <w:rPr>
          <w:rFonts w:hint="eastAsia"/>
        </w:rPr>
        <w:t>(</w:t>
      </w:r>
      <w:r>
        <w:rPr>
          <w:rFonts w:hint="eastAsia"/>
        </w:rPr>
        <w:t>包括在刑事诉讼中被唤作证人的身份</w:t>
      </w:r>
      <w:r>
        <w:rPr>
          <w:rFonts w:hint="eastAsia"/>
        </w:rPr>
        <w:t>)</w:t>
      </w:r>
      <w:r>
        <w:rPr>
          <w:rFonts w:hint="eastAsia"/>
        </w:rPr>
        <w:t>是否受到保护的资料。</w:t>
      </w:r>
    </w:p>
    <w:p w14:paraId="6B19F722" w14:textId="77777777" w:rsidR="00AD0239"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pPr>
      <w:r>
        <w:rPr>
          <w:rFonts w:hint="eastAsia"/>
        </w:rPr>
        <w:t>27.</w:t>
      </w:r>
      <w:r>
        <w:tab/>
      </w:r>
      <w:r w:rsidRPr="00B07D58">
        <w:rPr>
          <w:rFonts w:ascii="黑体" w:eastAsia="黑体" w:hAnsi="黑体" w:hint="eastAsia"/>
        </w:rPr>
        <w:t>委员会建议缔约国为希望脱离卖淫业的妇女提供退出方案，包括协助提供替代性创收机会，并建议缔约国在下一次定期报告中提供资料说明缔约国境内的卖淫程度、为减少卖淫需求采取的措施，使卖淫非刑罪化并承认卖淫妇女为受害者，包括在刑事诉讼中为她们提供证人保护。</w:t>
      </w:r>
    </w:p>
    <w:p w14:paraId="5E2ACC6F" w14:textId="77777777" w:rsidR="00AD0239" w:rsidRPr="00B07D58"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ascii="黑体" w:eastAsia="黑体" w:hAnsi="黑体"/>
        </w:rPr>
      </w:pPr>
      <w:r w:rsidRPr="00B07D58">
        <w:rPr>
          <w:rFonts w:ascii="黑体" w:eastAsia="黑体" w:hAnsi="黑体" w:hint="eastAsia"/>
        </w:rPr>
        <w:t>参与政治和公共生活</w:t>
      </w:r>
    </w:p>
    <w:p w14:paraId="2AF1AC8C" w14:textId="07C771C9" w:rsidR="00AD0239"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pPr>
      <w:r w:rsidRPr="00250448">
        <w:rPr>
          <w:rFonts w:hint="eastAsia"/>
          <w:spacing w:val="-2"/>
        </w:rPr>
        <w:t>28.</w:t>
      </w:r>
      <w:r w:rsidRPr="00250448">
        <w:rPr>
          <w:spacing w:val="-2"/>
        </w:rPr>
        <w:tab/>
      </w:r>
      <w:r w:rsidR="00250448" w:rsidRPr="00250448">
        <w:rPr>
          <w:rFonts w:hint="eastAsia"/>
          <w:spacing w:val="-2"/>
        </w:rPr>
        <w:t>委员会欣见妇女在缔约国公务员制度中有很高的代表比例。委员会还注意到，</w:t>
      </w:r>
      <w:r w:rsidR="00250448" w:rsidRPr="00250448">
        <w:rPr>
          <w:rFonts w:hint="eastAsia"/>
        </w:rPr>
        <w:t>在副部长一级女性占比为</w:t>
      </w:r>
      <w:r w:rsidR="00250448" w:rsidRPr="00250448">
        <w:rPr>
          <w:rFonts w:hint="eastAsia"/>
        </w:rPr>
        <w:t>42%</w:t>
      </w:r>
      <w:r w:rsidR="00250448" w:rsidRPr="00250448">
        <w:rPr>
          <w:rFonts w:hint="eastAsia"/>
        </w:rPr>
        <w:t>，而欧洲议会立陶宛籍议员的女性占比已增加到</w:t>
      </w:r>
      <w:r w:rsidR="00250448" w:rsidRPr="00250448">
        <w:rPr>
          <w:rFonts w:hint="eastAsia"/>
        </w:rPr>
        <w:t>27%</w:t>
      </w:r>
      <w:r w:rsidR="00250448" w:rsidRPr="00250448">
        <w:rPr>
          <w:rFonts w:hint="eastAsia"/>
        </w:rPr>
        <w:t>。委员会还注意到缔约国为促进妇女参与政治生活而采取的措施，例如组织关于女性领导力的活动、生活</w:t>
      </w:r>
      <w:r w:rsidR="00250448" w:rsidRPr="00250448">
        <w:rPr>
          <w:rFonts w:hint="eastAsia"/>
        </w:rPr>
        <w:t>-</w:t>
      </w:r>
      <w:r w:rsidR="00250448" w:rsidRPr="00250448">
        <w:rPr>
          <w:rFonts w:hint="eastAsia"/>
        </w:rPr>
        <w:t>工作平衡倡议以及促进对妇女友好的工作环境。然而，委员会感到关切的是，</w:t>
      </w:r>
      <w:r w:rsidR="00250448" w:rsidRPr="00250448">
        <w:rPr>
          <w:rFonts w:hint="eastAsia"/>
        </w:rPr>
        <w:t>14</w:t>
      </w:r>
      <w:r w:rsidR="00250448" w:rsidRPr="00250448">
        <w:rPr>
          <w:rFonts w:hint="eastAsia"/>
        </w:rPr>
        <w:t>名部长中只有</w:t>
      </w:r>
      <w:r w:rsidR="00250448" w:rsidRPr="00250448">
        <w:rPr>
          <w:rFonts w:hint="eastAsia"/>
        </w:rPr>
        <w:t>1</w:t>
      </w:r>
      <w:r w:rsidR="00250448" w:rsidRPr="00250448">
        <w:rPr>
          <w:rFonts w:hint="eastAsia"/>
        </w:rPr>
        <w:t>名是女性，而且只有一个政党对最近全国选举的女性候选人提名实行了自愿配额。最后，委员会注意到缔约国的解释，即阻碍女性获得公共部门决策性职位的障碍一直在减少，尽管速度没有预期的那么快。</w:t>
      </w:r>
    </w:p>
    <w:p w14:paraId="147531C2" w14:textId="0D81E6FC" w:rsidR="00AD0239" w:rsidRPr="00B07D58"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asciiTheme="majorBidi" w:eastAsia="黑体" w:hAnsiTheme="majorBidi" w:cstheme="majorBidi"/>
        </w:rPr>
      </w:pPr>
      <w:r>
        <w:rPr>
          <w:rFonts w:hint="eastAsia"/>
        </w:rPr>
        <w:t>29.</w:t>
      </w:r>
      <w:r>
        <w:tab/>
      </w:r>
      <w:r w:rsidRPr="00B07D58">
        <w:rPr>
          <w:rFonts w:asciiTheme="majorBidi" w:eastAsia="黑体" w:hAnsiTheme="majorBidi" w:cstheme="majorBidi"/>
        </w:rPr>
        <w:t>委员会重申其先前的建议</w:t>
      </w:r>
      <w:r w:rsidRPr="00B07D58">
        <w:rPr>
          <w:rFonts w:asciiTheme="majorBidi" w:eastAsia="黑体" w:hAnsiTheme="majorBidi" w:cstheme="majorBidi"/>
        </w:rPr>
        <w:t>(</w:t>
      </w:r>
      <w:hyperlink r:id="rId28" w:history="1">
        <w:r w:rsidRPr="00A601C7">
          <w:rPr>
            <w:rStyle w:val="af4"/>
            <w:rFonts w:asciiTheme="majorBidi" w:eastAsia="黑体" w:hAnsiTheme="majorBidi" w:cstheme="majorBidi" w:hint="eastAsia"/>
          </w:rPr>
          <w:t>CEDAW/C/LTU/CO/5</w:t>
        </w:r>
      </w:hyperlink>
      <w:r w:rsidRPr="00B07D58">
        <w:rPr>
          <w:rFonts w:asciiTheme="majorBidi" w:eastAsia="黑体" w:hAnsiTheme="majorBidi" w:cstheme="majorBidi"/>
        </w:rPr>
        <w:t>，第</w:t>
      </w:r>
      <w:r w:rsidRPr="00B07D58">
        <w:rPr>
          <w:rFonts w:asciiTheme="majorBidi" w:eastAsia="黑体" w:hAnsiTheme="majorBidi" w:cstheme="majorBidi"/>
        </w:rPr>
        <w:t>29</w:t>
      </w:r>
      <w:r w:rsidRPr="00B07D58">
        <w:rPr>
          <w:rFonts w:asciiTheme="majorBidi" w:eastAsia="黑体" w:hAnsiTheme="majorBidi" w:cstheme="majorBidi"/>
        </w:rPr>
        <w:t>段</w:t>
      </w:r>
      <w:r w:rsidRPr="00B07D58">
        <w:rPr>
          <w:rFonts w:asciiTheme="majorBidi" w:eastAsia="黑体" w:hAnsiTheme="majorBidi" w:cstheme="majorBidi"/>
        </w:rPr>
        <w:t>)</w:t>
      </w:r>
      <w:r w:rsidRPr="00B07D58">
        <w:rPr>
          <w:rFonts w:asciiTheme="majorBidi" w:eastAsia="黑体" w:hAnsiTheme="majorBidi" w:cstheme="majorBidi"/>
        </w:rPr>
        <w:t>，建议缔约国根据委员会关于妇女参与政治和公共生活的第</w:t>
      </w:r>
      <w:r w:rsidRPr="00B07D58">
        <w:rPr>
          <w:rFonts w:asciiTheme="majorBidi" w:eastAsia="黑体" w:hAnsiTheme="majorBidi" w:cstheme="majorBidi"/>
        </w:rPr>
        <w:t>23</w:t>
      </w:r>
      <w:r w:rsidRPr="00B07D58">
        <w:rPr>
          <w:rFonts w:asciiTheme="majorBidi" w:eastAsia="黑体" w:hAnsiTheme="majorBidi" w:cstheme="majorBidi"/>
        </w:rPr>
        <w:t>号一般性建议</w:t>
      </w:r>
      <w:r w:rsidRPr="00B07D58">
        <w:rPr>
          <w:rFonts w:asciiTheme="majorBidi" w:eastAsia="黑体" w:hAnsiTheme="majorBidi" w:cstheme="majorBidi"/>
        </w:rPr>
        <w:t>(1997</w:t>
      </w:r>
      <w:r w:rsidRPr="00B07D58">
        <w:rPr>
          <w:rFonts w:asciiTheme="majorBidi" w:eastAsia="黑体" w:hAnsiTheme="majorBidi" w:cstheme="majorBidi"/>
        </w:rPr>
        <w:t>年</w:t>
      </w:r>
      <w:r w:rsidRPr="00B07D58">
        <w:rPr>
          <w:rFonts w:asciiTheme="majorBidi" w:eastAsia="黑体" w:hAnsiTheme="majorBidi" w:cstheme="majorBidi"/>
        </w:rPr>
        <w:t>)</w:t>
      </w:r>
      <w:r w:rsidRPr="00B07D58">
        <w:rPr>
          <w:rFonts w:asciiTheme="majorBidi" w:eastAsia="黑体" w:hAnsiTheme="majorBidi" w:cstheme="majorBidi"/>
        </w:rPr>
        <w:t>，进一步努力提高妇女在政治生活中的代表比例，并采取临时特别措施，包括设置政党和市政领导女性候选人配额，以增加妇女特别是农村妇女、少数民族妇女和残疾妇女以及城市妇女在政治和公共生活中的参与，包括获得最高外交地位的妇女和代表国家的具有外交身份的妇女在政治和公共生活中的参与。</w:t>
      </w:r>
    </w:p>
    <w:p w14:paraId="6F028A1C" w14:textId="77777777" w:rsidR="00AD0239" w:rsidRPr="00B07D58"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asciiTheme="majorBidi" w:eastAsia="黑体" w:hAnsiTheme="majorBidi" w:cstheme="majorBidi"/>
        </w:rPr>
      </w:pPr>
      <w:r w:rsidRPr="00B07D58">
        <w:rPr>
          <w:rFonts w:asciiTheme="majorBidi" w:eastAsia="黑体" w:hAnsiTheme="majorBidi" w:cstheme="majorBidi"/>
        </w:rPr>
        <w:t>妇女与和平与安全</w:t>
      </w:r>
    </w:p>
    <w:p w14:paraId="4F793B93" w14:textId="77777777" w:rsidR="00AD0239"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pPr>
      <w:r>
        <w:rPr>
          <w:rFonts w:hint="eastAsia"/>
        </w:rPr>
        <w:t>30.</w:t>
      </w:r>
      <w:r>
        <w:tab/>
      </w:r>
      <w:r>
        <w:rPr>
          <w:rFonts w:hint="eastAsia"/>
        </w:rPr>
        <w:t>委员会欢迎缔约国参加联合国主持的一些非正式之友小组。委员会注意到，立陶宛目前正在起草关于执行安全理事会妇女与和平与安全议程的第二个国家行动计划，参加维持和平行动的立陶宛人中有</w:t>
      </w:r>
      <w:r>
        <w:rPr>
          <w:rFonts w:hint="eastAsia"/>
        </w:rPr>
        <w:t>3.5%</w:t>
      </w:r>
      <w:r>
        <w:rPr>
          <w:rFonts w:hint="eastAsia"/>
        </w:rPr>
        <w:t>是妇女。</w:t>
      </w:r>
    </w:p>
    <w:p w14:paraId="78EF435A" w14:textId="1ACA05D8" w:rsidR="00AD0239" w:rsidRPr="00B07D58"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asciiTheme="majorBidi" w:eastAsia="黑体" w:hAnsiTheme="majorBidi" w:cstheme="majorBidi"/>
        </w:rPr>
      </w:pPr>
      <w:r>
        <w:rPr>
          <w:rFonts w:hint="eastAsia"/>
        </w:rPr>
        <w:t>31.</w:t>
      </w:r>
      <w:r>
        <w:tab/>
      </w:r>
      <w:r w:rsidRPr="00B07D58">
        <w:rPr>
          <w:rFonts w:asciiTheme="majorBidi" w:eastAsia="黑体" w:hAnsiTheme="majorBidi" w:cstheme="majorBidi"/>
        </w:rPr>
        <w:t>委员会建议缔约国与妇女组织的代表合作，为完成执行安全理事会第</w:t>
      </w:r>
      <w:hyperlink r:id="rId29" w:history="1">
        <w:r w:rsidRPr="00A601C7">
          <w:rPr>
            <w:rStyle w:val="af4"/>
            <w:rFonts w:asciiTheme="majorBidi" w:eastAsia="黑体" w:hAnsiTheme="majorBidi" w:cstheme="majorBidi" w:hint="eastAsia"/>
          </w:rPr>
          <w:t>1325(2000)</w:t>
        </w:r>
      </w:hyperlink>
      <w:r w:rsidRPr="00B07D58">
        <w:rPr>
          <w:rFonts w:asciiTheme="majorBidi" w:eastAsia="黑体" w:hAnsiTheme="majorBidi" w:cstheme="majorBidi"/>
        </w:rPr>
        <w:t>号决议的第二个国家行动计划的定稿制定明确的时间表，并确保考虑到安全理事会第</w:t>
      </w:r>
      <w:hyperlink r:id="rId30" w:history="1">
        <w:r w:rsidRPr="00A601C7">
          <w:rPr>
            <w:rStyle w:val="af4"/>
            <w:rFonts w:asciiTheme="majorBidi" w:eastAsia="黑体" w:hAnsiTheme="majorBidi" w:cstheme="majorBidi" w:hint="eastAsia"/>
          </w:rPr>
          <w:t>1820(2008)</w:t>
        </w:r>
      </w:hyperlink>
      <w:r w:rsidRPr="00B07D58">
        <w:rPr>
          <w:rFonts w:asciiTheme="majorBidi" w:eastAsia="黑体" w:hAnsiTheme="majorBidi" w:cstheme="majorBidi"/>
        </w:rPr>
        <w:t>、</w:t>
      </w:r>
      <w:hyperlink r:id="rId31" w:history="1">
        <w:r w:rsidRPr="00A601C7">
          <w:rPr>
            <w:rStyle w:val="af4"/>
            <w:rFonts w:asciiTheme="majorBidi" w:eastAsia="黑体" w:hAnsiTheme="majorBidi" w:cstheme="majorBidi" w:hint="eastAsia"/>
          </w:rPr>
          <w:t>1888(2009)</w:t>
        </w:r>
      </w:hyperlink>
      <w:r w:rsidRPr="00B07D58">
        <w:rPr>
          <w:rFonts w:asciiTheme="majorBidi" w:eastAsia="黑体" w:hAnsiTheme="majorBidi" w:cstheme="majorBidi"/>
        </w:rPr>
        <w:t>、</w:t>
      </w:r>
      <w:hyperlink r:id="rId32" w:history="1">
        <w:r w:rsidRPr="00A601C7">
          <w:rPr>
            <w:rStyle w:val="af4"/>
            <w:rFonts w:asciiTheme="majorBidi" w:eastAsia="黑体" w:hAnsiTheme="majorBidi" w:cstheme="majorBidi" w:hint="eastAsia"/>
          </w:rPr>
          <w:t>1889(2009)</w:t>
        </w:r>
      </w:hyperlink>
      <w:r w:rsidRPr="00B07D58">
        <w:rPr>
          <w:rFonts w:asciiTheme="majorBidi" w:eastAsia="黑体" w:hAnsiTheme="majorBidi" w:cstheme="majorBidi"/>
        </w:rPr>
        <w:t>、</w:t>
      </w:r>
      <w:hyperlink r:id="rId33" w:history="1">
        <w:r w:rsidRPr="00A601C7">
          <w:rPr>
            <w:rStyle w:val="af4"/>
            <w:rFonts w:asciiTheme="majorBidi" w:eastAsia="黑体" w:hAnsiTheme="majorBidi" w:cstheme="majorBidi" w:hint="eastAsia"/>
          </w:rPr>
          <w:t>1960(2010)</w:t>
        </w:r>
      </w:hyperlink>
      <w:r w:rsidRPr="00B07D58">
        <w:rPr>
          <w:rFonts w:asciiTheme="majorBidi" w:eastAsia="黑体" w:hAnsiTheme="majorBidi" w:cstheme="majorBidi"/>
        </w:rPr>
        <w:t>、</w:t>
      </w:r>
      <w:hyperlink r:id="rId34" w:history="1">
        <w:r w:rsidRPr="00A601C7">
          <w:rPr>
            <w:rStyle w:val="af4"/>
            <w:rFonts w:asciiTheme="majorBidi" w:eastAsia="黑体" w:hAnsiTheme="majorBidi" w:cstheme="majorBidi" w:hint="eastAsia"/>
          </w:rPr>
          <w:t>2106(2013)</w:t>
        </w:r>
      </w:hyperlink>
      <w:r w:rsidRPr="00B07D58">
        <w:rPr>
          <w:rFonts w:asciiTheme="majorBidi" w:eastAsia="黑体" w:hAnsiTheme="majorBidi" w:cstheme="majorBidi"/>
        </w:rPr>
        <w:t>、</w:t>
      </w:r>
      <w:hyperlink r:id="rId35" w:history="1">
        <w:r w:rsidRPr="00A601C7">
          <w:rPr>
            <w:rStyle w:val="af4"/>
            <w:rFonts w:asciiTheme="majorBidi" w:eastAsia="黑体" w:hAnsiTheme="majorBidi" w:cstheme="majorBidi" w:hint="eastAsia"/>
          </w:rPr>
          <w:t>2122(2013)</w:t>
        </w:r>
      </w:hyperlink>
      <w:r w:rsidRPr="00B07D58">
        <w:rPr>
          <w:rFonts w:asciiTheme="majorBidi" w:eastAsia="黑体" w:hAnsiTheme="majorBidi" w:cstheme="majorBidi"/>
        </w:rPr>
        <w:t>、</w:t>
      </w:r>
      <w:hyperlink r:id="rId36" w:history="1">
        <w:r w:rsidRPr="00A601C7">
          <w:rPr>
            <w:rStyle w:val="af4"/>
            <w:rFonts w:asciiTheme="majorBidi" w:eastAsia="黑体" w:hAnsiTheme="majorBidi" w:cstheme="majorBidi" w:hint="eastAsia"/>
          </w:rPr>
          <w:t>2242(2015)</w:t>
        </w:r>
      </w:hyperlink>
      <w:r w:rsidRPr="00B07D58">
        <w:rPr>
          <w:rFonts w:asciiTheme="majorBidi" w:eastAsia="黑体" w:hAnsiTheme="majorBidi" w:cstheme="majorBidi"/>
        </w:rPr>
        <w:t>、</w:t>
      </w:r>
      <w:hyperlink r:id="rId37" w:history="1">
        <w:r w:rsidRPr="00A601C7">
          <w:rPr>
            <w:rStyle w:val="af4"/>
            <w:rFonts w:asciiTheme="majorBidi" w:eastAsia="黑体" w:hAnsiTheme="majorBidi" w:cstheme="majorBidi" w:hint="eastAsia"/>
          </w:rPr>
          <w:t>2467(2019)</w:t>
        </w:r>
      </w:hyperlink>
      <w:r w:rsidRPr="00B07D58">
        <w:rPr>
          <w:rFonts w:asciiTheme="majorBidi" w:eastAsia="黑体" w:hAnsiTheme="majorBidi" w:cstheme="majorBidi"/>
        </w:rPr>
        <w:t>和</w:t>
      </w:r>
      <w:hyperlink r:id="rId38" w:history="1">
        <w:r w:rsidRPr="00A601C7">
          <w:rPr>
            <w:rStyle w:val="af4"/>
            <w:rFonts w:asciiTheme="majorBidi" w:eastAsia="黑体" w:hAnsiTheme="majorBidi" w:cstheme="majorBidi" w:hint="eastAsia"/>
          </w:rPr>
          <w:t>2493(2019)</w:t>
        </w:r>
      </w:hyperlink>
      <w:r w:rsidRPr="00B07D58">
        <w:rPr>
          <w:rFonts w:asciiTheme="majorBidi" w:eastAsia="黑体" w:hAnsiTheme="majorBidi" w:cstheme="majorBidi"/>
        </w:rPr>
        <w:t>号决议所反映的安全理事会妇女与和平与安全议程的全部内容。</w:t>
      </w:r>
    </w:p>
    <w:p w14:paraId="0DF7C271" w14:textId="77777777" w:rsidR="00AD0239" w:rsidRPr="00B07D58"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asciiTheme="majorBidi" w:eastAsia="黑体" w:hAnsiTheme="majorBidi" w:cstheme="majorBidi"/>
        </w:rPr>
      </w:pPr>
      <w:r w:rsidRPr="00B07D58">
        <w:rPr>
          <w:rFonts w:asciiTheme="majorBidi" w:eastAsia="黑体" w:hAnsiTheme="majorBidi" w:cstheme="majorBidi"/>
        </w:rPr>
        <w:t>国籍</w:t>
      </w:r>
    </w:p>
    <w:p w14:paraId="74EB2E82" w14:textId="77777777" w:rsidR="00AD0239"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pPr>
      <w:r>
        <w:rPr>
          <w:rFonts w:hint="eastAsia"/>
        </w:rPr>
        <w:t>32.</w:t>
      </w:r>
      <w:r>
        <w:tab/>
      </w:r>
      <w:r>
        <w:rPr>
          <w:rFonts w:hint="eastAsia"/>
        </w:rPr>
        <w:t>委员会欣见自</w:t>
      </w:r>
      <w:r>
        <w:rPr>
          <w:rFonts w:hint="eastAsia"/>
        </w:rPr>
        <w:t>2012</w:t>
      </w:r>
      <w:r>
        <w:rPr>
          <w:rFonts w:hint="eastAsia"/>
        </w:rPr>
        <w:t>年以来包括无国籍妇女在内的无国籍人人数在缔约国境内稳步减少，并注意到立陶宛妇女可以将其国籍转给其外国丈夫。然而，委员会感到关切的是，国籍法对性别问题保持中立，而且缔约国没有按照以前的建议对立法进行任何修改。</w:t>
      </w:r>
    </w:p>
    <w:p w14:paraId="7D6419AC" w14:textId="534EE92A" w:rsidR="00AD0239" w:rsidRPr="00B07D58"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asciiTheme="majorBidi" w:eastAsia="黑体" w:hAnsiTheme="majorBidi" w:cstheme="majorBidi"/>
        </w:rPr>
      </w:pPr>
      <w:r>
        <w:rPr>
          <w:rFonts w:hint="eastAsia"/>
        </w:rPr>
        <w:t>33.</w:t>
      </w:r>
      <w:r>
        <w:tab/>
      </w:r>
      <w:r w:rsidRPr="00B07D58">
        <w:rPr>
          <w:rFonts w:asciiTheme="majorBidi" w:eastAsia="黑体" w:hAnsiTheme="majorBidi" w:cstheme="majorBidi"/>
        </w:rPr>
        <w:t>委员会重申其先前的建议</w:t>
      </w:r>
      <w:r w:rsidRPr="00B07D58">
        <w:rPr>
          <w:rFonts w:asciiTheme="majorBidi" w:eastAsia="黑体" w:hAnsiTheme="majorBidi" w:cstheme="majorBidi"/>
        </w:rPr>
        <w:t>(</w:t>
      </w:r>
      <w:hyperlink r:id="rId39" w:history="1">
        <w:r w:rsidRPr="00A601C7">
          <w:rPr>
            <w:rStyle w:val="af4"/>
            <w:rFonts w:asciiTheme="majorBidi" w:eastAsia="黑体" w:hAnsiTheme="majorBidi" w:cstheme="majorBidi" w:hint="eastAsia"/>
          </w:rPr>
          <w:t>CEDAW/C/LTU/CO/5</w:t>
        </w:r>
      </w:hyperlink>
      <w:r w:rsidRPr="00B07D58">
        <w:rPr>
          <w:rFonts w:asciiTheme="majorBidi" w:eastAsia="黑体" w:hAnsiTheme="majorBidi" w:cstheme="majorBidi"/>
        </w:rPr>
        <w:t>，第</w:t>
      </w:r>
      <w:r w:rsidRPr="00B07D58">
        <w:rPr>
          <w:rFonts w:asciiTheme="majorBidi" w:eastAsia="黑体" w:hAnsiTheme="majorBidi" w:cstheme="majorBidi"/>
        </w:rPr>
        <w:t>31</w:t>
      </w:r>
      <w:r w:rsidRPr="00B07D58">
        <w:rPr>
          <w:rFonts w:asciiTheme="majorBidi" w:eastAsia="黑体" w:hAnsiTheme="majorBidi" w:cstheme="majorBidi"/>
        </w:rPr>
        <w:t>段</w:t>
      </w:r>
      <w:r w:rsidRPr="00B07D58">
        <w:rPr>
          <w:rFonts w:asciiTheme="majorBidi" w:eastAsia="黑体" w:hAnsiTheme="majorBidi" w:cstheme="majorBidi"/>
        </w:rPr>
        <w:t>)</w:t>
      </w:r>
      <w:r w:rsidRPr="00B07D58">
        <w:rPr>
          <w:rFonts w:asciiTheme="majorBidi" w:eastAsia="黑体" w:hAnsiTheme="majorBidi" w:cstheme="majorBidi"/>
        </w:rPr>
        <w:t>，鼓励缔约国修订国家立法，规定自动授予在立陶宛出生的所有儿童</w:t>
      </w:r>
      <w:r w:rsidRPr="00B07D58">
        <w:rPr>
          <w:rFonts w:asciiTheme="majorBidi" w:eastAsia="黑体" w:hAnsiTheme="majorBidi" w:cstheme="majorBidi"/>
        </w:rPr>
        <w:t>(</w:t>
      </w:r>
      <w:r w:rsidRPr="00B07D58">
        <w:rPr>
          <w:rFonts w:asciiTheme="majorBidi" w:eastAsia="黑体" w:hAnsiTheme="majorBidi" w:cstheme="majorBidi"/>
        </w:rPr>
        <w:t>包括否则将是无国籍的罗姆儿童</w:t>
      </w:r>
      <w:r w:rsidRPr="00B07D58">
        <w:rPr>
          <w:rFonts w:asciiTheme="majorBidi" w:eastAsia="黑体" w:hAnsiTheme="majorBidi" w:cstheme="majorBidi"/>
        </w:rPr>
        <w:t>)</w:t>
      </w:r>
      <w:r w:rsidRPr="00B07D58">
        <w:rPr>
          <w:rFonts w:asciiTheme="majorBidi" w:eastAsia="黑体" w:hAnsiTheme="majorBidi" w:cstheme="majorBidi"/>
        </w:rPr>
        <w:t>国籍，并使其国籍法符合</w:t>
      </w:r>
      <w:r w:rsidRPr="00B07D58">
        <w:rPr>
          <w:rFonts w:asciiTheme="majorBidi" w:eastAsia="黑体" w:hAnsiTheme="majorBidi" w:cstheme="majorBidi"/>
        </w:rPr>
        <w:t>1961</w:t>
      </w:r>
      <w:r w:rsidRPr="00B07D58">
        <w:rPr>
          <w:rFonts w:asciiTheme="majorBidi" w:eastAsia="黑体" w:hAnsiTheme="majorBidi" w:cstheme="majorBidi"/>
        </w:rPr>
        <w:t>年《减少无国籍状态公约》。委员会还建议缔约国具体通过向涉足这一议题的所有官员提供关于对性别问题敏感和性别平等的培训，确保妇女的国籍权不因国籍法对性别问题持中立态度而受到任何影响。</w:t>
      </w:r>
    </w:p>
    <w:p w14:paraId="0439E3C8" w14:textId="77777777" w:rsidR="00AD0239" w:rsidRPr="00B07D58"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asciiTheme="majorBidi" w:eastAsia="黑体" w:hAnsiTheme="majorBidi" w:cstheme="majorBidi"/>
        </w:rPr>
      </w:pPr>
      <w:r w:rsidRPr="00B07D58">
        <w:rPr>
          <w:rFonts w:asciiTheme="majorBidi" w:eastAsia="黑体" w:hAnsiTheme="majorBidi" w:cstheme="majorBidi"/>
        </w:rPr>
        <w:t>教育</w:t>
      </w:r>
    </w:p>
    <w:p w14:paraId="3BE432B8" w14:textId="77777777" w:rsidR="00AD0239"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pPr>
      <w:r>
        <w:rPr>
          <w:rFonts w:hint="eastAsia"/>
        </w:rPr>
        <w:t>34.</w:t>
      </w:r>
      <w:r>
        <w:tab/>
      </w:r>
      <w:r>
        <w:rPr>
          <w:rFonts w:hint="eastAsia"/>
        </w:rPr>
        <w:t>委员会欣见缔约国在</w:t>
      </w:r>
      <w:r>
        <w:rPr>
          <w:rFonts w:hint="eastAsia"/>
        </w:rPr>
        <w:t>2019</w:t>
      </w:r>
      <w:r>
        <w:rPr>
          <w:rFonts w:hint="eastAsia"/>
        </w:rPr>
        <w:t>年设立国家教育局，该机构还获得授权促进性别平等和打击性别陈规定型观念，并欢迎缔约国启动旨在改善包括女童在内的小学生学习成绩的“质量篮子”项目。委员会还注意到，缔约国大学中女性研究人员的比例很高，而且在以前男性占主导地位的研究领域注册的女生人数不断增加。然而，委员会仍然感到关切的是，担任学术领导职位的女性人数很少。委员会感到遗憾的是，报告中没有资料说明做了哪些努力来改善将属于少数群体的女童特别是罗姆女童和残疾女童纳入学校的情况，也没有资料说明</w:t>
      </w:r>
      <w:r>
        <w:rPr>
          <w:rFonts w:hint="eastAsia"/>
        </w:rPr>
        <w:t>2017</w:t>
      </w:r>
      <w:r>
        <w:rPr>
          <w:rFonts w:hint="eastAsia"/>
        </w:rPr>
        <w:t>年开展的高等教育改革在满足劳动力市场对妇女的需求</w:t>
      </w:r>
      <w:r>
        <w:rPr>
          <w:rFonts w:hint="eastAsia"/>
        </w:rPr>
        <w:t>(</w:t>
      </w:r>
      <w:r>
        <w:rPr>
          <w:rFonts w:hint="eastAsia"/>
        </w:rPr>
        <w:t>包括重组妇女职业培训方案的需要</w:t>
      </w:r>
      <w:r>
        <w:rPr>
          <w:rFonts w:hint="eastAsia"/>
        </w:rPr>
        <w:t>)</w:t>
      </w:r>
      <w:r>
        <w:rPr>
          <w:rFonts w:hint="eastAsia"/>
        </w:rPr>
        <w:t>方面的影响。</w:t>
      </w:r>
    </w:p>
    <w:p w14:paraId="3C7A8620" w14:textId="1553C4DB" w:rsidR="00AD0239"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pPr>
      <w:r>
        <w:rPr>
          <w:rFonts w:hint="eastAsia"/>
        </w:rPr>
        <w:t>35.</w:t>
      </w:r>
      <w:r>
        <w:tab/>
      </w:r>
      <w:r w:rsidRPr="00B07D58">
        <w:rPr>
          <w:rFonts w:asciiTheme="majorBidi" w:eastAsia="黑体" w:hAnsiTheme="majorBidi" w:cstheme="majorBidi"/>
        </w:rPr>
        <w:t>委员会重申其先前的建议</w:t>
      </w:r>
      <w:r w:rsidRPr="00B07D58">
        <w:rPr>
          <w:rFonts w:asciiTheme="majorBidi" w:eastAsia="黑体" w:hAnsiTheme="majorBidi" w:cstheme="majorBidi"/>
        </w:rPr>
        <w:t>(</w:t>
      </w:r>
      <w:hyperlink r:id="rId40" w:history="1">
        <w:r w:rsidRPr="00A601C7">
          <w:rPr>
            <w:rStyle w:val="af4"/>
            <w:rFonts w:asciiTheme="majorBidi" w:eastAsia="黑体" w:hAnsiTheme="majorBidi" w:cstheme="majorBidi" w:hint="eastAsia"/>
          </w:rPr>
          <w:t>CEDAW/C/LTU/CO/5</w:t>
        </w:r>
      </w:hyperlink>
      <w:r w:rsidRPr="00B07D58">
        <w:rPr>
          <w:rFonts w:asciiTheme="majorBidi" w:eastAsia="黑体" w:hAnsiTheme="majorBidi" w:cstheme="majorBidi"/>
        </w:rPr>
        <w:t>，第</w:t>
      </w:r>
      <w:r w:rsidRPr="00B07D58">
        <w:rPr>
          <w:rFonts w:asciiTheme="majorBidi" w:eastAsia="黑体" w:hAnsiTheme="majorBidi" w:cstheme="majorBidi"/>
        </w:rPr>
        <w:t>33</w:t>
      </w:r>
      <w:r>
        <w:rPr>
          <w:rFonts w:asciiTheme="majorBidi" w:eastAsia="黑体" w:hAnsiTheme="majorBidi" w:cstheme="majorBidi" w:hint="eastAsia"/>
        </w:rPr>
        <w:t>段</w:t>
      </w:r>
      <w:r w:rsidRPr="00B07D58">
        <w:rPr>
          <w:rFonts w:asciiTheme="majorBidi" w:eastAsia="黑体" w:hAnsiTheme="majorBidi" w:cstheme="majorBidi"/>
        </w:rPr>
        <w:t>)</w:t>
      </w:r>
      <w:r w:rsidRPr="00B07D58">
        <w:rPr>
          <w:rFonts w:asciiTheme="majorBidi" w:eastAsia="黑体" w:hAnsiTheme="majorBidi" w:cstheme="majorBidi"/>
        </w:rPr>
        <w:t>，并回顾其关于女童和妇女受教育权的第</w:t>
      </w:r>
      <w:r w:rsidRPr="00B07D58">
        <w:rPr>
          <w:rFonts w:asciiTheme="majorBidi" w:eastAsia="黑体" w:hAnsiTheme="majorBidi" w:cstheme="majorBidi"/>
        </w:rPr>
        <w:t>36</w:t>
      </w:r>
      <w:r w:rsidRPr="00B07D58">
        <w:rPr>
          <w:rFonts w:asciiTheme="majorBidi" w:eastAsia="黑体" w:hAnsiTheme="majorBidi" w:cstheme="majorBidi"/>
        </w:rPr>
        <w:t>号一般性建议</w:t>
      </w:r>
      <w:r w:rsidRPr="00B07D58">
        <w:rPr>
          <w:rFonts w:asciiTheme="majorBidi" w:eastAsia="黑体" w:hAnsiTheme="majorBidi" w:cstheme="majorBidi"/>
        </w:rPr>
        <w:t>(2017</w:t>
      </w:r>
      <w:r w:rsidRPr="00B07D58">
        <w:rPr>
          <w:rFonts w:asciiTheme="majorBidi" w:eastAsia="黑体" w:hAnsiTheme="majorBidi" w:cstheme="majorBidi"/>
        </w:rPr>
        <w:t>年</w:t>
      </w:r>
      <w:r w:rsidRPr="00B07D58">
        <w:rPr>
          <w:rFonts w:asciiTheme="majorBidi" w:eastAsia="黑体" w:hAnsiTheme="majorBidi" w:cstheme="majorBidi"/>
        </w:rPr>
        <w:t>)</w:t>
      </w:r>
      <w:r w:rsidRPr="00B07D58">
        <w:rPr>
          <w:rFonts w:asciiTheme="majorBidi" w:eastAsia="黑体" w:hAnsiTheme="majorBidi" w:cstheme="majorBidi"/>
        </w:rPr>
        <w:t>，建议缔约国提高女童和男童、父母、教师和政治领导人对女童各级教育作为增强女童权能基础的重要性的认识，并建议缔约国：</w:t>
      </w:r>
    </w:p>
    <w:p w14:paraId="437845D4" w14:textId="77777777" w:rsidR="00AD0239"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pPr>
      <w:r>
        <w:tab/>
      </w:r>
      <w:r>
        <w:rPr>
          <w:rFonts w:hint="eastAsia"/>
        </w:rPr>
        <w:t>(a)</w:t>
      </w:r>
      <w:r>
        <w:tab/>
      </w:r>
      <w:r w:rsidRPr="00B07D58">
        <w:rPr>
          <w:rFonts w:ascii="黑体" w:eastAsia="黑体" w:hAnsi="黑体" w:hint="eastAsia"/>
        </w:rPr>
        <w:t>继续采取措施，消除歧视性的性别陈规定型观念和结构性障碍，这些障碍可能阻碍女童在各级教育中选择非传统的学习领域和职业道路；</w:t>
      </w:r>
    </w:p>
    <w:p w14:paraId="781BA570" w14:textId="77777777" w:rsidR="00AD0239"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pPr>
      <w:r>
        <w:tab/>
      </w:r>
      <w:r>
        <w:rPr>
          <w:rFonts w:hint="eastAsia"/>
        </w:rPr>
        <w:t>(b)</w:t>
      </w:r>
      <w:r>
        <w:tab/>
      </w:r>
      <w:r w:rsidRPr="00B07D58">
        <w:rPr>
          <w:rFonts w:ascii="黑体" w:eastAsia="黑体" w:hAnsi="黑体" w:hint="eastAsia"/>
        </w:rPr>
        <w:t>考虑采取暂行特别措施，如征聘和提拔时给予妇女优惠待遇，以加快任命她们担任高级学术管理职位；</w:t>
      </w:r>
    </w:p>
    <w:p w14:paraId="57A6A835" w14:textId="77777777" w:rsidR="00AD0239"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pPr>
      <w:r>
        <w:tab/>
      </w:r>
      <w:r>
        <w:rPr>
          <w:rFonts w:hint="eastAsia"/>
        </w:rPr>
        <w:t>(c)</w:t>
      </w:r>
      <w:r>
        <w:tab/>
      </w:r>
      <w:r w:rsidRPr="00B07D58">
        <w:rPr>
          <w:rFonts w:ascii="黑体" w:eastAsia="黑体" w:hAnsi="黑体" w:hint="eastAsia"/>
        </w:rPr>
        <w:t>加强改进措施，将罗姆女童和男孩以及残疾女童和男孩纳入主流教育系统而不是把他们安置在为有特殊需要的儿童开设班级的学校，并在其关于罗姆人口和残疾儿童的入学率和辍学率的下一次定期报告中提供按性别分列的资料；</w:t>
      </w:r>
    </w:p>
    <w:p w14:paraId="2F8FD019" w14:textId="77777777" w:rsidR="00AD0239" w:rsidRPr="00B07D58"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asciiTheme="majorBidi" w:eastAsia="黑体" w:hAnsiTheme="majorBidi" w:cstheme="majorBidi"/>
        </w:rPr>
      </w:pPr>
      <w:r>
        <w:tab/>
      </w:r>
      <w:r>
        <w:rPr>
          <w:rFonts w:hint="eastAsia"/>
        </w:rPr>
        <w:t>(d)</w:t>
      </w:r>
      <w:r>
        <w:tab/>
      </w:r>
      <w:r w:rsidRPr="00B07D58">
        <w:rPr>
          <w:rFonts w:asciiTheme="majorBidi" w:eastAsia="黑体" w:hAnsiTheme="majorBidi" w:cstheme="majorBidi"/>
        </w:rPr>
        <w:t>在下一次定期报告中提供资料，说明</w:t>
      </w:r>
      <w:r w:rsidRPr="00B07D58">
        <w:rPr>
          <w:rFonts w:asciiTheme="majorBidi" w:eastAsia="黑体" w:hAnsiTheme="majorBidi" w:cstheme="majorBidi"/>
        </w:rPr>
        <w:t>2017</w:t>
      </w:r>
      <w:r w:rsidRPr="00B07D58">
        <w:rPr>
          <w:rFonts w:asciiTheme="majorBidi" w:eastAsia="黑体" w:hAnsiTheme="majorBidi" w:cstheme="majorBidi"/>
        </w:rPr>
        <w:t>年开展的高等教育改革对匹配劳动力市场对妇女的需求的影响。</w:t>
      </w:r>
    </w:p>
    <w:p w14:paraId="3B2F1690" w14:textId="77777777" w:rsidR="00AD0239" w:rsidRPr="00B07D58"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asciiTheme="majorBidi" w:eastAsia="黑体" w:hAnsiTheme="majorBidi" w:cstheme="majorBidi"/>
        </w:rPr>
      </w:pPr>
      <w:r w:rsidRPr="00B07D58">
        <w:rPr>
          <w:rFonts w:asciiTheme="majorBidi" w:eastAsia="黑体" w:hAnsiTheme="majorBidi" w:cstheme="majorBidi"/>
        </w:rPr>
        <w:t>就业</w:t>
      </w:r>
    </w:p>
    <w:p w14:paraId="18817718" w14:textId="77777777" w:rsidR="00AD0239"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pPr>
      <w:r>
        <w:rPr>
          <w:rFonts w:hint="eastAsia"/>
        </w:rPr>
        <w:t>36.</w:t>
      </w:r>
      <w:r>
        <w:tab/>
      </w:r>
      <w:r>
        <w:rPr>
          <w:rFonts w:hint="eastAsia"/>
        </w:rPr>
        <w:t>委员会欣见缔约国的女性就业率为欧洲联盟内部最高水平，几乎与男子的就业率持平；实行社会保险最低标准，除其他外，规定就业妇女</w:t>
      </w:r>
      <w:r>
        <w:rPr>
          <w:rFonts w:hint="eastAsia"/>
        </w:rPr>
        <w:t>(</w:t>
      </w:r>
      <w:r>
        <w:rPr>
          <w:rFonts w:hint="eastAsia"/>
        </w:rPr>
        <w:t>包括兼职工人</w:t>
      </w:r>
      <w:r>
        <w:rPr>
          <w:rFonts w:hint="eastAsia"/>
        </w:rPr>
        <w:t>)</w:t>
      </w:r>
      <w:r>
        <w:rPr>
          <w:rFonts w:hint="eastAsia"/>
        </w:rPr>
        <w:t>必须获得最低工资水平的社会保险；倒置举证责任，要求雇主证明其遵守同工同酬原则。委员会注意到，立陶宛计划到</w:t>
      </w:r>
      <w:r>
        <w:rPr>
          <w:rFonts w:hint="eastAsia"/>
        </w:rPr>
        <w:t>2026</w:t>
      </w:r>
      <w:r>
        <w:rPr>
          <w:rFonts w:hint="eastAsia"/>
        </w:rPr>
        <w:t>年将男女养恤金领取年龄提高到</w:t>
      </w:r>
      <w:r>
        <w:rPr>
          <w:rFonts w:hint="eastAsia"/>
        </w:rPr>
        <w:t>65</w:t>
      </w:r>
      <w:r>
        <w:rPr>
          <w:rFonts w:hint="eastAsia"/>
        </w:rPr>
        <w:t>岁，并采取了促进妇女担任领导职务和妇女创业的措施。尽管如此，委员会仍然对以下方面感到关切：</w:t>
      </w:r>
    </w:p>
    <w:p w14:paraId="39C292F5" w14:textId="77777777" w:rsidR="00AD0239"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pPr>
      <w:r>
        <w:tab/>
      </w:r>
      <w:r>
        <w:rPr>
          <w:rFonts w:hint="eastAsia"/>
        </w:rPr>
        <w:t>(a)</w:t>
      </w:r>
      <w:r>
        <w:tab/>
      </w:r>
      <w:r>
        <w:rPr>
          <w:rFonts w:hint="eastAsia"/>
        </w:rPr>
        <w:t>性别工资差距持续存在，性别鸿沟造成传统意义上女性占主导地位职业的养恤金福利和工资水平都比较低；</w:t>
      </w:r>
    </w:p>
    <w:p w14:paraId="788CA687" w14:textId="77777777" w:rsidR="00AD0239"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pPr>
      <w:r>
        <w:tab/>
      </w:r>
      <w:r>
        <w:rPr>
          <w:rFonts w:hint="eastAsia"/>
        </w:rPr>
        <w:t>(b)</w:t>
      </w:r>
      <w:r>
        <w:tab/>
      </w:r>
      <w:r>
        <w:rPr>
          <w:rFonts w:hint="eastAsia"/>
        </w:rPr>
        <w:t>存在纵向和横向职业隔离，难以将移民妇女、罗姆妇女、农村妇女、老年妇女和残疾妇女纳入劳动力市场；</w:t>
      </w:r>
    </w:p>
    <w:p w14:paraId="46DD8DF7" w14:textId="77777777" w:rsidR="00AD0239"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pPr>
      <w:r>
        <w:tab/>
      </w:r>
      <w:r>
        <w:rPr>
          <w:rFonts w:hint="eastAsia"/>
        </w:rPr>
        <w:t>(c)</w:t>
      </w:r>
      <w:r>
        <w:tab/>
      </w:r>
      <w:r>
        <w:rPr>
          <w:rFonts w:hint="eastAsia"/>
        </w:rPr>
        <w:t>缺乏监督公营和私营公司平等机会计划质量的机制，这种机制是《劳动法》修正案的强制性要求。</w:t>
      </w:r>
    </w:p>
    <w:p w14:paraId="3C9C1F90" w14:textId="49B3BBCE" w:rsidR="00AD0239"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pPr>
      <w:r>
        <w:rPr>
          <w:rFonts w:hint="eastAsia"/>
        </w:rPr>
        <w:t>37.</w:t>
      </w:r>
      <w:r>
        <w:tab/>
      </w:r>
      <w:r w:rsidRPr="00B07D58">
        <w:rPr>
          <w:rFonts w:asciiTheme="majorBidi" w:eastAsia="黑体" w:hAnsiTheme="majorBidi" w:cstheme="majorBidi"/>
        </w:rPr>
        <w:t>委员会忆及其此前的建议</w:t>
      </w:r>
      <w:r w:rsidRPr="00B07D58">
        <w:rPr>
          <w:rFonts w:asciiTheme="majorBidi" w:eastAsia="黑体" w:hAnsiTheme="majorBidi" w:cstheme="majorBidi"/>
        </w:rPr>
        <w:t>(</w:t>
      </w:r>
      <w:hyperlink r:id="rId41" w:history="1">
        <w:r w:rsidRPr="00A601C7">
          <w:rPr>
            <w:rStyle w:val="af4"/>
            <w:rFonts w:asciiTheme="majorBidi" w:eastAsia="黑体" w:hAnsiTheme="majorBidi" w:cstheme="majorBidi" w:hint="eastAsia"/>
          </w:rPr>
          <w:t>CEDAW/C/LTU/CO/5</w:t>
        </w:r>
      </w:hyperlink>
      <w:r w:rsidRPr="00B07D58">
        <w:rPr>
          <w:rFonts w:asciiTheme="majorBidi" w:eastAsia="黑体" w:hAnsiTheme="majorBidi" w:cstheme="majorBidi"/>
        </w:rPr>
        <w:t>，第</w:t>
      </w:r>
      <w:r w:rsidRPr="00B07D58">
        <w:rPr>
          <w:rFonts w:asciiTheme="majorBidi" w:eastAsia="黑体" w:hAnsiTheme="majorBidi" w:cstheme="majorBidi"/>
        </w:rPr>
        <w:t>35</w:t>
      </w:r>
      <w:r w:rsidRPr="00B07D58">
        <w:rPr>
          <w:rFonts w:asciiTheme="majorBidi" w:eastAsia="黑体" w:hAnsiTheme="majorBidi" w:cstheme="majorBidi"/>
        </w:rPr>
        <w:t>段</w:t>
      </w:r>
      <w:r w:rsidRPr="00B07D58">
        <w:rPr>
          <w:rFonts w:asciiTheme="majorBidi" w:eastAsia="黑体" w:hAnsiTheme="majorBidi" w:cstheme="majorBidi"/>
        </w:rPr>
        <w:t>)</w:t>
      </w:r>
      <w:r w:rsidRPr="00B07D58">
        <w:rPr>
          <w:rFonts w:asciiTheme="majorBidi" w:eastAsia="黑体" w:hAnsiTheme="majorBidi" w:cstheme="majorBidi"/>
        </w:rPr>
        <w:t>，建议缔约国：</w:t>
      </w:r>
    </w:p>
    <w:p w14:paraId="4C73A131" w14:textId="77777777" w:rsidR="00AD0239" w:rsidRPr="00B07D58"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ascii="黑体" w:eastAsia="黑体" w:hAnsi="黑体"/>
        </w:rPr>
      </w:pPr>
      <w:r>
        <w:tab/>
      </w:r>
      <w:r>
        <w:rPr>
          <w:rFonts w:hint="eastAsia"/>
        </w:rPr>
        <w:t>(a)</w:t>
      </w:r>
      <w:r>
        <w:tab/>
      </w:r>
      <w:r w:rsidRPr="00B07D58">
        <w:rPr>
          <w:rFonts w:ascii="黑体" w:eastAsia="黑体" w:hAnsi="黑体" w:hint="eastAsia"/>
        </w:rPr>
        <w:t>定期审查所有职业部门的工资情况，定期开展劳动监察，采用对性别问题有敏感认识的分析性工作分类和评价方法，并定期开展工资调查，从而有效贯彻同工同酬原则，进而缩小并最终消除性别工资差异；</w:t>
      </w:r>
    </w:p>
    <w:p w14:paraId="0AFBB264" w14:textId="77777777" w:rsidR="00AD0239"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pPr>
      <w:r>
        <w:tab/>
      </w:r>
      <w:r>
        <w:rPr>
          <w:rFonts w:hint="eastAsia"/>
        </w:rPr>
        <w:t>(b)</w:t>
      </w:r>
      <w:r>
        <w:tab/>
      </w:r>
      <w:r w:rsidRPr="00B07D58">
        <w:rPr>
          <w:rFonts w:asciiTheme="majorBidi" w:eastAsia="黑体" w:hAnsiTheme="majorBidi" w:cstheme="majorBidi"/>
        </w:rPr>
        <w:t>加强措施，包括根据同样旨在增强罗姆妇女经济权能的将罗姆融入立陶宛社会的</w:t>
      </w:r>
      <w:r w:rsidRPr="00B07D58">
        <w:rPr>
          <w:rFonts w:asciiTheme="majorBidi" w:eastAsia="黑体" w:hAnsiTheme="majorBidi" w:cstheme="majorBidi"/>
        </w:rPr>
        <w:t>2015-2020</w:t>
      </w:r>
      <w:r w:rsidRPr="00B07D58">
        <w:rPr>
          <w:rFonts w:asciiTheme="majorBidi" w:eastAsia="黑体" w:hAnsiTheme="majorBidi" w:cstheme="majorBidi"/>
        </w:rPr>
        <w:t>年行动计划，解决横向和纵向职业隔离问题，增加妇女进入劳动力市场的机会，包括达到领取养恤金年龄的妇女和弱势妇女群体</w:t>
      </w:r>
      <w:r w:rsidRPr="00B07D58">
        <w:rPr>
          <w:rFonts w:asciiTheme="majorBidi" w:eastAsia="黑体" w:hAnsiTheme="majorBidi" w:cstheme="majorBidi"/>
        </w:rPr>
        <w:t>(</w:t>
      </w:r>
      <w:r w:rsidRPr="00B07D58">
        <w:rPr>
          <w:rFonts w:asciiTheme="majorBidi" w:eastAsia="黑体" w:hAnsiTheme="majorBidi" w:cstheme="majorBidi"/>
        </w:rPr>
        <w:t>如移民妇女、罗姆妇女、农村妇女、老年妇女和残疾妇女</w:t>
      </w:r>
      <w:r w:rsidRPr="00B07D58">
        <w:rPr>
          <w:rFonts w:asciiTheme="majorBidi" w:eastAsia="黑体" w:hAnsiTheme="majorBidi" w:cstheme="majorBidi"/>
        </w:rPr>
        <w:t>)</w:t>
      </w:r>
      <w:r w:rsidRPr="00B07D58">
        <w:rPr>
          <w:rFonts w:asciiTheme="majorBidi" w:eastAsia="黑体" w:hAnsiTheme="majorBidi" w:cstheme="majorBidi"/>
        </w:rPr>
        <w:t>；</w:t>
      </w:r>
    </w:p>
    <w:p w14:paraId="74F754C8" w14:textId="77777777" w:rsidR="00AD0239"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pPr>
      <w:r>
        <w:tab/>
      </w:r>
      <w:r>
        <w:rPr>
          <w:rFonts w:hint="eastAsia"/>
        </w:rPr>
        <w:t>(c)</w:t>
      </w:r>
      <w:r>
        <w:tab/>
      </w:r>
      <w:r w:rsidRPr="00B07D58">
        <w:rPr>
          <w:rFonts w:ascii="黑体" w:eastAsia="黑体" w:hAnsi="黑体" w:hint="eastAsia"/>
        </w:rPr>
        <w:t>建立有效的监测和问责机制，确保公营和私营公司遵守《劳动法》规定的制定平等机会计划义务；</w:t>
      </w:r>
    </w:p>
    <w:p w14:paraId="4F7C6E2C" w14:textId="77777777" w:rsidR="00AD0239" w:rsidRPr="00B07D58"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asciiTheme="majorBidi" w:eastAsia="黑体" w:hAnsiTheme="majorBidi" w:cstheme="majorBidi"/>
        </w:rPr>
      </w:pPr>
      <w:r>
        <w:tab/>
      </w:r>
      <w:r>
        <w:rPr>
          <w:rFonts w:hint="eastAsia"/>
        </w:rPr>
        <w:t>(d)</w:t>
      </w:r>
      <w:r>
        <w:tab/>
      </w:r>
      <w:r w:rsidRPr="00B07D58">
        <w:rPr>
          <w:rFonts w:asciiTheme="majorBidi" w:eastAsia="黑体" w:hAnsiTheme="majorBidi" w:cstheme="majorBidi"/>
        </w:rPr>
        <w:t>批准国际劳工组织</w:t>
      </w:r>
      <w:r w:rsidRPr="00B07D58">
        <w:rPr>
          <w:rFonts w:asciiTheme="majorBidi" w:eastAsia="黑体" w:hAnsiTheme="majorBidi" w:cstheme="majorBidi"/>
        </w:rPr>
        <w:t>(</w:t>
      </w:r>
      <w:r w:rsidRPr="00B07D58">
        <w:rPr>
          <w:rFonts w:asciiTheme="majorBidi" w:eastAsia="黑体" w:hAnsiTheme="majorBidi" w:cstheme="majorBidi"/>
        </w:rPr>
        <w:t>劳工组织</w:t>
      </w:r>
      <w:r w:rsidRPr="00B07D58">
        <w:rPr>
          <w:rFonts w:asciiTheme="majorBidi" w:eastAsia="黑体" w:hAnsiTheme="majorBidi" w:cstheme="majorBidi"/>
        </w:rPr>
        <w:t>)</w:t>
      </w:r>
      <w:r w:rsidRPr="00B07D58">
        <w:rPr>
          <w:rFonts w:asciiTheme="majorBidi" w:eastAsia="黑体" w:hAnsiTheme="majorBidi" w:cstheme="majorBidi"/>
        </w:rPr>
        <w:t>《</w:t>
      </w:r>
      <w:r w:rsidRPr="00B07D58">
        <w:rPr>
          <w:rFonts w:asciiTheme="majorBidi" w:eastAsia="黑体" w:hAnsiTheme="majorBidi" w:cstheme="majorBidi"/>
        </w:rPr>
        <w:t>2011</w:t>
      </w:r>
      <w:r w:rsidRPr="00B07D58">
        <w:rPr>
          <w:rFonts w:asciiTheme="majorBidi" w:eastAsia="黑体" w:hAnsiTheme="majorBidi" w:cstheme="majorBidi"/>
        </w:rPr>
        <w:t>年家庭工人公约》</w:t>
      </w:r>
      <w:r w:rsidRPr="00B07D58">
        <w:rPr>
          <w:rFonts w:asciiTheme="majorBidi" w:eastAsia="黑体" w:hAnsiTheme="majorBidi" w:cstheme="majorBidi"/>
        </w:rPr>
        <w:t>(</w:t>
      </w:r>
      <w:r w:rsidRPr="00B07D58">
        <w:rPr>
          <w:rFonts w:asciiTheme="majorBidi" w:eastAsia="黑体" w:hAnsiTheme="majorBidi" w:cstheme="majorBidi"/>
        </w:rPr>
        <w:t>第</w:t>
      </w:r>
      <w:r w:rsidRPr="00B07D58">
        <w:rPr>
          <w:rFonts w:asciiTheme="majorBidi" w:eastAsia="黑体" w:hAnsiTheme="majorBidi" w:cstheme="majorBidi"/>
        </w:rPr>
        <w:t>189</w:t>
      </w:r>
      <w:r w:rsidRPr="00B07D58">
        <w:rPr>
          <w:rFonts w:asciiTheme="majorBidi" w:eastAsia="黑体" w:hAnsiTheme="majorBidi" w:cstheme="majorBidi"/>
        </w:rPr>
        <w:t>号</w:t>
      </w:r>
      <w:r w:rsidRPr="00B07D58">
        <w:rPr>
          <w:rFonts w:asciiTheme="majorBidi" w:eastAsia="黑体" w:hAnsiTheme="majorBidi" w:cstheme="majorBidi"/>
        </w:rPr>
        <w:t>)</w:t>
      </w:r>
      <w:r w:rsidRPr="00B07D58">
        <w:rPr>
          <w:rFonts w:asciiTheme="majorBidi" w:eastAsia="黑体" w:hAnsiTheme="majorBidi" w:cstheme="majorBidi"/>
        </w:rPr>
        <w:t>。</w:t>
      </w:r>
    </w:p>
    <w:p w14:paraId="739B6F04" w14:textId="77777777" w:rsidR="00AD0239" w:rsidRPr="00B07D58"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asciiTheme="majorBidi" w:eastAsia="黑体" w:hAnsiTheme="majorBidi" w:cstheme="majorBidi"/>
        </w:rPr>
      </w:pPr>
      <w:r w:rsidRPr="00B07D58">
        <w:rPr>
          <w:rFonts w:asciiTheme="majorBidi" w:eastAsia="黑体" w:hAnsiTheme="majorBidi" w:cstheme="majorBidi"/>
        </w:rPr>
        <w:t>健康</w:t>
      </w:r>
    </w:p>
    <w:p w14:paraId="2CFECEE9" w14:textId="77777777" w:rsidR="00AD0239"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pPr>
      <w:r>
        <w:rPr>
          <w:rFonts w:hint="eastAsia"/>
        </w:rPr>
        <w:t>38.</w:t>
      </w:r>
      <w:r>
        <w:tab/>
      </w:r>
      <w:r>
        <w:rPr>
          <w:rFonts w:hint="eastAsia"/>
        </w:rPr>
        <w:t>委员会欣见缔约国境内的</w:t>
      </w:r>
      <w:r>
        <w:rPr>
          <w:rFonts w:hint="eastAsia"/>
        </w:rPr>
        <w:t>48</w:t>
      </w:r>
      <w:r>
        <w:rPr>
          <w:rFonts w:hint="eastAsia"/>
        </w:rPr>
        <w:t>个公共卫生局与非政府组织、社区和家庭合作，倡导妇女和女童采纳健康生活方式，并解决城市的具体健康问题，包括预防自杀。委员会还欢迎</w:t>
      </w:r>
      <w:r>
        <w:rPr>
          <w:rFonts w:hint="eastAsia"/>
        </w:rPr>
        <w:t>2016</w:t>
      </w:r>
      <w:r>
        <w:rPr>
          <w:rFonts w:hint="eastAsia"/>
        </w:rPr>
        <w:t>年启动的针对</w:t>
      </w:r>
      <w:r>
        <w:rPr>
          <w:rFonts w:hint="eastAsia"/>
        </w:rPr>
        <w:t>11</w:t>
      </w:r>
      <w:r>
        <w:rPr>
          <w:rFonts w:hint="eastAsia"/>
        </w:rPr>
        <w:t>岁女童的人乳头状瘤病毒疫苗接种方案，尽管该方案的参与率仍然很低。委员会注意到，缔约国计划在</w:t>
      </w:r>
      <w:r>
        <w:rPr>
          <w:rFonts w:hint="eastAsia"/>
        </w:rPr>
        <w:t>2020</w:t>
      </w:r>
      <w:r>
        <w:rPr>
          <w:rFonts w:hint="eastAsia"/>
        </w:rPr>
        <w:t>年更新关于终止妊娠的部级规章。此外，委员会还注意到</w:t>
      </w:r>
      <w:r>
        <w:rPr>
          <w:rFonts w:hint="eastAsia"/>
        </w:rPr>
        <w:t>2017-2019</w:t>
      </w:r>
      <w:r>
        <w:rPr>
          <w:rFonts w:hint="eastAsia"/>
        </w:rPr>
        <w:t>年健康教育、性教育和家庭教育总方案的执行情况，注意到卫生部补偿委员会目前正在审议为</w:t>
      </w:r>
      <w:r>
        <w:rPr>
          <w:rFonts w:hint="eastAsia"/>
        </w:rPr>
        <w:t>15</w:t>
      </w:r>
      <w:r>
        <w:rPr>
          <w:rFonts w:hint="eastAsia"/>
        </w:rPr>
        <w:t>至</w:t>
      </w:r>
      <w:r>
        <w:rPr>
          <w:rFonts w:hint="eastAsia"/>
        </w:rPr>
        <w:t>19</w:t>
      </w:r>
      <w:r>
        <w:rPr>
          <w:rFonts w:hint="eastAsia"/>
        </w:rPr>
        <w:t>岁的女童和妇女提供某些类型避孕药具的报销问题。然而，委员会感到关切的是，尽管实行了现行的强制性健康保险制度，但女童和年轻妇女，包括农村地区的女童和妇女以及罗姆女童和妇女，有效获得基本保健服务</w:t>
      </w:r>
      <w:r>
        <w:rPr>
          <w:rFonts w:hint="eastAsia"/>
        </w:rPr>
        <w:t>(</w:t>
      </w:r>
      <w:r>
        <w:rPr>
          <w:rFonts w:hint="eastAsia"/>
        </w:rPr>
        <w:t>包括性与生殖健康服务</w:t>
      </w:r>
      <w:r w:rsidRPr="00710EEA">
        <w:rPr>
          <w:rFonts w:hint="eastAsia"/>
          <w:spacing w:val="-2"/>
        </w:rPr>
        <w:t>以及现代避孕药具</w:t>
      </w:r>
      <w:r w:rsidRPr="00710EEA">
        <w:rPr>
          <w:spacing w:val="-2"/>
        </w:rPr>
        <w:t>)</w:t>
      </w:r>
      <w:r w:rsidRPr="00710EEA">
        <w:rPr>
          <w:rFonts w:hint="eastAsia"/>
          <w:spacing w:val="-2"/>
        </w:rPr>
        <w:t>的机会仍然有限，而没有资格获得缔约国强制性健康保险的无证移民妇女在整个妊娠和分娩期间获得优质孕产妇保健服务的机会也仍然有限。</w:t>
      </w:r>
    </w:p>
    <w:p w14:paraId="46548E32" w14:textId="77777777" w:rsidR="00AD0239"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pPr>
      <w:r>
        <w:rPr>
          <w:rFonts w:hint="eastAsia"/>
        </w:rPr>
        <w:t>39.</w:t>
      </w:r>
      <w:r>
        <w:tab/>
      </w:r>
      <w:r w:rsidRPr="00B07D58">
        <w:rPr>
          <w:rFonts w:ascii="黑体" w:eastAsia="黑体" w:hAnsi="黑体" w:hint="eastAsia"/>
        </w:rPr>
        <w:t>委员会建议缔约国：</w:t>
      </w:r>
    </w:p>
    <w:p w14:paraId="34DFEDEE" w14:textId="77777777" w:rsidR="00AD0239"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pPr>
      <w:r>
        <w:tab/>
      </w:r>
      <w:r>
        <w:rPr>
          <w:rFonts w:hint="eastAsia"/>
        </w:rPr>
        <w:t>(a)</w:t>
      </w:r>
      <w:r>
        <w:tab/>
      </w:r>
      <w:r w:rsidRPr="00B07D58">
        <w:rPr>
          <w:rFonts w:ascii="黑体" w:eastAsia="黑体" w:hAnsi="黑体" w:hint="eastAsia"/>
        </w:rPr>
        <w:t>确保各级教育中关于性和生殖健康及权利的教育对性别问题有敏感认识，适合年龄，并提倡负责任的性行为，以预防早孕和性传播疾病；</w:t>
      </w:r>
    </w:p>
    <w:p w14:paraId="0DB78E2B" w14:textId="77777777" w:rsidR="00AD0239"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pPr>
      <w:r>
        <w:tab/>
      </w:r>
      <w:r>
        <w:rPr>
          <w:rFonts w:hint="eastAsia"/>
        </w:rPr>
        <w:t>(b)</w:t>
      </w:r>
      <w:r>
        <w:tab/>
      </w:r>
      <w:r w:rsidRPr="00B07D58">
        <w:rPr>
          <w:rFonts w:ascii="黑体" w:eastAsia="黑体" w:hAnsi="黑体" w:hint="eastAsia"/>
        </w:rPr>
        <w:t>确保所有女童和青年妇女能够获得性和生殖健康服务以及负担得起的现代避孕药具，特别是在农村地区；</w:t>
      </w:r>
    </w:p>
    <w:p w14:paraId="55D5BEC4" w14:textId="77777777" w:rsidR="00AD0239"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pPr>
      <w:r>
        <w:tab/>
      </w:r>
      <w:r>
        <w:rPr>
          <w:rFonts w:hint="eastAsia"/>
        </w:rPr>
        <w:t>(c)</w:t>
      </w:r>
      <w:r>
        <w:tab/>
      </w:r>
      <w:r w:rsidRPr="00B07D58">
        <w:rPr>
          <w:rFonts w:ascii="黑体" w:eastAsia="黑体" w:hAnsi="黑体" w:hint="eastAsia"/>
        </w:rPr>
        <w:t>确保无证移民妇女在整个妊娠和分娩期间能够负担得起并在必要时免费获得孕产妇保健服务，包括产前保健服务；</w:t>
      </w:r>
    </w:p>
    <w:p w14:paraId="0404596C" w14:textId="77777777" w:rsidR="00AD0239" w:rsidRPr="00B07D58"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ascii="黑体" w:eastAsia="黑体" w:hAnsi="黑体"/>
        </w:rPr>
      </w:pPr>
      <w:r>
        <w:tab/>
      </w:r>
      <w:r>
        <w:rPr>
          <w:rFonts w:hint="eastAsia"/>
        </w:rPr>
        <w:t>(d)</w:t>
      </w:r>
      <w:r>
        <w:tab/>
      </w:r>
      <w:r w:rsidRPr="00B07D58">
        <w:rPr>
          <w:rFonts w:ascii="黑体" w:eastAsia="黑体" w:hAnsi="黑体" w:hint="eastAsia"/>
        </w:rPr>
        <w:t>通过立法而不是部级规章来监管终止妊娠行为，将在强奸、乱伦、威胁孕妇生命和</w:t>
      </w:r>
      <w:r w:rsidRPr="00710EEA">
        <w:rPr>
          <w:rFonts w:eastAsia="黑体"/>
        </w:rPr>
        <w:t>(</w:t>
      </w:r>
      <w:r w:rsidRPr="00710EEA">
        <w:rPr>
          <w:rFonts w:eastAsia="黑体" w:hint="eastAsia"/>
        </w:rPr>
        <w:t>或</w:t>
      </w:r>
      <w:r w:rsidRPr="00710EEA">
        <w:rPr>
          <w:rFonts w:eastAsia="黑体"/>
        </w:rPr>
        <w:t>)</w:t>
      </w:r>
      <w:r w:rsidRPr="00B07D58">
        <w:rPr>
          <w:rFonts w:ascii="黑体" w:eastAsia="黑体" w:hAnsi="黑体" w:hint="eastAsia"/>
        </w:rPr>
        <w:t>健康或胚胎严重受损情况下的堕胎行为合法化，并将所有其他情况下的堕胎行为非刑罪化，同时为妇女提供获得安全堕胎和堕胎后护理的渠道，特别是针对不安全堕胎引起的并发症的护理。</w:t>
      </w:r>
    </w:p>
    <w:p w14:paraId="35E72D25" w14:textId="77777777" w:rsidR="00AD0239" w:rsidRPr="00B07D58"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ascii="黑体" w:eastAsia="黑体" w:hAnsi="黑体"/>
        </w:rPr>
      </w:pPr>
      <w:r w:rsidRPr="00B07D58">
        <w:rPr>
          <w:rFonts w:ascii="黑体" w:eastAsia="黑体" w:hAnsi="黑体" w:hint="eastAsia"/>
        </w:rPr>
        <w:t>经济和社会福利及增强妇女经济权能</w:t>
      </w:r>
    </w:p>
    <w:p w14:paraId="00BBC507" w14:textId="77777777" w:rsidR="00AD0239"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pPr>
      <w:r>
        <w:rPr>
          <w:rFonts w:hint="eastAsia"/>
        </w:rPr>
        <w:t>40.</w:t>
      </w:r>
      <w:r>
        <w:tab/>
      </w:r>
      <w:r>
        <w:rPr>
          <w:rFonts w:hint="eastAsia"/>
        </w:rPr>
        <w:t>委员会欣见缔约国于</w:t>
      </w:r>
      <w:r>
        <w:rPr>
          <w:rFonts w:hint="eastAsia"/>
        </w:rPr>
        <w:t>2019</w:t>
      </w:r>
      <w:r>
        <w:rPr>
          <w:rFonts w:hint="eastAsia"/>
        </w:rPr>
        <w:t>年</w:t>
      </w:r>
      <w:r>
        <w:rPr>
          <w:rFonts w:hint="eastAsia"/>
        </w:rPr>
        <w:t>6</w:t>
      </w:r>
      <w:r>
        <w:rPr>
          <w:rFonts w:hint="eastAsia"/>
        </w:rPr>
        <w:t>月通过了“家庭基本服务一揽子计划”，其宗旨是加强妇女的社会经济地位，并为有五个或更多孩子的母亲提供额外的社会福利。委员会欢迎缔约国计划规定育儿假配额的头两个月</w:t>
      </w:r>
      <w:r>
        <w:rPr>
          <w:rFonts w:hint="eastAsia"/>
        </w:rPr>
        <w:t>(</w:t>
      </w:r>
      <w:r>
        <w:rPr>
          <w:rFonts w:hint="eastAsia"/>
        </w:rPr>
        <w:t>包括母亲和父亲的假期</w:t>
      </w:r>
      <w:r>
        <w:rPr>
          <w:rFonts w:hint="eastAsia"/>
        </w:rPr>
        <w:t>)</w:t>
      </w:r>
      <w:r>
        <w:rPr>
          <w:rFonts w:hint="eastAsia"/>
        </w:rPr>
        <w:t>对父母双方都不可转让，欢迎缔约国规定祖父母也可以休类似的假，欣见利用陪产假和</w:t>
      </w:r>
      <w:r>
        <w:rPr>
          <w:rFonts w:hint="eastAsia"/>
        </w:rPr>
        <w:t>/</w:t>
      </w:r>
      <w:r>
        <w:rPr>
          <w:rFonts w:hint="eastAsia"/>
        </w:rPr>
        <w:t>或育儿假的父亲人数一直在迅速增加。然而，委员会感到关切的是，缔约国经济快速发展的成果并未平等分享，对属于少数群体的妇女和女童、农村地区的妇女、老年妇女和残疾妇女而言尤其如此；委员会同时关注人口减少和老龄化、特别是农村地区人口减少和老龄化对妇女社会保障造成的负面影响。</w:t>
      </w:r>
    </w:p>
    <w:p w14:paraId="5FD08F9B" w14:textId="77777777" w:rsidR="00CA797E" w:rsidRDefault="00CA797E">
      <w:pPr>
        <w:spacing w:line="240" w:lineRule="auto"/>
        <w:jc w:val="left"/>
      </w:pPr>
      <w:r>
        <w:br w:type="page"/>
      </w:r>
    </w:p>
    <w:p w14:paraId="3E825630" w14:textId="6D0B267E" w:rsidR="00AD0239"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pPr>
      <w:r>
        <w:rPr>
          <w:rFonts w:hint="eastAsia"/>
        </w:rPr>
        <w:t>41.</w:t>
      </w:r>
      <w:r>
        <w:tab/>
      </w:r>
      <w:r w:rsidRPr="00B07D58">
        <w:rPr>
          <w:rFonts w:ascii="黑体" w:eastAsia="黑体" w:hAnsi="黑体" w:hint="eastAsia"/>
        </w:rPr>
        <w:t>委员会建议缔约国：</w:t>
      </w:r>
    </w:p>
    <w:p w14:paraId="29315591" w14:textId="77777777" w:rsidR="00AD0239"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pPr>
      <w:r>
        <w:tab/>
      </w:r>
      <w:r>
        <w:rPr>
          <w:rFonts w:hint="eastAsia"/>
        </w:rPr>
        <w:t>(a)</w:t>
      </w:r>
      <w:r>
        <w:tab/>
      </w:r>
      <w:r w:rsidRPr="00B07D58">
        <w:rPr>
          <w:rFonts w:ascii="黑体" w:eastAsia="黑体" w:hAnsi="黑体" w:hint="eastAsia"/>
        </w:rPr>
        <w:t>承认妇女特别是农村妇女从事的无酬照护工作，包括育儿和照顾其他受扶养人，将其计入她们的养恤金应享福利和社会福利，并继续努力确保协调妇女的家庭责任和职业责任，特别是提供足够数量的负担得起和方便使用的托儿设施，包括在农村地区；</w:t>
      </w:r>
    </w:p>
    <w:p w14:paraId="64AC70B8" w14:textId="77777777" w:rsidR="00AD0239"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pPr>
      <w:r>
        <w:tab/>
      </w:r>
      <w:r>
        <w:rPr>
          <w:rFonts w:hint="eastAsia"/>
        </w:rPr>
        <w:t>(b)</w:t>
      </w:r>
      <w:r>
        <w:tab/>
      </w:r>
      <w:r w:rsidRPr="00B07D58">
        <w:rPr>
          <w:rFonts w:ascii="黑体" w:eastAsia="黑体" w:hAnsi="黑体" w:hint="eastAsia"/>
        </w:rPr>
        <w:t>制定政策和方案，确保妇女受益于缔约国的经济发展，并减轻人口减少和老龄化对妇女养恤金和社会福利的影响，特别是对老年妇女的影响；</w:t>
      </w:r>
    </w:p>
    <w:p w14:paraId="466D22E7" w14:textId="77777777" w:rsidR="00AD0239"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pPr>
      <w:r>
        <w:tab/>
      </w:r>
      <w:r>
        <w:rPr>
          <w:rFonts w:hint="eastAsia"/>
        </w:rPr>
        <w:t>(c)</w:t>
      </w:r>
      <w:r>
        <w:tab/>
      </w:r>
      <w:r w:rsidRPr="00B07D58">
        <w:rPr>
          <w:rFonts w:asciiTheme="majorBidi" w:eastAsia="黑体" w:hAnsiTheme="majorBidi" w:cstheme="majorBidi"/>
        </w:rPr>
        <w:t>根据委员会关于农村妇女权利的第</w:t>
      </w:r>
      <w:r w:rsidRPr="00B07D58">
        <w:rPr>
          <w:rFonts w:asciiTheme="majorBidi" w:eastAsia="黑体" w:hAnsiTheme="majorBidi" w:cstheme="majorBidi"/>
        </w:rPr>
        <w:t>34</w:t>
      </w:r>
      <w:r w:rsidRPr="00B07D58">
        <w:rPr>
          <w:rFonts w:asciiTheme="majorBidi" w:eastAsia="黑体" w:hAnsiTheme="majorBidi" w:cstheme="majorBidi"/>
        </w:rPr>
        <w:t>号一般性建议</w:t>
      </w:r>
      <w:r w:rsidRPr="00B07D58">
        <w:rPr>
          <w:rFonts w:asciiTheme="majorBidi" w:eastAsia="黑体" w:hAnsiTheme="majorBidi" w:cstheme="majorBidi"/>
        </w:rPr>
        <w:t>(2016</w:t>
      </w:r>
      <w:r w:rsidRPr="00B07D58">
        <w:rPr>
          <w:rFonts w:asciiTheme="majorBidi" w:eastAsia="黑体" w:hAnsiTheme="majorBidi" w:cstheme="majorBidi"/>
        </w:rPr>
        <w:t>年</w:t>
      </w:r>
      <w:r w:rsidRPr="00B07D58">
        <w:rPr>
          <w:rFonts w:asciiTheme="majorBidi" w:eastAsia="黑体" w:hAnsiTheme="majorBidi" w:cstheme="majorBidi"/>
        </w:rPr>
        <w:t>)</w:t>
      </w:r>
      <w:r w:rsidRPr="00B07D58">
        <w:rPr>
          <w:rFonts w:asciiTheme="majorBidi" w:eastAsia="黑体" w:hAnsiTheme="majorBidi" w:cstheme="majorBidi"/>
        </w:rPr>
        <w:t>，设计具体干预措施，利用机会增强农村妇女的经济权能，包括在占主导地位的农业部门之外创造更多就业机会，改善获得高等教育、信息和通信技术和有补贴交通工具的机会，并确保她们参与这些战略和方案的设计，把妇女作为受害者或受益者以及制定和执行这些政策的积极参与者加以重视；</w:t>
      </w:r>
    </w:p>
    <w:p w14:paraId="63E0CC83" w14:textId="77777777" w:rsidR="00AD0239" w:rsidRPr="00B07D58"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asciiTheme="majorBidi" w:eastAsia="黑体" w:hAnsiTheme="majorBidi" w:cstheme="majorBidi"/>
        </w:rPr>
      </w:pPr>
      <w:r>
        <w:tab/>
      </w:r>
      <w:r>
        <w:rPr>
          <w:rFonts w:hint="eastAsia"/>
        </w:rPr>
        <w:t>(d)</w:t>
      </w:r>
      <w:r>
        <w:tab/>
      </w:r>
      <w:r w:rsidRPr="00B07D58">
        <w:rPr>
          <w:rFonts w:asciiTheme="majorBidi" w:eastAsia="黑体" w:hAnsiTheme="majorBidi" w:cstheme="majorBidi"/>
        </w:rPr>
        <w:t>加快批准劳工组织</w:t>
      </w:r>
      <w:r w:rsidRPr="00B07D58">
        <w:rPr>
          <w:rFonts w:asciiTheme="majorBidi" w:eastAsia="黑体" w:hAnsiTheme="majorBidi" w:cstheme="majorBidi"/>
        </w:rPr>
        <w:t>1952</w:t>
      </w:r>
      <w:r w:rsidRPr="00B07D58">
        <w:rPr>
          <w:rFonts w:asciiTheme="majorBidi" w:eastAsia="黑体" w:hAnsiTheme="majorBidi" w:cstheme="majorBidi"/>
        </w:rPr>
        <w:t>年社会保障最低标准公约</w:t>
      </w:r>
      <w:r w:rsidRPr="00B07D58">
        <w:rPr>
          <w:rFonts w:asciiTheme="majorBidi" w:eastAsia="黑体" w:hAnsiTheme="majorBidi" w:cstheme="majorBidi"/>
        </w:rPr>
        <w:t>(</w:t>
      </w:r>
      <w:r w:rsidRPr="00B07D58">
        <w:rPr>
          <w:rFonts w:asciiTheme="majorBidi" w:eastAsia="黑体" w:hAnsiTheme="majorBidi" w:cstheme="majorBidi"/>
        </w:rPr>
        <w:t>第</w:t>
      </w:r>
      <w:r w:rsidRPr="00B07D58">
        <w:rPr>
          <w:rFonts w:asciiTheme="majorBidi" w:eastAsia="黑体" w:hAnsiTheme="majorBidi" w:cstheme="majorBidi"/>
        </w:rPr>
        <w:t>102</w:t>
      </w:r>
      <w:r w:rsidRPr="00B07D58">
        <w:rPr>
          <w:rFonts w:asciiTheme="majorBidi" w:eastAsia="黑体" w:hAnsiTheme="majorBidi" w:cstheme="majorBidi"/>
        </w:rPr>
        <w:t>号</w:t>
      </w:r>
      <w:r w:rsidRPr="00B07D58">
        <w:rPr>
          <w:rFonts w:asciiTheme="majorBidi" w:eastAsia="黑体" w:hAnsiTheme="majorBidi" w:cstheme="majorBidi"/>
        </w:rPr>
        <w:t>)</w:t>
      </w:r>
      <w:r w:rsidRPr="00B07D58">
        <w:rPr>
          <w:rFonts w:asciiTheme="majorBidi" w:eastAsia="黑体" w:hAnsiTheme="majorBidi" w:cstheme="majorBidi"/>
        </w:rPr>
        <w:t>。</w:t>
      </w:r>
    </w:p>
    <w:p w14:paraId="42129A34" w14:textId="77777777" w:rsidR="00AD0239" w:rsidRPr="00B07D58"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asciiTheme="majorBidi" w:eastAsia="黑体" w:hAnsiTheme="majorBidi" w:cstheme="majorBidi"/>
        </w:rPr>
      </w:pPr>
      <w:r w:rsidRPr="00B07D58">
        <w:rPr>
          <w:rFonts w:asciiTheme="majorBidi" w:eastAsia="黑体" w:hAnsiTheme="majorBidi" w:cstheme="majorBidi"/>
        </w:rPr>
        <w:t>残疾妇女</w:t>
      </w:r>
    </w:p>
    <w:p w14:paraId="5EB283D9" w14:textId="77777777" w:rsidR="00AD0239" w:rsidRPr="00710EEA"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spacing w:val="-2"/>
        </w:rPr>
      </w:pPr>
      <w:r>
        <w:rPr>
          <w:rFonts w:hint="eastAsia"/>
        </w:rPr>
        <w:t>42.</w:t>
      </w:r>
      <w:r>
        <w:tab/>
      </w:r>
      <w:r w:rsidRPr="00710EEA">
        <w:rPr>
          <w:rFonts w:hint="eastAsia"/>
          <w:spacing w:val="-2"/>
        </w:rPr>
        <w:t>委员会欢迎缔约国规定在社会企业中雇用包括妇女在内的残疾人的强制性配额，欣见她们参与了立法过程中的协商工作。然而，委员会对以下方面感到关切：</w:t>
      </w:r>
    </w:p>
    <w:p w14:paraId="0178F633" w14:textId="77777777" w:rsidR="00AD0239"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pPr>
      <w:r>
        <w:tab/>
      </w:r>
      <w:r>
        <w:rPr>
          <w:rFonts w:hint="eastAsia"/>
        </w:rPr>
        <w:t>(a)</w:t>
      </w:r>
      <w:r>
        <w:tab/>
      </w:r>
      <w:r>
        <w:rPr>
          <w:rFonts w:hint="eastAsia"/>
        </w:rPr>
        <w:t>有报告反映，残疾妇女被强迫堕胎、遭受非自愿绝育、被强行夺走幼儿、遭到她们的照料人员或护理机构中其他居民的性虐待、医疗和心理需要被忽视或被非自愿安置在精神病院或社会护理机构；</w:t>
      </w:r>
    </w:p>
    <w:p w14:paraId="1889B841" w14:textId="77777777" w:rsidR="00AD0239"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pPr>
      <w:r>
        <w:tab/>
      </w:r>
      <w:r>
        <w:rPr>
          <w:rFonts w:hint="eastAsia"/>
        </w:rPr>
        <w:t>(b)</w:t>
      </w:r>
      <w:r>
        <w:tab/>
      </w:r>
      <w:r>
        <w:rPr>
          <w:rFonts w:hint="eastAsia"/>
        </w:rPr>
        <w:t>对残疾妇女</w:t>
      </w:r>
      <w:r>
        <w:rPr>
          <w:rFonts w:hint="eastAsia"/>
        </w:rPr>
        <w:t>(</w:t>
      </w:r>
      <w:r>
        <w:rPr>
          <w:rFonts w:hint="eastAsia"/>
        </w:rPr>
        <w:t>包括患有智力或心理残疾的妇女</w:t>
      </w:r>
      <w:r>
        <w:rPr>
          <w:rFonts w:hint="eastAsia"/>
        </w:rPr>
        <w:t>)</w:t>
      </w:r>
      <w:r>
        <w:rPr>
          <w:rFonts w:hint="eastAsia"/>
        </w:rPr>
        <w:t>缺乏特别保护，她们是性别暴力侵害妇女行为特别是性暴力行为的受害者，也缺乏为她们提供的专门服务；</w:t>
      </w:r>
    </w:p>
    <w:p w14:paraId="766E5227" w14:textId="77777777" w:rsidR="00AD0239"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pPr>
      <w:r>
        <w:tab/>
      </w:r>
      <w:r>
        <w:rPr>
          <w:rFonts w:hint="eastAsia"/>
        </w:rPr>
        <w:t>(c)</w:t>
      </w:r>
      <w:r>
        <w:tab/>
      </w:r>
      <w:r>
        <w:rPr>
          <w:rFonts w:hint="eastAsia"/>
        </w:rPr>
        <w:t>残疾妇女在就业方面存在多重障碍；</w:t>
      </w:r>
    </w:p>
    <w:p w14:paraId="0152A4E2" w14:textId="77777777" w:rsidR="00AD0239"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pPr>
      <w:r>
        <w:tab/>
      </w:r>
      <w:r>
        <w:rPr>
          <w:rFonts w:hint="eastAsia"/>
        </w:rPr>
        <w:t>(d)</w:t>
      </w:r>
      <w:r>
        <w:tab/>
      </w:r>
      <w:r>
        <w:rPr>
          <w:rFonts w:hint="eastAsia"/>
        </w:rPr>
        <w:t>宣布缔约国境内</w:t>
      </w:r>
      <w:r>
        <w:rPr>
          <w:rFonts w:hint="eastAsia"/>
        </w:rPr>
        <w:t>4 500</w:t>
      </w:r>
      <w:r>
        <w:rPr>
          <w:rFonts w:hint="eastAsia"/>
        </w:rPr>
        <w:t>多名残疾妇女</w:t>
      </w:r>
      <w:r>
        <w:rPr>
          <w:rFonts w:hint="eastAsia"/>
        </w:rPr>
        <w:t>(</w:t>
      </w:r>
      <w:r>
        <w:rPr>
          <w:rFonts w:hint="eastAsia"/>
        </w:rPr>
        <w:t>包括智力和心理障碍妇女</w:t>
      </w:r>
      <w:r>
        <w:rPr>
          <w:rFonts w:hint="eastAsia"/>
        </w:rPr>
        <w:t>)</w:t>
      </w:r>
      <w:r>
        <w:rPr>
          <w:rFonts w:hint="eastAsia"/>
        </w:rPr>
        <w:t>在法律上无行为能力或能力受限，这影响到残疾妇女参加选举，而且剥夺了她们结婚的权利和监护子女的权利。</w:t>
      </w:r>
    </w:p>
    <w:p w14:paraId="5A8C33F6" w14:textId="0F38BB29" w:rsidR="00AD0239"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pPr>
      <w:r>
        <w:rPr>
          <w:rFonts w:hint="eastAsia"/>
        </w:rPr>
        <w:t>43.</w:t>
      </w:r>
      <w:r>
        <w:tab/>
      </w:r>
      <w:r w:rsidRPr="00B07D58">
        <w:rPr>
          <w:rFonts w:asciiTheme="majorBidi" w:eastAsia="黑体" w:hAnsiTheme="majorBidi" w:cstheme="majorBidi"/>
        </w:rPr>
        <w:t>委员会忆及其此前的建议</w:t>
      </w:r>
      <w:r w:rsidRPr="00B07D58">
        <w:rPr>
          <w:rFonts w:asciiTheme="majorBidi" w:eastAsia="黑体" w:hAnsiTheme="majorBidi" w:cstheme="majorBidi"/>
        </w:rPr>
        <w:t>(</w:t>
      </w:r>
      <w:hyperlink r:id="rId42" w:history="1">
        <w:r w:rsidRPr="00A601C7">
          <w:rPr>
            <w:rStyle w:val="af4"/>
            <w:rFonts w:asciiTheme="majorBidi" w:eastAsia="黑体" w:hAnsiTheme="majorBidi" w:cstheme="majorBidi" w:hint="eastAsia"/>
          </w:rPr>
          <w:t>CEDAW/C/LTU/CO/5</w:t>
        </w:r>
      </w:hyperlink>
      <w:r w:rsidRPr="00B07D58">
        <w:rPr>
          <w:rFonts w:asciiTheme="majorBidi" w:eastAsia="黑体" w:hAnsiTheme="majorBidi" w:cstheme="majorBidi"/>
        </w:rPr>
        <w:t>，第</w:t>
      </w:r>
      <w:r w:rsidRPr="00B07D58">
        <w:rPr>
          <w:rFonts w:asciiTheme="majorBidi" w:eastAsia="黑体" w:hAnsiTheme="majorBidi" w:cstheme="majorBidi"/>
        </w:rPr>
        <w:t>39(d)</w:t>
      </w:r>
      <w:r w:rsidRPr="00B07D58">
        <w:rPr>
          <w:rFonts w:asciiTheme="majorBidi" w:eastAsia="黑体" w:hAnsiTheme="majorBidi" w:cstheme="majorBidi"/>
        </w:rPr>
        <w:t>段</w:t>
      </w:r>
      <w:r w:rsidRPr="00B07D58">
        <w:rPr>
          <w:rFonts w:asciiTheme="majorBidi" w:eastAsia="黑体" w:hAnsiTheme="majorBidi" w:cstheme="majorBidi"/>
        </w:rPr>
        <w:t>)</w:t>
      </w:r>
      <w:r w:rsidRPr="00B07D58">
        <w:rPr>
          <w:rFonts w:asciiTheme="majorBidi" w:eastAsia="黑体" w:hAnsiTheme="majorBidi" w:cstheme="majorBidi"/>
        </w:rPr>
        <w:t>，建议缔约国</w:t>
      </w:r>
      <w:r>
        <w:rPr>
          <w:rFonts w:hint="eastAsia"/>
        </w:rPr>
        <w:t>：</w:t>
      </w:r>
    </w:p>
    <w:p w14:paraId="4FB2579C" w14:textId="77777777" w:rsidR="00AD0239"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pPr>
      <w:r>
        <w:tab/>
      </w:r>
      <w:r>
        <w:rPr>
          <w:rFonts w:hint="eastAsia"/>
        </w:rPr>
        <w:t>(a)</w:t>
      </w:r>
      <w:r>
        <w:tab/>
      </w:r>
      <w:r w:rsidRPr="00B07D58">
        <w:rPr>
          <w:rFonts w:ascii="黑体" w:eastAsia="黑体" w:hAnsi="黑体" w:hint="eastAsia"/>
        </w:rPr>
        <w:t>加强措施，确保残疾妇女不遭受性别暴力；</w:t>
      </w:r>
    </w:p>
    <w:p w14:paraId="07D7C88D" w14:textId="77777777" w:rsidR="00AD0239"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pPr>
      <w:r>
        <w:tab/>
      </w:r>
      <w:r>
        <w:rPr>
          <w:rFonts w:hint="eastAsia"/>
        </w:rPr>
        <w:t>(b)</w:t>
      </w:r>
      <w:r>
        <w:tab/>
      </w:r>
      <w:r w:rsidRPr="00B07D58">
        <w:rPr>
          <w:rFonts w:ascii="黑体" w:eastAsia="黑体" w:hAnsi="黑体" w:hint="eastAsia"/>
        </w:rPr>
        <w:t>确保残疾妇女和女童在未经其自由、事先和知情同意的情况下不接受任何治疗或医疗程序，并确保对残疾妇女和女童实施非自愿或不必要程序的人被追究责任；</w:t>
      </w:r>
    </w:p>
    <w:p w14:paraId="7C358AA2" w14:textId="77777777" w:rsidR="00AD0239"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pPr>
      <w:r>
        <w:tab/>
      </w:r>
      <w:r>
        <w:rPr>
          <w:rFonts w:hint="eastAsia"/>
        </w:rPr>
        <w:t>(c)</w:t>
      </w:r>
      <w:r>
        <w:tab/>
      </w:r>
      <w:r w:rsidRPr="00B07D58">
        <w:rPr>
          <w:rFonts w:ascii="黑体" w:eastAsia="黑体" w:hAnsi="黑体" w:hint="eastAsia"/>
        </w:rPr>
        <w:t>确保残疾妇女有权负责任地自由决定其生育子女的数量和间隔；</w:t>
      </w:r>
    </w:p>
    <w:p w14:paraId="2D1458A5" w14:textId="3D7C59B9" w:rsidR="00AD0239"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pPr>
      <w:r>
        <w:tab/>
      </w:r>
      <w:r>
        <w:rPr>
          <w:rFonts w:hint="eastAsia"/>
        </w:rPr>
        <w:t>(d)</w:t>
      </w:r>
      <w:r>
        <w:tab/>
      </w:r>
      <w:r w:rsidRPr="00B07D58">
        <w:rPr>
          <w:rFonts w:ascii="黑体" w:eastAsia="黑体" w:hAnsi="黑体" w:hint="eastAsia"/>
        </w:rPr>
        <w:t>确保残疾妇女和女童都有权在不受胁迫、歧视和暴力侵害的情况下负责地自由决定与其性行为有关的事项，包括性健康和生殖健康</w:t>
      </w:r>
      <w:r>
        <w:rPr>
          <w:rFonts w:ascii="黑体" w:eastAsia="黑体" w:hAnsi="黑体" w:hint="eastAsia"/>
        </w:rPr>
        <w:t>；</w:t>
      </w:r>
    </w:p>
    <w:p w14:paraId="00998C16" w14:textId="77777777" w:rsidR="00AD0239"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pPr>
      <w:r>
        <w:tab/>
      </w:r>
      <w:r>
        <w:rPr>
          <w:rFonts w:hint="eastAsia"/>
        </w:rPr>
        <w:t>(e)</w:t>
      </w:r>
      <w:r>
        <w:tab/>
      </w:r>
      <w:r w:rsidRPr="00B07D58">
        <w:rPr>
          <w:rFonts w:ascii="黑体" w:eastAsia="黑体" w:hAnsi="黑体" w:hint="eastAsia"/>
        </w:rPr>
        <w:t>加强措施，为残疾妇女和女童提供更好的就业机会；</w:t>
      </w:r>
    </w:p>
    <w:p w14:paraId="1D9FC8D0" w14:textId="77777777" w:rsidR="00AD0239"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pPr>
      <w:r>
        <w:tab/>
      </w:r>
      <w:r>
        <w:rPr>
          <w:rFonts w:hint="eastAsia"/>
        </w:rPr>
        <w:t>(f)</w:t>
      </w:r>
      <w:r>
        <w:tab/>
      </w:r>
      <w:r w:rsidRPr="00B07D58">
        <w:rPr>
          <w:rFonts w:ascii="黑体" w:eastAsia="黑体" w:hAnsi="黑体" w:hint="eastAsia"/>
        </w:rPr>
        <w:t>修改《民法典》，废除关于包括残疾妇女在内的残疾人在法律上无行为能力的规定。</w:t>
      </w:r>
    </w:p>
    <w:p w14:paraId="15E79C79" w14:textId="77777777" w:rsidR="00AD0239" w:rsidRPr="00B07D58"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ascii="黑体" w:eastAsia="黑体" w:hAnsi="黑体"/>
        </w:rPr>
      </w:pPr>
      <w:r w:rsidRPr="00B07D58">
        <w:rPr>
          <w:rFonts w:ascii="黑体" w:eastAsia="黑体" w:hAnsi="黑体" w:hint="eastAsia"/>
        </w:rPr>
        <w:t>婚姻和家庭关系</w:t>
      </w:r>
    </w:p>
    <w:p w14:paraId="716A82D1" w14:textId="77777777" w:rsidR="00AD0239"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pPr>
      <w:r>
        <w:rPr>
          <w:rFonts w:hint="eastAsia"/>
        </w:rPr>
        <w:t>44.</w:t>
      </w:r>
      <w:r>
        <w:tab/>
      </w:r>
      <w:r>
        <w:rPr>
          <w:rFonts w:hint="eastAsia"/>
        </w:rPr>
        <w:t>委员会仍感关切的是：</w:t>
      </w:r>
    </w:p>
    <w:p w14:paraId="1E297E9B" w14:textId="77777777" w:rsidR="00AD0239"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pPr>
      <w:r>
        <w:tab/>
      </w:r>
      <w:r>
        <w:rPr>
          <w:rFonts w:hint="eastAsia"/>
        </w:rPr>
        <w:t>(a)</w:t>
      </w:r>
      <w:r>
        <w:tab/>
      </w:r>
      <w:r>
        <w:rPr>
          <w:rFonts w:hint="eastAsia"/>
        </w:rPr>
        <w:t>缔约国不承认非传统形式的家庭关系；</w:t>
      </w:r>
    </w:p>
    <w:p w14:paraId="38EAC71E" w14:textId="77777777" w:rsidR="00AD0239"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pPr>
      <w:r>
        <w:tab/>
      </w:r>
      <w:r>
        <w:rPr>
          <w:rFonts w:hint="eastAsia"/>
        </w:rPr>
        <w:t>(b)</w:t>
      </w:r>
      <w:r>
        <w:tab/>
      </w:r>
      <w:r>
        <w:rPr>
          <w:rFonts w:hint="eastAsia"/>
        </w:rPr>
        <w:t>在国家儿童权利保护和儿童领养服务局进行评估后，法院可以将同意结婚的最低年龄从</w:t>
      </w:r>
      <w:r>
        <w:rPr>
          <w:rFonts w:hint="eastAsia"/>
        </w:rPr>
        <w:t>18</w:t>
      </w:r>
      <w:r>
        <w:rPr>
          <w:rFonts w:hint="eastAsia"/>
        </w:rPr>
        <w:t>岁降低到</w:t>
      </w:r>
      <w:r>
        <w:rPr>
          <w:rFonts w:hint="eastAsia"/>
        </w:rPr>
        <w:t>16</w:t>
      </w:r>
      <w:r>
        <w:rPr>
          <w:rFonts w:hint="eastAsia"/>
        </w:rPr>
        <w:t>岁，甚至在女童怀孕等重大情况下进一步降低最低年龄。而且，在实践中，女童特别是罗姆女童受童婚的影响格外严重。委员会注意到缔约国的解释，即其不打算毫无例外地将最低结婚年龄提高到</w:t>
      </w:r>
      <w:r>
        <w:rPr>
          <w:rFonts w:hint="eastAsia"/>
        </w:rPr>
        <w:t>18</w:t>
      </w:r>
      <w:r>
        <w:rPr>
          <w:rFonts w:hint="eastAsia"/>
        </w:rPr>
        <w:t>岁。</w:t>
      </w:r>
    </w:p>
    <w:p w14:paraId="21E59654" w14:textId="0E70C7E6" w:rsidR="00AD0239"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pPr>
      <w:r>
        <w:rPr>
          <w:rFonts w:hint="eastAsia"/>
        </w:rPr>
        <w:t>45.</w:t>
      </w:r>
      <w:r>
        <w:tab/>
      </w:r>
      <w:r w:rsidRPr="00A3000C">
        <w:rPr>
          <w:rFonts w:asciiTheme="majorBidi" w:eastAsia="黑体" w:hAnsiTheme="majorBidi" w:cstheme="majorBidi"/>
        </w:rPr>
        <w:t>委员会忆及其此前的建议</w:t>
      </w:r>
      <w:r w:rsidRPr="00A3000C">
        <w:rPr>
          <w:rFonts w:asciiTheme="majorBidi" w:eastAsia="黑体" w:hAnsiTheme="majorBidi" w:cstheme="majorBidi"/>
        </w:rPr>
        <w:t>(</w:t>
      </w:r>
      <w:hyperlink r:id="rId43" w:history="1">
        <w:r w:rsidRPr="00A601C7">
          <w:rPr>
            <w:rStyle w:val="af4"/>
            <w:rFonts w:asciiTheme="majorBidi" w:eastAsia="黑体" w:hAnsiTheme="majorBidi" w:cstheme="majorBidi" w:hint="eastAsia"/>
          </w:rPr>
          <w:t>CEDAW/C/LTU/CO/5</w:t>
        </w:r>
      </w:hyperlink>
      <w:r w:rsidRPr="00A3000C">
        <w:rPr>
          <w:rFonts w:asciiTheme="majorBidi" w:eastAsia="黑体" w:hAnsiTheme="majorBidi" w:cstheme="majorBidi"/>
        </w:rPr>
        <w:t>，第</w:t>
      </w:r>
      <w:r w:rsidRPr="00A3000C">
        <w:rPr>
          <w:rFonts w:asciiTheme="majorBidi" w:eastAsia="黑体" w:hAnsiTheme="majorBidi" w:cstheme="majorBidi"/>
        </w:rPr>
        <w:t>41</w:t>
      </w:r>
      <w:r w:rsidRPr="00A3000C">
        <w:rPr>
          <w:rFonts w:asciiTheme="majorBidi" w:eastAsia="黑体" w:hAnsiTheme="majorBidi" w:cstheme="majorBidi"/>
        </w:rPr>
        <w:t>段</w:t>
      </w:r>
      <w:r w:rsidRPr="00A3000C">
        <w:rPr>
          <w:rFonts w:asciiTheme="majorBidi" w:eastAsia="黑体" w:hAnsiTheme="majorBidi" w:cstheme="majorBidi"/>
        </w:rPr>
        <w:t>)</w:t>
      </w:r>
      <w:r w:rsidRPr="00A3000C">
        <w:rPr>
          <w:rFonts w:asciiTheme="majorBidi" w:eastAsia="黑体" w:hAnsiTheme="majorBidi" w:cstheme="majorBidi"/>
        </w:rPr>
        <w:t>，建议缔约国</w:t>
      </w:r>
      <w:r>
        <w:rPr>
          <w:rFonts w:hint="eastAsia"/>
        </w:rPr>
        <w:t>：</w:t>
      </w:r>
    </w:p>
    <w:p w14:paraId="7FC4D27A" w14:textId="77777777" w:rsidR="00AD0239"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pPr>
      <w:r>
        <w:tab/>
      </w:r>
      <w:r>
        <w:rPr>
          <w:rFonts w:hint="eastAsia"/>
        </w:rPr>
        <w:t>(a)</w:t>
      </w:r>
      <w:r>
        <w:tab/>
      </w:r>
      <w:r w:rsidRPr="00A3000C">
        <w:rPr>
          <w:rFonts w:asciiTheme="majorBidi" w:eastAsia="黑体" w:hAnsiTheme="majorBidi" w:cstheme="majorBidi"/>
        </w:rPr>
        <w:t>根据委员会关于婚姻和家庭关系平等的第</w:t>
      </w:r>
      <w:r w:rsidRPr="00A3000C">
        <w:rPr>
          <w:rFonts w:asciiTheme="majorBidi" w:eastAsia="黑体" w:hAnsiTheme="majorBidi" w:cstheme="majorBidi"/>
        </w:rPr>
        <w:t>21</w:t>
      </w:r>
      <w:r w:rsidRPr="00A3000C">
        <w:rPr>
          <w:rFonts w:asciiTheme="majorBidi" w:eastAsia="黑体" w:hAnsiTheme="majorBidi" w:cstheme="majorBidi"/>
        </w:rPr>
        <w:t>号一般性建议</w:t>
      </w:r>
      <w:r w:rsidRPr="00A3000C">
        <w:rPr>
          <w:rFonts w:asciiTheme="majorBidi" w:eastAsia="黑体" w:hAnsiTheme="majorBidi" w:cstheme="majorBidi"/>
        </w:rPr>
        <w:t>(1994</w:t>
      </w:r>
      <w:r w:rsidRPr="00A3000C">
        <w:rPr>
          <w:rFonts w:asciiTheme="majorBidi" w:eastAsia="黑体" w:hAnsiTheme="majorBidi" w:cstheme="majorBidi"/>
        </w:rPr>
        <w:t>年</w:t>
      </w:r>
      <w:r w:rsidRPr="00A3000C">
        <w:rPr>
          <w:rFonts w:asciiTheme="majorBidi" w:eastAsia="黑体" w:hAnsiTheme="majorBidi" w:cstheme="majorBidi"/>
        </w:rPr>
        <w:t>)</w:t>
      </w:r>
      <w:r w:rsidRPr="00A3000C">
        <w:rPr>
          <w:rFonts w:asciiTheme="majorBidi" w:eastAsia="黑体" w:hAnsiTheme="majorBidi" w:cstheme="majorBidi"/>
        </w:rPr>
        <w:t>和关于婚姻、家庭关系及其解散的经济后果的第</w:t>
      </w:r>
      <w:r w:rsidRPr="00A3000C">
        <w:rPr>
          <w:rFonts w:asciiTheme="majorBidi" w:eastAsia="黑体" w:hAnsiTheme="majorBidi" w:cstheme="majorBidi"/>
        </w:rPr>
        <w:t>29</w:t>
      </w:r>
      <w:r w:rsidRPr="00A3000C">
        <w:rPr>
          <w:rFonts w:asciiTheme="majorBidi" w:eastAsia="黑体" w:hAnsiTheme="majorBidi" w:cstheme="majorBidi"/>
        </w:rPr>
        <w:t>号一般性建议</w:t>
      </w:r>
      <w:r w:rsidRPr="00A3000C">
        <w:rPr>
          <w:rFonts w:asciiTheme="majorBidi" w:eastAsia="黑体" w:hAnsiTheme="majorBidi" w:cstheme="majorBidi"/>
        </w:rPr>
        <w:t>(2013</w:t>
      </w:r>
      <w:r w:rsidRPr="00A3000C">
        <w:rPr>
          <w:rFonts w:asciiTheme="majorBidi" w:eastAsia="黑体" w:hAnsiTheme="majorBidi" w:cstheme="majorBidi"/>
        </w:rPr>
        <w:t>年</w:t>
      </w:r>
      <w:r w:rsidRPr="00A3000C">
        <w:rPr>
          <w:rFonts w:asciiTheme="majorBidi" w:eastAsia="黑体" w:hAnsiTheme="majorBidi" w:cstheme="majorBidi"/>
        </w:rPr>
        <w:t>)</w:t>
      </w:r>
      <w:r w:rsidRPr="00A3000C">
        <w:rPr>
          <w:rFonts w:asciiTheme="majorBidi" w:eastAsia="黑体" w:hAnsiTheme="majorBidi" w:cstheme="majorBidi"/>
        </w:rPr>
        <w:t>，承认婚姻以外的非传统家庭关系形式，包括同性和事实上的结合</w:t>
      </w:r>
      <w:r>
        <w:rPr>
          <w:rFonts w:hint="eastAsia"/>
        </w:rPr>
        <w:t>；</w:t>
      </w:r>
    </w:p>
    <w:p w14:paraId="3CCB9AD7" w14:textId="77777777" w:rsidR="00AD0239" w:rsidRPr="00A3000C"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asciiTheme="majorBidi" w:eastAsia="黑体" w:hAnsiTheme="majorBidi" w:cstheme="majorBidi"/>
        </w:rPr>
      </w:pPr>
      <w:r>
        <w:tab/>
      </w:r>
      <w:r>
        <w:rPr>
          <w:rFonts w:hint="eastAsia"/>
        </w:rPr>
        <w:t>(b)</w:t>
      </w:r>
      <w:r>
        <w:tab/>
      </w:r>
      <w:r w:rsidRPr="00A3000C">
        <w:rPr>
          <w:rFonts w:asciiTheme="majorBidi" w:eastAsia="黑体" w:hAnsiTheme="majorBidi" w:cstheme="majorBidi"/>
        </w:rPr>
        <w:t>修订《民法典》，毫无例外地将男女最低结婚年龄提高到</w:t>
      </w:r>
      <w:r w:rsidRPr="00A3000C">
        <w:rPr>
          <w:rFonts w:asciiTheme="majorBidi" w:eastAsia="黑体" w:hAnsiTheme="majorBidi" w:cstheme="majorBidi"/>
        </w:rPr>
        <w:t>18</w:t>
      </w:r>
      <w:r w:rsidRPr="00A3000C">
        <w:rPr>
          <w:rFonts w:asciiTheme="majorBidi" w:eastAsia="黑体" w:hAnsiTheme="majorBidi" w:cstheme="majorBidi"/>
        </w:rPr>
        <w:t>岁。</w:t>
      </w:r>
    </w:p>
    <w:p w14:paraId="6A000225" w14:textId="77777777" w:rsidR="00AD0239"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pPr>
      <w:r w:rsidRPr="00A3000C">
        <w:rPr>
          <w:rFonts w:asciiTheme="majorBidi" w:eastAsia="黑体" w:hAnsiTheme="majorBidi" w:cstheme="majorBidi"/>
        </w:rPr>
        <w:t>数据收集和分析</w:t>
      </w:r>
    </w:p>
    <w:p w14:paraId="1D5F2FB1" w14:textId="77777777" w:rsidR="00AD0239"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pPr>
      <w:r>
        <w:rPr>
          <w:rFonts w:hint="eastAsia"/>
        </w:rPr>
        <w:t>46.</w:t>
      </w:r>
      <w:r>
        <w:tab/>
      </w:r>
      <w:r>
        <w:rPr>
          <w:rFonts w:hint="eastAsia"/>
        </w:rPr>
        <w:t>委员会欢迎平等机会监察员和立陶宛统计局为生成更多按性别分列的数据开展联合项目并发布性别平等统计图，注意到立陶宛统计局打算升级官方统计门户网站、增加一个专门讨论性别平等的新栏目。然而，委员会感到关切的是，与农村妇女和女童有关的按性别和年龄分列的数据仍然稀少。</w:t>
      </w:r>
    </w:p>
    <w:p w14:paraId="67B56281" w14:textId="77777777" w:rsidR="00AD0239" w:rsidRPr="00A3000C"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ascii="黑体" w:eastAsia="黑体" w:hAnsi="黑体"/>
        </w:rPr>
      </w:pPr>
      <w:r>
        <w:rPr>
          <w:rFonts w:hint="eastAsia"/>
        </w:rPr>
        <w:t>47.</w:t>
      </w:r>
      <w:r>
        <w:tab/>
      </w:r>
      <w:r w:rsidRPr="00A3000C">
        <w:rPr>
          <w:rFonts w:ascii="黑体" w:eastAsia="黑体" w:hAnsi="黑体" w:hint="eastAsia"/>
        </w:rPr>
        <w:t>委员会建议立陶宛统计局迅速完成其官方统计门户网站的升级工作，增加一个专门讨论性别平等的新栏目，并建议缔约国在下一次定期报告中列入按性别和年龄分列的全面数据，特别是与农村妇女和女童有关的数据。</w:t>
      </w:r>
    </w:p>
    <w:p w14:paraId="3490DA76" w14:textId="77777777" w:rsidR="00AD0239" w:rsidRPr="00A3000C"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ascii="黑体" w:eastAsia="黑体" w:hAnsi="黑体"/>
        </w:rPr>
      </w:pPr>
      <w:r w:rsidRPr="00A3000C">
        <w:rPr>
          <w:rFonts w:ascii="黑体" w:eastAsia="黑体" w:hAnsi="黑体" w:hint="eastAsia"/>
        </w:rPr>
        <w:t>《北京宣言》和《行动纲要》</w:t>
      </w:r>
    </w:p>
    <w:p w14:paraId="3419B46A" w14:textId="77777777" w:rsidR="00AD0239" w:rsidRPr="00A3000C"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ascii="黑体" w:eastAsia="黑体" w:hAnsi="黑体"/>
        </w:rPr>
      </w:pPr>
      <w:r>
        <w:rPr>
          <w:rFonts w:hint="eastAsia"/>
        </w:rPr>
        <w:t>48.</w:t>
      </w:r>
      <w:r>
        <w:tab/>
      </w:r>
      <w:r w:rsidRPr="00A3000C">
        <w:rPr>
          <w:rFonts w:ascii="黑体" w:eastAsia="黑体" w:hAnsi="黑体" w:hint="eastAsia"/>
        </w:rPr>
        <w:t>委员会呼吁缔约国运用《北京宣言》和《行动纲要》，在《宣言》和《行动纲要》执行情</w:t>
      </w:r>
      <w:r w:rsidRPr="00710EEA">
        <w:rPr>
          <w:rFonts w:eastAsia="黑体" w:hint="eastAsia"/>
        </w:rPr>
        <w:t>况</w:t>
      </w:r>
      <w:r w:rsidRPr="00710EEA">
        <w:rPr>
          <w:rFonts w:eastAsia="黑体"/>
        </w:rPr>
        <w:t>25</w:t>
      </w:r>
      <w:r w:rsidRPr="00710EEA">
        <w:rPr>
          <w:rFonts w:eastAsia="黑体" w:hint="eastAsia"/>
        </w:rPr>
        <w:t>年审查的背</w:t>
      </w:r>
      <w:r w:rsidRPr="00A3000C">
        <w:rPr>
          <w:rFonts w:ascii="黑体" w:eastAsia="黑体" w:hAnsi="黑体" w:hint="eastAsia"/>
        </w:rPr>
        <w:t>景下，进一步评估《公约》的执行情况，以实现男女实质性平等。</w:t>
      </w:r>
    </w:p>
    <w:p w14:paraId="592B0E4A" w14:textId="77777777" w:rsidR="00AD0239" w:rsidRPr="00A3000C"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ascii="黑体" w:eastAsia="黑体" w:hAnsi="黑体"/>
        </w:rPr>
      </w:pPr>
      <w:r w:rsidRPr="00A3000C">
        <w:rPr>
          <w:rFonts w:ascii="黑体" w:eastAsia="黑体" w:hAnsi="黑体" w:hint="eastAsia"/>
        </w:rPr>
        <w:t>传播</w:t>
      </w:r>
    </w:p>
    <w:p w14:paraId="63D0072B" w14:textId="77777777" w:rsidR="00AD0239" w:rsidRPr="00A3000C"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ascii="黑体" w:eastAsia="黑体" w:hAnsi="黑体"/>
        </w:rPr>
      </w:pPr>
      <w:r>
        <w:rPr>
          <w:rFonts w:hint="eastAsia"/>
        </w:rPr>
        <w:t>49.</w:t>
      </w:r>
      <w:r>
        <w:tab/>
      </w:r>
      <w:r w:rsidRPr="00A3000C">
        <w:rPr>
          <w:rFonts w:ascii="黑体" w:eastAsia="黑体" w:hAnsi="黑体" w:hint="eastAsia"/>
        </w:rPr>
        <w:t>委员会请缔约国确保以官方语言向</w:t>
      </w:r>
      <w:r w:rsidRPr="00710EEA">
        <w:rPr>
          <w:rFonts w:eastAsia="黑体"/>
        </w:rPr>
        <w:t>(</w:t>
      </w:r>
      <w:r w:rsidRPr="00710EEA">
        <w:rPr>
          <w:rFonts w:eastAsia="黑体" w:hint="eastAsia"/>
        </w:rPr>
        <w:t>国家、地区和地方</w:t>
      </w:r>
      <w:r w:rsidRPr="00710EEA">
        <w:rPr>
          <w:rFonts w:eastAsia="黑体"/>
        </w:rPr>
        <w:t>)</w:t>
      </w:r>
      <w:r w:rsidRPr="00A3000C">
        <w:rPr>
          <w:rFonts w:ascii="黑体" w:eastAsia="黑体" w:hAnsi="黑体" w:hint="eastAsia"/>
        </w:rPr>
        <w:t>各级相关国家机构，尤其是向政府、各部委、议会和司法部门及时传播本结论性意见，使之得到充分落实。</w:t>
      </w:r>
    </w:p>
    <w:p w14:paraId="39507945" w14:textId="77777777" w:rsidR="00CA797E" w:rsidRDefault="00CA797E">
      <w:pPr>
        <w:spacing w:line="240" w:lineRule="auto"/>
        <w:jc w:val="left"/>
        <w:rPr>
          <w:rFonts w:ascii="黑体" w:eastAsia="黑体" w:hAnsi="黑体"/>
        </w:rPr>
      </w:pPr>
      <w:r>
        <w:rPr>
          <w:rFonts w:ascii="黑体" w:eastAsia="黑体" w:hAnsi="黑体"/>
        </w:rPr>
        <w:br w:type="page"/>
      </w:r>
    </w:p>
    <w:p w14:paraId="3EAFF81A" w14:textId="5F22136F" w:rsidR="00AD0239"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pPr>
      <w:r w:rsidRPr="00A3000C">
        <w:rPr>
          <w:rFonts w:ascii="黑体" w:eastAsia="黑体" w:hAnsi="黑体" w:hint="eastAsia"/>
        </w:rPr>
        <w:t>批准其他条约</w:t>
      </w:r>
    </w:p>
    <w:p w14:paraId="7FCDE478" w14:textId="7B431C6B" w:rsidR="00AD0239" w:rsidRPr="00A3000C"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ascii="黑体" w:eastAsia="黑体" w:hAnsi="黑体"/>
        </w:rPr>
      </w:pPr>
      <w:r>
        <w:rPr>
          <w:rFonts w:hint="eastAsia"/>
        </w:rPr>
        <w:t>50.</w:t>
      </w:r>
      <w:r>
        <w:tab/>
      </w:r>
      <w:r w:rsidRPr="00A3000C">
        <w:rPr>
          <w:rFonts w:ascii="黑体" w:eastAsia="黑体" w:hAnsi="黑体" w:hint="eastAsia"/>
        </w:rPr>
        <w:t>委员会指出，缔约国如能加入九项</w:t>
      </w:r>
      <w:r w:rsidR="005244F6">
        <w:rPr>
          <w:rFonts w:ascii="黑体" w:eastAsia="黑体" w:hAnsi="黑体" w:hint="eastAsia"/>
        </w:rPr>
        <w:t>主要</w:t>
      </w:r>
      <w:r w:rsidRPr="00A3000C">
        <w:rPr>
          <w:rFonts w:ascii="黑体" w:eastAsia="黑体" w:hAnsi="黑体" w:hint="eastAsia"/>
        </w:rPr>
        <w:t>国际人权文书，</w:t>
      </w:r>
      <w:r w:rsidRPr="00D41374">
        <w:rPr>
          <w:rStyle w:val="a3"/>
          <w:rFonts w:ascii="黑体" w:eastAsia="黑体" w:hAnsi="黑体"/>
        </w:rPr>
        <w:footnoteReference w:id="1"/>
      </w:r>
      <w:r w:rsidRPr="00A3000C">
        <w:rPr>
          <w:rFonts w:ascii="黑体" w:eastAsia="黑体" w:hAnsi="黑体" w:hint="eastAsia"/>
        </w:rPr>
        <w:t xml:space="preserve"> 便可以促进妇女在生活各方面享有人权和基本自由。因此，委员会鼓励缔约国批准其尚未加入的《保护所有移徙工人及其家庭成员权利国际公约》。</w:t>
      </w:r>
    </w:p>
    <w:p w14:paraId="18C2C66F" w14:textId="77777777" w:rsidR="00AD0239" w:rsidRPr="00A3000C"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ascii="黑体" w:eastAsia="黑体" w:hAnsi="黑体"/>
        </w:rPr>
      </w:pPr>
      <w:r w:rsidRPr="00A3000C">
        <w:rPr>
          <w:rFonts w:ascii="黑体" w:eastAsia="黑体" w:hAnsi="黑体" w:hint="eastAsia"/>
        </w:rPr>
        <w:t>结论性意见的后续落实</w:t>
      </w:r>
    </w:p>
    <w:p w14:paraId="0343471A" w14:textId="77777777" w:rsidR="00AD0239" w:rsidRPr="00A3000C"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asciiTheme="majorBidi" w:eastAsia="黑体" w:hAnsiTheme="majorBidi" w:cstheme="majorBidi"/>
        </w:rPr>
      </w:pPr>
      <w:r>
        <w:rPr>
          <w:rFonts w:hint="eastAsia"/>
        </w:rPr>
        <w:t>51.</w:t>
      </w:r>
      <w:r>
        <w:tab/>
      </w:r>
      <w:r w:rsidRPr="00A3000C">
        <w:rPr>
          <w:rFonts w:asciiTheme="majorBidi" w:eastAsia="黑体" w:hAnsiTheme="majorBidi" w:cstheme="majorBidi"/>
        </w:rPr>
        <w:t>委员会请缔约国在两年内提供书面资料，说明为执行上文第</w:t>
      </w:r>
      <w:r w:rsidRPr="00A3000C">
        <w:rPr>
          <w:rFonts w:asciiTheme="majorBidi" w:eastAsia="黑体" w:hAnsiTheme="majorBidi" w:cstheme="majorBidi"/>
        </w:rPr>
        <w:t>23(c)</w:t>
      </w:r>
      <w:r w:rsidRPr="00A3000C">
        <w:rPr>
          <w:rFonts w:asciiTheme="majorBidi" w:eastAsia="黑体" w:hAnsiTheme="majorBidi" w:cstheme="majorBidi"/>
        </w:rPr>
        <w:t>和</w:t>
      </w:r>
      <w:r w:rsidRPr="00A3000C">
        <w:rPr>
          <w:rFonts w:asciiTheme="majorBidi" w:eastAsia="黑体" w:hAnsiTheme="majorBidi" w:cstheme="majorBidi"/>
        </w:rPr>
        <w:t>(e)</w:t>
      </w:r>
      <w:r w:rsidRPr="00A3000C">
        <w:rPr>
          <w:rFonts w:asciiTheme="majorBidi" w:eastAsia="黑体" w:hAnsiTheme="majorBidi" w:cstheme="majorBidi"/>
        </w:rPr>
        <w:t>、</w:t>
      </w:r>
      <w:r w:rsidRPr="00A3000C">
        <w:rPr>
          <w:rFonts w:asciiTheme="majorBidi" w:eastAsia="黑体" w:hAnsiTheme="majorBidi" w:cstheme="majorBidi"/>
        </w:rPr>
        <w:t>37(b)</w:t>
      </w:r>
      <w:r w:rsidRPr="00A3000C">
        <w:rPr>
          <w:rFonts w:asciiTheme="majorBidi" w:eastAsia="黑体" w:hAnsiTheme="majorBidi" w:cstheme="majorBidi"/>
        </w:rPr>
        <w:t>和</w:t>
      </w:r>
      <w:r w:rsidRPr="00A3000C">
        <w:rPr>
          <w:rFonts w:asciiTheme="majorBidi" w:eastAsia="黑体" w:hAnsiTheme="majorBidi" w:cstheme="majorBidi"/>
        </w:rPr>
        <w:t>43(d)</w:t>
      </w:r>
      <w:r w:rsidRPr="00A3000C">
        <w:rPr>
          <w:rFonts w:asciiTheme="majorBidi" w:eastAsia="黑体" w:hAnsiTheme="majorBidi" w:cstheme="majorBidi"/>
        </w:rPr>
        <w:t>段所载建议而采取的步骤。</w:t>
      </w:r>
    </w:p>
    <w:p w14:paraId="470B5B74" w14:textId="77777777" w:rsidR="00AD0239" w:rsidRPr="00A3000C"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asciiTheme="majorBidi" w:eastAsia="黑体" w:hAnsiTheme="majorBidi" w:cstheme="majorBidi"/>
        </w:rPr>
      </w:pPr>
      <w:r w:rsidRPr="00A3000C">
        <w:rPr>
          <w:rFonts w:asciiTheme="majorBidi" w:eastAsia="黑体" w:hAnsiTheme="majorBidi" w:cstheme="majorBidi"/>
        </w:rPr>
        <w:t>编写下次报告</w:t>
      </w:r>
    </w:p>
    <w:p w14:paraId="19C05506" w14:textId="77777777" w:rsidR="00AD0239"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pPr>
      <w:r>
        <w:rPr>
          <w:rFonts w:hint="eastAsia"/>
        </w:rPr>
        <w:t>52.</w:t>
      </w:r>
      <w:r>
        <w:tab/>
      </w:r>
      <w:r w:rsidRPr="00A3000C">
        <w:rPr>
          <w:rFonts w:asciiTheme="majorBidi" w:eastAsia="黑体" w:hAnsiTheme="majorBidi" w:cstheme="majorBidi"/>
        </w:rPr>
        <w:t>委员会请缔约国于</w:t>
      </w:r>
      <w:r w:rsidRPr="00A3000C">
        <w:rPr>
          <w:rFonts w:asciiTheme="majorBidi" w:eastAsia="黑体" w:hAnsiTheme="majorBidi" w:cstheme="majorBidi"/>
        </w:rPr>
        <w:t>2023</w:t>
      </w:r>
      <w:r w:rsidRPr="00A3000C">
        <w:rPr>
          <w:rFonts w:asciiTheme="majorBidi" w:eastAsia="黑体" w:hAnsiTheme="majorBidi" w:cstheme="majorBidi"/>
        </w:rPr>
        <w:t>年</w:t>
      </w:r>
      <w:r w:rsidRPr="00A3000C">
        <w:rPr>
          <w:rFonts w:asciiTheme="majorBidi" w:eastAsia="黑体" w:hAnsiTheme="majorBidi" w:cstheme="majorBidi"/>
        </w:rPr>
        <w:t>11</w:t>
      </w:r>
      <w:r w:rsidRPr="00A3000C">
        <w:rPr>
          <w:rFonts w:asciiTheme="majorBidi" w:eastAsia="黑体" w:hAnsiTheme="majorBidi" w:cstheme="majorBidi"/>
        </w:rPr>
        <w:t>月提交其第七次定期报告。报告应按时提交，涵盖的期限应为截至提交之时的整个期间。</w:t>
      </w:r>
    </w:p>
    <w:p w14:paraId="028A9688" w14:textId="3EB006C7" w:rsidR="00AD0239" w:rsidRDefault="00AD0239" w:rsidP="00AD0239">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pPr>
      <w:r>
        <w:rPr>
          <w:rFonts w:hint="eastAsia"/>
        </w:rPr>
        <w:t>53.</w:t>
      </w:r>
      <w:r>
        <w:tab/>
      </w:r>
      <w:r w:rsidRPr="00A3000C">
        <w:rPr>
          <w:rFonts w:asciiTheme="majorBidi" w:eastAsia="黑体" w:hAnsiTheme="majorBidi" w:cstheme="majorBidi"/>
        </w:rPr>
        <w:t>委员会请缔约国遵守包括共同核心文件和条约专要文件准则在内的根据国际人权条约统一提交报告准则</w:t>
      </w:r>
      <w:r w:rsidRPr="00A3000C">
        <w:rPr>
          <w:rFonts w:asciiTheme="majorBidi" w:eastAsia="黑体" w:hAnsiTheme="majorBidi" w:cstheme="majorBidi"/>
        </w:rPr>
        <w:t>(</w:t>
      </w:r>
      <w:hyperlink r:id="rId44" w:history="1">
        <w:r w:rsidRPr="00A601C7">
          <w:rPr>
            <w:rStyle w:val="af4"/>
            <w:rFonts w:asciiTheme="majorBidi" w:eastAsia="黑体" w:hAnsiTheme="majorBidi" w:cstheme="majorBidi" w:hint="eastAsia"/>
          </w:rPr>
          <w:t>HRI/GEN/2/Rev.6</w:t>
        </w:r>
      </w:hyperlink>
      <w:r w:rsidRPr="00A3000C">
        <w:rPr>
          <w:rFonts w:asciiTheme="majorBidi" w:eastAsia="黑体" w:hAnsiTheme="majorBidi" w:cstheme="majorBidi"/>
        </w:rPr>
        <w:t>，第一章</w:t>
      </w:r>
      <w:r w:rsidRPr="00A3000C">
        <w:rPr>
          <w:rFonts w:asciiTheme="majorBidi" w:eastAsia="黑体" w:hAnsiTheme="majorBidi" w:cstheme="majorBidi"/>
        </w:rPr>
        <w:t>)</w:t>
      </w:r>
      <w:r w:rsidRPr="00A3000C">
        <w:rPr>
          <w:rFonts w:asciiTheme="majorBidi" w:eastAsia="黑体" w:hAnsiTheme="majorBidi" w:cstheme="majorBidi"/>
        </w:rPr>
        <w:t>。</w:t>
      </w:r>
    </w:p>
    <w:p w14:paraId="19BDA099" w14:textId="767D1136" w:rsidR="00AD0239" w:rsidRPr="00524851" w:rsidRDefault="00524851" w:rsidP="00524851">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spacing w:after="0" w:line="240" w:lineRule="auto"/>
        <w:ind w:left="1267" w:right="1260"/>
        <w:rPr>
          <w:sz w:val="20"/>
        </w:rPr>
      </w:pPr>
      <w:r>
        <w:rPr>
          <w:noProof/>
          <w:sz w:val="20"/>
        </w:rPr>
        <mc:AlternateContent>
          <mc:Choice Requires="wps">
            <w:drawing>
              <wp:anchor distT="0" distB="0" distL="114300" distR="114300" simplePos="0" relativeHeight="251660288" behindDoc="0" locked="0" layoutInCell="1" allowOverlap="1" wp14:anchorId="370A30E4" wp14:editId="0E68A4AB">
                <wp:simplePos x="0" y="0"/>
                <wp:positionH relativeFrom="column">
                  <wp:align>center</wp:align>
                </wp:positionH>
                <wp:positionV relativeFrom="paragraph">
                  <wp:posOffset>381000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77DC60C" id="直接连接符 5" o:spid="_x0000_s1026" style="position:absolute;left:0;text-align:left;z-index:251660288;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DVwxa16QEAAAkEAAAOAAAAAAAAAAAAAAAAAC4CAABkcnMvZTJvRG9jLnhtbFBL&#10;AQItABQABgAIAAAAIQDVtq9a2wAAAAYBAAAPAAAAAAAAAAAAAAAAAEMEAABkcnMvZG93bnJldi54&#10;bWxQSwUGAAAAAAQABADzAAAASwUAAAAA&#10;" strokecolor="#010000" strokeweight=".25pt"/>
            </w:pict>
          </mc:Fallback>
        </mc:AlternateContent>
      </w:r>
    </w:p>
    <w:p w14:paraId="7BC335C0" w14:textId="77777777" w:rsidR="008546AB" w:rsidRPr="00DC6EF5" w:rsidRDefault="008546AB" w:rsidP="00DC6EF5">
      <w:pPr>
        <w:pStyle w:val="SingleTxt"/>
      </w:pPr>
      <w:bookmarkStart w:id="1" w:name="_GoBack"/>
      <w:bookmarkEnd w:id="1"/>
    </w:p>
    <w:sectPr w:rsidR="008546AB" w:rsidRPr="00DC6EF5" w:rsidSect="008546AB">
      <w:type w:val="continuous"/>
      <w:pgSz w:w="12240" w:h="15840" w:code="1"/>
      <w:pgMar w:top="1440" w:right="1200" w:bottom="1152"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1-21T14:08:00Z" w:initials="Start">
    <w:p w14:paraId="342030ED" w14:textId="77777777" w:rsidR="00DC6EF5" w:rsidRDefault="00DC6EF5">
      <w:pPr>
        <w:pStyle w:val="a9"/>
      </w:pPr>
      <w:r>
        <w:fldChar w:fldCharType="begin"/>
      </w:r>
      <w:r>
        <w:rPr>
          <w:rStyle w:val="ad"/>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d"/>
        </w:rPr>
        <w:instrText xml:space="preserve"> </w:instrText>
      </w:r>
      <w:r>
        <w:fldChar w:fldCharType="end"/>
      </w:r>
      <w:r>
        <w:rPr>
          <w:rStyle w:val="ad"/>
        </w:rPr>
        <w:annotationRef/>
      </w:r>
      <w:r>
        <w:t>&lt;&lt;ODS JOB NO&gt;&gt;N1936299C&lt;&lt;ODS JOB NO&gt;&gt;</w:t>
      </w:r>
    </w:p>
    <w:p w14:paraId="5201B848" w14:textId="77777777" w:rsidR="00DC6EF5" w:rsidRDefault="00DC6EF5">
      <w:pPr>
        <w:pStyle w:val="a9"/>
      </w:pPr>
      <w:r>
        <w:t>&lt;&lt;ODS DOC SYMBOL1&gt;&gt;CEDAW/C/LTU/CO/6&lt;&lt;ODS DOC SYMBOL1&gt;&gt;</w:t>
      </w:r>
    </w:p>
    <w:p w14:paraId="2707873D" w14:textId="77777777" w:rsidR="00DC6EF5" w:rsidRDefault="00DC6EF5">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707873D"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F0EB51" w14:textId="77777777" w:rsidR="00A32426" w:rsidRDefault="00A32426">
      <w:r>
        <w:separator/>
      </w:r>
    </w:p>
  </w:endnote>
  <w:endnote w:type="continuationSeparator" w:id="0">
    <w:p w14:paraId="0D776D58" w14:textId="77777777" w:rsidR="00A32426" w:rsidRDefault="00A324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KaiTi">
    <w:altName w:val="KaiTi"/>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panose1 w:val="02010609030101010101"/>
    <w:charset w:val="86"/>
    <w:family w:val="modern"/>
    <w:pitch w:val="fixed"/>
    <w:sig w:usb0="00000003" w:usb1="080E0000" w:usb2="00000010"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C6EF5" w14:paraId="5E29D535" w14:textId="77777777" w:rsidTr="00DC6EF5">
      <w:tc>
        <w:tcPr>
          <w:tcW w:w="4920" w:type="dxa"/>
          <w:shd w:val="clear" w:color="auto" w:fill="auto"/>
        </w:tcPr>
        <w:p w14:paraId="00D86392" w14:textId="3BF25DF3" w:rsidR="00DC6EF5" w:rsidRPr="00DC6EF5" w:rsidRDefault="00DC6EF5" w:rsidP="00DC6EF5">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9743D">
            <w:rPr>
              <w:b w:val="0"/>
              <w:w w:val="103"/>
              <w:sz w:val="14"/>
            </w:rPr>
            <w:t>19-19545</w:t>
          </w:r>
          <w:r>
            <w:rPr>
              <w:b w:val="0"/>
              <w:w w:val="103"/>
              <w:sz w:val="14"/>
            </w:rPr>
            <w:fldChar w:fldCharType="end"/>
          </w:r>
        </w:p>
      </w:tc>
      <w:tc>
        <w:tcPr>
          <w:tcW w:w="4920" w:type="dxa"/>
          <w:shd w:val="clear" w:color="auto" w:fill="auto"/>
        </w:tcPr>
        <w:p w14:paraId="08707AF6" w14:textId="77777777" w:rsidR="00DC6EF5" w:rsidRPr="00DC6EF5" w:rsidRDefault="00DC6EF5" w:rsidP="00DC6EF5">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5E52D2F" w14:textId="77777777" w:rsidR="00DC6EF5" w:rsidRPr="00DC6EF5" w:rsidRDefault="00DC6EF5" w:rsidP="00DC6EF5">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C6EF5" w14:paraId="12A1010B" w14:textId="77777777" w:rsidTr="00DC6EF5">
      <w:tc>
        <w:tcPr>
          <w:tcW w:w="4920" w:type="dxa"/>
          <w:shd w:val="clear" w:color="auto" w:fill="auto"/>
        </w:tcPr>
        <w:p w14:paraId="45357332" w14:textId="77777777" w:rsidR="00DC6EF5" w:rsidRPr="00DC6EF5" w:rsidRDefault="00DC6EF5" w:rsidP="00DC6EF5">
          <w:pPr>
            <w:pStyle w:val="af2"/>
            <w:jc w:val="right"/>
          </w:pPr>
          <w:r>
            <w:fldChar w:fldCharType="begin"/>
          </w:r>
          <w:r>
            <w:instrText xml:space="preserve"> PAGE  \* Arabic  \* MERGEFORMAT </w:instrText>
          </w:r>
          <w:r>
            <w:fldChar w:fldCharType="separate"/>
          </w:r>
          <w:r>
            <w:t>2</w:t>
          </w:r>
          <w:r>
            <w:fldChar w:fldCharType="end"/>
          </w:r>
          <w:r>
            <w:t>/</w:t>
          </w:r>
          <w:r w:rsidR="00E9743D">
            <w:fldChar w:fldCharType="begin"/>
          </w:r>
          <w:r w:rsidR="00E9743D">
            <w:instrText xml:space="preserve"> NUMPAGES  \* Arabic  \* MERGEFORMAT </w:instrText>
          </w:r>
          <w:r w:rsidR="00E9743D">
            <w:fldChar w:fldCharType="separate"/>
          </w:r>
          <w:r>
            <w:t>3</w:t>
          </w:r>
          <w:r w:rsidR="00E9743D">
            <w:fldChar w:fldCharType="end"/>
          </w:r>
        </w:p>
      </w:tc>
      <w:tc>
        <w:tcPr>
          <w:tcW w:w="4920" w:type="dxa"/>
          <w:shd w:val="clear" w:color="auto" w:fill="auto"/>
        </w:tcPr>
        <w:p w14:paraId="2E912E11" w14:textId="3061B9CB" w:rsidR="00DC6EF5" w:rsidRPr="00DC6EF5" w:rsidRDefault="00DC6EF5" w:rsidP="00DC6EF5">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9743D">
            <w:rPr>
              <w:b w:val="0"/>
              <w:w w:val="103"/>
              <w:sz w:val="14"/>
            </w:rPr>
            <w:t>19-19545</w:t>
          </w:r>
          <w:r>
            <w:rPr>
              <w:b w:val="0"/>
              <w:w w:val="103"/>
              <w:sz w:val="14"/>
            </w:rPr>
            <w:fldChar w:fldCharType="end"/>
          </w:r>
        </w:p>
      </w:tc>
    </w:tr>
  </w:tbl>
  <w:p w14:paraId="45B1C5AF" w14:textId="77777777" w:rsidR="00DC6EF5" w:rsidRPr="00DC6EF5" w:rsidRDefault="00DC6EF5" w:rsidP="00DC6EF5">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3744"/>
      <w:gridCol w:w="4920"/>
    </w:tblGrid>
    <w:tr w:rsidR="00DC6EF5" w14:paraId="59A26D8C" w14:textId="77777777" w:rsidTr="00DC6EF5">
      <w:tc>
        <w:tcPr>
          <w:tcW w:w="3744" w:type="dxa"/>
          <w:shd w:val="clear" w:color="auto" w:fill="auto"/>
        </w:tcPr>
        <w:p w14:paraId="0D805FE6" w14:textId="0EBC25ED" w:rsidR="00DC6EF5" w:rsidRDefault="00DC6EF5" w:rsidP="00DC6EF5">
          <w:pPr>
            <w:pStyle w:val="Release"/>
          </w:pPr>
          <w:r>
            <w:rPr>
              <w:noProof/>
            </w:rPr>
            <w:drawing>
              <wp:anchor distT="0" distB="0" distL="114300" distR="114300" simplePos="0" relativeHeight="251658240" behindDoc="0" locked="0" layoutInCell="1" allowOverlap="1" wp14:anchorId="5CD65117" wp14:editId="24F1BC91">
                <wp:simplePos x="0" y="0"/>
                <wp:positionH relativeFrom="column">
                  <wp:posOffset>5522595</wp:posOffset>
                </wp:positionH>
                <wp:positionV relativeFrom="paragraph">
                  <wp:posOffset>-356235</wp:posOffset>
                </wp:positionV>
                <wp:extent cx="694690" cy="694690"/>
                <wp:effectExtent l="0" t="0" r="0" b="0"/>
                <wp:wrapNone/>
                <wp:docPr id="3" name="图片 3" descr="https://undocs.org/m2/QRCode2.ashx?DS=CEDAW/C/LTU/CO/6&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LTU/CO/6&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E9743D">
            <w:fldChar w:fldCharType="begin"/>
          </w:r>
          <w:r w:rsidR="00E9743D">
            <w:instrText xml:space="preserve"> DOCVARIABLE "jobn" \* MERGEFORMAT </w:instrText>
          </w:r>
          <w:r w:rsidR="00E9743D">
            <w:fldChar w:fldCharType="separate"/>
          </w:r>
          <w:r w:rsidR="00E9743D">
            <w:t>19-19545 (C)</w:t>
          </w:r>
          <w:r w:rsidR="00E9743D">
            <w:fldChar w:fldCharType="end"/>
          </w:r>
          <w:r>
            <w:t xml:space="preserve">    211119    1</w:t>
          </w:r>
          <w:r w:rsidR="000C15D3">
            <w:t>7</w:t>
          </w:r>
          <w:r>
            <w:t>1</w:t>
          </w:r>
          <w:r w:rsidR="000C15D3">
            <w:t>2</w:t>
          </w:r>
          <w:r>
            <w:t>19</w:t>
          </w:r>
        </w:p>
        <w:p w14:paraId="10EBA4DB" w14:textId="77777777" w:rsidR="00DC6EF5" w:rsidRPr="00DC6EF5" w:rsidRDefault="00DC6EF5" w:rsidP="00DC6EF5">
          <w:pPr>
            <w:spacing w:before="80" w:line="210" w:lineRule="exact"/>
            <w:rPr>
              <w:rFonts w:ascii="Barcode 3 of 9 by request" w:hAnsi="Barcode 3 of 9 by request"/>
              <w:sz w:val="24"/>
            </w:rPr>
          </w:pPr>
          <w:r>
            <w:rPr>
              <w:rFonts w:ascii="Barcode 3 of 9 by request" w:hAnsi="Barcode 3 of 9 by request"/>
              <w:b/>
              <w:sz w:val="24"/>
            </w:rPr>
            <w:t>*1919545*</w:t>
          </w:r>
        </w:p>
      </w:tc>
      <w:tc>
        <w:tcPr>
          <w:tcW w:w="4920" w:type="dxa"/>
          <w:shd w:val="clear" w:color="auto" w:fill="auto"/>
        </w:tcPr>
        <w:p w14:paraId="3B201A6C" w14:textId="77777777" w:rsidR="00DC6EF5" w:rsidRDefault="00DC6EF5" w:rsidP="00DC6EF5">
          <w:pPr>
            <w:pStyle w:val="af2"/>
            <w:jc w:val="right"/>
            <w:rPr>
              <w:b w:val="0"/>
              <w:sz w:val="21"/>
            </w:rPr>
          </w:pPr>
          <w:r>
            <w:rPr>
              <w:b w:val="0"/>
              <w:sz w:val="21"/>
            </w:rPr>
            <w:drawing>
              <wp:inline distT="0" distB="0" distL="0" distR="0" wp14:anchorId="68DBDF04" wp14:editId="56077C36">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475180F4" w14:textId="77777777" w:rsidR="00DC6EF5" w:rsidRPr="00DC6EF5" w:rsidRDefault="00DC6EF5" w:rsidP="00DC6EF5">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C336B1" w14:textId="76C7A629" w:rsidR="00A32426" w:rsidRPr="00D41374" w:rsidRDefault="00D41374" w:rsidP="00D41374">
      <w:pPr>
        <w:pStyle w:val="af2"/>
        <w:spacing w:after="80"/>
        <w:ind w:left="792"/>
        <w:rPr>
          <w:sz w:val="16"/>
        </w:rPr>
      </w:pPr>
      <w:r w:rsidRPr="00D41374">
        <w:rPr>
          <w:sz w:val="16"/>
        </w:rPr>
        <w:t>__________________</w:t>
      </w:r>
    </w:p>
  </w:footnote>
  <w:footnote w:type="continuationSeparator" w:id="0">
    <w:p w14:paraId="49F2543B" w14:textId="46F58451" w:rsidR="00A32426" w:rsidRPr="00D41374" w:rsidRDefault="00D41374" w:rsidP="00D41374">
      <w:pPr>
        <w:pStyle w:val="af2"/>
        <w:spacing w:after="80"/>
        <w:ind w:left="792"/>
        <w:rPr>
          <w:sz w:val="16"/>
        </w:rPr>
      </w:pPr>
      <w:r w:rsidRPr="00D41374">
        <w:rPr>
          <w:sz w:val="16"/>
        </w:rPr>
        <w:t>__________________</w:t>
      </w:r>
    </w:p>
  </w:footnote>
  <w:footnote w:id="1">
    <w:p w14:paraId="62DD182A" w14:textId="77777777" w:rsidR="00AD0239" w:rsidRPr="00A0159D" w:rsidRDefault="00AD0239" w:rsidP="00D41374">
      <w:pPr>
        <w:pStyle w:val="a5"/>
        <w:tabs>
          <w:tab w:val="clear" w:pos="418"/>
          <w:tab w:val="right" w:pos="1195"/>
          <w:tab w:val="left" w:pos="1264"/>
          <w:tab w:val="left" w:pos="1695"/>
          <w:tab w:val="left" w:pos="2126"/>
          <w:tab w:val="left" w:pos="2557"/>
        </w:tabs>
        <w:ind w:left="1264" w:right="1264" w:hanging="432"/>
        <w:rPr>
          <w:w w:val="150"/>
        </w:rPr>
      </w:pPr>
      <w:r>
        <w:tab/>
      </w:r>
      <w:r>
        <w:rPr>
          <w:rStyle w:val="a3"/>
        </w:rPr>
        <w:footnoteRef/>
      </w:r>
      <w:r>
        <w:tab/>
      </w:r>
      <w:r w:rsidRPr="00A0159D">
        <w:rPr>
          <w:rFonts w:hint="eastAsia"/>
        </w:rPr>
        <w:t>《经济、社会及文化权利国际公约》、《公民权利和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DC6EF5" w14:paraId="6B5D6735" w14:textId="77777777" w:rsidTr="00DC6EF5">
      <w:trPr>
        <w:trHeight w:hRule="exact" w:val="864"/>
      </w:trPr>
      <w:tc>
        <w:tcPr>
          <w:tcW w:w="4925" w:type="dxa"/>
          <w:shd w:val="clear" w:color="auto" w:fill="auto"/>
          <w:vAlign w:val="bottom"/>
        </w:tcPr>
        <w:p w14:paraId="5D32AA8D" w14:textId="3F8C1AF9" w:rsidR="00DC6EF5" w:rsidRPr="00DC6EF5" w:rsidRDefault="00DC6EF5" w:rsidP="00DC6EF5">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E9743D">
            <w:rPr>
              <w:b/>
              <w:sz w:val="17"/>
            </w:rPr>
            <w:t>CEDAW/C/LTU/CO/6</w:t>
          </w:r>
          <w:r>
            <w:rPr>
              <w:b/>
              <w:sz w:val="17"/>
            </w:rPr>
            <w:fldChar w:fldCharType="end"/>
          </w:r>
        </w:p>
      </w:tc>
      <w:tc>
        <w:tcPr>
          <w:tcW w:w="4920" w:type="dxa"/>
          <w:shd w:val="clear" w:color="auto" w:fill="auto"/>
          <w:vAlign w:val="bottom"/>
        </w:tcPr>
        <w:p w14:paraId="7BC5B929" w14:textId="77777777" w:rsidR="00DC6EF5" w:rsidRDefault="00DC6EF5" w:rsidP="00DC6EF5">
          <w:pPr>
            <w:pStyle w:val="af0"/>
          </w:pPr>
        </w:p>
      </w:tc>
    </w:tr>
  </w:tbl>
  <w:p w14:paraId="794D4C45" w14:textId="77777777" w:rsidR="00DC6EF5" w:rsidRPr="00DC6EF5" w:rsidRDefault="00DC6EF5" w:rsidP="00DC6EF5">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DC6EF5" w14:paraId="63ACDF9B" w14:textId="77777777" w:rsidTr="00DC6EF5">
      <w:trPr>
        <w:trHeight w:hRule="exact" w:val="864"/>
      </w:trPr>
      <w:tc>
        <w:tcPr>
          <w:tcW w:w="4925" w:type="dxa"/>
          <w:shd w:val="clear" w:color="auto" w:fill="auto"/>
          <w:vAlign w:val="bottom"/>
        </w:tcPr>
        <w:p w14:paraId="69B90D4C" w14:textId="77777777" w:rsidR="00DC6EF5" w:rsidRDefault="00DC6EF5" w:rsidP="00DC6EF5">
          <w:pPr>
            <w:pStyle w:val="af0"/>
          </w:pPr>
        </w:p>
      </w:tc>
      <w:tc>
        <w:tcPr>
          <w:tcW w:w="4920" w:type="dxa"/>
          <w:shd w:val="clear" w:color="auto" w:fill="auto"/>
          <w:vAlign w:val="bottom"/>
        </w:tcPr>
        <w:p w14:paraId="7B400FD9" w14:textId="257B66EB" w:rsidR="00DC6EF5" w:rsidRPr="00DC6EF5" w:rsidRDefault="00DC6EF5" w:rsidP="00DC6EF5">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E9743D">
            <w:rPr>
              <w:b/>
              <w:sz w:val="17"/>
            </w:rPr>
            <w:t>CEDAW/C/LTU/CO/6</w:t>
          </w:r>
          <w:r>
            <w:rPr>
              <w:b/>
              <w:sz w:val="17"/>
            </w:rPr>
            <w:fldChar w:fldCharType="end"/>
          </w:r>
        </w:p>
      </w:tc>
    </w:tr>
  </w:tbl>
  <w:p w14:paraId="7A0B2D2C" w14:textId="77777777" w:rsidR="00DC6EF5" w:rsidRPr="00DC6EF5" w:rsidRDefault="00DC6EF5" w:rsidP="00DC6EF5">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DC6EF5" w14:paraId="30C1896B" w14:textId="77777777" w:rsidTr="00DC6EF5">
      <w:trPr>
        <w:trHeight w:hRule="exact" w:val="864"/>
      </w:trPr>
      <w:tc>
        <w:tcPr>
          <w:tcW w:w="1267" w:type="dxa"/>
          <w:tcBorders>
            <w:bottom w:val="single" w:sz="4" w:space="0" w:color="auto"/>
          </w:tcBorders>
          <w:shd w:val="clear" w:color="auto" w:fill="auto"/>
          <w:vAlign w:val="bottom"/>
        </w:tcPr>
        <w:p w14:paraId="35311EAF" w14:textId="77777777" w:rsidR="00DC6EF5" w:rsidRDefault="00DC6EF5" w:rsidP="00DC6EF5">
          <w:pPr>
            <w:pStyle w:val="af0"/>
            <w:spacing w:after="120"/>
          </w:pPr>
        </w:p>
      </w:tc>
      <w:tc>
        <w:tcPr>
          <w:tcW w:w="1872" w:type="dxa"/>
          <w:tcBorders>
            <w:bottom w:val="single" w:sz="4" w:space="0" w:color="auto"/>
          </w:tcBorders>
          <w:shd w:val="clear" w:color="auto" w:fill="auto"/>
          <w:vAlign w:val="bottom"/>
        </w:tcPr>
        <w:p w14:paraId="3872ED20" w14:textId="77777777" w:rsidR="00DC6EF5" w:rsidRPr="00DC6EF5" w:rsidRDefault="00DC6EF5" w:rsidP="00DC6EF5">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2BFFBE64" w14:textId="77777777" w:rsidR="00DC6EF5" w:rsidRDefault="00DC6EF5" w:rsidP="00DC6EF5">
          <w:pPr>
            <w:pStyle w:val="af0"/>
            <w:spacing w:after="120"/>
          </w:pPr>
        </w:p>
      </w:tc>
      <w:tc>
        <w:tcPr>
          <w:tcW w:w="6437" w:type="dxa"/>
          <w:gridSpan w:val="3"/>
          <w:tcBorders>
            <w:bottom w:val="single" w:sz="4" w:space="0" w:color="auto"/>
          </w:tcBorders>
          <w:shd w:val="clear" w:color="auto" w:fill="auto"/>
          <w:vAlign w:val="bottom"/>
        </w:tcPr>
        <w:p w14:paraId="0D37CD09" w14:textId="77777777" w:rsidR="00DC6EF5" w:rsidRPr="00DC6EF5" w:rsidRDefault="00DC6EF5" w:rsidP="00DC6EF5">
          <w:pPr>
            <w:spacing w:after="80" w:line="240" w:lineRule="auto"/>
            <w:jc w:val="right"/>
            <w:rPr>
              <w:position w:val="-4"/>
            </w:rPr>
          </w:pPr>
          <w:r>
            <w:rPr>
              <w:position w:val="-4"/>
              <w:sz w:val="40"/>
            </w:rPr>
            <w:t>CEDAW</w:t>
          </w:r>
          <w:r>
            <w:rPr>
              <w:position w:val="-4"/>
            </w:rPr>
            <w:t>/C/LTU/CO/6</w:t>
          </w:r>
        </w:p>
      </w:tc>
    </w:tr>
    <w:tr w:rsidR="00DC6EF5" w:rsidRPr="00DC6EF5" w14:paraId="568D2E3B" w14:textId="77777777" w:rsidTr="00DC6EF5">
      <w:trPr>
        <w:trHeight w:hRule="exact" w:val="2880"/>
      </w:trPr>
      <w:tc>
        <w:tcPr>
          <w:tcW w:w="1267" w:type="dxa"/>
          <w:tcBorders>
            <w:top w:val="single" w:sz="4" w:space="0" w:color="auto"/>
            <w:bottom w:val="single" w:sz="12" w:space="0" w:color="auto"/>
          </w:tcBorders>
          <w:shd w:val="clear" w:color="auto" w:fill="auto"/>
        </w:tcPr>
        <w:p w14:paraId="0BC19BBA" w14:textId="77777777" w:rsidR="00DC6EF5" w:rsidRPr="00DC6EF5" w:rsidRDefault="00DC6EF5" w:rsidP="00DC6EF5">
          <w:pPr>
            <w:pStyle w:val="af0"/>
            <w:spacing w:before="109"/>
            <w:ind w:left="-72"/>
          </w:pPr>
          <w:r>
            <w:t xml:space="preserve"> </w:t>
          </w:r>
          <w:r>
            <w:drawing>
              <wp:inline distT="0" distB="0" distL="0" distR="0" wp14:anchorId="2D14F65E" wp14:editId="183C5003">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D7FD77C" w14:textId="77777777" w:rsidR="00DC6EF5" w:rsidRPr="00DC6EF5" w:rsidRDefault="00DC6EF5" w:rsidP="00DC6EF5">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4C7A6A44" w14:textId="77777777" w:rsidR="00DC6EF5" w:rsidRPr="00DC6EF5" w:rsidRDefault="00DC6EF5" w:rsidP="00DC6EF5">
          <w:pPr>
            <w:pStyle w:val="af0"/>
            <w:spacing w:before="109"/>
          </w:pPr>
        </w:p>
      </w:tc>
      <w:tc>
        <w:tcPr>
          <w:tcW w:w="3080" w:type="dxa"/>
          <w:tcBorders>
            <w:top w:val="single" w:sz="4" w:space="0" w:color="auto"/>
            <w:bottom w:val="single" w:sz="12" w:space="0" w:color="auto"/>
          </w:tcBorders>
          <w:shd w:val="clear" w:color="auto" w:fill="auto"/>
        </w:tcPr>
        <w:p w14:paraId="0F4B91B7" w14:textId="77777777" w:rsidR="00DC6EF5" w:rsidRDefault="00DC6EF5" w:rsidP="00DC6EF5">
          <w:pPr>
            <w:pStyle w:val="Distr"/>
          </w:pPr>
          <w:r>
            <w:t>Distr.: General</w:t>
          </w:r>
        </w:p>
        <w:p w14:paraId="6121D93E" w14:textId="77777777" w:rsidR="00DC6EF5" w:rsidRDefault="00DC6EF5" w:rsidP="00DC6EF5">
          <w:pPr>
            <w:pStyle w:val="Publication"/>
          </w:pPr>
          <w:r>
            <w:t>12 November 2019</w:t>
          </w:r>
        </w:p>
        <w:p w14:paraId="6A980F77" w14:textId="77777777" w:rsidR="00DC6EF5" w:rsidRDefault="00DC6EF5" w:rsidP="00DC6EF5">
          <w:pPr>
            <w:spacing w:line="240" w:lineRule="exact"/>
          </w:pPr>
          <w:r>
            <w:t>Chinese</w:t>
          </w:r>
        </w:p>
        <w:p w14:paraId="6696304E" w14:textId="77777777" w:rsidR="00DC6EF5" w:rsidRDefault="00DC6EF5" w:rsidP="00DC6EF5">
          <w:pPr>
            <w:pStyle w:val="Original"/>
          </w:pPr>
          <w:r>
            <w:t>Original: English</w:t>
          </w:r>
        </w:p>
        <w:p w14:paraId="2AC805A4" w14:textId="77777777" w:rsidR="00DC6EF5" w:rsidRPr="00DC6EF5" w:rsidRDefault="00DC6EF5" w:rsidP="00DC6EF5"/>
      </w:tc>
    </w:tr>
  </w:tbl>
  <w:p w14:paraId="01337C7B" w14:textId="77777777" w:rsidR="00DC6EF5" w:rsidRPr="00DC6EF5" w:rsidRDefault="00DC6EF5" w:rsidP="00DC6EF5">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 w:numId="8">
    <w:abstractNumId w:val="2"/>
  </w:num>
  <w:num w:numId="9">
    <w:abstractNumId w:val="4"/>
  </w:num>
  <w:num w:numId="10">
    <w:abstractNumId w:val="5"/>
  </w:num>
  <w:num w:numId="11">
    <w:abstractNumId w:val="2"/>
  </w:num>
  <w:num w:numId="12">
    <w:abstractNumId w:val="4"/>
  </w:num>
  <w:num w:numId="13">
    <w:abstractNumId w:val="5"/>
  </w:num>
  <w:num w:numId="14">
    <w:abstractNumId w:val="2"/>
  </w:num>
  <w:num w:numId="15">
    <w:abstractNumId w:val="4"/>
  </w:num>
  <w:num w:numId="16">
    <w:abstractNumId w:val="5"/>
  </w:num>
  <w:num w:numId="17">
    <w:abstractNumId w:val="2"/>
  </w:num>
  <w:num w:numId="18">
    <w:abstractNumId w:val="4"/>
  </w:num>
  <w:num w:numId="19">
    <w:abstractNumId w:val="5"/>
  </w:num>
  <w:num w:numId="20">
    <w:abstractNumId w:val="2"/>
  </w:num>
  <w:num w:numId="21">
    <w:abstractNumId w:val="4"/>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8193"/>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9545*"/>
    <w:docVar w:name="CreationDt" w:val="21/11/2019 14:08:18"/>
    <w:docVar w:name="DocCategory" w:val="Doc"/>
    <w:docVar w:name="DocType" w:val="Final"/>
    <w:docVar w:name="DutyStation" w:val="New York"/>
    <w:docVar w:name="FooterJN" w:val="19-19545"/>
    <w:docVar w:name="jobn" w:val="19-19545 (C)"/>
    <w:docVar w:name="jobnDT" w:val="19-19545 (C)   211119"/>
    <w:docVar w:name="jobnDTDT" w:val="19-19545 (C)   211119   211119"/>
    <w:docVar w:name="JobNo" w:val="1919545C"/>
    <w:docVar w:name="LocalDrive" w:val="0"/>
    <w:docVar w:name="OandT" w:val="ZAY"/>
    <w:docVar w:name="sss1" w:val="CEDAW/C/LTU/CO/6"/>
    <w:docVar w:name="sss2" w:val="-"/>
    <w:docVar w:name="Symbol1" w:val="CEDAW/C/LTU/CO/6"/>
    <w:docVar w:name="Symbol2" w:val="-"/>
  </w:docVars>
  <w:rsids>
    <w:rsidRoot w:val="00A32426"/>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442D"/>
    <w:rsid w:val="00034465"/>
    <w:rsid w:val="000344BB"/>
    <w:rsid w:val="000366AA"/>
    <w:rsid w:val="0003678F"/>
    <w:rsid w:val="00036AA2"/>
    <w:rsid w:val="00036F1B"/>
    <w:rsid w:val="00037444"/>
    <w:rsid w:val="00037B39"/>
    <w:rsid w:val="0004231D"/>
    <w:rsid w:val="00044CA4"/>
    <w:rsid w:val="00044EE9"/>
    <w:rsid w:val="00045EFE"/>
    <w:rsid w:val="00050CCF"/>
    <w:rsid w:val="0005220C"/>
    <w:rsid w:val="00054631"/>
    <w:rsid w:val="00056952"/>
    <w:rsid w:val="000571F8"/>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C67"/>
    <w:rsid w:val="000A31F9"/>
    <w:rsid w:val="000B04CB"/>
    <w:rsid w:val="000C0B81"/>
    <w:rsid w:val="000C15D3"/>
    <w:rsid w:val="000C1786"/>
    <w:rsid w:val="000C4C08"/>
    <w:rsid w:val="000C4DDE"/>
    <w:rsid w:val="000C5208"/>
    <w:rsid w:val="000D1910"/>
    <w:rsid w:val="000D32BA"/>
    <w:rsid w:val="000E240F"/>
    <w:rsid w:val="000E49A4"/>
    <w:rsid w:val="000E4FFB"/>
    <w:rsid w:val="000F1058"/>
    <w:rsid w:val="000F55DC"/>
    <w:rsid w:val="000F6985"/>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30B"/>
    <w:rsid w:val="0015731C"/>
    <w:rsid w:val="001602C9"/>
    <w:rsid w:val="00161E69"/>
    <w:rsid w:val="00161F54"/>
    <w:rsid w:val="00164626"/>
    <w:rsid w:val="001704A3"/>
    <w:rsid w:val="00170FBE"/>
    <w:rsid w:val="00170FC4"/>
    <w:rsid w:val="001720CC"/>
    <w:rsid w:val="00173F4B"/>
    <w:rsid w:val="00174233"/>
    <w:rsid w:val="001746A8"/>
    <w:rsid w:val="0017506F"/>
    <w:rsid w:val="001845DB"/>
    <w:rsid w:val="001873A2"/>
    <w:rsid w:val="001944A4"/>
    <w:rsid w:val="001A4A37"/>
    <w:rsid w:val="001B0DFD"/>
    <w:rsid w:val="001B2814"/>
    <w:rsid w:val="001B4F95"/>
    <w:rsid w:val="001B79D0"/>
    <w:rsid w:val="001C1478"/>
    <w:rsid w:val="001C161F"/>
    <w:rsid w:val="001C1E0E"/>
    <w:rsid w:val="001C1E20"/>
    <w:rsid w:val="001C3329"/>
    <w:rsid w:val="001C3F7F"/>
    <w:rsid w:val="001C45C9"/>
    <w:rsid w:val="001C5166"/>
    <w:rsid w:val="001C52F0"/>
    <w:rsid w:val="001D0354"/>
    <w:rsid w:val="001D225C"/>
    <w:rsid w:val="001D3F72"/>
    <w:rsid w:val="001D41AE"/>
    <w:rsid w:val="001D558E"/>
    <w:rsid w:val="001E0ADA"/>
    <w:rsid w:val="001E20EC"/>
    <w:rsid w:val="001E340C"/>
    <w:rsid w:val="001E4442"/>
    <w:rsid w:val="001E5A51"/>
    <w:rsid w:val="001F03A7"/>
    <w:rsid w:val="001F0442"/>
    <w:rsid w:val="001F24BA"/>
    <w:rsid w:val="001F2F76"/>
    <w:rsid w:val="001F4108"/>
    <w:rsid w:val="001F5793"/>
    <w:rsid w:val="001F595B"/>
    <w:rsid w:val="001F6F25"/>
    <w:rsid w:val="002000B5"/>
    <w:rsid w:val="00200246"/>
    <w:rsid w:val="00200734"/>
    <w:rsid w:val="00201543"/>
    <w:rsid w:val="00201C2E"/>
    <w:rsid w:val="0020284C"/>
    <w:rsid w:val="00203760"/>
    <w:rsid w:val="002046D7"/>
    <w:rsid w:val="00207135"/>
    <w:rsid w:val="00212008"/>
    <w:rsid w:val="002145EA"/>
    <w:rsid w:val="002200D0"/>
    <w:rsid w:val="00221884"/>
    <w:rsid w:val="00223D01"/>
    <w:rsid w:val="002253E5"/>
    <w:rsid w:val="00225709"/>
    <w:rsid w:val="0022603B"/>
    <w:rsid w:val="00230FAB"/>
    <w:rsid w:val="00231575"/>
    <w:rsid w:val="00232F4A"/>
    <w:rsid w:val="00236C28"/>
    <w:rsid w:val="00241DB7"/>
    <w:rsid w:val="002423D2"/>
    <w:rsid w:val="00245212"/>
    <w:rsid w:val="00247382"/>
    <w:rsid w:val="00250448"/>
    <w:rsid w:val="00251744"/>
    <w:rsid w:val="00251C9A"/>
    <w:rsid w:val="00252E35"/>
    <w:rsid w:val="00254858"/>
    <w:rsid w:val="00254B46"/>
    <w:rsid w:val="00255FC4"/>
    <w:rsid w:val="002562F6"/>
    <w:rsid w:val="00257053"/>
    <w:rsid w:val="00260C62"/>
    <w:rsid w:val="00263B7B"/>
    <w:rsid w:val="00266257"/>
    <w:rsid w:val="00270D00"/>
    <w:rsid w:val="00271BA5"/>
    <w:rsid w:val="00271BE6"/>
    <w:rsid w:val="00271ECA"/>
    <w:rsid w:val="00273391"/>
    <w:rsid w:val="0027454D"/>
    <w:rsid w:val="0027574F"/>
    <w:rsid w:val="00277AAE"/>
    <w:rsid w:val="00280671"/>
    <w:rsid w:val="002807DF"/>
    <w:rsid w:val="002814F9"/>
    <w:rsid w:val="00281A61"/>
    <w:rsid w:val="00281E2B"/>
    <w:rsid w:val="00282D17"/>
    <w:rsid w:val="00283CA7"/>
    <w:rsid w:val="00285DE9"/>
    <w:rsid w:val="00286AD1"/>
    <w:rsid w:val="002871EB"/>
    <w:rsid w:val="00290382"/>
    <w:rsid w:val="0029111A"/>
    <w:rsid w:val="00293025"/>
    <w:rsid w:val="002A4AEF"/>
    <w:rsid w:val="002A5E53"/>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1E14"/>
    <w:rsid w:val="002D26A9"/>
    <w:rsid w:val="002D4ACE"/>
    <w:rsid w:val="002D5503"/>
    <w:rsid w:val="002D62B2"/>
    <w:rsid w:val="002D65A8"/>
    <w:rsid w:val="002D76B6"/>
    <w:rsid w:val="002E66D5"/>
    <w:rsid w:val="002F41E2"/>
    <w:rsid w:val="002F746E"/>
    <w:rsid w:val="00300EC5"/>
    <w:rsid w:val="00301C97"/>
    <w:rsid w:val="003063F6"/>
    <w:rsid w:val="00313030"/>
    <w:rsid w:val="00320C99"/>
    <w:rsid w:val="003274A9"/>
    <w:rsid w:val="00327D8B"/>
    <w:rsid w:val="003305F1"/>
    <w:rsid w:val="00330994"/>
    <w:rsid w:val="00331221"/>
    <w:rsid w:val="003349FB"/>
    <w:rsid w:val="003379D1"/>
    <w:rsid w:val="00337A2E"/>
    <w:rsid w:val="00346223"/>
    <w:rsid w:val="00346C74"/>
    <w:rsid w:val="00350AE6"/>
    <w:rsid w:val="00355510"/>
    <w:rsid w:val="00357AB4"/>
    <w:rsid w:val="0036117F"/>
    <w:rsid w:val="00363610"/>
    <w:rsid w:val="003649EE"/>
    <w:rsid w:val="003662FF"/>
    <w:rsid w:val="00371BC6"/>
    <w:rsid w:val="00373A15"/>
    <w:rsid w:val="00375449"/>
    <w:rsid w:val="00376C04"/>
    <w:rsid w:val="00381AB0"/>
    <w:rsid w:val="00382EF6"/>
    <w:rsid w:val="00383ACA"/>
    <w:rsid w:val="00384CB1"/>
    <w:rsid w:val="003869FA"/>
    <w:rsid w:val="00390B02"/>
    <w:rsid w:val="00394A02"/>
    <w:rsid w:val="003966E8"/>
    <w:rsid w:val="003A1C26"/>
    <w:rsid w:val="003A2BC6"/>
    <w:rsid w:val="003A4D87"/>
    <w:rsid w:val="003A7A96"/>
    <w:rsid w:val="003A7B88"/>
    <w:rsid w:val="003B7AB8"/>
    <w:rsid w:val="003C2147"/>
    <w:rsid w:val="003C4125"/>
    <w:rsid w:val="003C448D"/>
    <w:rsid w:val="003C529E"/>
    <w:rsid w:val="003C7B20"/>
    <w:rsid w:val="003D075F"/>
    <w:rsid w:val="003D5B4D"/>
    <w:rsid w:val="003E4565"/>
    <w:rsid w:val="003E5999"/>
    <w:rsid w:val="003E748F"/>
    <w:rsid w:val="003E7612"/>
    <w:rsid w:val="003F3725"/>
    <w:rsid w:val="003F4BD2"/>
    <w:rsid w:val="003F7BF8"/>
    <w:rsid w:val="0040149C"/>
    <w:rsid w:val="004044EF"/>
    <w:rsid w:val="00405CAD"/>
    <w:rsid w:val="00413FBC"/>
    <w:rsid w:val="00414423"/>
    <w:rsid w:val="00415899"/>
    <w:rsid w:val="0041733F"/>
    <w:rsid w:val="00420761"/>
    <w:rsid w:val="004310A7"/>
    <w:rsid w:val="004320FA"/>
    <w:rsid w:val="0043377F"/>
    <w:rsid w:val="00433853"/>
    <w:rsid w:val="00440B0D"/>
    <w:rsid w:val="004411AD"/>
    <w:rsid w:val="004424EF"/>
    <w:rsid w:val="00443516"/>
    <w:rsid w:val="0045053B"/>
    <w:rsid w:val="00453BB0"/>
    <w:rsid w:val="00460162"/>
    <w:rsid w:val="004620A8"/>
    <w:rsid w:val="00463C4F"/>
    <w:rsid w:val="0046458E"/>
    <w:rsid w:val="00466BB5"/>
    <w:rsid w:val="004700CF"/>
    <w:rsid w:val="004715DF"/>
    <w:rsid w:val="004737C9"/>
    <w:rsid w:val="00474AC9"/>
    <w:rsid w:val="00474C34"/>
    <w:rsid w:val="004821D0"/>
    <w:rsid w:val="00483BDA"/>
    <w:rsid w:val="00487444"/>
    <w:rsid w:val="00492743"/>
    <w:rsid w:val="00493C9C"/>
    <w:rsid w:val="004955C1"/>
    <w:rsid w:val="00495C7E"/>
    <w:rsid w:val="0049799B"/>
    <w:rsid w:val="004A06D1"/>
    <w:rsid w:val="004A0E04"/>
    <w:rsid w:val="004A11FC"/>
    <w:rsid w:val="004A1D1E"/>
    <w:rsid w:val="004B2C67"/>
    <w:rsid w:val="004B2F18"/>
    <w:rsid w:val="004B4D99"/>
    <w:rsid w:val="004B4F06"/>
    <w:rsid w:val="004C0224"/>
    <w:rsid w:val="004C053E"/>
    <w:rsid w:val="004C089F"/>
    <w:rsid w:val="004C1456"/>
    <w:rsid w:val="004C3255"/>
    <w:rsid w:val="004C3BAA"/>
    <w:rsid w:val="004C48C2"/>
    <w:rsid w:val="004C5B65"/>
    <w:rsid w:val="004D07E1"/>
    <w:rsid w:val="004D1C19"/>
    <w:rsid w:val="004D4603"/>
    <w:rsid w:val="004D60D1"/>
    <w:rsid w:val="004E4081"/>
    <w:rsid w:val="004E4B53"/>
    <w:rsid w:val="004E641B"/>
    <w:rsid w:val="004E6661"/>
    <w:rsid w:val="004E739A"/>
    <w:rsid w:val="004F29B8"/>
    <w:rsid w:val="004F3649"/>
    <w:rsid w:val="004F42D7"/>
    <w:rsid w:val="004F4BBB"/>
    <w:rsid w:val="004F4EFB"/>
    <w:rsid w:val="004F5333"/>
    <w:rsid w:val="004F5E26"/>
    <w:rsid w:val="0050413E"/>
    <w:rsid w:val="00512841"/>
    <w:rsid w:val="005143A1"/>
    <w:rsid w:val="00515657"/>
    <w:rsid w:val="00515859"/>
    <w:rsid w:val="0051592B"/>
    <w:rsid w:val="005162C0"/>
    <w:rsid w:val="00521144"/>
    <w:rsid w:val="00521275"/>
    <w:rsid w:val="0052216F"/>
    <w:rsid w:val="00523247"/>
    <w:rsid w:val="005232CA"/>
    <w:rsid w:val="00523636"/>
    <w:rsid w:val="005244F6"/>
    <w:rsid w:val="00524851"/>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66CD2"/>
    <w:rsid w:val="0057094A"/>
    <w:rsid w:val="00570BD4"/>
    <w:rsid w:val="00571B1A"/>
    <w:rsid w:val="00572790"/>
    <w:rsid w:val="00572961"/>
    <w:rsid w:val="0057450D"/>
    <w:rsid w:val="00574A2F"/>
    <w:rsid w:val="005750FE"/>
    <w:rsid w:val="0058302A"/>
    <w:rsid w:val="00583305"/>
    <w:rsid w:val="00585915"/>
    <w:rsid w:val="00585A6B"/>
    <w:rsid w:val="0058792C"/>
    <w:rsid w:val="0059033C"/>
    <w:rsid w:val="0059457A"/>
    <w:rsid w:val="005A175A"/>
    <w:rsid w:val="005A4F27"/>
    <w:rsid w:val="005A7200"/>
    <w:rsid w:val="005A7AFF"/>
    <w:rsid w:val="005B04F3"/>
    <w:rsid w:val="005B1476"/>
    <w:rsid w:val="005B1D3C"/>
    <w:rsid w:val="005B3B9A"/>
    <w:rsid w:val="005B4497"/>
    <w:rsid w:val="005B6C71"/>
    <w:rsid w:val="005B7338"/>
    <w:rsid w:val="005C02AB"/>
    <w:rsid w:val="005C55E1"/>
    <w:rsid w:val="005C5B8C"/>
    <w:rsid w:val="005C5FC3"/>
    <w:rsid w:val="005D0D2E"/>
    <w:rsid w:val="005D0F04"/>
    <w:rsid w:val="005D2204"/>
    <w:rsid w:val="005D35ED"/>
    <w:rsid w:val="005D680F"/>
    <w:rsid w:val="005E6A84"/>
    <w:rsid w:val="005E7CAC"/>
    <w:rsid w:val="005F12F0"/>
    <w:rsid w:val="005F1AAD"/>
    <w:rsid w:val="005F3273"/>
    <w:rsid w:val="005F34A3"/>
    <w:rsid w:val="0060128A"/>
    <w:rsid w:val="00601DF9"/>
    <w:rsid w:val="006024FB"/>
    <w:rsid w:val="00602C6C"/>
    <w:rsid w:val="0060556D"/>
    <w:rsid w:val="006101D0"/>
    <w:rsid w:val="006107DE"/>
    <w:rsid w:val="00610CF2"/>
    <w:rsid w:val="00612F6E"/>
    <w:rsid w:val="00615A9C"/>
    <w:rsid w:val="00617802"/>
    <w:rsid w:val="006201CE"/>
    <w:rsid w:val="00632644"/>
    <w:rsid w:val="006328DE"/>
    <w:rsid w:val="006353DE"/>
    <w:rsid w:val="00640671"/>
    <w:rsid w:val="006432CB"/>
    <w:rsid w:val="00646B55"/>
    <w:rsid w:val="006479F1"/>
    <w:rsid w:val="00647A37"/>
    <w:rsid w:val="0065055D"/>
    <w:rsid w:val="00650BEE"/>
    <w:rsid w:val="00651B0B"/>
    <w:rsid w:val="006520FA"/>
    <w:rsid w:val="0065377D"/>
    <w:rsid w:val="00653969"/>
    <w:rsid w:val="00661120"/>
    <w:rsid w:val="00664319"/>
    <w:rsid w:val="00664B0C"/>
    <w:rsid w:val="006652C2"/>
    <w:rsid w:val="00666F57"/>
    <w:rsid w:val="006740A7"/>
    <w:rsid w:val="00675F64"/>
    <w:rsid w:val="006767D5"/>
    <w:rsid w:val="00691524"/>
    <w:rsid w:val="006926DF"/>
    <w:rsid w:val="00697E61"/>
    <w:rsid w:val="006A2730"/>
    <w:rsid w:val="006A5CFB"/>
    <w:rsid w:val="006A654B"/>
    <w:rsid w:val="006A7A84"/>
    <w:rsid w:val="006B02CF"/>
    <w:rsid w:val="006B769C"/>
    <w:rsid w:val="006C2998"/>
    <w:rsid w:val="006C3DC0"/>
    <w:rsid w:val="006C4BB3"/>
    <w:rsid w:val="006C7138"/>
    <w:rsid w:val="006D4068"/>
    <w:rsid w:val="006E0E32"/>
    <w:rsid w:val="006E2924"/>
    <w:rsid w:val="006E45BF"/>
    <w:rsid w:val="006E4E7C"/>
    <w:rsid w:val="006E7A26"/>
    <w:rsid w:val="006F04EF"/>
    <w:rsid w:val="006F1592"/>
    <w:rsid w:val="006F2B3D"/>
    <w:rsid w:val="006F4372"/>
    <w:rsid w:val="006F6A4F"/>
    <w:rsid w:val="006F761A"/>
    <w:rsid w:val="006F7749"/>
    <w:rsid w:val="007016DF"/>
    <w:rsid w:val="007038D4"/>
    <w:rsid w:val="00704287"/>
    <w:rsid w:val="007052CC"/>
    <w:rsid w:val="00710EEA"/>
    <w:rsid w:val="00715C4B"/>
    <w:rsid w:val="00721BC6"/>
    <w:rsid w:val="00722965"/>
    <w:rsid w:val="00723AAA"/>
    <w:rsid w:val="00724400"/>
    <w:rsid w:val="007319E0"/>
    <w:rsid w:val="00731FBF"/>
    <w:rsid w:val="007328A2"/>
    <w:rsid w:val="00732A10"/>
    <w:rsid w:val="007345AA"/>
    <w:rsid w:val="00735C21"/>
    <w:rsid w:val="00737B00"/>
    <w:rsid w:val="00741472"/>
    <w:rsid w:val="007435A3"/>
    <w:rsid w:val="00744E75"/>
    <w:rsid w:val="00747DB4"/>
    <w:rsid w:val="0075155C"/>
    <w:rsid w:val="0075174D"/>
    <w:rsid w:val="007532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5623"/>
    <w:rsid w:val="007C6FC5"/>
    <w:rsid w:val="007C74B9"/>
    <w:rsid w:val="007D441A"/>
    <w:rsid w:val="007D518C"/>
    <w:rsid w:val="007D6379"/>
    <w:rsid w:val="007E0D70"/>
    <w:rsid w:val="007E1B5E"/>
    <w:rsid w:val="007E6253"/>
    <w:rsid w:val="007F0DF8"/>
    <w:rsid w:val="007F2278"/>
    <w:rsid w:val="007F46DF"/>
    <w:rsid w:val="008006AB"/>
    <w:rsid w:val="00803014"/>
    <w:rsid w:val="00803083"/>
    <w:rsid w:val="00805783"/>
    <w:rsid w:val="00806CEF"/>
    <w:rsid w:val="00806F57"/>
    <w:rsid w:val="00806F90"/>
    <w:rsid w:val="00814156"/>
    <w:rsid w:val="00815AB6"/>
    <w:rsid w:val="008246FC"/>
    <w:rsid w:val="00824C19"/>
    <w:rsid w:val="00824E08"/>
    <w:rsid w:val="00826250"/>
    <w:rsid w:val="00827479"/>
    <w:rsid w:val="0083056F"/>
    <w:rsid w:val="008343E5"/>
    <w:rsid w:val="008378D1"/>
    <w:rsid w:val="00843C13"/>
    <w:rsid w:val="00846462"/>
    <w:rsid w:val="00847383"/>
    <w:rsid w:val="00854560"/>
    <w:rsid w:val="008546AB"/>
    <w:rsid w:val="00860742"/>
    <w:rsid w:val="00862B69"/>
    <w:rsid w:val="00862B6B"/>
    <w:rsid w:val="00863910"/>
    <w:rsid w:val="0086691F"/>
    <w:rsid w:val="00867929"/>
    <w:rsid w:val="008722B1"/>
    <w:rsid w:val="00872730"/>
    <w:rsid w:val="0088152F"/>
    <w:rsid w:val="00883DB0"/>
    <w:rsid w:val="008843BC"/>
    <w:rsid w:val="00884C8F"/>
    <w:rsid w:val="008927AD"/>
    <w:rsid w:val="00893A33"/>
    <w:rsid w:val="00896D38"/>
    <w:rsid w:val="008A0216"/>
    <w:rsid w:val="008A0650"/>
    <w:rsid w:val="008A1208"/>
    <w:rsid w:val="008A1C43"/>
    <w:rsid w:val="008A59EF"/>
    <w:rsid w:val="008B0240"/>
    <w:rsid w:val="008B0349"/>
    <w:rsid w:val="008B047F"/>
    <w:rsid w:val="008B1481"/>
    <w:rsid w:val="008B32BC"/>
    <w:rsid w:val="008B5DE8"/>
    <w:rsid w:val="008B6642"/>
    <w:rsid w:val="008C076B"/>
    <w:rsid w:val="008C2456"/>
    <w:rsid w:val="008C3296"/>
    <w:rsid w:val="008C3413"/>
    <w:rsid w:val="008C4B54"/>
    <w:rsid w:val="008C564D"/>
    <w:rsid w:val="008D2BD9"/>
    <w:rsid w:val="008D6C74"/>
    <w:rsid w:val="008E2913"/>
    <w:rsid w:val="008E2C22"/>
    <w:rsid w:val="008E2D03"/>
    <w:rsid w:val="008E7BDF"/>
    <w:rsid w:val="008F2BB5"/>
    <w:rsid w:val="008F425D"/>
    <w:rsid w:val="008F43E4"/>
    <w:rsid w:val="008F5472"/>
    <w:rsid w:val="008F5D0F"/>
    <w:rsid w:val="008F7869"/>
    <w:rsid w:val="0090446B"/>
    <w:rsid w:val="00907874"/>
    <w:rsid w:val="00911686"/>
    <w:rsid w:val="009122E0"/>
    <w:rsid w:val="00913351"/>
    <w:rsid w:val="00917344"/>
    <w:rsid w:val="00923D95"/>
    <w:rsid w:val="009248ED"/>
    <w:rsid w:val="009263E8"/>
    <w:rsid w:val="009264B1"/>
    <w:rsid w:val="00927548"/>
    <w:rsid w:val="0092766E"/>
    <w:rsid w:val="0093128A"/>
    <w:rsid w:val="009313EB"/>
    <w:rsid w:val="0093160E"/>
    <w:rsid w:val="00931C8A"/>
    <w:rsid w:val="009331FA"/>
    <w:rsid w:val="00934A85"/>
    <w:rsid w:val="00941874"/>
    <w:rsid w:val="0094294B"/>
    <w:rsid w:val="00945CD6"/>
    <w:rsid w:val="00946C87"/>
    <w:rsid w:val="0095023C"/>
    <w:rsid w:val="0095295A"/>
    <w:rsid w:val="00953DFC"/>
    <w:rsid w:val="00957134"/>
    <w:rsid w:val="0096193C"/>
    <w:rsid w:val="00972849"/>
    <w:rsid w:val="00974D7C"/>
    <w:rsid w:val="00975731"/>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3FD8"/>
    <w:rsid w:val="009B6787"/>
    <w:rsid w:val="009C32BB"/>
    <w:rsid w:val="009C600E"/>
    <w:rsid w:val="009C7B18"/>
    <w:rsid w:val="009D00AA"/>
    <w:rsid w:val="009D0B10"/>
    <w:rsid w:val="009D0EA4"/>
    <w:rsid w:val="009D2AC2"/>
    <w:rsid w:val="009E1774"/>
    <w:rsid w:val="009E2668"/>
    <w:rsid w:val="009E40A3"/>
    <w:rsid w:val="009E5C8C"/>
    <w:rsid w:val="009F10B1"/>
    <w:rsid w:val="009F133B"/>
    <w:rsid w:val="009F2F21"/>
    <w:rsid w:val="009F3D89"/>
    <w:rsid w:val="009F47E3"/>
    <w:rsid w:val="009F6938"/>
    <w:rsid w:val="00A02591"/>
    <w:rsid w:val="00A0537D"/>
    <w:rsid w:val="00A055AB"/>
    <w:rsid w:val="00A05AE9"/>
    <w:rsid w:val="00A069AD"/>
    <w:rsid w:val="00A07CEC"/>
    <w:rsid w:val="00A1297E"/>
    <w:rsid w:val="00A158E7"/>
    <w:rsid w:val="00A171EB"/>
    <w:rsid w:val="00A17A85"/>
    <w:rsid w:val="00A20856"/>
    <w:rsid w:val="00A2217D"/>
    <w:rsid w:val="00A24399"/>
    <w:rsid w:val="00A24CA5"/>
    <w:rsid w:val="00A252DF"/>
    <w:rsid w:val="00A27DEC"/>
    <w:rsid w:val="00A27E35"/>
    <w:rsid w:val="00A31815"/>
    <w:rsid w:val="00A32426"/>
    <w:rsid w:val="00A33D4D"/>
    <w:rsid w:val="00A33D6D"/>
    <w:rsid w:val="00A343D8"/>
    <w:rsid w:val="00A36AEC"/>
    <w:rsid w:val="00A37345"/>
    <w:rsid w:val="00A40AAE"/>
    <w:rsid w:val="00A40EA9"/>
    <w:rsid w:val="00A418EE"/>
    <w:rsid w:val="00A44A96"/>
    <w:rsid w:val="00A4532A"/>
    <w:rsid w:val="00A46BEE"/>
    <w:rsid w:val="00A46E28"/>
    <w:rsid w:val="00A5206D"/>
    <w:rsid w:val="00A55E9E"/>
    <w:rsid w:val="00A601C7"/>
    <w:rsid w:val="00A622D4"/>
    <w:rsid w:val="00A635A7"/>
    <w:rsid w:val="00A6477B"/>
    <w:rsid w:val="00A652D9"/>
    <w:rsid w:val="00A67E9B"/>
    <w:rsid w:val="00A72E47"/>
    <w:rsid w:val="00A74DBA"/>
    <w:rsid w:val="00A750A5"/>
    <w:rsid w:val="00A778F1"/>
    <w:rsid w:val="00A800EC"/>
    <w:rsid w:val="00A90956"/>
    <w:rsid w:val="00A9330B"/>
    <w:rsid w:val="00A95404"/>
    <w:rsid w:val="00A954C6"/>
    <w:rsid w:val="00A968C5"/>
    <w:rsid w:val="00AA1A81"/>
    <w:rsid w:val="00AA3C28"/>
    <w:rsid w:val="00AA65E5"/>
    <w:rsid w:val="00AA759D"/>
    <w:rsid w:val="00AB1592"/>
    <w:rsid w:val="00AB2786"/>
    <w:rsid w:val="00AB5BEE"/>
    <w:rsid w:val="00AB6C15"/>
    <w:rsid w:val="00AC2EAA"/>
    <w:rsid w:val="00AC373F"/>
    <w:rsid w:val="00AC550F"/>
    <w:rsid w:val="00AD0239"/>
    <w:rsid w:val="00AD4308"/>
    <w:rsid w:val="00AD6611"/>
    <w:rsid w:val="00AD751C"/>
    <w:rsid w:val="00AE6719"/>
    <w:rsid w:val="00AE6C5D"/>
    <w:rsid w:val="00AE733F"/>
    <w:rsid w:val="00AF021F"/>
    <w:rsid w:val="00AF114B"/>
    <w:rsid w:val="00AF2A33"/>
    <w:rsid w:val="00AF436B"/>
    <w:rsid w:val="00AF4C2D"/>
    <w:rsid w:val="00AF4FD7"/>
    <w:rsid w:val="00AF51A0"/>
    <w:rsid w:val="00B014C7"/>
    <w:rsid w:val="00B01FB8"/>
    <w:rsid w:val="00B0250B"/>
    <w:rsid w:val="00B02C51"/>
    <w:rsid w:val="00B03EFA"/>
    <w:rsid w:val="00B16C8C"/>
    <w:rsid w:val="00B171E7"/>
    <w:rsid w:val="00B20DA0"/>
    <w:rsid w:val="00B22C2F"/>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4E8E"/>
    <w:rsid w:val="00B65E8B"/>
    <w:rsid w:val="00B6728D"/>
    <w:rsid w:val="00B677A0"/>
    <w:rsid w:val="00B67C6D"/>
    <w:rsid w:val="00B7141E"/>
    <w:rsid w:val="00B75C92"/>
    <w:rsid w:val="00B8025A"/>
    <w:rsid w:val="00B827B1"/>
    <w:rsid w:val="00B84DAC"/>
    <w:rsid w:val="00B9116F"/>
    <w:rsid w:val="00B9408D"/>
    <w:rsid w:val="00B94698"/>
    <w:rsid w:val="00B95BF6"/>
    <w:rsid w:val="00B973E5"/>
    <w:rsid w:val="00BA026B"/>
    <w:rsid w:val="00BA51C0"/>
    <w:rsid w:val="00BA64A9"/>
    <w:rsid w:val="00BB23A4"/>
    <w:rsid w:val="00BB6332"/>
    <w:rsid w:val="00BC0F5C"/>
    <w:rsid w:val="00BC2276"/>
    <w:rsid w:val="00BD1B08"/>
    <w:rsid w:val="00BD1BFF"/>
    <w:rsid w:val="00BD2150"/>
    <w:rsid w:val="00BD4A3B"/>
    <w:rsid w:val="00BE1CC3"/>
    <w:rsid w:val="00BE1CDE"/>
    <w:rsid w:val="00BE365A"/>
    <w:rsid w:val="00BE47C4"/>
    <w:rsid w:val="00BE4CDC"/>
    <w:rsid w:val="00BE50EF"/>
    <w:rsid w:val="00BF4761"/>
    <w:rsid w:val="00C052A2"/>
    <w:rsid w:val="00C06A4A"/>
    <w:rsid w:val="00C07F0F"/>
    <w:rsid w:val="00C131AA"/>
    <w:rsid w:val="00C1391A"/>
    <w:rsid w:val="00C14CE6"/>
    <w:rsid w:val="00C15218"/>
    <w:rsid w:val="00C21D51"/>
    <w:rsid w:val="00C22BB2"/>
    <w:rsid w:val="00C22F76"/>
    <w:rsid w:val="00C2725D"/>
    <w:rsid w:val="00C30684"/>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72B6"/>
    <w:rsid w:val="00C70181"/>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97E"/>
    <w:rsid w:val="00CA7E8C"/>
    <w:rsid w:val="00CB298A"/>
    <w:rsid w:val="00CB2ADB"/>
    <w:rsid w:val="00CB2B1E"/>
    <w:rsid w:val="00CC053E"/>
    <w:rsid w:val="00CC05C5"/>
    <w:rsid w:val="00CC1E2C"/>
    <w:rsid w:val="00CC213B"/>
    <w:rsid w:val="00CC3E8B"/>
    <w:rsid w:val="00CC4E84"/>
    <w:rsid w:val="00CC6182"/>
    <w:rsid w:val="00CC6304"/>
    <w:rsid w:val="00CD5641"/>
    <w:rsid w:val="00CD76BE"/>
    <w:rsid w:val="00CE07C5"/>
    <w:rsid w:val="00CE11A2"/>
    <w:rsid w:val="00CE1A08"/>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24D6"/>
    <w:rsid w:val="00D0701A"/>
    <w:rsid w:val="00D10888"/>
    <w:rsid w:val="00D10EE5"/>
    <w:rsid w:val="00D11E0A"/>
    <w:rsid w:val="00D177F1"/>
    <w:rsid w:val="00D21209"/>
    <w:rsid w:val="00D21377"/>
    <w:rsid w:val="00D21DF3"/>
    <w:rsid w:val="00D22A31"/>
    <w:rsid w:val="00D23674"/>
    <w:rsid w:val="00D24E82"/>
    <w:rsid w:val="00D25E6B"/>
    <w:rsid w:val="00D26510"/>
    <w:rsid w:val="00D32015"/>
    <w:rsid w:val="00D323B5"/>
    <w:rsid w:val="00D336C9"/>
    <w:rsid w:val="00D344F9"/>
    <w:rsid w:val="00D37E3F"/>
    <w:rsid w:val="00D37EAB"/>
    <w:rsid w:val="00D41374"/>
    <w:rsid w:val="00D42ACC"/>
    <w:rsid w:val="00D46BC5"/>
    <w:rsid w:val="00D474BF"/>
    <w:rsid w:val="00D47521"/>
    <w:rsid w:val="00D51A49"/>
    <w:rsid w:val="00D51DC5"/>
    <w:rsid w:val="00D52C45"/>
    <w:rsid w:val="00D53449"/>
    <w:rsid w:val="00D542B8"/>
    <w:rsid w:val="00D5525A"/>
    <w:rsid w:val="00D5717D"/>
    <w:rsid w:val="00D613E0"/>
    <w:rsid w:val="00D66509"/>
    <w:rsid w:val="00D676D7"/>
    <w:rsid w:val="00D6794E"/>
    <w:rsid w:val="00D7007A"/>
    <w:rsid w:val="00D71517"/>
    <w:rsid w:val="00D7168D"/>
    <w:rsid w:val="00D71A15"/>
    <w:rsid w:val="00D754A6"/>
    <w:rsid w:val="00D82311"/>
    <w:rsid w:val="00D83D1B"/>
    <w:rsid w:val="00D86A32"/>
    <w:rsid w:val="00D874E1"/>
    <w:rsid w:val="00D9009F"/>
    <w:rsid w:val="00D90662"/>
    <w:rsid w:val="00D925C7"/>
    <w:rsid w:val="00D92B5D"/>
    <w:rsid w:val="00D935C0"/>
    <w:rsid w:val="00D950BE"/>
    <w:rsid w:val="00D95769"/>
    <w:rsid w:val="00D9586D"/>
    <w:rsid w:val="00D95A8C"/>
    <w:rsid w:val="00D964B9"/>
    <w:rsid w:val="00D9749C"/>
    <w:rsid w:val="00DA4C43"/>
    <w:rsid w:val="00DA51B2"/>
    <w:rsid w:val="00DA647E"/>
    <w:rsid w:val="00DA6965"/>
    <w:rsid w:val="00DB0932"/>
    <w:rsid w:val="00DB12CA"/>
    <w:rsid w:val="00DB293E"/>
    <w:rsid w:val="00DB3DBB"/>
    <w:rsid w:val="00DB53E0"/>
    <w:rsid w:val="00DB67F8"/>
    <w:rsid w:val="00DC2506"/>
    <w:rsid w:val="00DC4290"/>
    <w:rsid w:val="00DC49FA"/>
    <w:rsid w:val="00DC6EF5"/>
    <w:rsid w:val="00DD3D6B"/>
    <w:rsid w:val="00DD4467"/>
    <w:rsid w:val="00DD5418"/>
    <w:rsid w:val="00DD61C8"/>
    <w:rsid w:val="00DD772B"/>
    <w:rsid w:val="00DE2022"/>
    <w:rsid w:val="00DE2A3B"/>
    <w:rsid w:val="00DE435D"/>
    <w:rsid w:val="00DE4F57"/>
    <w:rsid w:val="00DE6911"/>
    <w:rsid w:val="00DF0456"/>
    <w:rsid w:val="00DF2A07"/>
    <w:rsid w:val="00DF5B53"/>
    <w:rsid w:val="00DF742A"/>
    <w:rsid w:val="00E01273"/>
    <w:rsid w:val="00E030F5"/>
    <w:rsid w:val="00E041F4"/>
    <w:rsid w:val="00E050BA"/>
    <w:rsid w:val="00E06CBE"/>
    <w:rsid w:val="00E076AC"/>
    <w:rsid w:val="00E16655"/>
    <w:rsid w:val="00E16A6B"/>
    <w:rsid w:val="00E21275"/>
    <w:rsid w:val="00E22001"/>
    <w:rsid w:val="00E25442"/>
    <w:rsid w:val="00E25A1F"/>
    <w:rsid w:val="00E25D27"/>
    <w:rsid w:val="00E3288B"/>
    <w:rsid w:val="00E34E6A"/>
    <w:rsid w:val="00E35B72"/>
    <w:rsid w:val="00E37B54"/>
    <w:rsid w:val="00E37EEB"/>
    <w:rsid w:val="00E40E48"/>
    <w:rsid w:val="00E440B3"/>
    <w:rsid w:val="00E5153D"/>
    <w:rsid w:val="00E534F0"/>
    <w:rsid w:val="00E56134"/>
    <w:rsid w:val="00E56B5D"/>
    <w:rsid w:val="00E57043"/>
    <w:rsid w:val="00E60E76"/>
    <w:rsid w:val="00E61C81"/>
    <w:rsid w:val="00E62331"/>
    <w:rsid w:val="00E63A20"/>
    <w:rsid w:val="00E661E8"/>
    <w:rsid w:val="00E66265"/>
    <w:rsid w:val="00E710FB"/>
    <w:rsid w:val="00E72E52"/>
    <w:rsid w:val="00E730F1"/>
    <w:rsid w:val="00E73CC9"/>
    <w:rsid w:val="00E75847"/>
    <w:rsid w:val="00E76FCC"/>
    <w:rsid w:val="00E7765B"/>
    <w:rsid w:val="00E80528"/>
    <w:rsid w:val="00E806D9"/>
    <w:rsid w:val="00E816C7"/>
    <w:rsid w:val="00E82CA2"/>
    <w:rsid w:val="00E84367"/>
    <w:rsid w:val="00E90FC9"/>
    <w:rsid w:val="00E9142F"/>
    <w:rsid w:val="00E94224"/>
    <w:rsid w:val="00E94E5A"/>
    <w:rsid w:val="00E95594"/>
    <w:rsid w:val="00E95A55"/>
    <w:rsid w:val="00E9743D"/>
    <w:rsid w:val="00EA0B27"/>
    <w:rsid w:val="00EA2525"/>
    <w:rsid w:val="00EA31C3"/>
    <w:rsid w:val="00EA4947"/>
    <w:rsid w:val="00EA4B1B"/>
    <w:rsid w:val="00EB16BB"/>
    <w:rsid w:val="00EB33AC"/>
    <w:rsid w:val="00EC25DE"/>
    <w:rsid w:val="00EC669D"/>
    <w:rsid w:val="00EC6F21"/>
    <w:rsid w:val="00EC7887"/>
    <w:rsid w:val="00ED2708"/>
    <w:rsid w:val="00ED2D39"/>
    <w:rsid w:val="00ED3A3A"/>
    <w:rsid w:val="00ED4C33"/>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26F00"/>
    <w:rsid w:val="00F27454"/>
    <w:rsid w:val="00F32339"/>
    <w:rsid w:val="00F3596A"/>
    <w:rsid w:val="00F36446"/>
    <w:rsid w:val="00F40463"/>
    <w:rsid w:val="00F443F8"/>
    <w:rsid w:val="00F44A01"/>
    <w:rsid w:val="00F50336"/>
    <w:rsid w:val="00F50D76"/>
    <w:rsid w:val="00F55E5B"/>
    <w:rsid w:val="00F569BC"/>
    <w:rsid w:val="00F60CCF"/>
    <w:rsid w:val="00F6174D"/>
    <w:rsid w:val="00F62E3F"/>
    <w:rsid w:val="00F633EC"/>
    <w:rsid w:val="00F66D76"/>
    <w:rsid w:val="00F66E5C"/>
    <w:rsid w:val="00F67F90"/>
    <w:rsid w:val="00F708D7"/>
    <w:rsid w:val="00F7756E"/>
    <w:rsid w:val="00F77B3E"/>
    <w:rsid w:val="00F833CB"/>
    <w:rsid w:val="00F87754"/>
    <w:rsid w:val="00F90A4B"/>
    <w:rsid w:val="00F90C56"/>
    <w:rsid w:val="00F94B3C"/>
    <w:rsid w:val="00F96F4A"/>
    <w:rsid w:val="00F971BD"/>
    <w:rsid w:val="00FA25C9"/>
    <w:rsid w:val="00FA7A95"/>
    <w:rsid w:val="00FB089D"/>
    <w:rsid w:val="00FB282B"/>
    <w:rsid w:val="00FB2C57"/>
    <w:rsid w:val="00FB4F96"/>
    <w:rsid w:val="00FC0721"/>
    <w:rsid w:val="00FC1CE4"/>
    <w:rsid w:val="00FC6533"/>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783502B3"/>
  <w15:chartTrackingRefBased/>
  <w15:docId w15:val="{5F296BAC-6A1C-4F3E-9F89-D2D4330B1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 w:val="22"/>
    </w:rPr>
  </w:style>
  <w:style w:type="paragraph" w:customStyle="1" w:styleId="H4">
    <w:name w:val="_ H_4"/>
    <w:basedOn w:val="a"/>
    <w:next w:val="a"/>
    <w:qFormat/>
    <w:rsid w:val="0093128A"/>
    <w:pPr>
      <w:keepNext/>
      <w:keepLines/>
      <w:tabs>
        <w:tab w:val="left" w:pos="431"/>
      </w:tabs>
      <w:suppressAutoHyphens/>
      <w:ind w:left="1264" w:right="1264" w:hanging="1264"/>
      <w:outlineLvl w:val="3"/>
    </w:pPr>
    <w:rPr>
      <w:rFonts w:eastAsia="KaiTi"/>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basedOn w:val="a0"/>
    <w:semiHidden/>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basedOn w:val="a"/>
    <w:link w:val="a6"/>
    <w:semiHidden/>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rPr>
      <w:sz w:val="21"/>
    </w:r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SingleTxt"/>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rPr>
      <w:sz w:val="21"/>
    </w:rPr>
  </w:style>
  <w:style w:type="character" w:customStyle="1" w:styleId="a6">
    <w:name w:val="脚注文本 字符"/>
    <w:basedOn w:val="a0"/>
    <w:link w:val="a5"/>
    <w:semiHidden/>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character" w:styleId="af7">
    <w:name w:val="Unresolved Mention"/>
    <w:basedOn w:val="a0"/>
    <w:uiPriority w:val="99"/>
    <w:semiHidden/>
    <w:unhideWhenUsed/>
    <w:rsid w:val="00A601C7"/>
    <w:rPr>
      <w:color w:val="605E5C"/>
      <w:shd w:val="clear" w:color="auto" w:fill="E1DFDD"/>
    </w:rPr>
  </w:style>
  <w:style w:type="paragraph" w:styleId="af8">
    <w:name w:val="Revision"/>
    <w:hidden/>
    <w:uiPriority w:val="99"/>
    <w:semiHidden/>
    <w:rsid w:val="005244F6"/>
    <w:rPr>
      <w:rFonts w:eastAsia="宋体"/>
      <w:kern w:val="14"/>
      <w:sz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h/CEDAW/C/LTU/6" TargetMode="External"/><Relationship Id="rId26" Type="http://schemas.openxmlformats.org/officeDocument/2006/relationships/hyperlink" Target="https://undocs.org/ch/CEDAW/C/LTU/CO/5" TargetMode="External"/><Relationship Id="rId39" Type="http://schemas.openxmlformats.org/officeDocument/2006/relationships/hyperlink" Target="https://undocs.org/ch/CEDAW/C/LTU/CO/5" TargetMode="External"/><Relationship Id="rId3" Type="http://schemas.openxmlformats.org/officeDocument/2006/relationships/styles" Target="styles.xml"/><Relationship Id="rId21" Type="http://schemas.openxmlformats.org/officeDocument/2006/relationships/hyperlink" Target="https://undocs.org/ch/CEDAW/C/LTU/CO/5/Add.1" TargetMode="External"/><Relationship Id="rId34" Type="http://schemas.openxmlformats.org/officeDocument/2006/relationships/hyperlink" Target="https://undocs.org/ch/S/RES/2106(2013)" TargetMode="External"/><Relationship Id="rId42" Type="http://schemas.openxmlformats.org/officeDocument/2006/relationships/hyperlink" Target="https://undocs.org/ch/CEDAW/C/LTU/CO/5"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h/CEDAW/C/SR.1735" TargetMode="External"/><Relationship Id="rId25" Type="http://schemas.openxmlformats.org/officeDocument/2006/relationships/hyperlink" Target="https://undocs.org/ch/CEDAW/C/LTU/CO/5" TargetMode="External"/><Relationship Id="rId33" Type="http://schemas.openxmlformats.org/officeDocument/2006/relationships/hyperlink" Target="https://undocs.org/ch/S/RES/1960(2010)" TargetMode="External"/><Relationship Id="rId38" Type="http://schemas.openxmlformats.org/officeDocument/2006/relationships/hyperlink" Target="https://undocs.org/ch/S/RES/2493(2019)"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undocs.org/ch/CEDAW/C/SR.1734" TargetMode="External"/><Relationship Id="rId20" Type="http://schemas.openxmlformats.org/officeDocument/2006/relationships/hyperlink" Target="https://undocs.org/ch/CEDAW/C/LTU/Q/6/Add.1" TargetMode="External"/><Relationship Id="rId29" Type="http://schemas.openxmlformats.org/officeDocument/2006/relationships/hyperlink" Target="https://undocs.org/ch/S/RES/1325(2000)" TargetMode="External"/><Relationship Id="rId41" Type="http://schemas.openxmlformats.org/officeDocument/2006/relationships/hyperlink" Target="https://undocs.org/ch/CEDAW/C/LTU/CO/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CEDAW/C/LTU/CO/5" TargetMode="External"/><Relationship Id="rId32" Type="http://schemas.openxmlformats.org/officeDocument/2006/relationships/hyperlink" Target="https://undocs.org/ch/S/RES/1889(2009)" TargetMode="External"/><Relationship Id="rId37" Type="http://schemas.openxmlformats.org/officeDocument/2006/relationships/hyperlink" Target="https://undocs.org/ch/S/RES/2467(2019)" TargetMode="External"/><Relationship Id="rId40" Type="http://schemas.openxmlformats.org/officeDocument/2006/relationships/hyperlink" Target="https://undocs.org/ch/CEDAW/C/LTU/CO/5"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A/65/38" TargetMode="External"/><Relationship Id="rId28" Type="http://schemas.openxmlformats.org/officeDocument/2006/relationships/hyperlink" Target="https://undocs.org/ch/CEDAW/C/LTU/CO/5" TargetMode="External"/><Relationship Id="rId36" Type="http://schemas.openxmlformats.org/officeDocument/2006/relationships/hyperlink" Target="https://undocs.org/ch/S/RES/2242(2015)" TargetMode="External"/><Relationship Id="rId10" Type="http://schemas.openxmlformats.org/officeDocument/2006/relationships/footer" Target="footer1.xml"/><Relationship Id="rId19" Type="http://schemas.openxmlformats.org/officeDocument/2006/relationships/hyperlink" Target="https://undocs.org/ch/CEDAW/C/LTU/Q/6" TargetMode="External"/><Relationship Id="rId31" Type="http://schemas.openxmlformats.org/officeDocument/2006/relationships/hyperlink" Target="https://undocs.org/ch/S/RES/1888(2009)" TargetMode="External"/><Relationship Id="rId44" Type="http://schemas.openxmlformats.org/officeDocument/2006/relationships/hyperlink" Target="https://undocs.org/ch/HRI/GEN/2/Rev.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CEDAW/C/LTU/5" TargetMode="External"/><Relationship Id="rId27" Type="http://schemas.openxmlformats.org/officeDocument/2006/relationships/hyperlink" Target="https://undocs.org/ch/CEDAW/C/LTU/CO/5" TargetMode="External"/><Relationship Id="rId30" Type="http://schemas.openxmlformats.org/officeDocument/2006/relationships/hyperlink" Target="https://undocs.org/ch/S/RES/1820(2008)" TargetMode="External"/><Relationship Id="rId35" Type="http://schemas.openxmlformats.org/officeDocument/2006/relationships/hyperlink" Target="https://undocs.org/ch/S/RES/2122(2013)" TargetMode="External"/><Relationship Id="rId43" Type="http://schemas.openxmlformats.org/officeDocument/2006/relationships/hyperlink" Target="https://undocs.org/ch/CEDAW/C/LTU/CO/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08EDFE-3E31-45D1-807D-BCB91F9F6E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7130</Words>
  <Characters>7630</Characters>
  <Application>Microsoft Office Word</Application>
  <DocSecurity>0</DocSecurity>
  <Lines>346</Lines>
  <Paragraphs>245</Paragraphs>
  <ScaleCrop>false</ScaleCrop>
  <Company/>
  <LinksUpToDate>false</LinksUpToDate>
  <CharactersWithSpaces>14515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Ai-Yun Zhou</dc:creator>
  <cp:keywords/>
  <dc:description/>
  <cp:lastModifiedBy>Chinese Text Processing</cp:lastModifiedBy>
  <cp:revision>3</cp:revision>
  <cp:lastPrinted>2019-12-17T15:59:00Z</cp:lastPrinted>
  <dcterms:created xsi:type="dcterms:W3CDTF">2019-12-17T15:59:00Z</dcterms:created>
  <dcterms:modified xsi:type="dcterms:W3CDTF">2019-12-17T15:59:00Z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1919545</vt:lpwstr>
  </property>
  <property fmtid="{D5CDD505-2E9C-101B-9397-08002B2CF9AE}" pid="3" name="ODSRefJobNo">
    <vt:lpwstr>1936299C</vt:lpwstr>
  </property>
  <property fmtid="{D5CDD505-2E9C-101B-9397-08002B2CF9AE}" pid="4" name="Symbol1">
    <vt:lpwstr>CEDAW/C/LTU/CO/6</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Chinese</vt:lpwstr>
  </property>
  <property fmtid="{D5CDD505-2E9C-101B-9397-08002B2CF9AE}" pid="9" name="Comment">
    <vt:lpwstr/>
  </property>
  <property fmtid="{D5CDD505-2E9C-101B-9397-08002B2CF9AE}" pid="10" name="DraftPages">
    <vt:lpwstr> </vt:lpwstr>
  </property>
  <property fmtid="{D5CDD505-2E9C-101B-9397-08002B2CF9AE}" pid="11" name="Operator">
    <vt:lpwstr>ZAY</vt:lpwstr>
  </property>
  <property fmtid="{D5CDD505-2E9C-101B-9397-08002B2CF9AE}" pid="12" name="Distribution">
    <vt:lpwstr>General</vt:lpwstr>
  </property>
  <property fmtid="{D5CDD505-2E9C-101B-9397-08002B2CF9AE}" pid="13" name="Publication Date">
    <vt:lpwstr>12 November 2019</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关于立陶宛第六次定期报告的结论性意见*_x000d_</vt:lpwstr>
  </property>
</Properties>
</file>