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60E82" w:rsidRPr="00DB58B5" w:rsidTr="00A1281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2C6F60" w:rsidP="002C6F60">
            <w:pPr>
              <w:jc w:val="right"/>
            </w:pPr>
            <w:r w:rsidRPr="002C6F60">
              <w:rPr>
                <w:sz w:val="40"/>
              </w:rPr>
              <w:t>CRC</w:t>
            </w:r>
            <w:r>
              <w:t>/C/SR.1846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9730DD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C6F60" w:rsidRDefault="00A12816" w:rsidP="006A2FF6">
            <w:pPr>
              <w:spacing w:before="240"/>
            </w:pPr>
            <w:r>
              <w:t>Distr. générale</w:t>
            </w:r>
          </w:p>
          <w:p w:rsidR="009730DD" w:rsidRDefault="002C6F60" w:rsidP="002C6F60">
            <w:pPr>
              <w:spacing w:line="240" w:lineRule="exact"/>
            </w:pPr>
            <w:r>
              <w:t>15 janvier 2014</w:t>
            </w:r>
          </w:p>
          <w:p w:rsidR="009730DD" w:rsidRDefault="009730DD" w:rsidP="009730DD">
            <w:pPr>
              <w:spacing w:line="240" w:lineRule="exact"/>
            </w:pPr>
          </w:p>
          <w:p w:rsidR="00060E82" w:rsidRPr="00DB58B5" w:rsidRDefault="002C6F60" w:rsidP="002C6F60">
            <w:pPr>
              <w:spacing w:line="240" w:lineRule="exact"/>
            </w:pPr>
            <w:r>
              <w:t>Original: français</w:t>
            </w:r>
          </w:p>
        </w:tc>
      </w:tr>
    </w:tbl>
    <w:p w:rsidR="00A12816" w:rsidRPr="00A12816" w:rsidRDefault="00A12816" w:rsidP="00A12816">
      <w:pPr>
        <w:spacing w:before="120"/>
        <w:rPr>
          <w:b/>
          <w:sz w:val="24"/>
          <w:szCs w:val="24"/>
        </w:rPr>
      </w:pPr>
      <w:r w:rsidRPr="00A12816">
        <w:rPr>
          <w:b/>
          <w:sz w:val="24"/>
          <w:szCs w:val="24"/>
        </w:rPr>
        <w:t>Comité des droits de l</w:t>
      </w:r>
      <w:r w:rsidR="009730DD">
        <w:rPr>
          <w:b/>
          <w:sz w:val="24"/>
          <w:szCs w:val="24"/>
        </w:rPr>
        <w:t>’</w:t>
      </w:r>
      <w:r w:rsidRPr="00A12816">
        <w:rPr>
          <w:b/>
          <w:sz w:val="24"/>
          <w:szCs w:val="24"/>
        </w:rPr>
        <w:t>enfant</w:t>
      </w:r>
    </w:p>
    <w:p w:rsidR="00A12816" w:rsidRPr="009B4ED6" w:rsidRDefault="00BF0F93" w:rsidP="009B4ED6">
      <w:pPr>
        <w:spacing w:after="120"/>
        <w:rPr>
          <w:b/>
        </w:rPr>
      </w:pPr>
      <w:r>
        <w:rPr>
          <w:b/>
        </w:rPr>
        <w:t>Soixante</w:t>
      </w:r>
      <w:r w:rsidR="002C09FA">
        <w:rPr>
          <w:b/>
        </w:rPr>
        <w:t>-</w:t>
      </w:r>
      <w:r w:rsidR="00970EEF">
        <w:rPr>
          <w:b/>
        </w:rPr>
        <w:t>cinqu</w:t>
      </w:r>
      <w:r w:rsidR="002C09FA">
        <w:rPr>
          <w:b/>
        </w:rPr>
        <w:t xml:space="preserve">ième </w:t>
      </w:r>
      <w:r w:rsidR="00A12816" w:rsidRPr="009B4ED6">
        <w:rPr>
          <w:b/>
        </w:rPr>
        <w:t>session</w:t>
      </w:r>
    </w:p>
    <w:p w:rsidR="00A12816" w:rsidRPr="009B4ED6" w:rsidRDefault="00A12816" w:rsidP="00A12816">
      <w:pPr>
        <w:rPr>
          <w:b/>
        </w:rPr>
      </w:pPr>
      <w:r w:rsidRPr="009B4ED6">
        <w:rPr>
          <w:b/>
        </w:rPr>
        <w:t xml:space="preserve">Compte rendu analytique de la </w:t>
      </w:r>
      <w:r w:rsidR="002C6F60">
        <w:rPr>
          <w:b/>
        </w:rPr>
        <w:t>première partie (publique)</w:t>
      </w:r>
      <w:r w:rsidR="002C6F60" w:rsidRPr="002C6F60">
        <w:rPr>
          <w:rStyle w:val="FootnoteReference"/>
          <w:sz w:val="20"/>
          <w:vertAlign w:val="baseline"/>
        </w:rPr>
        <w:footnoteReference w:customMarkFollows="1" w:id="2"/>
        <w:t>*</w:t>
      </w:r>
      <w:r w:rsidR="002C6F60">
        <w:rPr>
          <w:b/>
          <w:vertAlign w:val="superscript"/>
        </w:rPr>
        <w:t xml:space="preserve"> </w:t>
      </w:r>
      <w:r w:rsidR="002C6F60">
        <w:rPr>
          <w:b/>
        </w:rPr>
        <w:t>de la 1846</w:t>
      </w:r>
      <w:r w:rsidRPr="009B4ED6">
        <w:rPr>
          <w:b/>
          <w:vertAlign w:val="superscript"/>
        </w:rPr>
        <w:t>e</w:t>
      </w:r>
      <w:r w:rsidR="00A91565">
        <w:rPr>
          <w:b/>
        </w:rPr>
        <w:t> </w:t>
      </w:r>
      <w:r w:rsidRPr="009B4ED6">
        <w:rPr>
          <w:b/>
        </w:rPr>
        <w:t>séance</w:t>
      </w:r>
    </w:p>
    <w:p w:rsidR="00A12816" w:rsidRPr="00A12816" w:rsidRDefault="00A12816" w:rsidP="009B4ED6">
      <w:pPr>
        <w:spacing w:after="120"/>
      </w:pPr>
      <w:r>
        <w:t>T</w:t>
      </w:r>
      <w:r w:rsidRPr="00A12816">
        <w:t xml:space="preserve">enue au Palais </w:t>
      </w:r>
      <w:r w:rsidR="00F65E9C">
        <w:t>Wilson</w:t>
      </w:r>
      <w:r w:rsidRPr="00A12816">
        <w:t>, à Genève,</w:t>
      </w:r>
      <w:r>
        <w:t xml:space="preserve"> </w:t>
      </w:r>
      <w:r w:rsidRPr="00A12816">
        <w:t>le</w:t>
      </w:r>
      <w:r w:rsidR="002C6F60">
        <w:t xml:space="preserve"> lundi 13 janvier </w:t>
      </w:r>
      <w:r w:rsidRPr="00A12816">
        <w:t>20</w:t>
      </w:r>
      <w:r w:rsidR="00BB7E84">
        <w:t>1</w:t>
      </w:r>
      <w:r w:rsidR="00970EEF">
        <w:t>4</w:t>
      </w:r>
      <w:r w:rsidRPr="00A12816">
        <w:t xml:space="preserve">, à </w:t>
      </w:r>
      <w:r w:rsidR="002C6F60">
        <w:t>10 heures</w:t>
      </w:r>
    </w:p>
    <w:p w:rsidR="00A12816" w:rsidRPr="00A12816" w:rsidRDefault="009B4ED6" w:rsidP="009B4ED6">
      <w:pPr>
        <w:tabs>
          <w:tab w:val="right" w:pos="851"/>
          <w:tab w:val="left" w:pos="1134"/>
          <w:tab w:val="right" w:leader="dot" w:pos="8505"/>
        </w:tabs>
      </w:pPr>
      <w:r>
        <w:rPr>
          <w:i/>
        </w:rPr>
        <w:tab/>
      </w:r>
      <w:r w:rsidR="00A12816" w:rsidRPr="00A12816">
        <w:rPr>
          <w:i/>
        </w:rPr>
        <w:t>Président</w:t>
      </w:r>
      <w:r w:rsidR="0062628F">
        <w:rPr>
          <w:i/>
        </w:rPr>
        <w:t>(e)</w:t>
      </w:r>
      <w:r w:rsidR="00A12816" w:rsidRPr="00A12816">
        <w:t xml:space="preserve">: </w:t>
      </w:r>
      <w:r>
        <w:tab/>
      </w:r>
      <w:r w:rsidR="002C6F60">
        <w:t>M</w:t>
      </w:r>
      <w:r w:rsidR="002C6F60" w:rsidRPr="002C6F60">
        <w:rPr>
          <w:vertAlign w:val="superscript"/>
        </w:rPr>
        <w:t>me</w:t>
      </w:r>
      <w:r w:rsidR="002C6F60">
        <w:t> Sandberg</w:t>
      </w:r>
    </w:p>
    <w:p w:rsidR="00FF1DBD" w:rsidRDefault="00A12816" w:rsidP="009B4ED6">
      <w:pPr>
        <w:spacing w:before="360" w:after="240"/>
        <w:rPr>
          <w:sz w:val="28"/>
          <w:szCs w:val="28"/>
        </w:rPr>
      </w:pPr>
      <w:r w:rsidRPr="009B4ED6">
        <w:rPr>
          <w:sz w:val="28"/>
          <w:szCs w:val="28"/>
        </w:rPr>
        <w:t>Sommaire</w:t>
      </w:r>
    </w:p>
    <w:p w:rsidR="009B4ED6" w:rsidRDefault="002C6F60" w:rsidP="002C6F60">
      <w:pPr>
        <w:pStyle w:val="SingleTxtG"/>
      </w:pPr>
      <w:r>
        <w:t>Ouverture de la session</w:t>
      </w:r>
    </w:p>
    <w:p w:rsidR="002C6F60" w:rsidRDefault="002C6F60" w:rsidP="002C6F60">
      <w:pPr>
        <w:pStyle w:val="SingleTxtG"/>
      </w:pPr>
      <w:r>
        <w:t>Déclaration de la Haut-Commissaire des Nations Unies aux droits de l</w:t>
      </w:r>
      <w:r w:rsidR="009730DD">
        <w:t>’</w:t>
      </w:r>
      <w:r>
        <w:t>homme</w:t>
      </w:r>
    </w:p>
    <w:p w:rsidR="002C6F60" w:rsidRDefault="002C6F60" w:rsidP="002C6F60">
      <w:pPr>
        <w:pStyle w:val="SingleTxtG"/>
      </w:pPr>
      <w:r>
        <w:t>Adoption de l</w:t>
      </w:r>
      <w:r w:rsidR="009730DD">
        <w:t>’</w:t>
      </w:r>
      <w:r>
        <w:t>ordre du jour</w:t>
      </w:r>
    </w:p>
    <w:p w:rsidR="002C6F60" w:rsidRPr="007D085C" w:rsidRDefault="002C6F60" w:rsidP="002C6F60">
      <w:pPr>
        <w:pStyle w:val="SingleTxtG"/>
      </w:pPr>
      <w:r>
        <w:br w:type="page"/>
      </w:r>
      <w:r w:rsidRPr="002C6F60">
        <w:rPr>
          <w:i/>
        </w:rPr>
        <w:t>La séance est ouverte à 10</w:t>
      </w:r>
      <w:r>
        <w:rPr>
          <w:i/>
        </w:rPr>
        <w:t> </w:t>
      </w:r>
      <w:r w:rsidRPr="002C6F60">
        <w:rPr>
          <w:i/>
        </w:rPr>
        <w:t>h</w:t>
      </w:r>
      <w:r>
        <w:rPr>
          <w:i/>
        </w:rPr>
        <w:t> </w:t>
      </w:r>
      <w:r w:rsidRPr="002C6F60">
        <w:rPr>
          <w:i/>
        </w:rPr>
        <w:t>15</w:t>
      </w:r>
      <w:r>
        <w:t>.</w:t>
      </w:r>
    </w:p>
    <w:p w:rsidR="002C6F60" w:rsidRPr="00641799" w:rsidRDefault="002C6F60" w:rsidP="002C6F60">
      <w:pPr>
        <w:pStyle w:val="H23G"/>
      </w:pPr>
      <w:r>
        <w:tab/>
      </w:r>
      <w:r>
        <w:tab/>
      </w:r>
      <w:r w:rsidRPr="00641799">
        <w:t>Ouverture de la session</w:t>
      </w:r>
    </w:p>
    <w:p w:rsidR="002C6F60" w:rsidRDefault="002C6F60" w:rsidP="002C6F60">
      <w:pPr>
        <w:pStyle w:val="ParNoG"/>
      </w:pPr>
      <w:r w:rsidRPr="00C4079D">
        <w:rPr>
          <w:b/>
        </w:rPr>
        <w:t>La Présidente</w:t>
      </w:r>
      <w:r>
        <w:t xml:space="preserve"> déclare ouverte la soixante-cinquième session du Comité des droits de l</w:t>
      </w:r>
      <w:r w:rsidR="009730DD">
        <w:t>’</w:t>
      </w:r>
      <w:r>
        <w:t>enfant.</w:t>
      </w:r>
    </w:p>
    <w:p w:rsidR="002C6F60" w:rsidRDefault="002C6F60" w:rsidP="002C6F60">
      <w:pPr>
        <w:pStyle w:val="H23G"/>
      </w:pPr>
      <w:r>
        <w:tab/>
      </w:r>
      <w:r>
        <w:tab/>
        <w:t>Déclaration</w:t>
      </w:r>
      <w:r w:rsidRPr="00641799">
        <w:t xml:space="preserve"> de la Haut-Commissaire des Nations Unies aux droits de l</w:t>
      </w:r>
      <w:r w:rsidR="009730DD">
        <w:t>’</w:t>
      </w:r>
      <w:r w:rsidRPr="00641799">
        <w:t>hom</w:t>
      </w:r>
      <w:r>
        <w:t>me</w:t>
      </w:r>
    </w:p>
    <w:p w:rsidR="002C6F60" w:rsidRDefault="002C6F60" w:rsidP="002C6F60">
      <w:pPr>
        <w:pStyle w:val="ParNoG"/>
      </w:pPr>
      <w:r w:rsidRPr="00C4079D">
        <w:rPr>
          <w:b/>
        </w:rPr>
        <w:t>M</w:t>
      </w:r>
      <w:r w:rsidRPr="002C6F60">
        <w:rPr>
          <w:b/>
          <w:vertAlign w:val="superscript"/>
        </w:rPr>
        <w:t>me</w:t>
      </w:r>
      <w:r>
        <w:rPr>
          <w:b/>
        </w:rPr>
        <w:t> </w:t>
      </w:r>
      <w:r w:rsidRPr="00C4079D">
        <w:rPr>
          <w:b/>
        </w:rPr>
        <w:t>Pillay</w:t>
      </w:r>
      <w:r>
        <w:t xml:space="preserve"> (Haut-Commissaire des Nations Unies aux droits de l</w:t>
      </w:r>
      <w:r w:rsidR="009730DD">
        <w:t>’</w:t>
      </w:r>
      <w:r>
        <w:t>homme) dit que 2014 marquera le vingt-cinquième anniversaire de l</w:t>
      </w:r>
      <w:r w:rsidR="009730DD">
        <w:t>’</w:t>
      </w:r>
      <w:r>
        <w:t>adoption de la Convention relative aux droits de l</w:t>
      </w:r>
      <w:r w:rsidR="009730DD">
        <w:t>’</w:t>
      </w:r>
      <w:r>
        <w:t>homme, instrument relatif aux droits de l</w:t>
      </w:r>
      <w:r w:rsidR="009730DD">
        <w:t>’</w:t>
      </w:r>
      <w:r>
        <w:t>homme le plus ratifié au monde puisque seuls trois États ne l</w:t>
      </w:r>
      <w:r w:rsidR="009730DD">
        <w:t>’</w:t>
      </w:r>
      <w:r>
        <w:t>ont pas ratifié. Rappelant que, en 2000, à l</w:t>
      </w:r>
      <w:r w:rsidR="009730DD">
        <w:t>’</w:t>
      </w:r>
      <w:r>
        <w:t xml:space="preserve">occasion du lancement du </w:t>
      </w:r>
      <w:r w:rsidRPr="00D94B22">
        <w:t>Partenariat mondial en faveur des enfants</w:t>
      </w:r>
      <w:r>
        <w:t>, Nelson</w:t>
      </w:r>
      <w:r w:rsidR="00D25268">
        <w:t> </w:t>
      </w:r>
      <w:r>
        <w:t>Mandela avait qualifié la Convention de document «vivant», M</w:t>
      </w:r>
      <w:r w:rsidRPr="002C6F60">
        <w:rPr>
          <w:vertAlign w:val="superscript"/>
        </w:rPr>
        <w:t>me</w:t>
      </w:r>
      <w:r>
        <w:t> Pillay insiste sur le fait que, quatorze ans plus tard, le défi de la mise en œuvre des droits consacrés par la Convention demeure. À cet égard, le Comité a un rôle essentiel à jouer puisqu</w:t>
      </w:r>
      <w:r w:rsidR="009730DD">
        <w:t>’</w:t>
      </w:r>
      <w:r>
        <w:t>il est un agent du changement sur le terrain</w:t>
      </w:r>
      <w:r w:rsidR="003D7419">
        <w:t>,</w:t>
      </w:r>
      <w:r>
        <w:t xml:space="preserve"> grâce à son dialogue avec les États parties et à l</w:t>
      </w:r>
      <w:r w:rsidR="009730DD">
        <w:t>’</w:t>
      </w:r>
      <w:r>
        <w:t>élaboration de recommandations ciblées, pertinentes et applicables.</w:t>
      </w:r>
    </w:p>
    <w:p w:rsidR="002C6F60" w:rsidRDefault="002C6F60" w:rsidP="002C6F60">
      <w:pPr>
        <w:pStyle w:val="ParNoG"/>
      </w:pPr>
      <w:r>
        <w:t>À l</w:t>
      </w:r>
      <w:r w:rsidR="009730DD">
        <w:t>’</w:t>
      </w:r>
      <w:r>
        <w:t>occasion du vingt-cinquième anniversaire de l</w:t>
      </w:r>
      <w:r w:rsidR="009730DD">
        <w:t>’</w:t>
      </w:r>
      <w:r>
        <w:t>adoption de la Convention, l</w:t>
      </w:r>
      <w:r w:rsidR="009730DD">
        <w:t>’</w:t>
      </w:r>
      <w:r>
        <w:t>accent pourra être mis sur la sensibilisation</w:t>
      </w:r>
      <w:r w:rsidR="003D7419">
        <w:t xml:space="preserve"> du public</w:t>
      </w:r>
      <w:r>
        <w:t>, en particulier des enfants, à la Convention et aux trois Protocoles facultatifs s</w:t>
      </w:r>
      <w:r w:rsidR="009730DD">
        <w:t>’</w:t>
      </w:r>
      <w:r>
        <w:t>y rapportant, notamment par le biais des réseaux sociaux. À cet égard, M</w:t>
      </w:r>
      <w:r w:rsidRPr="002C6F60">
        <w:rPr>
          <w:vertAlign w:val="superscript"/>
        </w:rPr>
        <w:t>me</w:t>
      </w:r>
      <w:r w:rsidR="003D7419">
        <w:t> </w:t>
      </w:r>
      <w:r>
        <w:t xml:space="preserve">Pillay </w:t>
      </w:r>
      <w:r w:rsidR="003D7419">
        <w:t>se félicite</w:t>
      </w:r>
      <w:r>
        <w:t xml:space="preserve"> que la journée de débat général de 2014 soit consacrée au thème «</w:t>
      </w:r>
      <w:r w:rsidRPr="00D94B22">
        <w:t>Médias, réseaux sociaux et droits de l</w:t>
      </w:r>
      <w:r w:rsidR="009730DD">
        <w:t>’</w:t>
      </w:r>
      <w:r w:rsidRPr="00D94B22">
        <w:t>enfant</w:t>
      </w:r>
      <w:r>
        <w:t>».</w:t>
      </w:r>
    </w:p>
    <w:p w:rsidR="002C6F60" w:rsidRPr="00F11EAF" w:rsidRDefault="003D7419" w:rsidP="003D7419">
      <w:pPr>
        <w:pStyle w:val="ParNoG"/>
      </w:pPr>
      <w:r>
        <w:t>M</w:t>
      </w:r>
      <w:r w:rsidRPr="002C6F60">
        <w:rPr>
          <w:vertAlign w:val="superscript"/>
        </w:rPr>
        <w:t>me</w:t>
      </w:r>
      <w:r>
        <w:t> </w:t>
      </w:r>
      <w:r w:rsidR="002C6F60">
        <w:t>Pillay annonce que le Costa</w:t>
      </w:r>
      <w:r>
        <w:t> </w:t>
      </w:r>
      <w:r w:rsidR="002C6F60">
        <w:t>Rica devrait déposer l</w:t>
      </w:r>
      <w:r w:rsidR="009730DD">
        <w:t>’</w:t>
      </w:r>
      <w:r w:rsidR="002C6F60">
        <w:t>instrument de ratification du Protocole facultatif établissant une procédure de présentation de communications le 14 janvier</w:t>
      </w:r>
      <w:r w:rsidR="00A91565">
        <w:t xml:space="preserve"> </w:t>
      </w:r>
      <w:r w:rsidR="002C6F60">
        <w:t xml:space="preserve">2014, ce qui porterait à </w:t>
      </w:r>
      <w:r w:rsidR="00494558">
        <w:t>10</w:t>
      </w:r>
      <w:r w:rsidR="002C6F60">
        <w:t xml:space="preserve"> le nombre d</w:t>
      </w:r>
      <w:r w:rsidR="009730DD">
        <w:t>’</w:t>
      </w:r>
      <w:r w:rsidR="002C6F60">
        <w:t xml:space="preserve">États ayant ratifié le Protocole, qui entrerait en vigueur en avril 2014. </w:t>
      </w:r>
      <w:r>
        <w:t>M</w:t>
      </w:r>
      <w:r w:rsidRPr="002C6F60">
        <w:rPr>
          <w:vertAlign w:val="superscript"/>
        </w:rPr>
        <w:t>me</w:t>
      </w:r>
      <w:r>
        <w:t> </w:t>
      </w:r>
      <w:r w:rsidR="002C6F60">
        <w:t xml:space="preserve">Pillay encourage les États à ratifier ce Protocole afin que les enfants puissent se tourner vers le Comité lorsque tous les recours internes ont été épuisés. </w:t>
      </w:r>
      <w:r w:rsidR="007A0047">
        <w:t>E</w:t>
      </w:r>
      <w:r w:rsidR="002C6F60">
        <w:t>lle espère que l</w:t>
      </w:r>
      <w:r w:rsidR="009730DD">
        <w:t>’</w:t>
      </w:r>
      <w:r w:rsidR="002C6F60">
        <w:t>existence même de ce Protocole encouragera les États parties à redoubler d</w:t>
      </w:r>
      <w:r w:rsidR="009730DD">
        <w:t>’</w:t>
      </w:r>
      <w:r w:rsidR="002C6F60">
        <w:t>efforts pour veiller à ce que leurs systèmes nationaux offrent une solide protection des droits de l</w:t>
      </w:r>
      <w:r w:rsidR="009730DD">
        <w:t>’</w:t>
      </w:r>
      <w:r w:rsidR="002C6F60">
        <w:t>enfant, y compris le droit à un recours.</w:t>
      </w:r>
    </w:p>
    <w:p w:rsidR="002C6F60" w:rsidRDefault="007A0047" w:rsidP="007A0047">
      <w:pPr>
        <w:pStyle w:val="ParNoG"/>
      </w:pPr>
      <w:r>
        <w:t>Comme s</w:t>
      </w:r>
      <w:r w:rsidR="002C6F60">
        <w:t>uite à la décision de l</w:t>
      </w:r>
      <w:r w:rsidR="009730DD">
        <w:t>’</w:t>
      </w:r>
      <w:r w:rsidR="002C6F60">
        <w:t>Assemblée générale de prolonger le processus intergouvernemental de renforcement des organes conventionnels jusqu</w:t>
      </w:r>
      <w:r w:rsidR="009730DD">
        <w:t>’</w:t>
      </w:r>
      <w:r w:rsidR="002C6F60">
        <w:t>en février 2014, le Secrétaire général a établi une évaluation complète et détaillée des coûts des différents éléments proposés</w:t>
      </w:r>
      <w:r>
        <w:t>. Cette évaluation</w:t>
      </w:r>
      <w:r w:rsidR="002C6F60">
        <w:t xml:space="preserve"> fait actuellement l</w:t>
      </w:r>
      <w:r w:rsidR="009730DD">
        <w:t>’</w:t>
      </w:r>
      <w:r w:rsidR="002C6F60">
        <w:t>objet de discussions dans le cadre d</w:t>
      </w:r>
      <w:r w:rsidR="009730DD">
        <w:t>’</w:t>
      </w:r>
      <w:r w:rsidR="002C6F60">
        <w:t xml:space="preserve">une première série de consultations qui devra aboutir </w:t>
      </w:r>
      <w:r>
        <w:t xml:space="preserve">à la </w:t>
      </w:r>
      <w:r w:rsidR="002C6F60">
        <w:t xml:space="preserve">mi-février 2014. À cet égard, </w:t>
      </w:r>
      <w:r>
        <w:t>M</w:t>
      </w:r>
      <w:r w:rsidRPr="002C6F60">
        <w:rPr>
          <w:vertAlign w:val="superscript"/>
        </w:rPr>
        <w:t>me</w:t>
      </w:r>
      <w:r>
        <w:t> </w:t>
      </w:r>
      <w:r w:rsidR="002C6F60">
        <w:t xml:space="preserve">Pillay </w:t>
      </w:r>
      <w:r>
        <w:t>se félicite de l</w:t>
      </w:r>
      <w:r w:rsidR="009730DD">
        <w:t>’</w:t>
      </w:r>
      <w:r>
        <w:t xml:space="preserve">importance accordée par </w:t>
      </w:r>
      <w:r w:rsidR="002C6F60">
        <w:t>l</w:t>
      </w:r>
      <w:r w:rsidR="009730DD">
        <w:t>’</w:t>
      </w:r>
      <w:r w:rsidR="002C6F60">
        <w:t>Assemblée générale aux questions de l</w:t>
      </w:r>
      <w:r w:rsidR="009730DD">
        <w:t>’</w:t>
      </w:r>
      <w:r w:rsidR="002C6F60">
        <w:t xml:space="preserve">augmentation du temps de réunion et des </w:t>
      </w:r>
      <w:r>
        <w:t>effectifs ch</w:t>
      </w:r>
      <w:r w:rsidR="002C6F60">
        <w:t>argés de l</w:t>
      </w:r>
      <w:r w:rsidR="009730DD">
        <w:t>’</w:t>
      </w:r>
      <w:r w:rsidR="002C6F60">
        <w:t>appui aux organes conventionnels, du renforcement des capacités liées à l</w:t>
      </w:r>
      <w:r w:rsidR="009730DD">
        <w:t>’</w:t>
      </w:r>
      <w:r w:rsidR="002C6F60">
        <w:t>établissement des rapports, de la diffusion en direct sur le Web, de la vidéoconférence et de l</w:t>
      </w:r>
      <w:r w:rsidR="009730DD">
        <w:t>’</w:t>
      </w:r>
      <w:r w:rsidR="002C6F60">
        <w:t xml:space="preserve">accessibilité. </w:t>
      </w:r>
      <w:r>
        <w:t xml:space="preserve">Elle espère que </w:t>
      </w:r>
      <w:r w:rsidR="002C6F60">
        <w:t>l</w:t>
      </w:r>
      <w:r w:rsidR="009730DD">
        <w:t>’</w:t>
      </w:r>
      <w:r w:rsidR="002C6F60">
        <w:t>Assemblée générale parviendra à un accord complet en février et qu</w:t>
      </w:r>
      <w:r w:rsidR="009730DD">
        <w:t>’</w:t>
      </w:r>
      <w:r w:rsidR="002C6F60">
        <w:t>elle accordera des ressources budgétaires supplémentaires aux organes conventionnels afin qu</w:t>
      </w:r>
      <w:r w:rsidR="009730DD">
        <w:t>’</w:t>
      </w:r>
      <w:r w:rsidR="002C6F60">
        <w:t>ils puissent s</w:t>
      </w:r>
      <w:r w:rsidR="009730DD">
        <w:t>’</w:t>
      </w:r>
      <w:r w:rsidR="002C6F60">
        <w:t>acquitter pleinement de leur mandat.</w:t>
      </w:r>
    </w:p>
    <w:p w:rsidR="002C6F60" w:rsidRDefault="002C6F60" w:rsidP="007A0047">
      <w:pPr>
        <w:pStyle w:val="ParNoG"/>
      </w:pPr>
      <w:r>
        <w:t>S</w:t>
      </w:r>
      <w:r w:rsidR="009730DD">
        <w:t>’</w:t>
      </w:r>
      <w:r>
        <w:t>agissant des faits nouveaux concernant les questions traitées par le Conseil des droits de l</w:t>
      </w:r>
      <w:r w:rsidR="009730DD">
        <w:t>’</w:t>
      </w:r>
      <w:r>
        <w:t xml:space="preserve">homme, </w:t>
      </w:r>
      <w:r w:rsidR="00694783">
        <w:t>M</w:t>
      </w:r>
      <w:r w:rsidR="00694783" w:rsidRPr="002C6F60">
        <w:rPr>
          <w:vertAlign w:val="superscript"/>
        </w:rPr>
        <w:t>me</w:t>
      </w:r>
      <w:r w:rsidR="00694783">
        <w:t> </w:t>
      </w:r>
      <w:r>
        <w:t xml:space="preserve">Pillay dit </w:t>
      </w:r>
      <w:r w:rsidR="00694783">
        <w:t>que</w:t>
      </w:r>
      <w:r>
        <w:t xml:space="preserve"> le rapport de la table ronde tenue les 10 et 11 décembre 2013 à Singapour sur les enfants qui travaillent ou vivent dans la rue, à laquelle a participé M.</w:t>
      </w:r>
      <w:r w:rsidR="00694783">
        <w:t> </w:t>
      </w:r>
      <w:r>
        <w:t>Gastaud</w:t>
      </w:r>
      <w:r w:rsidR="00694783">
        <w:t>, est en cours d</w:t>
      </w:r>
      <w:r w:rsidR="009730DD">
        <w:t>’</w:t>
      </w:r>
      <w:r w:rsidR="00694783">
        <w:t>établissement. De plus, le Haut</w:t>
      </w:r>
      <w:r w:rsidR="00694783">
        <w:noBreakHyphen/>
      </w:r>
      <w:r>
        <w:t>Commissariat aux droits de l</w:t>
      </w:r>
      <w:r w:rsidR="009730DD">
        <w:t>’</w:t>
      </w:r>
      <w:r>
        <w:t>homme (HCDH) établit actuellement un rapport sur le droit à l</w:t>
      </w:r>
      <w:r w:rsidR="009730DD">
        <w:t>’</w:t>
      </w:r>
      <w:r>
        <w:t>enregistrement des naissances et élabore, en collaboration avec l</w:t>
      </w:r>
      <w:r w:rsidR="009730DD">
        <w:t>’</w:t>
      </w:r>
      <w:r>
        <w:t xml:space="preserve">Organisation mondiale de la Santé (OMS) des directives sur la lutte contre la mortalité des enfants de moins de </w:t>
      </w:r>
      <w:r w:rsidR="00494558">
        <w:t>5 </w:t>
      </w:r>
      <w:r>
        <w:t>ans. À la vingt-sixième session du Conseil, en juin 2014, le HCDH soumettra un rapport sur les mariages d</w:t>
      </w:r>
      <w:r w:rsidR="009730DD">
        <w:t>’</w:t>
      </w:r>
      <w:r>
        <w:t>enfants, les mariages précoces et les mariages forcés. Une exposition multimédia sur ce thème se tiendra à Genève, en mars 2014, dans le cadre de la campagne «</w:t>
      </w:r>
      <w:r w:rsidRPr="009C5FCF">
        <w:rPr>
          <w:i/>
        </w:rPr>
        <w:t>Too Young to Wed</w:t>
      </w:r>
      <w:r>
        <w:t>» (Trop jeune pour se marier). Enfin, la prochaine journée annuelle de débat général du Conseil</w:t>
      </w:r>
      <w:r w:rsidR="00694783">
        <w:t xml:space="preserve">, le 13 mars 2014, </w:t>
      </w:r>
      <w:r>
        <w:t>sera consacrée à l</w:t>
      </w:r>
      <w:r w:rsidR="009730DD">
        <w:t>’</w:t>
      </w:r>
      <w:r>
        <w:t>accès des enfants à la justice.</w:t>
      </w:r>
    </w:p>
    <w:p w:rsidR="002C6F60" w:rsidRDefault="002C6F60" w:rsidP="00694783">
      <w:pPr>
        <w:pStyle w:val="ParNoG"/>
      </w:pPr>
      <w:r>
        <w:t xml:space="preserve">Revenant sur la situation catastrophique des enfants impliqués dans des conflits armés, en particulier en Syrie, en République centrafricaine et au Soudan du Sud, </w:t>
      </w:r>
      <w:r w:rsidR="00694783">
        <w:t>M</w:t>
      </w:r>
      <w:r w:rsidR="00694783" w:rsidRPr="00694783">
        <w:rPr>
          <w:vertAlign w:val="superscript"/>
        </w:rPr>
        <w:t>me</w:t>
      </w:r>
      <w:r w:rsidR="00694783">
        <w:t> </w:t>
      </w:r>
      <w:r>
        <w:t>Pillay rappelle que tous les acteurs du système international des droits de l</w:t>
      </w:r>
      <w:r w:rsidR="009730DD">
        <w:t>’</w:t>
      </w:r>
      <w:r>
        <w:t>homme peuvent et doivent agir, par exemple en recueillant preuves et témoignages des violations, en aidant les victimes, ou en clarifiant les obligations internationales en jeu.</w:t>
      </w:r>
    </w:p>
    <w:p w:rsidR="002C6F60" w:rsidRDefault="00694783" w:rsidP="00694783">
      <w:pPr>
        <w:pStyle w:val="H23G"/>
      </w:pPr>
      <w:r>
        <w:tab/>
      </w:r>
      <w:r>
        <w:tab/>
      </w:r>
      <w:r w:rsidR="002C6F60">
        <w:t>Adoption de l</w:t>
      </w:r>
      <w:r w:rsidR="009730DD">
        <w:t>’</w:t>
      </w:r>
      <w:r w:rsidR="002C6F60">
        <w:t>ordre du jour</w:t>
      </w:r>
    </w:p>
    <w:p w:rsidR="002C6F60" w:rsidRDefault="002C6F60" w:rsidP="00694783">
      <w:pPr>
        <w:pStyle w:val="ParNoG"/>
        <w:rPr>
          <w:i/>
        </w:rPr>
      </w:pPr>
      <w:r>
        <w:t>L</w:t>
      </w:r>
      <w:r w:rsidR="009730DD">
        <w:t>’</w:t>
      </w:r>
      <w:r>
        <w:t>ordre du jour (CRC/C/65/1)</w:t>
      </w:r>
      <w:r w:rsidR="00694783">
        <w:t xml:space="preserve"> est adopté</w:t>
      </w:r>
      <w:r>
        <w:t>.</w:t>
      </w:r>
    </w:p>
    <w:p w:rsidR="002C6F60" w:rsidRPr="00AF6040" w:rsidRDefault="00694783" w:rsidP="00694783">
      <w:pPr>
        <w:pStyle w:val="H4G"/>
      </w:pPr>
      <w:r>
        <w:tab/>
      </w:r>
      <w:r>
        <w:tab/>
      </w:r>
      <w:r w:rsidR="002C6F60">
        <w:t>Soumission de rapports par les États parties</w:t>
      </w:r>
    </w:p>
    <w:p w:rsidR="002C6F60" w:rsidRPr="00B9309F" w:rsidRDefault="002C6F60" w:rsidP="00694783">
      <w:pPr>
        <w:pStyle w:val="ParNoG"/>
      </w:pPr>
      <w:r w:rsidRPr="004D6B16">
        <w:rPr>
          <w:rFonts w:ascii="Times New Roman Gras" w:hAnsi="Times New Roman Gras"/>
          <w:b/>
          <w:spacing w:val="-2"/>
        </w:rPr>
        <w:t>M</w:t>
      </w:r>
      <w:r w:rsidRPr="004D6B16">
        <w:rPr>
          <w:rFonts w:ascii="Times New Roman Gras" w:hAnsi="Times New Roman Gras"/>
          <w:b/>
          <w:spacing w:val="-2"/>
          <w:vertAlign w:val="superscript"/>
        </w:rPr>
        <w:t>me</w:t>
      </w:r>
      <w:r w:rsidR="00694783" w:rsidRPr="00A91565">
        <w:rPr>
          <w:rFonts w:ascii="Times New Roman Gras" w:hAnsi="Times New Roman Gras"/>
          <w:b/>
          <w:spacing w:val="-2"/>
        </w:rPr>
        <w:t> </w:t>
      </w:r>
      <w:r w:rsidRPr="004D6B16">
        <w:rPr>
          <w:rFonts w:ascii="Times New Roman Gras" w:hAnsi="Times New Roman Gras"/>
          <w:b/>
          <w:spacing w:val="-2"/>
        </w:rPr>
        <w:t>Franchetti</w:t>
      </w:r>
      <w:r w:rsidRPr="00694783">
        <w:rPr>
          <w:b/>
          <w:spacing w:val="-4"/>
        </w:rPr>
        <w:t xml:space="preserve"> </w:t>
      </w:r>
      <w:r w:rsidRPr="004D6B16">
        <w:rPr>
          <w:spacing w:val="-2"/>
        </w:rPr>
        <w:t>(Secrétaire du Comité) indique</w:t>
      </w:r>
      <w:r w:rsidRPr="00694783">
        <w:rPr>
          <w:spacing w:val="-4"/>
        </w:rPr>
        <w:t xml:space="preserve"> que, depuis la </w:t>
      </w:r>
      <w:r w:rsidR="00694783" w:rsidRPr="00694783">
        <w:rPr>
          <w:spacing w:val="-4"/>
        </w:rPr>
        <w:t>précédente</w:t>
      </w:r>
      <w:r w:rsidRPr="00694783">
        <w:rPr>
          <w:spacing w:val="-4"/>
        </w:rPr>
        <w:t xml:space="preserve"> session du Comité, le secrétariat a reçu </w:t>
      </w:r>
      <w:r w:rsidR="00494558">
        <w:rPr>
          <w:spacing w:val="-4"/>
        </w:rPr>
        <w:t>10 </w:t>
      </w:r>
      <w:r w:rsidRPr="00694783">
        <w:rPr>
          <w:spacing w:val="-4"/>
        </w:rPr>
        <w:t>rapports d</w:t>
      </w:r>
      <w:r w:rsidR="009730DD">
        <w:rPr>
          <w:spacing w:val="-4"/>
        </w:rPr>
        <w:t>’</w:t>
      </w:r>
      <w:r w:rsidRPr="00694783">
        <w:rPr>
          <w:spacing w:val="-4"/>
        </w:rPr>
        <w:t xml:space="preserve">États parties, </w:t>
      </w:r>
      <w:r w:rsidRPr="004D6B16">
        <w:rPr>
          <w:spacing w:val="-2"/>
        </w:rPr>
        <w:t>ce qui porte le nombre total de rapports</w:t>
      </w:r>
      <w:r w:rsidRPr="00694783">
        <w:rPr>
          <w:spacing w:val="-4"/>
        </w:rPr>
        <w:t xml:space="preserve"> </w:t>
      </w:r>
      <w:r w:rsidRPr="00494558">
        <w:rPr>
          <w:spacing w:val="-2"/>
        </w:rPr>
        <w:t>en attente d</w:t>
      </w:r>
      <w:r w:rsidR="009730DD" w:rsidRPr="00494558">
        <w:rPr>
          <w:spacing w:val="-2"/>
        </w:rPr>
        <w:t>’</w:t>
      </w:r>
      <w:r w:rsidRPr="00494558">
        <w:rPr>
          <w:spacing w:val="-2"/>
        </w:rPr>
        <w:t>examen à 98.</w:t>
      </w:r>
      <w:r w:rsidRPr="00694783">
        <w:rPr>
          <w:spacing w:val="-4"/>
        </w:rPr>
        <w:t xml:space="preserve"> </w:t>
      </w:r>
      <w:r w:rsidRPr="00494558">
        <w:rPr>
          <w:spacing w:val="-2"/>
        </w:rPr>
        <w:t>Le Brunéi</w:t>
      </w:r>
      <w:r w:rsidR="00694783" w:rsidRPr="00494558">
        <w:rPr>
          <w:spacing w:val="-2"/>
        </w:rPr>
        <w:t> </w:t>
      </w:r>
      <w:r w:rsidRPr="00494558">
        <w:rPr>
          <w:spacing w:val="-2"/>
        </w:rPr>
        <w:t>Darussalam, Haïti, Saint-Vincent-et-les Grenadines</w:t>
      </w:r>
      <w:r>
        <w:t xml:space="preserve"> et le Timor-Leste ont soumis leurs deuxième et troisième rapports périodiques au titre de la Convention, l</w:t>
      </w:r>
      <w:r w:rsidR="009730DD">
        <w:t>’</w:t>
      </w:r>
      <w:r>
        <w:t>Iraq ses deuxième à quatrième rapports, la Sierra Leone et la Slovaquie ses troisième à cinquième rapports, les Pays-Bas leur quatrième rapport et le Pérou, ses quatrième et cinquième rapports. Nauru et Tonga sont les seuls États parties à n</w:t>
      </w:r>
      <w:r w:rsidR="009730DD">
        <w:t>’</w:t>
      </w:r>
      <w:r>
        <w:t>avoir pas encore soumis de rapport initial au titre de la Convention. Depuis la précédente session, la Fédération de Russie et Sainte-Lucie ont ratifié le Protocole facultatif concernant la vente d</w:t>
      </w:r>
      <w:r w:rsidR="009730DD">
        <w:t>’</w:t>
      </w:r>
      <w:r>
        <w:t>enfants, la prostitution des enfants et la pornographie mettant en scène des enfants, ce qui porte le nombre d</w:t>
      </w:r>
      <w:r w:rsidR="009730DD">
        <w:t>’</w:t>
      </w:r>
      <w:r>
        <w:t>États ayant ratifié cet instrument à 164. Le nombre de ratifications du Protocole facultatif concernant l</w:t>
      </w:r>
      <w:r w:rsidR="009730DD">
        <w:t>’</w:t>
      </w:r>
      <w:r>
        <w:t>implication d</w:t>
      </w:r>
      <w:r w:rsidR="009730DD">
        <w:t>’</w:t>
      </w:r>
      <w:r>
        <w:t>enfants dans les conflits armés demeure inchangé (152). Le rapport initial de la Lettonie au titre de ce Protocole a été reçu. En outre, depuis la dernière session, trois États ont signé le Protocole facultatif établissant une procédure de présentation de communications, portant le nombre d</w:t>
      </w:r>
      <w:r w:rsidR="009730DD">
        <w:t>’</w:t>
      </w:r>
      <w:r>
        <w:t>États signataires à 45, et</w:t>
      </w:r>
      <w:r w:rsidR="00D25268">
        <w:t> </w:t>
      </w:r>
      <w:r>
        <w:t>trois autres États l</w:t>
      </w:r>
      <w:r w:rsidR="009730DD">
        <w:t>’</w:t>
      </w:r>
      <w:r>
        <w:t>ont ratifié (Monténégro, Portugal et Slovaquie), portant le nombre de</w:t>
      </w:r>
      <w:r w:rsidR="00D25268">
        <w:t> </w:t>
      </w:r>
      <w:r>
        <w:t>ratifications à neuf.</w:t>
      </w:r>
    </w:p>
    <w:p w:rsidR="002C6F60" w:rsidRPr="00470303" w:rsidRDefault="00694783" w:rsidP="00694783">
      <w:pPr>
        <w:pStyle w:val="H4G"/>
      </w:pPr>
      <w:r>
        <w:tab/>
      </w:r>
      <w:r>
        <w:tab/>
      </w:r>
      <w:r w:rsidR="002C6F60" w:rsidRPr="002576BE">
        <w:t>Examen des rapports des États parties</w:t>
      </w:r>
    </w:p>
    <w:p w:rsidR="002C6F60" w:rsidRPr="002576BE" w:rsidRDefault="002C6F60" w:rsidP="00694783">
      <w:pPr>
        <w:pStyle w:val="ParNoG"/>
      </w:pPr>
      <w:r w:rsidRPr="00694783">
        <w:rPr>
          <w:b/>
        </w:rPr>
        <w:t>La</w:t>
      </w:r>
      <w:r w:rsidRPr="002576BE">
        <w:rPr>
          <w:b/>
        </w:rPr>
        <w:t xml:space="preserve"> Présidente </w:t>
      </w:r>
      <w:r w:rsidRPr="002576BE">
        <w:t>donne lecture du calendrier de l</w:t>
      </w:r>
      <w:r w:rsidR="009730DD">
        <w:t>’</w:t>
      </w:r>
      <w:r w:rsidRPr="002576BE">
        <w:t>examen des 13</w:t>
      </w:r>
      <w:r w:rsidR="00694783">
        <w:t> </w:t>
      </w:r>
      <w:r w:rsidRPr="002576BE">
        <w:t>rapports périodiques qui figure aux pages</w:t>
      </w:r>
      <w:r w:rsidR="00694783">
        <w:t> </w:t>
      </w:r>
      <w:r w:rsidRPr="002576BE">
        <w:t>3 et 4 de l</w:t>
      </w:r>
      <w:r w:rsidR="009730DD">
        <w:t>’</w:t>
      </w:r>
      <w:r w:rsidRPr="002576BE">
        <w:t>ordre du jour.</w:t>
      </w:r>
    </w:p>
    <w:p w:rsidR="002C6F60" w:rsidRPr="00470303" w:rsidRDefault="00694783" w:rsidP="00694783">
      <w:pPr>
        <w:pStyle w:val="H4G"/>
      </w:pPr>
      <w:r>
        <w:tab/>
      </w:r>
      <w:r>
        <w:tab/>
      </w:r>
      <w:r w:rsidR="002C6F60" w:rsidRPr="002576BE">
        <w:t>Coopération avec d</w:t>
      </w:r>
      <w:r w:rsidR="009730DD">
        <w:t>’</w:t>
      </w:r>
      <w:r w:rsidR="002C6F60" w:rsidRPr="002576BE">
        <w:t>autres organismes des Nations Unies, les institutions spécialisées</w:t>
      </w:r>
      <w:r>
        <w:br/>
      </w:r>
      <w:r w:rsidR="002C6F60" w:rsidRPr="002576BE">
        <w:t>et d</w:t>
      </w:r>
      <w:r w:rsidR="009730DD">
        <w:t>’</w:t>
      </w:r>
      <w:r w:rsidR="002C6F60" w:rsidRPr="002576BE">
        <w:t>autres organismes compétents</w:t>
      </w:r>
    </w:p>
    <w:p w:rsidR="002C6F60" w:rsidRPr="00123B65" w:rsidRDefault="002C6F60" w:rsidP="00493013">
      <w:pPr>
        <w:pStyle w:val="ParNoG"/>
      </w:pPr>
      <w:r w:rsidRPr="00493013">
        <w:rPr>
          <w:b/>
        </w:rPr>
        <w:t>La</w:t>
      </w:r>
      <w:r>
        <w:rPr>
          <w:b/>
        </w:rPr>
        <w:t xml:space="preserve"> Présidente </w:t>
      </w:r>
      <w:r>
        <w:t>dit qu</w:t>
      </w:r>
      <w:r w:rsidR="009730DD">
        <w:t>’</w:t>
      </w:r>
      <w:r>
        <w:t>un groupe de jeunes allemands assistera à l</w:t>
      </w:r>
      <w:r w:rsidR="009730DD">
        <w:t>’</w:t>
      </w:r>
      <w:r>
        <w:t>examen des troisième et quatrième rapports périodiques de l</w:t>
      </w:r>
      <w:r w:rsidR="009730DD">
        <w:t>’</w:t>
      </w:r>
      <w:r>
        <w:t>Allemagne, les 27 et 28</w:t>
      </w:r>
      <w:r w:rsidR="00493013">
        <w:t> </w:t>
      </w:r>
      <w:r>
        <w:t>janvier.</w:t>
      </w:r>
    </w:p>
    <w:p w:rsidR="002C6F60" w:rsidRDefault="00493013" w:rsidP="00493013">
      <w:pPr>
        <w:pStyle w:val="H4G"/>
      </w:pPr>
      <w:r>
        <w:tab/>
      </w:r>
      <w:r>
        <w:tab/>
      </w:r>
      <w:r w:rsidR="002C6F60" w:rsidRPr="002576BE">
        <w:t>Méthodes de travail du Comité et renforcement des organes conventionnels</w:t>
      </w:r>
    </w:p>
    <w:p w:rsidR="002C6F60" w:rsidRDefault="002C6F60" w:rsidP="00493013">
      <w:pPr>
        <w:pStyle w:val="ParNoG"/>
      </w:pPr>
      <w:r w:rsidRPr="00493013">
        <w:rPr>
          <w:b/>
        </w:rPr>
        <w:t>La</w:t>
      </w:r>
      <w:r>
        <w:rPr>
          <w:b/>
        </w:rPr>
        <w:t xml:space="preserve"> Présidente </w:t>
      </w:r>
      <w:r>
        <w:t xml:space="preserve">dit que le Comité révisera les </w:t>
      </w:r>
      <w:r w:rsidRPr="00D94B22">
        <w:t>Directives générales du Comité concernant la forme et le contenu des rapports périodiques que les États parties doivent présenter conformément au paragraphe</w:t>
      </w:r>
      <w:r w:rsidR="00493013">
        <w:t> </w:t>
      </w:r>
      <w:r w:rsidRPr="00D94B22">
        <w:t>1</w:t>
      </w:r>
      <w:r w:rsidR="00493013">
        <w:t> </w:t>
      </w:r>
      <w:r w:rsidRPr="00D94B22">
        <w:t>b) de l</w:t>
      </w:r>
      <w:r w:rsidR="009730DD">
        <w:t>’</w:t>
      </w:r>
      <w:r w:rsidRPr="00D94B22">
        <w:t>article</w:t>
      </w:r>
      <w:r w:rsidR="00493013">
        <w:t> </w:t>
      </w:r>
      <w:r w:rsidRPr="00D94B22">
        <w:t xml:space="preserve">44 de la Convention </w:t>
      </w:r>
      <w:r>
        <w:t>(CRC/C/58).</w:t>
      </w:r>
    </w:p>
    <w:p w:rsidR="002C6F60" w:rsidRDefault="00493013" w:rsidP="00493013">
      <w:pPr>
        <w:pStyle w:val="H4G"/>
      </w:pPr>
      <w:r>
        <w:tab/>
      </w:r>
      <w:r>
        <w:tab/>
      </w:r>
      <w:r w:rsidR="002C6F60">
        <w:t>Journée de débat général</w:t>
      </w:r>
    </w:p>
    <w:p w:rsidR="002C6F60" w:rsidRDefault="002C6F60" w:rsidP="00493013">
      <w:pPr>
        <w:pStyle w:val="ParNoG"/>
      </w:pPr>
      <w:r w:rsidRPr="00493013">
        <w:rPr>
          <w:b/>
        </w:rPr>
        <w:t>La</w:t>
      </w:r>
      <w:r>
        <w:rPr>
          <w:b/>
        </w:rPr>
        <w:t xml:space="preserve"> Présidente </w:t>
      </w:r>
      <w:r>
        <w:t xml:space="preserve">dit que la journée de débat général se déroulera lors de la </w:t>
      </w:r>
      <w:proofErr w:type="spellStart"/>
      <w:r>
        <w:t>soixante</w:t>
      </w:r>
      <w:r w:rsidR="004D6B16">
        <w:noBreakHyphen/>
      </w:r>
      <w:r>
        <w:t>septième</w:t>
      </w:r>
      <w:proofErr w:type="spellEnd"/>
      <w:r>
        <w:t xml:space="preserve"> session, le 12</w:t>
      </w:r>
      <w:r w:rsidR="00493013">
        <w:t> </w:t>
      </w:r>
      <w:r>
        <w:t>septembre 2014, au Palais des Nations, à Genève, et</w:t>
      </w:r>
      <w:r w:rsidR="004D6B16">
        <w:t> </w:t>
      </w:r>
      <w:r>
        <w:t>qu</w:t>
      </w:r>
      <w:r w:rsidR="009730DD">
        <w:t>’</w:t>
      </w:r>
      <w:r>
        <w:t>elle sera consacrée au thème «Médias, réseaux sociaux et droits de l</w:t>
      </w:r>
      <w:r w:rsidR="009730DD">
        <w:t>’</w:t>
      </w:r>
      <w:r>
        <w:t>enfant»</w:t>
      </w:r>
      <w:r w:rsidR="00493013">
        <w:t>.</w:t>
      </w:r>
    </w:p>
    <w:p w:rsidR="002C6F60" w:rsidRPr="0032602C" w:rsidRDefault="004C5AE7" w:rsidP="004C5AE7">
      <w:pPr>
        <w:pStyle w:val="H4G"/>
      </w:pPr>
      <w:r>
        <w:tab/>
      </w:r>
      <w:r>
        <w:tab/>
      </w:r>
      <w:r w:rsidR="002C6F60">
        <w:t>Observations générales</w:t>
      </w:r>
    </w:p>
    <w:p w:rsidR="002C6F60" w:rsidRDefault="002C6F60" w:rsidP="004C5AE7">
      <w:pPr>
        <w:pStyle w:val="ParNoG"/>
      </w:pPr>
      <w:r w:rsidRPr="004C5AE7">
        <w:rPr>
          <w:b/>
        </w:rPr>
        <w:t>La</w:t>
      </w:r>
      <w:r>
        <w:t xml:space="preserve"> </w:t>
      </w:r>
      <w:r>
        <w:rPr>
          <w:b/>
        </w:rPr>
        <w:t xml:space="preserve">Présidente </w:t>
      </w:r>
      <w:r>
        <w:t>dit que le Comité poursuivra notamment ses travaux sur le projet d</w:t>
      </w:r>
      <w:r w:rsidR="009730DD">
        <w:t>’</w:t>
      </w:r>
      <w:r>
        <w:t>Observation générale commune sur les pratiques traditionnelles préjudiciables, en cours d</w:t>
      </w:r>
      <w:r w:rsidR="009730DD">
        <w:t>’</w:t>
      </w:r>
      <w:r>
        <w:t>élaboration avec le Comité pour l</w:t>
      </w:r>
      <w:r w:rsidR="009730DD">
        <w:t>’</w:t>
      </w:r>
      <w:r>
        <w:t>élimination de la discrimination à l</w:t>
      </w:r>
      <w:r w:rsidR="009730DD">
        <w:t>’</w:t>
      </w:r>
      <w:r>
        <w:t>égard des femmes.</w:t>
      </w:r>
    </w:p>
    <w:p w:rsidR="002C6F60" w:rsidRDefault="004C5AE7" w:rsidP="004C5AE7">
      <w:pPr>
        <w:pStyle w:val="H4G"/>
      </w:pPr>
      <w:r>
        <w:tab/>
      </w:r>
      <w:r>
        <w:tab/>
      </w:r>
      <w:r w:rsidR="002C6F60">
        <w:t>Sessions futures</w:t>
      </w:r>
    </w:p>
    <w:p w:rsidR="002C6F60" w:rsidRPr="007658D8" w:rsidRDefault="002C6F60" w:rsidP="004C5AE7">
      <w:pPr>
        <w:pStyle w:val="ParNoG"/>
      </w:pPr>
      <w:r w:rsidRPr="004C5AE7">
        <w:rPr>
          <w:b/>
        </w:rPr>
        <w:t>La</w:t>
      </w:r>
      <w:r>
        <w:t xml:space="preserve"> </w:t>
      </w:r>
      <w:r>
        <w:rPr>
          <w:b/>
        </w:rPr>
        <w:t xml:space="preserve">Présidente </w:t>
      </w:r>
      <w:r>
        <w:t>annonce que la soixante-sixième session du Comité des droits de</w:t>
      </w:r>
      <w:r w:rsidR="00D25268">
        <w:t> </w:t>
      </w:r>
      <w:r>
        <w:t>l</w:t>
      </w:r>
      <w:r w:rsidR="009730DD">
        <w:t>’</w:t>
      </w:r>
      <w:r>
        <w:t>enfant se tiendra à Genève du 26</w:t>
      </w:r>
      <w:r w:rsidR="004C5AE7">
        <w:t> </w:t>
      </w:r>
      <w:r>
        <w:t>mai au 13</w:t>
      </w:r>
      <w:r w:rsidR="004C5AE7">
        <w:t> </w:t>
      </w:r>
      <w:r>
        <w:t>juin 2014.</w:t>
      </w:r>
    </w:p>
    <w:p w:rsidR="002C6F60" w:rsidRDefault="002C6F60" w:rsidP="004C5AE7">
      <w:pPr>
        <w:pStyle w:val="SingleTxtG"/>
      </w:pPr>
      <w:r w:rsidRPr="004C5AE7">
        <w:rPr>
          <w:i/>
        </w:rPr>
        <w:t>La première partie (publique) de la séance prend fin à 10</w:t>
      </w:r>
      <w:r w:rsidR="004C5AE7">
        <w:rPr>
          <w:i/>
        </w:rPr>
        <w:t> </w:t>
      </w:r>
      <w:r w:rsidRPr="004C5AE7">
        <w:rPr>
          <w:i/>
        </w:rPr>
        <w:t>h</w:t>
      </w:r>
      <w:r w:rsidR="004C5AE7">
        <w:rPr>
          <w:i/>
        </w:rPr>
        <w:t> </w:t>
      </w:r>
      <w:r w:rsidRPr="004C5AE7">
        <w:rPr>
          <w:i/>
        </w:rPr>
        <w:t>40</w:t>
      </w:r>
      <w:r>
        <w:t>.</w:t>
      </w:r>
      <w:bookmarkStart w:id="0" w:name="_GoBack"/>
      <w:bookmarkEnd w:id="0"/>
    </w:p>
    <w:sectPr w:rsidR="002C6F60" w:rsidSect="002C6F6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BAC" w:rsidRDefault="00D42BAC"/>
  </w:endnote>
  <w:endnote w:type="continuationSeparator" w:id="0">
    <w:p w:rsidR="00D42BAC" w:rsidRDefault="00D42BAC"/>
  </w:endnote>
  <w:endnote w:type="continuationNotice" w:id="1">
    <w:p w:rsidR="00D42BAC" w:rsidRPr="00BC739C" w:rsidRDefault="00D42BAC" w:rsidP="00BC739C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Gra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F60" w:rsidRPr="002C6F60" w:rsidRDefault="002C6F60" w:rsidP="002C6F60">
    <w:pPr>
      <w:pStyle w:val="Footer"/>
      <w:tabs>
        <w:tab w:val="right" w:pos="9638"/>
      </w:tabs>
    </w:pPr>
    <w:r w:rsidRPr="002C6F60">
      <w:rPr>
        <w:b/>
        <w:sz w:val="18"/>
      </w:rPr>
      <w:fldChar w:fldCharType="begin"/>
    </w:r>
    <w:r w:rsidRPr="002C6F60">
      <w:rPr>
        <w:b/>
        <w:sz w:val="18"/>
      </w:rPr>
      <w:instrText xml:space="preserve"> PAGE  \* MERGEFORMAT </w:instrText>
    </w:r>
    <w:r w:rsidRPr="002C6F60">
      <w:rPr>
        <w:b/>
        <w:sz w:val="18"/>
      </w:rPr>
      <w:fldChar w:fldCharType="separate"/>
    </w:r>
    <w:r w:rsidR="00A91565">
      <w:rPr>
        <w:b/>
        <w:noProof/>
        <w:sz w:val="18"/>
      </w:rPr>
      <w:t>4</w:t>
    </w:r>
    <w:r w:rsidRPr="002C6F60">
      <w:rPr>
        <w:b/>
        <w:sz w:val="18"/>
      </w:rPr>
      <w:fldChar w:fldCharType="end"/>
    </w:r>
    <w:r>
      <w:rPr>
        <w:b/>
        <w:sz w:val="18"/>
      </w:rPr>
      <w:tab/>
    </w:r>
    <w:r>
      <w:t>GE.14-40139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F60" w:rsidRPr="002C6F60" w:rsidRDefault="002C6F60" w:rsidP="002C6F60">
    <w:pPr>
      <w:pStyle w:val="Footer"/>
      <w:tabs>
        <w:tab w:val="right" w:pos="9638"/>
      </w:tabs>
      <w:rPr>
        <w:b/>
        <w:sz w:val="18"/>
      </w:rPr>
    </w:pPr>
    <w:r>
      <w:t>GE.14-40139</w:t>
    </w:r>
    <w:r>
      <w:tab/>
    </w:r>
    <w:r w:rsidRPr="002C6F60">
      <w:rPr>
        <w:b/>
        <w:sz w:val="18"/>
      </w:rPr>
      <w:fldChar w:fldCharType="begin"/>
    </w:r>
    <w:r w:rsidRPr="002C6F60">
      <w:rPr>
        <w:b/>
        <w:sz w:val="18"/>
      </w:rPr>
      <w:instrText xml:space="preserve"> PAGE  \* MERGEFORMAT </w:instrText>
    </w:r>
    <w:r w:rsidRPr="002C6F60">
      <w:rPr>
        <w:b/>
        <w:sz w:val="18"/>
      </w:rPr>
      <w:fldChar w:fldCharType="separate"/>
    </w:r>
    <w:r w:rsidR="00A91565">
      <w:rPr>
        <w:b/>
        <w:noProof/>
        <w:sz w:val="18"/>
      </w:rPr>
      <w:t>3</w:t>
    </w:r>
    <w:r w:rsidRPr="002C6F60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949" w:rsidRDefault="008F3949" w:rsidP="009B4ED6">
    <w:pPr>
      <w:pBdr>
        <w:bottom w:val="single" w:sz="4" w:space="1" w:color="auto"/>
      </w:pBdr>
      <w:spacing w:line="240" w:lineRule="auto"/>
    </w:pPr>
  </w:p>
  <w:p w:rsidR="008F3949" w:rsidRDefault="008F3949" w:rsidP="009B4ED6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8F3949" w:rsidRDefault="008F3949" w:rsidP="009B4ED6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 les adresser, </w:t>
    </w:r>
    <w:r w:rsidRPr="009B4ED6">
      <w:rPr>
        <w:i/>
      </w:rPr>
      <w:t>une semaine au plus tard à compter de la date du présent document</w:t>
    </w:r>
    <w:r>
      <w:t>, au Groupe d’édition, bureau E.4108, Palais des Nations, Genève.</w:t>
    </w:r>
  </w:p>
  <w:p w:rsidR="008F3949" w:rsidRDefault="008F3949" w:rsidP="009B4ED6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 rectificatif unique qui sera publié peu après la session.</w:t>
    </w:r>
  </w:p>
  <w:p w:rsidR="008F3949" w:rsidRPr="002C6F60" w:rsidRDefault="002C6F60" w:rsidP="009B4ED6">
    <w:pPr>
      <w:pStyle w:val="FootnoteText"/>
      <w:tabs>
        <w:tab w:val="clear" w:pos="1021"/>
      </w:tabs>
      <w:spacing w:line="240" w:lineRule="auto"/>
      <w:ind w:left="0" w:right="0" w:firstLine="0"/>
      <w:rPr>
        <w:sz w:val="20"/>
      </w:rPr>
    </w:pPr>
    <w:r>
      <w:rPr>
        <w:sz w:val="20"/>
      </w:rPr>
      <w:t>GE.</w:t>
    </w:r>
    <w:r w:rsidR="008F3949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>14-40139  (F)    140114    150114</w:t>
    </w:r>
    <w:r>
      <w:rPr>
        <w:sz w:val="20"/>
      </w:rPr>
      <w:br/>
    </w:r>
    <w:r w:rsidRPr="002C6F60">
      <w:rPr>
        <w:rFonts w:ascii="C39T30Lfz" w:hAnsi="C39T30Lfz"/>
        <w:sz w:val="56"/>
      </w:rPr>
      <w:t></w:t>
    </w:r>
    <w:r w:rsidRPr="002C6F60">
      <w:rPr>
        <w:rFonts w:ascii="C39T30Lfz" w:hAnsi="C39T30Lfz"/>
        <w:sz w:val="56"/>
      </w:rPr>
      <w:t></w:t>
    </w:r>
    <w:r w:rsidRPr="002C6F60">
      <w:rPr>
        <w:rFonts w:ascii="C39T30Lfz" w:hAnsi="C39T30Lfz"/>
        <w:sz w:val="56"/>
      </w:rPr>
      <w:t></w:t>
    </w:r>
    <w:r w:rsidRPr="002C6F60">
      <w:rPr>
        <w:rFonts w:ascii="C39T30Lfz" w:hAnsi="C39T30Lfz"/>
        <w:sz w:val="56"/>
      </w:rPr>
      <w:t></w:t>
    </w:r>
    <w:r w:rsidRPr="002C6F60">
      <w:rPr>
        <w:rFonts w:ascii="C39T30Lfz" w:hAnsi="C39T30Lfz"/>
        <w:sz w:val="56"/>
      </w:rPr>
      <w:t></w:t>
    </w:r>
    <w:r w:rsidRPr="002C6F60">
      <w:rPr>
        <w:rFonts w:ascii="C39T30Lfz" w:hAnsi="C39T30Lfz"/>
        <w:sz w:val="56"/>
      </w:rPr>
      <w:t></w:t>
    </w:r>
    <w:r w:rsidRPr="002C6F60">
      <w:rPr>
        <w:rFonts w:ascii="C39T30Lfz" w:hAnsi="C39T30Lfz"/>
        <w:sz w:val="56"/>
      </w:rPr>
      <w:t></w:t>
    </w:r>
    <w:r w:rsidRPr="002C6F60">
      <w:rPr>
        <w:rFonts w:ascii="C39T30Lfz" w:hAnsi="C39T30Lfz"/>
        <w:sz w:val="56"/>
      </w:rPr>
      <w:t></w:t>
    </w:r>
    <w:r w:rsidRPr="002C6F60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pict>
        <v:shape id="_x0000_s2052" type="#_x0000_t75" style="position:absolute;margin-left:432.25pt;margin-top:632.1pt;width:50.25pt;height:50.25pt;z-index:2;mso-position-horizontal-relative:margin;mso-position-vertical-relative:margin">
          <v:imagedata r:id="rId2" o:title="SR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BAC" w:rsidRPr="00D27D5E" w:rsidRDefault="00D42BAC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42BAC" w:rsidRPr="00B85963" w:rsidRDefault="00D42BAC" w:rsidP="00B85963">
      <w:pPr>
        <w:tabs>
          <w:tab w:val="right" w:pos="2155"/>
        </w:tabs>
        <w:spacing w:after="80"/>
        <w:ind w:left="680"/>
        <w:rPr>
          <w:u w:val="single"/>
        </w:rPr>
      </w:pPr>
      <w:r w:rsidRPr="00B85963">
        <w:rPr>
          <w:u w:val="single"/>
        </w:rPr>
        <w:tab/>
      </w:r>
    </w:p>
  </w:footnote>
  <w:footnote w:type="continuationNotice" w:id="1">
    <w:p w:rsidR="00D42BAC" w:rsidRPr="00BC739C" w:rsidRDefault="00D42BAC" w:rsidP="00BC739C">
      <w:pPr>
        <w:spacing w:line="240" w:lineRule="auto"/>
        <w:rPr>
          <w:sz w:val="2"/>
          <w:szCs w:val="2"/>
        </w:rPr>
      </w:pPr>
    </w:p>
  </w:footnote>
  <w:footnote w:id="2">
    <w:p w:rsidR="002C6F60" w:rsidRPr="002C6F60" w:rsidRDefault="002C6F60">
      <w:pPr>
        <w:pStyle w:val="FootnoteText"/>
      </w:pPr>
      <w:r>
        <w:tab/>
      </w:r>
      <w:r w:rsidRPr="002C6F60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Il n’est pas établi de compte rendu analytique pour la deuxième partie (privée) de la séance.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F60" w:rsidRPr="002C6F60" w:rsidRDefault="002C6F60">
    <w:pPr>
      <w:pStyle w:val="Header"/>
    </w:pPr>
    <w:r>
      <w:t>CRC/C/SR.1846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F60" w:rsidRPr="002C6F60" w:rsidRDefault="002C6F60" w:rsidP="002C6F60">
    <w:pPr>
      <w:pStyle w:val="Header"/>
      <w:jc w:val="right"/>
    </w:pPr>
    <w:r>
      <w:t>CRC/C/SR.1846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2D416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8121A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D8CA4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06E34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8689A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03A93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108D5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5766E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A4494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DF6A5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3949"/>
    <w:rsid w:val="00016AC5"/>
    <w:rsid w:val="00060E82"/>
    <w:rsid w:val="000B696A"/>
    <w:rsid w:val="000F41F2"/>
    <w:rsid w:val="00144CC1"/>
    <w:rsid w:val="00160540"/>
    <w:rsid w:val="001651C2"/>
    <w:rsid w:val="00192EEB"/>
    <w:rsid w:val="001A20FB"/>
    <w:rsid w:val="001D0333"/>
    <w:rsid w:val="001D5CBF"/>
    <w:rsid w:val="001D7C67"/>
    <w:rsid w:val="001D7F8A"/>
    <w:rsid w:val="001E3DE1"/>
    <w:rsid w:val="001E3FEB"/>
    <w:rsid w:val="001E4A02"/>
    <w:rsid w:val="001E5727"/>
    <w:rsid w:val="001F5C6F"/>
    <w:rsid w:val="00225A8C"/>
    <w:rsid w:val="002434F0"/>
    <w:rsid w:val="002659F1"/>
    <w:rsid w:val="00284B6B"/>
    <w:rsid w:val="00287E79"/>
    <w:rsid w:val="002928F9"/>
    <w:rsid w:val="002A5D07"/>
    <w:rsid w:val="002A6FA5"/>
    <w:rsid w:val="002C09FA"/>
    <w:rsid w:val="002C0E97"/>
    <w:rsid w:val="002C6F60"/>
    <w:rsid w:val="003016B7"/>
    <w:rsid w:val="0031567F"/>
    <w:rsid w:val="003515AA"/>
    <w:rsid w:val="00374106"/>
    <w:rsid w:val="00384D6B"/>
    <w:rsid w:val="003976D5"/>
    <w:rsid w:val="003B13C8"/>
    <w:rsid w:val="003D2F6C"/>
    <w:rsid w:val="003D37D1"/>
    <w:rsid w:val="003D6C68"/>
    <w:rsid w:val="003D73DC"/>
    <w:rsid w:val="003D7419"/>
    <w:rsid w:val="003E0304"/>
    <w:rsid w:val="003E104B"/>
    <w:rsid w:val="003E7F2E"/>
    <w:rsid w:val="003F4CA4"/>
    <w:rsid w:val="004159D0"/>
    <w:rsid w:val="00421F4D"/>
    <w:rsid w:val="004377D2"/>
    <w:rsid w:val="00461248"/>
    <w:rsid w:val="00493013"/>
    <w:rsid w:val="00494558"/>
    <w:rsid w:val="004B5F73"/>
    <w:rsid w:val="004C5AE7"/>
    <w:rsid w:val="004C5ECD"/>
    <w:rsid w:val="004D6B16"/>
    <w:rsid w:val="00515B9F"/>
    <w:rsid w:val="00543D5E"/>
    <w:rsid w:val="00564901"/>
    <w:rsid w:val="00565453"/>
    <w:rsid w:val="00571F41"/>
    <w:rsid w:val="005E5D1F"/>
    <w:rsid w:val="0060753B"/>
    <w:rsid w:val="00611D43"/>
    <w:rsid w:val="00612D48"/>
    <w:rsid w:val="00616B45"/>
    <w:rsid w:val="0062628F"/>
    <w:rsid w:val="00630D9B"/>
    <w:rsid w:val="00631953"/>
    <w:rsid w:val="006439EC"/>
    <w:rsid w:val="00651A0C"/>
    <w:rsid w:val="00667B9F"/>
    <w:rsid w:val="006714CE"/>
    <w:rsid w:val="006819DE"/>
    <w:rsid w:val="00694783"/>
    <w:rsid w:val="006A2FF6"/>
    <w:rsid w:val="006B4590"/>
    <w:rsid w:val="006C340C"/>
    <w:rsid w:val="006D7256"/>
    <w:rsid w:val="006E5F2E"/>
    <w:rsid w:val="006F3F08"/>
    <w:rsid w:val="0070347C"/>
    <w:rsid w:val="00716BD0"/>
    <w:rsid w:val="007176C1"/>
    <w:rsid w:val="007A0047"/>
    <w:rsid w:val="007D7C87"/>
    <w:rsid w:val="007F55CB"/>
    <w:rsid w:val="0083305B"/>
    <w:rsid w:val="00844750"/>
    <w:rsid w:val="0087118F"/>
    <w:rsid w:val="0087435B"/>
    <w:rsid w:val="008B44C4"/>
    <w:rsid w:val="008E7FAE"/>
    <w:rsid w:val="008F3949"/>
    <w:rsid w:val="00901884"/>
    <w:rsid w:val="00911BF7"/>
    <w:rsid w:val="009139BC"/>
    <w:rsid w:val="00967EE0"/>
    <w:rsid w:val="00970EEF"/>
    <w:rsid w:val="009730DD"/>
    <w:rsid w:val="00977EC8"/>
    <w:rsid w:val="009B4ED6"/>
    <w:rsid w:val="009D2481"/>
    <w:rsid w:val="009D3A8C"/>
    <w:rsid w:val="009E7956"/>
    <w:rsid w:val="00A12816"/>
    <w:rsid w:val="00A2492E"/>
    <w:rsid w:val="00A91565"/>
    <w:rsid w:val="00AA7473"/>
    <w:rsid w:val="00AB540F"/>
    <w:rsid w:val="00AB5DE8"/>
    <w:rsid w:val="00AC67A1"/>
    <w:rsid w:val="00AC7977"/>
    <w:rsid w:val="00AD1127"/>
    <w:rsid w:val="00AE352C"/>
    <w:rsid w:val="00AE6B04"/>
    <w:rsid w:val="00AF13BD"/>
    <w:rsid w:val="00B32E2D"/>
    <w:rsid w:val="00B61990"/>
    <w:rsid w:val="00B85963"/>
    <w:rsid w:val="00B93DB1"/>
    <w:rsid w:val="00BB7E84"/>
    <w:rsid w:val="00BC739C"/>
    <w:rsid w:val="00BD2411"/>
    <w:rsid w:val="00BE2FFC"/>
    <w:rsid w:val="00BF0556"/>
    <w:rsid w:val="00BF0F93"/>
    <w:rsid w:val="00C261F8"/>
    <w:rsid w:val="00C33100"/>
    <w:rsid w:val="00C36B9B"/>
    <w:rsid w:val="00C434E0"/>
    <w:rsid w:val="00CD1A71"/>
    <w:rsid w:val="00CD1FBB"/>
    <w:rsid w:val="00CF3070"/>
    <w:rsid w:val="00CF4625"/>
    <w:rsid w:val="00D016B5"/>
    <w:rsid w:val="00D034F1"/>
    <w:rsid w:val="00D10597"/>
    <w:rsid w:val="00D25268"/>
    <w:rsid w:val="00D27D5E"/>
    <w:rsid w:val="00D42BAC"/>
    <w:rsid w:val="00D76D01"/>
    <w:rsid w:val="00D77231"/>
    <w:rsid w:val="00D84676"/>
    <w:rsid w:val="00DC79F2"/>
    <w:rsid w:val="00DE6D90"/>
    <w:rsid w:val="00DF002F"/>
    <w:rsid w:val="00E0244D"/>
    <w:rsid w:val="00E37907"/>
    <w:rsid w:val="00E81E94"/>
    <w:rsid w:val="00E82607"/>
    <w:rsid w:val="00EB2003"/>
    <w:rsid w:val="00F47851"/>
    <w:rsid w:val="00F61A5B"/>
    <w:rsid w:val="00F65E9C"/>
    <w:rsid w:val="00FA5A79"/>
    <w:rsid w:val="00FB0BFE"/>
    <w:rsid w:val="00FB4C51"/>
    <w:rsid w:val="00FD2845"/>
    <w:rsid w:val="00FD32FD"/>
    <w:rsid w:val="00FE30BF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basedOn w:val="DefaultParagraphFont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421F4D"/>
    <w:rPr>
      <w:color w:val="auto"/>
      <w:u w:val="none"/>
    </w:rPr>
  </w:style>
  <w:style w:type="character" w:styleId="FollowedHyperlink">
    <w:name w:val="FollowedHyperlink"/>
    <w:basedOn w:val="DefaultParagraphFont"/>
    <w:rsid w:val="00421F4D"/>
    <w:rPr>
      <w:color w:val="auto"/>
      <w:u w:val="none"/>
    </w:rPr>
  </w:style>
  <w:style w:type="paragraph" w:customStyle="1" w:styleId="ParNoG">
    <w:name w:val="_ParNo_G"/>
    <w:basedOn w:val="SingleTxtG"/>
    <w:rsid w:val="00DC79F2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C1.dot</Template>
  <TotalTime>0</TotalTime>
  <Pages>4</Pages>
  <Words>1275</Words>
  <Characters>7016</Characters>
  <Application>Microsoft Office Outlook</Application>
  <DocSecurity>4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CRC/C/SR.1846</vt:lpstr>
    </vt:vector>
  </TitlesOfParts>
  <Company>Corinne</Company>
  <LinksUpToDate>false</LinksUpToDate>
  <CharactersWithSpaces>8275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CRC/C/SR.1846</dc:title>
  <dc:subject>FINAL</dc:subject>
  <dc:creator>C. ROBERT</dc:creator>
  <cp:keywords/>
  <dc:description/>
  <cp:lastModifiedBy>C. ROBERT</cp:lastModifiedBy>
  <cp:revision>2</cp:revision>
  <cp:lastPrinted>2014-01-15T06:56:00Z</cp:lastPrinted>
  <dcterms:created xsi:type="dcterms:W3CDTF">2014-01-15T07:56:00Z</dcterms:created>
  <dcterms:modified xsi:type="dcterms:W3CDTF">2014-01-15T07:56:00Z</dcterms:modified>
</cp:coreProperties>
</file>