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E90" w:rsidRDefault="00F55E90" w:rsidP="00F55E90">
      <w:pPr>
        <w:spacing w:line="240" w:lineRule="auto"/>
        <w:rPr>
          <w:sz w:val="6"/>
        </w:rPr>
        <w:sectPr w:rsidR="00F55E90" w:rsidSect="00BE148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730FFA" w:rsidP="004C5819">
      <w:pPr>
        <w:pStyle w:val="H1"/>
        <w:ind w:left="0" w:right="1260" w:firstLine="0"/>
      </w:pPr>
      <w:r>
        <w:t xml:space="preserve">Committee on the Elimination of Discrimination </w:t>
      </w:r>
      <w:r>
        <w:br/>
        <w:t>against Women</w:t>
      </w:r>
    </w:p>
    <w:p w:rsidR="00730FFA" w:rsidRDefault="00730FFA" w:rsidP="001B5083">
      <w:pPr>
        <w:pStyle w:val="H23"/>
        <w:ind w:right="1260"/>
      </w:pPr>
      <w:r>
        <w:t>Forty-fifth session</w:t>
      </w:r>
    </w:p>
    <w:p w:rsidR="00730FFA" w:rsidRDefault="00007BBC" w:rsidP="00730FFA">
      <w:r>
        <w:t>18 January-</w:t>
      </w:r>
      <w:r w:rsidR="00730FFA">
        <w:t>5 February 2010</w:t>
      </w:r>
    </w:p>
    <w:p w:rsidR="00730FFA" w:rsidRDefault="00730FFA" w:rsidP="00730FFA">
      <w:r>
        <w:t>I</w:t>
      </w:r>
      <w:r w:rsidR="004C5819">
        <w:t>tem 6 of the provisional agenda</w:t>
      </w:r>
      <w:r w:rsidR="004C5819" w:rsidRPr="004C5819">
        <w:rPr>
          <w:rStyle w:val="FootnoteReference"/>
          <w:spacing w:val="4"/>
          <w:w w:val="103"/>
          <w:position w:val="0"/>
          <w:vertAlign w:val="baseline"/>
        </w:rPr>
        <w:footnoteReference w:customMarkFollows="1" w:id="1"/>
        <w:t>*</w:t>
      </w:r>
    </w:p>
    <w:p w:rsidR="00730FFA" w:rsidRPr="00730FFA" w:rsidRDefault="00730FFA" w:rsidP="00730FFA">
      <w:pPr>
        <w:tabs>
          <w:tab w:val="left" w:pos="5852"/>
        </w:tabs>
        <w:rPr>
          <w:b/>
        </w:rPr>
      </w:pPr>
      <w:r w:rsidRPr="00730FFA">
        <w:rPr>
          <w:b/>
        </w:rPr>
        <w:t>Ways and means of expediting the work of the Committee</w:t>
      </w:r>
    </w:p>
    <w:p w:rsidR="00730FFA" w:rsidRPr="00730FFA" w:rsidRDefault="00730FFA" w:rsidP="00730FFA">
      <w:pPr>
        <w:pStyle w:val="SingleTxt"/>
        <w:spacing w:after="0" w:line="120" w:lineRule="exact"/>
        <w:rPr>
          <w:sz w:val="10"/>
        </w:rPr>
      </w:pPr>
    </w:p>
    <w:p w:rsidR="00730FFA" w:rsidRPr="00730FFA" w:rsidRDefault="00730FFA" w:rsidP="00730FFA">
      <w:pPr>
        <w:pStyle w:val="SingleTxt"/>
        <w:spacing w:after="0" w:line="120" w:lineRule="exact"/>
        <w:rPr>
          <w:sz w:val="10"/>
        </w:rPr>
      </w:pPr>
    </w:p>
    <w:p w:rsidR="00730FFA" w:rsidRPr="00730FFA" w:rsidRDefault="00730FFA" w:rsidP="00730FFA">
      <w:pPr>
        <w:pStyle w:val="SingleTxt"/>
        <w:spacing w:after="0" w:line="120" w:lineRule="exact"/>
        <w:rPr>
          <w:sz w:val="10"/>
        </w:rPr>
      </w:pPr>
    </w:p>
    <w:p w:rsidR="00730FFA" w:rsidRDefault="00730FFA" w:rsidP="00730FFA">
      <w:pPr>
        <w:pStyle w:val="HCh"/>
        <w:ind w:left="1267" w:right="1260" w:hanging="1267"/>
      </w:pPr>
      <w:r>
        <w:tab/>
      </w:r>
      <w:r>
        <w:tab/>
        <w:t>Ways and means of expediting the work of the Committee on the Elimination of Discrimination against Women</w:t>
      </w:r>
    </w:p>
    <w:p w:rsidR="00730FFA" w:rsidRPr="00730FFA" w:rsidRDefault="00730FFA" w:rsidP="00730FFA">
      <w:pPr>
        <w:pStyle w:val="SingleTxt"/>
        <w:spacing w:after="0" w:line="120" w:lineRule="exact"/>
        <w:rPr>
          <w:sz w:val="10"/>
        </w:rPr>
      </w:pPr>
    </w:p>
    <w:p w:rsidR="00730FFA" w:rsidRPr="00730FFA" w:rsidRDefault="00730FFA" w:rsidP="00730FFA">
      <w:pPr>
        <w:pStyle w:val="SingleTxt"/>
        <w:spacing w:after="0" w:line="120" w:lineRule="exact"/>
        <w:rPr>
          <w:sz w:val="10"/>
        </w:rPr>
      </w:pPr>
    </w:p>
    <w:p w:rsidR="00730FFA" w:rsidRDefault="00730FFA" w:rsidP="00730FFA">
      <w:pPr>
        <w:pStyle w:val="H1"/>
        <w:ind w:right="1260"/>
      </w:pPr>
      <w:r>
        <w:tab/>
      </w:r>
      <w:r>
        <w:tab/>
        <w:t xml:space="preserve">Note by the </w:t>
      </w:r>
      <w:r w:rsidR="004350F4">
        <w:t>secretariat</w:t>
      </w:r>
    </w:p>
    <w:p w:rsidR="00007BBC" w:rsidRPr="00007BBC" w:rsidRDefault="00007BBC" w:rsidP="00007BBC">
      <w:pPr>
        <w:pStyle w:val="SingleTxt"/>
        <w:spacing w:after="0" w:line="120" w:lineRule="exact"/>
        <w:rPr>
          <w:sz w:val="10"/>
        </w:rPr>
      </w:pPr>
    </w:p>
    <w:p w:rsidR="00007BBC" w:rsidRPr="00007BBC" w:rsidRDefault="00007BBC" w:rsidP="00007BBC">
      <w:pPr>
        <w:pStyle w:val="SingleTxt"/>
        <w:spacing w:after="0" w:line="120" w:lineRule="exact"/>
        <w:rPr>
          <w:sz w:val="10"/>
        </w:rPr>
      </w:pPr>
    </w:p>
    <w:p w:rsidR="00007BBC" w:rsidRPr="00007BBC" w:rsidRDefault="00007BBC" w:rsidP="00007BBC">
      <w:pPr>
        <w:pStyle w:val="SingleTxt"/>
        <w:spacing w:after="0" w:line="120" w:lineRule="exact"/>
        <w:rPr>
          <w:sz w:val="10"/>
        </w:rPr>
      </w:pPr>
    </w:p>
    <w:p w:rsidR="00A133BD" w:rsidRPr="00A133BD" w:rsidRDefault="00A133BD" w:rsidP="00A133BD">
      <w:pPr>
        <w:pStyle w:val="HCh"/>
        <w:spacing w:after="120"/>
        <w:rPr>
          <w:b w:val="0"/>
        </w:rPr>
      </w:pP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133BD" w:rsidRPr="00A133BD" w:rsidTr="00A133BD">
        <w:tblPrEx>
          <w:tblCellMar>
            <w:top w:w="0" w:type="dxa"/>
            <w:bottom w:w="0" w:type="dxa"/>
          </w:tblCellMar>
        </w:tblPrEx>
        <w:tc>
          <w:tcPr>
            <w:tcW w:w="1060" w:type="dxa"/>
            <w:shd w:val="clear" w:color="auto" w:fill="auto"/>
          </w:tcPr>
          <w:p w:rsidR="00A133BD" w:rsidRPr="00A133BD" w:rsidRDefault="00A133BD" w:rsidP="00A133BD">
            <w:pPr>
              <w:spacing w:after="120" w:line="240" w:lineRule="auto"/>
              <w:jc w:val="right"/>
              <w:rPr>
                <w:i/>
                <w:sz w:val="14"/>
              </w:rPr>
            </w:pPr>
          </w:p>
        </w:tc>
        <w:tc>
          <w:tcPr>
            <w:tcW w:w="7315" w:type="dxa"/>
            <w:shd w:val="clear" w:color="auto" w:fill="auto"/>
          </w:tcPr>
          <w:p w:rsidR="00A133BD" w:rsidRPr="00A133BD" w:rsidRDefault="00A133BD" w:rsidP="00A133BD">
            <w:pPr>
              <w:spacing w:after="120" w:line="240" w:lineRule="auto"/>
              <w:rPr>
                <w:i/>
                <w:sz w:val="14"/>
              </w:rPr>
            </w:pPr>
          </w:p>
        </w:tc>
        <w:tc>
          <w:tcPr>
            <w:tcW w:w="994" w:type="dxa"/>
            <w:shd w:val="clear" w:color="auto" w:fill="auto"/>
          </w:tcPr>
          <w:p w:rsidR="00A133BD" w:rsidRPr="00A133BD" w:rsidRDefault="00A133BD" w:rsidP="00A133BD">
            <w:pPr>
              <w:spacing w:after="120" w:line="240" w:lineRule="auto"/>
              <w:jc w:val="right"/>
              <w:rPr>
                <w:i/>
                <w:sz w:val="14"/>
              </w:rPr>
            </w:pPr>
          </w:p>
        </w:tc>
        <w:tc>
          <w:tcPr>
            <w:tcW w:w="533" w:type="dxa"/>
            <w:shd w:val="clear" w:color="auto" w:fill="auto"/>
          </w:tcPr>
          <w:p w:rsidR="00A133BD" w:rsidRPr="00A133BD" w:rsidRDefault="00A133BD" w:rsidP="00A133BD">
            <w:pPr>
              <w:spacing w:after="120" w:line="240" w:lineRule="auto"/>
              <w:jc w:val="right"/>
              <w:rPr>
                <w:i/>
                <w:sz w:val="14"/>
              </w:rPr>
            </w:pPr>
            <w:r>
              <w:rPr>
                <w:i/>
                <w:sz w:val="14"/>
              </w:rPr>
              <w:t>Page</w:t>
            </w:r>
          </w:p>
        </w:tc>
      </w:tr>
      <w:tr w:rsidR="00A133BD" w:rsidRPr="00A133BD" w:rsidTr="00A133BD">
        <w:tblPrEx>
          <w:tblCellMar>
            <w:top w:w="0" w:type="dxa"/>
            <w:bottom w:w="0" w:type="dxa"/>
          </w:tblCellMar>
        </w:tblPrEx>
        <w:tc>
          <w:tcPr>
            <w:tcW w:w="9369" w:type="dxa"/>
            <w:gridSpan w:val="3"/>
            <w:shd w:val="clear" w:color="auto" w:fill="auto"/>
          </w:tcPr>
          <w:p w:rsidR="00A133BD" w:rsidRPr="00A133BD" w:rsidRDefault="00A133BD" w:rsidP="00A133BD">
            <w:pPr>
              <w:numPr>
                <w:ilvl w:val="0"/>
                <w:numId w:val="1"/>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A133BD" w:rsidRPr="00A133BD" w:rsidRDefault="004350F4" w:rsidP="00A133BD">
            <w:pPr>
              <w:spacing w:after="120"/>
              <w:jc w:val="right"/>
            </w:pPr>
            <w:r>
              <w:t>2</w:t>
            </w:r>
          </w:p>
        </w:tc>
      </w:tr>
      <w:tr w:rsidR="00A133BD" w:rsidRPr="00A133BD" w:rsidTr="00A133BD">
        <w:tblPrEx>
          <w:tblCellMar>
            <w:top w:w="0" w:type="dxa"/>
            <w:bottom w:w="0" w:type="dxa"/>
          </w:tblCellMar>
        </w:tblPrEx>
        <w:tc>
          <w:tcPr>
            <w:tcW w:w="9369" w:type="dxa"/>
            <w:gridSpan w:val="3"/>
            <w:shd w:val="clear" w:color="auto" w:fill="auto"/>
          </w:tcPr>
          <w:p w:rsidR="00A133BD" w:rsidRDefault="00A133BD" w:rsidP="00A133BD">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t>Developments in the human rights regime</w:t>
            </w:r>
            <w:r>
              <w:rPr>
                <w:spacing w:val="60"/>
                <w:sz w:val="17"/>
              </w:rPr>
              <w:tab/>
            </w:r>
          </w:p>
        </w:tc>
        <w:tc>
          <w:tcPr>
            <w:tcW w:w="533" w:type="dxa"/>
            <w:shd w:val="clear" w:color="auto" w:fill="auto"/>
            <w:vAlign w:val="bottom"/>
          </w:tcPr>
          <w:p w:rsidR="00A133BD" w:rsidRDefault="004350F4" w:rsidP="00A133BD">
            <w:pPr>
              <w:spacing w:after="120"/>
              <w:jc w:val="right"/>
            </w:pPr>
            <w:r>
              <w:t>2</w:t>
            </w:r>
          </w:p>
        </w:tc>
      </w:tr>
      <w:tr w:rsidR="00A133BD" w:rsidRPr="00A133BD" w:rsidTr="00A133BD">
        <w:tblPrEx>
          <w:tblCellMar>
            <w:top w:w="0" w:type="dxa"/>
            <w:bottom w:w="0" w:type="dxa"/>
          </w:tblCellMar>
        </w:tblPrEx>
        <w:tc>
          <w:tcPr>
            <w:tcW w:w="9369" w:type="dxa"/>
            <w:gridSpan w:val="3"/>
            <w:shd w:val="clear" w:color="auto" w:fill="auto"/>
          </w:tcPr>
          <w:p w:rsidR="00A133BD" w:rsidRDefault="00A133BD" w:rsidP="00A133BD">
            <w:pPr>
              <w:numPr>
                <w:ilvl w:val="1"/>
                <w:numId w:val="1"/>
              </w:numPr>
              <w:tabs>
                <w:tab w:val="right" w:pos="1080"/>
                <w:tab w:val="left" w:pos="1296"/>
                <w:tab w:val="left" w:pos="1728"/>
                <w:tab w:val="left" w:pos="2160"/>
                <w:tab w:val="left" w:pos="2592"/>
                <w:tab w:val="left" w:pos="3024"/>
                <w:tab w:val="left" w:pos="3456"/>
                <w:tab w:val="right" w:leader="dot" w:pos="9360"/>
              </w:tabs>
              <w:spacing w:after="120"/>
            </w:pPr>
            <w:r>
              <w:t>Human rights treaty bodies</w:t>
            </w:r>
            <w:r>
              <w:rPr>
                <w:spacing w:val="60"/>
                <w:sz w:val="17"/>
              </w:rPr>
              <w:tab/>
            </w:r>
          </w:p>
        </w:tc>
        <w:tc>
          <w:tcPr>
            <w:tcW w:w="533" w:type="dxa"/>
            <w:shd w:val="clear" w:color="auto" w:fill="auto"/>
            <w:vAlign w:val="bottom"/>
          </w:tcPr>
          <w:p w:rsidR="00A133BD" w:rsidRDefault="004350F4" w:rsidP="00A133BD">
            <w:pPr>
              <w:spacing w:after="120"/>
              <w:jc w:val="right"/>
            </w:pPr>
            <w:r>
              <w:t>2</w:t>
            </w:r>
          </w:p>
        </w:tc>
      </w:tr>
      <w:tr w:rsidR="00A133BD" w:rsidRPr="00A133BD" w:rsidTr="00A133BD">
        <w:tblPrEx>
          <w:tblCellMar>
            <w:top w:w="0" w:type="dxa"/>
            <w:bottom w:w="0" w:type="dxa"/>
          </w:tblCellMar>
        </w:tblPrEx>
        <w:tc>
          <w:tcPr>
            <w:tcW w:w="9369" w:type="dxa"/>
            <w:gridSpan w:val="3"/>
            <w:shd w:val="clear" w:color="auto" w:fill="auto"/>
          </w:tcPr>
          <w:p w:rsidR="00A133BD" w:rsidRDefault="00A133BD" w:rsidP="00A133BD">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Ninth inter-committee meeting of human rights treaty bodies</w:t>
            </w:r>
            <w:r>
              <w:rPr>
                <w:spacing w:val="60"/>
                <w:sz w:val="17"/>
              </w:rPr>
              <w:tab/>
            </w:r>
          </w:p>
        </w:tc>
        <w:tc>
          <w:tcPr>
            <w:tcW w:w="533" w:type="dxa"/>
            <w:shd w:val="clear" w:color="auto" w:fill="auto"/>
            <w:vAlign w:val="bottom"/>
          </w:tcPr>
          <w:p w:rsidR="00A133BD" w:rsidRDefault="004350F4" w:rsidP="00A133BD">
            <w:pPr>
              <w:spacing w:after="120"/>
              <w:jc w:val="right"/>
            </w:pPr>
            <w:r>
              <w:t>5</w:t>
            </w:r>
          </w:p>
        </w:tc>
      </w:tr>
      <w:tr w:rsidR="00A133BD" w:rsidRPr="00A133BD" w:rsidTr="00A133BD">
        <w:tblPrEx>
          <w:tblCellMar>
            <w:top w:w="0" w:type="dxa"/>
            <w:bottom w:w="0" w:type="dxa"/>
          </w:tblCellMar>
        </w:tblPrEx>
        <w:tc>
          <w:tcPr>
            <w:tcW w:w="9369" w:type="dxa"/>
            <w:gridSpan w:val="3"/>
            <w:shd w:val="clear" w:color="auto" w:fill="auto"/>
          </w:tcPr>
          <w:p w:rsidR="00A133BD" w:rsidRDefault="00A133BD" w:rsidP="00A133BD">
            <w:pPr>
              <w:numPr>
                <w:ilvl w:val="1"/>
                <w:numId w:val="1"/>
              </w:numPr>
              <w:tabs>
                <w:tab w:val="right" w:pos="1080"/>
                <w:tab w:val="left" w:pos="1296"/>
                <w:tab w:val="left" w:pos="1728"/>
                <w:tab w:val="left" w:pos="2160"/>
                <w:tab w:val="left" w:pos="2592"/>
                <w:tab w:val="left" w:pos="3024"/>
                <w:tab w:val="right" w:leader="dot" w:pos="9360"/>
              </w:tabs>
              <w:spacing w:after="120"/>
            </w:pPr>
            <w:r>
              <w:t>Security Council</w:t>
            </w:r>
            <w:r>
              <w:rPr>
                <w:spacing w:val="60"/>
                <w:sz w:val="17"/>
              </w:rPr>
              <w:tab/>
            </w:r>
          </w:p>
        </w:tc>
        <w:tc>
          <w:tcPr>
            <w:tcW w:w="533" w:type="dxa"/>
            <w:shd w:val="clear" w:color="auto" w:fill="auto"/>
            <w:vAlign w:val="bottom"/>
          </w:tcPr>
          <w:p w:rsidR="00A133BD" w:rsidRDefault="004350F4" w:rsidP="00A133BD">
            <w:pPr>
              <w:spacing w:after="120"/>
              <w:jc w:val="right"/>
            </w:pPr>
            <w:r>
              <w:t>5</w:t>
            </w:r>
          </w:p>
        </w:tc>
      </w:tr>
      <w:tr w:rsidR="00A133BD" w:rsidRPr="00A133BD" w:rsidTr="00A133BD">
        <w:tblPrEx>
          <w:tblCellMar>
            <w:top w:w="0" w:type="dxa"/>
            <w:bottom w:w="0" w:type="dxa"/>
          </w:tblCellMar>
        </w:tblPrEx>
        <w:tc>
          <w:tcPr>
            <w:tcW w:w="9369" w:type="dxa"/>
            <w:gridSpan w:val="3"/>
            <w:shd w:val="clear" w:color="auto" w:fill="auto"/>
          </w:tcPr>
          <w:p w:rsidR="00A133BD" w:rsidRDefault="00A133BD" w:rsidP="00A133BD">
            <w:pPr>
              <w:numPr>
                <w:ilvl w:val="1"/>
                <w:numId w:val="1"/>
              </w:numPr>
              <w:tabs>
                <w:tab w:val="right" w:pos="1080"/>
                <w:tab w:val="left" w:pos="1296"/>
                <w:tab w:val="left" w:pos="1728"/>
                <w:tab w:val="left" w:pos="2160"/>
                <w:tab w:val="left" w:pos="2592"/>
                <w:tab w:val="left" w:pos="3024"/>
                <w:tab w:val="right" w:leader="dot" w:pos="9360"/>
              </w:tabs>
              <w:spacing w:after="120"/>
            </w:pPr>
            <w:r>
              <w:t>General Assembly</w:t>
            </w:r>
            <w:r>
              <w:rPr>
                <w:spacing w:val="60"/>
                <w:sz w:val="17"/>
              </w:rPr>
              <w:tab/>
            </w:r>
          </w:p>
        </w:tc>
        <w:tc>
          <w:tcPr>
            <w:tcW w:w="533" w:type="dxa"/>
            <w:shd w:val="clear" w:color="auto" w:fill="auto"/>
            <w:vAlign w:val="bottom"/>
          </w:tcPr>
          <w:p w:rsidR="00A133BD" w:rsidRDefault="004350F4" w:rsidP="00A133BD">
            <w:pPr>
              <w:spacing w:after="120"/>
              <w:jc w:val="right"/>
            </w:pPr>
            <w:r>
              <w:t>6</w:t>
            </w:r>
          </w:p>
        </w:tc>
      </w:tr>
      <w:tr w:rsidR="00A133BD" w:rsidRPr="00A133BD" w:rsidTr="00A133BD">
        <w:tblPrEx>
          <w:tblCellMar>
            <w:top w:w="0" w:type="dxa"/>
            <w:bottom w:w="0" w:type="dxa"/>
          </w:tblCellMar>
        </w:tblPrEx>
        <w:tc>
          <w:tcPr>
            <w:tcW w:w="9369" w:type="dxa"/>
            <w:gridSpan w:val="3"/>
            <w:shd w:val="clear" w:color="auto" w:fill="auto"/>
          </w:tcPr>
          <w:p w:rsidR="00A133BD" w:rsidRDefault="00A133BD" w:rsidP="00A133BD">
            <w:pPr>
              <w:numPr>
                <w:ilvl w:val="1"/>
                <w:numId w:val="1"/>
              </w:numPr>
              <w:tabs>
                <w:tab w:val="right" w:pos="1080"/>
                <w:tab w:val="left" w:pos="1296"/>
                <w:tab w:val="left" w:pos="1728"/>
                <w:tab w:val="left" w:pos="2160"/>
                <w:tab w:val="left" w:pos="2592"/>
                <w:tab w:val="left" w:pos="3024"/>
                <w:tab w:val="left" w:pos="3456"/>
                <w:tab w:val="right" w:leader="dot" w:pos="9360"/>
              </w:tabs>
              <w:spacing w:after="120"/>
            </w:pPr>
            <w:r>
              <w:t>Human Rights Council</w:t>
            </w:r>
            <w:r>
              <w:rPr>
                <w:spacing w:val="60"/>
                <w:sz w:val="17"/>
              </w:rPr>
              <w:tab/>
            </w:r>
          </w:p>
        </w:tc>
        <w:tc>
          <w:tcPr>
            <w:tcW w:w="533" w:type="dxa"/>
            <w:shd w:val="clear" w:color="auto" w:fill="auto"/>
            <w:vAlign w:val="bottom"/>
          </w:tcPr>
          <w:p w:rsidR="00A133BD" w:rsidRDefault="004350F4" w:rsidP="00A133BD">
            <w:pPr>
              <w:spacing w:after="120"/>
              <w:jc w:val="right"/>
            </w:pPr>
            <w:r>
              <w:t>6</w:t>
            </w:r>
          </w:p>
        </w:tc>
      </w:tr>
      <w:tr w:rsidR="00A133BD" w:rsidRPr="00A133BD" w:rsidTr="00A133BD">
        <w:tblPrEx>
          <w:tblCellMar>
            <w:top w:w="0" w:type="dxa"/>
            <w:bottom w:w="0" w:type="dxa"/>
          </w:tblCellMar>
        </w:tblPrEx>
        <w:tc>
          <w:tcPr>
            <w:tcW w:w="9369" w:type="dxa"/>
            <w:gridSpan w:val="3"/>
            <w:shd w:val="clear" w:color="auto" w:fill="auto"/>
          </w:tcPr>
          <w:p w:rsidR="00A133BD" w:rsidRDefault="00A133BD" w:rsidP="00A133BD">
            <w:pPr>
              <w:numPr>
                <w:ilvl w:val="0"/>
                <w:numId w:val="1"/>
              </w:numPr>
              <w:tabs>
                <w:tab w:val="right" w:pos="1080"/>
                <w:tab w:val="left" w:pos="1296"/>
                <w:tab w:val="left" w:pos="1728"/>
                <w:tab w:val="left" w:pos="2160"/>
                <w:tab w:val="left" w:pos="2592"/>
                <w:tab w:val="right" w:leader="dot" w:pos="9360"/>
              </w:tabs>
              <w:spacing w:after="120"/>
            </w:pPr>
            <w:r>
              <w:tab/>
              <w:t>Thirtieth anniversary of the Convention on the Elimination of All Forms of Discrimination against Women</w:t>
            </w:r>
            <w:r>
              <w:rPr>
                <w:spacing w:val="60"/>
                <w:sz w:val="17"/>
              </w:rPr>
              <w:tab/>
            </w:r>
          </w:p>
        </w:tc>
        <w:tc>
          <w:tcPr>
            <w:tcW w:w="533" w:type="dxa"/>
            <w:shd w:val="clear" w:color="auto" w:fill="auto"/>
            <w:vAlign w:val="bottom"/>
          </w:tcPr>
          <w:p w:rsidR="00A133BD" w:rsidRDefault="004350F4" w:rsidP="00A133BD">
            <w:pPr>
              <w:spacing w:after="120"/>
              <w:jc w:val="right"/>
            </w:pPr>
            <w:r>
              <w:t>7</w:t>
            </w:r>
          </w:p>
        </w:tc>
      </w:tr>
      <w:tr w:rsidR="00A133BD" w:rsidRPr="00A133BD" w:rsidTr="00A133BD">
        <w:tblPrEx>
          <w:tblCellMar>
            <w:top w:w="0" w:type="dxa"/>
            <w:bottom w:w="0" w:type="dxa"/>
          </w:tblCellMar>
        </w:tblPrEx>
        <w:tc>
          <w:tcPr>
            <w:tcW w:w="9369" w:type="dxa"/>
            <w:gridSpan w:val="3"/>
            <w:shd w:val="clear" w:color="auto" w:fill="auto"/>
          </w:tcPr>
          <w:p w:rsidR="00A133BD" w:rsidRDefault="00A133BD" w:rsidP="00A133BD">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Reports to be considered by the Committee at future sessions</w:t>
            </w:r>
            <w:r>
              <w:rPr>
                <w:spacing w:val="60"/>
                <w:sz w:val="17"/>
              </w:rPr>
              <w:tab/>
            </w:r>
          </w:p>
        </w:tc>
        <w:tc>
          <w:tcPr>
            <w:tcW w:w="533" w:type="dxa"/>
            <w:shd w:val="clear" w:color="auto" w:fill="auto"/>
            <w:vAlign w:val="bottom"/>
          </w:tcPr>
          <w:p w:rsidR="00A133BD" w:rsidRDefault="004350F4" w:rsidP="00A133BD">
            <w:pPr>
              <w:spacing w:after="120"/>
              <w:jc w:val="right"/>
            </w:pPr>
            <w:r>
              <w:t>8</w:t>
            </w:r>
          </w:p>
        </w:tc>
      </w:tr>
    </w:tbl>
    <w:p w:rsidR="00730FFA" w:rsidRPr="00A133BD" w:rsidRDefault="00730FFA" w:rsidP="00A133BD"/>
    <w:p w:rsidR="00730FFA" w:rsidRDefault="00A133BD" w:rsidP="008334E6">
      <w:pPr>
        <w:pStyle w:val="HCh"/>
        <w:ind w:left="1267" w:right="1260" w:hanging="1267"/>
      </w:pPr>
      <w:r>
        <w:br w:type="page"/>
      </w:r>
      <w:r w:rsidR="00730FFA">
        <w:tab/>
        <w:t>I.</w:t>
      </w:r>
      <w:r w:rsidR="00730FFA">
        <w:tab/>
        <w:t>Introduction</w:t>
      </w:r>
    </w:p>
    <w:p w:rsidR="008334E6" w:rsidRPr="008334E6" w:rsidRDefault="008334E6" w:rsidP="008334E6">
      <w:pPr>
        <w:pStyle w:val="SingleTxt"/>
        <w:spacing w:after="0" w:line="120" w:lineRule="exact"/>
        <w:rPr>
          <w:sz w:val="10"/>
        </w:rPr>
      </w:pPr>
    </w:p>
    <w:p w:rsidR="008334E6" w:rsidRPr="008334E6" w:rsidRDefault="008334E6" w:rsidP="008334E6">
      <w:pPr>
        <w:pStyle w:val="SingleTxt"/>
        <w:spacing w:after="0" w:line="120" w:lineRule="exact"/>
        <w:rPr>
          <w:sz w:val="10"/>
        </w:rPr>
      </w:pPr>
    </w:p>
    <w:p w:rsidR="00730FFA" w:rsidRDefault="00730FFA" w:rsidP="00730FFA">
      <w:pPr>
        <w:pStyle w:val="SingleTxt"/>
      </w:pPr>
      <w:r>
        <w:t>1.</w:t>
      </w:r>
      <w:r>
        <w:tab/>
        <w:t>The present report contains information relevant to the work of the Committee on the Elimination of Discrimi</w:t>
      </w:r>
      <w:r w:rsidR="008334E6">
        <w:t>nation against Women. Section I</w:t>
      </w:r>
      <w:r w:rsidR="008D48EE">
        <w:t>I</w:t>
      </w:r>
      <w:r>
        <w:t xml:space="preserve"> contains information on developments in the human rights regime, including the human rights treaty bodies, the Security Council, the General Assembly and the H</w:t>
      </w:r>
      <w:r w:rsidR="008D48EE">
        <w:t>uman Rights Council. Section IV</w:t>
      </w:r>
      <w:r>
        <w:t xml:space="preserve"> provides information on reports to be considered by the Committee at future sessions and on reports that have been received but not scheduled for consideration. A list of States that have not ratified or acceded to the Convention </w:t>
      </w:r>
      <w:r w:rsidR="008334E6">
        <w:t xml:space="preserve">on the Elimination of All Forms of Discrimination against Women </w:t>
      </w:r>
      <w:r>
        <w:t xml:space="preserve">is contained in annex I to the present report. Annex II contains a list of States parties whose reports </w:t>
      </w:r>
      <w:r w:rsidR="008334E6">
        <w:t>had</w:t>
      </w:r>
      <w:r>
        <w:t xml:space="preserve"> been submitted but not yet considered or scheduled for</w:t>
      </w:r>
      <w:r w:rsidR="008334E6">
        <w:t xml:space="preserve"> consideration by the Committee</w:t>
      </w:r>
      <w:r>
        <w:t xml:space="preserve"> as at 20 November 2009. </w:t>
      </w:r>
    </w:p>
    <w:p w:rsidR="008334E6" w:rsidRPr="008334E6" w:rsidRDefault="008334E6" w:rsidP="008334E6">
      <w:pPr>
        <w:pStyle w:val="SingleTxt"/>
        <w:spacing w:after="0" w:line="120" w:lineRule="exact"/>
        <w:rPr>
          <w:sz w:val="10"/>
        </w:rPr>
      </w:pPr>
    </w:p>
    <w:p w:rsidR="008334E6" w:rsidRPr="008334E6" w:rsidRDefault="008334E6" w:rsidP="008334E6">
      <w:pPr>
        <w:pStyle w:val="SingleTxt"/>
        <w:spacing w:after="0" w:line="120" w:lineRule="exact"/>
        <w:rPr>
          <w:sz w:val="10"/>
        </w:rPr>
      </w:pPr>
    </w:p>
    <w:p w:rsidR="00730FFA" w:rsidRDefault="008334E6" w:rsidP="008334E6">
      <w:pPr>
        <w:pStyle w:val="HCh"/>
        <w:ind w:left="1267" w:right="1260" w:hanging="1267"/>
      </w:pPr>
      <w:r>
        <w:tab/>
      </w:r>
      <w:r w:rsidR="00730FFA">
        <w:t>II.</w:t>
      </w:r>
      <w:r>
        <w:tab/>
      </w:r>
      <w:r w:rsidR="00730FFA">
        <w:t>Develop</w:t>
      </w:r>
      <w:r>
        <w:t>ments in the human rights regime</w:t>
      </w:r>
    </w:p>
    <w:p w:rsidR="008334E6" w:rsidRPr="008334E6" w:rsidRDefault="008334E6" w:rsidP="008334E6">
      <w:pPr>
        <w:pStyle w:val="SingleTxt"/>
        <w:spacing w:after="0" w:line="120" w:lineRule="exact"/>
        <w:rPr>
          <w:sz w:val="10"/>
        </w:rPr>
      </w:pPr>
    </w:p>
    <w:p w:rsidR="008334E6" w:rsidRPr="008334E6" w:rsidRDefault="008334E6" w:rsidP="008334E6">
      <w:pPr>
        <w:pStyle w:val="SingleTxt"/>
        <w:spacing w:after="0" w:line="120" w:lineRule="exact"/>
        <w:rPr>
          <w:sz w:val="10"/>
        </w:rPr>
      </w:pPr>
    </w:p>
    <w:p w:rsidR="00730FFA" w:rsidRDefault="008334E6" w:rsidP="008334E6">
      <w:pPr>
        <w:pStyle w:val="H1"/>
        <w:ind w:right="1260"/>
      </w:pPr>
      <w:r>
        <w:tab/>
      </w:r>
      <w:r w:rsidR="00730FFA">
        <w:t>A.</w:t>
      </w:r>
      <w:r>
        <w:tab/>
      </w:r>
      <w:r w:rsidR="00730FFA">
        <w:t xml:space="preserve">Human rights treaty bodies </w:t>
      </w:r>
    </w:p>
    <w:p w:rsidR="008334E6" w:rsidRPr="008334E6" w:rsidRDefault="008334E6" w:rsidP="008334E6">
      <w:pPr>
        <w:pStyle w:val="SingleTxt"/>
        <w:spacing w:after="0" w:line="120" w:lineRule="exact"/>
        <w:rPr>
          <w:sz w:val="10"/>
        </w:rPr>
      </w:pPr>
    </w:p>
    <w:p w:rsidR="008334E6" w:rsidRPr="008334E6" w:rsidRDefault="008334E6" w:rsidP="008334E6">
      <w:pPr>
        <w:pStyle w:val="SingleTxt"/>
        <w:spacing w:after="0" w:line="120" w:lineRule="exact"/>
        <w:rPr>
          <w:sz w:val="10"/>
        </w:rPr>
      </w:pPr>
    </w:p>
    <w:p w:rsidR="00730FFA" w:rsidRDefault="008334E6" w:rsidP="00730FFA">
      <w:pPr>
        <w:pStyle w:val="SingleTxt"/>
      </w:pPr>
      <w:r>
        <w:t>2.</w:t>
      </w:r>
      <w:r>
        <w:tab/>
        <w:t>From 13 to 31</w:t>
      </w:r>
      <w:r w:rsidR="00730FFA">
        <w:t xml:space="preserve"> July 2009, the Human Rights Committee held its </w:t>
      </w:r>
      <w:r>
        <w:t>ninety-sixth</w:t>
      </w:r>
      <w:r w:rsidR="00730FFA">
        <w:t xml:space="preserve"> session. </w:t>
      </w:r>
      <w:r>
        <w:t>During the session,</w:t>
      </w:r>
      <w:r w:rsidR="00730FFA">
        <w:t xml:space="preserve"> the Committee held </w:t>
      </w:r>
      <w:r w:rsidR="008D48EE">
        <w:t>its</w:t>
      </w:r>
      <w:r w:rsidR="00730FFA">
        <w:t xml:space="preserve"> first dialogue of future cooperation with the Inter-Parliamentary Union (IPU), and agreed on the ne</w:t>
      </w:r>
      <w:r w:rsidR="008D48EE">
        <w:t>ed</w:t>
      </w:r>
      <w:r w:rsidR="00730FFA">
        <w:t xml:space="preserve"> to promote awareness </w:t>
      </w:r>
      <w:r w:rsidR="008D48EE">
        <w:t xml:space="preserve">on the part </w:t>
      </w:r>
      <w:r w:rsidR="00730FFA">
        <w:t xml:space="preserve">of parliamentarians </w:t>
      </w:r>
      <w:r>
        <w:t>about</w:t>
      </w:r>
      <w:r w:rsidR="00730FFA">
        <w:t xml:space="preserve"> international human rights treaties and mechanisms, as well as </w:t>
      </w:r>
      <w:r>
        <w:t>about</w:t>
      </w:r>
      <w:r w:rsidR="00730FFA">
        <w:t xml:space="preserve"> the role which IPU can play </w:t>
      </w:r>
      <w:r>
        <w:t>in disseminating</w:t>
      </w:r>
      <w:r w:rsidR="00730FFA">
        <w:t xml:space="preserve"> information on the </w:t>
      </w:r>
      <w:r>
        <w:t xml:space="preserve">International </w:t>
      </w:r>
      <w:r w:rsidR="00730FFA">
        <w:t xml:space="preserve">Covenant </w:t>
      </w:r>
      <w:r>
        <w:t xml:space="preserve">on Civil and Political Rights </w:t>
      </w:r>
      <w:r w:rsidR="00730FFA">
        <w:t>and on the Committee</w:t>
      </w:r>
      <w:r w:rsidR="003E4CB5">
        <w:t>’</w:t>
      </w:r>
      <w:r w:rsidR="00730FFA">
        <w:t>s concluding observations. The Committee recognized that national parliaments should play an important role in the protection and promotion of civil and political rights and in the implementation of the recommendations to States parties, in particular with respect to legislative changes aim</w:t>
      </w:r>
      <w:r>
        <w:t>ed</w:t>
      </w:r>
      <w:r w:rsidR="00730FFA">
        <w:t xml:space="preserve"> at implementing the Covenant. The Committee also decided that reminders </w:t>
      </w:r>
      <w:r>
        <w:t xml:space="preserve">should </w:t>
      </w:r>
      <w:r w:rsidR="00730FFA">
        <w:t xml:space="preserve">be sent once a year to all States parties </w:t>
      </w:r>
      <w:r>
        <w:t>whose</w:t>
      </w:r>
      <w:r w:rsidR="00730FFA">
        <w:t xml:space="preserve"> reports are overdue (after one year</w:t>
      </w:r>
      <w:r w:rsidR="003E4CB5">
        <w:t>’</w:t>
      </w:r>
      <w:r w:rsidR="00730FFA">
        <w:t>s delay in the submission of the report).</w:t>
      </w:r>
    </w:p>
    <w:p w:rsidR="00730FFA" w:rsidRDefault="00730FFA" w:rsidP="00730FFA">
      <w:pPr>
        <w:pStyle w:val="SingleTxt"/>
      </w:pPr>
      <w:r>
        <w:t>3.</w:t>
      </w:r>
      <w:r>
        <w:tab/>
        <w:t xml:space="preserve">The Human Rights Committee held its </w:t>
      </w:r>
      <w:r w:rsidR="008334E6">
        <w:t>ninety-seventh</w:t>
      </w:r>
      <w:r>
        <w:t xml:space="preserve"> session from 12 to 30</w:t>
      </w:r>
      <w:r w:rsidR="008B14D2">
        <w:t> </w:t>
      </w:r>
      <w:r>
        <w:t>October</w:t>
      </w:r>
      <w:r w:rsidR="008B14D2">
        <w:t> </w:t>
      </w:r>
      <w:r>
        <w:t>2009. At th</w:t>
      </w:r>
      <w:r w:rsidR="008334E6">
        <w:t>at</w:t>
      </w:r>
      <w:r>
        <w:t xml:space="preserve"> session, the Committee discussed its working methods, focusing on its draft revised reporting guidelines. </w:t>
      </w:r>
    </w:p>
    <w:p w:rsidR="00730FFA" w:rsidRDefault="00730FFA" w:rsidP="00730FFA">
      <w:pPr>
        <w:pStyle w:val="SingleTxt"/>
      </w:pPr>
      <w:r>
        <w:t>4.</w:t>
      </w:r>
      <w:r>
        <w:tab/>
        <w:t xml:space="preserve">The Committee on the Elimination of Racial Discrimination held its </w:t>
      </w:r>
      <w:r w:rsidR="008334E6">
        <w:t>seventy-fifth</w:t>
      </w:r>
      <w:r>
        <w:t xml:space="preserve"> session from 3 to 28 August 2009. For the first time, the session lasted for four weeks</w:t>
      </w:r>
      <w:r w:rsidR="008334E6">
        <w:t>,</w:t>
      </w:r>
      <w:r>
        <w:t xml:space="preserve"> following the approval of extended meeting time by the General Assembly. The Committee decided that, in addition to </w:t>
      </w:r>
      <w:r w:rsidR="008334E6">
        <w:t>prioritizing</w:t>
      </w:r>
      <w:r>
        <w:t xml:space="preserve"> specific recommendations for follow-up within a year, </w:t>
      </w:r>
      <w:r w:rsidR="008334E6">
        <w:t>it would also identify longer-</w:t>
      </w:r>
      <w:r>
        <w:t xml:space="preserve">term priorities in its concluding observations, including with a view to providing guidance for the preparation of compilations for the </w:t>
      </w:r>
      <w:r w:rsidR="000347E0">
        <w:t>universal periodical review</w:t>
      </w:r>
      <w:r>
        <w:t xml:space="preserve">. </w:t>
      </w:r>
      <w:r w:rsidR="000347E0">
        <w:t>Furthermore</w:t>
      </w:r>
      <w:r>
        <w:t>, in order to align itself with the practice of the majority of treaty bodies, the Committee decided to waive the confidentiality of country rapporteurs. During the session, two gener</w:t>
      </w:r>
      <w:r w:rsidR="000347E0">
        <w:t>al recommendations were adopted:</w:t>
      </w:r>
      <w:r>
        <w:t xml:space="preserve"> </w:t>
      </w:r>
      <w:r w:rsidR="000347E0">
        <w:t xml:space="preserve">general recommendation </w:t>
      </w:r>
      <w:r>
        <w:t>No. 32</w:t>
      </w:r>
      <w:r w:rsidR="008D48EE">
        <w:t>,</w:t>
      </w:r>
      <w:r>
        <w:t xml:space="preserve"> which elaborates on the meaning of special measures within the context of the Convention, with the aim of providing practical guidance to States parties in the discharge of their treaty obligations in this regard, and </w:t>
      </w:r>
      <w:r w:rsidR="000347E0">
        <w:t xml:space="preserve">general recommendation </w:t>
      </w:r>
      <w:r>
        <w:t>No.</w:t>
      </w:r>
      <w:r w:rsidR="000347E0">
        <w:t xml:space="preserve"> </w:t>
      </w:r>
      <w:r>
        <w:t>33</w:t>
      </w:r>
      <w:r w:rsidR="000347E0">
        <w:t>,</w:t>
      </w:r>
      <w:r>
        <w:t xml:space="preserve"> on follow-up to the Durban Review Conference</w:t>
      </w:r>
      <w:r w:rsidR="000347E0">
        <w:t>,</w:t>
      </w:r>
      <w:r>
        <w:t xml:space="preserve"> which welcomes the impetus given by the Conference to </w:t>
      </w:r>
      <w:r w:rsidR="000347E0">
        <w:t xml:space="preserve">the </w:t>
      </w:r>
      <w:r>
        <w:t>further implement</w:t>
      </w:r>
      <w:r w:rsidR="000347E0">
        <w:t>ation of the Durban Declaration and Programme of Action</w:t>
      </w:r>
      <w:r>
        <w:t>, takes note of the provisions in the outcome document with specific reference to the Convention and the work of the Committee.</w:t>
      </w:r>
    </w:p>
    <w:p w:rsidR="00730FFA" w:rsidRDefault="00730FFA" w:rsidP="00730FFA">
      <w:pPr>
        <w:pStyle w:val="SingleTxt"/>
      </w:pPr>
      <w:r>
        <w:t>5.</w:t>
      </w:r>
      <w:r>
        <w:tab/>
        <w:t xml:space="preserve">From 14 September to 2 October 2009, the Committee on the Rights of the Child held its </w:t>
      </w:r>
      <w:r w:rsidR="000347E0">
        <w:t>fifty-second</w:t>
      </w:r>
      <w:r>
        <w:t xml:space="preserve"> session. The Committee decided to review its provisional rules of procedure in order to update them and adopt more specific rules regarding the election and term of Bureau members. The Committee and the African Committee of Experts on the Rights and Welfare of the Child met during the session and agreed to strengthen their cooperation. During the session, the Committee met for the first time with the Special Representative of the Secretary-General </w:t>
      </w:r>
      <w:r w:rsidR="000347E0">
        <w:t>for Children and Armed Conflict</w:t>
      </w:r>
      <w:r>
        <w:t xml:space="preserve"> in order to discuss </w:t>
      </w:r>
      <w:r w:rsidR="000347E0">
        <w:t>means</w:t>
      </w:r>
      <w:r>
        <w:t xml:space="preserve"> of cooperation and mutual support of the respective mandates, notably in conjunction with States parties reviewed under the Optional Protocol to the Convention </w:t>
      </w:r>
      <w:r w:rsidR="000347E0">
        <w:t xml:space="preserve">on the Rights of the Child </w:t>
      </w:r>
      <w:r>
        <w:t xml:space="preserve">on the involvement of </w:t>
      </w:r>
      <w:r w:rsidR="000347E0">
        <w:t>children in armed conflict</w:t>
      </w:r>
      <w:r>
        <w:t>. At th</w:t>
      </w:r>
      <w:r w:rsidR="000347E0">
        <w:t>e</w:t>
      </w:r>
      <w:r>
        <w:t xml:space="preserve"> session</w:t>
      </w:r>
      <w:r w:rsidR="000347E0">
        <w:t>,</w:t>
      </w:r>
      <w:r>
        <w:t xml:space="preserve"> the Committee decided that it would not hold a day of general discussion in 2010 </w:t>
      </w:r>
      <w:r w:rsidR="000347E0">
        <w:t>owing</w:t>
      </w:r>
      <w:r>
        <w:t xml:space="preserve"> to the increasing backlog of reports pending consideration.</w:t>
      </w:r>
    </w:p>
    <w:p w:rsidR="00730FFA" w:rsidRDefault="00730FFA" w:rsidP="00730FFA">
      <w:pPr>
        <w:pStyle w:val="SingleTxt"/>
      </w:pPr>
      <w:r>
        <w:t>6.</w:t>
      </w:r>
      <w:r>
        <w:tab/>
        <w:t xml:space="preserve">On 8 and 9 October 2009, the Committee and other partners organized a two-day commemoration to mark the </w:t>
      </w:r>
      <w:r w:rsidR="000347E0">
        <w:t>twentieth</w:t>
      </w:r>
      <w:r>
        <w:t xml:space="preserve"> anniversary of the adoption of the Convention on the Rights of the Child. The meeting consisted of presentations in plenary </w:t>
      </w:r>
      <w:r w:rsidR="000347E0">
        <w:t xml:space="preserve">meeting </w:t>
      </w:r>
      <w:r>
        <w:t>and discussions in workshops which identified achievements in implementation and examples of best practice; identified challenges for the future; and formulated priority recommendations to enhance implementation. Th</w:t>
      </w:r>
      <w:r w:rsidR="000347E0">
        <w:t>o</w:t>
      </w:r>
      <w:r>
        <w:t>se recommendations will be reviewed and formally adopted by the Committee o</w:t>
      </w:r>
      <w:r w:rsidR="000347E0">
        <w:t>n</w:t>
      </w:r>
      <w:r>
        <w:t xml:space="preserve"> the Rights of the Child at its next session, in January 2010. </w:t>
      </w:r>
    </w:p>
    <w:p w:rsidR="00730FFA" w:rsidRDefault="00730FFA" w:rsidP="00730FFA">
      <w:pPr>
        <w:pStyle w:val="SingleTxt"/>
      </w:pPr>
      <w:r>
        <w:t>7.</w:t>
      </w:r>
      <w:r>
        <w:tab/>
        <w:t xml:space="preserve">From 12 to 16 October 2009, the </w:t>
      </w:r>
      <w:r w:rsidR="000347E0">
        <w:t>eleventh</w:t>
      </w:r>
      <w:r>
        <w:t xml:space="preserve"> session of the Committee on Migrant Workers was held. In a public session, the Committee discussed its plans for the </w:t>
      </w:r>
      <w:r w:rsidR="000347E0">
        <w:t>twentieth</w:t>
      </w:r>
      <w:r>
        <w:t xml:space="preserve"> anniversary of the adoption of the </w:t>
      </w:r>
      <w:r w:rsidR="000347E0">
        <w:t xml:space="preserve">International </w:t>
      </w:r>
      <w:r>
        <w:t>Convention</w:t>
      </w:r>
      <w:r w:rsidR="000347E0">
        <w:t xml:space="preserve"> on the Protection of the Rights of All Migrant Workers and Members of Their Families</w:t>
      </w:r>
      <w:r>
        <w:t xml:space="preserve">. It also initiated a general comment on migrant domestic workers and will discuss a first draft at its </w:t>
      </w:r>
      <w:r w:rsidR="000347E0">
        <w:t>twelfth</w:t>
      </w:r>
      <w:r>
        <w:t xml:space="preserve"> session in April 2010. Th</w:t>
      </w:r>
      <w:r w:rsidR="000347E0">
        <w:t>at</w:t>
      </w:r>
      <w:r>
        <w:t xml:space="preserve"> will be the Committee</w:t>
      </w:r>
      <w:r w:rsidR="003E4CB5">
        <w:t>’</w:t>
      </w:r>
      <w:r>
        <w:t>s first general comment since it started its work in 2004. During the session, the Committee expressed concern at the delay in reporting by States parties</w:t>
      </w:r>
      <w:r w:rsidR="000347E0">
        <w:t>,</w:t>
      </w:r>
      <w:r>
        <w:t xml:space="preserve"> which may hinder its work in the near future. The Committee has indicated that if there </w:t>
      </w:r>
      <w:r w:rsidR="000347E0">
        <w:t>is</w:t>
      </w:r>
      <w:r>
        <w:t xml:space="preserve"> no improvement in the reporting rate, it would consider the possibility of examining the situation of migrants</w:t>
      </w:r>
      <w:r w:rsidR="003E4CB5">
        <w:t>’</w:t>
      </w:r>
      <w:r>
        <w:t xml:space="preserve"> rights in States parties in the absence of a report, in line with other treaty bodies</w:t>
      </w:r>
      <w:r w:rsidR="003E4CB5">
        <w:t>’</w:t>
      </w:r>
      <w:r>
        <w:t xml:space="preserve"> practice.</w:t>
      </w:r>
    </w:p>
    <w:p w:rsidR="00730FFA" w:rsidRDefault="00730FFA" w:rsidP="00730FFA">
      <w:pPr>
        <w:pStyle w:val="SingleTxt"/>
      </w:pPr>
      <w:r>
        <w:t>8.</w:t>
      </w:r>
      <w:r>
        <w:tab/>
        <w:t xml:space="preserve">During the session, the Committee </w:t>
      </w:r>
      <w:r w:rsidR="000347E0">
        <w:t>devoted</w:t>
      </w:r>
      <w:r>
        <w:t xml:space="preserve"> a </w:t>
      </w:r>
      <w:r w:rsidR="000347E0">
        <w:t>day of general discussion to the issue of migrant domestic workers</w:t>
      </w:r>
      <w:r>
        <w:t xml:space="preserve">. The </w:t>
      </w:r>
      <w:r w:rsidR="000347E0">
        <w:t xml:space="preserve">discussion was </w:t>
      </w:r>
      <w:r>
        <w:t xml:space="preserve">aimed </w:t>
      </w:r>
      <w:r w:rsidR="000347E0">
        <w:t xml:space="preserve">at, </w:t>
      </w:r>
      <w:r>
        <w:t>inter alia</w:t>
      </w:r>
      <w:r w:rsidR="000347E0">
        <w:t>,</w:t>
      </w:r>
      <w:r>
        <w:t xml:space="preserve"> providing input to the debate </w:t>
      </w:r>
      <w:r w:rsidR="000347E0">
        <w:t>to be held</w:t>
      </w:r>
      <w:r>
        <w:t xml:space="preserve"> at the </w:t>
      </w:r>
      <w:r w:rsidR="000347E0">
        <w:t>ninety-ninth</w:t>
      </w:r>
      <w:r>
        <w:t xml:space="preserve"> session of the International Labour Conference in 2010 </w:t>
      </w:r>
      <w:r w:rsidR="000347E0">
        <w:t>at</w:t>
      </w:r>
      <w:r>
        <w:t xml:space="preserve"> which </w:t>
      </w:r>
      <w:r w:rsidR="000347E0">
        <w:t>the issue of</w:t>
      </w:r>
      <w:r>
        <w:t xml:space="preserve"> </w:t>
      </w:r>
      <w:r w:rsidR="000347E0">
        <w:t>d</w:t>
      </w:r>
      <w:r>
        <w:t xml:space="preserve">ecent </w:t>
      </w:r>
      <w:r w:rsidR="000347E0">
        <w:t>w</w:t>
      </w:r>
      <w:r>
        <w:t xml:space="preserve">ork for </w:t>
      </w:r>
      <w:r w:rsidR="000347E0">
        <w:t xml:space="preserve">domestic workers will be discussed and </w:t>
      </w:r>
      <w:r>
        <w:t xml:space="preserve">the adoption of a new </w:t>
      </w:r>
      <w:r w:rsidR="000347E0">
        <w:t>International Labour Organization (</w:t>
      </w:r>
      <w:r>
        <w:t>ILO</w:t>
      </w:r>
      <w:r w:rsidR="000347E0">
        <w:t>)</w:t>
      </w:r>
      <w:r>
        <w:t xml:space="preserve"> instrument on domestic workers by 2011</w:t>
      </w:r>
      <w:r w:rsidR="007E30A4">
        <w:t xml:space="preserve"> will be considered</w:t>
      </w:r>
      <w:r>
        <w:t>.</w:t>
      </w:r>
      <w:r w:rsidR="007E30A4">
        <w:t xml:space="preserve"> </w:t>
      </w:r>
      <w:r>
        <w:t>Two working groups were organized to discuss</w:t>
      </w:r>
      <w:r w:rsidR="007E30A4">
        <w:t xml:space="preserve"> the</w:t>
      </w:r>
      <w:r>
        <w:t xml:space="preserve"> recruitment and employment of migrant domestic workers and </w:t>
      </w:r>
      <w:r w:rsidR="007E30A4">
        <w:t xml:space="preserve">the </w:t>
      </w:r>
      <w:r>
        <w:t>effective protection of migrant domestic workers</w:t>
      </w:r>
      <w:r w:rsidR="007E30A4">
        <w:t>,</w:t>
      </w:r>
      <w:r>
        <w:t xml:space="preserve"> respectively. ILO representatives also attended the discussion. A member of the Committee on the Elimination of Discrimination against Women also participated in th</w:t>
      </w:r>
      <w:r w:rsidR="007E30A4">
        <w:t>e</w:t>
      </w:r>
      <w:r>
        <w:t xml:space="preserve"> event. </w:t>
      </w:r>
    </w:p>
    <w:p w:rsidR="00730FFA" w:rsidRDefault="00730FFA" w:rsidP="00730FFA">
      <w:pPr>
        <w:pStyle w:val="SingleTxt"/>
      </w:pPr>
      <w:r>
        <w:t>9.</w:t>
      </w:r>
      <w:r>
        <w:tab/>
        <w:t xml:space="preserve">From </w:t>
      </w:r>
      <w:r w:rsidR="007E30A4">
        <w:t>19</w:t>
      </w:r>
      <w:r>
        <w:t xml:space="preserve"> to </w:t>
      </w:r>
      <w:r w:rsidR="007E30A4">
        <w:t>23</w:t>
      </w:r>
      <w:r>
        <w:t xml:space="preserve"> October 2009, the second session of the Committee on the Rights of Persons with Disabilities was held. The Committee discussed reporting guidelines and rules of procedure. It devoted its </w:t>
      </w:r>
      <w:r w:rsidR="007E30A4">
        <w:t xml:space="preserve">day of general discussion </w:t>
      </w:r>
      <w:r>
        <w:t>on 21</w:t>
      </w:r>
      <w:r w:rsidR="007E30A4">
        <w:t> </w:t>
      </w:r>
      <w:r w:rsidR="008D48EE">
        <w:t>October </w:t>
      </w:r>
      <w:r>
        <w:t xml:space="preserve">2009 to article 12 of the Convention </w:t>
      </w:r>
      <w:r w:rsidR="007E30A4">
        <w:t xml:space="preserve">on the Rights of Persons with Disabilities, </w:t>
      </w:r>
      <w:r>
        <w:t xml:space="preserve">dealing with the right to equal recognition before the law. The discussion was intended to provide States parties and other actors with more comprehensive guidance as to their obligations to promote and protect the right to equal recognition before the law as outlined in article 12 of the Convention. </w:t>
      </w:r>
    </w:p>
    <w:p w:rsidR="00730FFA" w:rsidRDefault="00730FFA" w:rsidP="00730FFA">
      <w:pPr>
        <w:pStyle w:val="SingleTxt"/>
      </w:pPr>
      <w:r>
        <w:t>10.</w:t>
      </w:r>
      <w:r>
        <w:tab/>
      </w:r>
      <w:r w:rsidR="007E30A4">
        <w:t>Following</w:t>
      </w:r>
      <w:r>
        <w:t xml:space="preserve"> the fiftieth ratification of the Optional Protocol to the Convention against Torture and </w:t>
      </w:r>
      <w:r w:rsidR="007E30A4">
        <w:t xml:space="preserve">Other </w:t>
      </w:r>
      <w:r>
        <w:t>Cruel, Inhuman or Degrading Treatment or Punishment</w:t>
      </w:r>
      <w:r w:rsidR="007E30A4">
        <w:t>,</w:t>
      </w:r>
      <w:r>
        <w:t xml:space="preserve"> by </w:t>
      </w:r>
      <w:smartTag w:uri="urn:schemas-microsoft-com:office:smarttags" w:element="place">
        <w:smartTag w:uri="urn:schemas-microsoft-com:office:smarttags" w:element="country-region">
          <w:r>
            <w:t>Switzerland</w:t>
          </w:r>
        </w:smartTag>
      </w:smartTag>
      <w:r>
        <w:t xml:space="preserve"> on 24 September 2009, the number of independent experts of the Subcommittee on Prevention </w:t>
      </w:r>
      <w:r w:rsidR="007E30A4">
        <w:t xml:space="preserve">of Torture </w:t>
      </w:r>
      <w:r>
        <w:t xml:space="preserve">will increase from </w:t>
      </w:r>
      <w:r w:rsidR="007E30A4">
        <w:t>10</w:t>
      </w:r>
      <w:r>
        <w:t xml:space="preserve"> to </w:t>
      </w:r>
      <w:r w:rsidR="007E30A4">
        <w:t>25</w:t>
      </w:r>
      <w:r>
        <w:t xml:space="preserve">. The membership of the Committee on Migrant Workers will increase from </w:t>
      </w:r>
      <w:r w:rsidR="007E30A4">
        <w:t>10</w:t>
      </w:r>
      <w:r>
        <w:t xml:space="preserve"> to </w:t>
      </w:r>
      <w:r w:rsidR="007E30A4">
        <w:t>14</w:t>
      </w:r>
      <w:r>
        <w:t xml:space="preserve"> members </w:t>
      </w:r>
      <w:r w:rsidR="007E30A4">
        <w:t xml:space="preserve">as a result of the </w:t>
      </w:r>
      <w:r>
        <w:t>forty-first ratification</w:t>
      </w:r>
      <w:r w:rsidR="007E30A4">
        <w:t>,</w:t>
      </w:r>
      <w:r>
        <w:t xml:space="preserve"> by </w:t>
      </w:r>
      <w:smartTag w:uri="urn:schemas-microsoft-com:office:smarttags" w:element="place">
        <w:smartTag w:uri="urn:schemas-microsoft-com:office:smarttags" w:element="country-region">
          <w:r>
            <w:t>Nigeria</w:t>
          </w:r>
        </w:smartTag>
      </w:smartTag>
      <w:r>
        <w:t xml:space="preserve"> on 27 July 2009</w:t>
      </w:r>
      <w:r w:rsidR="007E30A4">
        <w:t>, of the International Convention on the Protection of the Rights of All Migrant Workers and Members of Their Families</w:t>
      </w:r>
      <w:r>
        <w:t>.</w:t>
      </w:r>
    </w:p>
    <w:p w:rsidR="00730FFA" w:rsidRDefault="00730FFA" w:rsidP="00730FFA">
      <w:pPr>
        <w:pStyle w:val="SingleTxt"/>
      </w:pPr>
      <w:r>
        <w:t>11.</w:t>
      </w:r>
      <w:r>
        <w:tab/>
        <w:t xml:space="preserve">On 29 September 2009, the Optional Protocol </w:t>
      </w:r>
      <w:r w:rsidR="007E30A4">
        <w:t>to</w:t>
      </w:r>
      <w:r>
        <w:t xml:space="preserve"> the </w:t>
      </w:r>
      <w:r w:rsidR="007E30A4">
        <w:t xml:space="preserve">International </w:t>
      </w:r>
      <w:r>
        <w:t xml:space="preserve">Covenant on Economic, Social and Cultural Rights was opened for signature and received </w:t>
      </w:r>
      <w:r w:rsidR="007E30A4">
        <w:t>wide</w:t>
      </w:r>
      <w:r>
        <w:t xml:space="preserve"> support</w:t>
      </w:r>
      <w:r w:rsidR="007E30A4">
        <w:t>,</w:t>
      </w:r>
      <w:r>
        <w:t xml:space="preserve"> with </w:t>
      </w:r>
      <w:r w:rsidR="008D48EE">
        <w:t>3</w:t>
      </w:r>
      <w:r w:rsidR="007E30A4">
        <w:t xml:space="preserve">0 </w:t>
      </w:r>
      <w:r>
        <w:t xml:space="preserve">signatures. The Office of the </w:t>
      </w:r>
      <w:r w:rsidR="007E30A4">
        <w:t xml:space="preserve">United Nations </w:t>
      </w:r>
      <w:r>
        <w:t>High Commissioner for Human Rights (OHCHR) organized</w:t>
      </w:r>
      <w:r w:rsidR="007E30A4">
        <w:t xml:space="preserve">, in </w:t>
      </w:r>
      <w:smartTag w:uri="urn:schemas-microsoft-com:office:smarttags" w:element="place">
        <w:smartTag w:uri="urn:schemas-microsoft-com:office:smarttags" w:element="City">
          <w:r w:rsidR="007E30A4">
            <w:t>Geneva</w:t>
          </w:r>
        </w:smartTag>
      </w:smartTag>
      <w:r w:rsidR="007E30A4">
        <w:t xml:space="preserve"> on</w:t>
      </w:r>
      <w:r>
        <w:t xml:space="preserve"> 28 </w:t>
      </w:r>
      <w:r w:rsidR="007E30A4">
        <w:t>and</w:t>
      </w:r>
      <w:r>
        <w:t xml:space="preserve"> 29 October 2009</w:t>
      </w:r>
      <w:r w:rsidR="007E30A4">
        <w:t>,</w:t>
      </w:r>
      <w:r>
        <w:t xml:space="preserve"> a two-day expert seminar on the justiciability of economic, social and cultural rights and the </w:t>
      </w:r>
      <w:r w:rsidR="007E30A4">
        <w:t>Optional Protocol of the Committee on Economic, Social and Cultural Rights</w:t>
      </w:r>
      <w:r>
        <w:t xml:space="preserve">. The objective of the seminar was to discuss the most important substantive and procedural issues raised by litigation in the field of economic, social and cultural rights, in order to provide </w:t>
      </w:r>
      <w:r w:rsidR="007E30A4">
        <w:t>Committee</w:t>
      </w:r>
      <w:r>
        <w:t xml:space="preserve"> members with a thorough overview of relevant comparative experiences in </w:t>
      </w:r>
      <w:r w:rsidR="007E30A4">
        <w:t>that</w:t>
      </w:r>
      <w:r>
        <w:t xml:space="preserve"> area. The seminar brought together experts in the adjudication of economic, social and cultural rights at the national, regional and international levels, such as members of international and regional human rights mechanisms, courts and national judges and practitioners. The Chairperson of the Working Group on Communications under the Optional Protocol </w:t>
      </w:r>
      <w:r w:rsidR="007E30A4">
        <w:t xml:space="preserve">to the Convention on the Elimination of All Forms of Discrimination against Women </w:t>
      </w:r>
      <w:r>
        <w:t>took part in the expert seminar and shared the experience of</w:t>
      </w:r>
      <w:r w:rsidR="007E30A4">
        <w:t xml:space="preserve"> the</w:t>
      </w:r>
      <w:r>
        <w:t xml:space="preserve"> </w:t>
      </w:r>
      <w:r w:rsidR="007E30A4">
        <w:t>Committee on the Elimination of Discrimination against Women</w:t>
      </w:r>
      <w:r>
        <w:t xml:space="preserve"> in adjudicating economic, social and cultural rights. He noted that there was a clear overlap between the mandates of </w:t>
      </w:r>
      <w:r w:rsidR="007E30A4">
        <w:t>the Committee on the Elimination of Discrimination against Women</w:t>
      </w:r>
      <w:r>
        <w:t xml:space="preserve"> and </w:t>
      </w:r>
      <w:r w:rsidR="007E30A4">
        <w:t xml:space="preserve">the Committee on Economic, Social and Cultural Rights </w:t>
      </w:r>
      <w:r>
        <w:t xml:space="preserve">and </w:t>
      </w:r>
      <w:r w:rsidR="007E30A4">
        <w:t>expressed the hope</w:t>
      </w:r>
      <w:r>
        <w:t xml:space="preserve"> that both </w:t>
      </w:r>
      <w:r w:rsidR="007E30A4">
        <w:t>Committees would</w:t>
      </w:r>
      <w:r>
        <w:t xml:space="preserve"> use their jurisprudence to strengthen the rights covered </w:t>
      </w:r>
      <w:r w:rsidR="007E30A4">
        <w:t>by</w:t>
      </w:r>
      <w:r>
        <w:t xml:space="preserve"> their respective instruments. </w:t>
      </w:r>
    </w:p>
    <w:p w:rsidR="00730FFA" w:rsidRDefault="00730FFA" w:rsidP="00730FFA">
      <w:pPr>
        <w:pStyle w:val="SingleTxt"/>
      </w:pPr>
      <w:r>
        <w:t>12.</w:t>
      </w:r>
      <w:r>
        <w:tab/>
        <w:t xml:space="preserve">The </w:t>
      </w:r>
      <w:r w:rsidR="007E30A4">
        <w:t>forty-third</w:t>
      </w:r>
      <w:r>
        <w:t xml:space="preserve"> session of the Committee on Economic</w:t>
      </w:r>
      <w:r w:rsidR="007E30A4">
        <w:t>,</w:t>
      </w:r>
      <w:r>
        <w:t xml:space="preserve"> Social and Cultural Rights </w:t>
      </w:r>
      <w:r w:rsidR="007E30A4">
        <w:t>was held</w:t>
      </w:r>
      <w:r>
        <w:t xml:space="preserve"> in </w:t>
      </w:r>
      <w:smartTag w:uri="urn:schemas-microsoft-com:office:smarttags" w:element="place">
        <w:smartTag w:uri="urn:schemas-microsoft-com:office:smarttags" w:element="City">
          <w:r>
            <w:t>Geneva</w:t>
          </w:r>
        </w:smartTag>
      </w:smartTag>
      <w:r>
        <w:t xml:space="preserve"> from 2 to 20 November 2009. During the session, the Committee adopted its General Comment No. 21</w:t>
      </w:r>
      <w:r w:rsidR="007E30A4">
        <w:t>,</w:t>
      </w:r>
      <w:r>
        <w:t xml:space="preserve"> on the right of everyone to take part in cultural life (art. 15, para. 1 (a)</w:t>
      </w:r>
      <w:r w:rsidR="007E30A4">
        <w:t>,</w:t>
      </w:r>
      <w:r>
        <w:t xml:space="preserve"> of the </w:t>
      </w:r>
      <w:r w:rsidR="007E30A4">
        <w:t xml:space="preserve">International </w:t>
      </w:r>
      <w:r>
        <w:t>Covenant</w:t>
      </w:r>
      <w:r w:rsidR="007E30A4">
        <w:t xml:space="preserve"> on Economic, Social and Cultural Rights</w:t>
      </w:r>
      <w:r>
        <w:t xml:space="preserve">). The Committee has long experience </w:t>
      </w:r>
      <w:r w:rsidR="000B4328">
        <w:t>of the</w:t>
      </w:r>
      <w:r>
        <w:t xml:space="preserve"> subject through its consideration of reports and its dialogue with States parties. In addition, it twice organized a day of general discussion, in 1992 and 2008, with representatives of international organizations and civil society with a view to preparing </w:t>
      </w:r>
      <w:r w:rsidR="000B4328">
        <w:t>General Comment No. 21</w:t>
      </w:r>
      <w:r>
        <w:t>. Furthermore, the Committee held an information session on the right to sexual and reproductive health</w:t>
      </w:r>
      <w:r w:rsidR="000B4328">
        <w:t>,</w:t>
      </w:r>
      <w:r>
        <w:t xml:space="preserve"> organized in cooperation with </w:t>
      </w:r>
      <w:r w:rsidR="000B4328">
        <w:t xml:space="preserve">the </w:t>
      </w:r>
      <w:r>
        <w:t>United Nations Population Fund (UNFPA), the World Health Organization and the Centre for Reproductive Rights</w:t>
      </w:r>
      <w:r w:rsidR="000B4328">
        <w:t>,</w:t>
      </w:r>
      <w:r>
        <w:t xml:space="preserve"> with </w:t>
      </w:r>
      <w:r w:rsidR="000B4328">
        <w:t>a</w:t>
      </w:r>
      <w:r>
        <w:t xml:space="preserve"> view to elaborat</w:t>
      </w:r>
      <w:r w:rsidR="000B4328">
        <w:t>ing</w:t>
      </w:r>
      <w:r>
        <w:t xml:space="preserve"> a general comment on this issue. The information session was preceded by an expert meeting </w:t>
      </w:r>
      <w:r w:rsidR="000B4328">
        <w:t xml:space="preserve">organized by UNFPA </w:t>
      </w:r>
      <w:r>
        <w:t xml:space="preserve">in </w:t>
      </w:r>
      <w:smartTag w:uri="urn:schemas-microsoft-com:office:smarttags" w:element="place">
        <w:smartTag w:uri="urn:schemas-microsoft-com:office:smarttags" w:element="State">
          <w:r>
            <w:t>New York</w:t>
          </w:r>
        </w:smartTag>
      </w:smartTag>
      <w:r>
        <w:t xml:space="preserve"> on 8 and 9 October 2009. The meeting hosted a number of </w:t>
      </w:r>
      <w:r w:rsidR="000B4328">
        <w:t>United Nations</w:t>
      </w:r>
      <w:r>
        <w:t xml:space="preserve"> agencies, experts, practitioners and leading academics in th</w:t>
      </w:r>
      <w:r w:rsidR="000B4328">
        <w:t>at</w:t>
      </w:r>
      <w:r>
        <w:t xml:space="preserve"> field. Five members of the Committee were present at th</w:t>
      </w:r>
      <w:r w:rsidR="000B4328">
        <w:t>e</w:t>
      </w:r>
      <w:r>
        <w:t xml:space="preserve"> meeting</w:t>
      </w:r>
      <w:r w:rsidR="000B4328">
        <w:t xml:space="preserve">, which </w:t>
      </w:r>
      <w:r>
        <w:t xml:space="preserve">provided an opportunity for an extremely useful and instructive exchange of ideas on how to proceed with a general comment of this nature. The Committee might consider </w:t>
      </w:r>
      <w:r w:rsidR="000B4328">
        <w:t xml:space="preserve">devoting </w:t>
      </w:r>
      <w:r>
        <w:t xml:space="preserve">a </w:t>
      </w:r>
      <w:r w:rsidR="000B4328">
        <w:t xml:space="preserve">day of general discussion to the </w:t>
      </w:r>
      <w:r>
        <w:t xml:space="preserve">issue in November 2010. </w:t>
      </w:r>
    </w:p>
    <w:p w:rsidR="000B4328" w:rsidRPr="000B4328" w:rsidRDefault="000B4328" w:rsidP="000B4328">
      <w:pPr>
        <w:pStyle w:val="SingleTxt"/>
        <w:spacing w:after="0" w:line="120" w:lineRule="exact"/>
        <w:rPr>
          <w:sz w:val="10"/>
        </w:rPr>
      </w:pPr>
    </w:p>
    <w:p w:rsidR="000B4328" w:rsidRPr="000B4328" w:rsidRDefault="000B4328" w:rsidP="000B4328">
      <w:pPr>
        <w:pStyle w:val="SingleTxt"/>
        <w:spacing w:after="0" w:line="120" w:lineRule="exact"/>
        <w:rPr>
          <w:sz w:val="10"/>
        </w:rPr>
      </w:pPr>
    </w:p>
    <w:p w:rsidR="00730FFA" w:rsidRDefault="000B4328" w:rsidP="000B4328">
      <w:pPr>
        <w:pStyle w:val="H1"/>
        <w:ind w:right="1260"/>
      </w:pPr>
      <w:r>
        <w:tab/>
      </w:r>
      <w:r w:rsidR="00730FFA">
        <w:t>B.</w:t>
      </w:r>
      <w:r>
        <w:tab/>
      </w:r>
      <w:r w:rsidR="00730FFA">
        <w:t xml:space="preserve">Ninth inter-committee meeting of human rights treaty bodies </w:t>
      </w:r>
    </w:p>
    <w:p w:rsidR="000B4328" w:rsidRPr="000B4328" w:rsidRDefault="000B4328" w:rsidP="000B4328">
      <w:pPr>
        <w:pStyle w:val="SingleTxt"/>
        <w:spacing w:after="0" w:line="120" w:lineRule="exact"/>
        <w:rPr>
          <w:sz w:val="10"/>
        </w:rPr>
      </w:pPr>
    </w:p>
    <w:p w:rsidR="000B4328" w:rsidRPr="000B4328" w:rsidRDefault="000B4328" w:rsidP="000B4328">
      <w:pPr>
        <w:pStyle w:val="SingleTxt"/>
        <w:spacing w:after="0" w:line="120" w:lineRule="exact"/>
        <w:rPr>
          <w:sz w:val="10"/>
        </w:rPr>
      </w:pPr>
    </w:p>
    <w:p w:rsidR="00730FFA" w:rsidRDefault="00730FFA" w:rsidP="00730FFA">
      <w:pPr>
        <w:pStyle w:val="SingleTxt"/>
      </w:pPr>
      <w:r>
        <w:t>13.</w:t>
      </w:r>
      <w:r>
        <w:tab/>
        <w:t>The ninth inter-committee meeting of human righ</w:t>
      </w:r>
      <w:r w:rsidR="000B4328">
        <w:t>ts treaty bodies and the twenty-first meeting</w:t>
      </w:r>
      <w:r>
        <w:t xml:space="preserve"> of chairpersons of human rights treaty bodies were held from 29 June to 1 July 2009 and on 2 and 3 July 2009, respectively. Both meeting</w:t>
      </w:r>
      <w:r w:rsidR="000B4328">
        <w:t>s</w:t>
      </w:r>
      <w:r>
        <w:t xml:space="preserve"> focused on the effective implementation of international instruments on human rights, including reporting obligations under international instruments on human rights. The inter-committee meeting also discussed the reform of the treaty body system, including the harmonization of working methods and the </w:t>
      </w:r>
      <w:r w:rsidR="000B4328">
        <w:t>universal periodic review</w:t>
      </w:r>
      <w:r>
        <w:t xml:space="preserve"> mechanism of the Human Rights Council. </w:t>
      </w:r>
    </w:p>
    <w:p w:rsidR="00730FFA" w:rsidRDefault="00730FFA" w:rsidP="00730FFA">
      <w:pPr>
        <w:pStyle w:val="SingleTxt"/>
      </w:pPr>
      <w:r>
        <w:t>14.</w:t>
      </w:r>
      <w:r>
        <w:tab/>
        <w:t>The twenty-first meeting of chairpersons recognized the important contributions provided by special procedures mandate holders to the work of the treaty bodies. The chairpersons reiterated the importance of strengthening cooperation and coordination between the two mechanisms, in particular with regar</w:t>
      </w:r>
      <w:r w:rsidR="000B4328">
        <w:t>d to information-</w:t>
      </w:r>
      <w:r>
        <w:t>sharing and more effective use of their mutual outputs. The meeting recommended that each treaty body consider designating a focal point to enhance cooperation, facilitate more effective interaction on country</w:t>
      </w:r>
      <w:r w:rsidR="00C60A8E">
        <w:t>-</w:t>
      </w:r>
      <w:r>
        <w:t>specific and thematic issues and follow</w:t>
      </w:r>
      <w:r w:rsidR="00C60A8E">
        <w:t xml:space="preserve"> </w:t>
      </w:r>
      <w:r>
        <w:t xml:space="preserve">up with the special procedures mandate holders. The chairpersons underlined the complementary and mutually reinforcing nature of the treaty body system and the </w:t>
      </w:r>
      <w:r w:rsidR="00C60A8E">
        <w:t xml:space="preserve">universal periodic review </w:t>
      </w:r>
      <w:r>
        <w:t xml:space="preserve">mechanism and emphasized the importance of a continuing dialogue on this matter. The positive value of the outcome of the </w:t>
      </w:r>
      <w:r w:rsidR="00C60A8E">
        <w:t>universal periodic review as an inter</w:t>
      </w:r>
      <w:r>
        <w:t xml:space="preserve">governmental process was also noted. The chairpersons also stressed that both processes were equally important and recommended that resource allocations reflect this principle. </w:t>
      </w:r>
    </w:p>
    <w:p w:rsidR="00730FFA" w:rsidRDefault="00730FFA" w:rsidP="00730FFA">
      <w:pPr>
        <w:pStyle w:val="SingleTxt"/>
      </w:pPr>
      <w:r>
        <w:t>15.</w:t>
      </w:r>
      <w:r>
        <w:tab/>
        <w:t>The meeting of chairpersons took note of General Assembly resolution 63/167</w:t>
      </w:r>
      <w:r w:rsidR="00C60A8E">
        <w:t>,</w:t>
      </w:r>
      <w:r>
        <w:t xml:space="preserve"> on equitable geographical distribution in the membership of the human rights treaty bodies</w:t>
      </w:r>
      <w:r w:rsidR="00C60A8E">
        <w:t>,</w:t>
      </w:r>
      <w:r>
        <w:t xml:space="preserve"> and recommended that States parties, when nominating and electing members of the treaty bodies, take into account the provisions set out in the legally binding human rights instruments to this effect. The chairpersons also recommended that the report </w:t>
      </w:r>
      <w:r w:rsidR="00C60A8E">
        <w:t>of</w:t>
      </w:r>
      <w:r>
        <w:t xml:space="preserve"> the Independent Expert on minority issues (A/HRC/10/11/Add.1) containing the recommendations of the Forum on Minority Issues, as well as future reports on the Forum, be provided to all treaty bodies to encourage discussion of those recommendations and the possible elaboration of a joint general comment on minority issues.</w:t>
      </w:r>
    </w:p>
    <w:p w:rsidR="000B4328" w:rsidRPr="000B4328" w:rsidRDefault="000B4328" w:rsidP="000B4328">
      <w:pPr>
        <w:pStyle w:val="SingleTxt"/>
        <w:spacing w:after="0" w:line="120" w:lineRule="exact"/>
        <w:rPr>
          <w:sz w:val="10"/>
        </w:rPr>
      </w:pPr>
    </w:p>
    <w:p w:rsidR="000B4328" w:rsidRPr="000B4328" w:rsidRDefault="000B4328" w:rsidP="000B4328">
      <w:pPr>
        <w:pStyle w:val="SingleTxt"/>
        <w:spacing w:after="0" w:line="120" w:lineRule="exact"/>
        <w:rPr>
          <w:sz w:val="10"/>
        </w:rPr>
      </w:pPr>
    </w:p>
    <w:p w:rsidR="00730FFA" w:rsidRDefault="000B4328" w:rsidP="000B4328">
      <w:pPr>
        <w:pStyle w:val="H1"/>
        <w:ind w:right="1260"/>
      </w:pPr>
      <w:r>
        <w:tab/>
      </w:r>
      <w:r w:rsidR="00730FFA">
        <w:t>C.</w:t>
      </w:r>
      <w:r>
        <w:tab/>
      </w:r>
      <w:r w:rsidR="00730FFA">
        <w:t xml:space="preserve">Security Council </w:t>
      </w:r>
    </w:p>
    <w:p w:rsidR="000B4328" w:rsidRPr="000B4328" w:rsidRDefault="000B4328" w:rsidP="000B4328">
      <w:pPr>
        <w:pStyle w:val="SingleTxt"/>
        <w:spacing w:after="0" w:line="120" w:lineRule="exact"/>
        <w:rPr>
          <w:sz w:val="10"/>
        </w:rPr>
      </w:pPr>
    </w:p>
    <w:p w:rsidR="000B4328" w:rsidRPr="000B4328" w:rsidRDefault="000B4328" w:rsidP="000B4328">
      <w:pPr>
        <w:pStyle w:val="SingleTxt"/>
        <w:spacing w:after="0" w:line="120" w:lineRule="exact"/>
        <w:rPr>
          <w:sz w:val="10"/>
        </w:rPr>
      </w:pPr>
    </w:p>
    <w:p w:rsidR="00730FFA" w:rsidRDefault="00730FFA" w:rsidP="00730FFA">
      <w:pPr>
        <w:pStyle w:val="SingleTxt"/>
      </w:pPr>
      <w:r>
        <w:t>16.</w:t>
      </w:r>
      <w:r>
        <w:tab/>
        <w:t xml:space="preserve">The Security Council unanimously adopted resolution 1888 </w:t>
      </w:r>
      <w:r w:rsidR="00C60A8E">
        <w:t>(200</w:t>
      </w:r>
      <w:r w:rsidR="003E4CB5">
        <w:t>9</w:t>
      </w:r>
      <w:r w:rsidR="00C60A8E">
        <w:t xml:space="preserve">) </w:t>
      </w:r>
      <w:r>
        <w:t xml:space="preserve">urging Member States to take effective steps to halt the use of sexual violence as a tactic of war. The </w:t>
      </w:r>
      <w:r w:rsidR="00C60A8E">
        <w:t>r</w:t>
      </w:r>
      <w:r>
        <w:t xml:space="preserve">esolution, sponsored by </w:t>
      </w:r>
      <w:r w:rsidR="003E4CB5">
        <w:t>61</w:t>
      </w:r>
      <w:r>
        <w:t xml:space="preserve"> countries, reiterated the Council</w:t>
      </w:r>
      <w:r w:rsidR="003E4CB5">
        <w:t>’</w:t>
      </w:r>
      <w:r>
        <w:t xml:space="preserve">s demand for the complete cessation by all parties to armed conflict of all acts of sexual violence with immediate effect. The resolution builds on </w:t>
      </w:r>
      <w:r w:rsidR="003E4CB5">
        <w:t xml:space="preserve">resolutions </w:t>
      </w:r>
      <w:r>
        <w:t xml:space="preserve">1325 </w:t>
      </w:r>
      <w:r w:rsidR="003E4CB5">
        <w:t xml:space="preserve">(2000) </w:t>
      </w:r>
      <w:r>
        <w:t>and 1820</w:t>
      </w:r>
      <w:r w:rsidR="003E4CB5">
        <w:t xml:space="preserve"> (2008)</w:t>
      </w:r>
      <w:r>
        <w:t xml:space="preserve">, both of which were instrumental in raising the issue of sexual violence </w:t>
      </w:r>
      <w:r w:rsidR="003E4CB5">
        <w:t>i</w:t>
      </w:r>
      <w:r>
        <w:t xml:space="preserve">n </w:t>
      </w:r>
      <w:r w:rsidR="003E4CB5">
        <w:t xml:space="preserve">the context of </w:t>
      </w:r>
      <w:r>
        <w:t>the Council</w:t>
      </w:r>
      <w:r w:rsidR="003E4CB5">
        <w:t>’</w:t>
      </w:r>
      <w:r>
        <w:t xml:space="preserve">s agenda. </w:t>
      </w:r>
      <w:r w:rsidR="003E4CB5">
        <w:t>In resolution 1888 (2009), the Council</w:t>
      </w:r>
      <w:r>
        <w:t xml:space="preserve"> affirms that effective steps to prevent and respond to such acts of sexual violence can significantly contribute to the maintenance of international peace and security. The </w:t>
      </w:r>
      <w:r w:rsidR="003E4CB5">
        <w:t>Council</w:t>
      </w:r>
      <w:r>
        <w:t xml:space="preserve"> urges States to undertake comprehensive legal and judicial reforms without delay with a view to bringing perpetrators of sexual violence in conflicts to justice. Parties to a conflict must also ensure that all reports of sexual violence committed by civilians or by military personnel are thoroughly investigated and the alleged perpetrators brought to justice.</w:t>
      </w:r>
    </w:p>
    <w:p w:rsidR="00C60A8E" w:rsidRPr="00C60A8E" w:rsidRDefault="00C60A8E" w:rsidP="00C60A8E">
      <w:pPr>
        <w:pStyle w:val="SingleTxt"/>
        <w:spacing w:after="0" w:line="120" w:lineRule="exact"/>
        <w:rPr>
          <w:sz w:val="10"/>
        </w:rPr>
      </w:pPr>
    </w:p>
    <w:p w:rsidR="00C60A8E" w:rsidRPr="00C60A8E" w:rsidRDefault="00C60A8E" w:rsidP="00C60A8E">
      <w:pPr>
        <w:pStyle w:val="SingleTxt"/>
        <w:spacing w:after="0" w:line="120" w:lineRule="exact"/>
        <w:rPr>
          <w:sz w:val="10"/>
        </w:rPr>
      </w:pPr>
    </w:p>
    <w:p w:rsidR="00730FFA" w:rsidRDefault="00C60A8E" w:rsidP="00C60A8E">
      <w:pPr>
        <w:pStyle w:val="H1"/>
        <w:ind w:right="1260"/>
      </w:pPr>
      <w:r>
        <w:tab/>
      </w:r>
      <w:r w:rsidR="00730FFA">
        <w:t>D.</w:t>
      </w:r>
      <w:r>
        <w:tab/>
      </w:r>
      <w:r w:rsidR="00730FFA">
        <w:t>General Assembly</w:t>
      </w:r>
    </w:p>
    <w:p w:rsidR="00C60A8E" w:rsidRPr="00C60A8E" w:rsidRDefault="00C60A8E" w:rsidP="00C60A8E">
      <w:pPr>
        <w:pStyle w:val="SingleTxt"/>
        <w:spacing w:after="0" w:line="120" w:lineRule="exact"/>
        <w:rPr>
          <w:sz w:val="10"/>
        </w:rPr>
      </w:pPr>
    </w:p>
    <w:p w:rsidR="00C60A8E" w:rsidRPr="00C60A8E" w:rsidRDefault="00C60A8E" w:rsidP="00C60A8E">
      <w:pPr>
        <w:pStyle w:val="SingleTxt"/>
        <w:spacing w:after="0" w:line="120" w:lineRule="exact"/>
        <w:rPr>
          <w:sz w:val="10"/>
        </w:rPr>
      </w:pPr>
    </w:p>
    <w:p w:rsidR="00C60A8E" w:rsidRDefault="00730FFA" w:rsidP="00730FFA">
      <w:pPr>
        <w:pStyle w:val="SingleTxt"/>
      </w:pPr>
      <w:r>
        <w:t>17.</w:t>
      </w:r>
      <w:r>
        <w:tab/>
        <w:t xml:space="preserve">On 14 September 2009, the General Assembly adopted resolution </w:t>
      </w:r>
      <w:r w:rsidR="00C60A8E">
        <w:t xml:space="preserve">63/311, in which it supported the </w:t>
      </w:r>
      <w:r>
        <w:t>establish</w:t>
      </w:r>
      <w:r w:rsidR="00C60A8E">
        <w:t>ment of</w:t>
      </w:r>
      <w:r>
        <w:t xml:space="preserve"> a new entity to deal with the rights of women. Four United Nations agencies</w:t>
      </w:r>
      <w:r w:rsidR="00C60A8E">
        <w:t>,</w:t>
      </w:r>
      <w:r>
        <w:t xml:space="preserve"> namely</w:t>
      </w:r>
      <w:r w:rsidR="00C60A8E">
        <w:t>,</w:t>
      </w:r>
      <w:r>
        <w:t xml:space="preserve"> the United Nations Development Fund for Women (UNIFEM), the Division for the Advancement of Women</w:t>
      </w:r>
      <w:r w:rsidR="00C60A8E">
        <w:t>,</w:t>
      </w:r>
      <w:r>
        <w:t xml:space="preserve"> the Office of the Special Adviser on Gender Issues </w:t>
      </w:r>
      <w:r w:rsidR="00C60A8E">
        <w:t>and Advancement of Women</w:t>
      </w:r>
      <w:r>
        <w:t xml:space="preserve"> and the United Nations International Research and Training Institute for the Advancement of Women</w:t>
      </w:r>
      <w:r w:rsidR="00C60A8E">
        <w:t>,</w:t>
      </w:r>
      <w:r>
        <w:t xml:space="preserve"> will be merged to create a new single entity within the Organization to promote the rights and well-being of women worldwide and to work towards gender equality. Th</w:t>
      </w:r>
      <w:r w:rsidR="00C60A8E">
        <w:t>e</w:t>
      </w:r>
      <w:r>
        <w:t xml:space="preserve"> resolution </w:t>
      </w:r>
      <w:r w:rsidR="00C60A8E">
        <w:t xml:space="preserve">is </w:t>
      </w:r>
      <w:r>
        <w:t>aim</w:t>
      </w:r>
      <w:r w:rsidR="00C60A8E">
        <w:t>ed at</w:t>
      </w:r>
      <w:r>
        <w:t xml:space="preserve"> improv</w:t>
      </w:r>
      <w:r w:rsidR="00C60A8E">
        <w:t>ing</w:t>
      </w:r>
      <w:r>
        <w:t xml:space="preserve"> coherence within the United Nations system. Pursuant to the resolution, the new consolidated body will be headed by an Under-Secretary-General. </w:t>
      </w:r>
      <w:r w:rsidR="00C60A8E">
        <w:t>The</w:t>
      </w:r>
      <w:r>
        <w:t xml:space="preserve"> resolution requires the Secretary-General to provide Member States with a comprehensive proposal outlining the mission, statement, structure, funding and oversight of the new entity so that it can be created as soon as possible. The resolution also calls for greater measures to harmonize business practices within the United Nations development system, ways to improve the fun</w:t>
      </w:r>
      <w:r w:rsidR="00C60A8E">
        <w:t>ding system for such activities</w:t>
      </w:r>
      <w:r>
        <w:t xml:space="preserve"> and other steps to streamline practices within the </w:t>
      </w:r>
      <w:r w:rsidR="00C60A8E">
        <w:t>Organization</w:t>
      </w:r>
      <w:r>
        <w:t>. It should be noted that</w:t>
      </w:r>
      <w:r w:rsidR="00C60A8E">
        <w:t>,</w:t>
      </w:r>
      <w:r>
        <w:t xml:space="preserve"> currently</w:t>
      </w:r>
      <w:r w:rsidR="00C60A8E">
        <w:t>,</w:t>
      </w:r>
      <w:r>
        <w:t xml:space="preserve"> more women are </w:t>
      </w:r>
      <w:r w:rsidR="00C60A8E">
        <w:t xml:space="preserve">being </w:t>
      </w:r>
      <w:r>
        <w:t xml:space="preserve">appointed to senior posts than at any other time in the history of the United Nations, including nine women </w:t>
      </w:r>
      <w:r w:rsidR="00C60A8E">
        <w:t>appointed to the rank of Under-Secretary-</w:t>
      </w:r>
      <w:r>
        <w:t xml:space="preserve">General. The number of women in senior posts has increased by </w:t>
      </w:r>
      <w:r w:rsidR="00C60A8E">
        <w:t>40 per cent since 2007.</w:t>
      </w:r>
    </w:p>
    <w:p w:rsidR="00C60A8E" w:rsidRPr="00C60A8E" w:rsidRDefault="00C60A8E" w:rsidP="00C60A8E">
      <w:pPr>
        <w:pStyle w:val="SingleTxt"/>
        <w:spacing w:after="0" w:line="120" w:lineRule="exact"/>
        <w:rPr>
          <w:sz w:val="10"/>
        </w:rPr>
      </w:pPr>
    </w:p>
    <w:p w:rsidR="00C60A8E" w:rsidRPr="00C60A8E" w:rsidRDefault="00C60A8E" w:rsidP="00C60A8E">
      <w:pPr>
        <w:pStyle w:val="SingleTxt"/>
        <w:spacing w:after="0" w:line="120" w:lineRule="exact"/>
        <w:rPr>
          <w:sz w:val="10"/>
        </w:rPr>
      </w:pPr>
    </w:p>
    <w:p w:rsidR="00730FFA" w:rsidRDefault="00C60A8E" w:rsidP="00C60A8E">
      <w:pPr>
        <w:pStyle w:val="H1"/>
        <w:ind w:right="1260"/>
      </w:pPr>
      <w:r>
        <w:tab/>
      </w:r>
      <w:r w:rsidR="00730FFA">
        <w:t>E.</w:t>
      </w:r>
      <w:r>
        <w:tab/>
      </w:r>
      <w:r w:rsidR="00730FFA">
        <w:t xml:space="preserve">Human Rights Council </w:t>
      </w:r>
    </w:p>
    <w:p w:rsidR="00C60A8E" w:rsidRPr="00C60A8E" w:rsidRDefault="00C60A8E" w:rsidP="00C60A8E">
      <w:pPr>
        <w:pStyle w:val="SingleTxt"/>
        <w:spacing w:after="0" w:line="120" w:lineRule="exact"/>
        <w:rPr>
          <w:sz w:val="10"/>
        </w:rPr>
      </w:pPr>
    </w:p>
    <w:p w:rsidR="00C60A8E" w:rsidRPr="00C60A8E" w:rsidRDefault="00C60A8E" w:rsidP="00C60A8E">
      <w:pPr>
        <w:pStyle w:val="SingleTxt"/>
        <w:spacing w:after="0" w:line="120" w:lineRule="exact"/>
        <w:rPr>
          <w:sz w:val="10"/>
        </w:rPr>
      </w:pPr>
    </w:p>
    <w:p w:rsidR="00730FFA" w:rsidRDefault="00730FFA" w:rsidP="00730FFA">
      <w:pPr>
        <w:pStyle w:val="SingleTxt"/>
      </w:pPr>
      <w:r>
        <w:t>18.</w:t>
      </w:r>
      <w:r>
        <w:tab/>
        <w:t xml:space="preserve">In June 2009, the Human Rights Council adopted </w:t>
      </w:r>
      <w:r w:rsidR="00C60A8E">
        <w:t>r</w:t>
      </w:r>
      <w:r>
        <w:t>esolution 11/1</w:t>
      </w:r>
      <w:r w:rsidR="00C60A8E">
        <w:t>, entitled “Open-</w:t>
      </w:r>
      <w:r>
        <w:t xml:space="preserve">ended </w:t>
      </w:r>
      <w:r w:rsidR="00C60A8E">
        <w:t xml:space="preserve">Working Group </w:t>
      </w:r>
      <w:r>
        <w:t xml:space="preserve">on an </w:t>
      </w:r>
      <w:r w:rsidR="00C60A8E">
        <w:t xml:space="preserve">optional protocol </w:t>
      </w:r>
      <w:r>
        <w:t xml:space="preserve">to the Convention on </w:t>
      </w:r>
      <w:r w:rsidR="00C60A8E">
        <w:t xml:space="preserve">the </w:t>
      </w:r>
      <w:r>
        <w:t>Rights of the Child to provide a communication</w:t>
      </w:r>
      <w:r w:rsidR="00C60A8E">
        <w:t>s procedure</w:t>
      </w:r>
      <w:r>
        <w:t>”</w:t>
      </w:r>
      <w:r w:rsidR="00C60A8E">
        <w:t>.</w:t>
      </w:r>
      <w:r>
        <w:t xml:space="preserve"> The resolution establishes an </w:t>
      </w:r>
      <w:r w:rsidR="00C60A8E">
        <w:t>Open</w:t>
      </w:r>
      <w:r>
        <w:t xml:space="preserve">-ended </w:t>
      </w:r>
      <w:r w:rsidR="00C60A8E">
        <w:t xml:space="preserve">Working Group to </w:t>
      </w:r>
      <w:r>
        <w:t xml:space="preserve">explore the possibility of elaborating </w:t>
      </w:r>
      <w:r w:rsidR="00C60A8E">
        <w:t>an</w:t>
      </w:r>
      <w:r>
        <w:t xml:space="preserve"> </w:t>
      </w:r>
      <w:r w:rsidR="00C60A8E">
        <w:t xml:space="preserve">optional protocol </w:t>
      </w:r>
      <w:r>
        <w:t>to the Convention on the Rights of the Child to provide a communication</w:t>
      </w:r>
      <w:r w:rsidR="00C60A8E">
        <w:t>s</w:t>
      </w:r>
      <w:r>
        <w:t xml:space="preserve"> procedure to complement the reporting procedure under the Convention. The </w:t>
      </w:r>
      <w:r w:rsidR="00C60A8E">
        <w:t>Working Group</w:t>
      </w:r>
      <w:r>
        <w:t xml:space="preserve"> will meet from 14 to 18 December 2009. </w:t>
      </w:r>
    </w:p>
    <w:p w:rsidR="00730FFA" w:rsidRDefault="00730FFA" w:rsidP="00730FFA">
      <w:pPr>
        <w:pStyle w:val="SingleTxt"/>
      </w:pPr>
      <w:r>
        <w:t>19.</w:t>
      </w:r>
      <w:r>
        <w:tab/>
        <w:t xml:space="preserve">The Human Rights Council Advisory Committee convened for its </w:t>
      </w:r>
      <w:r w:rsidR="00C60A8E">
        <w:t>third</w:t>
      </w:r>
      <w:r>
        <w:t xml:space="preserve"> session</w:t>
      </w:r>
      <w:r w:rsidR="00C60A8E">
        <w:t>,</w:t>
      </w:r>
      <w:r>
        <w:t xml:space="preserve"> from 3 to 7 August 2009. The Advisory Committee adopted a set of guidelines on the elimination of discrimination against persons affected with leprosy and their family members and discussed the draft declaration on human rights education and training. The Advisory Committee also decided to consider a study on the promotion of the rights of peoples to peace. In its decision, the Advisory Committee noted that there </w:t>
      </w:r>
      <w:r w:rsidR="00C60A8E">
        <w:t>was</w:t>
      </w:r>
      <w:r>
        <w:t xml:space="preserve"> a need to further clarify the content and scope of this right, proposed measures to raise awareness </w:t>
      </w:r>
      <w:r w:rsidR="00C60A8E">
        <w:t>of</w:t>
      </w:r>
      <w:r>
        <w:t xml:space="preserve"> the importance of its realization and suggested concrete actions to mobilize States, intergovernmental and non</w:t>
      </w:r>
      <w:r w:rsidR="00FC353B">
        <w:noBreakHyphen/>
      </w:r>
      <w:r>
        <w:t>governmental organizations in the promotion of the rights of peoples to peace. It was agreed that this new initiative would allow the Advisory Committee to make a contribution</w:t>
      </w:r>
      <w:r w:rsidR="007A1842">
        <w:t>,</w:t>
      </w:r>
      <w:r>
        <w:t xml:space="preserve"> from a human rights perspective</w:t>
      </w:r>
      <w:r w:rsidR="007A1842">
        <w:t>,</w:t>
      </w:r>
      <w:r>
        <w:t xml:space="preserve"> to the debate on peace and security. It was decided that the study would be submitted for</w:t>
      </w:r>
      <w:r w:rsidR="007A1842">
        <w:t xml:space="preserve"> consideration by</w:t>
      </w:r>
      <w:r>
        <w:t xml:space="preserve"> the Advisory Committee</w:t>
      </w:r>
      <w:r w:rsidR="007A1842">
        <w:t xml:space="preserve"> </w:t>
      </w:r>
      <w:r>
        <w:t xml:space="preserve">no later than its </w:t>
      </w:r>
      <w:r w:rsidR="007A1842">
        <w:t>fifth</w:t>
      </w:r>
      <w:r>
        <w:t xml:space="preserve"> session. The Advisory Committee also decided to set a new priority: the promotion of the human rights of elderly people. The Committee noted that the number of elderly people is rapidly increasing, and that they are at risk of suffering </w:t>
      </w:r>
      <w:r w:rsidR="007A1842">
        <w:t xml:space="preserve">as a result </w:t>
      </w:r>
      <w:r>
        <w:t xml:space="preserve">of violations of their human rights in various economic, institutional, community and family settings. </w:t>
      </w:r>
    </w:p>
    <w:p w:rsidR="00730FFA" w:rsidRDefault="00730FFA" w:rsidP="00730FFA">
      <w:pPr>
        <w:pStyle w:val="SingleTxt"/>
      </w:pPr>
      <w:r>
        <w:t>20.</w:t>
      </w:r>
      <w:r>
        <w:tab/>
        <w:t xml:space="preserve">From 14 September to 2 October 2009, </w:t>
      </w:r>
      <w:r w:rsidR="007A1842">
        <w:t>t</w:t>
      </w:r>
      <w:r>
        <w:t xml:space="preserve">he Human Rights Council held its </w:t>
      </w:r>
      <w:r w:rsidR="007A1842">
        <w:t>twelfth</w:t>
      </w:r>
      <w:r>
        <w:t xml:space="preserve"> session. In this context, it held its annual discussion on the integration of a gender perspective in the work of the Human Rights Council</w:t>
      </w:r>
      <w:r w:rsidR="003E4CB5">
        <w:t>,</w:t>
      </w:r>
      <w:r>
        <w:t xml:space="preserve"> with a focus on the </w:t>
      </w:r>
      <w:r w:rsidR="003E4CB5">
        <w:t>universal periodic</w:t>
      </w:r>
      <w:r w:rsidR="007A1842">
        <w:t xml:space="preserve"> review</w:t>
      </w:r>
      <w:r>
        <w:t xml:space="preserve">. Discussion highlighted the fact </w:t>
      </w:r>
      <w:r w:rsidR="007A1842">
        <w:t xml:space="preserve">that </w:t>
      </w:r>
      <w:r>
        <w:t xml:space="preserve">the Human Rights Council, the United Nations human rights mechanisms and the </w:t>
      </w:r>
      <w:r w:rsidR="007A1842">
        <w:t>universal periodic review</w:t>
      </w:r>
      <w:r>
        <w:t xml:space="preserve"> process are particularly interesting for countries that have not ratified some of the international human rights treaties, including the Convention on</w:t>
      </w:r>
      <w:r w:rsidR="007A1842">
        <w:t xml:space="preserve"> the</w:t>
      </w:r>
      <w:r>
        <w:t xml:space="preserve"> Elimination of </w:t>
      </w:r>
      <w:r w:rsidR="007A1842">
        <w:t xml:space="preserve">All Forms of </w:t>
      </w:r>
      <w:r>
        <w:t>Discrimination against Women. It should be noted that in the course of the review, several States made commitments to remove far-reaching and long</w:t>
      </w:r>
      <w:r w:rsidR="003E4CB5">
        <w:t>-</w:t>
      </w:r>
      <w:r>
        <w:t xml:space="preserve">standing reservations to </w:t>
      </w:r>
      <w:r w:rsidR="007A1842">
        <w:t>the Convention</w:t>
      </w:r>
      <w:r>
        <w:t>. The Committee on the Elimination of Discrimination against Women was represented by one member</w:t>
      </w:r>
      <w:r w:rsidR="007A1842">
        <w:t>,</w:t>
      </w:r>
      <w:r>
        <w:t xml:space="preserve"> who </w:t>
      </w:r>
      <w:r w:rsidR="007A1842">
        <w:t>emphasized</w:t>
      </w:r>
      <w:r>
        <w:t xml:space="preserve"> that the Human Rights Council must ensure that all </w:t>
      </w:r>
      <w:r w:rsidR="007A1842">
        <w:t xml:space="preserve">of </w:t>
      </w:r>
      <w:r>
        <w:t xml:space="preserve">its mechanisms and subsidiary bodies develop and adopt an operational definition of gender that can inform </w:t>
      </w:r>
      <w:r w:rsidR="007A1842">
        <w:t xml:space="preserve">the </w:t>
      </w:r>
      <w:r>
        <w:t xml:space="preserve">processes, procedures and outcomes of their work. </w:t>
      </w:r>
    </w:p>
    <w:p w:rsidR="00730FFA" w:rsidRDefault="00730FFA" w:rsidP="00730FFA">
      <w:pPr>
        <w:pStyle w:val="SingleTxt"/>
      </w:pPr>
      <w:r>
        <w:t>21.</w:t>
      </w:r>
      <w:r>
        <w:tab/>
        <w:t>On 29 and 30 September 2009, the Human Rights Council discussed the re</w:t>
      </w:r>
      <w:r w:rsidR="007A1842">
        <w:t>port of the United Nations Fact-</w:t>
      </w:r>
      <w:r>
        <w:t xml:space="preserve">Finding Mission on the Gaza </w:t>
      </w:r>
      <w:r w:rsidR="007A1842">
        <w:t>Conflict (A/HRC/12/48)</w:t>
      </w:r>
      <w:r>
        <w:t xml:space="preserve">. The </w:t>
      </w:r>
      <w:smartTag w:uri="urn:schemas-microsoft-com:office:smarttags" w:element="place">
        <w:smartTag w:uri="urn:schemas-microsoft-com:office:smarttags" w:element="City">
          <w:r>
            <w:t>Mission</w:t>
          </w:r>
        </w:smartTag>
      </w:smartTag>
      <w:r>
        <w:t xml:space="preserve"> was mandated by the Council at its </w:t>
      </w:r>
      <w:r w:rsidR="007A1842">
        <w:t>ninth</w:t>
      </w:r>
      <w:r>
        <w:t xml:space="preserve"> special session. The Council also debated </w:t>
      </w:r>
      <w:r w:rsidR="007A1842">
        <w:t>the</w:t>
      </w:r>
      <w:r>
        <w:t xml:space="preserve"> report </w:t>
      </w:r>
      <w:r w:rsidR="007A1842">
        <w:t>of</w:t>
      </w:r>
      <w:r>
        <w:t xml:space="preserve"> the High Commissioner </w:t>
      </w:r>
      <w:r w:rsidR="007A1842">
        <w:t>for</w:t>
      </w:r>
      <w:r>
        <w:t xml:space="preserve"> Human Rights on the implementation of Human Rights Council </w:t>
      </w:r>
      <w:r w:rsidR="007A1842">
        <w:t xml:space="preserve">resolution </w:t>
      </w:r>
      <w:r>
        <w:t>S-9/1</w:t>
      </w:r>
      <w:r w:rsidR="007A1842">
        <w:t xml:space="preserve"> (A/HRC/12/37)</w:t>
      </w:r>
      <w:r>
        <w:t xml:space="preserve">. The Council convened its </w:t>
      </w:r>
      <w:r w:rsidR="007A1842">
        <w:t>twelfth</w:t>
      </w:r>
      <w:r>
        <w:t xml:space="preserve"> special session on 15 and 16 October 2009. The session was called by members of the Council to discuss the human rights situation in the </w:t>
      </w:r>
      <w:smartTag w:uri="urn:schemas-microsoft-com:office:smarttags" w:element="PlaceName">
        <w:r>
          <w:t>Occupied</w:t>
        </w:r>
      </w:smartTag>
      <w:r>
        <w:t xml:space="preserve"> </w:t>
      </w:r>
      <w:smartTag w:uri="urn:schemas-microsoft-com:office:smarttags" w:element="PlaceName">
        <w:r>
          <w:t>Palestinian</w:t>
        </w:r>
      </w:smartTag>
      <w:r>
        <w:t xml:space="preserve"> </w:t>
      </w:r>
      <w:smartTag w:uri="urn:schemas-microsoft-com:office:smarttags" w:element="PlaceType">
        <w:r>
          <w:t>Territory</w:t>
        </w:r>
      </w:smartTag>
      <w:r>
        <w:t xml:space="preserve"> and </w:t>
      </w:r>
      <w:smartTag w:uri="urn:schemas-microsoft-com:office:smarttags" w:element="place">
        <w:r>
          <w:t>East Jerusalem</w:t>
        </w:r>
      </w:smartTag>
      <w:r>
        <w:t xml:space="preserve"> and the recommendations of the Fact-Finding Mission. Almost all States called for independent investigations to bring those responsible for violations of human rights law and international humanitarian law to justice. A resolution was adopted by a vote at the end of the session.</w:t>
      </w:r>
    </w:p>
    <w:p w:rsidR="00BB48B7" w:rsidRPr="00BB48B7" w:rsidRDefault="00BB48B7" w:rsidP="00BB48B7">
      <w:pPr>
        <w:pStyle w:val="SingleTxt"/>
        <w:spacing w:after="0" w:line="120" w:lineRule="exact"/>
        <w:rPr>
          <w:sz w:val="10"/>
        </w:rPr>
      </w:pPr>
    </w:p>
    <w:p w:rsidR="00BB48B7" w:rsidRPr="00BB48B7" w:rsidRDefault="00BB48B7" w:rsidP="00BB48B7">
      <w:pPr>
        <w:pStyle w:val="SingleTxt"/>
        <w:spacing w:after="0" w:line="120" w:lineRule="exact"/>
        <w:rPr>
          <w:sz w:val="10"/>
        </w:rPr>
      </w:pPr>
    </w:p>
    <w:p w:rsidR="00730FFA" w:rsidRDefault="00BB48B7" w:rsidP="00BB48B7">
      <w:pPr>
        <w:pStyle w:val="HCh"/>
        <w:ind w:left="1267" w:right="1260" w:hanging="1267"/>
      </w:pPr>
      <w:r>
        <w:tab/>
      </w:r>
      <w:r w:rsidR="00730FFA">
        <w:t>III.</w:t>
      </w:r>
      <w:r w:rsidR="00730FFA">
        <w:tab/>
      </w:r>
      <w:r w:rsidR="003E4CB5">
        <w:t>Thirtieth</w:t>
      </w:r>
      <w:r w:rsidR="00730FFA">
        <w:t xml:space="preserve"> anniversary of the Convention on the Elimination of All Forms of Discrimination against Women</w:t>
      </w:r>
    </w:p>
    <w:p w:rsidR="00BB48B7" w:rsidRPr="00BB48B7" w:rsidRDefault="00BB48B7" w:rsidP="00BB48B7">
      <w:pPr>
        <w:pStyle w:val="SingleTxt"/>
        <w:spacing w:after="0" w:line="120" w:lineRule="exact"/>
        <w:rPr>
          <w:sz w:val="10"/>
        </w:rPr>
      </w:pPr>
    </w:p>
    <w:p w:rsidR="00BB48B7" w:rsidRPr="00BB48B7" w:rsidRDefault="00BB48B7" w:rsidP="00BB48B7">
      <w:pPr>
        <w:pStyle w:val="SingleTxt"/>
        <w:spacing w:after="0" w:line="120" w:lineRule="exact"/>
        <w:rPr>
          <w:sz w:val="10"/>
        </w:rPr>
      </w:pPr>
    </w:p>
    <w:p w:rsidR="00730FFA" w:rsidRDefault="00730FFA" w:rsidP="00730FFA">
      <w:pPr>
        <w:pStyle w:val="SingleTxt"/>
      </w:pPr>
      <w:r>
        <w:t>22.</w:t>
      </w:r>
      <w:r>
        <w:tab/>
        <w:t xml:space="preserve">On 18 December 1979, the General Assembly adopted the Convention on the Elimination of All Forms of Discrimination against Women. The </w:t>
      </w:r>
      <w:r w:rsidR="00BB48B7">
        <w:t>thirtie</w:t>
      </w:r>
      <w:r>
        <w:t xml:space="preserve">th </w:t>
      </w:r>
      <w:r w:rsidR="00BB48B7">
        <w:t>a</w:t>
      </w:r>
      <w:r>
        <w:t xml:space="preserve">nniversary </w:t>
      </w:r>
      <w:r w:rsidR="00BB48B7">
        <w:t>of the Convention</w:t>
      </w:r>
      <w:r>
        <w:t xml:space="preserve"> provided an </w:t>
      </w:r>
      <w:r w:rsidR="00BB48B7">
        <w:t>opportunity</w:t>
      </w:r>
      <w:r>
        <w:t xml:space="preserve"> to celebrate its near-universal ratification, as well as the recent progress that has been made at the national level to implement </w:t>
      </w:r>
      <w:r w:rsidR="00BB48B7">
        <w:t>it</w:t>
      </w:r>
      <w:r>
        <w:t xml:space="preserve">. To </w:t>
      </w:r>
      <w:r w:rsidR="00A53A88">
        <w:t>mark</w:t>
      </w:r>
      <w:r>
        <w:t xml:space="preserve"> th</w:t>
      </w:r>
      <w:r w:rsidR="00A53A88">
        <w:t>e</w:t>
      </w:r>
      <w:r>
        <w:t xml:space="preserve"> anniversary, a number of events were organized at </w:t>
      </w:r>
      <w:r w:rsidR="00A53A88">
        <w:t xml:space="preserve">the </w:t>
      </w:r>
      <w:r>
        <w:t>national and regional level</w:t>
      </w:r>
      <w:r w:rsidR="00A53A88">
        <w:t>s</w:t>
      </w:r>
      <w:r>
        <w:t xml:space="preserve">. The regional events were organized by OHCHR, UNIFEM and the United Nations regional commissions in the context of the </w:t>
      </w:r>
      <w:r w:rsidR="00A53A88">
        <w:t>15</w:t>
      </w:r>
      <w:r>
        <w:t xml:space="preserve">-year review of the implementation of the Beijing Platform for Action. </w:t>
      </w:r>
      <w:r w:rsidR="00A53A88">
        <w:t>C</w:t>
      </w:r>
      <w:r>
        <w:t xml:space="preserve">elebrations are taking place in </w:t>
      </w:r>
      <w:smartTag w:uri="urn:schemas-microsoft-com:office:smarttags" w:element="country-region">
        <w:r>
          <w:t>Argentina</w:t>
        </w:r>
      </w:smartTag>
      <w:r>
        <w:t xml:space="preserve">, </w:t>
      </w:r>
      <w:smartTag w:uri="urn:schemas-microsoft-com:office:smarttags" w:element="country-region">
        <w:r>
          <w:t>Egypt</w:t>
        </w:r>
      </w:smartTag>
      <w:r>
        <w:t xml:space="preserve">, </w:t>
      </w:r>
      <w:r w:rsidR="00A53A88">
        <w:t xml:space="preserve">the </w:t>
      </w:r>
      <w:smartTag w:uri="urn:schemas-microsoft-com:office:smarttags" w:element="country-region">
        <w:r>
          <w:t>Gambia</w:t>
        </w:r>
      </w:smartTag>
      <w:r>
        <w:t xml:space="preserve">, </w:t>
      </w:r>
      <w:smartTag w:uri="urn:schemas-microsoft-com:office:smarttags" w:element="country-region">
        <w:r>
          <w:t>Kyrgyzstan</w:t>
        </w:r>
      </w:smartTag>
      <w:r>
        <w:t xml:space="preserve">, </w:t>
      </w:r>
      <w:smartTag w:uri="urn:schemas-microsoft-com:office:smarttags" w:element="country-region">
        <w:r>
          <w:t>Lebanon</w:t>
        </w:r>
      </w:smartTag>
      <w:r>
        <w:t xml:space="preserve">, </w:t>
      </w:r>
      <w:smartTag w:uri="urn:schemas-microsoft-com:office:smarttags" w:element="country-region">
        <w:r>
          <w:t>Switzerland</w:t>
        </w:r>
      </w:smartTag>
      <w:r>
        <w:t xml:space="preserve"> and </w:t>
      </w:r>
      <w:smartTag w:uri="urn:schemas-microsoft-com:office:smarttags" w:element="place">
        <w:smartTag w:uri="urn:schemas-microsoft-com:office:smarttags" w:element="country-region">
          <w:r>
            <w:t>Thailand</w:t>
          </w:r>
        </w:smartTag>
      </w:smartTag>
      <w:r>
        <w:t xml:space="preserve"> throughout 2009. The </w:t>
      </w:r>
      <w:r w:rsidR="00A53A88">
        <w:t>celebration</w:t>
      </w:r>
      <w:r>
        <w:t xml:space="preserve"> of the anniversary will culminate in a global event</w:t>
      </w:r>
      <w:r w:rsidR="00A53A88">
        <w:t>,</w:t>
      </w:r>
      <w:r>
        <w:t xml:space="preserve"> to be held on 3</w:t>
      </w:r>
      <w:r w:rsidR="003E4CB5">
        <w:t xml:space="preserve"> </w:t>
      </w:r>
      <w:r>
        <w:t xml:space="preserve">December 2009 at United Nations Headquarters in </w:t>
      </w:r>
      <w:smartTag w:uri="urn:schemas-microsoft-com:office:smarttags" w:element="place">
        <w:smartTag w:uri="urn:schemas-microsoft-com:office:smarttags" w:element="State">
          <w:r>
            <w:t>New York</w:t>
          </w:r>
        </w:smartTag>
      </w:smartTag>
      <w:r>
        <w:t xml:space="preserve">. </w:t>
      </w:r>
    </w:p>
    <w:p w:rsidR="00E2422E" w:rsidRPr="00E2422E" w:rsidRDefault="00E2422E" w:rsidP="00E2422E">
      <w:pPr>
        <w:pStyle w:val="SingleTxt"/>
        <w:spacing w:after="0" w:line="120" w:lineRule="exact"/>
        <w:rPr>
          <w:sz w:val="10"/>
        </w:rPr>
      </w:pPr>
    </w:p>
    <w:p w:rsidR="00E2422E" w:rsidRPr="00E2422E" w:rsidRDefault="00E2422E" w:rsidP="00E2422E">
      <w:pPr>
        <w:pStyle w:val="SingleTxt"/>
        <w:spacing w:after="0" w:line="120" w:lineRule="exact"/>
        <w:rPr>
          <w:sz w:val="10"/>
        </w:rPr>
      </w:pPr>
    </w:p>
    <w:p w:rsidR="00730FFA" w:rsidRDefault="00E2422E" w:rsidP="00E2422E">
      <w:pPr>
        <w:pStyle w:val="HCh"/>
        <w:ind w:left="1267" w:right="1260" w:hanging="1267"/>
      </w:pPr>
      <w:r>
        <w:tab/>
        <w:t>IV.</w:t>
      </w:r>
      <w:r w:rsidR="00730FFA">
        <w:tab/>
      </w:r>
      <w:r w:rsidR="00730FFA" w:rsidRPr="003E4CB5">
        <w:rPr>
          <w:spacing w:val="-4"/>
        </w:rPr>
        <w:t xml:space="preserve">Reports to be considered by the Committee </w:t>
      </w:r>
      <w:r w:rsidR="003E4CB5" w:rsidRPr="003E4CB5">
        <w:rPr>
          <w:spacing w:val="-4"/>
        </w:rPr>
        <w:t>at future</w:t>
      </w:r>
      <w:r w:rsidR="003E4CB5">
        <w:rPr>
          <w:spacing w:val="-4"/>
        </w:rPr>
        <w:t xml:space="preserve"> </w:t>
      </w:r>
      <w:r w:rsidR="00730FFA" w:rsidRPr="003E4CB5">
        <w:rPr>
          <w:spacing w:val="-4"/>
        </w:rPr>
        <w:t>sessions</w:t>
      </w:r>
    </w:p>
    <w:p w:rsidR="00E2422E" w:rsidRPr="00E2422E" w:rsidRDefault="00E2422E" w:rsidP="00E2422E">
      <w:pPr>
        <w:pStyle w:val="SingleTxt"/>
        <w:spacing w:after="0" w:line="120" w:lineRule="exact"/>
        <w:rPr>
          <w:sz w:val="10"/>
        </w:rPr>
      </w:pPr>
    </w:p>
    <w:p w:rsidR="00E2422E" w:rsidRPr="00E2422E" w:rsidRDefault="00E2422E" w:rsidP="00E2422E">
      <w:pPr>
        <w:pStyle w:val="SingleTxt"/>
        <w:spacing w:after="0" w:line="120" w:lineRule="exact"/>
        <w:rPr>
          <w:sz w:val="10"/>
        </w:rPr>
      </w:pPr>
    </w:p>
    <w:p w:rsidR="00730FFA" w:rsidRDefault="00730FFA" w:rsidP="00730FFA">
      <w:pPr>
        <w:pStyle w:val="SingleTxt"/>
      </w:pPr>
      <w:r>
        <w:t>23.</w:t>
      </w:r>
      <w:r>
        <w:tab/>
        <w:t xml:space="preserve">During the forty-fifth session, to be held from 18 January to 5 February 2010, the Committee will consider the reports of the following States parties: </w:t>
      </w:r>
      <w:smartTag w:uri="urn:schemas-microsoft-com:office:smarttags" w:element="country-region">
        <w:r>
          <w:t>Botswana</w:t>
        </w:r>
      </w:smartTag>
      <w:r>
        <w:t xml:space="preserve">, </w:t>
      </w:r>
      <w:smartTag w:uri="urn:schemas-microsoft-com:office:smarttags" w:element="country-region">
        <w:r>
          <w:t>Egypt</w:t>
        </w:r>
      </w:smartTag>
      <w:r>
        <w:t xml:space="preserve">, </w:t>
      </w:r>
      <w:smartTag w:uri="urn:schemas-microsoft-com:office:smarttags" w:element="country-region">
        <w:r>
          <w:t>Malawi</w:t>
        </w:r>
      </w:smartTag>
      <w:r>
        <w:t xml:space="preserve">, </w:t>
      </w:r>
      <w:smartTag w:uri="urn:schemas-microsoft-com:office:smarttags" w:element="country-region">
        <w:r>
          <w:t>Netherlands</w:t>
        </w:r>
      </w:smartTag>
      <w:r>
        <w:t xml:space="preserve">, </w:t>
      </w:r>
      <w:smartTag w:uri="urn:schemas-microsoft-com:office:smarttags" w:element="country-region">
        <w:r>
          <w:t>Panama</w:t>
        </w:r>
      </w:smartTag>
      <w:r>
        <w:t xml:space="preserve">, </w:t>
      </w:r>
      <w:smartTag w:uri="urn:schemas-microsoft-com:office:smarttags" w:element="country-region">
        <w:r w:rsidR="00A53A88">
          <w:t>Ukraine</w:t>
        </w:r>
      </w:smartTag>
      <w:r w:rsidR="00A53A88">
        <w:t xml:space="preserve">, </w:t>
      </w:r>
      <w:smartTag w:uri="urn:schemas-microsoft-com:office:smarttags" w:element="country-region">
        <w:r>
          <w:t>United Arab Emirates</w:t>
        </w:r>
      </w:smartTag>
      <w:r>
        <w:t xml:space="preserve"> and </w:t>
      </w:r>
      <w:smartTag w:uri="urn:schemas-microsoft-com:office:smarttags" w:element="place">
        <w:smartTag w:uri="urn:schemas-microsoft-com:office:smarttags" w:element="country-region">
          <w:r>
            <w:t>Uzbekistan</w:t>
          </w:r>
        </w:smartTag>
      </w:smartTag>
      <w:r>
        <w:t xml:space="preserve">. </w:t>
      </w:r>
      <w:r w:rsidR="00A53A88">
        <w:t xml:space="preserve">The following </w:t>
      </w:r>
      <w:r>
        <w:t xml:space="preserve">States parties </w:t>
      </w:r>
      <w:r w:rsidR="00A53A88">
        <w:t xml:space="preserve">have been </w:t>
      </w:r>
      <w:r>
        <w:t>invited to submit their reports at the forty-sixth session in July/August 2010</w:t>
      </w:r>
      <w:r w:rsidR="003E4CB5">
        <w:t>:</w:t>
      </w:r>
      <w:r>
        <w:t xml:space="preserve"> </w:t>
      </w:r>
      <w:smartTag w:uri="urn:schemas-microsoft-com:office:smarttags" w:element="country-region">
        <w:r>
          <w:t>Albania</w:t>
        </w:r>
      </w:smartTag>
      <w:r>
        <w:t xml:space="preserve">, </w:t>
      </w:r>
      <w:smartTag w:uri="urn:schemas-microsoft-com:office:smarttags" w:element="country-region">
        <w:r>
          <w:t>Argentina</w:t>
        </w:r>
      </w:smartTag>
      <w:r>
        <w:t xml:space="preserve">, </w:t>
      </w:r>
      <w:smartTag w:uri="urn:schemas-microsoft-com:office:smarttags" w:element="country-region">
        <w:r>
          <w:t>Australia</w:t>
        </w:r>
      </w:smartTag>
      <w:r>
        <w:t xml:space="preserve">, </w:t>
      </w:r>
      <w:smartTag w:uri="urn:schemas-microsoft-com:office:smarttags" w:element="country-region">
        <w:r>
          <w:t>Central African Republic</w:t>
        </w:r>
      </w:smartTag>
      <w:r>
        <w:t xml:space="preserve">, </w:t>
      </w:r>
      <w:smartTag w:uri="urn:schemas-microsoft-com:office:smarttags" w:element="country-region">
        <w:r>
          <w:t>Fiji</w:t>
        </w:r>
      </w:smartTag>
      <w:r>
        <w:t xml:space="preserve">, </w:t>
      </w:r>
      <w:smartTag w:uri="urn:schemas-microsoft-com:office:smarttags" w:element="country-region">
        <w:r>
          <w:t>Grenada</w:t>
        </w:r>
      </w:smartTag>
      <w:r>
        <w:t xml:space="preserve">, </w:t>
      </w:r>
      <w:smartTag w:uri="urn:schemas-microsoft-com:office:smarttags" w:element="country-region">
        <w:r>
          <w:t>Papua New Guinea</w:t>
        </w:r>
      </w:smartTag>
      <w:r>
        <w:t xml:space="preserve">, </w:t>
      </w:r>
      <w:smartTag w:uri="urn:schemas-microsoft-com:office:smarttags" w:element="country-region">
        <w:r>
          <w:t>Russian Federation</w:t>
        </w:r>
      </w:smartTag>
      <w:r>
        <w:t xml:space="preserve">, </w:t>
      </w:r>
      <w:smartTag w:uri="urn:schemas-microsoft-com:office:smarttags" w:element="country-region">
        <w:r>
          <w:t>Seychelles</w:t>
        </w:r>
      </w:smartTag>
      <w:r>
        <w:t xml:space="preserve"> and </w:t>
      </w:r>
      <w:smartTag w:uri="urn:schemas-microsoft-com:office:smarttags" w:element="place">
        <w:smartTag w:uri="urn:schemas-microsoft-com:office:smarttags" w:element="country-region">
          <w:r>
            <w:t>Turkey</w:t>
          </w:r>
        </w:smartTag>
      </w:smartTag>
      <w:r>
        <w:t xml:space="preserve">. </w:t>
      </w:r>
      <w:smartTag w:uri="urn:schemas-microsoft-com:office:smarttags" w:element="place">
        <w:smartTag w:uri="urn:schemas-microsoft-com:office:smarttags" w:element="country-region">
          <w:r>
            <w:t>Argentina</w:t>
          </w:r>
        </w:smartTag>
      </w:smartTag>
      <w:r w:rsidR="00A53A88">
        <w:t>, whose report</w:t>
      </w:r>
      <w:r>
        <w:t xml:space="preserve"> was scheduled for consideration at the forty-fourth session</w:t>
      </w:r>
      <w:r w:rsidR="00A53A88">
        <w:t>,</w:t>
      </w:r>
      <w:r>
        <w:t xml:space="preserve"> in July 2009, requested that consideration of </w:t>
      </w:r>
      <w:r w:rsidR="00A53A88">
        <w:t>its</w:t>
      </w:r>
      <w:r>
        <w:t xml:space="preserve"> report be postponed. In drawing up the list of States parties to be considered at future sessions, the Committee is invited to consider annex II to the present report, which contains a list of States parties whose reports have been submitted but not yet scheduled for consideration. The Committee may also wish to recall that it decided to consider implementation of the Convention in the </w:t>
      </w:r>
      <w:smartTag w:uri="urn:schemas-microsoft-com:office:smarttags" w:element="country-region">
        <w:r>
          <w:t>Central African Republic</w:t>
        </w:r>
      </w:smartTag>
      <w:r>
        <w:t xml:space="preserve">, </w:t>
      </w:r>
      <w:smartTag w:uri="urn:schemas-microsoft-com:office:smarttags" w:element="country-region">
        <w:r>
          <w:t>Grenada</w:t>
        </w:r>
      </w:smartTag>
      <w:r>
        <w:t xml:space="preserve"> and </w:t>
      </w:r>
      <w:smartTag w:uri="urn:schemas-microsoft-com:office:smarttags" w:element="country-region">
        <w:r>
          <w:t>Seychelles</w:t>
        </w:r>
      </w:smartTag>
      <w:r>
        <w:t xml:space="preserve"> in early 2010, and </w:t>
      </w:r>
      <w:smartTag w:uri="urn:schemas-microsoft-com:office:smarttags" w:element="country-region">
        <w:r>
          <w:t>Chad</w:t>
        </w:r>
      </w:smartTag>
      <w:r>
        <w:t xml:space="preserve">, </w:t>
      </w:r>
      <w:r w:rsidR="00A53A88">
        <w:t xml:space="preserve">the </w:t>
      </w:r>
      <w:smartTag w:uri="urn:schemas-microsoft-com:office:smarttags" w:element="country-region">
        <w:r>
          <w:t>Comoros</w:t>
        </w:r>
      </w:smartTag>
      <w:r>
        <w:t xml:space="preserve"> and </w:t>
      </w:r>
      <w:smartTag w:uri="urn:schemas-microsoft-com:office:smarttags" w:element="place">
        <w:smartTag w:uri="urn:schemas-microsoft-com:office:smarttags" w:element="country-region">
          <w:r>
            <w:t>Lesotho</w:t>
          </w:r>
        </w:smartTag>
      </w:smartTag>
      <w:r>
        <w:t xml:space="preserve"> in the se</w:t>
      </w:r>
      <w:r w:rsidR="00A53A88">
        <w:t>cond part of 2010, if necessary</w:t>
      </w:r>
      <w:r>
        <w:t xml:space="preserve"> in the absence of a report. At its forty-first session, in June 2008, the Committee invited Afghanistan, Bulgaria, Côte d</w:t>
      </w:r>
      <w:r w:rsidR="003E4CB5">
        <w:t>’</w:t>
      </w:r>
      <w:r>
        <w:t>Ivoire, Djibouti, Saint Vincent and the Grena</w:t>
      </w:r>
      <w:r w:rsidR="00A53A88">
        <w:t>dines, Senegal, Solomon Islands</w:t>
      </w:r>
      <w:r>
        <w:t xml:space="preserve"> and Zimbabwe to submit all</w:t>
      </w:r>
      <w:r w:rsidR="00A53A88">
        <w:t xml:space="preserve"> of</w:t>
      </w:r>
      <w:r>
        <w:t xml:space="preserve"> their overdue reports in a combined report within two </w:t>
      </w:r>
      <w:r w:rsidR="00A53A88">
        <w:t>years, failing which</w:t>
      </w:r>
      <w:r>
        <w:t xml:space="preserve"> it would proceed with the consideration of the implementation of the Convention in those States parties in the absence of a report. A similar invitation was issued by the Committee at its forty-second session, in October/November 2008, in respect of </w:t>
      </w:r>
      <w:smartTag w:uri="urn:schemas-microsoft-com:office:smarttags" w:element="country-region">
        <w:r>
          <w:t>Iraq</w:t>
        </w:r>
      </w:smartTag>
      <w:r>
        <w:t xml:space="preserve">, </w:t>
      </w:r>
      <w:smartTag w:uri="urn:schemas-microsoft-com:office:smarttags" w:element="country-region">
        <w:r>
          <w:t>Sri Lanka</w:t>
        </w:r>
      </w:smartTag>
      <w:r>
        <w:t xml:space="preserve"> and </w:t>
      </w:r>
      <w:smartTag w:uri="urn:schemas-microsoft-com:office:smarttags" w:element="place">
        <w:smartTag w:uri="urn:schemas-microsoft-com:office:smarttags" w:element="country-region">
          <w:r>
            <w:t>Uganda</w:t>
          </w:r>
        </w:smartTag>
      </w:smartTag>
      <w:r>
        <w:t>. Following a decision by the Committee at its forty-fourth session</w:t>
      </w:r>
      <w:r w:rsidR="003E4CB5">
        <w:t>,</w:t>
      </w:r>
      <w:r>
        <w:t xml:space="preserve"> in July 2009, </w:t>
      </w:r>
      <w:smartTag w:uri="urn:schemas-microsoft-com:office:smarttags" w:element="country-region">
        <w:r>
          <w:t>Antigua and Barbuda</w:t>
        </w:r>
      </w:smartTag>
      <w:r>
        <w:t xml:space="preserve">, </w:t>
      </w:r>
      <w:smartTag w:uri="urn:schemas-microsoft-com:office:smarttags" w:element="country-region">
        <w:r>
          <w:t>Barbados</w:t>
        </w:r>
      </w:smartTag>
      <w:r>
        <w:t xml:space="preserve">, </w:t>
      </w:r>
      <w:smartTag w:uri="urn:schemas-microsoft-com:office:smarttags" w:element="country-region">
        <w:r>
          <w:t>Saint Kitts and Nevis</w:t>
        </w:r>
      </w:smartTag>
      <w:r>
        <w:t xml:space="preserve">, </w:t>
      </w:r>
      <w:smartTag w:uri="urn:schemas-microsoft-com:office:smarttags" w:element="country-region">
        <w:r>
          <w:t>Trinidad and Tobago</w:t>
        </w:r>
      </w:smartTag>
      <w:r>
        <w:t xml:space="preserve"> and </w:t>
      </w:r>
      <w:smartTag w:uri="urn:schemas-microsoft-com:office:smarttags" w:element="place">
        <w:smartTag w:uri="urn:schemas-microsoft-com:office:smarttags" w:element="country-region">
          <w:r>
            <w:t>Zambia</w:t>
          </w:r>
        </w:smartTag>
      </w:smartTag>
      <w:r>
        <w:t xml:space="preserve"> also received an invitation to submit all</w:t>
      </w:r>
      <w:r w:rsidR="00A53A88">
        <w:t xml:space="preserve"> of</w:t>
      </w:r>
      <w:r>
        <w:t xml:space="preserve"> their overdue reports.</w:t>
      </w:r>
    </w:p>
    <w:p w:rsidR="00A53A88" w:rsidRDefault="00A53A88" w:rsidP="00730FFA">
      <w:pPr>
        <w:pStyle w:val="SingleTxt"/>
      </w:pPr>
    </w:p>
    <w:p w:rsidR="00730FFA" w:rsidRDefault="00A53A88" w:rsidP="00A53A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30FFA">
        <w:t>Annex I</w:t>
      </w:r>
    </w:p>
    <w:p w:rsidR="00A53A88" w:rsidRPr="00A53A88" w:rsidRDefault="00A53A88" w:rsidP="00A53A88">
      <w:pPr>
        <w:pStyle w:val="SingleTxt"/>
        <w:spacing w:after="0" w:line="120" w:lineRule="exact"/>
        <w:rPr>
          <w:sz w:val="10"/>
        </w:rPr>
      </w:pPr>
    </w:p>
    <w:p w:rsidR="00730FFA" w:rsidRDefault="00730FFA" w:rsidP="00A53A88">
      <w:pPr>
        <w:pStyle w:val="HCh"/>
        <w:ind w:left="1267" w:right="1260" w:hanging="1267"/>
      </w:pPr>
      <w:r>
        <w:tab/>
      </w:r>
      <w:r>
        <w:tab/>
        <w:t>States that have not ratified or acceded to the Convention</w:t>
      </w:r>
    </w:p>
    <w:p w:rsidR="00A53A88" w:rsidRPr="00A53A88" w:rsidRDefault="00A53A88" w:rsidP="00A53A88">
      <w:pPr>
        <w:pStyle w:val="SingleTxt"/>
        <w:spacing w:after="0" w:line="120" w:lineRule="exact"/>
        <w:rPr>
          <w:sz w:val="10"/>
        </w:rPr>
      </w:pPr>
    </w:p>
    <w:p w:rsidR="00A53A88" w:rsidRPr="00A53A88" w:rsidRDefault="00A53A88" w:rsidP="00A53A88">
      <w:pPr>
        <w:pStyle w:val="SingleTxt"/>
        <w:spacing w:after="0" w:line="120" w:lineRule="exact"/>
        <w:rPr>
          <w:sz w:val="10"/>
        </w:rPr>
      </w:pPr>
    </w:p>
    <w:p w:rsidR="00730FFA" w:rsidRDefault="00730FFA" w:rsidP="004C5819">
      <w:pPr>
        <w:pStyle w:val="H23"/>
        <w:ind w:right="1260"/>
      </w:pPr>
      <w:r>
        <w:tab/>
      </w:r>
      <w:r>
        <w:tab/>
      </w:r>
      <w:smartTag w:uri="urn:schemas-microsoft-com:office:smarttags" w:element="place">
        <w:r>
          <w:t>Africa</w:t>
        </w:r>
      </w:smartTag>
    </w:p>
    <w:p w:rsidR="00A53A88" w:rsidRPr="00A53A88" w:rsidRDefault="00A53A88" w:rsidP="00A53A88">
      <w:pPr>
        <w:pStyle w:val="SingleTxt"/>
        <w:spacing w:after="0" w:line="120" w:lineRule="exact"/>
        <w:rPr>
          <w:sz w:val="10"/>
        </w:rPr>
      </w:pPr>
    </w:p>
    <w:p w:rsidR="00730FFA" w:rsidRDefault="00730FFA" w:rsidP="00730FFA">
      <w:pPr>
        <w:pStyle w:val="SingleTxt"/>
      </w:pPr>
      <w:r>
        <w:tab/>
      </w:r>
      <w:smartTag w:uri="urn:schemas-microsoft-com:office:smarttags" w:element="place">
        <w:smartTag w:uri="urn:schemas-microsoft-com:office:smarttags" w:element="country-region">
          <w:r>
            <w:t>Somalia</w:t>
          </w:r>
        </w:smartTag>
      </w:smartTag>
    </w:p>
    <w:p w:rsidR="00730FFA" w:rsidRDefault="00730FFA" w:rsidP="00730FFA">
      <w:pPr>
        <w:pStyle w:val="SingleTxt"/>
      </w:pPr>
      <w:r>
        <w:tab/>
      </w:r>
      <w:smartTag w:uri="urn:schemas-microsoft-com:office:smarttags" w:element="place">
        <w:smartTag w:uri="urn:schemas-microsoft-com:office:smarttags" w:element="country-region">
          <w:r>
            <w:t>Sudan</w:t>
          </w:r>
        </w:smartTag>
      </w:smartTag>
    </w:p>
    <w:p w:rsidR="00A53A88" w:rsidRPr="00A53A88" w:rsidRDefault="00A53A88" w:rsidP="00A53A88">
      <w:pPr>
        <w:pStyle w:val="SingleTxt"/>
        <w:spacing w:after="0" w:line="120" w:lineRule="exact"/>
        <w:rPr>
          <w:sz w:val="10"/>
        </w:rPr>
      </w:pPr>
    </w:p>
    <w:p w:rsidR="00730FFA" w:rsidRDefault="00730FFA" w:rsidP="004C5819">
      <w:pPr>
        <w:pStyle w:val="H23"/>
        <w:ind w:right="1260"/>
      </w:pPr>
      <w:r>
        <w:tab/>
      </w:r>
      <w:r>
        <w:tab/>
      </w:r>
      <w:smartTag w:uri="urn:schemas-microsoft-com:office:smarttags" w:element="place">
        <w:r>
          <w:t>Asia</w:t>
        </w:r>
      </w:smartTag>
      <w:r>
        <w:t xml:space="preserve"> and the Pacific</w:t>
      </w:r>
    </w:p>
    <w:p w:rsidR="00A53A88" w:rsidRPr="00A53A88" w:rsidRDefault="00A53A88" w:rsidP="00A53A88">
      <w:pPr>
        <w:pStyle w:val="SingleTxt"/>
        <w:spacing w:after="0" w:line="120" w:lineRule="exact"/>
        <w:rPr>
          <w:sz w:val="10"/>
        </w:rPr>
      </w:pPr>
    </w:p>
    <w:p w:rsidR="00730FFA" w:rsidRDefault="00730FFA" w:rsidP="00730FFA">
      <w:pPr>
        <w:pStyle w:val="SingleTxt"/>
      </w:pPr>
      <w:r>
        <w:tab/>
      </w:r>
      <w:smartTag w:uri="urn:schemas-microsoft-com:office:smarttags" w:element="place">
        <w:smartTag w:uri="urn:schemas-microsoft-com:office:smarttags" w:element="country-region">
          <w:r>
            <w:t>Iran</w:t>
          </w:r>
        </w:smartTag>
      </w:smartTag>
      <w:r>
        <w:t xml:space="preserve"> (Islamic Republic of)</w:t>
      </w:r>
    </w:p>
    <w:p w:rsidR="00730FFA" w:rsidRDefault="00730FFA" w:rsidP="00730FFA">
      <w:pPr>
        <w:pStyle w:val="SingleTxt"/>
      </w:pPr>
      <w:r>
        <w:tab/>
      </w:r>
      <w:smartTag w:uri="urn:schemas-microsoft-com:office:smarttags" w:element="place">
        <w:smartTag w:uri="urn:schemas-microsoft-com:office:smarttags" w:element="country-region">
          <w:r>
            <w:t>Nauru</w:t>
          </w:r>
        </w:smartTag>
      </w:smartTag>
    </w:p>
    <w:p w:rsidR="00730FFA" w:rsidRDefault="00730FFA" w:rsidP="00730FFA">
      <w:pPr>
        <w:pStyle w:val="SingleTxt"/>
      </w:pPr>
      <w:r>
        <w:tab/>
      </w:r>
      <w:smartTag w:uri="urn:schemas-microsoft-com:office:smarttags" w:element="place">
        <w:smartTag w:uri="urn:schemas-microsoft-com:office:smarttags" w:element="country-region">
          <w:r>
            <w:t>Palau</w:t>
          </w:r>
        </w:smartTag>
      </w:smartTag>
    </w:p>
    <w:p w:rsidR="00730FFA" w:rsidRDefault="00730FFA" w:rsidP="00730FFA">
      <w:pPr>
        <w:pStyle w:val="SingleTxt"/>
      </w:pPr>
      <w:r>
        <w:tab/>
      </w:r>
      <w:smartTag w:uri="urn:schemas-microsoft-com:office:smarttags" w:element="place">
        <w:smartTag w:uri="urn:schemas-microsoft-com:office:smarttags" w:element="country-region">
          <w:r>
            <w:t>Tonga</w:t>
          </w:r>
        </w:smartTag>
      </w:smartTag>
    </w:p>
    <w:p w:rsidR="00A53A88" w:rsidRPr="00A53A88" w:rsidRDefault="00A53A88" w:rsidP="00A53A88">
      <w:pPr>
        <w:pStyle w:val="SingleTxt"/>
        <w:spacing w:after="0" w:line="120" w:lineRule="exact"/>
        <w:rPr>
          <w:sz w:val="10"/>
        </w:rPr>
      </w:pPr>
    </w:p>
    <w:p w:rsidR="00730FFA" w:rsidRDefault="00730FFA" w:rsidP="004C5819">
      <w:pPr>
        <w:pStyle w:val="H23"/>
        <w:ind w:right="1260"/>
      </w:pPr>
      <w:r>
        <w:tab/>
      </w:r>
      <w:r>
        <w:tab/>
      </w:r>
      <w:smartTag w:uri="urn:schemas-microsoft-com:office:smarttags" w:element="place">
        <w:r>
          <w:t>Western Europe</w:t>
        </w:r>
      </w:smartTag>
      <w:r>
        <w:t xml:space="preserve"> and other</w:t>
      </w:r>
    </w:p>
    <w:p w:rsidR="00A53A88" w:rsidRPr="00A53A88" w:rsidRDefault="00A53A88" w:rsidP="00A53A88">
      <w:pPr>
        <w:pStyle w:val="SingleTxt"/>
        <w:spacing w:after="0" w:line="120" w:lineRule="exact"/>
        <w:rPr>
          <w:sz w:val="10"/>
        </w:rPr>
      </w:pPr>
    </w:p>
    <w:p w:rsidR="00730FFA" w:rsidRDefault="00730FFA" w:rsidP="00730FFA">
      <w:pPr>
        <w:pStyle w:val="SingleTxt"/>
      </w:pPr>
      <w:r>
        <w:tab/>
        <w:t>Holy See</w:t>
      </w:r>
    </w:p>
    <w:p w:rsidR="00730FFA" w:rsidRDefault="00730FFA" w:rsidP="00730FFA">
      <w:pPr>
        <w:pStyle w:val="SingleTxt"/>
      </w:pPr>
      <w:r>
        <w:tab/>
      </w:r>
      <w:smartTag w:uri="urn:schemas-microsoft-com:office:smarttags" w:element="place">
        <w:smartTag w:uri="urn:schemas-microsoft-com:office:smarttags" w:element="country-region">
          <w:r>
            <w:t>United States of America</w:t>
          </w:r>
        </w:smartTag>
      </w:smartTag>
    </w:p>
    <w:p w:rsidR="00730FFA" w:rsidRDefault="00730FFA" w:rsidP="00730FFA">
      <w:pPr>
        <w:pStyle w:val="SingleTxt"/>
      </w:pPr>
    </w:p>
    <w:p w:rsidR="00730FFA" w:rsidRDefault="00A53A88" w:rsidP="00011D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30FFA">
        <w:t>Annex II</w:t>
      </w:r>
    </w:p>
    <w:p w:rsidR="00011D81" w:rsidRPr="00011D81" w:rsidRDefault="00011D81" w:rsidP="00011D81">
      <w:pPr>
        <w:pStyle w:val="SingleTxt"/>
        <w:spacing w:after="0" w:line="120" w:lineRule="exact"/>
        <w:rPr>
          <w:sz w:val="10"/>
        </w:rPr>
      </w:pPr>
    </w:p>
    <w:p w:rsidR="00730FFA" w:rsidRDefault="00730FFA" w:rsidP="00011D81">
      <w:pPr>
        <w:pStyle w:val="HCh"/>
        <w:ind w:left="1267" w:right="1260" w:hanging="1267"/>
      </w:pPr>
      <w:r>
        <w:tab/>
      </w:r>
      <w:r>
        <w:tab/>
        <w:t xml:space="preserve">States parties whose reports have been submitted but not yet </w:t>
      </w:r>
      <w:r w:rsidRPr="004C5819">
        <w:rPr>
          <w:spacing w:val="-3"/>
        </w:rPr>
        <w:t>considered or sch</w:t>
      </w:r>
      <w:r w:rsidR="000A39D2" w:rsidRPr="004C5819">
        <w:rPr>
          <w:spacing w:val="-3"/>
        </w:rPr>
        <w:t xml:space="preserve">eduled for consideration by the </w:t>
      </w:r>
      <w:r w:rsidRPr="004C5819">
        <w:rPr>
          <w:spacing w:val="-3"/>
        </w:rPr>
        <w:t>Committee</w:t>
      </w:r>
      <w:r w:rsidR="000A39D2" w:rsidRPr="004C5819">
        <w:rPr>
          <w:spacing w:val="-3"/>
        </w:rPr>
        <w:t>,</w:t>
      </w:r>
      <w:r w:rsidRPr="004C5819">
        <w:rPr>
          <w:spacing w:val="-4"/>
        </w:rPr>
        <w:t xml:space="preserve"> </w:t>
      </w:r>
      <w:r>
        <w:t xml:space="preserve">as </w:t>
      </w:r>
      <w:r w:rsidR="000A39D2">
        <w:t>at</w:t>
      </w:r>
      <w:r>
        <w:t xml:space="preserve"> 20 November 2009</w:t>
      </w:r>
    </w:p>
    <w:p w:rsidR="00011D81" w:rsidRPr="00011D81" w:rsidRDefault="00011D81" w:rsidP="00011D81">
      <w:pPr>
        <w:pStyle w:val="SingleTxt"/>
        <w:spacing w:after="0" w:line="120" w:lineRule="exact"/>
        <w:rPr>
          <w:sz w:val="10"/>
        </w:rPr>
      </w:pPr>
    </w:p>
    <w:p w:rsidR="004C5819" w:rsidRPr="004C5819" w:rsidRDefault="004C5819" w:rsidP="004C5819">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871"/>
        <w:gridCol w:w="2160"/>
        <w:gridCol w:w="2160"/>
        <w:gridCol w:w="1584"/>
        <w:gridCol w:w="1075"/>
      </w:tblGrid>
      <w:tr w:rsidR="004C5819" w:rsidRPr="004C5819" w:rsidTr="004C5819">
        <w:tblPrEx>
          <w:tblCellMar>
            <w:top w:w="0" w:type="dxa"/>
            <w:bottom w:w="0" w:type="dxa"/>
          </w:tblCellMar>
        </w:tblPrEx>
        <w:trPr>
          <w:tblHeader/>
        </w:trPr>
        <w:tc>
          <w:tcPr>
            <w:tcW w:w="2871" w:type="dxa"/>
            <w:tcBorders>
              <w:top w:val="single" w:sz="4" w:space="0" w:color="auto"/>
              <w:bottom w:val="single" w:sz="12" w:space="0" w:color="auto"/>
            </w:tcBorders>
            <w:shd w:val="clear" w:color="auto" w:fill="auto"/>
            <w:vAlign w:val="bottom"/>
          </w:tcPr>
          <w:p w:rsidR="004C5819" w:rsidRPr="004C5819" w:rsidRDefault="004C5819" w:rsidP="004C5819">
            <w:pPr>
              <w:tabs>
                <w:tab w:val="left" w:pos="288"/>
                <w:tab w:val="left" w:pos="576"/>
                <w:tab w:val="left" w:pos="864"/>
                <w:tab w:val="left" w:pos="1152"/>
              </w:tabs>
              <w:spacing w:before="81" w:after="81" w:line="160" w:lineRule="exact"/>
              <w:ind w:right="40"/>
              <w:rPr>
                <w:i/>
                <w:sz w:val="14"/>
              </w:rPr>
            </w:pPr>
            <w:r w:rsidRPr="004C5819">
              <w:rPr>
                <w:i/>
                <w:sz w:val="14"/>
              </w:rPr>
              <w:t>State party</w:t>
            </w:r>
          </w:p>
        </w:tc>
        <w:tc>
          <w:tcPr>
            <w:tcW w:w="2160" w:type="dxa"/>
            <w:tcBorders>
              <w:top w:val="single" w:sz="4" w:space="0" w:color="auto"/>
              <w:bottom w:val="single" w:sz="12" w:space="0" w:color="auto"/>
            </w:tcBorders>
            <w:shd w:val="clear" w:color="auto" w:fill="auto"/>
            <w:vAlign w:val="bottom"/>
          </w:tcPr>
          <w:p w:rsidR="004C5819" w:rsidRPr="004C5819" w:rsidRDefault="004C5819" w:rsidP="004C5819">
            <w:pPr>
              <w:tabs>
                <w:tab w:val="left" w:pos="288"/>
                <w:tab w:val="left" w:pos="576"/>
                <w:tab w:val="left" w:pos="864"/>
                <w:tab w:val="left" w:pos="1152"/>
              </w:tabs>
              <w:spacing w:before="81" w:after="81" w:line="160" w:lineRule="exact"/>
              <w:ind w:left="144" w:right="43"/>
              <w:rPr>
                <w:i/>
                <w:sz w:val="14"/>
              </w:rPr>
            </w:pPr>
            <w:r w:rsidRPr="004C5819">
              <w:rPr>
                <w:i/>
                <w:sz w:val="14"/>
              </w:rPr>
              <w:t>Date due</w:t>
            </w:r>
          </w:p>
        </w:tc>
        <w:tc>
          <w:tcPr>
            <w:tcW w:w="2160" w:type="dxa"/>
            <w:tcBorders>
              <w:top w:val="single" w:sz="4" w:space="0" w:color="auto"/>
              <w:bottom w:val="single" w:sz="12" w:space="0" w:color="auto"/>
            </w:tcBorders>
            <w:shd w:val="clear" w:color="auto" w:fill="auto"/>
            <w:vAlign w:val="bottom"/>
          </w:tcPr>
          <w:p w:rsidR="004C5819" w:rsidRPr="004C5819" w:rsidRDefault="004C5819" w:rsidP="004C5819">
            <w:pPr>
              <w:tabs>
                <w:tab w:val="left" w:pos="288"/>
                <w:tab w:val="left" w:pos="576"/>
                <w:tab w:val="left" w:pos="864"/>
                <w:tab w:val="left" w:pos="1152"/>
              </w:tabs>
              <w:spacing w:before="81" w:after="81" w:line="160" w:lineRule="exact"/>
              <w:ind w:left="144" w:right="43"/>
              <w:rPr>
                <w:i/>
                <w:sz w:val="14"/>
              </w:rPr>
            </w:pPr>
            <w:r w:rsidRPr="004C5819">
              <w:rPr>
                <w:i/>
                <w:sz w:val="14"/>
              </w:rPr>
              <w:t>Date received</w:t>
            </w:r>
          </w:p>
        </w:tc>
        <w:tc>
          <w:tcPr>
            <w:tcW w:w="1584" w:type="dxa"/>
            <w:tcBorders>
              <w:top w:val="single" w:sz="4" w:space="0" w:color="auto"/>
              <w:bottom w:val="single" w:sz="12" w:space="0" w:color="auto"/>
            </w:tcBorders>
            <w:shd w:val="clear" w:color="auto" w:fill="auto"/>
            <w:vAlign w:val="bottom"/>
          </w:tcPr>
          <w:p w:rsidR="004C5819" w:rsidRPr="004C5819" w:rsidRDefault="004C5819" w:rsidP="004C5819">
            <w:pPr>
              <w:tabs>
                <w:tab w:val="left" w:pos="288"/>
                <w:tab w:val="left" w:pos="576"/>
                <w:tab w:val="left" w:pos="864"/>
                <w:tab w:val="left" w:pos="1152"/>
              </w:tabs>
              <w:spacing w:before="81" w:after="81" w:line="160" w:lineRule="exact"/>
              <w:ind w:left="144" w:right="43"/>
              <w:rPr>
                <w:i/>
                <w:sz w:val="14"/>
              </w:rPr>
            </w:pPr>
            <w:r w:rsidRPr="004C5819">
              <w:rPr>
                <w:i/>
                <w:sz w:val="14"/>
              </w:rPr>
              <w:t>Previously considered (session)</w:t>
            </w:r>
          </w:p>
        </w:tc>
        <w:tc>
          <w:tcPr>
            <w:tcW w:w="1075" w:type="dxa"/>
            <w:tcBorders>
              <w:top w:val="single" w:sz="4" w:space="0" w:color="auto"/>
              <w:bottom w:val="single" w:sz="12" w:space="0" w:color="auto"/>
            </w:tcBorders>
            <w:shd w:val="clear" w:color="auto" w:fill="auto"/>
            <w:vAlign w:val="bottom"/>
          </w:tcPr>
          <w:p w:rsidR="004C5819" w:rsidRPr="004C5819" w:rsidRDefault="004C5819" w:rsidP="004C5819">
            <w:pPr>
              <w:tabs>
                <w:tab w:val="left" w:pos="288"/>
                <w:tab w:val="left" w:pos="576"/>
                <w:tab w:val="left" w:pos="864"/>
                <w:tab w:val="left" w:pos="1152"/>
              </w:tabs>
              <w:spacing w:before="81" w:after="81" w:line="160" w:lineRule="exact"/>
              <w:ind w:left="144" w:right="43"/>
              <w:rPr>
                <w:i/>
                <w:sz w:val="14"/>
              </w:rPr>
            </w:pPr>
            <w:r w:rsidRPr="004C5819">
              <w:rPr>
                <w:i/>
                <w:sz w:val="14"/>
              </w:rPr>
              <w:t>Previous report(s)</w:t>
            </w:r>
          </w:p>
        </w:tc>
      </w:tr>
      <w:tr w:rsidR="004C5819" w:rsidRPr="004C5819" w:rsidTr="004C5819">
        <w:tblPrEx>
          <w:tblCellMar>
            <w:top w:w="0" w:type="dxa"/>
            <w:bottom w:w="0" w:type="dxa"/>
          </w:tblCellMar>
        </w:tblPrEx>
        <w:trPr>
          <w:trHeight w:hRule="exact" w:val="115"/>
          <w:tblHeader/>
        </w:trPr>
        <w:tc>
          <w:tcPr>
            <w:tcW w:w="2871" w:type="dxa"/>
            <w:tcBorders>
              <w:top w:val="single" w:sz="12" w:space="0" w:color="auto"/>
            </w:tcBorders>
            <w:shd w:val="clear" w:color="auto" w:fill="auto"/>
            <w:vAlign w:val="bottom"/>
          </w:tcPr>
          <w:p w:rsidR="004C5819" w:rsidRPr="004C5819" w:rsidRDefault="004C5819" w:rsidP="004C5819">
            <w:pPr>
              <w:tabs>
                <w:tab w:val="left" w:pos="288"/>
                <w:tab w:val="left" w:pos="576"/>
                <w:tab w:val="left" w:pos="864"/>
                <w:tab w:val="left" w:pos="1152"/>
              </w:tabs>
              <w:spacing w:before="40" w:after="120"/>
              <w:ind w:right="40"/>
              <w:rPr>
                <w:b/>
              </w:rPr>
            </w:pPr>
          </w:p>
        </w:tc>
        <w:tc>
          <w:tcPr>
            <w:tcW w:w="2160" w:type="dxa"/>
            <w:tcBorders>
              <w:top w:val="single" w:sz="12" w:space="0" w:color="auto"/>
            </w:tcBorders>
            <w:shd w:val="clear" w:color="auto" w:fill="auto"/>
            <w:vAlign w:val="bottom"/>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tcBorders>
              <w:top w:val="single" w:sz="12" w:space="0" w:color="auto"/>
            </w:tcBorders>
            <w:shd w:val="clear" w:color="auto" w:fill="auto"/>
            <w:vAlign w:val="bottom"/>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tcBorders>
              <w:top w:val="single" w:sz="12" w:space="0" w:color="auto"/>
            </w:tcBorders>
            <w:shd w:val="clear" w:color="auto" w:fill="auto"/>
            <w:vAlign w:val="bottom"/>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tcBorders>
              <w:top w:val="single" w:sz="12" w:space="0" w:color="auto"/>
            </w:tcBorders>
            <w:shd w:val="clear" w:color="auto" w:fill="auto"/>
            <w:vAlign w:val="bottom"/>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C5819">
                  <w:rPr>
                    <w:b/>
                  </w:rPr>
                  <w:t>Algeria</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Combined third and fourth periodic reports</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21 June 2009</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22 June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2005 (32)</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1, 2</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C5819">
                  <w:rPr>
                    <w:b/>
                  </w:rPr>
                  <w:t>Belarus</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Seventh periodic report</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3 September 2006</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1 July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2004 (30)</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4-6</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C5819">
                  <w:rPr>
                    <w:b/>
                  </w:rPr>
                  <w:t>Equatorial Guinea</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Sixth periodic report</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22 November 2005</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30 October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2004 (31)</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2-3, 4-5</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C5819">
                  <w:rPr>
                    <w:b/>
                  </w:rPr>
                  <w:t>Ethiopia</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Combined sixth and seventh periodic reports</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10 October 2006</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28 July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2004 (30)</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4-5</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C5819">
                  <w:rPr>
                    <w:b/>
                  </w:rPr>
                  <w:t>Israel</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Fourth periodic report</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 November 2004</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4 May 2005</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2005 (33)</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3</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Fifth periodic report</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 November 2008</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4 May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C5819">
                  <w:rPr>
                    <w:b/>
                  </w:rPr>
                  <w:t>Kenya</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Seventh periodic report</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8 April 2009</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10 July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2007 (39)</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5-6</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C5819">
                  <w:rPr>
                    <w:b/>
                  </w:rPr>
                  <w:t>Liechtenstein</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Fourth periodic report</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21 January 2009</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8 September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2007 (39)</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2, 3</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C5819">
                  <w:rPr>
                    <w:b/>
                  </w:rPr>
                  <w:t>Oman</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Initial periodic report</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9 March 2007</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8 October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C5819">
                  <w:rPr>
                    <w:b/>
                  </w:rPr>
                  <w:t>Nepal</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Combined fourth and fifth periodic reports</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22 May 2008</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6 November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2004 (30)</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2-3</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C5819">
                  <w:rPr>
                    <w:b/>
                  </w:rPr>
                  <w:t>Niger</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Combined third and fourth periodic reports</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7 November 2012</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21 March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2007 (38)</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1-2</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keepNext/>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C5819">
                  <w:rPr>
                    <w:b/>
                  </w:rPr>
                  <w:t>Singapore</w:t>
                </w:r>
              </w:smartTag>
            </w:smartTag>
          </w:p>
        </w:tc>
        <w:tc>
          <w:tcPr>
            <w:tcW w:w="2160" w:type="dxa"/>
            <w:shd w:val="clear" w:color="auto" w:fill="auto"/>
          </w:tcPr>
          <w:p w:rsidR="004C5819" w:rsidRPr="004C5819" w:rsidRDefault="004C5819" w:rsidP="004C5819">
            <w:pPr>
              <w:keepNext/>
              <w:keepLines/>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keepNext/>
              <w:keepLines/>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keepNext/>
              <w:keepLines/>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keepNext/>
              <w:keepLines/>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Fourth periodic report</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4 November 2008</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25 March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2007 (39)</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3</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C5819">
                  <w:rPr>
                    <w:b/>
                  </w:rPr>
                  <w:t>South Africa</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Combined second, third and fourth periodic reports</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14 January 2009</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 July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1998 (19)</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1</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C5819">
                  <w:rPr>
                    <w:b/>
                  </w:rPr>
                  <w:t>Sri Lanka</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Combined fifth, sixth and seventh periodic reports</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4 November 2006</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31 July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2002 (26)</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3-4</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C5819">
                  <w:rPr>
                    <w:b/>
                  </w:rPr>
                  <w:t>Yemen</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Seventh periodic report</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29 June 2009</w:t>
            </w: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3 June 2009</w:t>
            </w: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2008 (41)</w:t>
            </w: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6</w:t>
            </w:r>
          </w:p>
        </w:tc>
      </w:tr>
      <w:tr w:rsidR="004C5819" w:rsidRPr="004C5819" w:rsidTr="004C5819">
        <w:tblPrEx>
          <w:tblCellMar>
            <w:top w:w="0" w:type="dxa"/>
            <w:bottom w:w="0" w:type="dxa"/>
          </w:tblCellMar>
        </w:tblPrEx>
        <w:tc>
          <w:tcPr>
            <w:tcW w:w="2871" w:type="dxa"/>
            <w:shd w:val="clear" w:color="auto" w:fill="auto"/>
          </w:tcPr>
          <w:p w:rsidR="004C5819" w:rsidRPr="004C5819" w:rsidRDefault="004C5819" w:rsidP="004C5819">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C5819">
                  <w:rPr>
                    <w:b/>
                  </w:rPr>
                  <w:t>Zimbabwe</w:t>
                </w:r>
              </w:smartTag>
            </w:smartTag>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2160"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584"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c>
          <w:tcPr>
            <w:tcW w:w="1075" w:type="dxa"/>
            <w:shd w:val="clear" w:color="auto" w:fill="auto"/>
          </w:tcPr>
          <w:p w:rsidR="004C5819" w:rsidRPr="004C5819" w:rsidRDefault="004C5819" w:rsidP="004C5819">
            <w:pPr>
              <w:tabs>
                <w:tab w:val="left" w:pos="288"/>
                <w:tab w:val="left" w:pos="576"/>
                <w:tab w:val="left" w:pos="864"/>
                <w:tab w:val="left" w:pos="1152"/>
              </w:tabs>
              <w:spacing w:before="40" w:after="120"/>
              <w:ind w:left="144" w:right="43"/>
            </w:pPr>
          </w:p>
        </w:tc>
      </w:tr>
      <w:tr w:rsidR="004C5819" w:rsidRPr="004C5819" w:rsidTr="004C5819">
        <w:tblPrEx>
          <w:tblCellMar>
            <w:top w:w="0" w:type="dxa"/>
            <w:bottom w:w="0" w:type="dxa"/>
          </w:tblCellMar>
        </w:tblPrEx>
        <w:tc>
          <w:tcPr>
            <w:tcW w:w="2871" w:type="dxa"/>
            <w:tcBorders>
              <w:bottom w:val="single" w:sz="12" w:space="0" w:color="auto"/>
            </w:tcBorders>
            <w:shd w:val="clear" w:color="auto" w:fill="auto"/>
          </w:tcPr>
          <w:p w:rsidR="004C5819" w:rsidRPr="004C5819" w:rsidRDefault="004C5819" w:rsidP="004C5819">
            <w:pPr>
              <w:tabs>
                <w:tab w:val="left" w:pos="288"/>
                <w:tab w:val="left" w:pos="576"/>
                <w:tab w:val="left" w:pos="864"/>
                <w:tab w:val="left" w:pos="1152"/>
              </w:tabs>
              <w:spacing w:before="40" w:after="120"/>
              <w:ind w:right="40"/>
            </w:pPr>
            <w:r w:rsidRPr="004C5819">
              <w:t>Combined second, third, fourth and fifth periodic reports</w:t>
            </w:r>
          </w:p>
        </w:tc>
        <w:tc>
          <w:tcPr>
            <w:tcW w:w="2160" w:type="dxa"/>
            <w:tcBorders>
              <w:bottom w:val="single" w:sz="12" w:space="0" w:color="auto"/>
            </w:tcBorders>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12 June 2008</w:t>
            </w:r>
          </w:p>
        </w:tc>
        <w:tc>
          <w:tcPr>
            <w:tcW w:w="2160" w:type="dxa"/>
            <w:tcBorders>
              <w:bottom w:val="single" w:sz="12" w:space="0" w:color="auto"/>
            </w:tcBorders>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6 October 2009</w:t>
            </w:r>
          </w:p>
        </w:tc>
        <w:tc>
          <w:tcPr>
            <w:tcW w:w="1584" w:type="dxa"/>
            <w:tcBorders>
              <w:bottom w:val="single" w:sz="12" w:space="0" w:color="auto"/>
            </w:tcBorders>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1998 (18)</w:t>
            </w:r>
          </w:p>
        </w:tc>
        <w:tc>
          <w:tcPr>
            <w:tcW w:w="1075" w:type="dxa"/>
            <w:tcBorders>
              <w:bottom w:val="single" w:sz="12" w:space="0" w:color="auto"/>
            </w:tcBorders>
            <w:shd w:val="clear" w:color="auto" w:fill="auto"/>
          </w:tcPr>
          <w:p w:rsidR="004C5819" w:rsidRPr="004C5819" w:rsidRDefault="004C5819" w:rsidP="004C5819">
            <w:pPr>
              <w:tabs>
                <w:tab w:val="left" w:pos="288"/>
                <w:tab w:val="left" w:pos="576"/>
                <w:tab w:val="left" w:pos="864"/>
                <w:tab w:val="left" w:pos="1152"/>
              </w:tabs>
              <w:spacing w:before="40" w:after="120"/>
              <w:ind w:left="144" w:right="43"/>
            </w:pPr>
            <w:r w:rsidRPr="004C5819">
              <w:t>1</w:t>
            </w:r>
          </w:p>
        </w:tc>
      </w:tr>
    </w:tbl>
    <w:p w:rsidR="00730FFA" w:rsidRDefault="00B97275" w:rsidP="00730FFA">
      <w:pPr>
        <w:pStyle w:val="SingleTxt"/>
      </w:pPr>
      <w:r>
        <w:rPr>
          <w:noProof/>
          <w:w w:val="100"/>
          <w:lang w:val="en-US"/>
        </w:rPr>
        <w:pict>
          <v:line id="_x0000_s1027" style="position:absolute;left:0;text-align:left;z-index:1;mso-position-horizontal-relative:text;mso-position-vertical-relative:text" from="210.2pt,24pt" to="282.2pt,24pt" strokeweight=".25pt"/>
        </w:pict>
      </w:r>
    </w:p>
    <w:sectPr w:rsidR="00730FFA" w:rsidSect="00BE148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2-10T23:00:00Z" w:initials="Start">
    <w:p w:rsidR="00C752F1" w:rsidRDefault="00C752F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NO&gt;&gt;N0962029E&lt;&lt;ODS JOB NO&gt;&gt;</w:t>
      </w:r>
    </w:p>
    <w:p w:rsidR="00C752F1" w:rsidRDefault="00C752F1">
      <w:pPr>
        <w:pStyle w:val="CommentText"/>
      </w:pPr>
      <w:r>
        <w:t>&lt;&lt;ODS DOC SYMBOL1&gt;&gt;CEDAW/C/2010/45/4&lt;&lt;ODS DOC SYMBOL1&gt;&gt;</w:t>
      </w:r>
    </w:p>
    <w:p w:rsidR="00C752F1" w:rsidRDefault="00C752F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2B9" w:rsidRDefault="00F122B9" w:rsidP="00F55E90">
      <w:r>
        <w:separator/>
      </w:r>
    </w:p>
  </w:endnote>
  <w:endnote w:type="continuationSeparator" w:id="0">
    <w:p w:rsidR="00F122B9" w:rsidRDefault="00F122B9" w:rsidP="00F55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52F1" w:rsidTr="00F55E90">
      <w:tblPrEx>
        <w:tblCellMar>
          <w:top w:w="0" w:type="dxa"/>
          <w:bottom w:w="0" w:type="dxa"/>
        </w:tblCellMar>
      </w:tblPrEx>
      <w:tc>
        <w:tcPr>
          <w:tcW w:w="5033" w:type="dxa"/>
          <w:shd w:val="clear" w:color="auto" w:fill="auto"/>
        </w:tcPr>
        <w:p w:rsidR="00C752F1" w:rsidRPr="00F55E90" w:rsidRDefault="00C752F1" w:rsidP="00F55E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09-62029</w:t>
          </w:r>
          <w:r>
            <w:rPr>
              <w:b w:val="0"/>
              <w:w w:val="103"/>
              <w:sz w:val="14"/>
            </w:rPr>
            <w:fldChar w:fldCharType="end"/>
          </w:r>
        </w:p>
      </w:tc>
      <w:tc>
        <w:tcPr>
          <w:tcW w:w="5033" w:type="dxa"/>
          <w:shd w:val="clear" w:color="auto" w:fill="auto"/>
        </w:tcPr>
        <w:p w:rsidR="00C752F1" w:rsidRPr="00F55E90" w:rsidRDefault="00C752F1" w:rsidP="00F55E90">
          <w:pPr>
            <w:pStyle w:val="Footer"/>
            <w:rPr>
              <w:w w:val="103"/>
            </w:rPr>
          </w:pPr>
          <w:r>
            <w:rPr>
              <w:w w:val="103"/>
            </w:rPr>
            <w:fldChar w:fldCharType="begin"/>
          </w:r>
          <w:r>
            <w:rPr>
              <w:w w:val="103"/>
            </w:rPr>
            <w:instrText xml:space="preserve"> PAGE  \* MERGEFORMAT </w:instrText>
          </w:r>
          <w:r>
            <w:rPr>
              <w:w w:val="103"/>
            </w:rPr>
            <w:fldChar w:fldCharType="separate"/>
          </w:r>
          <w:r w:rsidR="00F31E7C">
            <w:rPr>
              <w:w w:val="103"/>
            </w:rPr>
            <w:t>6</w:t>
          </w:r>
          <w:r>
            <w:rPr>
              <w:w w:val="103"/>
            </w:rPr>
            <w:fldChar w:fldCharType="end"/>
          </w:r>
        </w:p>
      </w:tc>
    </w:tr>
  </w:tbl>
  <w:p w:rsidR="00C752F1" w:rsidRPr="00F55E90" w:rsidRDefault="00C752F1" w:rsidP="00F55E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52F1" w:rsidTr="00F55E90">
      <w:tblPrEx>
        <w:tblCellMar>
          <w:top w:w="0" w:type="dxa"/>
          <w:bottom w:w="0" w:type="dxa"/>
        </w:tblCellMar>
      </w:tblPrEx>
      <w:tc>
        <w:tcPr>
          <w:tcW w:w="5033" w:type="dxa"/>
          <w:shd w:val="clear" w:color="auto" w:fill="auto"/>
        </w:tcPr>
        <w:p w:rsidR="00C752F1" w:rsidRPr="00F55E90" w:rsidRDefault="00C752F1" w:rsidP="00F55E90">
          <w:pPr>
            <w:pStyle w:val="Footer"/>
            <w:jc w:val="right"/>
            <w:rPr>
              <w:w w:val="103"/>
            </w:rPr>
          </w:pPr>
          <w:r>
            <w:rPr>
              <w:w w:val="103"/>
            </w:rPr>
            <w:fldChar w:fldCharType="begin"/>
          </w:r>
          <w:r>
            <w:rPr>
              <w:w w:val="103"/>
            </w:rPr>
            <w:instrText xml:space="preserve"> PAGE  \* MERGEFORMAT </w:instrText>
          </w:r>
          <w:r>
            <w:rPr>
              <w:w w:val="103"/>
            </w:rPr>
            <w:fldChar w:fldCharType="separate"/>
          </w:r>
          <w:r w:rsidR="00F31E7C">
            <w:rPr>
              <w:w w:val="103"/>
            </w:rPr>
            <w:t>5</w:t>
          </w:r>
          <w:r>
            <w:rPr>
              <w:w w:val="103"/>
            </w:rPr>
            <w:fldChar w:fldCharType="end"/>
          </w:r>
        </w:p>
      </w:tc>
      <w:tc>
        <w:tcPr>
          <w:tcW w:w="5033" w:type="dxa"/>
          <w:shd w:val="clear" w:color="auto" w:fill="auto"/>
        </w:tcPr>
        <w:p w:rsidR="00C752F1" w:rsidRPr="00F55E90" w:rsidRDefault="00C752F1" w:rsidP="00F55E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09-62029</w:t>
          </w:r>
          <w:r>
            <w:rPr>
              <w:b w:val="0"/>
              <w:w w:val="103"/>
              <w:sz w:val="14"/>
            </w:rPr>
            <w:fldChar w:fldCharType="end"/>
          </w:r>
        </w:p>
      </w:tc>
    </w:tr>
  </w:tbl>
  <w:p w:rsidR="00C752F1" w:rsidRPr="00F55E90" w:rsidRDefault="00C752F1" w:rsidP="00F55E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752F1">
      <w:tblPrEx>
        <w:tblCellMar>
          <w:top w:w="0" w:type="dxa"/>
          <w:bottom w:w="0" w:type="dxa"/>
        </w:tblCellMar>
      </w:tblPrEx>
      <w:tc>
        <w:tcPr>
          <w:tcW w:w="5033" w:type="dxa"/>
        </w:tcPr>
        <w:p w:rsidR="00C752F1" w:rsidRDefault="00C752F1" w:rsidP="00F55E9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09-62029 (E)</w:t>
          </w:r>
          <w:r>
            <w:rPr>
              <w:b w:val="0"/>
              <w:sz w:val="20"/>
            </w:rPr>
            <w:fldChar w:fldCharType="end"/>
          </w:r>
          <w:r>
            <w:rPr>
              <w:b w:val="0"/>
              <w:sz w:val="20"/>
            </w:rPr>
            <w:t xml:space="preserve">    111209    </w:t>
          </w:r>
        </w:p>
        <w:p w:rsidR="00C752F1" w:rsidRPr="00F55E90" w:rsidRDefault="00C752F1" w:rsidP="00F55E9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*0962029*</w:t>
          </w:r>
          <w:r>
            <w:rPr>
              <w:rFonts w:ascii="Barcode 3 of 9 by request" w:hAnsi="Barcode 3 of 9 by request"/>
              <w:b w:val="0"/>
              <w:sz w:val="24"/>
            </w:rPr>
            <w:fldChar w:fldCharType="end"/>
          </w:r>
        </w:p>
      </w:tc>
      <w:tc>
        <w:tcPr>
          <w:tcW w:w="5033" w:type="dxa"/>
        </w:tcPr>
        <w:p w:rsidR="00C752F1" w:rsidRDefault="00C752F1" w:rsidP="00F55E90">
          <w:pPr>
            <w:pStyle w:val="Footer"/>
            <w:jc w:val="right"/>
            <w:rPr>
              <w:b w:val="0"/>
              <w:sz w:val="20"/>
            </w:rPr>
          </w:pPr>
          <w:r w:rsidRPr="00F55E9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752F1" w:rsidRPr="00F55E90" w:rsidRDefault="00C752F1" w:rsidP="00F55E9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2B9" w:rsidRPr="004C5819" w:rsidRDefault="00F122B9" w:rsidP="004C5819">
      <w:pPr>
        <w:pStyle w:val="Footer"/>
        <w:spacing w:after="80"/>
        <w:ind w:left="792"/>
        <w:rPr>
          <w:sz w:val="16"/>
        </w:rPr>
      </w:pPr>
      <w:r w:rsidRPr="004C5819">
        <w:rPr>
          <w:sz w:val="16"/>
        </w:rPr>
        <w:t>__________________</w:t>
      </w:r>
    </w:p>
  </w:footnote>
  <w:footnote w:type="continuationSeparator" w:id="0">
    <w:p w:rsidR="00F122B9" w:rsidRPr="004C5819" w:rsidRDefault="00F122B9" w:rsidP="004C5819">
      <w:pPr>
        <w:pStyle w:val="Footer"/>
        <w:spacing w:after="80"/>
        <w:ind w:left="792"/>
        <w:rPr>
          <w:sz w:val="16"/>
        </w:rPr>
      </w:pPr>
      <w:r w:rsidRPr="004C5819">
        <w:rPr>
          <w:sz w:val="16"/>
        </w:rPr>
        <w:t>__________________</w:t>
      </w:r>
    </w:p>
  </w:footnote>
  <w:footnote w:id="1">
    <w:p w:rsidR="00C752F1" w:rsidRPr="004C5819" w:rsidRDefault="00C752F1" w:rsidP="004C5819">
      <w:pPr>
        <w:pStyle w:val="FootnoteText"/>
        <w:tabs>
          <w:tab w:val="clear" w:pos="418"/>
          <w:tab w:val="right" w:pos="1195"/>
          <w:tab w:val="left" w:pos="1267"/>
          <w:tab w:val="left" w:pos="1742"/>
          <w:tab w:val="left" w:pos="2218"/>
          <w:tab w:val="left" w:pos="2693"/>
        </w:tabs>
        <w:ind w:left="1267" w:right="1260" w:hanging="432"/>
        <w:rPr>
          <w:lang w:val="en-US"/>
        </w:rPr>
      </w:pPr>
      <w:r w:rsidRPr="004C5819">
        <w:tab/>
      </w:r>
      <w:r w:rsidRPr="004C5819">
        <w:rPr>
          <w:rStyle w:val="FootnoteReference"/>
          <w:spacing w:val="5"/>
          <w:w w:val="104"/>
          <w:position w:val="0"/>
          <w:vertAlign w:val="baseline"/>
        </w:rPr>
        <w:t>*</w:t>
      </w:r>
      <w:r w:rsidRPr="004C5819">
        <w:t xml:space="preserve"> </w:t>
      </w:r>
      <w:r w:rsidRPr="004C5819">
        <w:tab/>
      </w:r>
      <w:r>
        <w:t>CEDAW/C/2010/45/1.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52F1" w:rsidTr="00F55E90">
      <w:tblPrEx>
        <w:tblCellMar>
          <w:top w:w="0" w:type="dxa"/>
          <w:bottom w:w="0" w:type="dxa"/>
        </w:tblCellMar>
      </w:tblPrEx>
      <w:trPr>
        <w:trHeight w:hRule="exact" w:val="864"/>
      </w:trPr>
      <w:tc>
        <w:tcPr>
          <w:tcW w:w="4838" w:type="dxa"/>
          <w:shd w:val="clear" w:color="auto" w:fill="auto"/>
          <w:vAlign w:val="bottom"/>
        </w:tcPr>
        <w:p w:rsidR="00C752F1" w:rsidRPr="00F55E90" w:rsidRDefault="00C752F1" w:rsidP="00F55E90">
          <w:pPr>
            <w:pStyle w:val="Header"/>
            <w:spacing w:after="80"/>
            <w:rPr>
              <w:b/>
            </w:rPr>
          </w:pPr>
          <w:r>
            <w:rPr>
              <w:b/>
            </w:rPr>
            <w:fldChar w:fldCharType="begin"/>
          </w:r>
          <w:r>
            <w:rPr>
              <w:b/>
            </w:rPr>
            <w:instrText xml:space="preserve"> DOCVARIABLE "sss1" \* MERGEFORMAT </w:instrText>
          </w:r>
          <w:r>
            <w:rPr>
              <w:b/>
            </w:rPr>
            <w:fldChar w:fldCharType="separate"/>
          </w:r>
          <w:r>
            <w:rPr>
              <w:b/>
            </w:rPr>
            <w:t>CEDAW/C/2010/45/4</w:t>
          </w:r>
          <w:r>
            <w:rPr>
              <w:b/>
            </w:rPr>
            <w:fldChar w:fldCharType="end"/>
          </w:r>
        </w:p>
      </w:tc>
      <w:tc>
        <w:tcPr>
          <w:tcW w:w="5033" w:type="dxa"/>
          <w:shd w:val="clear" w:color="auto" w:fill="auto"/>
          <w:vAlign w:val="bottom"/>
        </w:tcPr>
        <w:p w:rsidR="00C752F1" w:rsidRDefault="00C752F1" w:rsidP="00F55E90">
          <w:pPr>
            <w:pStyle w:val="Header"/>
          </w:pPr>
        </w:p>
      </w:tc>
    </w:tr>
  </w:tbl>
  <w:p w:rsidR="00C752F1" w:rsidRPr="00F55E90" w:rsidRDefault="00C752F1" w:rsidP="00F55E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52F1" w:rsidTr="00F55E90">
      <w:tblPrEx>
        <w:tblCellMar>
          <w:top w:w="0" w:type="dxa"/>
          <w:bottom w:w="0" w:type="dxa"/>
        </w:tblCellMar>
      </w:tblPrEx>
      <w:trPr>
        <w:trHeight w:hRule="exact" w:val="864"/>
      </w:trPr>
      <w:tc>
        <w:tcPr>
          <w:tcW w:w="4838" w:type="dxa"/>
          <w:shd w:val="clear" w:color="auto" w:fill="auto"/>
          <w:vAlign w:val="bottom"/>
        </w:tcPr>
        <w:p w:rsidR="00C752F1" w:rsidRDefault="00C752F1" w:rsidP="00F55E90">
          <w:pPr>
            <w:pStyle w:val="Header"/>
          </w:pPr>
        </w:p>
      </w:tc>
      <w:tc>
        <w:tcPr>
          <w:tcW w:w="5033" w:type="dxa"/>
          <w:shd w:val="clear" w:color="auto" w:fill="auto"/>
          <w:vAlign w:val="bottom"/>
        </w:tcPr>
        <w:p w:rsidR="00C752F1" w:rsidRPr="00F55E90" w:rsidRDefault="00C752F1" w:rsidP="00F55E9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CEDAW/C/2010/45/4</w:t>
          </w:r>
          <w:r>
            <w:rPr>
              <w:b/>
            </w:rPr>
            <w:fldChar w:fldCharType="end"/>
          </w:r>
        </w:p>
      </w:tc>
    </w:tr>
  </w:tbl>
  <w:p w:rsidR="00C752F1" w:rsidRPr="00F55E90" w:rsidRDefault="00C752F1" w:rsidP="00F55E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752F1" w:rsidTr="00F55E9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752F1" w:rsidRDefault="00C752F1" w:rsidP="00F55E90">
          <w:pPr>
            <w:pStyle w:val="Header"/>
            <w:spacing w:after="120"/>
          </w:pPr>
        </w:p>
      </w:tc>
      <w:tc>
        <w:tcPr>
          <w:tcW w:w="1872" w:type="dxa"/>
          <w:tcBorders>
            <w:bottom w:val="single" w:sz="4" w:space="0" w:color="auto"/>
          </w:tcBorders>
          <w:shd w:val="clear" w:color="auto" w:fill="auto"/>
          <w:vAlign w:val="bottom"/>
        </w:tcPr>
        <w:p w:rsidR="00C752F1" w:rsidRPr="00F55E90" w:rsidRDefault="00C752F1" w:rsidP="00F55E9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752F1" w:rsidRDefault="00C752F1" w:rsidP="00F55E90">
          <w:pPr>
            <w:pStyle w:val="Header"/>
            <w:spacing w:after="120"/>
          </w:pPr>
        </w:p>
      </w:tc>
      <w:tc>
        <w:tcPr>
          <w:tcW w:w="6523" w:type="dxa"/>
          <w:gridSpan w:val="4"/>
          <w:tcBorders>
            <w:bottom w:val="single" w:sz="4" w:space="0" w:color="auto"/>
          </w:tcBorders>
          <w:shd w:val="clear" w:color="auto" w:fill="auto"/>
          <w:vAlign w:val="bottom"/>
        </w:tcPr>
        <w:p w:rsidR="00C752F1" w:rsidRPr="00F55E90" w:rsidRDefault="00C752F1" w:rsidP="00F55E90">
          <w:pPr>
            <w:spacing w:after="80" w:line="240" w:lineRule="auto"/>
            <w:jc w:val="right"/>
            <w:rPr>
              <w:position w:val="-4"/>
            </w:rPr>
          </w:pPr>
          <w:r>
            <w:rPr>
              <w:position w:val="-4"/>
              <w:sz w:val="40"/>
            </w:rPr>
            <w:t>CEDAW</w:t>
          </w:r>
          <w:r>
            <w:rPr>
              <w:position w:val="-4"/>
            </w:rPr>
            <w:t>/C/2010/45/4</w:t>
          </w:r>
        </w:p>
      </w:tc>
    </w:tr>
    <w:tr w:rsidR="00C752F1" w:rsidRPr="00F55E90" w:rsidTr="00F55E9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752F1" w:rsidRDefault="00C752F1" w:rsidP="00F55E9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52F1" w:rsidRPr="00F55E90" w:rsidRDefault="00C752F1" w:rsidP="00F55E90">
          <w:pPr>
            <w:pStyle w:val="Header"/>
            <w:spacing w:before="109"/>
          </w:pPr>
        </w:p>
      </w:tc>
      <w:tc>
        <w:tcPr>
          <w:tcW w:w="5227" w:type="dxa"/>
          <w:gridSpan w:val="3"/>
          <w:tcBorders>
            <w:top w:val="single" w:sz="4" w:space="0" w:color="auto"/>
            <w:bottom w:val="single" w:sz="12" w:space="0" w:color="auto"/>
          </w:tcBorders>
          <w:shd w:val="clear" w:color="auto" w:fill="auto"/>
        </w:tcPr>
        <w:p w:rsidR="00C752F1" w:rsidRPr="00F55E90" w:rsidRDefault="00C752F1" w:rsidP="00F55E9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752F1" w:rsidRPr="00F55E90" w:rsidRDefault="00C752F1" w:rsidP="00F55E90">
          <w:pPr>
            <w:pStyle w:val="Header"/>
            <w:spacing w:before="109"/>
          </w:pPr>
        </w:p>
      </w:tc>
      <w:tc>
        <w:tcPr>
          <w:tcW w:w="3140" w:type="dxa"/>
          <w:tcBorders>
            <w:top w:val="single" w:sz="4" w:space="0" w:color="auto"/>
            <w:bottom w:val="single" w:sz="12" w:space="0" w:color="auto"/>
          </w:tcBorders>
          <w:shd w:val="clear" w:color="auto" w:fill="auto"/>
        </w:tcPr>
        <w:p w:rsidR="00C752F1" w:rsidRDefault="00C752F1" w:rsidP="00F55E90">
          <w:pPr>
            <w:spacing w:before="240"/>
          </w:pPr>
          <w:r>
            <w:t>Distr.: General</w:t>
          </w:r>
        </w:p>
        <w:p w:rsidR="00C752F1" w:rsidRDefault="00C752F1" w:rsidP="00F55E90">
          <w:r>
            <w:t>25 December 2009</w:t>
          </w:r>
        </w:p>
        <w:p w:rsidR="00C752F1" w:rsidRDefault="00C752F1" w:rsidP="00F55E90"/>
        <w:p w:rsidR="00C752F1" w:rsidRPr="00F55E90" w:rsidRDefault="00C752F1" w:rsidP="00F55E90">
          <w:r>
            <w:t>Original: English</w:t>
          </w:r>
        </w:p>
      </w:tc>
    </w:tr>
  </w:tbl>
  <w:p w:rsidR="00C752F1" w:rsidRPr="00F55E90" w:rsidRDefault="00C752F1" w:rsidP="00F55E9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04518"/>
    <w:multiLevelType w:val="multilevel"/>
    <w:tmpl w:val="78DE7D0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55246D7"/>
    <w:multiLevelType w:val="multilevel"/>
    <w:tmpl w:val="78DE7D0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7AF42CEA"/>
    <w:multiLevelType w:val="multilevel"/>
    <w:tmpl w:val="78DE7D0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62029*"/>
    <w:docVar w:name="CreationDt" w:val="10/12/2009 11:00 PM"/>
    <w:docVar w:name="DocCategory" w:val="Doc"/>
    <w:docVar w:name="DocType" w:val="Final"/>
    <w:docVar w:name="FooterJN" w:val="09-62029"/>
    <w:docVar w:name="jobn" w:val="09-62029 (E)"/>
    <w:docVar w:name="jobnDT" w:val="09-62029 (E)   101209"/>
    <w:docVar w:name="jobnDTDT" w:val="09-62029 (E)   101209   101209"/>
    <w:docVar w:name="JobNo" w:val="0962029E"/>
    <w:docVar w:name="OandT" w:val=" "/>
    <w:docVar w:name="sss1" w:val="CEDAW/C/2010/45/4"/>
    <w:docVar w:name="sss2" w:val="-"/>
    <w:docVar w:name="Symbol1" w:val="CEDAW/C/2010/45/4"/>
    <w:docVar w:name="Symbol2" w:val="-"/>
  </w:docVars>
  <w:rsids>
    <w:rsidRoot w:val="00DC7D80"/>
    <w:rsid w:val="00007BBC"/>
    <w:rsid w:val="00011D81"/>
    <w:rsid w:val="000243C1"/>
    <w:rsid w:val="000347E0"/>
    <w:rsid w:val="00042812"/>
    <w:rsid w:val="00062E0F"/>
    <w:rsid w:val="00073B00"/>
    <w:rsid w:val="000930EA"/>
    <w:rsid w:val="000945D6"/>
    <w:rsid w:val="000A39D2"/>
    <w:rsid w:val="000B4328"/>
    <w:rsid w:val="00107D5F"/>
    <w:rsid w:val="00112A87"/>
    <w:rsid w:val="001208CF"/>
    <w:rsid w:val="0014324D"/>
    <w:rsid w:val="001745C0"/>
    <w:rsid w:val="00184193"/>
    <w:rsid w:val="0019245C"/>
    <w:rsid w:val="001B5083"/>
    <w:rsid w:val="001C266D"/>
    <w:rsid w:val="00212931"/>
    <w:rsid w:val="002141E3"/>
    <w:rsid w:val="00222732"/>
    <w:rsid w:val="002508E9"/>
    <w:rsid w:val="00264ABD"/>
    <w:rsid w:val="00274B66"/>
    <w:rsid w:val="002B3EBC"/>
    <w:rsid w:val="002D4228"/>
    <w:rsid w:val="00380C2E"/>
    <w:rsid w:val="003928D1"/>
    <w:rsid w:val="003E4CB5"/>
    <w:rsid w:val="00411B69"/>
    <w:rsid w:val="004350F4"/>
    <w:rsid w:val="00441EF4"/>
    <w:rsid w:val="0045397A"/>
    <w:rsid w:val="004831A5"/>
    <w:rsid w:val="004A06AE"/>
    <w:rsid w:val="004C5819"/>
    <w:rsid w:val="004D0839"/>
    <w:rsid w:val="004D7A08"/>
    <w:rsid w:val="004E2FE4"/>
    <w:rsid w:val="004F269C"/>
    <w:rsid w:val="00502499"/>
    <w:rsid w:val="00542A9C"/>
    <w:rsid w:val="00546F5D"/>
    <w:rsid w:val="00583963"/>
    <w:rsid w:val="00594A53"/>
    <w:rsid w:val="005D3D41"/>
    <w:rsid w:val="00600132"/>
    <w:rsid w:val="0060441D"/>
    <w:rsid w:val="00637838"/>
    <w:rsid w:val="00653B25"/>
    <w:rsid w:val="00656459"/>
    <w:rsid w:val="00696C4F"/>
    <w:rsid w:val="006A012D"/>
    <w:rsid w:val="006B6EDE"/>
    <w:rsid w:val="006E0677"/>
    <w:rsid w:val="00724074"/>
    <w:rsid w:val="00730FFA"/>
    <w:rsid w:val="007669B0"/>
    <w:rsid w:val="0079386A"/>
    <w:rsid w:val="007A1842"/>
    <w:rsid w:val="007D586B"/>
    <w:rsid w:val="007E30A4"/>
    <w:rsid w:val="007F3C8D"/>
    <w:rsid w:val="008334E6"/>
    <w:rsid w:val="00852178"/>
    <w:rsid w:val="00871028"/>
    <w:rsid w:val="00885F41"/>
    <w:rsid w:val="008A7B66"/>
    <w:rsid w:val="008B14D2"/>
    <w:rsid w:val="008D48EE"/>
    <w:rsid w:val="009009E3"/>
    <w:rsid w:val="00902F4F"/>
    <w:rsid w:val="00956D53"/>
    <w:rsid w:val="00961E03"/>
    <w:rsid w:val="009946BE"/>
    <w:rsid w:val="009E6C4F"/>
    <w:rsid w:val="00A12857"/>
    <w:rsid w:val="00A133BD"/>
    <w:rsid w:val="00A251C7"/>
    <w:rsid w:val="00A53A88"/>
    <w:rsid w:val="00A56356"/>
    <w:rsid w:val="00A76C7B"/>
    <w:rsid w:val="00A83C88"/>
    <w:rsid w:val="00A9008C"/>
    <w:rsid w:val="00B10B5D"/>
    <w:rsid w:val="00B150ED"/>
    <w:rsid w:val="00B27C06"/>
    <w:rsid w:val="00B97275"/>
    <w:rsid w:val="00BB171E"/>
    <w:rsid w:val="00BB48B7"/>
    <w:rsid w:val="00BD0DCE"/>
    <w:rsid w:val="00BD2782"/>
    <w:rsid w:val="00BE1486"/>
    <w:rsid w:val="00BE7824"/>
    <w:rsid w:val="00C2494E"/>
    <w:rsid w:val="00C27CFE"/>
    <w:rsid w:val="00C307BD"/>
    <w:rsid w:val="00C4314B"/>
    <w:rsid w:val="00C45322"/>
    <w:rsid w:val="00C60A8E"/>
    <w:rsid w:val="00C752F1"/>
    <w:rsid w:val="00CC5B87"/>
    <w:rsid w:val="00CD362B"/>
    <w:rsid w:val="00D151CD"/>
    <w:rsid w:val="00D379B4"/>
    <w:rsid w:val="00D569A8"/>
    <w:rsid w:val="00D935A2"/>
    <w:rsid w:val="00DB40F4"/>
    <w:rsid w:val="00DC7D80"/>
    <w:rsid w:val="00E05A3F"/>
    <w:rsid w:val="00E2422E"/>
    <w:rsid w:val="00E64F8A"/>
    <w:rsid w:val="00E73A22"/>
    <w:rsid w:val="00E76523"/>
    <w:rsid w:val="00E94566"/>
    <w:rsid w:val="00F122B9"/>
    <w:rsid w:val="00F31E7C"/>
    <w:rsid w:val="00F55E90"/>
    <w:rsid w:val="00F90544"/>
    <w:rsid w:val="00F9421B"/>
    <w:rsid w:val="00FA6F46"/>
    <w:rsid w:val="00FB6D33"/>
    <w:rsid w:val="00FC353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7">
    <w:name w:val="heading 7"/>
    <w:basedOn w:val="Normal"/>
    <w:next w:val="Normal"/>
    <w:qFormat/>
    <w:rsid w:val="00A133BD"/>
    <w:pPr>
      <w:numPr>
        <w:ilvl w:val="6"/>
        <w:numId w:val="1"/>
      </w:numPr>
      <w:spacing w:before="240" w:after="60"/>
      <w:outlineLvl w:val="6"/>
    </w:pPr>
    <w:rPr>
      <w:sz w:val="24"/>
      <w:szCs w:val="24"/>
    </w:rPr>
  </w:style>
  <w:style w:type="paragraph" w:styleId="Heading8">
    <w:name w:val="heading 8"/>
    <w:basedOn w:val="Normal"/>
    <w:next w:val="Normal"/>
    <w:qFormat/>
    <w:rsid w:val="00A133BD"/>
    <w:pPr>
      <w:numPr>
        <w:ilvl w:val="7"/>
        <w:numId w:val="1"/>
      </w:numPr>
      <w:spacing w:before="240" w:after="60"/>
      <w:outlineLvl w:val="7"/>
    </w:pPr>
    <w:rPr>
      <w:i/>
      <w:iCs/>
      <w:sz w:val="24"/>
      <w:szCs w:val="24"/>
    </w:rPr>
  </w:style>
  <w:style w:type="paragraph" w:styleId="Heading9">
    <w:name w:val="heading 9"/>
    <w:basedOn w:val="Normal"/>
    <w:next w:val="Normal"/>
    <w:qFormat/>
    <w:rsid w:val="00A133BD"/>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55E90"/>
  </w:style>
  <w:style w:type="paragraph" w:styleId="CommentSubject">
    <w:name w:val="annotation subject"/>
    <w:basedOn w:val="CommentText"/>
    <w:next w:val="CommentText"/>
    <w:semiHidden/>
    <w:rsid w:val="00F55E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83</TotalTime>
  <Pages>1</Pages>
  <Words>4122</Words>
  <Characters>22181</Characters>
  <Application>Microsoft Office Word</Application>
  <DocSecurity>4</DocSecurity>
  <Lines>599</Lines>
  <Paragraphs>202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Shana Carter</cp:lastModifiedBy>
  <cp:revision>16</cp:revision>
  <cp:lastPrinted>2009-12-11T15:48:00Z</cp:lastPrinted>
  <dcterms:created xsi:type="dcterms:W3CDTF">2009-12-11T14:20:00Z</dcterms:created>
  <dcterms:modified xsi:type="dcterms:W3CDTF">2009-12-11T15:55:00Z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0962029</vt:lpwstr>
  </property>
  <property fmtid="{D5CDD505-2E9C-101B-9397-08002B2CF9AE}" pid="3" name="Symbol1">
    <vt:lpwstr>CEDAW/C/2010/45/4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- 11pp</vt:lpwstr>
  </property>
  <property fmtid="{D5CDD505-2E9C-101B-9397-08002B2CF9AE}" pid="8" name="Operator">
    <vt:lpwstr>scc (F)</vt:lpwstr>
  </property>
</Properties>
</file>