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83° período de sesiones</w:t>
      </w:r>
    </w:p>
    <w:p w:rsidR="00000000" w:rsidRDefault="00000000">
      <w:pPr>
        <w:spacing w:line="240" w:lineRule="auto"/>
        <w:rPr>
          <w:sz w:val="12"/>
        </w:rPr>
      </w:pPr>
    </w:p>
    <w:p w:rsidR="00000000" w:rsidRDefault="00000000">
      <w:pPr>
        <w:pStyle w:val="H23"/>
      </w:pPr>
      <w:r>
        <w:t>Acta resumida de la 2256ª sesión</w:t>
      </w:r>
    </w:p>
    <w:p w:rsidR="00000000" w:rsidRDefault="00000000">
      <w:r>
        <w:t>Celebrada en la Sede, Nueva York, el martes 1° de marzo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Chanet</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 xml:space="preserve">Examen de los informes presentados por los Estados Partes en virtud del artículo </w:t>
      </w:r>
      <w:r>
        <w:br/>
        <w:t>40 del Pacto y de las situaciones de los países (</w:t>
      </w:r>
      <w:r>
        <w:rPr>
          <w:i/>
        </w:rPr>
        <w:t>continuación</w:t>
      </w:r>
      <w:r>
        <w:t>)</w:t>
      </w:r>
    </w:p>
    <w:p w:rsidR="00000000" w:rsidRDefault="00000000">
      <w:pPr>
        <w:pStyle w:val="SingleTxt"/>
      </w:pPr>
      <w:r>
        <w:tab/>
      </w:r>
      <w:r>
        <w:rPr>
          <w:i/>
        </w:rPr>
        <w:t xml:space="preserve">Segundo informe periódico de Kenya </w:t>
      </w:r>
      <w:r>
        <w:t>(</w:t>
      </w:r>
      <w:r>
        <w:rPr>
          <w:i/>
        </w:rPr>
        <w:t>continuación</w:t>
      </w:r>
      <w:r>
        <w:t>)</w:t>
      </w:r>
    </w:p>
    <w:p w:rsidR="00000000" w:rsidRDefault="00000000">
      <w:pPr>
        <w:pStyle w:val="SingleTxt"/>
      </w:pPr>
    </w:p>
    <w:p w:rsidR="00000000" w:rsidRDefault="00000000">
      <w:pPr>
        <w:pStyle w:val="SingleTxt"/>
        <w:suppressAutoHyphens/>
        <w:jc w:val="left"/>
      </w:pP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en virtud del artículo 40 del Pacto y de las situaciones de los países</w:t>
      </w:r>
      <w:r>
        <w:rPr>
          <w:b w:val="0"/>
        </w:rPr>
        <w:t xml:space="preserve"> (continuación)</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ab/>
        <w:t xml:space="preserve">Segundo informe periódico de Kenya </w:t>
      </w:r>
      <w:r>
        <w:rPr>
          <w:i w:val="0"/>
        </w:rPr>
        <w:t>(</w:t>
      </w:r>
      <w:r>
        <w:t>continuación</w:t>
      </w:r>
      <w:r>
        <w:rPr>
          <w:i w:val="0"/>
        </w:rPr>
        <w:t>) (CCPR/C/KEN/2004/2; CCPR/C/82/L/KEN)</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Por invitación de la Presidenta, la delegación de Kenya toma asiento a la mesa del Comité.</w:t>
      </w:r>
    </w:p>
    <w:p w:rsidR="00000000" w:rsidRDefault="00000000">
      <w:pPr>
        <w:pStyle w:val="DualTxt"/>
        <w:numPr>
          <w:ilvl w:val="0"/>
          <w:numId w:val="8"/>
        </w:numPr>
        <w:tabs>
          <w:tab w:val="clear" w:pos="960"/>
          <w:tab w:val="left" w:pos="475"/>
          <w:tab w:val="left" w:pos="965"/>
        </w:tabs>
      </w:pPr>
      <w:r>
        <w:rPr>
          <w:b/>
        </w:rPr>
        <w:t>La Presidenta</w:t>
      </w:r>
      <w:r>
        <w:t xml:space="preserve"> invita a los miembros del Comité a que hagan las preguntas adicionales que tengan que hacer en rel</w:t>
      </w:r>
      <w:r>
        <w:t>a</w:t>
      </w:r>
      <w:r>
        <w:t>ción con las cuestiones 1 a 18 de la lista.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Bhagwati</w:t>
      </w:r>
      <w:r>
        <w:t xml:space="preserve"> dice que le preocupa que los d</w:t>
      </w:r>
      <w:r>
        <w:t>e</w:t>
      </w:r>
      <w:r>
        <w:t>rechos contemplados en el Pacto estén diseminados por distintas disposiciones constitucionales y de la legisl</w:t>
      </w:r>
      <w:r>
        <w:t>a</w:t>
      </w:r>
      <w:r>
        <w:t>ción interna, por lo que no se pueden hacer cumplir en los tribunales internos. Actualmente, estos derechos no tienen procedencia sobre la legislación interna, que está sujeta a los caprichos de la legislatura; deberían estar plasmados en la Constitución, que es más difícil de enmendar que la legislación interna. Espera que en la nueva constitución figure un capítulo dedicado e</w:t>
      </w:r>
      <w:r>
        <w:t>x</w:t>
      </w:r>
      <w:r>
        <w:t>clusivamente a los derechos conte</w:t>
      </w:r>
      <w:r>
        <w:t>m</w:t>
      </w:r>
      <w:r>
        <w:t>plados en el Pacto.</w:t>
      </w:r>
    </w:p>
    <w:p w:rsidR="00000000" w:rsidRDefault="00000000">
      <w:pPr>
        <w:pStyle w:val="DualTxt"/>
        <w:numPr>
          <w:ilvl w:val="0"/>
          <w:numId w:val="8"/>
        </w:numPr>
        <w:tabs>
          <w:tab w:val="clear" w:pos="960"/>
          <w:tab w:val="left" w:pos="475"/>
          <w:tab w:val="left" w:pos="965"/>
        </w:tabs>
      </w:pPr>
      <w:r>
        <w:t>Desea saber si existe un programa de formación de magistrados y, en caso afirmativo, si el estudio del Pacto forma parte de sus disciplinas. Aunque el Pacto no formase parte de la jurisprudencia interna, la inte</w:t>
      </w:r>
      <w:r>
        <w:t>r</w:t>
      </w:r>
      <w:r>
        <w:t>pretación de la legislación interna puede basarse en esos derechos y darles efectividad, de conformidad con los Principios de Bangalore sobre la conducta judicial. En consecuencia, los jueces deben capacitarse en las técnicas de incorporación de los derechos humanos mediante la interpretación jud</w:t>
      </w:r>
      <w:r>
        <w:t>i</w:t>
      </w:r>
      <w:r>
        <w:t xml:space="preserve">cial. </w:t>
      </w:r>
    </w:p>
    <w:p w:rsidR="00000000" w:rsidRDefault="00000000">
      <w:pPr>
        <w:pStyle w:val="DualTxt"/>
        <w:numPr>
          <w:ilvl w:val="0"/>
          <w:numId w:val="8"/>
        </w:numPr>
        <w:tabs>
          <w:tab w:val="clear" w:pos="960"/>
          <w:tab w:val="left" w:pos="475"/>
          <w:tab w:val="left" w:pos="965"/>
        </w:tabs>
      </w:pPr>
      <w:r>
        <w:t>El orador desea saber si la Comisión Nacional de Derechos Humanos de Kenya es un órgano estatutario, cuáles son sus funciones, cómo se nombra a sus fu</w:t>
      </w:r>
      <w:r>
        <w:t>n</w:t>
      </w:r>
      <w:r>
        <w:t>cionarios y si éstos tienen seguridad en el cargo. Se pregunta si sus recomendaciones son vinculantes y si la Comisión ha tratado de cambiar las actitudes culturales y forjar una estructura democrática de derechos hum</w:t>
      </w:r>
      <w:r>
        <w:t>a</w:t>
      </w:r>
      <w:r>
        <w:t>nos. Desea obtener información sobre las medidas adoptadas para incrementar la representación de las mujeres en el Parlamento, incluida la discriminación inversa.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Habría que aclarar algunos párrafos del informe. En el párrafo 33, aparentemente se da a entender que, en la herencia de una persona intestada los padres ti</w:t>
      </w:r>
      <w:r>
        <w:t>e</w:t>
      </w:r>
      <w:r>
        <w:t>nen prioridad sobre el cónyuge y los hijos; de ser así, ni el cónyuge ni los hijos recibirían nada y tendrían que depender de los familiares políticos. Desea saber si los derechos de propiedad de las mujeres, descritos en el párrafo 37, se aplican inco</w:t>
      </w:r>
      <w:r>
        <w:t>n</w:t>
      </w:r>
      <w:r>
        <w:t>dicionalmente.</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El acceso limitado a los medios anticonceptivos da lugar a embarazos no deseados, que a menudo oc</w:t>
      </w:r>
      <w:r>
        <w:t>a</w:t>
      </w:r>
      <w:r>
        <w:t>sionan abortos ilegales que ponen en peligro la vida de la madre. Desea saber si el Gobierno considera la pos</w:t>
      </w:r>
      <w:r>
        <w:t>i</w:t>
      </w:r>
      <w:r>
        <w:t>bilidad de legalizar el aborto en determinadas circun</w:t>
      </w:r>
      <w:r>
        <w:t>s</w:t>
      </w:r>
      <w:r>
        <w:t>tancias, o tomar otras disposiciones para impedir que se produzcan dichas situaciones. La mutilación genital femenina es una práctica generalizada en zonas rurales y el orador quisiera saber si hay alguna ley que la prohíba. Además, hay que educar a hombres y mujeres para incitarles a abandonar esa práct</w:t>
      </w:r>
      <w:r>
        <w:t>i</w:t>
      </w:r>
      <w:r>
        <w:t xml:space="preserve">ca. </w:t>
      </w:r>
    </w:p>
    <w:p w:rsidR="00000000" w:rsidRDefault="00000000">
      <w:pPr>
        <w:pStyle w:val="DualTxt"/>
        <w:numPr>
          <w:ilvl w:val="0"/>
          <w:numId w:val="8"/>
        </w:numPr>
        <w:tabs>
          <w:tab w:val="clear" w:pos="960"/>
          <w:tab w:val="left" w:pos="475"/>
          <w:tab w:val="left" w:pos="965"/>
        </w:tabs>
      </w:pPr>
      <w:r>
        <w:rPr>
          <w:b/>
        </w:rPr>
        <w:t>El Sr. Johnson López</w:t>
      </w:r>
      <w:r>
        <w:t xml:space="preserve"> agradecería que se le fac</w:t>
      </w:r>
      <w:r>
        <w:t>i</w:t>
      </w:r>
      <w:r>
        <w:t>litase información complementaria sobre las dispos</w:t>
      </w:r>
      <w:r>
        <w:t>i</w:t>
      </w:r>
      <w:r>
        <w:t>ciones constitucionales o jurídicas en que se basó la decisión de destituir a más de 60 jueces de sus cargos y los trámites jurídicos de su sustitución. Se suma a lo dicho por el Sr. Bhagwati con respecto a la Comisión de Derechos Hum</w:t>
      </w:r>
      <w:r>
        <w:t>a</w:t>
      </w:r>
      <w:r>
        <w:t xml:space="preserve">nos de Kenya. </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O’Flaherty</w:t>
      </w:r>
      <w:r>
        <w:t xml:space="preserve"> se pregunta qué hace el G</w:t>
      </w:r>
      <w:r>
        <w:t>o</w:t>
      </w:r>
      <w:r>
        <w:t>bierno de Kenya para proteger a los refugiados, como dispone el artículo 2 del Pacto, por ejemplo ayudánd</w:t>
      </w:r>
      <w:r>
        <w:t>o</w:t>
      </w:r>
      <w:r>
        <w:t>les a regresar a la parte meridional del Sudán y a otros lugares, si lo desean. Querría obtener más información sobre la situación de un proyecto de ley sobre los ref</w:t>
      </w:r>
      <w:r>
        <w:t>u</w:t>
      </w:r>
      <w:r>
        <w:t>giados que se encuentra actualmente en el Parlamento, y saber en qué medida tiene en cuenta los derechos contemplados en el Pacto. Desearía conocer también la situación de la propuesta de establecer una Comisión de la Verdad y la Reconciliación, a la que se refiere el párrafo 44, y cuántos principios del Pacto, como las i</w:t>
      </w:r>
      <w:r>
        <w:t>n</w:t>
      </w:r>
      <w:r>
        <w:t>demnizaciones por violaciones de los derechos hum</w:t>
      </w:r>
      <w:r>
        <w:t>a</w:t>
      </w:r>
      <w:r>
        <w:t>nos, se han incluido en esta pr</w:t>
      </w:r>
      <w:r>
        <w:t>o</w:t>
      </w:r>
      <w:r>
        <w:t>puesta.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Wedgwood</w:t>
      </w:r>
      <w:r>
        <w:t xml:space="preserve"> pregunta cuántos, de los nueve enjuiciamientos por disparos de funcionarios de policía, han dado lugar a condenas y a cuántos respo</w:t>
      </w:r>
      <w:r>
        <w:t>n</w:t>
      </w:r>
      <w:r>
        <w:t>sables de muertes de personas detenidas se ha juzgado o condenado. Aunque piensa que la Comisión de la Verdad y la Reconciliación es una posibilidad, quizá sea prematura: no puede haber reconciliación sin enju</w:t>
      </w:r>
      <w:r>
        <w:t>i</w:t>
      </w:r>
      <w:r>
        <w:t xml:space="preserve">ciamiento. Desea saber si la Comisión tendría la </w:t>
      </w:r>
      <w:r>
        <w:rPr>
          <w:spacing w:val="2"/>
        </w:rPr>
        <w:t>p</w:t>
      </w:r>
      <w:r>
        <w:rPr>
          <w:spacing w:val="2"/>
        </w:rPr>
        <w:t>o</w:t>
      </w:r>
      <w:r>
        <w:rPr>
          <w:spacing w:val="2"/>
        </w:rPr>
        <w:t>testad de ordenar la destitución de funcionarios de pol</w:t>
      </w:r>
      <w:r>
        <w:rPr>
          <w:spacing w:val="2"/>
        </w:rPr>
        <w:t>i</w:t>
      </w:r>
      <w:r>
        <w:rPr>
          <w:spacing w:val="2"/>
        </w:rPr>
        <w:t>cía por hacer uso de la fuerza con resultado de muerte</w:t>
      </w:r>
      <w:r>
        <w:t>. Entiende que la falta de alimentos suficientes es un problema en las cárceles, especialmente en los casos de detención preventiva, y solicita mayor información s</w:t>
      </w:r>
      <w:r>
        <w:t>o</w:t>
      </w:r>
      <w:r>
        <w:t>bre la ingesta de calorías de los detenidos. Agradecería también disponer de más información sobre las med</w:t>
      </w:r>
      <w:r>
        <w:t>i</w:t>
      </w:r>
      <w:r>
        <w:t>das que se adoptan para proteger a las víctimas de la violencia doméstica, y que se aclarasen las estadísticas sobre el virus de inmunodeficiencia humana/síndrome de inmunodeficiencia adquirida (VIH/SIDA) que fig</w:t>
      </w:r>
      <w:r>
        <w:t>u</w:t>
      </w:r>
      <w:r>
        <w:t>ran en el párrafo 63 del informe. Pide que se comparen los métodos que se utilizan en Kenya para luchar co</w:t>
      </w:r>
      <w:r>
        <w:t>n</w:t>
      </w:r>
      <w:r>
        <w:t>tra la epidemia con los que se aplican en Uganda.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 xml:space="preserve">La Presidenta </w:t>
      </w:r>
      <w:r>
        <w:t>invita a la delegación a responder a las preguntas adicionales.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Wako</w:t>
      </w:r>
      <w:r>
        <w:t xml:space="preserve"> (Kenya) dice que la Comisión de l</w:t>
      </w:r>
      <w:r>
        <w:t>u</w:t>
      </w:r>
      <w:r>
        <w:t>cha contra la corrupción es un órgano totalmente ind</w:t>
      </w:r>
      <w:r>
        <w:t>e</w:t>
      </w:r>
      <w:r>
        <w:t>pendiente creado para recibir las quejas del público, la Asamblea Nacional y el Fiscal General, investigar la corrupción y realizar actividades de lucha contra la c</w:t>
      </w:r>
      <w:r>
        <w:t>o</w:t>
      </w:r>
      <w:r>
        <w:t>rrupción. Los procedimientos para el nombramiento de los cargos son completamente transparentes: los pue</w:t>
      </w:r>
      <w:r>
        <w:t>s</w:t>
      </w:r>
      <w:r>
        <w:t>tos deben anunciarse y una junta consultiva, de la que no forma parte el Gobierno, selecciona a los candid</w:t>
      </w:r>
      <w:r>
        <w:t>a</w:t>
      </w:r>
      <w:r>
        <w:t>tos. El director y su adjunto tienen seguridad en los cargos. Si las investigaciones realizadas aportan pru</w:t>
      </w:r>
      <w:r>
        <w:t>e</w:t>
      </w:r>
      <w:r>
        <w:t>bas suficientes, se remiten los casos al Fiscal General para su enjuiciamiento. Los procedimientos son tran</w:t>
      </w:r>
      <w:r>
        <w:t>s</w:t>
      </w:r>
      <w:r>
        <w:t>parentes. Su oficina se ha comprometido a erradicar la corrupción y el sistema vigente ha dado resultados importantes.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Las fechas discrepantes del establecimiento de la Comisión Nacional de Derechos Humanos de Kenya son correctas en ambos casos. La confusión tiene su origen en el hecho de que en 2002 se promulgó el pr</w:t>
      </w:r>
      <w:r>
        <w:t>o</w:t>
      </w:r>
      <w:r>
        <w:t>yecto de ley por el que se creaba la Comisión, poco tiempo antes de unas elecciones generales, pero, deb</w:t>
      </w:r>
      <w:r>
        <w:t>i</w:t>
      </w:r>
      <w:r>
        <w:t>do al retraso ocasionado por el proceso electoral, la ley no entró en vigor hasta 2003. Los procedimientos de nombramiento de cargos son parecidos para la Com</w:t>
      </w:r>
      <w:r>
        <w:t>i</w:t>
      </w:r>
      <w:r>
        <w:rPr>
          <w:spacing w:val="7"/>
          <w:w w:val="104"/>
        </w:rPr>
        <w:t>sión de Derechos Humanos y para la Comisión de lu</w:t>
      </w:r>
      <w:r>
        <w:t>cha contra la corru</w:t>
      </w:r>
      <w:r>
        <w:t>p</w:t>
      </w:r>
      <w:r>
        <w:t>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Acepta la posición del Sr. Bhagwati sobre la s</w:t>
      </w:r>
      <w:r>
        <w:t>i</w:t>
      </w:r>
      <w:r>
        <w:t>tuación del Pacto en la legislación: su Gobierno suscr</w:t>
      </w:r>
      <w:r>
        <w:t>i</w:t>
      </w:r>
      <w:r>
        <w:t>be cabalmente los Principios de Bangalore y, aunque hasta ahora la jurisprudencia nacional apenas se ha r</w:t>
      </w:r>
      <w:r>
        <w:t>e</w:t>
      </w:r>
      <w:r>
        <w:t>mitido al Pacto, la situación va a cambiar en el futuro. En cuanto Kenya haya ratificado el Protocolo Facult</w:t>
      </w:r>
      <w:r>
        <w:t>a</w:t>
      </w:r>
      <w:r>
        <w:t>tivo, la población tendrá mayor conciencia del Pacto; de ese modo, la interpretación judicial de las leyes en vigor en el marco de la Constitución y la legislación interna situará al Pacto en la j</w:t>
      </w:r>
      <w:r>
        <w:t>u</w:t>
      </w:r>
      <w:r>
        <w:t>risprudencia nacional.</w:t>
      </w:r>
    </w:p>
    <w:p w:rsidR="00000000" w:rsidRDefault="00000000">
      <w:pPr>
        <w:pStyle w:val="DualTxt"/>
        <w:numPr>
          <w:ilvl w:val="0"/>
          <w:numId w:val="8"/>
        </w:numPr>
        <w:tabs>
          <w:tab w:val="clear" w:pos="960"/>
          <w:tab w:val="left" w:pos="475"/>
          <w:tab w:val="left" w:pos="965"/>
        </w:tabs>
      </w:pPr>
      <w:r>
        <w:t>Kenya está en lo cierto al no promulgar legisl</w:t>
      </w:r>
      <w:r>
        <w:t>a</w:t>
      </w:r>
      <w:r>
        <w:t>ción interna sobre los derechos contemplados en el Pacto, puesto que ya existe una Constitución escrita. En consecuencia, si se aprobara dicha legislación, los derechos quedarían en un segundo plano, sujetos a la interpretación que se hiciera de ellos a la luz de la Constitución. Los derechos humanos no son un tema controvertido en la Constitución propuesta. Basta con ver la Declaración de Derechos y Garantías Fund</w:t>
      </w:r>
      <w:r>
        <w:t>a</w:t>
      </w:r>
      <w:r>
        <w:t>mentales para darse cuenta de que el alcance de los d</w:t>
      </w:r>
      <w:r>
        <w:t>e</w:t>
      </w:r>
      <w:r>
        <w:t>rechos que en ella se contemplan es incluso mayor que el del Pacto. Si el proceso constitucional fracasara, el Gobierno se vería forzado a enmendar la Constitución vigente para adaptarla a las dispos</w:t>
      </w:r>
      <w:r>
        <w:t>i</w:t>
      </w:r>
      <w:r>
        <w:t>ciones del Pacto.</w:t>
      </w:r>
    </w:p>
    <w:p w:rsidR="00000000" w:rsidRDefault="00000000">
      <w:pPr>
        <w:pStyle w:val="DualTxt"/>
        <w:numPr>
          <w:ilvl w:val="0"/>
          <w:numId w:val="8"/>
        </w:numPr>
        <w:tabs>
          <w:tab w:val="clear" w:pos="960"/>
          <w:tab w:val="left" w:pos="475"/>
          <w:tab w:val="left" w:pos="965"/>
        </w:tabs>
      </w:pPr>
      <w:r>
        <w:t>El Gobierno de Kenya no discrimina a la mujer y está avanzando, incluso mediante la acción afirmativa, para garantizar la igualdad de derechos políticos, ec</w:t>
      </w:r>
      <w:r>
        <w:t>o</w:t>
      </w:r>
      <w:r>
        <w:t>nómicos y sociales de la mujer. Ese es el objetivo de la Comisión sobre d</w:t>
      </w:r>
      <w:r>
        <w:t>e</w:t>
      </w:r>
      <w:r>
        <w:t>sarrollo de las cuestiones de género.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Wambua</w:t>
      </w:r>
      <w:r>
        <w:t xml:space="preserve"> (Kenya) dice que el Gobierno siempre ha sido consciente del papel esencial que d</w:t>
      </w:r>
      <w:r>
        <w:t>e</w:t>
      </w:r>
      <w:r>
        <w:t>sempeña la mujer en el desarrollo nacional. A ello es debido que la Oficina de la Mujer, creada en 1976 dentro del Departamento de Servicios Sociales para integrar a las mujeres en el proceso de desarrollo, haya aumentado la categoría convirtiéndose en el Depart</w:t>
      </w:r>
      <w:r>
        <w:t>a</w:t>
      </w:r>
      <w:r>
        <w:t>mento de Género. La oradora facilita algunas cifras de 2003 sobre la presencia de la mujer en distintos aspe</w:t>
      </w:r>
      <w:r>
        <w:t>c</w:t>
      </w:r>
      <w:r>
        <w:t>tos de la vida de Kenya y señala</w:t>
      </w:r>
      <w:r>
        <w:rPr>
          <w:b/>
        </w:rPr>
        <w:t xml:space="preserve"> </w:t>
      </w:r>
      <w:r>
        <w:t>que en el sector agr</w:t>
      </w:r>
      <w:r>
        <w:t>í</w:t>
      </w:r>
      <w:r>
        <w:t>cola, en el que trabajan en total 316.000 personas, hay 78.500 mujeres. En el sector de las manufacturas, el número de mujeres asciende a 141.100, de un total de casi 241.000 trabajadores, y el de hombres a 199.600. En la administración pública hay 55.600 mujeres, en comparación con 94.200 hombres. Actualmente Kenya cuenta con el mayor número de mujeres parlamentarias de su historia, 18 de un total de 220 diputados. En la educación primaria, las niñas representan el 49,9% de la matrícula total y los niños el 50,1%. En la educación secundaria, el porcentaje de niñas y niños es de 48,2% y 51,8% respectivamente. El 45,5% de los 8.021 est</w:t>
      </w:r>
      <w:r>
        <w:t>u</w:t>
      </w:r>
      <w:r>
        <w:t>diantes en universidades privadas son mujeres, cifra que en las universidades públicas es del 30,8%, de un total de 52.408 estudiantes.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Kiai</w:t>
      </w:r>
      <w:r>
        <w:t xml:space="preserve"> (Kenya) dice que la Comisión de D</w:t>
      </w:r>
      <w:r>
        <w:t>e</w:t>
      </w:r>
      <w:r>
        <w:t>rechos Humanos de Kenya tiene un amplio mandato, que abarca los derechos políticos, civiles, económicos, culturales y sociales. La Comisión establece su propia agenda y en 2003 se publicó su plan estratégico. Fu</w:t>
      </w:r>
      <w:r>
        <w:t>n</w:t>
      </w:r>
      <w:r>
        <w:t>damentalmente, hay impedimentos principales en el ámbito de la cultura: la cultura tradicional, la cultura social y la cultura gubernamental. En el ámbito de la cultura tradicional, la Comisión colabora con instit</w:t>
      </w:r>
      <w:r>
        <w:t>u</w:t>
      </w:r>
      <w:r>
        <w:t>ciones tradicionales para promover la introducción de cambios en los derechos de propiedad y de herencia de las mujeres. Pese a la ley vigente, la mujer de Kenya, en particular en el medio rural, no puede heredar a sus padres y maridos. La pandemia del VIH/SIDA ha agr</w:t>
      </w:r>
      <w:r>
        <w:t>a</w:t>
      </w:r>
      <w:r>
        <w:t>vado la situación, aumentando la pobreza entre las mujeres. La cultura social, que ha aceptado más de 40 años de autocracia y opresión, está empezando a cambiar. La Comisión intenta poner a las personas en condiciones de enfrentarse a sus dirigentes y promover la rendición de cuentas en todos los niveles del G</w:t>
      </w:r>
      <w:r>
        <w:t>o</w:t>
      </w:r>
      <w:r>
        <w:t xml:space="preserve">bierno. Asimismo, trabaja activamente para cambiar la cultura gubernamental a fin de que la administración, </w:t>
      </w:r>
      <w:r>
        <w:rPr>
          <w:spacing w:val="5"/>
          <w:w w:val="104"/>
        </w:rPr>
        <w:t>en lugar de acosar y despojar a las personas de sus de</w:t>
      </w:r>
      <w:r>
        <w:t>rechos y pr</w:t>
      </w:r>
      <w:r>
        <w:t>o</w:t>
      </w:r>
      <w:r>
        <w:t>piedades, atienda a sus necesidades.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Lamentablemente, la Comisión carece de capac</w:t>
      </w:r>
      <w:r>
        <w:t>i</w:t>
      </w:r>
      <w:r>
        <w:t xml:space="preserve">dad y financiación suficientes. Además, debido a su </w:t>
      </w:r>
      <w:r>
        <w:rPr>
          <w:spacing w:val="2"/>
        </w:rPr>
        <w:t>c</w:t>
      </w:r>
      <w:r>
        <w:rPr>
          <w:spacing w:val="2"/>
        </w:rPr>
        <w:t>a</w:t>
      </w:r>
      <w:r>
        <w:rPr>
          <w:spacing w:val="2"/>
        </w:rPr>
        <w:t xml:space="preserve">rácter de institución nueva que debe servir de órgano de vigilancia del Gobierno, a menudo tropieza con la falta de cooperación de las entidades públicas, especialmente la policía, aunque cuenta con la plena cooperación de la </w:t>
      </w:r>
      <w:r>
        <w:rPr>
          <w:spacing w:val="7"/>
          <w:w w:val="104"/>
        </w:rPr>
        <w:t>oficina del Fiscal General. La independencia fina</w:t>
      </w:r>
      <w:r>
        <w:rPr>
          <w:spacing w:val="7"/>
          <w:w w:val="104"/>
        </w:rPr>
        <w:t>n</w:t>
      </w:r>
      <w:r>
        <w:rPr>
          <w:spacing w:val="7"/>
          <w:w w:val="104"/>
        </w:rPr>
        <w:t>ciera es fundamental. Actualmente, la Comisión se resiste con valentía a los intentos de transformarla en un depart</w:t>
      </w:r>
      <w:r>
        <w:rPr>
          <w:spacing w:val="7"/>
          <w:w w:val="104"/>
        </w:rPr>
        <w:t>a</w:t>
      </w:r>
      <w:r>
        <w:t>mento del Gobierno.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Angote</w:t>
      </w:r>
      <w:r>
        <w:t xml:space="preserve"> (Kenya) dice que el objetivo del programa de reformas de los sectores de la gobern</w:t>
      </w:r>
      <w:r>
        <w:t>a</w:t>
      </w:r>
      <w:r>
        <w:t>ción, la justicia, la legislación y el orden público es r</w:t>
      </w:r>
      <w:r>
        <w:t>e</w:t>
      </w:r>
      <w:r>
        <w:t>formar y fortalecer las instituciones de esos sectores para que la administración de la justicia sea eficaz, responsable y transparente. Ello afecta a cuatro mini</w:t>
      </w:r>
      <w:r>
        <w:t>s</w:t>
      </w:r>
      <w:r>
        <w:t>terios del Gobierno y a más de 32 departamentos. El propósito es pasar de una filosofía institucional limit</w:t>
      </w:r>
      <w:r>
        <w:t>a</w:t>
      </w:r>
      <w:r>
        <w:t>da a un planteamiento más amplio y ejecutivo. En el marco del programa, se capacita a los magistrados r</w:t>
      </w:r>
      <w:r>
        <w:t>e</w:t>
      </w:r>
      <w:r>
        <w:t>cién nombrados en los procedimientos de determin</w:t>
      </w:r>
      <w:r>
        <w:t>a</w:t>
      </w:r>
      <w:r>
        <w:t>ción de las penas, antes de destinarlas a los distintos juzgados del país, a fin de concienciarles sobre las co</w:t>
      </w:r>
      <w:r>
        <w:t>n</w:t>
      </w:r>
      <w:r>
        <w:t>secuencias de sus decisiones en el aumento de la co</w:t>
      </w:r>
      <w:r>
        <w:t>n</w:t>
      </w:r>
      <w:r>
        <w:t>gestión de las cárceles. A los funcionarios de la policía y al personal penitenciario se les capacita en la prom</w:t>
      </w:r>
      <w:r>
        <w:t>o</w:t>
      </w:r>
      <w:r>
        <w:t>ción y protección de los derechos humanos en el eje</w:t>
      </w:r>
      <w:r>
        <w:t>r</w:t>
      </w:r>
      <w:r>
        <w:t>cicio de sus funciones, incluidas las posibles cons</w:t>
      </w:r>
      <w:r>
        <w:t>e</w:t>
      </w:r>
      <w:r>
        <w:t>cuencias de los arrestos, como el hacinamiento de las cárc</w:t>
      </w:r>
      <w:r>
        <w:t>e</w:t>
      </w:r>
      <w:r>
        <w:t>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El Sr. Wako</w:t>
      </w:r>
      <w:r>
        <w:t xml:space="preserve"> (Kenya), </w:t>
      </w:r>
      <w:r>
        <w:rPr>
          <w:spacing w:val="3"/>
        </w:rPr>
        <w:t>en referencia a la declar</w:t>
      </w:r>
      <w:r>
        <w:rPr>
          <w:spacing w:val="3"/>
        </w:rPr>
        <w:t>a</w:t>
      </w:r>
      <w:r>
        <w:rPr>
          <w:spacing w:val="3"/>
        </w:rPr>
        <w:t>ción de estado de excepción, dice que el Comité debería considerar la Constitución de Kenya en su integridad. En el artículo 83 de la Constitución, titulado “Derog</w:t>
      </w:r>
      <w:r>
        <w:rPr>
          <w:spacing w:val="3"/>
        </w:rPr>
        <w:t>a</w:t>
      </w:r>
      <w:r>
        <w:rPr>
          <w:spacing w:val="3"/>
        </w:rPr>
        <w:t>ción de los derechos y las libertades fundamentales”, figura una relación de los derechos que pueden deroga</w:t>
      </w:r>
      <w:r>
        <w:rPr>
          <w:spacing w:val="3"/>
        </w:rPr>
        <w:t>r</w:t>
      </w:r>
      <w:r>
        <w:rPr>
          <w:spacing w:val="3"/>
        </w:rPr>
        <w:t>se en un estado de excepción. Todos los demás derechos no pueden derogarse, de conformidad con lo dispuesto en el Pacto. Se han revocado las secciones especiales de la Constitución que se habían promulgado en ocasión de la guerra de secesión para lograr la independencia de la provincia nororiental de Kenya, así como las leyes promulgadas por el Parlamento en virtud de esas se</w:t>
      </w:r>
      <w:r>
        <w:rPr>
          <w:spacing w:val="3"/>
        </w:rPr>
        <w:t>c</w:t>
      </w:r>
      <w:r>
        <w:rPr>
          <w:spacing w:val="3"/>
        </w:rPr>
        <w:t>ciones. Toda declaración de estado de excepción debe estar sujeta a la aprobación del Parl</w:t>
      </w:r>
      <w:r>
        <w:rPr>
          <w:spacing w:val="3"/>
        </w:rPr>
        <w:t>a</w:t>
      </w:r>
      <w:r>
        <w:rPr>
          <w:spacing w:val="3"/>
        </w:rPr>
        <w:t>mento</w:t>
      </w:r>
      <w:r>
        <w:t>.</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En cuanto a la distinción entre el robo con vi</w:t>
      </w:r>
      <w:r>
        <w:t>o</w:t>
      </w:r>
      <w:r>
        <w:t>lencia y los casos ordinarios de asesinato, cuyo resu</w:t>
      </w:r>
      <w:r>
        <w:t>l</w:t>
      </w:r>
      <w:r>
        <w:t>tado en ambos casos puede ser la pena capital, señala que los casos ordinarios de asesinato se juzgan en el Tribunal Superior de Kenya. Según el sistema vigente, a cualquier acusado que no pueda costear los gastos de un abogado se le proporciona uno que lo represente, aunque en los casos de robo con violencia, que se ju</w:t>
      </w:r>
      <w:r>
        <w:t>z</w:t>
      </w:r>
      <w:r>
        <w:t xml:space="preserve">gan en tribunales de primera instancia, el acusado no </w:t>
      </w:r>
      <w:r>
        <w:rPr>
          <w:spacing w:val="0"/>
        </w:rPr>
        <w:t>goza de esta garantía procesal. Se están introduciendo r</w:t>
      </w:r>
      <w:r>
        <w:rPr>
          <w:spacing w:val="0"/>
        </w:rPr>
        <w:t>e</w:t>
      </w:r>
      <w:r>
        <w:rPr>
          <w:spacing w:val="0"/>
        </w:rPr>
        <w:t>formas para proporcionar garantías procesales en to</w:t>
      </w:r>
      <w:r>
        <w:t>dos los casos de ases</w:t>
      </w:r>
      <w:r>
        <w:t>i</w:t>
      </w:r>
      <w:r>
        <w:t>nato y de pena capital.</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El Gobierno nunca ha dado a la policía la orden de “disparar a matar”. El uso de armas de fuego por la policía debe hacerse de conformidad con la ley y con las normas establecidas en virtud del Código de co</w:t>
      </w:r>
      <w:r>
        <w:t>n</w:t>
      </w:r>
      <w:r>
        <w:t>ducta para los funcionarios de las fuerzas del orden. Se imparten programas de capacitación sobre derechos humanos para funcionarios de policía. El departamento de policía ha permitido incluso que grupos de la soci</w:t>
      </w:r>
      <w:r>
        <w:t>e</w:t>
      </w:r>
      <w:r>
        <w:t>dad civil, incluidos defensores de los derechos de la mujer, acudan a sus campos de entrenamiento para i</w:t>
      </w:r>
      <w:r>
        <w:t>m</w:t>
      </w:r>
      <w:r>
        <w:t>partir capacitación sobre derechos humanos. En alg</w:t>
      </w:r>
      <w:r>
        <w:t>u</w:t>
      </w:r>
      <w:r>
        <w:t>nas comisarías de policía se han creado servicios de atención a la mujer para atender denuncias y quejas s</w:t>
      </w:r>
      <w:r>
        <w:t>o</w:t>
      </w:r>
      <w:r>
        <w:t>bre cuestiones tales como la violencia doméstica y la violación. El objetivo último es que en cada comisaría de policía del país haya un servicio de este tipo.</w:t>
      </w:r>
    </w:p>
    <w:p w:rsidR="00000000" w:rsidRDefault="00000000">
      <w:pPr>
        <w:pStyle w:val="DualTxt"/>
        <w:numPr>
          <w:ilvl w:val="0"/>
          <w:numId w:val="17"/>
        </w:numPr>
        <w:tabs>
          <w:tab w:val="clear" w:pos="480"/>
          <w:tab w:val="clear" w:pos="960"/>
          <w:tab w:val="clear" w:pos="1742"/>
          <w:tab w:val="left" w:pos="475"/>
          <w:tab w:val="left" w:pos="965"/>
        </w:tabs>
        <w:ind w:left="0"/>
        <w:rPr>
          <w:spacing w:val="7"/>
          <w:w w:val="104"/>
        </w:rPr>
      </w:pPr>
      <w:r>
        <w:t>No puede indicar el número de presos que se e</w:t>
      </w:r>
      <w:r>
        <w:t>n</w:t>
      </w:r>
      <w:r>
        <w:t>cuentran en el corredor de la muerte, pero el Gobierno es muy consciente de que esa detención prolongada puede constituir un castigo cruel, degradante y poco habitual. Se han conmutado muchas condenas a muerte por cadenas perpetuas y se ha liberado a algunos recl</w:t>
      </w:r>
      <w:r>
        <w:t>u</w:t>
      </w:r>
      <w:r>
        <w:t>sos del corredor de la muerte que llevaban detenidos más de 20 años. Hasta 2002, más de 19 funcionarios de policía han comparecido ante un tribunal por violaci</w:t>
      </w:r>
      <w:r>
        <w:t>o</w:t>
      </w:r>
      <w:r>
        <w:t>nes de los derechos humanos y en varios casos se ha dictado un fallo condenatorio; la Organización Intern</w:t>
      </w:r>
      <w:r>
        <w:t>a</w:t>
      </w:r>
      <w:r>
        <w:t>cional de Policía Criminal (Interpol) está intentando localizar a los que se encuentran todavía en libertad. Existe una cadena de mando muy clara en las fuerzas de policía. Todos los funcionarios de policía dependen de la dirección del Comisionado de Policía; por ello, cuando se introduzcan reformas jurídicas, hay que prestar especial atención a las funciones de éste en lo que se refiere a los asuntos de los derechos huma</w:t>
      </w:r>
      <w:r>
        <w:rPr>
          <w:spacing w:val="7"/>
          <w:w w:val="104"/>
        </w:rPr>
        <w:t>nos. No tiene conocimiento de que las fuerzas armadas practiquen ningún tipo de tort</w:t>
      </w:r>
      <w:r>
        <w:rPr>
          <w:spacing w:val="7"/>
          <w:w w:val="104"/>
        </w:rPr>
        <w:t>u</w:t>
      </w:r>
      <w:r>
        <w:rPr>
          <w:spacing w:val="7"/>
          <w:w w:val="104"/>
        </w:rPr>
        <w:t>ras.</w:t>
      </w:r>
    </w:p>
    <w:p w:rsidR="00000000" w:rsidRDefault="00000000">
      <w:pPr>
        <w:pStyle w:val="DualTxt"/>
        <w:numPr>
          <w:ilvl w:val="0"/>
          <w:numId w:val="17"/>
        </w:numPr>
        <w:tabs>
          <w:tab w:val="clear" w:pos="480"/>
          <w:tab w:val="clear" w:pos="960"/>
          <w:tab w:val="clear" w:pos="1742"/>
          <w:tab w:val="left" w:pos="475"/>
          <w:tab w:val="left" w:pos="965"/>
        </w:tabs>
        <w:ind w:left="0"/>
      </w:pPr>
      <w:r>
        <w:t>El Gobierno anterior estableció la Comisión Akiwumi para investigar los enfrentamientos por causa de la tierra. Además de formular distintas recomend</w:t>
      </w:r>
      <w:r>
        <w:t>a</w:t>
      </w:r>
      <w:r>
        <w:t>ciones acerca del seguimiento, el informe de la Com</w:t>
      </w:r>
      <w:r>
        <w:t>i</w:t>
      </w:r>
      <w:r>
        <w:t>sión concluía, entre otras cosas, que la mayoría de los enfrentamientos por este motivo se debían a la escasez de este recurso, en concreto por la utilización de recu</w:t>
      </w:r>
      <w:r>
        <w:t>r</w:t>
      </w:r>
      <w:r>
        <w:t>sos fluviales, hídricos y terrestres en disputa. La sol</w:t>
      </w:r>
      <w:r>
        <w:t>u</w:t>
      </w:r>
      <w:r>
        <w:t>ción a largo plazo estribaba en la distribución de los recursos hídricos entre todas las comunidades. Un gr</w:t>
      </w:r>
      <w:r>
        <w:t>u</w:t>
      </w:r>
      <w:r>
        <w:t>po de trabajo sobre la creación de una comisión de la verdad, la justicia y la reconciliación había presentado su informe al Gobie</w:t>
      </w:r>
      <w:r>
        <w:t>r</w:t>
      </w:r>
      <w:r>
        <w:t>no.</w:t>
      </w:r>
    </w:p>
    <w:p w:rsidR="00000000" w:rsidRDefault="00000000">
      <w:pPr>
        <w:pStyle w:val="DualTxt"/>
        <w:numPr>
          <w:ilvl w:val="0"/>
          <w:numId w:val="17"/>
        </w:numPr>
        <w:tabs>
          <w:tab w:val="clear" w:pos="480"/>
          <w:tab w:val="clear" w:pos="960"/>
          <w:tab w:val="clear" w:pos="1742"/>
          <w:tab w:val="left" w:pos="475"/>
          <w:tab w:val="left" w:pos="965"/>
        </w:tabs>
        <w:ind w:left="0"/>
      </w:pPr>
      <w:r>
        <w:t>Actualmente el aborto está prohibido, excepto en los casos en que esté en peligro la vida de la madre y así lo certifique un médico. Algunos grupos están pr</w:t>
      </w:r>
      <w:r>
        <w:t>e</w:t>
      </w:r>
      <w:r>
        <w:t>sionando para cambiar la ley y facilitar el acceso al aborto, mientras que otros, en particular grupos religi</w:t>
      </w:r>
      <w:r>
        <w:t>o</w:t>
      </w:r>
      <w:r>
        <w:t xml:space="preserve">sos, quieren que éste se restrinja todavía más y </w:t>
      </w:r>
      <w:r>
        <w:rPr>
          <w:spacing w:val="2"/>
        </w:rPr>
        <w:t>prete</w:t>
      </w:r>
      <w:r>
        <w:rPr>
          <w:spacing w:val="2"/>
        </w:rPr>
        <w:t>n</w:t>
      </w:r>
      <w:r>
        <w:rPr>
          <w:spacing w:val="2"/>
        </w:rPr>
        <w:t>den, en definitiva, que se prohíba el aborto en cualquier</w:t>
      </w:r>
      <w:r>
        <w:t xml:space="preserve"> circunsta</w:t>
      </w:r>
      <w:r>
        <w:t>n</w:t>
      </w:r>
      <w:r>
        <w:t>cia.</w:t>
      </w:r>
    </w:p>
    <w:p w:rsidR="00000000" w:rsidRDefault="00000000">
      <w:pPr>
        <w:pStyle w:val="DualTxt"/>
        <w:numPr>
          <w:ilvl w:val="0"/>
          <w:numId w:val="17"/>
        </w:numPr>
        <w:tabs>
          <w:tab w:val="clear" w:pos="480"/>
          <w:tab w:val="clear" w:pos="960"/>
          <w:tab w:val="clear" w:pos="1742"/>
          <w:tab w:val="left" w:pos="475"/>
          <w:tab w:val="left" w:pos="965"/>
        </w:tabs>
        <w:ind w:left="0"/>
      </w:pPr>
      <w:r>
        <w:t>Kenya todavía no tiene una ley de lucha contra el terrorismo, pero organizaciones de derechos humanos no gubernamentales internacionales y nacionales están examinando un proyecto de ley para asegurar un equ</w:t>
      </w:r>
      <w:r>
        <w:t>i</w:t>
      </w:r>
      <w:r>
        <w:t xml:space="preserve">librio adecuado entre la necesidad de luchar contra la </w:t>
      </w:r>
      <w:r>
        <w:rPr>
          <w:spacing w:val="2"/>
        </w:rPr>
        <w:t>amenaza del terrorismo y la de proteger los derechos humanos. Kenya desea evitar que se otorgue al ejecuti</w:t>
      </w:r>
      <w:r>
        <w:t>vo un poder judicial excesivo. Espera que el proyecto de ley se apruebe antes de final de año.</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Se está revisando el formulario administrativo que figura en el expediente de los detenidos, en el que se especifica y justifica la forma y duración de su d</w:t>
      </w:r>
      <w:r>
        <w:t>e</w:t>
      </w:r>
      <w:r>
        <w:t>tención, a fin de que contenga más datos y esté disp</w:t>
      </w:r>
      <w:r>
        <w:t>o</w:t>
      </w:r>
      <w:r>
        <w:t>nible con mayor facilidad. La legislación detalla las penas máximas para los delitos y los tribunales tienen facultades discrecionales para dictar sentencias en fu</w:t>
      </w:r>
      <w:r>
        <w:t>n</w:t>
      </w:r>
      <w:r>
        <w:t>ción de las circunstancias del caso, aunque con suj</w:t>
      </w:r>
      <w:r>
        <w:t>e</w:t>
      </w:r>
      <w:r>
        <w:t>ción a limitaciones jurídicas. La seguridad de los ju</w:t>
      </w:r>
      <w:r>
        <w:t>e</w:t>
      </w:r>
      <w:r>
        <w:t>ces se ha tratado ampliamente en la respuesta escrita que ha facilitado su delegación a la pregunta 18 de la lista. Dadas las muchas denuncias de corrupción en el poder judicial, el Presidente del Tribunal Supremo nombró a un comité para que escuchara las quejas, las investigara y formulara recomendaciones, y se ha cre</w:t>
      </w:r>
      <w:r>
        <w:t>a</w:t>
      </w:r>
      <w:r>
        <w:t>do un tribunal al efecto. De modo imprevisto, más del 50% de los magistrados del Tribunal Supremo y el Tr</w:t>
      </w:r>
      <w:r>
        <w:t>i</w:t>
      </w:r>
      <w:r>
        <w:t>bunal de Apelaciones dimitieron para no someterse a la investigación, de manera que hay muchos puestos por cubrir en la judicat</w:t>
      </w:r>
      <w:r>
        <w:t>u</w:t>
      </w:r>
      <w:r>
        <w:t>ra.</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Lamentablemente, las cifras del informe sobre el VIH/SIDA son correctas. Se ha creado un comité n</w:t>
      </w:r>
      <w:r>
        <w:t>a</w:t>
      </w:r>
      <w:r>
        <w:t>cional de control del SIDA para concienciar a la pobl</w:t>
      </w:r>
      <w:r>
        <w:t>a</w:t>
      </w:r>
      <w:r>
        <w:t>ción sobre los riesgos que comportan determinadas conductas. El elevado costo de la medicación agrava el problema. El Gobierno está examinando un proyecto de ley sobe la violencia doméstica, así como otros doc</w:t>
      </w:r>
      <w:r>
        <w:t>u</w:t>
      </w:r>
      <w:r>
        <w:t>mentos legislativos relativos a prácticas tradicionales nocivas, como la mutilación genital femenina, que se impone a las niñas menores de 18 años.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Se ha preparado el proyecto de ley sobre los ref</w:t>
      </w:r>
      <w:r>
        <w:t>u</w:t>
      </w:r>
      <w:r>
        <w:t>giados en consulta con la Oficina del Alto Comision</w:t>
      </w:r>
      <w:r>
        <w:t>a</w:t>
      </w:r>
      <w:r>
        <w:t>do de las Naciones Unidas para los Refugiados, a fin de re</w:t>
      </w:r>
      <w:r>
        <w:rPr>
          <w:spacing w:val="0"/>
        </w:rPr>
        <w:t>coger las preocupaciones de las que es expresión el derecho internacional humanit</w:t>
      </w:r>
      <w:r>
        <w:rPr>
          <w:spacing w:val="0"/>
        </w:rPr>
        <w:t>a</w:t>
      </w:r>
      <w:r>
        <w:t>rio.</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rPr>
          <w:spacing w:val="2"/>
        </w:rPr>
      </w:pPr>
      <w:r>
        <w:rPr>
          <w:b/>
        </w:rPr>
        <w:t xml:space="preserve">Sir Nigel Rodley </w:t>
      </w:r>
      <w:r>
        <w:t>pregunta cómo prevé Kenya i</w:t>
      </w:r>
      <w:r>
        <w:t>n</w:t>
      </w:r>
      <w:r>
        <w:t xml:space="preserve">corporar las disposiciones del Pacto a su Constitución. Las cláusulas sobre derechos humanos vigentes no son totalmente coherentes con el Pacto y en el proyecto que ha examinado el Comité no se aprecian mejoras en las esferas fundamentales, como el derecho a ser asistido por un abogado en los casos que pueden dar lugar a la pena de muerte, sin el cual una persona se encuentra </w:t>
      </w:r>
      <w:r>
        <w:rPr>
          <w:spacing w:val="7"/>
          <w:w w:val="104"/>
        </w:rPr>
        <w:t>fundamentalmente en situación de detención inc</w:t>
      </w:r>
      <w:r>
        <w:rPr>
          <w:spacing w:val="7"/>
          <w:w w:val="104"/>
        </w:rPr>
        <w:t>o</w:t>
      </w:r>
      <w:r>
        <w:rPr>
          <w:spacing w:val="7"/>
          <w:w w:val="104"/>
        </w:rPr>
        <w:t>municada. Asimismo, desea obtener más información sobre las</w:t>
      </w:r>
      <w:r>
        <w:t xml:space="preserve"> medidas adoptadas por el Gobierno para que los órganos nacionales de derechos humanos puedan obtener </w:t>
      </w:r>
      <w:r>
        <w:rPr>
          <w:spacing w:val="5"/>
          <w:w w:val="104"/>
        </w:rPr>
        <w:t>realmente la plena cooperación de la policía cuando in</w:t>
      </w:r>
      <w:r>
        <w:rPr>
          <w:spacing w:val="2"/>
        </w:rPr>
        <w:t>tentan acceder a las prisiones y los deten</w:t>
      </w:r>
      <w:r>
        <w:rPr>
          <w:spacing w:val="2"/>
        </w:rPr>
        <w:t>i</w:t>
      </w:r>
      <w:r>
        <w:rPr>
          <w:spacing w:val="2"/>
        </w:rPr>
        <w:t>dos.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Lallah</w:t>
      </w:r>
      <w:r>
        <w:t xml:space="preserve"> sugiere que el Gobierno, cuando </w:t>
      </w:r>
      <w:r>
        <w:rPr>
          <w:spacing w:val="2"/>
        </w:rPr>
        <w:t xml:space="preserve">prepare un proyecto de ley de lucha contra el terrorismo, examine detalladamente el material que puede obtenerse </w:t>
      </w:r>
      <w:r>
        <w:rPr>
          <w:spacing w:val="5"/>
          <w:w w:val="104"/>
        </w:rPr>
        <w:t>del Comité al respecto, incluidas sus observaciones ge</w:t>
      </w:r>
      <w:r>
        <w:t>nerales a los artículos 2 y 4.</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Sra. Wedgwood</w:t>
      </w:r>
      <w:r>
        <w:t xml:space="preserve"> pregunta si se ha condenado a alguien por causar la muerte a un detenido o si se ha condenado a algún policía por hacer un uso excesivo de la fuerza, incluidos los disparos con resultado de muerte. Pregunta también cuáles son las normas sobre la alimentación de los deten</w:t>
      </w:r>
      <w:r>
        <w:t>i</w:t>
      </w:r>
      <w:r>
        <w:t xml:space="preserve">dos. </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Wako</w:t>
      </w:r>
      <w:r>
        <w:t xml:space="preserve"> (Kenya) acoge con agrado la opo</w:t>
      </w:r>
      <w:r>
        <w:t>r</w:t>
      </w:r>
      <w:r>
        <w:t>tunidad de examinar las observaciones generales del Comité, en particular las que se refieren a la legisl</w:t>
      </w:r>
      <w:r>
        <w:t>a</w:t>
      </w:r>
      <w:r>
        <w:t>ción de la lucha contra el terrorismo. Señala que ha h</w:t>
      </w:r>
      <w:r>
        <w:t>a</w:t>
      </w:r>
      <w:r>
        <w:rPr>
          <w:spacing w:val="0"/>
        </w:rPr>
        <w:t>bido problemas para garantizar a los órganos de dere</w:t>
      </w:r>
      <w:r>
        <w:t>chos humanos el pleno acceso a los detenidos, pero han sido aislados y no sistémicos. Garantizar la asistencia jur</w:t>
      </w:r>
      <w:r>
        <w:t>í</w:t>
      </w:r>
      <w:r>
        <w:t>dica a los detenidos sin recursos económicos es un o</w:t>
      </w:r>
      <w:r>
        <w:t>b</w:t>
      </w:r>
      <w:r>
        <w:t>jetivo para el que la mayoría de los países en desarrollo carecen de recursos suficientes. Expresa su aprecio por las actividades de los grupos de la sociedad civil que tienen como objetivo remediar esa deficiencia de los recursos gubernamentales. Ha habido casos de enju</w:t>
      </w:r>
      <w:r>
        <w:t>i</w:t>
      </w:r>
      <w:r>
        <w:t>ciamientos adecuados de funcionarios de prisiones que habían asesinado a detenidos y de policías que habían hecho un uso excesivo de la fuerza con resultado de muerte. No obstante, algunos de estos acusados han huido del país y están siendo buscados por las autor</w:t>
      </w:r>
      <w:r>
        <w:t>i</w:t>
      </w:r>
      <w:r>
        <w:t>dades de Kenya a través de la Interpol. Un grupo de trabajo sobre la reforma de la policía ha instado a que se cree un órgano independiente de enjuiciamiento que entienda de esos crím</w:t>
      </w:r>
      <w:r>
        <w:t>e</w:t>
      </w:r>
      <w:r>
        <w:t>nes.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La Presidenta</w:t>
      </w:r>
      <w:r>
        <w:t xml:space="preserve"> invita a la delegación de Kenya a que se refiera a las preguntas 19 a 30 de la lista de cuestiones.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Wako</w:t>
      </w:r>
      <w:r>
        <w:t xml:space="preserve"> (Kenya) revisa brevemente la re</w:t>
      </w:r>
      <w:r>
        <w:t>s</w:t>
      </w:r>
      <w:r>
        <w:t>puesta a la pregunta 19 sobre el poder judicial, que su delegación proporcionó por escrito, e insiste en que la independencia de la Comisión de Servicios Judiciales está garantizada por la Constitución. Gran parte de la pregunta 20 sobre la corrupción judicial se ha tratado en anteriores respuestas orales; señala que la exigencia de dar a conocer públicamente los ingresos y los bi</w:t>
      </w:r>
      <w:r>
        <w:t>e</w:t>
      </w:r>
      <w:r>
        <w:t>nes, impuesta por la Ley relativa a un Código Ético de los Funcionarios Públicos, y las actividades de la C</w:t>
      </w:r>
      <w:r>
        <w:t>o</w:t>
      </w:r>
      <w:r>
        <w:t>misión de lucha contra la corrupción, han demostrado ser instrumentos eficaces contra la corrupción. En ant</w:t>
      </w:r>
      <w:r>
        <w:t>e</w:t>
      </w:r>
      <w:r>
        <w:t>riores respuestas orales se ha tratado de la ayuda jur</w:t>
      </w:r>
      <w:r>
        <w:t>í</w:t>
      </w:r>
      <w:r>
        <w:t>dica, a la que se refiere la pregunta 21, y en la re</w:t>
      </w:r>
      <w:r>
        <w:t>s</w:t>
      </w:r>
      <w:r>
        <w:t>puesta escrita a la pregunta 22 se habla ampliamente de la relación entre los tribunales laicos y los musulm</w:t>
      </w:r>
      <w:r>
        <w:t>a</w:t>
      </w:r>
      <w:r>
        <w:t>nes. En relación con la pregunta 23 sobre el trat</w:t>
      </w:r>
      <w:r>
        <w:t>a</w:t>
      </w:r>
      <w:r>
        <w:t>miento de los residentes en asentamientos improvis</w:t>
      </w:r>
      <w:r>
        <w:t>a</w:t>
      </w:r>
      <w:r>
        <w:t>dos, en particular alrededor de Nairobi, asegura a los miembros del Comité, que no ha habido desalojos y que los ministerios competentes están estudiando sol</w:t>
      </w:r>
      <w:r>
        <w:t>u</w:t>
      </w:r>
      <w:r>
        <w:t>ciones a este problema, en consulta con el Programa de las Naciones Unidas para los Asentamientos Humanos (ONU-Hábitat). Las cuestiones de la pregunta 24 sobre la presunta manipulación de los permisos para emisi</w:t>
      </w:r>
      <w:r>
        <w:t>o</w:t>
      </w:r>
      <w:r>
        <w:t>nes audiovisuales en detrimento de la oposición polít</w:t>
      </w:r>
      <w:r>
        <w:t>i</w:t>
      </w:r>
      <w:r>
        <w:t>ca, constituyeron un problema durante la anterior a</w:t>
      </w:r>
      <w:r>
        <w:t>d</w:t>
      </w:r>
      <w:r>
        <w:t>ministración, pero el Gobierno actual ha adoptado la política de otorgar dichos permisos sin tener en cuenta las tendencias políticas.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En cuanto a la pregunta sobre el requisito de que las editoriales adquieran un bono antes de imprimir una publicación, señala que el costo de dicho bono no es elevado y que el objetivo de la medida, que no se apl</w:t>
      </w:r>
      <w:r>
        <w:t>i</w:t>
      </w:r>
      <w:r>
        <w:t>ca a las publicaciones existentes, es poner orden en la industria editorial y no amordazar a la prensa. Del mismo modo, las editoriales deben tener una dirección oficial para el caso, por ejemplo, de que sean objeto de una demanda por difamación. En lo que concierne a la pregunta 26, hace hincapié en que cuando se enmendó la ley en diciembre de 1992 quedaron sin efecto m</w:t>
      </w:r>
      <w:r>
        <w:t>u</w:t>
      </w:r>
      <w:r>
        <w:t>chas de las restricciones que estaban en vigor respecto de los artículos 21 y 22 del Pacto; por ejemplo, ya no se necesita permiso para celebrar una reunión, cuando se trata de encuentros sociales. No obstante, las re</w:t>
      </w:r>
      <w:r>
        <w:t>u</w:t>
      </w:r>
      <w:r>
        <w:t>niones políticas hay que notificarlas con antelación a las fuerzas del orden e inscribirlas en un registro of</w:t>
      </w:r>
      <w:r>
        <w:t>i</w:t>
      </w:r>
      <w:r>
        <w:t>cial, fundamentalmente por razones prácticas. Dichas reuniones políticas no comprenden las que se celebren con la intervención de miembros del Pa</w:t>
      </w:r>
      <w:r>
        <w:t>r</w:t>
      </w:r>
      <w:r>
        <w:t>lamento.</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En referencia a la pregunta 27 sobre el trabajo i</w:t>
      </w:r>
      <w:r>
        <w:t>n</w:t>
      </w:r>
      <w:r>
        <w:t>fantil, el Ministerio de Trabajo y los sindicatos, con la asistencia de la Organización Internacional del Trabajo (OIT), están tratando actualmente la cuestión; además, la Comisión de Derechos Humanos de Kenya está se</w:t>
      </w:r>
      <w:r>
        <w:t>n</w:t>
      </w:r>
      <w:r>
        <w:t>sibilizando a la población a este efecto. No siempre lo que se define como trabajo infantil es trabajo infantil propi</w:t>
      </w:r>
      <w:r>
        <w:t>a</w:t>
      </w:r>
      <w:r>
        <w:t>mente dicho.</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En respuesta a las preocupaciones manifestadas sobre la edad mínima para contraer matrimonio, prec</w:t>
      </w:r>
      <w:r>
        <w:t>i</w:t>
      </w:r>
      <w:r>
        <w:t>sa que es de 18 años pero que se dan casos de matr</w:t>
      </w:r>
      <w:r>
        <w:t>i</w:t>
      </w:r>
      <w:r>
        <w:t>monios a los 16 años, debido a la influencia de la rel</w:t>
      </w:r>
      <w:r>
        <w:t>i</w:t>
      </w:r>
      <w:r>
        <w:t>gión o la costumbre. Cuando se informa de dichos c</w:t>
      </w:r>
      <w:r>
        <w:t>a</w:t>
      </w:r>
      <w:r>
        <w:t>sos al Gobierno, éste adopta las medidas adecuadas, en part</w:t>
      </w:r>
      <w:r>
        <w:t>i</w:t>
      </w:r>
      <w:r>
        <w:t>cular haciendo que las niñas regresen a la escuela.</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Acerca de la pregunta sobre la campaña de co</w:t>
      </w:r>
      <w:r>
        <w:t>n</w:t>
      </w:r>
      <w:r>
        <w:t>cienciación respecto de las disposiciones de la Co</w:t>
      </w:r>
      <w:r>
        <w:t>n</w:t>
      </w:r>
      <w:r>
        <w:t>vención, dice que se han adoptado medidas, aunque no tantas como habría sido de desear, dirigidas especia</w:t>
      </w:r>
      <w:r>
        <w:t>l</w:t>
      </w:r>
      <w:r>
        <w:t>mente a los jueces y a los funcionarios del orden públ</w:t>
      </w:r>
      <w:r>
        <w:t>i</w:t>
      </w:r>
      <w:r>
        <w:t xml:space="preserve">co. La Comisión de Derechos Humanos de Kenya es la principal responsable de popularizar la Convención y </w:t>
      </w:r>
      <w:r>
        <w:rPr>
          <w:spacing w:val="0"/>
        </w:rPr>
        <w:t>supervisar el cumplimiento de las obligaciones con</w:t>
      </w:r>
      <w:r>
        <w:t>traídas en virtud de ésta.</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Shearer</w:t>
      </w:r>
      <w:r>
        <w:t xml:space="preserve"> pide más información sobre la e</w:t>
      </w:r>
      <w:r>
        <w:t>s</w:t>
      </w:r>
      <w:r>
        <w:rPr>
          <w:spacing w:val="0"/>
        </w:rPr>
        <w:t>tructura del poder judicial y la cualificación de los jue</w:t>
      </w:r>
      <w:r>
        <w:t>ces, en especial en los tribunales subordinados, a los que se ha otorgado amplia jurisdicción para aligerar la presión sobre los tribunales de mayor rango. ¿Están los jueces de esos tribunales suficientemente cualificados? ¿Rec</w:t>
      </w:r>
      <w:r>
        <w:t>i</w:t>
      </w:r>
      <w:r>
        <w:t>ben una capacitación previa o han trabajado como ab</w:t>
      </w:r>
      <w:r>
        <w:t>o</w:t>
      </w:r>
      <w:r>
        <w:t>gados? Agradecería que el Gobierno proporcionara, en su momento, toda la información disponible sobre d</w:t>
      </w:r>
      <w:r>
        <w:t>i</w:t>
      </w:r>
      <w:r>
        <w:t>cho programa de capacitación. Se pregunta también qué ocurre en el caso de las apel</w:t>
      </w:r>
      <w:r>
        <w:t>a</w:t>
      </w:r>
      <w:r>
        <w:t>ciones.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t>Por lo que respecta a la pregunta 21 de la lista (disponibilidad de asistencia jurídica), señala que hay un lapso entre las obligaciones del Estado contraídas en virtud del inciso d) del párrafo 3 del artículo 15 de la Convención y las medidas al respecto adoptadas por el Gobierno. Comprende que las posibilidades de los países en desarrollo son limitadas, pero piensa que se debe hacer más. En relación con las medidas propue</w:t>
      </w:r>
      <w:r>
        <w:t>s</w:t>
      </w:r>
      <w:r>
        <w:t>tas para la ampliación del sistema de asistencia juríd</w:t>
      </w:r>
      <w:r>
        <w:t>i</w:t>
      </w:r>
      <w:r>
        <w:t>ca, sugiere que se debería recabar ayuda de órganos no oficiales y espera recibir un informe más completo.</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Glele Ahanhanzo</w:t>
      </w:r>
      <w:r>
        <w:t xml:space="preserve"> dice que desea más i</w:t>
      </w:r>
      <w:r>
        <w:t>n</w:t>
      </w:r>
      <w:r>
        <w:t>formación sobre los “tribunales Kadhis”, en concreto su número y su relación con otros tribunales. Se pr</w:t>
      </w:r>
      <w:r>
        <w:t>e</w:t>
      </w:r>
      <w:r>
        <w:t>gunta qué ocurre si se produce un conflicto entre una persona musulmana y otra que no lo sea y cómo se g</w:t>
      </w:r>
      <w:r>
        <w:t>a</w:t>
      </w:r>
      <w:r>
        <w:t>rantiza la igualdad ante la ley. ¿Ha recibido alguna in</w:t>
      </w:r>
      <w:r>
        <w:t>s</w:t>
      </w:r>
      <w:r>
        <w:t>titución la responsabilidad de armonizar la legislación en Kenya?</w:t>
      </w:r>
    </w:p>
    <w:p w:rsidR="00000000" w:rsidRDefault="00000000">
      <w:pPr>
        <w:pStyle w:val="DualTxt"/>
        <w:numPr>
          <w:ilvl w:val="0"/>
          <w:numId w:val="17"/>
        </w:numPr>
        <w:tabs>
          <w:tab w:val="clear" w:pos="480"/>
          <w:tab w:val="clear" w:pos="960"/>
          <w:tab w:val="clear" w:pos="1742"/>
          <w:tab w:val="left" w:pos="475"/>
          <w:tab w:val="left" w:pos="965"/>
        </w:tabs>
        <w:ind w:left="0"/>
      </w:pPr>
      <w:r>
        <w:rPr>
          <w:spacing w:val="2"/>
        </w:rPr>
        <w:t>En relación con el asunto de los desalojos forzados y la demolición de casas, desea obtener información</w:t>
      </w:r>
      <w:r>
        <w:t xml:space="preserve"> por escrito de las medidas adoptadas por el Gobierno para proteger el derecho a la vivienda, en particular un </w:t>
      </w:r>
      <w:r>
        <w:rPr>
          <w:spacing w:val="2"/>
        </w:rPr>
        <w:t>pr</w:t>
      </w:r>
      <w:r>
        <w:rPr>
          <w:spacing w:val="2"/>
        </w:rPr>
        <w:t>o</w:t>
      </w:r>
      <w:r>
        <w:rPr>
          <w:spacing w:val="2"/>
        </w:rPr>
        <w:t>grama de capacitación de la policía y otros funcionarios</w:t>
      </w:r>
      <w:r>
        <w:t xml:space="preserve"> interesados.</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Castillero Hoyos</w:t>
      </w:r>
      <w:r>
        <w:t xml:space="preserve"> pide detalles sobre la l</w:t>
      </w:r>
      <w:r>
        <w:t>a</w:t>
      </w:r>
      <w:r>
        <w:t>bor de la comisión interministerial establecida para tratar el asunto de los desalojos forzados. Pregunta si se harán públicos sus resultados y si se ha consultado a las comunidades afectadas. Pregunta también qué m</w:t>
      </w:r>
      <w:r>
        <w:t>e</w:t>
      </w:r>
      <w:r>
        <w:t>didas se adoptarán en base a sus recomendaciones, si se adecuan a las normas internacionales y qué se va a h</w:t>
      </w:r>
      <w:r>
        <w:t>a</w:t>
      </w:r>
      <w:r>
        <w:t xml:space="preserve">cer para garantizar que las evacuaciones se producen de conformidad con la ley. Por último, ¿se ofrecerá a </w:t>
      </w:r>
      <w:r>
        <w:rPr>
          <w:spacing w:val="0"/>
        </w:rPr>
        <w:t>las personas evacuadas un alojamiento alternativo, se b</w:t>
      </w:r>
      <w:r>
        <w:rPr>
          <w:spacing w:val="0"/>
        </w:rPr>
        <w:t>e</w:t>
      </w:r>
      <w:r>
        <w:rPr>
          <w:spacing w:val="0"/>
        </w:rPr>
        <w:t>neficiarán de los servicios sociales y se las compensará por</w:t>
      </w:r>
      <w:r>
        <w:t xml:space="preserve"> las pérdidas?</w:t>
      </w:r>
    </w:p>
    <w:p w:rsidR="00000000" w:rsidRDefault="00000000">
      <w:pPr>
        <w:pStyle w:val="DualTxt"/>
        <w:numPr>
          <w:ilvl w:val="0"/>
          <w:numId w:val="17"/>
        </w:numPr>
        <w:tabs>
          <w:tab w:val="clear" w:pos="480"/>
          <w:tab w:val="clear" w:pos="960"/>
          <w:tab w:val="clear" w:pos="1742"/>
          <w:tab w:val="left" w:pos="475"/>
          <w:tab w:val="left" w:pos="965"/>
        </w:tabs>
        <w:ind w:left="0"/>
      </w:pPr>
      <w:r>
        <w:rPr>
          <w:b/>
        </w:rPr>
        <w:t>El Sr. Rivas Posada</w:t>
      </w:r>
      <w:r>
        <w:t xml:space="preserve"> se felicita por las medidas adoptadas para ampliar las emisiones de radio y telev</w:t>
      </w:r>
      <w:r>
        <w:t>i</w:t>
      </w:r>
      <w:r>
        <w:t>sión en el país y pregunta por la situación actual de la concesión de licencias. Se pregunta si el requisito de que las editoriales adquieran un bono no puede dar l</w:t>
      </w:r>
      <w:r>
        <w:t>u</w:t>
      </w:r>
      <w:r>
        <w:t>gar a abusos. ¿No entraña, en la práctica, un recorte de los derechos? Por lo que se refiere a las restricciones a las libertades de reunión y de asociación, desea saber qué autoridades las imponen y qué recurso tienen a su disposición las personas a las que les son impuestas. En lo que concierne a la cuestión del trabajo infantil, expresa su viva preocupación por el elevadísimo núm</w:t>
      </w:r>
      <w:r>
        <w:t>e</w:t>
      </w:r>
      <w:r>
        <w:t>ro de niños que, al parecer, trabaja en la provincia ce</w:t>
      </w:r>
      <w:r>
        <w:t>n</w:t>
      </w:r>
      <w:r>
        <w:t>tral y la fuerte proporción de niños que se dedican a la prostitución y el tráfico de drogas. Agradecería que se le facilitara información sobre la situación en todo el país, por lo que respecta no sólo a la legislación sino también a la práctica real. Le preocupa profundamente la indicación del informe de Kenya según la cual la edad a la que se adquiere responsabilidad penal en ese país es de 8 años y desea saber por qué es tan baja. Por último, en cuanto a los derechos de la mujer, se pr</w:t>
      </w:r>
      <w:r>
        <w:t>e</w:t>
      </w:r>
      <w:r>
        <w:t>gunta por los diferentes tipos de regímenes matrim</w:t>
      </w:r>
      <w:r>
        <w:t>o</w:t>
      </w:r>
      <w:r>
        <w:t>niales permitidos y su compatibilidad con las dispos</w:t>
      </w:r>
      <w:r>
        <w:t>i</w:t>
      </w:r>
      <w:r>
        <w:t xml:space="preserve">ciones del Pacto para proteger la dignidad de la mujer, </w:t>
      </w:r>
      <w:r>
        <w:rPr>
          <w:spacing w:val="0"/>
        </w:rPr>
        <w:t>en particular si la poligamia está reconocida legalme</w:t>
      </w:r>
      <w:r>
        <w:rPr>
          <w:spacing w:val="0"/>
        </w:rPr>
        <w:t>n</w:t>
      </w:r>
      <w:r>
        <w:t>te.</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Wieruszewski</w:t>
      </w:r>
      <w:r>
        <w:t>, en referencia al artículo 26 de la Convención, que está respaldado por una impo</w:t>
      </w:r>
      <w:r>
        <w:t>r</w:t>
      </w:r>
      <w:r>
        <w:t xml:space="preserve">tante jurisprudencia, desea saber si está previsto algún </w:t>
      </w:r>
      <w:r>
        <w:rPr>
          <w:spacing w:val="7"/>
          <w:w w:val="104"/>
        </w:rPr>
        <w:t>cambio en la legislación de Kenya para impedir la dis</w:t>
      </w:r>
      <w:r>
        <w:t>criminación debido a la hom</w:t>
      </w:r>
      <w:r>
        <w:t>o</w:t>
      </w:r>
      <w:r>
        <w:t>sexualidad.</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Solari Yrigoyen</w:t>
      </w:r>
      <w:r>
        <w:t xml:space="preserve"> pregunta si el servicio militar es obligatorio en Kenya y si se reconoce el d</w:t>
      </w:r>
      <w:r>
        <w:t>e</w:t>
      </w:r>
      <w:r>
        <w:t xml:space="preserve">recho a la objeción de conciencia, de conformidad con </w:t>
      </w:r>
      <w:r>
        <w:rPr>
          <w:spacing w:val="7"/>
          <w:w w:val="104"/>
        </w:rPr>
        <w:t xml:space="preserve">el artículo 18 de la Convención. Asimismo, desea </w:t>
      </w:r>
      <w:r>
        <w:rPr>
          <w:spacing w:val="0"/>
        </w:rPr>
        <w:t>s</w:t>
      </w:r>
      <w:r>
        <w:rPr>
          <w:spacing w:val="0"/>
        </w:rPr>
        <w:t>a</w:t>
      </w:r>
      <w:r>
        <w:rPr>
          <w:spacing w:val="5"/>
        </w:rPr>
        <w:t>ber si se ofrece a los objetores de conciencia formas al</w:t>
      </w:r>
      <w:r>
        <w:rPr>
          <w:spacing w:val="7"/>
          <w:w w:val="104"/>
        </w:rPr>
        <w:t>ter</w:t>
      </w:r>
      <w:r>
        <w:t>nat</w:t>
      </w:r>
      <w:r>
        <w:t>i</w:t>
      </w:r>
      <w:r>
        <w:t>vas de servicio comunitario.</w:t>
      </w:r>
    </w:p>
    <w:p w:rsidR="00000000" w:rsidRDefault="00000000">
      <w:pPr>
        <w:pStyle w:val="DualTxt"/>
        <w:numPr>
          <w:ilvl w:val="0"/>
          <w:numId w:val="17"/>
        </w:numPr>
        <w:tabs>
          <w:tab w:val="clear" w:pos="480"/>
          <w:tab w:val="clear" w:pos="960"/>
          <w:tab w:val="clear" w:pos="1742"/>
          <w:tab w:val="left" w:pos="475"/>
          <w:tab w:val="left" w:pos="965"/>
          <w:tab w:val="left" w:pos="1440"/>
          <w:tab w:val="left" w:pos="1915"/>
          <w:tab w:val="left" w:pos="2405"/>
          <w:tab w:val="left" w:pos="2880"/>
          <w:tab w:val="left" w:pos="3355"/>
        </w:tabs>
        <w:ind w:left="0"/>
      </w:pPr>
      <w:r>
        <w:rPr>
          <w:b/>
        </w:rPr>
        <w:t>El Sr. O’Flaherty</w:t>
      </w:r>
      <w:r>
        <w:t xml:space="preserve"> dice que comparte muchas de las preocupaciones expresadas, en particular con re</w:t>
      </w:r>
      <w:r>
        <w:t>s</w:t>
      </w:r>
      <w:r>
        <w:t>pecto a la discriminación contra los homosexuales y el trato dado a los niños. Señala que el castigo corporal, aunque está prohibido en las escuelas, sigue existiendo en el país y entiende que el Gobierno debería otorgar prioridad al asunto. En lo referente a la cuestión de la trata de niños, se necesita una respuesta intersectorial y multifacética y desea saber si el Gobierno la ha inco</w:t>
      </w:r>
      <w:r>
        <w:t>r</w:t>
      </w:r>
      <w:r>
        <w:t>porado como tema de interés para las políticas, o si ha establecido un mecanismo institucional para hacer frente a la cuestión.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12.55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NO&gt;&gt;N0527058S&lt;&lt;ODS JOB NO&gt;&gt;</w:t>
      </w:r>
    </w:p>
    <w:p w:rsidR="00000000" w:rsidRDefault="00000000">
      <w:pPr>
        <w:pStyle w:val="CommentText"/>
      </w:pPr>
      <w:r>
        <w:t>&lt;&lt;ODS DOC SYMBOL1&gt;&gt;CCPR/C/SR.2256&lt;&lt;ODS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0527058s.doc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0527058s.doc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05-27058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*0527058*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CCPR/C/SR.2256</w:t>
                      </w:r>
                    </w:p>
                  </w:tc>
                  <w:tc>
                    <w:tcPr>
                      <w:tcW w:w="5047" w:type="dxa"/>
                      <w:vAlign w:val="bottom"/>
                    </w:tcPr>
                    <w:p w:rsidR="00000000" w:rsidRDefault="00000000">
                      <w:pPr>
                        <w:pStyle w:val="Header"/>
                      </w:pPr>
                    </w:p>
                  </w:tc>
                </w:tr>
              </w:tbl>
              <w:p w:rsidR="00000000" w:rsidRDefault="00000000"/>
            </w:txbxContent>
          </v:textbox>
          <w10:wrap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CCPR/C/SR.2256</w:t>
                      </w:r>
                    </w:p>
                  </w:tc>
                </w:tr>
              </w:tbl>
              <w:p w:rsidR="00000000" w:rsidRDefault="00000000"/>
            </w:txbxContent>
          </v:textbox>
          <w10:wrap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/C/SR.2256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enero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0091"/>
    <w:multiLevelType w:val="singleLevel"/>
    <w:tmpl w:val="924E2D02"/>
    <w:lvl w:ilvl="0">
      <w:start w:val="36"/>
      <w:numFmt w:val="decimal"/>
      <w:lvlRestart w:val="0"/>
      <w:lvlText w:val="%1."/>
      <w:lvlJc w:val="left"/>
      <w:pPr>
        <w:tabs>
          <w:tab w:val="num" w:pos="1742"/>
        </w:tabs>
        <w:ind w:left="1267" w:firstLine="0"/>
      </w:pPr>
      <w:rPr>
        <w:spacing w:val="0"/>
        <w:w w:val="100"/>
      </w:rPr>
    </w:lvl>
  </w:abstractNum>
  <w:abstractNum w:abstractNumId="1">
    <w:nsid w:val="06911159"/>
    <w:multiLevelType w:val="singleLevel"/>
    <w:tmpl w:val="487E6B7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2">
    <w:nsid w:val="12F20D57"/>
    <w:multiLevelType w:val="singleLevel"/>
    <w:tmpl w:val="487E6B7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3">
    <w:nsid w:val="1DFF0908"/>
    <w:multiLevelType w:val="singleLevel"/>
    <w:tmpl w:val="4EF22E08"/>
    <w:lvl w:ilvl="0">
      <w:start w:val="32"/>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4">
    <w:nsid w:val="38BA7D44"/>
    <w:multiLevelType w:val="singleLevel"/>
    <w:tmpl w:val="1ABA9200"/>
    <w:lvl w:ilvl="0">
      <w:start w:val="1"/>
      <w:numFmt w:val="decimal"/>
      <w:lvlRestart w:val="0"/>
      <w:lvlText w:val="%1."/>
      <w:lvlJc w:val="left"/>
      <w:pPr>
        <w:tabs>
          <w:tab w:val="num" w:pos="475"/>
        </w:tabs>
        <w:ind w:left="0" w:firstLine="0"/>
      </w:pPr>
      <w:rPr>
        <w:spacing w:val="0"/>
        <w:w w:val="100"/>
      </w:rPr>
    </w:lvl>
  </w:abstractNum>
  <w:abstractNum w:abstractNumId="5">
    <w:nsid w:val="3B804E2F"/>
    <w:multiLevelType w:val="singleLevel"/>
    <w:tmpl w:val="57E44EEE"/>
    <w:lvl w:ilvl="0">
      <w:start w:val="3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6">
    <w:nsid w:val="49033B1B"/>
    <w:multiLevelType w:val="singleLevel"/>
    <w:tmpl w:val="923C9794"/>
    <w:lvl w:ilvl="0">
      <w:start w:val="2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7">
    <w:nsid w:val="4AD74EA8"/>
    <w:multiLevelType w:val="singleLevel"/>
    <w:tmpl w:val="76FCFE20"/>
    <w:lvl w:ilvl="0">
      <w:start w:val="1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8">
    <w:nsid w:val="4F96751A"/>
    <w:multiLevelType w:val="singleLevel"/>
    <w:tmpl w:val="010CA1C8"/>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9">
    <w:nsid w:val="516F6120"/>
    <w:multiLevelType w:val="singleLevel"/>
    <w:tmpl w:val="6B9CAB6A"/>
    <w:lvl w:ilvl="0">
      <w:start w:val="22"/>
      <w:numFmt w:val="decimal"/>
      <w:lvlRestart w:val="0"/>
      <w:lvlText w:val="%1."/>
      <w:lvlJc w:val="left"/>
      <w:pPr>
        <w:tabs>
          <w:tab w:val="num" w:pos="1742"/>
        </w:tabs>
        <w:ind w:left="1267" w:firstLine="0"/>
      </w:pPr>
      <w:rPr>
        <w:spacing w:val="0"/>
        <w:w w:val="100"/>
      </w:rPr>
    </w:lvl>
  </w:abstractNum>
  <w:abstractNum w:abstractNumId="10">
    <w:nsid w:val="569C7954"/>
    <w:multiLevelType w:val="singleLevel"/>
    <w:tmpl w:val="EFF8999A"/>
    <w:lvl w:ilvl="0">
      <w:start w:val="22"/>
      <w:numFmt w:val="decimal"/>
      <w:lvlRestart w:val="0"/>
      <w:lvlText w:val="%1."/>
      <w:lvlJc w:val="left"/>
      <w:pPr>
        <w:tabs>
          <w:tab w:val="num" w:pos="1627"/>
        </w:tabs>
        <w:ind w:left="1267" w:firstLine="0"/>
      </w:pPr>
      <w:rPr>
        <w:b w:val="0"/>
        <w:i w:val="0"/>
        <w:spacing w:val="0"/>
        <w:w w:val="100"/>
      </w:rPr>
    </w:lvl>
  </w:abstractNum>
  <w:abstractNum w:abstractNumId="11">
    <w:nsid w:val="6C8C06EF"/>
    <w:multiLevelType w:val="singleLevel"/>
    <w:tmpl w:val="D9985B5E"/>
    <w:lvl w:ilvl="0">
      <w:start w:val="1"/>
      <w:numFmt w:val="decimal"/>
      <w:lvlRestart w:val="0"/>
      <w:lvlText w:val="%1."/>
      <w:lvlJc w:val="left"/>
      <w:pPr>
        <w:tabs>
          <w:tab w:val="num" w:pos="475"/>
        </w:tabs>
        <w:ind w:left="0" w:firstLine="0"/>
      </w:pPr>
      <w:rPr>
        <w:spacing w:val="0"/>
        <w:w w:val="100"/>
      </w:rPr>
    </w:lvl>
  </w:abstractNum>
  <w:abstractNum w:abstractNumId="12">
    <w:nsid w:val="701C37ED"/>
    <w:multiLevelType w:val="singleLevel"/>
    <w:tmpl w:val="76FCFE20"/>
    <w:lvl w:ilvl="0">
      <w:start w:val="1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13">
    <w:nsid w:val="73265A63"/>
    <w:multiLevelType w:val="singleLevel"/>
    <w:tmpl w:val="010CA1C8"/>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abstractNum>
  <w:abstractNum w:abstractNumId="14">
    <w:nsid w:val="7FE714BB"/>
    <w:multiLevelType w:val="singleLevel"/>
    <w:tmpl w:val="A3047D0E"/>
    <w:lvl w:ilvl="0">
      <w:start w:val="13"/>
      <w:numFmt w:val="decimal"/>
      <w:lvlRestart w:val="0"/>
      <w:lvlText w:val="%1."/>
      <w:lvlJc w:val="left"/>
      <w:pPr>
        <w:tabs>
          <w:tab w:val="num" w:pos="1742"/>
        </w:tabs>
        <w:ind w:left="1267" w:firstLine="0"/>
      </w:pPr>
      <w:rPr>
        <w:b w:val="0"/>
        <w:i w:val="0"/>
        <w:spacing w:val="0"/>
        <w:w w:val="100"/>
      </w:rPr>
    </w:lvl>
  </w:abstractNum>
  <w:num w:numId="1">
    <w:abstractNumId w:val="4"/>
  </w:num>
  <w:num w:numId="2">
    <w:abstractNumId w:val="14"/>
  </w:num>
  <w:num w:numId="3">
    <w:abstractNumId w:val="13"/>
  </w:num>
  <w:num w:numId="4">
    <w:abstractNumId w:val="13"/>
    <w:lvlOverride w:ilvl="0">
      <w:lvl w:ilvl="0">
        <w:start w:val="1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lvlOverride>
  </w:num>
  <w:num w:numId="5">
    <w:abstractNumId w:val="8"/>
  </w:num>
  <w:num w:numId="6">
    <w:abstractNumId w:val="12"/>
  </w:num>
  <w:num w:numId="7">
    <w:abstractNumId w:val="7"/>
  </w:num>
  <w:num w:numId="8">
    <w:abstractNumId w:val="2"/>
  </w:num>
  <w:num w:numId="9">
    <w:abstractNumId w:val="6"/>
  </w:num>
  <w:num w:numId="10">
    <w:abstractNumId w:val="11"/>
  </w:num>
  <w:num w:numId="11">
    <w:abstractNumId w:val="10"/>
  </w:num>
  <w:num w:numId="12">
    <w:abstractNumId w:val="0"/>
  </w:num>
  <w:num w:numId="13">
    <w:abstractNumId w:val="1"/>
  </w:num>
  <w:num w:numId="14">
    <w:abstractNumId w:val="5"/>
  </w:num>
  <w:num w:numId="15">
    <w:abstractNumId w:val="10"/>
    <w:lvlOverride w:ilvl="0">
      <w:lvl w:ilvl="0">
        <w:start w:val="31"/>
        <w:numFmt w:val="decimal"/>
        <w:lvlRestart w:val="0"/>
        <w:lvlText w:val="%1."/>
        <w:lvlJc w:val="left"/>
        <w:pPr>
          <w:tabs>
            <w:tab w:val="num" w:pos="475"/>
          </w:tabs>
          <w:ind w:left="0" w:firstLine="0"/>
        </w:pPr>
        <w:rPr>
          <w:rFonts w:ascii="Times New Roman" w:hAnsi="Times New Roman" w:hint="default"/>
          <w:b w:val="0"/>
          <w:i w:val="0"/>
          <w:spacing w:val="0"/>
          <w:w w:val="100"/>
          <w:sz w:val="20"/>
          <w:u w:val="none"/>
        </w:rPr>
      </w:lvl>
    </w:lvlOverride>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1/2006 9:54::22"/>
    <w:docVar w:name="DocCategory" w:val="SROthers"/>
    <w:docVar w:name="DocType" w:val="Final"/>
    <w:docVar w:name="JobNo" w:val="0527058S"/>
    <w:docVar w:name="OandT" w:val=" "/>
    <w:docVar w:name="Symbol1" w:val="CCPR/C/SR.22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136</TotalTime>
  <Pages>4</Pages>
  <Words>4489</Words>
  <Characters>25590</Characters>
  <Application>Microsoft Office Word</Application>
  <DocSecurity>4</DocSecurity>
  <Lines>213</Lines>
  <Paragraphs>51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31426</CharactersWithSpaces>
  <SharedDoc>false</SharedDoc>
  <HLinks>
    <vt:vector size="6" baseType="variant">
      <vt:variant>
        <vt:i4>4522087</vt:i4>
      </vt:variant>
      <vt:variant>
        <vt:i4>32262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Calero, María Isabel</dc:creator>
  <cp:keywords/>
  <dc:description/>
  <cp:lastModifiedBy>BAEZ, Georgina</cp:lastModifiedBy>
  <cp:revision>58</cp:revision>
  <cp:lastPrinted>2006-01-03T14:14:00Z</cp:lastPrinted>
  <dcterms:created xsi:type="dcterms:W3CDTF">2006-01-03T08:54:00Z</dcterms:created>
  <dcterms:modified xsi:type="dcterms:W3CDTF">2006-01-03T15:38:00Z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0527058</vt:lpwstr>
  </property>
  <property fmtid="{D5CDD505-2E9C-101B-9397-08002B2CF9AE}" pid="3" name="Symbol1">
    <vt:lpwstr>CCPR/C/SR.2256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