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D906D2" w14:paraId="47A2FC68" w14:textId="77777777" w:rsidTr="005B51C4">
        <w:trPr>
          <w:trHeight w:hRule="exact" w:val="851"/>
        </w:trPr>
        <w:tc>
          <w:tcPr>
            <w:tcW w:w="1274" w:type="dxa"/>
            <w:tcBorders>
              <w:bottom w:val="single" w:sz="4" w:space="0" w:color="auto"/>
            </w:tcBorders>
            <w:shd w:val="clear" w:color="auto" w:fill="auto"/>
          </w:tcPr>
          <w:p w14:paraId="303BF566" w14:textId="77777777" w:rsidR="006B3E27" w:rsidRPr="00C175A6" w:rsidRDefault="006B3E27" w:rsidP="004A1BDD">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07421D3B" w14:textId="77777777" w:rsidR="006B3E27" w:rsidRPr="00D906D2" w:rsidRDefault="006B3E27" w:rsidP="00730446">
            <w:pPr>
              <w:spacing w:after="80" w:line="480" w:lineRule="exact"/>
              <w:ind w:left="57"/>
              <w:rPr>
                <w:sz w:val="30"/>
                <w:szCs w:val="30"/>
                <w:rtl/>
              </w:rPr>
            </w:pPr>
            <w:r w:rsidRPr="00D906D2">
              <w:rPr>
                <w:rFonts w:hint="cs"/>
                <w:sz w:val="30"/>
                <w:szCs w:val="30"/>
                <w:rtl/>
              </w:rPr>
              <w:t>الأمم المتحدة</w:t>
            </w:r>
          </w:p>
        </w:tc>
        <w:tc>
          <w:tcPr>
            <w:tcW w:w="3828" w:type="dxa"/>
            <w:tcBorders>
              <w:bottom w:val="single" w:sz="4" w:space="0" w:color="auto"/>
            </w:tcBorders>
            <w:shd w:val="clear" w:color="auto" w:fill="auto"/>
            <w:vAlign w:val="bottom"/>
          </w:tcPr>
          <w:p w14:paraId="0E680560" w14:textId="4C160E31" w:rsidR="006B3E27" w:rsidRPr="00D906D2" w:rsidRDefault="00B56DBC" w:rsidP="00B56DBC">
            <w:pPr>
              <w:bidi w:val="0"/>
              <w:rPr>
                <w:szCs w:val="20"/>
              </w:rPr>
            </w:pPr>
            <w:r w:rsidRPr="00D906D2">
              <w:rPr>
                <w:sz w:val="40"/>
                <w:szCs w:val="20"/>
              </w:rPr>
              <w:t>CCPR</w:t>
            </w:r>
            <w:r w:rsidRPr="00D906D2">
              <w:rPr>
                <w:szCs w:val="20"/>
              </w:rPr>
              <w:t>/C/138/2/Add.2</w:t>
            </w:r>
          </w:p>
        </w:tc>
      </w:tr>
      <w:tr w:rsidR="006B3E27" w:rsidRPr="00D906D2" w14:paraId="7634CBDC" w14:textId="77777777" w:rsidTr="005B51C4">
        <w:trPr>
          <w:trHeight w:hRule="exact" w:val="2835"/>
        </w:trPr>
        <w:tc>
          <w:tcPr>
            <w:tcW w:w="1274" w:type="dxa"/>
            <w:tcBorders>
              <w:top w:val="single" w:sz="4" w:space="0" w:color="auto"/>
              <w:bottom w:val="single" w:sz="12" w:space="0" w:color="auto"/>
            </w:tcBorders>
            <w:shd w:val="clear" w:color="auto" w:fill="auto"/>
          </w:tcPr>
          <w:p w14:paraId="52B9F507" w14:textId="77777777" w:rsidR="006B3E27" w:rsidRPr="00D906D2" w:rsidRDefault="00E2228E" w:rsidP="009A0CFB">
            <w:pPr>
              <w:spacing w:before="120"/>
              <w:jc w:val="center"/>
              <w:rPr>
                <w:sz w:val="56"/>
                <w:szCs w:val="56"/>
                <w:rtl/>
              </w:rPr>
            </w:pPr>
            <w:r w:rsidRPr="00D906D2">
              <w:rPr>
                <w:noProof/>
                <w:sz w:val="56"/>
                <w:szCs w:val="56"/>
              </w:rPr>
              <w:drawing>
                <wp:inline distT="0" distB="0" distL="0" distR="0" wp14:anchorId="0A3DAB84" wp14:editId="7AE99D0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2F9DFD0" w14:textId="77777777" w:rsidR="006B3E27" w:rsidRPr="00D906D2" w:rsidRDefault="00ED7442" w:rsidP="00730446">
            <w:pPr>
              <w:spacing w:before="120" w:after="40" w:line="640" w:lineRule="exact"/>
              <w:ind w:left="57"/>
              <w:rPr>
                <w:b/>
                <w:bCs/>
                <w:sz w:val="46"/>
                <w:szCs w:val="46"/>
              </w:rPr>
            </w:pPr>
            <w:r w:rsidRPr="00D906D2">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5D4D02B" w14:textId="2DABEAEA" w:rsidR="006B3E27" w:rsidRPr="00D906D2" w:rsidRDefault="00B56DBC" w:rsidP="004B27E0">
            <w:pPr>
              <w:bidi w:val="0"/>
              <w:spacing w:before="240"/>
              <w:rPr>
                <w:szCs w:val="20"/>
              </w:rPr>
            </w:pPr>
            <w:r w:rsidRPr="00D906D2">
              <w:rPr>
                <w:szCs w:val="20"/>
              </w:rPr>
              <w:t>Dist</w:t>
            </w:r>
            <w:r w:rsidR="005B23EC" w:rsidRPr="00D906D2">
              <w:rPr>
                <w:szCs w:val="20"/>
              </w:rPr>
              <w:t>r.:</w:t>
            </w:r>
            <w:r w:rsidRPr="00D906D2">
              <w:rPr>
                <w:szCs w:val="20"/>
              </w:rPr>
              <w:t xml:space="preserve"> General</w:t>
            </w:r>
          </w:p>
          <w:p w14:paraId="3C215B1F" w14:textId="1A82CDA5" w:rsidR="00B56DBC" w:rsidRPr="00D906D2" w:rsidRDefault="00E74675" w:rsidP="00B56DBC">
            <w:pPr>
              <w:bidi w:val="0"/>
              <w:spacing w:line="240" w:lineRule="exact"/>
              <w:jc w:val="left"/>
              <w:rPr>
                <w:szCs w:val="20"/>
              </w:rPr>
            </w:pPr>
            <w:r w:rsidRPr="00D906D2">
              <w:t>28 August 2023</w:t>
            </w:r>
          </w:p>
          <w:p w14:paraId="5D3A70AE" w14:textId="77777777" w:rsidR="00B56DBC" w:rsidRPr="00D906D2" w:rsidRDefault="00B56DBC" w:rsidP="00B56DBC">
            <w:pPr>
              <w:bidi w:val="0"/>
              <w:spacing w:line="240" w:lineRule="exact"/>
              <w:jc w:val="left"/>
              <w:rPr>
                <w:szCs w:val="20"/>
              </w:rPr>
            </w:pPr>
            <w:r w:rsidRPr="00D906D2">
              <w:rPr>
                <w:szCs w:val="20"/>
              </w:rPr>
              <w:t>Arabic</w:t>
            </w:r>
          </w:p>
          <w:p w14:paraId="070C1957" w14:textId="7E66C855" w:rsidR="00B56DBC" w:rsidRPr="00D906D2" w:rsidRDefault="00B56DBC" w:rsidP="00B56DBC">
            <w:pPr>
              <w:bidi w:val="0"/>
              <w:spacing w:line="240" w:lineRule="exact"/>
              <w:jc w:val="left"/>
              <w:rPr>
                <w:szCs w:val="20"/>
              </w:rPr>
            </w:pPr>
            <w:r w:rsidRPr="00D906D2">
              <w:rPr>
                <w:szCs w:val="20"/>
              </w:rPr>
              <w:t>Origina</w:t>
            </w:r>
            <w:r w:rsidR="005B23EC" w:rsidRPr="00D906D2">
              <w:rPr>
                <w:szCs w:val="20"/>
              </w:rPr>
              <w:t xml:space="preserve">l: </w:t>
            </w:r>
            <w:r w:rsidRPr="00D906D2">
              <w:rPr>
                <w:szCs w:val="20"/>
              </w:rPr>
              <w:t>English</w:t>
            </w:r>
          </w:p>
        </w:tc>
      </w:tr>
    </w:tbl>
    <w:p w14:paraId="112C3BC2" w14:textId="77777777" w:rsidR="00AE4D6F" w:rsidRPr="00D906D2" w:rsidRDefault="00AE4D6F" w:rsidP="003E1173">
      <w:pPr>
        <w:spacing w:before="120" w:line="360" w:lineRule="exact"/>
        <w:textDirection w:val="tbRlV"/>
        <w:rPr>
          <w:rFonts w:cs="Times New Roman"/>
          <w:b/>
          <w:bCs/>
          <w:color w:val="000000" w:themeColor="text1"/>
          <w:sz w:val="26"/>
          <w:szCs w:val="26"/>
          <w:rtl/>
          <w:lang w:val="ar-SA" w:eastAsia="zh-TW"/>
        </w:rPr>
      </w:pPr>
      <w:r w:rsidRPr="00D906D2">
        <w:rPr>
          <w:b/>
          <w:bCs/>
          <w:sz w:val="26"/>
          <w:szCs w:val="26"/>
          <w:rtl/>
        </w:rPr>
        <w:t>اللجنة المعنية بحقوق الإنسان</w:t>
      </w:r>
    </w:p>
    <w:p w14:paraId="68FD2E82" w14:textId="0A7A7E7C" w:rsidR="00AE4D6F" w:rsidRPr="00D906D2" w:rsidRDefault="00AE4D6F" w:rsidP="003A7AC3">
      <w:pPr>
        <w:pStyle w:val="HChGA"/>
        <w:rPr>
          <w:rFonts w:cs="Times New Roman"/>
          <w:rtl/>
          <w:lang w:val="ar-SA" w:eastAsia="zh-TW"/>
        </w:rPr>
      </w:pPr>
      <w:r w:rsidRPr="00D906D2">
        <w:rPr>
          <w:rtl/>
        </w:rPr>
        <w:tab/>
      </w:r>
      <w:r w:rsidRPr="00D906D2">
        <w:rPr>
          <w:rtl/>
        </w:rPr>
        <w:tab/>
        <w:t>تقرير عن متابعة الملاحظات الختامية للجنة المعنية بحقوق الإنسان</w:t>
      </w:r>
      <w:bookmarkStart w:id="0" w:name="_Toc506807534"/>
      <w:bookmarkEnd w:id="0"/>
      <w:r w:rsidR="001211CD" w:rsidRPr="00D906D2">
        <w:rPr>
          <w:rStyle w:val="FootnoteReference"/>
          <w:vertAlign w:val="baseline"/>
          <w:rtl/>
          <w:lang w:val="en-US"/>
        </w:rPr>
        <w:footnoteReference w:customMarkFollows="1" w:id="1"/>
        <w:t>*</w:t>
      </w:r>
    </w:p>
    <w:p w14:paraId="53EE116F" w14:textId="77777777" w:rsidR="00AE4D6F" w:rsidRPr="00D906D2" w:rsidRDefault="00AE4D6F" w:rsidP="003A7AC3">
      <w:pPr>
        <w:pStyle w:val="H1GA"/>
        <w:rPr>
          <w:rFonts w:cs="Times New Roman"/>
          <w:rtl/>
          <w:lang w:val="ar-SA" w:eastAsia="zh-TW"/>
        </w:rPr>
      </w:pPr>
      <w:r w:rsidRPr="00D906D2">
        <w:rPr>
          <w:rtl/>
        </w:rPr>
        <w:tab/>
      </w:r>
      <w:r w:rsidRPr="00D906D2">
        <w:rPr>
          <w:rtl/>
        </w:rPr>
        <w:tab/>
        <w:t>إضافة</w:t>
      </w:r>
    </w:p>
    <w:p w14:paraId="6F1FB1DA" w14:textId="77777777" w:rsidR="00AE4D6F" w:rsidRPr="00D906D2" w:rsidRDefault="00AE4D6F" w:rsidP="003A7AC3">
      <w:pPr>
        <w:pStyle w:val="HChGA"/>
        <w:rPr>
          <w:rFonts w:cs="Times New Roman"/>
          <w:rtl/>
          <w:lang w:val="ar-SA" w:eastAsia="zh-TW"/>
        </w:rPr>
      </w:pPr>
      <w:r w:rsidRPr="00D906D2">
        <w:rPr>
          <w:rtl/>
        </w:rPr>
        <w:tab/>
      </w:r>
      <w:r w:rsidRPr="00D906D2">
        <w:rPr>
          <w:rtl/>
        </w:rPr>
        <w:tab/>
        <w:t>تقييم المعلومات المتعلقة بمتابعة الملاحظات الختامية بشأن النيجر</w:t>
      </w:r>
    </w:p>
    <w:p w14:paraId="2DF6F2EE" w14:textId="3E25376C" w:rsidR="00AE4D6F" w:rsidRPr="00D906D2" w:rsidRDefault="00AE4D6F" w:rsidP="003A7AC3">
      <w:pPr>
        <w:pStyle w:val="SingleTxtGA"/>
        <w:tabs>
          <w:tab w:val="clear" w:pos="1928"/>
          <w:tab w:val="clear" w:pos="2608"/>
          <w:tab w:val="clear" w:pos="3289"/>
          <w:tab w:val="clear" w:pos="3969"/>
          <w:tab w:val="clear" w:pos="4649"/>
          <w:tab w:val="clear" w:pos="5330"/>
        </w:tabs>
        <w:ind w:left="5103" w:hanging="3856"/>
        <w:rPr>
          <w:spacing w:val="-6"/>
          <w:rtl/>
        </w:rPr>
      </w:pPr>
      <w:r w:rsidRPr="00D906D2">
        <w:rPr>
          <w:i/>
          <w:iCs/>
          <w:rtl/>
        </w:rPr>
        <w:t>الملاحظات الختامية (الدورة 12</w:t>
      </w:r>
      <w:r w:rsidR="005B23EC" w:rsidRPr="00D906D2">
        <w:rPr>
          <w:i/>
          <w:iCs/>
          <w:rtl/>
        </w:rPr>
        <w:t>5):</w:t>
      </w:r>
      <w:r w:rsidR="005B23EC" w:rsidRPr="00D906D2">
        <w:rPr>
          <w:rtl/>
        </w:rPr>
        <w:tab/>
      </w:r>
      <w:hyperlink r:id="rId9" w:history="1">
        <w:r w:rsidRPr="00D906D2">
          <w:rPr>
            <w:rStyle w:val="Hyperlink"/>
            <w:spacing w:val="-6"/>
            <w:lang w:val="en-US"/>
          </w:rPr>
          <w:t>CCPR/C/NER/CO/2</w:t>
        </w:r>
      </w:hyperlink>
      <w:r w:rsidRPr="00D906D2">
        <w:rPr>
          <w:spacing w:val="-6"/>
          <w:rtl/>
        </w:rPr>
        <w:t>، 22 آذار/مارس 2019</w:t>
      </w:r>
    </w:p>
    <w:p w14:paraId="75D25C50" w14:textId="3D4E54FE" w:rsidR="00AE4D6F" w:rsidRPr="00D906D2" w:rsidRDefault="00AE4D6F" w:rsidP="003A7AC3">
      <w:pPr>
        <w:pStyle w:val="SingleTxtGA"/>
        <w:tabs>
          <w:tab w:val="clear" w:pos="1928"/>
          <w:tab w:val="clear" w:pos="2608"/>
          <w:tab w:val="clear" w:pos="3289"/>
          <w:tab w:val="clear" w:pos="3969"/>
          <w:tab w:val="clear" w:pos="4649"/>
          <w:tab w:val="clear" w:pos="5330"/>
        </w:tabs>
        <w:ind w:left="5103" w:hanging="3856"/>
        <w:rPr>
          <w:rtl/>
        </w:rPr>
      </w:pPr>
      <w:r w:rsidRPr="00D906D2">
        <w:rPr>
          <w:i/>
          <w:iCs/>
          <w:rtl/>
        </w:rPr>
        <w:t>الفقرات المشمولة بالمتابعة</w:t>
      </w:r>
      <w:r w:rsidR="00D83646" w:rsidRPr="00D906D2">
        <w:rPr>
          <w:i/>
          <w:iCs/>
          <w:rtl/>
        </w:rPr>
        <w:t>:</w:t>
      </w:r>
      <w:r w:rsidR="00D83646" w:rsidRPr="00D906D2">
        <w:rPr>
          <w:rtl/>
        </w:rPr>
        <w:tab/>
      </w:r>
      <w:r w:rsidRPr="00D906D2">
        <w:rPr>
          <w:rtl/>
        </w:rPr>
        <w:t>11 و33 و43</w:t>
      </w:r>
    </w:p>
    <w:p w14:paraId="222C70AF" w14:textId="741D9D47" w:rsidR="00AE4D6F" w:rsidRPr="00D906D2" w:rsidRDefault="00AE4D6F" w:rsidP="003A7AC3">
      <w:pPr>
        <w:pStyle w:val="SingleTxtGA"/>
        <w:tabs>
          <w:tab w:val="clear" w:pos="1928"/>
          <w:tab w:val="clear" w:pos="2608"/>
          <w:tab w:val="clear" w:pos="3289"/>
          <w:tab w:val="clear" w:pos="3969"/>
          <w:tab w:val="clear" w:pos="4649"/>
          <w:tab w:val="clear" w:pos="5330"/>
        </w:tabs>
        <w:ind w:left="5103" w:hanging="3856"/>
        <w:rPr>
          <w:rtl/>
        </w:rPr>
      </w:pPr>
      <w:r w:rsidRPr="00D906D2">
        <w:rPr>
          <w:i/>
          <w:iCs/>
          <w:rtl/>
        </w:rPr>
        <w:t>المعلومات الواردة من الدولة الطرف</w:t>
      </w:r>
      <w:r w:rsidR="00D83646" w:rsidRPr="00D906D2">
        <w:rPr>
          <w:i/>
          <w:iCs/>
          <w:rtl/>
        </w:rPr>
        <w:t>:</w:t>
      </w:r>
      <w:r w:rsidR="00D83646" w:rsidRPr="00D906D2">
        <w:rPr>
          <w:rtl/>
        </w:rPr>
        <w:tab/>
      </w:r>
      <w:hyperlink r:id="rId10" w:history="1">
        <w:r w:rsidRPr="00D906D2">
          <w:rPr>
            <w:rStyle w:val="Hyperlink"/>
            <w:lang w:val="en-US"/>
          </w:rPr>
          <w:t>CCPR/C/NER/FCO/2</w:t>
        </w:r>
      </w:hyperlink>
      <w:r w:rsidRPr="00D906D2">
        <w:rPr>
          <w:rtl/>
        </w:rPr>
        <w:t>، 17 تشرين الثاني/</w:t>
      </w:r>
      <w:r w:rsidR="0029677A" w:rsidRPr="00D906D2">
        <w:rPr>
          <w:rFonts w:hint="cs"/>
          <w:rtl/>
        </w:rPr>
        <w:t xml:space="preserve"> </w:t>
      </w:r>
      <w:r w:rsidRPr="00D906D2">
        <w:rPr>
          <w:rtl/>
        </w:rPr>
        <w:t>نوفمبر 2021</w:t>
      </w:r>
    </w:p>
    <w:p w14:paraId="1DEBBAB9" w14:textId="10571D8B" w:rsidR="00AE4D6F" w:rsidRPr="00D906D2" w:rsidRDefault="00AE4D6F" w:rsidP="00D906D2">
      <w:pPr>
        <w:pStyle w:val="SingleTxtGA"/>
        <w:tabs>
          <w:tab w:val="clear" w:pos="1928"/>
          <w:tab w:val="clear" w:pos="2608"/>
          <w:tab w:val="clear" w:pos="3289"/>
          <w:tab w:val="clear" w:pos="3969"/>
          <w:tab w:val="clear" w:pos="4649"/>
          <w:tab w:val="clear" w:pos="5330"/>
        </w:tabs>
        <w:ind w:left="5103" w:hanging="3856"/>
        <w:jc w:val="both"/>
        <w:rPr>
          <w:rtl/>
        </w:rPr>
      </w:pPr>
      <w:r w:rsidRPr="00D906D2">
        <w:rPr>
          <w:i/>
          <w:iCs/>
          <w:rtl/>
        </w:rPr>
        <w:t>المعلومات الواردة من الجهات صاحبة المصلحة</w:t>
      </w:r>
      <w:r w:rsidR="00D83646" w:rsidRPr="00D906D2">
        <w:rPr>
          <w:i/>
          <w:iCs/>
          <w:rtl/>
        </w:rPr>
        <w:t>:</w:t>
      </w:r>
      <w:r w:rsidR="00D83646" w:rsidRPr="00D906D2">
        <w:rPr>
          <w:rtl/>
        </w:rPr>
        <w:tab/>
      </w:r>
      <w:hyperlink r:id="rId11" w:history="1">
        <w:r w:rsidRPr="00E75E51">
          <w:rPr>
            <w:rStyle w:val="Hyperlink"/>
            <w:rtl/>
          </w:rPr>
          <w:t>تقرير مشترك من المجتمع المدني</w:t>
        </w:r>
      </w:hyperlink>
      <w:r w:rsidRPr="00D906D2">
        <w:rPr>
          <w:rtl/>
        </w:rPr>
        <w:t>، 6 آب/</w:t>
      </w:r>
      <w:r w:rsidR="003A7AC3" w:rsidRPr="00D906D2">
        <w:rPr>
          <w:rFonts w:hint="cs"/>
          <w:rtl/>
        </w:rPr>
        <w:t xml:space="preserve"> </w:t>
      </w:r>
      <w:r w:rsidRPr="00D906D2">
        <w:rPr>
          <w:rtl/>
        </w:rPr>
        <w:t>أغسطس 2021</w:t>
      </w:r>
    </w:p>
    <w:p w14:paraId="77671A2E" w14:textId="2BC88DC1" w:rsidR="00AE4D6F" w:rsidRPr="00D906D2" w:rsidRDefault="00AE4D6F" w:rsidP="003A7AC3">
      <w:pPr>
        <w:pStyle w:val="SingleTxtGA"/>
        <w:tabs>
          <w:tab w:val="clear" w:pos="1928"/>
          <w:tab w:val="clear" w:pos="2608"/>
          <w:tab w:val="clear" w:pos="3289"/>
          <w:tab w:val="clear" w:pos="3969"/>
          <w:tab w:val="clear" w:pos="4649"/>
          <w:tab w:val="clear" w:pos="5330"/>
        </w:tabs>
        <w:ind w:left="5103" w:hanging="3856"/>
        <w:rPr>
          <w:rtl/>
        </w:rPr>
      </w:pPr>
      <w:r w:rsidRPr="00D906D2">
        <w:rPr>
          <w:i/>
          <w:iCs/>
          <w:rtl/>
        </w:rPr>
        <w:t>تقييم اللجنة</w:t>
      </w:r>
      <w:r w:rsidR="00D83646" w:rsidRPr="00D906D2">
        <w:rPr>
          <w:i/>
          <w:iCs/>
          <w:rtl/>
        </w:rPr>
        <w:t>:</w:t>
      </w:r>
      <w:r w:rsidR="00D83646" w:rsidRPr="00D906D2">
        <w:rPr>
          <w:rtl/>
        </w:rPr>
        <w:tab/>
      </w:r>
      <w:r w:rsidRPr="00D906D2">
        <w:rPr>
          <w:rtl/>
        </w:rPr>
        <w:t>11[ألف][باء] و33[ألف][باء] و43[ألف][جيم]</w:t>
      </w:r>
    </w:p>
    <w:p w14:paraId="496441C9" w14:textId="4DCCB971" w:rsidR="00AE4D6F" w:rsidRPr="00D906D2" w:rsidRDefault="00AE4D6F" w:rsidP="00D83646">
      <w:pPr>
        <w:pStyle w:val="H23GA"/>
        <w:rPr>
          <w:rFonts w:cs="Times New Roman"/>
          <w:rtl/>
          <w:lang w:val="ar-SA" w:eastAsia="zh-TW"/>
        </w:rPr>
      </w:pPr>
      <w:r w:rsidRPr="00D906D2">
        <w:rPr>
          <w:rtl/>
        </w:rPr>
        <w:tab/>
      </w:r>
      <w:r w:rsidRPr="00D906D2">
        <w:rPr>
          <w:rtl/>
        </w:rPr>
        <w:tab/>
        <w:t xml:space="preserve">الفقرة </w:t>
      </w:r>
      <w:r w:rsidRPr="00D906D2">
        <w:rPr>
          <w:rFonts w:ascii="Simplified Arabic"/>
          <w:rtl/>
        </w:rPr>
        <w:t>1</w:t>
      </w:r>
      <w:r w:rsidR="005B23EC" w:rsidRPr="00D906D2">
        <w:rPr>
          <w:rFonts w:ascii="Simplified Arabic"/>
          <w:rtl/>
        </w:rPr>
        <w:t>1:</w:t>
      </w:r>
      <w:r w:rsidR="005B23EC" w:rsidRPr="00D906D2">
        <w:rPr>
          <w:rtl/>
        </w:rPr>
        <w:t xml:space="preserve"> </w:t>
      </w:r>
      <w:r w:rsidRPr="00D906D2">
        <w:rPr>
          <w:rtl/>
        </w:rPr>
        <w:t>مكافحة الفساد</w:t>
      </w:r>
    </w:p>
    <w:p w14:paraId="263C853A" w14:textId="1A2460D5" w:rsidR="00AE4D6F" w:rsidRPr="00D906D2" w:rsidRDefault="003A7AC3" w:rsidP="00D83646">
      <w:pPr>
        <w:pStyle w:val="SingleTxtGA"/>
        <w:rPr>
          <w:rFonts w:cs="Times New Roman"/>
          <w:b/>
          <w:bCs/>
          <w:rtl/>
          <w:lang w:val="ar-SA" w:eastAsia="zh-TW"/>
        </w:rPr>
      </w:pPr>
      <w:r w:rsidRPr="00D906D2">
        <w:rPr>
          <w:b/>
          <w:bCs/>
          <w:rtl/>
        </w:rPr>
        <w:tab/>
      </w:r>
      <w:r w:rsidR="00AE4D6F" w:rsidRPr="00D906D2">
        <w:rPr>
          <w:b/>
          <w:bCs/>
          <w:rtl/>
        </w:rPr>
        <w:t>ينبغي للدولة الطرف أن تقوم بما يلي: (أ) تكثيف جهودها لمكافحة الفساد وضمان عدم إفلات مرتكبيه من العقاب؛ و(ب) ضمان التحقيق في جميع حالات الفساد بشكل مستقل ونزيه، وفرض عقوبات قضائية مناسبة على مرتكبي الفساد حسب الاقتضاء؛ و(ج) اتخاذ الخطوات اللازمة لضمان شفافية إدارة العقود التي تُبرَم مع شركات التعدين الدولية والإيرادات المتأتية من هذه العقود.</w:t>
      </w:r>
    </w:p>
    <w:p w14:paraId="7ACFC74D" w14:textId="77777777" w:rsidR="00AE4D6F" w:rsidRPr="00D906D2" w:rsidRDefault="00AE4D6F" w:rsidP="00D83646">
      <w:pPr>
        <w:pStyle w:val="H23GA"/>
        <w:rPr>
          <w:rFonts w:eastAsiaTheme="minorEastAsia" w:cs="Times New Roman"/>
          <w:rtl/>
          <w:lang w:val="ar-SA" w:eastAsia="zh-TW"/>
        </w:rPr>
      </w:pPr>
      <w:r w:rsidRPr="00D906D2">
        <w:rPr>
          <w:rtl/>
        </w:rPr>
        <w:tab/>
      </w:r>
      <w:r w:rsidRPr="00D906D2">
        <w:rPr>
          <w:rtl/>
        </w:rPr>
        <w:tab/>
        <w:t>موجز المعلومات الواردة من الدولة الطرف</w:t>
      </w:r>
    </w:p>
    <w:p w14:paraId="101DCEE2" w14:textId="786F7240" w:rsidR="00AE4D6F" w:rsidRPr="00D906D2" w:rsidRDefault="00D83646" w:rsidP="00D83646">
      <w:pPr>
        <w:pStyle w:val="SingleTxtGA"/>
        <w:rPr>
          <w:rFonts w:eastAsiaTheme="minorEastAsia" w:cs="Times New Roman"/>
          <w:rtl/>
          <w:lang w:val="ar-SA" w:eastAsia="zh-TW"/>
        </w:rPr>
      </w:pPr>
      <w:bookmarkStart w:id="1" w:name="_Hlk132188983"/>
      <w:r w:rsidRPr="00D906D2">
        <w:rPr>
          <w:rtl/>
        </w:rPr>
        <w:tab/>
      </w:r>
      <w:r w:rsidR="00AE4D6F" w:rsidRPr="00D906D2">
        <w:rPr>
          <w:rtl/>
        </w:rPr>
        <w:t>(أ)</w:t>
      </w:r>
      <w:r w:rsidR="00AE4D6F" w:rsidRPr="00D906D2">
        <w:rPr>
          <w:rtl/>
        </w:rPr>
        <w:tab/>
        <w:t>تقوم الهيئة العليا لمكافحة الفساد والجرائم المرتبطة به بتنفيذ الاستراتيجية الوطنية لمكافحة الفساد وخطة العمل المتعلقة بها للفترة 2018-202</w:t>
      </w:r>
      <w:r w:rsidR="005B23EC" w:rsidRPr="00D906D2">
        <w:rPr>
          <w:rtl/>
        </w:rPr>
        <w:t>0</w:t>
      </w:r>
      <w:r w:rsidR="005B23EC" w:rsidRPr="00D906D2">
        <w:rPr>
          <w:rFonts w:ascii="Simplified Arabic"/>
          <w:rtl/>
        </w:rPr>
        <w:t>.</w:t>
      </w:r>
      <w:r w:rsidR="005B23EC" w:rsidRPr="00D906D2">
        <w:rPr>
          <w:rtl/>
        </w:rPr>
        <w:t xml:space="preserve"> </w:t>
      </w:r>
      <w:r w:rsidR="00AE4D6F" w:rsidRPr="00D906D2">
        <w:rPr>
          <w:rtl/>
        </w:rPr>
        <w:t xml:space="preserve">وقد أنشأت الهيئة مؤخراً خطاً هاتفياً مجانياً للمساعدة، وحسابات على وسائل التواصل الاجتماعي، وموقعاً شبكياً يحتوي على نماذج الشكاوى والإبلاغ من أجل الوصول إلى مزيد من الأشخاص. واتخذت أيضاً تدابير للتوعية، منها تنظيم دورات تدريبية في المدارس وإنتاج مقاطع فيديو. وفي الانتخابات المحلية والعامة 2020-2021، نشرت الهيئة </w:t>
      </w:r>
      <w:r w:rsidR="00AE4D6F" w:rsidRPr="00D906D2">
        <w:rPr>
          <w:rtl/>
        </w:rPr>
        <w:lastRenderedPageBreak/>
        <w:t xml:space="preserve">ما يقرب من </w:t>
      </w:r>
      <w:r w:rsidR="00AE4D6F" w:rsidRPr="00D906D2">
        <w:rPr>
          <w:rFonts w:ascii="Simplified Arabic"/>
          <w:rtl/>
        </w:rPr>
        <w:t>100</w:t>
      </w:r>
      <w:r w:rsidR="00AE4D6F" w:rsidRPr="00D906D2">
        <w:rPr>
          <w:rtl/>
        </w:rPr>
        <w:t xml:space="preserve"> مراقب، وساهمت في الحد من تزوير الانتخابات بشكل كبير. وأعلن الرئيس سياسة عدم التسامح إطلاقاً مع الإفلات من العقاب.</w:t>
      </w:r>
      <w:bookmarkEnd w:id="1"/>
    </w:p>
    <w:p w14:paraId="52275A6A" w14:textId="2DC32870" w:rsidR="005B23EC" w:rsidRPr="00D906D2" w:rsidRDefault="00D83646" w:rsidP="00D83646">
      <w:pPr>
        <w:pStyle w:val="SingleTxtGA"/>
        <w:rPr>
          <w:rFonts w:eastAsiaTheme="minorEastAsia" w:cs="Times New Roman"/>
          <w:rtl/>
          <w:lang w:val="ar-SA" w:eastAsia="zh-TW"/>
        </w:rPr>
      </w:pPr>
      <w:r w:rsidRPr="00D906D2">
        <w:rPr>
          <w:rtl/>
        </w:rPr>
        <w:tab/>
      </w:r>
      <w:r w:rsidR="00AE4D6F" w:rsidRPr="00D906D2">
        <w:rPr>
          <w:rtl/>
        </w:rPr>
        <w:t>(ب)</w:t>
      </w:r>
      <w:r w:rsidR="00AE4D6F" w:rsidRPr="00D906D2">
        <w:rPr>
          <w:rtl/>
        </w:rPr>
        <w:tab/>
        <w:t>في عام 2020، سجلت الهيئة 108 إحالات، أُعدَّ على أساسها 11 تقريراً وأُحيلت إلى السلطات القضائية والإدارية المعنية. ويُحاكَم حالياً العديد من المسؤولين الحكوميين، أو يسُجنون بتهمة الفساد والجرائم المرتبطة به. وبالإضافة إلى ذلك، أُوقف مؤخراً ما يقرب من 100 من المسؤولين والطلاب وآباء وأمهات الطلاب، وقُدموا إلى العدالة لارتكابهم الغش في امتحانات البكالوريا لعام 202</w:t>
      </w:r>
      <w:r w:rsidR="005B23EC" w:rsidRPr="00D906D2">
        <w:rPr>
          <w:rtl/>
        </w:rPr>
        <w:t>1.</w:t>
      </w:r>
    </w:p>
    <w:p w14:paraId="421E4743" w14:textId="009EED7F" w:rsidR="00AE4D6F" w:rsidRPr="00D906D2" w:rsidRDefault="00D83646" w:rsidP="00D83646">
      <w:pPr>
        <w:pStyle w:val="SingleTxtGA"/>
        <w:rPr>
          <w:rFonts w:eastAsiaTheme="minorEastAsia" w:cs="Times New Roman"/>
          <w:rtl/>
          <w:lang w:val="ar-SA" w:eastAsia="zh-TW"/>
        </w:rPr>
      </w:pPr>
      <w:r w:rsidRPr="00D906D2">
        <w:rPr>
          <w:rtl/>
        </w:rPr>
        <w:tab/>
      </w:r>
      <w:r w:rsidR="00AE4D6F" w:rsidRPr="00D906D2">
        <w:rPr>
          <w:rtl/>
        </w:rPr>
        <w:t>(ج)</w:t>
      </w:r>
      <w:r w:rsidR="00AE4D6F" w:rsidRPr="00D906D2">
        <w:rPr>
          <w:rtl/>
        </w:rPr>
        <w:tab/>
        <w:t xml:space="preserve">انضم النيجر من جديد إلى المبادرة الخاصة بشفافية الصناعات الاستخراجية في شباط/فبراير </w:t>
      </w:r>
      <w:r w:rsidR="00AE4D6F" w:rsidRPr="00D906D2">
        <w:rPr>
          <w:rFonts w:ascii="Simplified Arabic"/>
          <w:rtl/>
        </w:rPr>
        <w:t>202</w:t>
      </w:r>
      <w:r w:rsidR="005B23EC" w:rsidRPr="00D906D2">
        <w:rPr>
          <w:rFonts w:ascii="Simplified Arabic"/>
          <w:rtl/>
        </w:rPr>
        <w:t>0.</w:t>
      </w:r>
      <w:r w:rsidR="005B23EC" w:rsidRPr="00D906D2">
        <w:rPr>
          <w:rtl/>
        </w:rPr>
        <w:t xml:space="preserve"> </w:t>
      </w:r>
      <w:r w:rsidR="00AE4D6F" w:rsidRPr="00D906D2">
        <w:rPr>
          <w:rtl/>
        </w:rPr>
        <w:t>ونُفذت التدابير التصحيحية اللازمة للامتثال للمعايير ذات الصلة، بما في ذلك إنشاء منصة تتيح للمواطنين الاطلاع على المعلومات المتعلقة بالدخل المتأتي من الأنشطة الاستخراجية، ونشر العقود في الجريدة الرسمية، على النحو المنصوص عليه في المادة 150 من الدستور. وتقوم شركة موارد التعدين في النيجر بتدريب المسؤولين على تحسين قدرتهم على اكتشاف الشركات الوهمية التي ترتكب الاحتيال. وتتيح إفصاحات المبادرة الخاصة بشفافية الصناعات الاستخراجية للجمهور أن يفهم بشكل أفضل كيفية منح التحويلات دون الوطنية، وأن يحدد المبالغ المستحقة للدولة وللحكومات المحلية.</w:t>
      </w:r>
    </w:p>
    <w:p w14:paraId="1EA0A657" w14:textId="77777777" w:rsidR="00AE4D6F" w:rsidRPr="00D906D2" w:rsidRDefault="00AE4D6F" w:rsidP="008A160D">
      <w:pPr>
        <w:pStyle w:val="H23GA"/>
        <w:rPr>
          <w:rFonts w:eastAsiaTheme="minorEastAsia" w:cs="Times New Roman"/>
          <w:rtl/>
          <w:lang w:val="ar-SA" w:eastAsia="zh-TW"/>
        </w:rPr>
      </w:pPr>
      <w:r w:rsidRPr="00D906D2">
        <w:rPr>
          <w:rtl/>
        </w:rPr>
        <w:tab/>
      </w:r>
      <w:r w:rsidRPr="00D906D2">
        <w:rPr>
          <w:rtl/>
        </w:rPr>
        <w:tab/>
        <w:t>موجز المعلومات الواردة من الجهات صاحبة المصلحة</w:t>
      </w:r>
    </w:p>
    <w:p w14:paraId="141A18A5" w14:textId="4F522400" w:rsidR="00AE4D6F" w:rsidRPr="00D906D2" w:rsidRDefault="008A160D" w:rsidP="008A160D">
      <w:pPr>
        <w:pStyle w:val="SingleTxtGA"/>
        <w:rPr>
          <w:rFonts w:cs="Times New Roman"/>
          <w:rtl/>
          <w:lang w:val="ar-SA" w:eastAsia="zh-TW"/>
        </w:rPr>
      </w:pPr>
      <w:r w:rsidRPr="00D906D2">
        <w:rPr>
          <w:rtl/>
        </w:rPr>
        <w:tab/>
      </w:r>
      <w:r w:rsidR="00AE4D6F" w:rsidRPr="00D906D2">
        <w:rPr>
          <w:rtl/>
        </w:rPr>
        <w:t>(أ)</w:t>
      </w:r>
      <w:r w:rsidR="00AE4D6F" w:rsidRPr="00D906D2">
        <w:rPr>
          <w:rtl/>
        </w:rPr>
        <w:tab/>
        <w:t>اعتمدت الجمعية الوطنية الأمر رقم 2020</w:t>
      </w:r>
      <w:r w:rsidR="00AE4D6F" w:rsidRPr="00D906D2">
        <w:rPr>
          <w:rFonts w:ascii="Simplified Arabic"/>
          <w:rtl/>
        </w:rPr>
        <w:t>-</w:t>
      </w:r>
      <w:r w:rsidR="00AE4D6F" w:rsidRPr="00D906D2">
        <w:rPr>
          <w:rtl/>
        </w:rPr>
        <w:t>02 في حزيران/يونيه 2020</w:t>
      </w:r>
      <w:r w:rsidR="00AE4D6F" w:rsidRPr="00D906D2">
        <w:rPr>
          <w:rFonts w:ascii="Simplified Arabic"/>
          <w:rtl/>
        </w:rPr>
        <w:t>، الذي</w:t>
      </w:r>
      <w:r w:rsidR="00AE4D6F" w:rsidRPr="00D906D2">
        <w:rPr>
          <w:rtl/>
        </w:rPr>
        <w:t xml:space="preserve"> يوسّع نطاق قائمة الموظفين العموميين الخاضعين للالتزام بإعلان ما لديهم من أصول، مما يعزز الإطار القانوني لمكافحة الفساد. غير أن هذا الالتزام لا يشمل البرلمانيين.</w:t>
      </w:r>
    </w:p>
    <w:p w14:paraId="48303EE5" w14:textId="6AAB791C" w:rsidR="00AE4D6F" w:rsidRPr="00D906D2" w:rsidRDefault="008A160D" w:rsidP="008A160D">
      <w:pPr>
        <w:pStyle w:val="SingleTxtGA"/>
        <w:rPr>
          <w:rFonts w:cs="Times New Roman"/>
          <w:rtl/>
          <w:lang w:val="ar-SA" w:eastAsia="zh-TW"/>
        </w:rPr>
      </w:pPr>
      <w:r w:rsidRPr="00D906D2">
        <w:rPr>
          <w:rtl/>
        </w:rPr>
        <w:tab/>
      </w:r>
      <w:r w:rsidR="00AE4D6F" w:rsidRPr="00D906D2">
        <w:rPr>
          <w:rtl/>
        </w:rPr>
        <w:t>(ب)</w:t>
      </w:r>
      <w:r w:rsidR="00AE4D6F" w:rsidRPr="00D906D2">
        <w:rPr>
          <w:rtl/>
        </w:rPr>
        <w:tab/>
        <w:t>أُحيل عدد من قضايا الفساد المزعومة إلى السلطات القضائية، بما في ذلك قضية رئيسية تورطت فيها وزارة الدفاع، ومن المتوقع أن تبدأ بشأنها إجراءات قضائية.</w:t>
      </w:r>
    </w:p>
    <w:p w14:paraId="7DE99F92" w14:textId="1B5017BD" w:rsidR="00AE4D6F" w:rsidRPr="00D906D2" w:rsidRDefault="008A160D" w:rsidP="008A160D">
      <w:pPr>
        <w:pStyle w:val="SingleTxtGA"/>
        <w:rPr>
          <w:rFonts w:cs="Times New Roman"/>
          <w:rtl/>
          <w:lang w:val="ar-SA" w:eastAsia="zh-TW"/>
        </w:rPr>
      </w:pPr>
      <w:r w:rsidRPr="00D906D2">
        <w:rPr>
          <w:rtl/>
        </w:rPr>
        <w:tab/>
      </w:r>
      <w:r w:rsidR="00AE4D6F" w:rsidRPr="00D906D2">
        <w:rPr>
          <w:rtl/>
        </w:rPr>
        <w:t>(ج)</w:t>
      </w:r>
      <w:r w:rsidR="00AE4D6F" w:rsidRPr="00D906D2">
        <w:rPr>
          <w:rtl/>
        </w:rPr>
        <w:tab/>
        <w:t>منذ أن قدمت اللجنة توصيتها، تُنشر العقود في الجريدة الرسمية بمجرد إعلانها في مجلس الوزراء.</w:t>
      </w:r>
    </w:p>
    <w:p w14:paraId="069B8FB7" w14:textId="77777777" w:rsidR="00AE4D6F" w:rsidRPr="00D906D2" w:rsidRDefault="00AE4D6F" w:rsidP="008A160D">
      <w:pPr>
        <w:pStyle w:val="H23GA"/>
        <w:rPr>
          <w:rFonts w:eastAsiaTheme="minorEastAsia" w:cs="Times New Roman"/>
          <w:rtl/>
          <w:lang w:val="ar-SA" w:eastAsia="zh-TW"/>
        </w:rPr>
      </w:pPr>
      <w:r w:rsidRPr="00D906D2">
        <w:rPr>
          <w:rtl/>
        </w:rPr>
        <w:tab/>
      </w:r>
      <w:r w:rsidRPr="00D906D2">
        <w:rPr>
          <w:rtl/>
        </w:rPr>
        <w:tab/>
        <w:t>تقييم اللجنة</w:t>
      </w:r>
    </w:p>
    <w:p w14:paraId="18E513B5" w14:textId="6C011282" w:rsidR="00AE4D6F" w:rsidRPr="00D906D2" w:rsidRDefault="00AE4D6F" w:rsidP="008A160D">
      <w:pPr>
        <w:pStyle w:val="SingleTxtGA"/>
        <w:rPr>
          <w:rFonts w:cs="Times New Roman"/>
          <w:rtl/>
          <w:lang w:val="ar-SA" w:eastAsia="zh-TW"/>
        </w:rPr>
      </w:pPr>
      <w:r w:rsidRPr="00D906D2">
        <w:rPr>
          <w:rtl/>
        </w:rPr>
        <w:t>[ألف</w:t>
      </w:r>
      <w:r w:rsidR="005B23EC" w:rsidRPr="00D906D2">
        <w:rPr>
          <w:rtl/>
        </w:rPr>
        <w:t xml:space="preserve">]: </w:t>
      </w:r>
      <w:r w:rsidRPr="00D906D2">
        <w:rPr>
          <w:rtl/>
        </w:rPr>
        <w:t>(ج)</w:t>
      </w:r>
    </w:p>
    <w:p w14:paraId="18B03D45" w14:textId="51CDB21D" w:rsidR="005B23EC" w:rsidRPr="00D906D2" w:rsidRDefault="00D906D2" w:rsidP="008A160D">
      <w:pPr>
        <w:pStyle w:val="SingleTxtGA"/>
        <w:rPr>
          <w:rFonts w:cs="Times New Roman"/>
          <w:rtl/>
          <w:lang w:val="ar-SA" w:eastAsia="zh-TW"/>
        </w:rPr>
      </w:pPr>
      <w:r>
        <w:rPr>
          <w:rtl/>
        </w:rPr>
        <w:tab/>
      </w:r>
      <w:r w:rsidR="00AE4D6F" w:rsidRPr="00D906D2">
        <w:rPr>
          <w:rtl/>
        </w:rPr>
        <w:t>ترحب اللجنة بالتدابير المتخذة لضمان شفافية إدارة العقود التي تُبرَم مع شركات التعدين الدولية، وبانضمام النيجر مجدداً إلى المبادرة الخاصة بشفافية الصناعات الاستخراجية في شباط/فبراير 202</w:t>
      </w:r>
      <w:r w:rsidR="005B23EC" w:rsidRPr="00D906D2">
        <w:rPr>
          <w:rtl/>
        </w:rPr>
        <w:t>0.</w:t>
      </w:r>
    </w:p>
    <w:p w14:paraId="3D3A7325" w14:textId="0CEA9733" w:rsidR="00AE4D6F" w:rsidRPr="00D906D2" w:rsidRDefault="00AE4D6F" w:rsidP="008A160D">
      <w:pPr>
        <w:pStyle w:val="SingleTxtGA"/>
        <w:rPr>
          <w:rFonts w:cs="Times New Roman"/>
          <w:rtl/>
          <w:lang w:val="ar-SA" w:eastAsia="zh-TW"/>
        </w:rPr>
      </w:pPr>
      <w:r w:rsidRPr="00D906D2">
        <w:rPr>
          <w:rtl/>
        </w:rPr>
        <w:t>[باء</w:t>
      </w:r>
      <w:r w:rsidR="005B23EC" w:rsidRPr="00D906D2">
        <w:rPr>
          <w:rtl/>
        </w:rPr>
        <w:t xml:space="preserve">]: </w:t>
      </w:r>
      <w:r w:rsidRPr="00D906D2">
        <w:rPr>
          <w:rtl/>
        </w:rPr>
        <w:t>(أ) و(ب)</w:t>
      </w:r>
    </w:p>
    <w:p w14:paraId="03AFA540" w14:textId="436BF070" w:rsidR="005B23EC" w:rsidRPr="00D906D2" w:rsidRDefault="008A160D" w:rsidP="008A160D">
      <w:pPr>
        <w:pStyle w:val="SingleTxtGA"/>
        <w:rPr>
          <w:rFonts w:cs="Times New Roman"/>
          <w:rtl/>
          <w:lang w:val="ar-SA" w:eastAsia="zh-TW"/>
        </w:rPr>
      </w:pPr>
      <w:r w:rsidRPr="00D906D2">
        <w:rPr>
          <w:rtl/>
        </w:rPr>
        <w:tab/>
      </w:r>
      <w:r w:rsidR="00AE4D6F" w:rsidRPr="00D906D2">
        <w:rPr>
          <w:rtl/>
        </w:rPr>
        <w:t>(أ)</w:t>
      </w:r>
      <w:r w:rsidR="00AE4D6F" w:rsidRPr="00D906D2">
        <w:rPr>
          <w:rtl/>
        </w:rPr>
        <w:tab/>
        <w:t>ترحب اللجنة بالخطوات المتخذة لمكافحة الفساد في إطار الاستراتيجية الوطنية لمكافحة الفساد، بما في ذلك أنشطة التوعية واسترداد الأموال المُتحصَّل عليها بطريقة غير مشروعة. وتطلب مزيداً من المعلومات عن تفعيل خط المساعدة المجاني وأي خطط لإدراج البرلمانيين في نطاق الالتزام بإعلان الأصول عملاً بالأمر رقم 2020</w:t>
      </w:r>
      <w:r w:rsidR="00AE4D6F" w:rsidRPr="00D906D2">
        <w:rPr>
          <w:rFonts w:ascii="Simplified Arabic"/>
          <w:rtl/>
        </w:rPr>
        <w:t>-</w:t>
      </w:r>
      <w:r w:rsidR="00AE4D6F" w:rsidRPr="00D906D2">
        <w:rPr>
          <w:rtl/>
        </w:rPr>
        <w:t>02 المُعتمَد في حزيران/يونيه 202</w:t>
      </w:r>
      <w:r w:rsidR="005B23EC" w:rsidRPr="00D906D2">
        <w:rPr>
          <w:rtl/>
        </w:rPr>
        <w:t>0.</w:t>
      </w:r>
    </w:p>
    <w:p w14:paraId="3161C569" w14:textId="0463391B" w:rsidR="00AE4D6F" w:rsidRPr="00D906D2" w:rsidRDefault="008A160D" w:rsidP="008A160D">
      <w:pPr>
        <w:pStyle w:val="SingleTxtGA"/>
        <w:rPr>
          <w:rFonts w:cs="Times New Roman"/>
          <w:rtl/>
          <w:lang w:val="ar-SA" w:eastAsia="zh-TW"/>
        </w:rPr>
      </w:pPr>
      <w:r w:rsidRPr="00D906D2">
        <w:rPr>
          <w:rtl/>
        </w:rPr>
        <w:tab/>
      </w:r>
      <w:r w:rsidR="00AE4D6F" w:rsidRPr="00D906D2">
        <w:rPr>
          <w:rtl/>
        </w:rPr>
        <w:t>(ب)</w:t>
      </w:r>
      <w:r w:rsidR="00AE4D6F" w:rsidRPr="00D906D2">
        <w:rPr>
          <w:rtl/>
        </w:rPr>
        <w:tab/>
        <w:t>ترحب اللجنة بالزيادة المبلغ عنها في إحالة قضايا الفساد المزعومة إلى السلطات القضائية، بما في ذلك قضية رئيسية تورطت فيها وزارة الدفاع. ومع ذلك، تطلب اللجنة مزيداً من المعلومات، بما في ذلك بيانات إحصائية، عن التحقيقات والملاحقات القضائية والإدانات، ولا سيما فيما يتعلق بفساد كبار المسؤولين.</w:t>
      </w:r>
    </w:p>
    <w:p w14:paraId="0EDF0AE4" w14:textId="2FC3D77B" w:rsidR="00AE4D6F" w:rsidRPr="00D906D2" w:rsidRDefault="00AE4D6F" w:rsidP="008A160D">
      <w:pPr>
        <w:pStyle w:val="H23GA"/>
        <w:rPr>
          <w:rFonts w:cs="Times New Roman"/>
          <w:rtl/>
          <w:lang w:val="ar-SA" w:eastAsia="zh-TW"/>
        </w:rPr>
      </w:pPr>
      <w:r w:rsidRPr="00D906D2">
        <w:rPr>
          <w:rtl/>
        </w:rPr>
        <w:lastRenderedPageBreak/>
        <w:tab/>
      </w:r>
      <w:r w:rsidRPr="00D906D2">
        <w:rPr>
          <w:rtl/>
        </w:rPr>
        <w:tab/>
        <w:t xml:space="preserve">الفقرة </w:t>
      </w:r>
      <w:r w:rsidRPr="00D906D2">
        <w:rPr>
          <w:rFonts w:ascii="Simplified Arabic"/>
          <w:rtl/>
        </w:rPr>
        <w:t>3</w:t>
      </w:r>
      <w:r w:rsidR="005B23EC" w:rsidRPr="00D906D2">
        <w:rPr>
          <w:rFonts w:ascii="Simplified Arabic"/>
          <w:rtl/>
        </w:rPr>
        <w:t>3:</w:t>
      </w:r>
      <w:r w:rsidR="005B23EC" w:rsidRPr="00D906D2">
        <w:rPr>
          <w:rtl/>
        </w:rPr>
        <w:t xml:space="preserve"> </w:t>
      </w:r>
      <w:r w:rsidRPr="00D906D2">
        <w:rPr>
          <w:rtl/>
        </w:rPr>
        <w:t>ظروف الاحتجاز</w:t>
      </w:r>
    </w:p>
    <w:p w14:paraId="1DB173B8" w14:textId="00A38A3F" w:rsidR="00AE4D6F" w:rsidRPr="00D906D2" w:rsidRDefault="003A7AC3" w:rsidP="008A160D">
      <w:pPr>
        <w:pStyle w:val="SingleTxtGA"/>
        <w:rPr>
          <w:rFonts w:cs="Times New Roman"/>
          <w:b/>
          <w:bCs/>
          <w:rtl/>
          <w:lang w:val="ar-SA" w:eastAsia="zh-TW"/>
        </w:rPr>
      </w:pPr>
      <w:r w:rsidRPr="00D906D2">
        <w:rPr>
          <w:b/>
          <w:bCs/>
          <w:rtl/>
        </w:rPr>
        <w:tab/>
      </w:r>
      <w:r w:rsidR="00AE4D6F" w:rsidRPr="00D906D2">
        <w:rPr>
          <w:b/>
          <w:bCs/>
          <w:rtl/>
        </w:rPr>
        <w:t>ينبغي للدولة الطرف أن تتخذ التدابير اللازمة من أجل: (أ) مواصلة جهودها الرامية إلى تحسين ظروف معيشة السجناء ومعاملتهم، وفقاً لقواعد الأمم المتحدة النموذجية الدنيا لمعاملة السجناء؛ و(ب)</w:t>
      </w:r>
      <w:r w:rsidR="00524333" w:rsidRPr="00D906D2">
        <w:rPr>
          <w:rFonts w:hint="cs"/>
          <w:b/>
          <w:bCs/>
          <w:rtl/>
        </w:rPr>
        <w:t> </w:t>
      </w:r>
      <w:r w:rsidR="00AE4D6F" w:rsidRPr="00D906D2">
        <w:rPr>
          <w:b/>
          <w:bCs/>
          <w:rtl/>
        </w:rPr>
        <w:t>معالجة مشكلة اكتظاظ السجون في سجن نيامي المدني، ولا سيما عن طريق نقل السجناء إلى مؤسسات غير مكتظة، ومواصلة الجهود الرامية إلى تفضيل بدائل سلب الحرية؛ و(ج) تجديد جميع مراكز الاحتجاز القائمة؛ و(د) مواصلة ضمان حق اللجنة الوطنية لحقوق الإنسان في الوصول، دون قيود، إلى جميع أماكن سلب الحرية.</w:t>
      </w:r>
    </w:p>
    <w:p w14:paraId="3BB117BC" w14:textId="77777777" w:rsidR="00AE4D6F" w:rsidRPr="00D906D2" w:rsidRDefault="00AE4D6F" w:rsidP="008A160D">
      <w:pPr>
        <w:pStyle w:val="H23GA"/>
        <w:rPr>
          <w:rFonts w:eastAsiaTheme="minorEastAsia" w:cs="Times New Roman"/>
          <w:rtl/>
          <w:lang w:val="ar-SA" w:eastAsia="zh-TW"/>
        </w:rPr>
      </w:pPr>
      <w:r w:rsidRPr="00D906D2">
        <w:rPr>
          <w:rtl/>
        </w:rPr>
        <w:tab/>
      </w:r>
      <w:r w:rsidRPr="00D906D2">
        <w:rPr>
          <w:rtl/>
        </w:rPr>
        <w:tab/>
        <w:t>موجز المعلومات الواردة من الدولة الطرف</w:t>
      </w:r>
    </w:p>
    <w:p w14:paraId="13E8627D" w14:textId="0E9F907E" w:rsidR="00AE4D6F" w:rsidRPr="00D906D2" w:rsidRDefault="008A160D" w:rsidP="003A7AC3">
      <w:pPr>
        <w:pStyle w:val="SingleTxtGA"/>
        <w:spacing w:line="350" w:lineRule="exact"/>
        <w:rPr>
          <w:rFonts w:eastAsiaTheme="minorEastAsia" w:cs="Times New Roman"/>
          <w:rtl/>
          <w:lang w:val="ar-SA" w:eastAsia="zh-TW"/>
        </w:rPr>
      </w:pPr>
      <w:bookmarkStart w:id="2" w:name="_Hlk124687106"/>
      <w:r w:rsidRPr="00D906D2">
        <w:rPr>
          <w:rtl/>
        </w:rPr>
        <w:tab/>
      </w:r>
      <w:r w:rsidR="00AE4D6F" w:rsidRPr="00D906D2">
        <w:rPr>
          <w:rtl/>
        </w:rPr>
        <w:t>(أ)</w:t>
      </w:r>
      <w:r w:rsidR="00AE4D6F" w:rsidRPr="00D906D2">
        <w:rPr>
          <w:rtl/>
        </w:rPr>
        <w:tab/>
        <w:t xml:space="preserve">في </w:t>
      </w:r>
      <w:r w:rsidR="00AE4D6F" w:rsidRPr="00D906D2">
        <w:rPr>
          <w:rFonts w:ascii="Simplified Arabic"/>
          <w:rtl/>
        </w:rPr>
        <w:t>17</w:t>
      </w:r>
      <w:r w:rsidR="00AE4D6F" w:rsidRPr="00D906D2">
        <w:rPr>
          <w:rtl/>
        </w:rPr>
        <w:t xml:space="preserve"> نيسان/أبريل 2020، اعتمدت الحكومة سياسة للسجون تتناول ثلاثة مجالات رئيسية هي: إصلاح إدارة السجون وتعزيز حوكمتها؛ وإضفاء الطابع الإنساني على ظروف الاحتجاز؛ وإعادة الاستيعاب والإنتاجية. وفي آب/أغسطس 2021، تخرجت الدفعة الأولى المكونة من 130 طالباً من برنامج التدريب على إدارة السجون، بعد أن أكملوا 18 شهراً من التدريب. وزاد التمويل المخصص لنفقات الغذاء والفراش واللوازم الطبية في السجون زيادة كبيرة.</w:t>
      </w:r>
    </w:p>
    <w:p w14:paraId="55170B0F" w14:textId="2268194E" w:rsidR="00AE4D6F" w:rsidRPr="00D906D2" w:rsidRDefault="008A160D" w:rsidP="003A7AC3">
      <w:pPr>
        <w:pStyle w:val="SingleTxtGA"/>
        <w:spacing w:line="350" w:lineRule="exact"/>
        <w:rPr>
          <w:rFonts w:eastAsiaTheme="minorEastAsia" w:cs="Times New Roman"/>
          <w:rtl/>
          <w:lang w:val="ar-SA" w:eastAsia="zh-TW"/>
        </w:rPr>
      </w:pPr>
      <w:r w:rsidRPr="00D906D2">
        <w:rPr>
          <w:rtl/>
        </w:rPr>
        <w:tab/>
      </w:r>
      <w:r w:rsidR="00AE4D6F" w:rsidRPr="00D906D2">
        <w:rPr>
          <w:rtl/>
        </w:rPr>
        <w:t>(ب)</w:t>
      </w:r>
      <w:r w:rsidR="00AE4D6F" w:rsidRPr="00D906D2">
        <w:rPr>
          <w:rtl/>
        </w:rPr>
        <w:tab/>
        <w:t xml:space="preserve">في </w:t>
      </w:r>
      <w:r w:rsidR="00AE4D6F" w:rsidRPr="00D906D2">
        <w:rPr>
          <w:rFonts w:ascii="Simplified Arabic"/>
          <w:rtl/>
        </w:rPr>
        <w:t>18</w:t>
      </w:r>
      <w:r w:rsidR="00AE4D6F" w:rsidRPr="00D906D2">
        <w:rPr>
          <w:rtl/>
        </w:rPr>
        <w:t xml:space="preserve"> تشرين الأول/أكتوبر 2019، اعتُمد المرسوم رقم </w:t>
      </w:r>
      <w:r w:rsidR="00AE4D6F" w:rsidRPr="00D906D2">
        <w:t>2019-599/PRN/MJ</w:t>
      </w:r>
      <w:r w:rsidR="00AE4D6F" w:rsidRPr="00D906D2">
        <w:rPr>
          <w:rtl/>
        </w:rPr>
        <w:t>، بشأن تنفيذ القانون رقم 2017</w:t>
      </w:r>
      <w:r w:rsidR="00AE4D6F" w:rsidRPr="00D906D2">
        <w:rPr>
          <w:rFonts w:ascii="Simplified Arabic"/>
          <w:rtl/>
        </w:rPr>
        <w:t>-</w:t>
      </w:r>
      <w:r w:rsidR="00AE4D6F" w:rsidRPr="00D906D2">
        <w:rPr>
          <w:rtl/>
        </w:rPr>
        <w:t>05 المؤرخ 31 آذار/مارس 2017، الذي ينص على خدمة المجتمع كبديل للعقوبات السالبة للحرية. وأصدرت وزارة العدل تعميمات بشأن الاحتجاز السابق للمحاكمة، تذكِّر القضاة بأن الحرية هي القاعدة.</w:t>
      </w:r>
    </w:p>
    <w:p w14:paraId="70101A62" w14:textId="00ED9465" w:rsidR="00AE4D6F" w:rsidRPr="00D906D2" w:rsidRDefault="008A160D" w:rsidP="003A7AC3">
      <w:pPr>
        <w:pStyle w:val="SingleTxtGA"/>
        <w:spacing w:line="350" w:lineRule="exact"/>
        <w:rPr>
          <w:rFonts w:eastAsiaTheme="minorEastAsia" w:cs="Times New Roman"/>
          <w:rtl/>
          <w:lang w:val="ar-SA" w:eastAsia="zh-TW"/>
        </w:rPr>
      </w:pPr>
      <w:r w:rsidRPr="00D906D2">
        <w:rPr>
          <w:rtl/>
        </w:rPr>
        <w:tab/>
      </w:r>
      <w:r w:rsidR="00AE4D6F" w:rsidRPr="00D906D2">
        <w:rPr>
          <w:rtl/>
        </w:rPr>
        <w:t>(ج)</w:t>
      </w:r>
      <w:r w:rsidR="00AE4D6F" w:rsidRPr="00D906D2">
        <w:rPr>
          <w:rtl/>
        </w:rPr>
        <w:tab/>
        <w:t xml:space="preserve">أُطلق برنامج واسع النطاق لبناء السجون وتجديدها، يشمل نحو 20 مرفقاً من المرافق البالغ عددها 41 مرفقاً في البلد. وبالإضافة إلى ذلك، جُدد </w:t>
      </w:r>
      <w:r w:rsidR="00AE4D6F" w:rsidRPr="00D906D2">
        <w:rPr>
          <w:rFonts w:ascii="Simplified Arabic"/>
          <w:rtl/>
        </w:rPr>
        <w:t>28</w:t>
      </w:r>
      <w:r w:rsidR="00AE4D6F" w:rsidRPr="00D906D2">
        <w:rPr>
          <w:rtl/>
        </w:rPr>
        <w:t xml:space="preserve"> جناحاً للأحداث للارتقاء بها إلى المستوى المطلوب، وأُنشئت مستوصفات، بما في ذلك في سجن كوتوكالي الشديد الحراسة، وأقيمت في عدة مرافق مراحيض، ومراحيض حُفر لائقة، وشبكات للإمداد بمياه الشرب، وخزانات للصرف الصحي، وقنوات للصرف، ومناطق رياضية.</w:t>
      </w:r>
    </w:p>
    <w:p w14:paraId="34D11CEF" w14:textId="356297D8" w:rsidR="00AE4D6F" w:rsidRPr="00D906D2" w:rsidRDefault="008A160D" w:rsidP="003A7AC3">
      <w:pPr>
        <w:pStyle w:val="SingleTxtGA"/>
        <w:spacing w:line="350" w:lineRule="exact"/>
        <w:rPr>
          <w:rFonts w:eastAsiaTheme="minorEastAsia" w:cs="Times New Roman"/>
          <w:rtl/>
          <w:lang w:val="ar-SA" w:eastAsia="zh-TW"/>
        </w:rPr>
      </w:pPr>
      <w:r w:rsidRPr="00D906D2">
        <w:rPr>
          <w:rtl/>
        </w:rPr>
        <w:tab/>
      </w:r>
      <w:r w:rsidR="00AE4D6F" w:rsidRPr="00D906D2">
        <w:rPr>
          <w:rtl/>
        </w:rPr>
        <w:t>(د)</w:t>
      </w:r>
      <w:r w:rsidR="00AE4D6F" w:rsidRPr="00D906D2">
        <w:rPr>
          <w:rtl/>
        </w:rPr>
        <w:tab/>
        <w:t>لدى اللجنة الوطنية لحقوق الإنسان سلطة القيام بزيارات غير مُعلَنة إلى أي مكان احتجاز. وقد عزز القانون رقم 2020</w:t>
      </w:r>
      <w:r w:rsidR="00AE4D6F" w:rsidRPr="00D906D2">
        <w:rPr>
          <w:rFonts w:ascii="Simplified Arabic"/>
          <w:rtl/>
        </w:rPr>
        <w:t>-</w:t>
      </w:r>
      <w:r w:rsidR="00AE4D6F" w:rsidRPr="00D906D2">
        <w:rPr>
          <w:rtl/>
        </w:rPr>
        <w:t>02، المؤرخ 6 أيار/مايو 2020، سلطات اللجنة، وهو القانون المنشئ للآلية الوقائية الوطنية، تطبيقاً للبروتوكول الاختياري لاتفاقية مناهضة التعذيب وغيره من ضروب المعاملة أو العقوبة القاسية أو اللاإنسانية أو المهينة.</w:t>
      </w:r>
    </w:p>
    <w:p w14:paraId="554FD610" w14:textId="77777777" w:rsidR="00AE4D6F" w:rsidRPr="00D906D2" w:rsidRDefault="00AE4D6F" w:rsidP="008A160D">
      <w:pPr>
        <w:pStyle w:val="H23GA"/>
        <w:rPr>
          <w:rFonts w:eastAsiaTheme="minorEastAsia" w:cs="Times New Roman"/>
          <w:rtl/>
          <w:lang w:val="ar-SA" w:eastAsia="zh-TW"/>
        </w:rPr>
      </w:pPr>
      <w:r w:rsidRPr="00D906D2">
        <w:rPr>
          <w:rtl/>
        </w:rPr>
        <w:tab/>
      </w:r>
      <w:r w:rsidRPr="00D906D2">
        <w:rPr>
          <w:rtl/>
        </w:rPr>
        <w:tab/>
        <w:t>موجز المعلومات الواردة من الجهات صاحبة المصلحة</w:t>
      </w:r>
    </w:p>
    <w:p w14:paraId="72D40A76" w14:textId="64D2AAC1" w:rsidR="00AE4D6F" w:rsidRPr="00D906D2" w:rsidRDefault="008A160D" w:rsidP="008A160D">
      <w:pPr>
        <w:pStyle w:val="SingleTxtGA"/>
        <w:rPr>
          <w:rFonts w:cs="Times New Roman"/>
          <w:rtl/>
          <w:lang w:val="ar-SA" w:eastAsia="zh-TW"/>
        </w:rPr>
      </w:pPr>
      <w:r w:rsidRPr="00D906D2">
        <w:rPr>
          <w:rtl/>
        </w:rPr>
        <w:tab/>
      </w:r>
      <w:r w:rsidR="00AE4D6F" w:rsidRPr="00D906D2">
        <w:rPr>
          <w:rtl/>
        </w:rPr>
        <w:t>(أ)</w:t>
      </w:r>
      <w:r w:rsidR="00AE4D6F" w:rsidRPr="00D906D2">
        <w:rPr>
          <w:rtl/>
        </w:rPr>
        <w:tab/>
        <w:t>أصدرت الدولة مرسوماً في 17 نيسان/أبريل 2020 بزيادة عدد الحصص الغذائية اليومية للسجناء من حصتين إلى ثلاث، ولكن لم تُخصَّص الموارد المالية اللازمة لتنفيذ التغيير حتى الآن.</w:t>
      </w:r>
    </w:p>
    <w:bookmarkEnd w:id="2"/>
    <w:p w14:paraId="4BA24B3A" w14:textId="2162C2AA" w:rsidR="00AE4D6F" w:rsidRPr="00D906D2" w:rsidRDefault="008A160D" w:rsidP="008A160D">
      <w:pPr>
        <w:pStyle w:val="SingleTxtGA"/>
        <w:rPr>
          <w:rFonts w:cs="Times New Roman"/>
          <w:rtl/>
          <w:lang w:val="ar-SA" w:eastAsia="zh-TW"/>
        </w:rPr>
      </w:pPr>
      <w:r w:rsidRPr="00D906D2">
        <w:rPr>
          <w:rtl/>
        </w:rPr>
        <w:tab/>
      </w:r>
      <w:r w:rsidR="00AE4D6F" w:rsidRPr="00D906D2">
        <w:rPr>
          <w:rtl/>
        </w:rPr>
        <w:t>(ب)</w:t>
      </w:r>
      <w:r w:rsidR="00AE4D6F" w:rsidRPr="00D906D2">
        <w:rPr>
          <w:rtl/>
        </w:rPr>
        <w:tab/>
        <w:t>نُقل بعض السجناء إلى مرافق احتجاز خارج نيامي من أجل الحد من الاكتظاظ. واتُخذت خطوات لتحسين سُبل الوصول إلى إجراءات العدالة الجنائية، بما في ذلك تعيين قضاة إضافيين وتوسيع نطاق اختصاص المحاكم على الصعيد المحلي.</w:t>
      </w:r>
    </w:p>
    <w:p w14:paraId="2C2CBB60" w14:textId="440D9792" w:rsidR="00AE4D6F" w:rsidRPr="00D906D2" w:rsidRDefault="008A160D" w:rsidP="008A160D">
      <w:pPr>
        <w:pStyle w:val="SingleTxtGA"/>
        <w:rPr>
          <w:rFonts w:cs="Times New Roman"/>
          <w:rtl/>
          <w:lang w:val="ar-SA" w:eastAsia="zh-TW"/>
        </w:rPr>
      </w:pPr>
      <w:r w:rsidRPr="00D906D2">
        <w:rPr>
          <w:rtl/>
        </w:rPr>
        <w:tab/>
      </w:r>
      <w:r w:rsidR="00AE4D6F" w:rsidRPr="00D906D2">
        <w:rPr>
          <w:rtl/>
        </w:rPr>
        <w:t>(ج)</w:t>
      </w:r>
      <w:r w:rsidR="00AE4D6F" w:rsidRPr="00D906D2">
        <w:rPr>
          <w:rtl/>
        </w:rPr>
        <w:tab/>
        <w:t>أُجريت أعمال تجديد في سجون نيامي، وكولو، وتيرا، وداي</w:t>
      </w:r>
      <w:r w:rsidR="004A42AC" w:rsidRPr="00D906D2">
        <w:rPr>
          <w:rFonts w:hint="cs"/>
          <w:rtl/>
        </w:rPr>
        <w:t xml:space="preserve"> </w:t>
      </w:r>
      <w:r w:rsidR="00AE4D6F" w:rsidRPr="00D906D2">
        <w:rPr>
          <w:rtl/>
        </w:rPr>
        <w:t>-</w:t>
      </w:r>
      <w:r w:rsidR="004A42AC" w:rsidRPr="00D906D2">
        <w:rPr>
          <w:rFonts w:hint="cs"/>
          <w:rtl/>
        </w:rPr>
        <w:t xml:space="preserve"> </w:t>
      </w:r>
      <w:r w:rsidR="00AE4D6F" w:rsidRPr="00D906D2">
        <w:rPr>
          <w:rtl/>
        </w:rPr>
        <w:t>كينا. وأُنشئ سجن جديد في لوغا، لكنه لم يعمل بعد لأنه لا يفي بالمعايير الدولية. وقد تأخر مشروع بناء السجن في نيامي، بسبب الأزمتين الصحية والأمنية على ما يبدو. وأُنشئ مركز إعادة الإدماج المهني للأحداث الجانحين في عام</w:t>
      </w:r>
      <w:r w:rsidR="00524333" w:rsidRPr="00D906D2">
        <w:rPr>
          <w:rFonts w:hint="cs"/>
          <w:rtl/>
        </w:rPr>
        <w:t> </w:t>
      </w:r>
      <w:r w:rsidR="00AE4D6F" w:rsidRPr="00D906D2">
        <w:rPr>
          <w:rtl/>
        </w:rPr>
        <w:t>2021، وهو يعمل حالياً.</w:t>
      </w:r>
    </w:p>
    <w:p w14:paraId="4B1D1A68" w14:textId="7D70756E" w:rsidR="00AE4D6F" w:rsidRPr="00D906D2" w:rsidRDefault="008A160D" w:rsidP="008A160D">
      <w:pPr>
        <w:pStyle w:val="SingleTxtGA"/>
        <w:rPr>
          <w:rFonts w:cs="Times New Roman"/>
          <w:rtl/>
          <w:lang w:val="ar-SA" w:eastAsia="zh-TW"/>
        </w:rPr>
      </w:pPr>
      <w:r w:rsidRPr="00D906D2">
        <w:rPr>
          <w:rtl/>
        </w:rPr>
        <w:lastRenderedPageBreak/>
        <w:tab/>
      </w:r>
      <w:r w:rsidR="00AE4D6F" w:rsidRPr="00D906D2">
        <w:rPr>
          <w:rtl/>
        </w:rPr>
        <w:t>(د)</w:t>
      </w:r>
      <w:r w:rsidR="00AE4D6F" w:rsidRPr="00D906D2">
        <w:rPr>
          <w:rtl/>
        </w:rPr>
        <w:tab/>
        <w:t>وسَّع القانون نطاق ولاية اللجنة الوطنية لحقوق الإنسان لتشمل منع التعذيب، بوسائل منها القيام بزيارات منتظمة وغير مُعلَنة إلى أماكن الاحتجاز. ومع ذلك، يبدو أن السلطات لم تزود اللجنة بمخصصات في الميزانية لأداء هذه المهمة.</w:t>
      </w:r>
    </w:p>
    <w:p w14:paraId="368ADB07" w14:textId="77777777" w:rsidR="00AE4D6F" w:rsidRPr="00D906D2" w:rsidRDefault="00AE4D6F" w:rsidP="008A160D">
      <w:pPr>
        <w:pStyle w:val="H23GA"/>
        <w:rPr>
          <w:rFonts w:cs="Times New Roman"/>
          <w:rtl/>
          <w:lang w:val="ar-SA" w:eastAsia="zh-TW"/>
        </w:rPr>
      </w:pPr>
      <w:r w:rsidRPr="00D906D2">
        <w:rPr>
          <w:rtl/>
        </w:rPr>
        <w:tab/>
      </w:r>
      <w:r w:rsidRPr="00D906D2">
        <w:rPr>
          <w:rtl/>
        </w:rPr>
        <w:tab/>
        <w:t>تقييم اللجنة</w:t>
      </w:r>
    </w:p>
    <w:p w14:paraId="08016DD1" w14:textId="151955F0" w:rsidR="00AE4D6F" w:rsidRPr="00D906D2" w:rsidRDefault="00AE4D6F" w:rsidP="008A160D">
      <w:pPr>
        <w:pStyle w:val="SingleTxtGA"/>
        <w:rPr>
          <w:rFonts w:cs="Times New Roman"/>
          <w:rtl/>
          <w:lang w:val="ar-SA" w:eastAsia="zh-TW"/>
        </w:rPr>
      </w:pPr>
      <w:r w:rsidRPr="00D906D2">
        <w:rPr>
          <w:rtl/>
        </w:rPr>
        <w:t>[ألف</w:t>
      </w:r>
      <w:r w:rsidR="005B23EC" w:rsidRPr="00D906D2">
        <w:rPr>
          <w:rtl/>
        </w:rPr>
        <w:t xml:space="preserve">]: </w:t>
      </w:r>
      <w:r w:rsidRPr="00D906D2">
        <w:rPr>
          <w:rtl/>
        </w:rPr>
        <w:t>(د)</w:t>
      </w:r>
    </w:p>
    <w:p w14:paraId="39DEAF56" w14:textId="628FB32A" w:rsidR="00AE4D6F" w:rsidRPr="00D906D2" w:rsidRDefault="00D906D2" w:rsidP="008A160D">
      <w:pPr>
        <w:pStyle w:val="SingleTxtGA"/>
        <w:rPr>
          <w:rFonts w:cs="Times New Roman"/>
          <w:spacing w:val="2"/>
          <w:rtl/>
          <w:lang w:val="ar-SA" w:eastAsia="zh-TW"/>
        </w:rPr>
      </w:pPr>
      <w:r>
        <w:rPr>
          <w:spacing w:val="2"/>
          <w:rtl/>
        </w:rPr>
        <w:tab/>
      </w:r>
      <w:r w:rsidR="00AE4D6F" w:rsidRPr="00D906D2">
        <w:rPr>
          <w:spacing w:val="2"/>
          <w:rtl/>
        </w:rPr>
        <w:t>ترحب اللجنة باعتماد القانون رقم 2020</w:t>
      </w:r>
      <w:r w:rsidR="00AE4D6F" w:rsidRPr="00D906D2">
        <w:rPr>
          <w:rFonts w:ascii="Simplified Arabic"/>
          <w:spacing w:val="2"/>
          <w:rtl/>
        </w:rPr>
        <w:t>-</w:t>
      </w:r>
      <w:r w:rsidR="00AE4D6F" w:rsidRPr="00D906D2">
        <w:rPr>
          <w:spacing w:val="2"/>
          <w:rtl/>
        </w:rPr>
        <w:t xml:space="preserve">02 المؤرخ </w:t>
      </w:r>
      <w:r w:rsidR="00AE4D6F" w:rsidRPr="00D906D2">
        <w:rPr>
          <w:rFonts w:ascii="Simplified Arabic"/>
          <w:spacing w:val="2"/>
          <w:rtl/>
        </w:rPr>
        <w:t>6</w:t>
      </w:r>
      <w:r w:rsidR="00AE4D6F" w:rsidRPr="00D906D2">
        <w:rPr>
          <w:spacing w:val="2"/>
          <w:rtl/>
        </w:rPr>
        <w:t xml:space="preserve"> أيار/مايو 2020، الذي يوسّع نطاق ولاية اللجنة الوطنية لحقوق الإنسان لأداء دور الآلية الوطنية لمنع التعذيب، بما في ذلك القيام بزيارات غير مُعلَنة إلى أماكن الاحتجاز. وتطلب معلومات عن مخصصات الميزانية المقدمة إلى اللجنة من أجل أداء هذه المهمة بفعالية. </w:t>
      </w:r>
    </w:p>
    <w:p w14:paraId="2EF949DD" w14:textId="1616BD18" w:rsidR="00AE4D6F" w:rsidRPr="00D906D2" w:rsidRDefault="00AE4D6F" w:rsidP="008A160D">
      <w:pPr>
        <w:pStyle w:val="SingleTxtGA"/>
        <w:rPr>
          <w:rFonts w:eastAsiaTheme="minorEastAsia" w:cs="Times New Roman"/>
          <w:rtl/>
          <w:lang w:val="ar-SA" w:eastAsia="zh-TW"/>
        </w:rPr>
      </w:pPr>
      <w:r w:rsidRPr="00D906D2">
        <w:rPr>
          <w:rtl/>
        </w:rPr>
        <w:t>[باء</w:t>
      </w:r>
      <w:r w:rsidR="005B23EC" w:rsidRPr="00D906D2">
        <w:rPr>
          <w:rtl/>
        </w:rPr>
        <w:t xml:space="preserve">]: </w:t>
      </w:r>
      <w:r w:rsidRPr="00D906D2">
        <w:rPr>
          <w:rtl/>
        </w:rPr>
        <w:t xml:space="preserve">(أ) و(ب) و(ج) </w:t>
      </w:r>
    </w:p>
    <w:p w14:paraId="2C937209" w14:textId="4CE4B7EA" w:rsidR="00AE4D6F" w:rsidRPr="00D906D2" w:rsidRDefault="008A160D" w:rsidP="008A160D">
      <w:pPr>
        <w:pStyle w:val="SingleTxtGA"/>
        <w:rPr>
          <w:rFonts w:eastAsiaTheme="minorEastAsia" w:cs="Times New Roman"/>
          <w:rtl/>
          <w:lang w:val="ar-SA" w:eastAsia="zh-TW"/>
        </w:rPr>
      </w:pPr>
      <w:r w:rsidRPr="00D906D2">
        <w:rPr>
          <w:rtl/>
        </w:rPr>
        <w:tab/>
      </w:r>
      <w:r w:rsidR="00AE4D6F" w:rsidRPr="00D906D2">
        <w:rPr>
          <w:rtl/>
        </w:rPr>
        <w:t>(أ)</w:t>
      </w:r>
      <w:r w:rsidR="00AE4D6F" w:rsidRPr="00D906D2">
        <w:rPr>
          <w:rtl/>
        </w:rPr>
        <w:tab/>
        <w:t>ترحب اللجنة باعتماد السياسة الجديدة للسجون وبالزيادة المبلغ عنها في الحصص الغذائية اليومية للسجناء. غير أنها تأسف لأن الأموال لم تُخصَّص بعد لدعم هذه الزيادة، حسبما أفادت به الادعاءات. وتطلب اللجنة معلومات إضافية عن الزيادة في تمويل نفقات الغذاء والفراش واللوازم الطبية، وعن فصل المحتجزين رهن المحاكمة عن السجناء المُدانين.</w:t>
      </w:r>
    </w:p>
    <w:p w14:paraId="2F8A9970" w14:textId="70F0471B" w:rsidR="00AE4D6F" w:rsidRPr="00D906D2" w:rsidRDefault="008A160D" w:rsidP="008A160D">
      <w:pPr>
        <w:pStyle w:val="SingleTxtGA"/>
        <w:rPr>
          <w:rFonts w:eastAsiaTheme="minorEastAsia" w:cs="Times New Roman"/>
          <w:rtl/>
          <w:lang w:val="ar-SA" w:eastAsia="zh-TW"/>
        </w:rPr>
      </w:pPr>
      <w:r w:rsidRPr="00D906D2">
        <w:rPr>
          <w:rtl/>
        </w:rPr>
        <w:tab/>
      </w:r>
      <w:r w:rsidR="00AE4D6F" w:rsidRPr="00D906D2">
        <w:rPr>
          <w:rtl/>
        </w:rPr>
        <w:t>(ب)</w:t>
      </w:r>
      <w:r w:rsidR="00AE4D6F" w:rsidRPr="00D906D2">
        <w:rPr>
          <w:rtl/>
        </w:rPr>
        <w:tab/>
        <w:t xml:space="preserve">ترحب اللجنة بما ورد من تقارير عن نقل سجناء من سجن نيامي المدني إلى مرافق احتجاز أخرى. غير أنها تأسف لعدم تقديم الدولة الطرف معلومات محددة في هذا الصدد. وترحب أيضاً باعتماد المرسوم رقم </w:t>
      </w:r>
      <w:r w:rsidR="00AE4D6F" w:rsidRPr="00D906D2">
        <w:t>2019-599/PRN/MJ</w:t>
      </w:r>
      <w:r w:rsidR="00AE4D6F" w:rsidRPr="00D906D2">
        <w:rPr>
          <w:rtl/>
        </w:rPr>
        <w:t>، وتطلب معلومات عن اللجوء الفعال إلى الخدمة المجتمعية وغيرها من بدائل العقوبات السالبة للحرية. وعلاوة على ذلك، ترحب اللجنة بالخطوات التي ادُعي أنها اتُخذت لتحسين الوصول إلى الإجراءات القضائية، وتطلب معلومات إضافية في هذا الصدد.</w:t>
      </w:r>
    </w:p>
    <w:p w14:paraId="732D332E" w14:textId="687F2661" w:rsidR="00AE4D6F" w:rsidRPr="00D906D2" w:rsidRDefault="008A160D" w:rsidP="008A160D">
      <w:pPr>
        <w:pStyle w:val="SingleTxtGA"/>
        <w:rPr>
          <w:rFonts w:cs="Times New Roman"/>
          <w:rtl/>
          <w:lang w:val="ar-SA" w:eastAsia="zh-TW"/>
        </w:rPr>
      </w:pPr>
      <w:r w:rsidRPr="00D906D2">
        <w:rPr>
          <w:rtl/>
        </w:rPr>
        <w:tab/>
      </w:r>
      <w:r w:rsidR="00AE4D6F" w:rsidRPr="00D906D2">
        <w:rPr>
          <w:rtl/>
        </w:rPr>
        <w:t>(ج)</w:t>
      </w:r>
      <w:r w:rsidR="00AE4D6F" w:rsidRPr="00D906D2">
        <w:rPr>
          <w:rtl/>
        </w:rPr>
        <w:tab/>
        <w:t>ترحب اللجنة بما ورد من تقارير عن البرنامج الواسع النطاق لبناء السجون وتجديدها. وتطلب معلومات محدَّثة في هذا الصدد، بما في ذلك معلومات عن المرافق التي لا يشملها البرنامج القائم.</w:t>
      </w:r>
    </w:p>
    <w:p w14:paraId="28114F38" w14:textId="44BD3BDC" w:rsidR="00AE4D6F" w:rsidRPr="00D906D2" w:rsidRDefault="00AE4D6F" w:rsidP="008A160D">
      <w:pPr>
        <w:pStyle w:val="H23GA"/>
        <w:rPr>
          <w:rFonts w:cs="Times New Roman"/>
          <w:rtl/>
          <w:lang w:val="ar-SA" w:eastAsia="zh-TW"/>
        </w:rPr>
      </w:pPr>
      <w:r w:rsidRPr="00D906D2">
        <w:rPr>
          <w:rtl/>
        </w:rPr>
        <w:tab/>
      </w:r>
      <w:r w:rsidRPr="00D906D2">
        <w:rPr>
          <w:rtl/>
        </w:rPr>
        <w:tab/>
        <w:t xml:space="preserve">الفقرة </w:t>
      </w:r>
      <w:r w:rsidRPr="00D906D2">
        <w:rPr>
          <w:rFonts w:ascii="Simplified Arabic"/>
          <w:rtl/>
        </w:rPr>
        <w:t>4</w:t>
      </w:r>
      <w:r w:rsidR="005B23EC" w:rsidRPr="00D906D2">
        <w:rPr>
          <w:rFonts w:ascii="Simplified Arabic"/>
          <w:rtl/>
        </w:rPr>
        <w:t>3:</w:t>
      </w:r>
      <w:r w:rsidR="005B23EC" w:rsidRPr="00D906D2">
        <w:rPr>
          <w:rtl/>
        </w:rPr>
        <w:t xml:space="preserve"> </w:t>
      </w:r>
      <w:r w:rsidRPr="00D906D2">
        <w:rPr>
          <w:rtl/>
        </w:rPr>
        <w:t>حرية التعبير والتجمع وحماية الصحفيين والمدافعين عن حقوق الإنسان</w:t>
      </w:r>
    </w:p>
    <w:p w14:paraId="3B18D336" w14:textId="1CFB5593" w:rsidR="00AE4D6F" w:rsidRPr="00D906D2" w:rsidRDefault="003A7AC3" w:rsidP="008A160D">
      <w:pPr>
        <w:pStyle w:val="SingleTxtGA"/>
        <w:rPr>
          <w:b/>
          <w:bCs/>
          <w:rtl/>
        </w:rPr>
      </w:pPr>
      <w:r w:rsidRPr="00D906D2">
        <w:rPr>
          <w:b/>
          <w:bCs/>
          <w:rtl/>
        </w:rPr>
        <w:tab/>
      </w:r>
      <w:r w:rsidR="00AE4D6F" w:rsidRPr="00D906D2">
        <w:rPr>
          <w:b/>
          <w:bCs/>
          <w:rtl/>
        </w:rPr>
        <w:t>ينبغي للدولة الطرف، في ضوء تعليق اللجنة العام رقم 34(201</w:t>
      </w:r>
      <w:r w:rsidR="005B23EC" w:rsidRPr="00D906D2">
        <w:rPr>
          <w:b/>
          <w:bCs/>
          <w:rtl/>
        </w:rPr>
        <w:t xml:space="preserve">1) </w:t>
      </w:r>
      <w:r w:rsidR="00AE4D6F" w:rsidRPr="00D906D2">
        <w:rPr>
          <w:b/>
          <w:bCs/>
          <w:rtl/>
        </w:rPr>
        <w:t>بشأن حرية الرأي وحرية التعبير، أن تقوم بما يلي: (أ) ضمان توافُق أي قيود مفروضة على الأنشطة الصحفية والإعلامية توافقاً تاماً مع أحكام المادة 19(</w:t>
      </w:r>
      <w:r w:rsidR="005B23EC" w:rsidRPr="00D906D2">
        <w:rPr>
          <w:b/>
          <w:bCs/>
          <w:rtl/>
        </w:rPr>
        <w:t xml:space="preserve">3) </w:t>
      </w:r>
      <w:r w:rsidR="00AE4D6F" w:rsidRPr="00D906D2">
        <w:rPr>
          <w:b/>
          <w:bCs/>
          <w:rtl/>
        </w:rPr>
        <w:t>من العهد؛ و(ب) ضمان تجنب موظفي الدولة أي تدخل لا داعي له أو غير متناسب في حرية التعبير لوسائل الإعلام، وحماية الصحفيين من أي شكل من أشكال سوء المعاملة، والتحقيق مع مرتكبي هذه الأفعال ومقاضاتهم والحكم عليهم؛ و(ج) اتخاذ جميع التدابير اللازمة لحماية المدافعين عن حقوق الإنسان من أفعال التهديد والتخويف، والتحقيق مع مرتكبي هذه الأفعال ومقاضاتهم والحكم عليهم؛ و(د) التعجيل باعتماد مشروع القانون المتعلق بحماية المدافعين عن حقوق الإنسان؛ و(ه) رفع كل القيود غير الضرورية المفروضة على حرية التجمع والتظاهر؛ و(و) إجراء تحقيقات فورية ونزيهة وفعالة في جميع الحالات التي تنطوي على استخدام مفرط للقوة لتفريق المظاهرات وتقديم الجناة إلى العدالة؛ و(ز) توضيح الإطار التنظيمي والتشريعي للتصريح بالمظاهرات، ودور المجلس الأعلى للاتصالات واختصاصه، وتنقيح ذلك الإطار ودور المجلس واختصاصه حسب الاقتضاء، لضمان احترام أحكام المادة 19 من العهد.</w:t>
      </w:r>
    </w:p>
    <w:p w14:paraId="426B9D7A" w14:textId="77777777" w:rsidR="00AE4D6F" w:rsidRPr="00D906D2" w:rsidRDefault="00AE4D6F" w:rsidP="008A160D">
      <w:pPr>
        <w:pStyle w:val="H23GA"/>
        <w:rPr>
          <w:rFonts w:eastAsiaTheme="minorEastAsia" w:cs="Times New Roman"/>
          <w:rtl/>
          <w:lang w:val="ar-SA" w:eastAsia="zh-TW"/>
        </w:rPr>
      </w:pPr>
      <w:r w:rsidRPr="00D906D2">
        <w:rPr>
          <w:rtl/>
        </w:rPr>
        <w:lastRenderedPageBreak/>
        <w:tab/>
      </w:r>
      <w:r w:rsidRPr="00D906D2">
        <w:rPr>
          <w:rtl/>
        </w:rPr>
        <w:tab/>
        <w:t>موجز المعلومات الواردة من الدولة الطرف</w:t>
      </w:r>
    </w:p>
    <w:p w14:paraId="35852983" w14:textId="3A76CFEF" w:rsidR="00AE4D6F" w:rsidRPr="00D906D2" w:rsidRDefault="008A160D" w:rsidP="00D906D2">
      <w:pPr>
        <w:pStyle w:val="SingleTxtGA"/>
        <w:spacing w:line="350" w:lineRule="exact"/>
        <w:rPr>
          <w:rFonts w:cs="Times New Roman"/>
          <w:rtl/>
          <w:lang w:val="ar-SA" w:eastAsia="zh-TW"/>
        </w:rPr>
      </w:pPr>
      <w:r w:rsidRPr="00D906D2">
        <w:rPr>
          <w:rtl/>
        </w:rPr>
        <w:tab/>
      </w:r>
      <w:r w:rsidR="00AE4D6F" w:rsidRPr="00D906D2">
        <w:rPr>
          <w:rtl/>
        </w:rPr>
        <w:t>(أ)</w:t>
      </w:r>
      <w:r w:rsidR="00AE4D6F" w:rsidRPr="00D906D2">
        <w:rPr>
          <w:rtl/>
        </w:rPr>
        <w:tab/>
        <w:t>أُغلقت بعض وسائل الإعلام الخاصة قبل نيسان/أبريل 2021، والتي كانت تنشر رسائل الكراهية والتمرد والتحريض على العنف، وهو ما يشكل انتهاكاً لجميع المعايير الأخلاقية. وكانت عمليات الإغلاق مجرد تدابير إدارية تهدف إلى حفظ السلام والحفاظ على النظام العام. وقد نُفذت وفقاً للقانون الوطني والمادة 19</w:t>
      </w:r>
      <w:r w:rsidR="00AE4D6F" w:rsidRPr="00D906D2">
        <w:rPr>
          <w:rFonts w:ascii="Simplified Arabic"/>
          <w:rtl/>
        </w:rPr>
        <w:t>(3)(</w:t>
      </w:r>
      <w:r w:rsidR="00AE4D6F" w:rsidRPr="00D906D2">
        <w:rPr>
          <w:rtl/>
        </w:rPr>
        <w:t>ب</w:t>
      </w:r>
      <w:r w:rsidR="00AE4D6F" w:rsidRPr="00D906D2">
        <w:rPr>
          <w:rFonts w:ascii="Simplified Arabic"/>
          <w:rtl/>
        </w:rPr>
        <w:t>)</w:t>
      </w:r>
      <w:r w:rsidR="00AE4D6F" w:rsidRPr="00D906D2">
        <w:rPr>
          <w:rtl/>
        </w:rPr>
        <w:t xml:space="preserve"> من العهد.</w:t>
      </w:r>
    </w:p>
    <w:p w14:paraId="50965869" w14:textId="3CDA9659" w:rsidR="00AE4D6F" w:rsidRPr="00D906D2" w:rsidRDefault="008A160D" w:rsidP="00D906D2">
      <w:pPr>
        <w:pStyle w:val="SingleTxtGA"/>
        <w:spacing w:line="350" w:lineRule="exact"/>
        <w:rPr>
          <w:rFonts w:cs="Times New Roman"/>
          <w:spacing w:val="-4"/>
          <w:rtl/>
          <w:lang w:val="ar-SA" w:eastAsia="zh-TW"/>
        </w:rPr>
      </w:pPr>
      <w:r w:rsidRPr="00D906D2">
        <w:rPr>
          <w:rtl/>
        </w:rPr>
        <w:tab/>
      </w:r>
      <w:r w:rsidR="00AE4D6F" w:rsidRPr="00D906D2">
        <w:rPr>
          <w:rtl/>
        </w:rPr>
        <w:t>(ب)</w:t>
      </w:r>
      <w:r w:rsidR="00AE4D6F" w:rsidRPr="00D906D2">
        <w:rPr>
          <w:rtl/>
        </w:rPr>
        <w:tab/>
        <w:t xml:space="preserve">منذ اعتماد تشريع يلغي تجريم الأنشطة الصحفية، لم يُحتجز أي صحفي بسبب هذه الجرائم، بما في ذلك التشهير والإهانات. ويمكن لأي صحفي يقع ضحية لسوء المعاملة أثناء أداء واجباته أو فيما يتعلق بها أن يتقدم بطلب إلى المحاكم المختصة، بغض النظر عن المسؤول عن الحادث. وإذا </w:t>
      </w:r>
      <w:r w:rsidR="00AE4D6F" w:rsidRPr="00D906D2">
        <w:rPr>
          <w:spacing w:val="-4"/>
          <w:rtl/>
        </w:rPr>
        <w:t>لزم الأمر، يمكن للصحفيين الشروع في إجراءات جنائية بأنفسهم عن طريق تقديم شكوى بصفتهم طرفاً مدنياً.</w:t>
      </w:r>
    </w:p>
    <w:p w14:paraId="32CA9B79" w14:textId="45A74083" w:rsidR="00AE4D6F" w:rsidRPr="00D906D2" w:rsidRDefault="008A160D" w:rsidP="00D906D2">
      <w:pPr>
        <w:pStyle w:val="SingleTxtGA"/>
        <w:spacing w:line="350" w:lineRule="exact"/>
        <w:rPr>
          <w:rFonts w:cs="Times New Roman"/>
          <w:rtl/>
          <w:lang w:val="ar-SA" w:eastAsia="zh-TW"/>
        </w:rPr>
      </w:pPr>
      <w:r w:rsidRPr="00D906D2">
        <w:rPr>
          <w:rtl/>
        </w:rPr>
        <w:tab/>
      </w:r>
      <w:r w:rsidR="00AE4D6F" w:rsidRPr="00D906D2">
        <w:rPr>
          <w:rtl/>
        </w:rPr>
        <w:t>(ج)</w:t>
      </w:r>
      <w:r w:rsidR="00AE4D6F" w:rsidRPr="00D906D2">
        <w:rPr>
          <w:rtl/>
        </w:rPr>
        <w:tab/>
        <w:t>لم تُقَّدم أي معلومات.</w:t>
      </w:r>
    </w:p>
    <w:p w14:paraId="21BB36F1" w14:textId="7F8A634C" w:rsidR="00AE4D6F" w:rsidRPr="00D906D2" w:rsidRDefault="008A160D" w:rsidP="00D906D2">
      <w:pPr>
        <w:pStyle w:val="SingleTxtGA"/>
        <w:spacing w:line="350" w:lineRule="exact"/>
        <w:rPr>
          <w:rFonts w:cs="Times New Roman"/>
          <w:spacing w:val="-4"/>
          <w:rtl/>
          <w:lang w:val="ar-SA" w:eastAsia="zh-TW"/>
        </w:rPr>
      </w:pPr>
      <w:r w:rsidRPr="00D906D2">
        <w:rPr>
          <w:rtl/>
        </w:rPr>
        <w:tab/>
      </w:r>
      <w:r w:rsidR="00AE4D6F" w:rsidRPr="00D906D2">
        <w:rPr>
          <w:rtl/>
        </w:rPr>
        <w:t>(د)</w:t>
      </w:r>
      <w:r w:rsidR="00AE4D6F" w:rsidRPr="00D906D2">
        <w:rPr>
          <w:rtl/>
        </w:rPr>
        <w:tab/>
        <w:t xml:space="preserve">أُحيل مشروع القانون المتعلق بحماية المدافعين عن حقوق الإنسان إلى لجنة الخبراء المكلفة بدراسة النصوص القانونية للنظر فيه بصورة أولية، وسيُحال قريباً إلى الجمعية الوطنية بمجرد أن </w:t>
      </w:r>
      <w:r w:rsidR="00AE4D6F" w:rsidRPr="00D906D2">
        <w:rPr>
          <w:spacing w:val="-4"/>
          <w:rtl/>
        </w:rPr>
        <w:t>يعتمده مجلس الوزراء. ويحدد مشروع القانون الحقوق والالتزامات المتبادلة للمدافعين عن حقوق الإنسان والدولة.</w:t>
      </w:r>
    </w:p>
    <w:p w14:paraId="2637880E" w14:textId="366F96E5" w:rsidR="00AE4D6F" w:rsidRPr="00D906D2" w:rsidRDefault="008A160D" w:rsidP="00D906D2">
      <w:pPr>
        <w:pStyle w:val="SingleTxtGA"/>
        <w:spacing w:line="350" w:lineRule="exact"/>
        <w:rPr>
          <w:rFonts w:cs="Times New Roman"/>
          <w:rtl/>
          <w:lang w:val="ar-SA" w:eastAsia="zh-TW"/>
        </w:rPr>
      </w:pPr>
      <w:r w:rsidRPr="00D906D2">
        <w:rPr>
          <w:rtl/>
        </w:rPr>
        <w:tab/>
      </w:r>
      <w:r w:rsidR="00AE4D6F" w:rsidRPr="00D906D2">
        <w:rPr>
          <w:rtl/>
        </w:rPr>
        <w:t>(ه)</w:t>
      </w:r>
      <w:r w:rsidR="00AE4D6F" w:rsidRPr="00D906D2">
        <w:rPr>
          <w:rtl/>
        </w:rPr>
        <w:tab/>
        <w:t>لا تزال المظاهرات على الطرق العامة خاضعة لنظام قائم على الإبلاغ، مع استثناءات للعادات المحلية والتجمعات السياسية أو المسيرات التي تنظَّم خلال الحملات الانتخابية. ويمكن للسلطات الإدارية حظر أي حدث لأسباب مختلفة، من بينها عدم الامتثال للموعد النهائي للإبلاغ عن الحدث، من حيث المسار أو اليوم أو الوقت المحدد، أو لأسباب تتعلق بالسلامة أو الصحة العامة.</w:t>
      </w:r>
    </w:p>
    <w:p w14:paraId="3B6B4605" w14:textId="3C62AE64" w:rsidR="00AE4D6F" w:rsidRPr="00D906D2" w:rsidRDefault="008A160D" w:rsidP="00D906D2">
      <w:pPr>
        <w:pStyle w:val="SingleTxtGA"/>
        <w:spacing w:line="350" w:lineRule="exact"/>
        <w:rPr>
          <w:rFonts w:cs="Times New Roman"/>
          <w:rtl/>
          <w:lang w:val="ar-SA" w:eastAsia="zh-TW"/>
        </w:rPr>
      </w:pPr>
      <w:r w:rsidRPr="00D906D2">
        <w:rPr>
          <w:rtl/>
        </w:rPr>
        <w:tab/>
      </w:r>
      <w:r w:rsidR="00AE4D6F" w:rsidRPr="00D906D2">
        <w:rPr>
          <w:rtl/>
        </w:rPr>
        <w:t>(و)</w:t>
      </w:r>
      <w:r w:rsidR="00AE4D6F" w:rsidRPr="00D906D2">
        <w:rPr>
          <w:rtl/>
        </w:rPr>
        <w:tab/>
        <w:t>لم تُقَّدم أي معلومات.</w:t>
      </w:r>
    </w:p>
    <w:p w14:paraId="1D6A0BDB" w14:textId="4727EBF6" w:rsidR="00AE4D6F" w:rsidRPr="00D906D2" w:rsidRDefault="008A160D" w:rsidP="00D906D2">
      <w:pPr>
        <w:pStyle w:val="SingleTxtGA"/>
        <w:spacing w:line="350" w:lineRule="exact"/>
        <w:rPr>
          <w:rFonts w:cs="Times New Roman"/>
          <w:rtl/>
          <w:lang w:val="ar-SA" w:eastAsia="zh-TW"/>
        </w:rPr>
      </w:pPr>
      <w:r w:rsidRPr="00D906D2">
        <w:rPr>
          <w:rtl/>
        </w:rPr>
        <w:tab/>
      </w:r>
      <w:r w:rsidR="00AE4D6F" w:rsidRPr="00D906D2">
        <w:rPr>
          <w:rtl/>
        </w:rPr>
        <w:t>(ز)</w:t>
      </w:r>
      <w:r w:rsidR="00AE4D6F" w:rsidRPr="00D906D2">
        <w:rPr>
          <w:rtl/>
        </w:rPr>
        <w:tab/>
        <w:t>سيُنقَّح قريباً الإطار التشريعي والتنظيمي المتعلق بحرية التجمع والتظاهر لجعله أكثر اتساقاً مع أحكام العهد.</w:t>
      </w:r>
    </w:p>
    <w:p w14:paraId="08558277" w14:textId="77777777" w:rsidR="00AE4D6F" w:rsidRPr="00D906D2" w:rsidRDefault="00AE4D6F" w:rsidP="008A160D">
      <w:pPr>
        <w:pStyle w:val="H23GA"/>
        <w:rPr>
          <w:rFonts w:cs="Times New Roman"/>
          <w:rtl/>
          <w:lang w:val="ar-SA" w:eastAsia="zh-TW"/>
        </w:rPr>
      </w:pPr>
      <w:r w:rsidRPr="00D906D2">
        <w:rPr>
          <w:rtl/>
        </w:rPr>
        <w:tab/>
      </w:r>
      <w:r w:rsidRPr="00D906D2">
        <w:rPr>
          <w:rtl/>
        </w:rPr>
        <w:tab/>
        <w:t>موجز المعلومات الواردة من الجهات صاحبة المصلحة</w:t>
      </w:r>
    </w:p>
    <w:p w14:paraId="537AC1A8" w14:textId="7B13CE3A" w:rsidR="00AE4D6F" w:rsidRPr="00D906D2" w:rsidRDefault="008A160D" w:rsidP="00D906D2">
      <w:pPr>
        <w:pStyle w:val="SingleTxtGA"/>
        <w:spacing w:line="340" w:lineRule="exact"/>
        <w:rPr>
          <w:rFonts w:cs="Times New Roman"/>
          <w:rtl/>
          <w:lang w:val="ar-SA" w:eastAsia="zh-TW"/>
        </w:rPr>
      </w:pPr>
      <w:r w:rsidRPr="00D906D2">
        <w:rPr>
          <w:rtl/>
        </w:rPr>
        <w:tab/>
      </w:r>
      <w:r w:rsidR="00AE4D6F" w:rsidRPr="00D906D2">
        <w:rPr>
          <w:rtl/>
        </w:rPr>
        <w:t>(أ)</w:t>
      </w:r>
      <w:r w:rsidR="00AE4D6F" w:rsidRPr="00D906D2">
        <w:rPr>
          <w:rtl/>
        </w:rPr>
        <w:tab/>
        <w:t>استُخدم قانون الجرائم الإلكترونية لعام 2019 لمقاضاة الصحفيين بتهم تشمل التشهير والإخلال بالنظام العام.</w:t>
      </w:r>
    </w:p>
    <w:p w14:paraId="27642D3D" w14:textId="0293BAF9" w:rsidR="00AE4D6F" w:rsidRPr="00D906D2" w:rsidRDefault="008A160D" w:rsidP="00D906D2">
      <w:pPr>
        <w:pStyle w:val="SingleTxtGA"/>
        <w:spacing w:line="340" w:lineRule="exact"/>
        <w:rPr>
          <w:rFonts w:cs="Times New Roman"/>
          <w:rtl/>
          <w:lang w:val="ar-SA" w:eastAsia="zh-TW"/>
        </w:rPr>
      </w:pPr>
      <w:r w:rsidRPr="00D906D2">
        <w:rPr>
          <w:rtl/>
        </w:rPr>
        <w:tab/>
      </w:r>
      <w:r w:rsidR="00AE4D6F" w:rsidRPr="00D906D2">
        <w:rPr>
          <w:rtl/>
        </w:rPr>
        <w:t>(ب)</w:t>
      </w:r>
      <w:r w:rsidR="00AE4D6F" w:rsidRPr="00D906D2">
        <w:rPr>
          <w:rtl/>
        </w:rPr>
        <w:tab/>
        <w:t>كانت هناك محاولات لتكميم أفواه الصحفيين، لا سيما من خلال مقاضاة الصحفيين الاستقصائيين الذين يتعلق عملهم بقضايا الفساد المرتبطة بكبار المسؤولين، مثل قضية الفساد التي تورطت فيها وزارة الدفاع.</w:t>
      </w:r>
    </w:p>
    <w:p w14:paraId="49284385" w14:textId="2E6E576F" w:rsidR="00AE4D6F" w:rsidRPr="00D906D2" w:rsidRDefault="008A160D" w:rsidP="00D906D2">
      <w:pPr>
        <w:pStyle w:val="SingleTxtGA"/>
        <w:spacing w:line="340" w:lineRule="exact"/>
        <w:rPr>
          <w:rFonts w:cs="Times New Roman"/>
          <w:rtl/>
          <w:lang w:val="ar-SA" w:eastAsia="zh-TW"/>
        </w:rPr>
      </w:pPr>
      <w:r w:rsidRPr="00D906D2">
        <w:rPr>
          <w:rtl/>
        </w:rPr>
        <w:tab/>
      </w:r>
      <w:r w:rsidR="00AE4D6F" w:rsidRPr="00D906D2">
        <w:rPr>
          <w:rtl/>
        </w:rPr>
        <w:t>(ج)</w:t>
      </w:r>
      <w:r w:rsidR="00AE4D6F" w:rsidRPr="00D906D2">
        <w:rPr>
          <w:rtl/>
        </w:rPr>
        <w:tab/>
        <w:t>استُخدم قانون الجرائم الإلكترونية لعام 2019 لمقاضاة المدافعين عن حقوق الإنسان، لا سيما مقاضاتهم بتهمة تبادل المعلومات في سياق استجابة الحكومة لجائحة مرض فيروس كورونا (كوفيد-1</w:t>
      </w:r>
      <w:r w:rsidR="005B23EC" w:rsidRPr="00D906D2">
        <w:rPr>
          <w:rtl/>
        </w:rPr>
        <w:t>9</w:t>
      </w:r>
      <w:r w:rsidR="005B23EC" w:rsidRPr="00D906D2">
        <w:rPr>
          <w:rFonts w:ascii="Simplified Arabic"/>
          <w:rtl/>
        </w:rPr>
        <w:t>)</w:t>
      </w:r>
      <w:r w:rsidR="005B23EC" w:rsidRPr="00D906D2">
        <w:rPr>
          <w:rtl/>
        </w:rPr>
        <w:t xml:space="preserve">. </w:t>
      </w:r>
      <w:r w:rsidR="00AE4D6F" w:rsidRPr="00D906D2">
        <w:rPr>
          <w:rtl/>
        </w:rPr>
        <w:t>وأُصيب نشطاء ومدافعون عن حقوق الإنسان، وأُوقفوا في سياق القمع الوحشي للاحتجاجات "غير المصرح بها" في نيامي في آذار/مارس 2020، حيث احتج المشاركون على إفلات المتورطين في قضية الفساد المتعلقة بوزارة الدفاع من العقاب.</w:t>
      </w:r>
    </w:p>
    <w:p w14:paraId="28B30E4C" w14:textId="565821FD" w:rsidR="00AE4D6F" w:rsidRPr="00D906D2" w:rsidRDefault="008A160D" w:rsidP="00D906D2">
      <w:pPr>
        <w:pStyle w:val="SingleTxtGA"/>
        <w:spacing w:line="340" w:lineRule="exact"/>
        <w:rPr>
          <w:rFonts w:cs="Times New Roman"/>
          <w:rtl/>
          <w:lang w:val="ar-SA" w:eastAsia="zh-TW"/>
        </w:rPr>
      </w:pPr>
      <w:r w:rsidRPr="00D906D2">
        <w:rPr>
          <w:rtl/>
        </w:rPr>
        <w:tab/>
      </w:r>
      <w:r w:rsidR="00AE4D6F" w:rsidRPr="00D906D2">
        <w:rPr>
          <w:rtl/>
        </w:rPr>
        <w:t>(د)</w:t>
      </w:r>
      <w:r w:rsidR="00AE4D6F" w:rsidRPr="00D906D2">
        <w:rPr>
          <w:rtl/>
        </w:rPr>
        <w:tab/>
        <w:t>تتفق الحكومة والمعارضة والمجتمع المدني على أن الظروف مهيأة لاعتماد مشروع القانون المتعلق بحماية المدافعين عن حقوق الإنسان خلال الدورة المقبلة للجمعية الوطنية.</w:t>
      </w:r>
    </w:p>
    <w:p w14:paraId="7838504C" w14:textId="6AC3AB5C" w:rsidR="00AE4D6F" w:rsidRPr="00D906D2" w:rsidRDefault="008A160D" w:rsidP="00D906D2">
      <w:pPr>
        <w:pStyle w:val="SingleTxtGA"/>
        <w:spacing w:line="340" w:lineRule="exact"/>
        <w:rPr>
          <w:rFonts w:cs="Times New Roman"/>
          <w:rtl/>
          <w:lang w:val="ar-SA" w:eastAsia="zh-TW"/>
        </w:rPr>
      </w:pPr>
      <w:r w:rsidRPr="00D906D2">
        <w:rPr>
          <w:rtl/>
        </w:rPr>
        <w:tab/>
      </w:r>
      <w:r w:rsidR="00AE4D6F" w:rsidRPr="00D906D2">
        <w:rPr>
          <w:rtl/>
        </w:rPr>
        <w:t>(ه)</w:t>
      </w:r>
      <w:r w:rsidR="00AE4D6F" w:rsidRPr="00D906D2">
        <w:rPr>
          <w:rtl/>
        </w:rPr>
        <w:tab/>
        <w:t>خلال جائحة كوفيد-19، بررت السلطات الحظر العام على التجمعات العامة بأنه ضروري لإدارة أزمة الصحة العامة. غير أنه من الناحية العملية، سُمح بتجمعات الأحزاب السياسية، ولا سيما في سياق العملية الانتخابية، في حين لم يُسمح بالمظاهرات التي ينظمها المجتمع المدني.</w:t>
      </w:r>
    </w:p>
    <w:p w14:paraId="236D79E2" w14:textId="4A228051" w:rsidR="00AE4D6F" w:rsidRPr="00D906D2" w:rsidRDefault="008A160D" w:rsidP="008A160D">
      <w:pPr>
        <w:pStyle w:val="SingleTxtGA"/>
        <w:rPr>
          <w:rFonts w:cs="Times New Roman"/>
          <w:rtl/>
          <w:lang w:val="ar-SA" w:eastAsia="zh-TW"/>
        </w:rPr>
      </w:pPr>
      <w:r w:rsidRPr="00D906D2">
        <w:rPr>
          <w:rtl/>
        </w:rPr>
        <w:lastRenderedPageBreak/>
        <w:tab/>
      </w:r>
      <w:r w:rsidR="00AE4D6F" w:rsidRPr="00D906D2">
        <w:rPr>
          <w:rtl/>
        </w:rPr>
        <w:t>(و)</w:t>
      </w:r>
      <w:r w:rsidR="00AE4D6F" w:rsidRPr="00D906D2">
        <w:rPr>
          <w:rtl/>
        </w:rPr>
        <w:tab/>
        <w:t>لا تزال التحقيقات جارية لتحديد المسؤولية عن حريق نجم عن استخدام الشرطة الغاز المسيل للدموع لتفريق المحتجين في نيامي في عام 2020، مما أسفر عن وفاة شخص واحد.</w:t>
      </w:r>
    </w:p>
    <w:p w14:paraId="39E999C2" w14:textId="77777777" w:rsidR="00AE4D6F" w:rsidRPr="00D906D2" w:rsidRDefault="00AE4D6F" w:rsidP="008A160D">
      <w:pPr>
        <w:pStyle w:val="H23GA"/>
        <w:rPr>
          <w:rFonts w:cs="Times New Roman"/>
          <w:rtl/>
          <w:lang w:val="ar-SA" w:eastAsia="zh-TW"/>
        </w:rPr>
      </w:pPr>
      <w:r w:rsidRPr="00D906D2">
        <w:rPr>
          <w:rtl/>
        </w:rPr>
        <w:tab/>
      </w:r>
      <w:r w:rsidRPr="00D906D2">
        <w:rPr>
          <w:rtl/>
        </w:rPr>
        <w:tab/>
        <w:t>تقييم اللجنة</w:t>
      </w:r>
    </w:p>
    <w:p w14:paraId="51BC8C54" w14:textId="716D812D" w:rsidR="00AE4D6F" w:rsidRPr="00D906D2" w:rsidRDefault="00AE4D6F" w:rsidP="008A160D">
      <w:pPr>
        <w:pStyle w:val="SingleTxtGA"/>
        <w:rPr>
          <w:rFonts w:cs="Times New Roman"/>
          <w:rtl/>
          <w:lang w:val="ar-SA" w:eastAsia="zh-TW"/>
        </w:rPr>
      </w:pPr>
      <w:r w:rsidRPr="00D906D2">
        <w:rPr>
          <w:rtl/>
        </w:rPr>
        <w:t>[ألف</w:t>
      </w:r>
      <w:r w:rsidR="005B23EC" w:rsidRPr="00D906D2">
        <w:rPr>
          <w:rtl/>
        </w:rPr>
        <w:t xml:space="preserve">]: </w:t>
      </w:r>
      <w:r w:rsidRPr="00D906D2">
        <w:rPr>
          <w:rtl/>
        </w:rPr>
        <w:t>(د)</w:t>
      </w:r>
    </w:p>
    <w:p w14:paraId="49605F16" w14:textId="3DD93B88" w:rsidR="00AE4D6F" w:rsidRPr="00D906D2" w:rsidRDefault="00D906D2" w:rsidP="008A160D">
      <w:pPr>
        <w:pStyle w:val="SingleTxtGA"/>
        <w:rPr>
          <w:rFonts w:cs="Times New Roman"/>
          <w:rtl/>
          <w:lang w:val="ar-SA" w:eastAsia="zh-TW"/>
        </w:rPr>
      </w:pPr>
      <w:r>
        <w:rPr>
          <w:rtl/>
        </w:rPr>
        <w:tab/>
      </w:r>
      <w:r w:rsidR="00AE4D6F" w:rsidRPr="00D906D2">
        <w:rPr>
          <w:rtl/>
        </w:rPr>
        <w:t xml:space="preserve">ترحب اللجنة باعتماد الدولة الطرف في حزيران/يونيه 2022 قانوناً بشأن حماية المدافعين عن حقوق الإنسان، صيغ بالتشاور مع المجتمع المدني. </w:t>
      </w:r>
    </w:p>
    <w:p w14:paraId="112CB067" w14:textId="36E9386D" w:rsidR="00AE4D6F" w:rsidRPr="00D906D2" w:rsidRDefault="00AE4D6F" w:rsidP="008A160D">
      <w:pPr>
        <w:pStyle w:val="SingleTxtGA"/>
        <w:rPr>
          <w:rFonts w:cs="Times New Roman"/>
          <w:rtl/>
          <w:lang w:val="ar-SA" w:eastAsia="zh-TW"/>
        </w:rPr>
      </w:pPr>
      <w:r w:rsidRPr="00D906D2">
        <w:rPr>
          <w:rtl/>
        </w:rPr>
        <w:t>[جيم</w:t>
      </w:r>
      <w:r w:rsidR="005B23EC" w:rsidRPr="00D906D2">
        <w:rPr>
          <w:rtl/>
        </w:rPr>
        <w:t xml:space="preserve">]: </w:t>
      </w:r>
      <w:r w:rsidRPr="00D906D2">
        <w:rPr>
          <w:rtl/>
        </w:rPr>
        <w:t>(أ) و(ب) و(ج) و(ه) و(و) و(ز)</w:t>
      </w:r>
    </w:p>
    <w:p w14:paraId="7A7817FC" w14:textId="02030D51" w:rsidR="00AE4D6F" w:rsidRPr="00D906D2" w:rsidRDefault="008A160D" w:rsidP="008A160D">
      <w:pPr>
        <w:pStyle w:val="SingleTxtGA"/>
        <w:rPr>
          <w:rFonts w:cs="Times New Roman"/>
          <w:rtl/>
          <w:lang w:val="ar-SA" w:eastAsia="zh-TW"/>
        </w:rPr>
      </w:pPr>
      <w:r w:rsidRPr="00D906D2">
        <w:rPr>
          <w:rtl/>
        </w:rPr>
        <w:tab/>
      </w:r>
      <w:r w:rsidR="00AE4D6F" w:rsidRPr="00D906D2">
        <w:rPr>
          <w:rtl/>
        </w:rPr>
        <w:t>(أ)</w:t>
      </w:r>
      <w:r w:rsidR="00AE4D6F" w:rsidRPr="00D906D2">
        <w:rPr>
          <w:rtl/>
        </w:rPr>
        <w:tab/>
        <w:t>تأسف اللجنة لأن بعض الأنشطة الصحفية والإعلامية، ولا سيما الصحافة الاستقصائية، لا تزال مقيدة، حسبما أفادت به الادعاءات. وتكرر اللجنة تأكيد توصيتها.</w:t>
      </w:r>
    </w:p>
    <w:p w14:paraId="6C3D2411" w14:textId="07468281" w:rsidR="00AE4D6F" w:rsidRPr="00D906D2" w:rsidRDefault="008A160D" w:rsidP="008A160D">
      <w:pPr>
        <w:pStyle w:val="SingleTxtGA"/>
        <w:rPr>
          <w:rFonts w:cs="Times New Roman"/>
          <w:rtl/>
          <w:lang w:val="ar-SA" w:eastAsia="zh-TW"/>
        </w:rPr>
      </w:pPr>
      <w:r w:rsidRPr="00D906D2">
        <w:rPr>
          <w:rtl/>
        </w:rPr>
        <w:tab/>
      </w:r>
      <w:r w:rsidR="00AE4D6F" w:rsidRPr="00D906D2">
        <w:rPr>
          <w:rtl/>
        </w:rPr>
        <w:t>(ب)</w:t>
      </w:r>
      <w:r w:rsidR="00AE4D6F" w:rsidRPr="00D906D2">
        <w:rPr>
          <w:rtl/>
        </w:rPr>
        <w:tab/>
        <w:t>تأسف اللجنة لأنه بدا من الواضح عدم اتخاذ أي خطوات لحماية الصحافة ووسائل الإعلام من التدخل، وتأسف كذلك للتقارير التي وردت عن عمليات توقيف الصحفيين الاستقصائيين ومقاضاتهم، لا سيما بموجب قانون الجرائم الإلكترونية لعام 201</w:t>
      </w:r>
      <w:r w:rsidR="005B23EC" w:rsidRPr="00D906D2">
        <w:rPr>
          <w:rtl/>
        </w:rPr>
        <w:t>9</w:t>
      </w:r>
      <w:r w:rsidR="005B23EC" w:rsidRPr="00D906D2">
        <w:rPr>
          <w:rFonts w:ascii="Simplified Arabic"/>
          <w:rtl/>
        </w:rPr>
        <w:t>.</w:t>
      </w:r>
      <w:r w:rsidR="005B23EC" w:rsidRPr="00D906D2">
        <w:rPr>
          <w:rtl/>
        </w:rPr>
        <w:t xml:space="preserve"> </w:t>
      </w:r>
      <w:r w:rsidR="00AE4D6F" w:rsidRPr="00D906D2">
        <w:rPr>
          <w:rtl/>
        </w:rPr>
        <w:t>كما تأسف لعدم ورود معلومات من الدولة الطرف بشأن التدابير المتخذة لحماية الصحفيين، بما في ذلك من خلال التحقيق في ادعاءات التخويف وسوء المعاملة. وتكرر اللجنة تأكيد توصياتها.</w:t>
      </w:r>
    </w:p>
    <w:p w14:paraId="009D9465" w14:textId="1F63B50E" w:rsidR="00AE4D6F" w:rsidRPr="00D906D2" w:rsidRDefault="008A160D" w:rsidP="008A160D">
      <w:pPr>
        <w:pStyle w:val="SingleTxtGA"/>
        <w:rPr>
          <w:rFonts w:cs="Times New Roman"/>
          <w:rtl/>
          <w:lang w:val="ar-SA" w:eastAsia="zh-TW"/>
        </w:rPr>
      </w:pPr>
      <w:r w:rsidRPr="00D906D2">
        <w:rPr>
          <w:rtl/>
        </w:rPr>
        <w:tab/>
      </w:r>
      <w:r w:rsidR="00AE4D6F" w:rsidRPr="00D906D2">
        <w:rPr>
          <w:rtl/>
        </w:rPr>
        <w:t>(ج)</w:t>
      </w:r>
      <w:r w:rsidR="00AE4D6F" w:rsidRPr="00D906D2">
        <w:rPr>
          <w:rtl/>
        </w:rPr>
        <w:tab/>
        <w:t>تأسف اللجنة لعدم وجود معلومات عن التدابير المتخذة لحماية المدافعين عن حقوق الإنسان. وتأسف أيضاً لتعرُّض النشطاء والمدافعين عن حقوق الإنسان للتوقيف التعسفي بسبب تعبيرهم عن آراء تُعتبر منتقدة للحكومة، وبسبب مشاركتهم في احتجاجات سلمية، حسبما ورد في الادعاءات. وتكرر اللجنة تأكيد توصياتها.</w:t>
      </w:r>
    </w:p>
    <w:p w14:paraId="38528FAE" w14:textId="533AE675" w:rsidR="00AE4D6F" w:rsidRPr="008C6578" w:rsidRDefault="008A160D" w:rsidP="008A160D">
      <w:pPr>
        <w:pStyle w:val="SingleTxtGA"/>
        <w:rPr>
          <w:rFonts w:cs="Times New Roman"/>
          <w:spacing w:val="2"/>
          <w:rtl/>
          <w:lang w:val="ar-SA" w:eastAsia="zh-TW"/>
        </w:rPr>
      </w:pPr>
      <w:r w:rsidRPr="008C6578">
        <w:rPr>
          <w:spacing w:val="2"/>
          <w:rtl/>
        </w:rPr>
        <w:tab/>
      </w:r>
      <w:r w:rsidR="00AE4D6F" w:rsidRPr="008C6578">
        <w:rPr>
          <w:spacing w:val="2"/>
          <w:rtl/>
        </w:rPr>
        <w:t>(هـ)</w:t>
      </w:r>
      <w:r w:rsidR="00AE4D6F" w:rsidRPr="008C6578">
        <w:rPr>
          <w:spacing w:val="2"/>
          <w:rtl/>
        </w:rPr>
        <w:tab/>
        <w:t>تأسف اللجنة لاستمرار الدولة الطرف في تنفيذ نظام التصريح بالتجمعات، وهو نظام لا يتماشى مع تعليق اللجنة العام رقم 37</w:t>
      </w:r>
      <w:r w:rsidR="00AE4D6F" w:rsidRPr="008C6578">
        <w:rPr>
          <w:rFonts w:ascii="Simplified Arabic"/>
          <w:spacing w:val="2"/>
          <w:rtl/>
        </w:rPr>
        <w:t>(</w:t>
      </w:r>
      <w:r w:rsidR="00AE4D6F" w:rsidRPr="008C6578">
        <w:rPr>
          <w:spacing w:val="2"/>
          <w:rtl/>
        </w:rPr>
        <w:t>202</w:t>
      </w:r>
      <w:r w:rsidR="005B23EC" w:rsidRPr="008C6578">
        <w:rPr>
          <w:spacing w:val="2"/>
          <w:rtl/>
        </w:rPr>
        <w:t>0</w:t>
      </w:r>
      <w:r w:rsidR="005B23EC" w:rsidRPr="008C6578">
        <w:rPr>
          <w:rFonts w:ascii="Simplified Arabic"/>
          <w:spacing w:val="2"/>
          <w:rtl/>
        </w:rPr>
        <w:t>)</w:t>
      </w:r>
      <w:r w:rsidR="005B23EC" w:rsidRPr="008C6578">
        <w:rPr>
          <w:spacing w:val="2"/>
          <w:rtl/>
        </w:rPr>
        <w:t xml:space="preserve"> </w:t>
      </w:r>
      <w:r w:rsidR="00AE4D6F" w:rsidRPr="008C6578">
        <w:rPr>
          <w:spacing w:val="2"/>
          <w:rtl/>
        </w:rPr>
        <w:t>بشأن الحق في التجمع السلمي. وتكرر اللجنة تأكيد توصيتها.</w:t>
      </w:r>
    </w:p>
    <w:p w14:paraId="525EC766" w14:textId="71DCFB2C" w:rsidR="00AE4D6F" w:rsidRPr="00D906D2" w:rsidRDefault="008A3EE0" w:rsidP="008A3EE0">
      <w:pPr>
        <w:pStyle w:val="SingleTxtGA"/>
        <w:rPr>
          <w:rFonts w:cs="Times New Roman"/>
          <w:rtl/>
          <w:lang w:val="ar-SA" w:eastAsia="zh-TW"/>
        </w:rPr>
      </w:pPr>
      <w:r w:rsidRPr="00D906D2">
        <w:rPr>
          <w:rtl/>
        </w:rPr>
        <w:tab/>
      </w:r>
      <w:r w:rsidR="00AE4D6F" w:rsidRPr="00D906D2">
        <w:rPr>
          <w:rtl/>
        </w:rPr>
        <w:t>(و)</w:t>
      </w:r>
      <w:r w:rsidR="00AE4D6F" w:rsidRPr="00D906D2">
        <w:rPr>
          <w:rtl/>
        </w:rPr>
        <w:tab/>
        <w:t>تأسف اللجنة لعدم وجود معلومات عن التحقيق في الحالات التي تنطوي على استخدام مفرط للقوة لتفريق المتظاهرين. وتكرر اللجنة تأكيد توصيتها.</w:t>
      </w:r>
    </w:p>
    <w:p w14:paraId="19147A69" w14:textId="5047E9B1" w:rsidR="00AE4D6F" w:rsidRPr="00D906D2" w:rsidRDefault="008A3EE0" w:rsidP="008A3EE0">
      <w:pPr>
        <w:pStyle w:val="SingleTxtGA"/>
        <w:rPr>
          <w:rFonts w:cs="Times New Roman"/>
          <w:rtl/>
          <w:lang w:val="ar-SA" w:eastAsia="zh-TW"/>
        </w:rPr>
      </w:pPr>
      <w:r w:rsidRPr="00D906D2">
        <w:rPr>
          <w:rtl/>
        </w:rPr>
        <w:tab/>
      </w:r>
      <w:r w:rsidR="00AE4D6F" w:rsidRPr="00D906D2">
        <w:rPr>
          <w:rtl/>
        </w:rPr>
        <w:t>(ز)</w:t>
      </w:r>
      <w:r w:rsidR="00AE4D6F" w:rsidRPr="00D906D2">
        <w:rPr>
          <w:rtl/>
        </w:rPr>
        <w:tab/>
        <w:t>بينما ترحب اللجنة بالإشارة إلى أن الإطار التشريعي والتنظيمي المتعلق بالحق في التجمع السلمي سيُنقَّح قريباً لجعله أكثر اتساقاً مع العهد، فإنها تأسف لعدم اتخاذ تدابير حتى الآن، ولعدم وجود معلومات محددة عن دور المجلس الأعلى للاتصالات واختصاصه. وتكرر اللجنة تأكيد توصيتها.</w:t>
      </w:r>
    </w:p>
    <w:p w14:paraId="41A8C644" w14:textId="77777777" w:rsidR="00AE4D6F" w:rsidRPr="00D906D2" w:rsidRDefault="00AE4D6F" w:rsidP="00F71971">
      <w:pPr>
        <w:pStyle w:val="SingleTxtGA"/>
        <w:keepNext/>
        <w:keepLines/>
        <w:rPr>
          <w:rFonts w:cs="Times New Roman"/>
          <w:rtl/>
          <w:lang w:val="ar-SA" w:eastAsia="zh-TW"/>
        </w:rPr>
      </w:pPr>
      <w:r w:rsidRPr="00D906D2">
        <w:rPr>
          <w:b/>
          <w:bCs/>
          <w:rtl/>
        </w:rPr>
        <w:t>الإجراء الموصى به:</w:t>
      </w:r>
      <w:r w:rsidRPr="00D906D2">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34AB7AB9" w14:textId="58615023" w:rsidR="005B23EC" w:rsidRPr="005B23EC" w:rsidRDefault="00AE4D6F" w:rsidP="008A3EE0">
      <w:pPr>
        <w:pStyle w:val="SingleTxtGA"/>
        <w:rPr>
          <w:rFonts w:cs="Times New Roman"/>
          <w:rtl/>
          <w:lang w:val="ar-SA" w:eastAsia="zh-TW"/>
        </w:rPr>
      </w:pPr>
      <w:r w:rsidRPr="00D906D2">
        <w:rPr>
          <w:b/>
          <w:bCs/>
          <w:rtl/>
        </w:rPr>
        <w:t>موعد تقديم التقرير الدوري المقبل</w:t>
      </w:r>
      <w:r w:rsidRPr="00D906D2">
        <w:rPr>
          <w:rtl/>
        </w:rPr>
        <w:t>: عام 2028</w:t>
      </w:r>
      <w:r w:rsidRPr="00D906D2">
        <w:rPr>
          <w:rFonts w:ascii="Simplified Arabic"/>
          <w:rtl/>
        </w:rPr>
        <w:t xml:space="preserve"> (</w:t>
      </w:r>
      <w:r w:rsidRPr="00D906D2">
        <w:rPr>
          <w:rtl/>
        </w:rPr>
        <w:t>سيُجرى الاستعراض القطري في عام 2029 وفقاً لجولة الاستعراض المتوقعة</w:t>
      </w:r>
      <w:r w:rsidR="005B23EC" w:rsidRPr="00D906D2">
        <w:rPr>
          <w:rFonts w:ascii="Simplified Arabic"/>
          <w:rtl/>
        </w:rPr>
        <w:t>)</w:t>
      </w:r>
      <w:r w:rsidR="005B23EC" w:rsidRPr="00D906D2">
        <w:rPr>
          <w:rtl/>
        </w:rPr>
        <w:t>.</w:t>
      </w:r>
    </w:p>
    <w:p w14:paraId="3FF59AEF" w14:textId="318FCBDF" w:rsidR="00AE4D6F" w:rsidRPr="00047902" w:rsidRDefault="00AE4D6F" w:rsidP="00AE4D6F">
      <w:pPr>
        <w:spacing w:before="240"/>
        <w:jc w:val="center"/>
        <w:rPr>
          <w:rFonts w:eastAsiaTheme="minorEastAsia"/>
          <w:sz w:val="22"/>
        </w:rPr>
      </w:pPr>
      <w:r w:rsidRPr="00047902">
        <w:rPr>
          <w:sz w:val="22"/>
          <w:u w:val="single"/>
        </w:rPr>
        <w:tab/>
      </w:r>
      <w:r w:rsidRPr="00047902">
        <w:rPr>
          <w:sz w:val="22"/>
          <w:u w:val="single"/>
        </w:rPr>
        <w:tab/>
      </w:r>
      <w:r w:rsidRPr="00047902">
        <w:rPr>
          <w:sz w:val="22"/>
          <w:u w:val="single"/>
        </w:rPr>
        <w:tab/>
      </w:r>
    </w:p>
    <w:sectPr w:rsidR="00AE4D6F" w:rsidRPr="00047902" w:rsidSect="00B56DBC">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A94A8" w14:textId="77777777" w:rsidR="005745D5" w:rsidRPr="002901D9" w:rsidRDefault="005745D5" w:rsidP="00DC4D4B">
      <w:pPr>
        <w:spacing w:after="60" w:line="240" w:lineRule="auto"/>
        <w:ind w:left="57"/>
        <w:rPr>
          <w:i/>
          <w:iCs/>
        </w:rPr>
      </w:pPr>
      <w:r>
        <w:rPr>
          <w:rFonts w:hint="cs"/>
          <w:i/>
          <w:iCs/>
          <w:rtl/>
        </w:rPr>
        <w:t>الحواشي</w:t>
      </w:r>
    </w:p>
  </w:endnote>
  <w:endnote w:type="continuationSeparator" w:id="0">
    <w:p w14:paraId="6CED8929" w14:textId="77777777" w:rsidR="005745D5" w:rsidRDefault="005745D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1B9A" w14:textId="1C279AC0" w:rsidR="004A1BDD" w:rsidRPr="004A1BDD" w:rsidRDefault="004A1BDD" w:rsidP="004A1BDD">
    <w:pPr>
      <w:pStyle w:val="Footer"/>
      <w:tabs>
        <w:tab w:val="right" w:pos="9638"/>
      </w:tabs>
      <w:rPr>
        <w:b/>
        <w:sz w:val="18"/>
        <w:lang w:val="en-US"/>
      </w:rPr>
    </w:pPr>
    <w:r>
      <w:rPr>
        <w:lang w:val="en-US"/>
      </w:rPr>
      <w:t>GE.23-15278</w:t>
    </w:r>
    <w:r>
      <w:rPr>
        <w:lang w:val="en-US"/>
      </w:rPr>
      <w:tab/>
    </w:r>
    <w:r w:rsidRPr="004A1BDD">
      <w:rPr>
        <w:b/>
        <w:sz w:val="18"/>
        <w:lang w:val="en-US"/>
      </w:rPr>
      <w:fldChar w:fldCharType="begin"/>
    </w:r>
    <w:r w:rsidRPr="004A1BDD">
      <w:rPr>
        <w:b/>
        <w:sz w:val="18"/>
        <w:lang w:val="en-US"/>
      </w:rPr>
      <w:instrText xml:space="preserve"> PAGE  \* MERGEFORMAT </w:instrText>
    </w:r>
    <w:r w:rsidRPr="004A1BDD">
      <w:rPr>
        <w:b/>
        <w:sz w:val="18"/>
        <w:lang w:val="en-US"/>
      </w:rPr>
      <w:fldChar w:fldCharType="separate"/>
    </w:r>
    <w:r w:rsidRPr="004A1BDD">
      <w:rPr>
        <w:b/>
        <w:noProof/>
        <w:sz w:val="18"/>
        <w:lang w:val="en-US"/>
      </w:rPr>
      <w:t>2</w:t>
    </w:r>
    <w:r w:rsidRPr="004A1BD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84208" w14:textId="77EE975B" w:rsidR="006959B0" w:rsidRPr="004A1BDD" w:rsidRDefault="004A1BDD" w:rsidP="004A1BD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GE.23-15278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E6205" w14:textId="37E57A0F" w:rsidR="00DE50B1" w:rsidRPr="004A1BDD" w:rsidRDefault="004A1BDD" w:rsidP="004A1BD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487BFCD" wp14:editId="33996BE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23-15278 (A)</w:t>
    </w:r>
    <w:r>
      <w:rPr>
        <w:noProof/>
        <w:sz w:val="20"/>
        <w:lang w:val="en-US"/>
      </w:rPr>
      <w:drawing>
        <wp:anchor distT="0" distB="0" distL="114300" distR="114300" simplePos="0" relativeHeight="251659264" behindDoc="0" locked="0" layoutInCell="1" allowOverlap="1" wp14:anchorId="6D507155" wp14:editId="163630F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ADB1B" w14:textId="77777777" w:rsidR="005745D5" w:rsidRPr="008A49D2" w:rsidRDefault="005745D5"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7F06CB" w14:textId="77777777" w:rsidR="005745D5" w:rsidRDefault="005745D5" w:rsidP="00656392">
      <w:pPr>
        <w:spacing w:line="240" w:lineRule="auto"/>
      </w:pPr>
      <w:r>
        <w:continuationSeparator/>
      </w:r>
    </w:p>
  </w:footnote>
  <w:footnote w:id="1">
    <w:p w14:paraId="18530C94" w14:textId="43A76483" w:rsidR="001211CD" w:rsidRPr="004C142C" w:rsidRDefault="001211CD" w:rsidP="004C142C">
      <w:pPr>
        <w:pStyle w:val="FootnoteText1"/>
      </w:pPr>
      <w:r w:rsidRPr="00D906D2">
        <w:rPr>
          <w:rtl/>
        </w:rPr>
        <w:t>*</w:t>
      </w:r>
      <w:r w:rsidRPr="00D906D2">
        <w:rPr>
          <w:rtl/>
        </w:rPr>
        <w:tab/>
        <w:t>اعتمدته اللجنة في دورتها 138 (26 حزيران/يونيه - 26 تموز/يوليه 2023</w:t>
      </w:r>
      <w:r w:rsidR="005B23EC" w:rsidRPr="00D906D2">
        <w:rPr>
          <w:rtl/>
        </w:rPr>
        <w:t>).</w:t>
      </w:r>
      <w:r w:rsidR="005B23EC" w:rsidRPr="005B23E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BD02" w14:textId="73F810AD" w:rsidR="004A1BDD" w:rsidRPr="004A1BDD" w:rsidRDefault="004A1BDD" w:rsidP="004A1BD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37B6">
      <w:t>CCPR/C/138/2/Add.2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BA72" w14:textId="5EB68755" w:rsidR="004A1BDD" w:rsidRPr="004A1BDD" w:rsidRDefault="004A1BDD" w:rsidP="004A1BD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37B6">
      <w:t>CCPR/C/138/2/Add.2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53333983">
    <w:abstractNumId w:val="15"/>
  </w:num>
  <w:num w:numId="2" w16cid:durableId="63719261">
    <w:abstractNumId w:val="12"/>
  </w:num>
  <w:num w:numId="3" w16cid:durableId="625281566">
    <w:abstractNumId w:val="2"/>
  </w:num>
  <w:num w:numId="4" w16cid:durableId="1557350367">
    <w:abstractNumId w:val="11"/>
  </w:num>
  <w:num w:numId="5" w16cid:durableId="1867257542">
    <w:abstractNumId w:val="8"/>
  </w:num>
  <w:num w:numId="6" w16cid:durableId="1784034665">
    <w:abstractNumId w:val="5"/>
  </w:num>
  <w:num w:numId="7" w16cid:durableId="147140205">
    <w:abstractNumId w:val="17"/>
  </w:num>
  <w:num w:numId="8" w16cid:durableId="2101484870">
    <w:abstractNumId w:val="2"/>
  </w:num>
  <w:num w:numId="9" w16cid:durableId="266277639">
    <w:abstractNumId w:val="11"/>
  </w:num>
  <w:num w:numId="10" w16cid:durableId="853029756">
    <w:abstractNumId w:val="5"/>
  </w:num>
  <w:num w:numId="11" w16cid:durableId="210962017">
    <w:abstractNumId w:val="17"/>
  </w:num>
  <w:num w:numId="12" w16cid:durableId="804085038">
    <w:abstractNumId w:val="2"/>
  </w:num>
  <w:num w:numId="13" w16cid:durableId="538053230">
    <w:abstractNumId w:val="11"/>
  </w:num>
  <w:num w:numId="14" w16cid:durableId="122044407">
    <w:abstractNumId w:val="8"/>
  </w:num>
  <w:num w:numId="15" w16cid:durableId="1942371888">
    <w:abstractNumId w:val="5"/>
  </w:num>
  <w:num w:numId="16" w16cid:durableId="1840343011">
    <w:abstractNumId w:val="17"/>
  </w:num>
  <w:num w:numId="17" w16cid:durableId="630399308">
    <w:abstractNumId w:val="4"/>
  </w:num>
  <w:num w:numId="18" w16cid:durableId="1616595578">
    <w:abstractNumId w:val="3"/>
  </w:num>
  <w:num w:numId="19" w16cid:durableId="1551258312">
    <w:abstractNumId w:val="16"/>
  </w:num>
  <w:num w:numId="20" w16cid:durableId="2015835487">
    <w:abstractNumId w:val="13"/>
  </w:num>
  <w:num w:numId="21" w16cid:durableId="1922520441">
    <w:abstractNumId w:val="1"/>
  </w:num>
  <w:num w:numId="22" w16cid:durableId="623074661">
    <w:abstractNumId w:val="14"/>
  </w:num>
  <w:num w:numId="23" w16cid:durableId="1530947187">
    <w:abstractNumId w:val="0"/>
  </w:num>
  <w:num w:numId="24" w16cid:durableId="2030913446">
    <w:abstractNumId w:val="9"/>
  </w:num>
  <w:num w:numId="25" w16cid:durableId="48451710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490719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911312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88967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35242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563638514">
    <w:abstractNumId w:val="7"/>
  </w:num>
  <w:num w:numId="31" w16cid:durableId="56757400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7233622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5D5"/>
    <w:rsid w:val="000076D5"/>
    <w:rsid w:val="00043663"/>
    <w:rsid w:val="000437B8"/>
    <w:rsid w:val="000505CF"/>
    <w:rsid w:val="000D701C"/>
    <w:rsid w:val="000E2A71"/>
    <w:rsid w:val="001211CD"/>
    <w:rsid w:val="00145577"/>
    <w:rsid w:val="00160263"/>
    <w:rsid w:val="00181F96"/>
    <w:rsid w:val="001872B1"/>
    <w:rsid w:val="001A1371"/>
    <w:rsid w:val="001B043F"/>
    <w:rsid w:val="001B346A"/>
    <w:rsid w:val="001E1CAD"/>
    <w:rsid w:val="001E290D"/>
    <w:rsid w:val="002144FA"/>
    <w:rsid w:val="0023469A"/>
    <w:rsid w:val="00243C8A"/>
    <w:rsid w:val="00267A0E"/>
    <w:rsid w:val="002712D5"/>
    <w:rsid w:val="002901D9"/>
    <w:rsid w:val="0029677A"/>
    <w:rsid w:val="002976C2"/>
    <w:rsid w:val="003068BC"/>
    <w:rsid w:val="003260FF"/>
    <w:rsid w:val="00343D95"/>
    <w:rsid w:val="00345C0E"/>
    <w:rsid w:val="00363A18"/>
    <w:rsid w:val="00374341"/>
    <w:rsid w:val="003A7AC3"/>
    <w:rsid w:val="003B4237"/>
    <w:rsid w:val="003D1062"/>
    <w:rsid w:val="003E1173"/>
    <w:rsid w:val="00402051"/>
    <w:rsid w:val="00420D7B"/>
    <w:rsid w:val="00450B21"/>
    <w:rsid w:val="00453B63"/>
    <w:rsid w:val="00455780"/>
    <w:rsid w:val="0046323F"/>
    <w:rsid w:val="00480ACC"/>
    <w:rsid w:val="004A1BDD"/>
    <w:rsid w:val="004A42AC"/>
    <w:rsid w:val="004B0A1C"/>
    <w:rsid w:val="004B27E0"/>
    <w:rsid w:val="004D298E"/>
    <w:rsid w:val="005044B3"/>
    <w:rsid w:val="00517BC9"/>
    <w:rsid w:val="00524333"/>
    <w:rsid w:val="0054472E"/>
    <w:rsid w:val="005662A9"/>
    <w:rsid w:val="005745D5"/>
    <w:rsid w:val="005827D4"/>
    <w:rsid w:val="0058508B"/>
    <w:rsid w:val="0059622A"/>
    <w:rsid w:val="005B23EC"/>
    <w:rsid w:val="005B51C4"/>
    <w:rsid w:val="005C0061"/>
    <w:rsid w:val="005C5878"/>
    <w:rsid w:val="005C7CEA"/>
    <w:rsid w:val="005D3C0B"/>
    <w:rsid w:val="005E5217"/>
    <w:rsid w:val="005F0FA4"/>
    <w:rsid w:val="005F30EE"/>
    <w:rsid w:val="005F451A"/>
    <w:rsid w:val="005F5271"/>
    <w:rsid w:val="0060473A"/>
    <w:rsid w:val="00617024"/>
    <w:rsid w:val="00621120"/>
    <w:rsid w:val="00652221"/>
    <w:rsid w:val="00656392"/>
    <w:rsid w:val="006645EC"/>
    <w:rsid w:val="0068781D"/>
    <w:rsid w:val="006959B0"/>
    <w:rsid w:val="006B3E27"/>
    <w:rsid w:val="006B6507"/>
    <w:rsid w:val="006C104C"/>
    <w:rsid w:val="006C3013"/>
    <w:rsid w:val="006C632E"/>
    <w:rsid w:val="00717FB3"/>
    <w:rsid w:val="00725D8E"/>
    <w:rsid w:val="00730446"/>
    <w:rsid w:val="00733704"/>
    <w:rsid w:val="00763EAA"/>
    <w:rsid w:val="0078071A"/>
    <w:rsid w:val="00787022"/>
    <w:rsid w:val="00787E1E"/>
    <w:rsid w:val="007A37B6"/>
    <w:rsid w:val="00852A9A"/>
    <w:rsid w:val="008A160D"/>
    <w:rsid w:val="008A3EE0"/>
    <w:rsid w:val="008A49D2"/>
    <w:rsid w:val="008C6578"/>
    <w:rsid w:val="008D3671"/>
    <w:rsid w:val="008F49E1"/>
    <w:rsid w:val="0090370F"/>
    <w:rsid w:val="009077C3"/>
    <w:rsid w:val="009269D2"/>
    <w:rsid w:val="00942135"/>
    <w:rsid w:val="009521B0"/>
    <w:rsid w:val="00957437"/>
    <w:rsid w:val="00982139"/>
    <w:rsid w:val="009867A8"/>
    <w:rsid w:val="00991F44"/>
    <w:rsid w:val="00996540"/>
    <w:rsid w:val="00996849"/>
    <w:rsid w:val="009A0CFB"/>
    <w:rsid w:val="009A7E9F"/>
    <w:rsid w:val="009C17EC"/>
    <w:rsid w:val="009C190C"/>
    <w:rsid w:val="009E5018"/>
    <w:rsid w:val="00A03700"/>
    <w:rsid w:val="00A053F2"/>
    <w:rsid w:val="00A12B37"/>
    <w:rsid w:val="00A54828"/>
    <w:rsid w:val="00A97E1F"/>
    <w:rsid w:val="00AB512E"/>
    <w:rsid w:val="00AB6758"/>
    <w:rsid w:val="00AB727F"/>
    <w:rsid w:val="00AE4D6F"/>
    <w:rsid w:val="00B13763"/>
    <w:rsid w:val="00B477A4"/>
    <w:rsid w:val="00B54045"/>
    <w:rsid w:val="00B56DBC"/>
    <w:rsid w:val="00B63ADD"/>
    <w:rsid w:val="00BA658B"/>
    <w:rsid w:val="00BB09A0"/>
    <w:rsid w:val="00C175A6"/>
    <w:rsid w:val="00C41DCF"/>
    <w:rsid w:val="00C42AF7"/>
    <w:rsid w:val="00C438D7"/>
    <w:rsid w:val="00C62C20"/>
    <w:rsid w:val="00C73769"/>
    <w:rsid w:val="00C81B50"/>
    <w:rsid w:val="00C902EF"/>
    <w:rsid w:val="00CB0011"/>
    <w:rsid w:val="00CB6622"/>
    <w:rsid w:val="00CD1801"/>
    <w:rsid w:val="00CF56F9"/>
    <w:rsid w:val="00CF65C6"/>
    <w:rsid w:val="00D00A89"/>
    <w:rsid w:val="00D10EF1"/>
    <w:rsid w:val="00D25BF1"/>
    <w:rsid w:val="00D42810"/>
    <w:rsid w:val="00D60DD5"/>
    <w:rsid w:val="00D83646"/>
    <w:rsid w:val="00D906D2"/>
    <w:rsid w:val="00D914A7"/>
    <w:rsid w:val="00DC4D4B"/>
    <w:rsid w:val="00DD13C3"/>
    <w:rsid w:val="00DD596E"/>
    <w:rsid w:val="00DD621E"/>
    <w:rsid w:val="00DE50B1"/>
    <w:rsid w:val="00DF0138"/>
    <w:rsid w:val="00DF0575"/>
    <w:rsid w:val="00E2228E"/>
    <w:rsid w:val="00E70E04"/>
    <w:rsid w:val="00E74675"/>
    <w:rsid w:val="00E75E51"/>
    <w:rsid w:val="00E77E6C"/>
    <w:rsid w:val="00E83ED5"/>
    <w:rsid w:val="00EB1B21"/>
    <w:rsid w:val="00EC05A7"/>
    <w:rsid w:val="00EC4B6B"/>
    <w:rsid w:val="00EC68A5"/>
    <w:rsid w:val="00ED7442"/>
    <w:rsid w:val="00EF1EE5"/>
    <w:rsid w:val="00EF5C43"/>
    <w:rsid w:val="00F10DAB"/>
    <w:rsid w:val="00F46D42"/>
    <w:rsid w:val="00F71971"/>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1E7FC7"/>
  <w15:docId w15:val="{A1F5E797-364A-439B-86B2-72C6C408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AE4D6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AE4D6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AE4D6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qFormat/>
    <w:rsid w:val="00AE4D6F"/>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AE4D6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E4D6F"/>
    <w:rPr>
      <w:rFonts w:ascii="Times New Roman" w:eastAsia="SimSun" w:hAnsiTheme="minorHAnsi" w:cs="Simplified Arabic"/>
      <w:sz w:val="18"/>
      <w:szCs w:val="30"/>
      <w:lang w:val="en-GB" w:eastAsia="zh-CN"/>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BA658B"/>
    <w:rPr>
      <w:vertAlign w:val="superscript"/>
    </w:rPr>
  </w:style>
  <w:style w:type="character" w:styleId="UnresolvedMention">
    <w:name w:val="Unresolved Mention"/>
    <w:basedOn w:val="DefaultParagraphFont"/>
    <w:uiPriority w:val="99"/>
    <w:semiHidden/>
    <w:unhideWhenUsed/>
    <w:rsid w:val="005B2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NER%2F46513&amp;Lang=enhttps://tbinternet.ohchr.org/_layouts/15/treatybodyexternal/Download.aspx?symbolno=INT%2FCCPR%2FNGS%2FNER%2F46513&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NER/FCO/2" TargetMode="External"/><Relationship Id="rId4" Type="http://schemas.openxmlformats.org/officeDocument/2006/relationships/settings" Target="settings.xml"/><Relationship Id="rId9" Type="http://schemas.openxmlformats.org/officeDocument/2006/relationships/hyperlink" Target="https://undocs.org/ar/CCPR/C/NER/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2223</Words>
  <Characters>12228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CCPR/C/138/2/Add.2</vt:lpstr>
    </vt:vector>
  </TitlesOfParts>
  <Company>DCM</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CCPR/C/138/2/Add.2</dc:title>
  <dc:subject>GE.2315278(A)</dc:subject>
  <dc:creator>Ihab RIZ - </dc:creator>
  <cp:keywords>GE.(A)</cp:keywords>
  <dc:description>General_x000d_
_x000d_
Arabic_x000d_
English</dc:description>
  <cp:lastModifiedBy>Jamila Chedad</cp:lastModifiedBy>
  <cp:revision>3</cp:revision>
  <cp:lastPrinted>2024-02-01T11:25:00Z</cp:lastPrinted>
  <dcterms:created xsi:type="dcterms:W3CDTF">2024-02-01T11:25:00Z</dcterms:created>
  <dcterms:modified xsi:type="dcterms:W3CDTF">2024-02-01T11:25:00Z</dcterms:modified>
  <cp:category>Finale</cp:category>
</cp:coreProperties>
</file>