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C17" w:rsidRDefault="00500C17" w:rsidP="00500C17">
      <w:pPr>
        <w:spacing w:line="60" w:lineRule="exact"/>
        <w:rPr>
          <w:sz w:val="6"/>
        </w:rPr>
        <w:sectPr w:rsidR="00500C17" w:rsidSect="00500C1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500C17" w:rsidRDefault="00500C17" w:rsidP="00500C17">
      <w:pPr>
        <w:spacing w:line="60" w:lineRule="exact"/>
        <w:rPr>
          <w:sz w:val="6"/>
        </w:rPr>
      </w:pPr>
    </w:p>
    <w:p w:rsidR="00E76CDB" w:rsidRDefault="00E76CDB" w:rsidP="002C2828">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消除对妇女一切形式歧视委员会</w:t>
      </w:r>
    </w:p>
    <w:p w:rsidR="00E76CDB" w:rsidRPr="002C2828" w:rsidRDefault="00E76CDB" w:rsidP="002C2828">
      <w:pPr>
        <w:pStyle w:val="DualTxt"/>
        <w:spacing w:after="60"/>
        <w:rPr>
          <w:rFonts w:ascii="SimHei" w:eastAsia="SimHei" w:hint="eastAsia"/>
          <w:color w:val="FF0000"/>
        </w:rPr>
      </w:pPr>
      <w:r w:rsidRPr="002C2828">
        <w:rPr>
          <w:rFonts w:ascii="SimHei" w:eastAsia="SimHei" w:hint="eastAsia"/>
          <w:color w:val="FF0000"/>
        </w:rPr>
        <w:t>会前工作组</w:t>
      </w:r>
    </w:p>
    <w:p w:rsidR="00E76CDB" w:rsidRPr="002C2828" w:rsidRDefault="00E76CDB" w:rsidP="002C2828">
      <w:pPr>
        <w:pStyle w:val="DualTxt"/>
        <w:spacing w:after="60"/>
        <w:rPr>
          <w:rFonts w:ascii="SimHei" w:eastAsia="SimHei" w:hint="eastAsia"/>
          <w:color w:val="FF0000"/>
        </w:rPr>
      </w:pPr>
      <w:r w:rsidRPr="002C2828">
        <w:rPr>
          <w:rFonts w:ascii="SimHei" w:eastAsia="SimHei" w:hint="eastAsia"/>
          <w:color w:val="FF0000"/>
        </w:rPr>
        <w:t>第三十七届会议</w:t>
      </w:r>
    </w:p>
    <w:p w:rsidR="00E76CDB" w:rsidRDefault="00E76CDB" w:rsidP="002C2828">
      <w:pPr>
        <w:pStyle w:val="DualTxt"/>
        <w:spacing w:after="60"/>
        <w:rPr>
          <w:rFonts w:hint="eastAsia"/>
        </w:rPr>
      </w:pPr>
      <w:r>
        <w:rPr>
          <w:rFonts w:hint="eastAsia"/>
        </w:rPr>
        <w:t>2007年1月15</w:t>
      </w:r>
      <w:r w:rsidR="002C2828">
        <w:rPr>
          <w:rFonts w:hint="eastAsia"/>
        </w:rPr>
        <w:t>日</w:t>
      </w:r>
      <w:r w:rsidR="002C2828">
        <w:t>-</w:t>
      </w:r>
      <w:r>
        <w:rPr>
          <w:rFonts w:hint="eastAsia"/>
        </w:rPr>
        <w:t>2月2日</w:t>
      </w:r>
    </w:p>
    <w:p w:rsidR="002C2828" w:rsidRDefault="002C2828" w:rsidP="00E76CDB">
      <w:pPr>
        <w:pStyle w:val="SingleTxt"/>
      </w:pPr>
    </w:p>
    <w:p w:rsidR="001627F5" w:rsidRPr="001627F5" w:rsidRDefault="001627F5" w:rsidP="001627F5">
      <w:pPr>
        <w:framePr w:w="9792" w:h="432" w:hSpace="180" w:wrap="around" w:hAnchor="page" w:x="1210" w:yAlign="bottom"/>
        <w:spacing w:line="100" w:lineRule="exact"/>
        <w:rPr>
          <w:sz w:val="10"/>
        </w:rPr>
      </w:pPr>
    </w:p>
    <w:p w:rsidR="001627F5" w:rsidRPr="001627F5" w:rsidRDefault="001627F5" w:rsidP="001627F5">
      <w:pPr>
        <w:framePr w:w="9792" w:h="432" w:hSpace="180" w:wrap="around" w:hAnchor="page" w:x="1210" w:yAlign="bottom"/>
        <w:spacing w:line="60" w:lineRule="exact"/>
        <w:rPr>
          <w:sz w:val="6"/>
        </w:rPr>
      </w:pPr>
      <w:r w:rsidRPr="001627F5">
        <w:rPr>
          <w:noProof/>
          <w:sz w:val="6"/>
        </w:rPr>
        <w:pict>
          <v:line id="_x0000_s1026" style="position:absolute;left:0;text-align:left;z-index:1;mso-position-horizontal-relative:page" from="108pt,-1pt" to="180pt,-1pt" strokeweight=".25pt">
            <w10:wrap anchorx="page"/>
          </v:line>
        </w:pict>
      </w:r>
    </w:p>
    <w:p w:rsidR="001627F5" w:rsidRPr="001627F5" w:rsidRDefault="001627F5" w:rsidP="001627F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1627F5">
        <w:rPr>
          <w:sz w:val="18"/>
          <w:vertAlign w:val="superscript"/>
        </w:rPr>
        <w:t>*</w:t>
      </w:r>
      <w:r>
        <w:rPr>
          <w:sz w:val="18"/>
        </w:rPr>
        <w:tab/>
      </w:r>
      <w:r w:rsidRPr="001627F5">
        <w:rPr>
          <w:rFonts w:hint="eastAsia"/>
          <w:sz w:val="18"/>
        </w:rPr>
        <w:t>问题清单的页码指该报告英文本的页码。</w:t>
      </w:r>
    </w:p>
    <w:p w:rsidR="00E76CDB" w:rsidRPr="001627F5" w:rsidRDefault="002C2828" w:rsidP="002C28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tab/>
      </w:r>
      <w:r>
        <w:tab/>
      </w:r>
      <w:r w:rsidR="00E76CDB">
        <w:rPr>
          <w:rFonts w:hint="eastAsia"/>
        </w:rPr>
        <w:t>审议第六次定期报告的问题清单</w:t>
      </w:r>
      <w:r w:rsidR="001627F5" w:rsidRPr="001627F5">
        <w:rPr>
          <w:rFonts w:ascii="Times New Roman"/>
          <w:vertAlign w:val="superscript"/>
        </w:rPr>
        <w:t>*</w:t>
      </w:r>
    </w:p>
    <w:p w:rsidR="002C2828" w:rsidRPr="002C2828" w:rsidRDefault="002C2828" w:rsidP="002C2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76CDB" w:rsidRDefault="002C2828" w:rsidP="002C28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sidR="00E76CDB">
        <w:rPr>
          <w:rFonts w:hint="eastAsia"/>
        </w:rPr>
        <w:t>奥地利</w:t>
      </w:r>
    </w:p>
    <w:p w:rsidR="002C2828" w:rsidRPr="002C2828" w:rsidRDefault="002C2828" w:rsidP="002C2828">
      <w:pPr>
        <w:pStyle w:val="SingleTxt"/>
        <w:spacing w:after="0" w:line="120" w:lineRule="exact"/>
        <w:rPr>
          <w:rFonts w:hint="eastAsia"/>
          <w:sz w:val="10"/>
        </w:rPr>
      </w:pPr>
    </w:p>
    <w:p w:rsidR="002C2828" w:rsidRPr="002C2828" w:rsidRDefault="002C2828" w:rsidP="002C2828">
      <w:pPr>
        <w:pStyle w:val="SingleTxt"/>
        <w:spacing w:after="0" w:line="120" w:lineRule="exact"/>
        <w:rPr>
          <w:rFonts w:hint="eastAsia"/>
          <w:sz w:val="10"/>
        </w:rPr>
      </w:pPr>
    </w:p>
    <w:p w:rsidR="00E76CDB" w:rsidRDefault="00E76CDB" w:rsidP="00E76CDB">
      <w:pPr>
        <w:pStyle w:val="SingleTxt"/>
        <w:rPr>
          <w:rFonts w:hint="eastAsia"/>
        </w:rPr>
      </w:pPr>
      <w:r>
        <w:rPr>
          <w:rFonts w:hint="eastAsia"/>
        </w:rPr>
        <w:t>1</w:t>
      </w:r>
      <w:r w:rsidR="002C2828">
        <w:t>.</w:t>
      </w:r>
      <w:r>
        <w:rPr>
          <w:rFonts w:hint="eastAsia"/>
        </w:rPr>
        <w:tab/>
        <w:t>会前工作组审查了奥地利的第六次定期报告(CEDAW/C/AUT/6)。</w:t>
      </w:r>
    </w:p>
    <w:p w:rsidR="00E76CDB" w:rsidRPr="002C2828" w:rsidRDefault="00E76CDB" w:rsidP="00E76CDB">
      <w:pPr>
        <w:pStyle w:val="SingleTxt"/>
        <w:rPr>
          <w:rFonts w:ascii="SimHei" w:eastAsia="SimHei" w:hint="eastAsia"/>
          <w:color w:val="FF0000"/>
        </w:rPr>
      </w:pPr>
      <w:r w:rsidRPr="002C2828">
        <w:rPr>
          <w:rFonts w:ascii="SimHei" w:eastAsia="SimHei" w:hint="eastAsia"/>
          <w:color w:val="FF0000"/>
        </w:rPr>
        <w:t>概述</w:t>
      </w:r>
    </w:p>
    <w:p w:rsidR="00E76CDB" w:rsidRDefault="00E76CDB" w:rsidP="00E76CDB">
      <w:pPr>
        <w:pStyle w:val="SingleTxt"/>
        <w:rPr>
          <w:rFonts w:hint="eastAsia"/>
        </w:rPr>
      </w:pPr>
      <w:r>
        <w:rPr>
          <w:rFonts w:hint="eastAsia"/>
        </w:rPr>
        <w:t>2</w:t>
      </w:r>
      <w:r w:rsidR="002C2828">
        <w:t>.</w:t>
      </w:r>
      <w:r>
        <w:rPr>
          <w:rFonts w:hint="eastAsia"/>
        </w:rPr>
        <w:tab/>
        <w:t>请提供关于编写第六次定期报告过程的资料。应指出哪些政府部门和机构曾参与，以及它们参与的性质和程度，是否曾与非政府组织协商，该报告是否提交给议会。</w:t>
      </w:r>
    </w:p>
    <w:p w:rsidR="00E76CDB" w:rsidRDefault="00E76CDB" w:rsidP="00E76CDB">
      <w:pPr>
        <w:pStyle w:val="SingleTxt"/>
        <w:rPr>
          <w:rFonts w:hint="eastAsia"/>
        </w:rPr>
      </w:pPr>
      <w:r>
        <w:rPr>
          <w:rFonts w:hint="eastAsia"/>
        </w:rPr>
        <w:t>3</w:t>
      </w:r>
      <w:r w:rsidR="002C2828">
        <w:t>.</w:t>
      </w:r>
      <w:r>
        <w:rPr>
          <w:rFonts w:hint="eastAsia"/>
        </w:rPr>
        <w:tab/>
        <w:t>奥地利政府是否打算接受前次结论意见中的建议，撤回对《公约》第十一条的保留意见？</w:t>
      </w:r>
    </w:p>
    <w:p w:rsidR="00E76CDB" w:rsidRPr="00676175" w:rsidRDefault="00E76CDB" w:rsidP="00E76CDB">
      <w:pPr>
        <w:pStyle w:val="SingleTxt"/>
        <w:rPr>
          <w:rFonts w:ascii="SimHei" w:eastAsia="SimHei" w:hint="eastAsia"/>
          <w:color w:val="FF0000"/>
        </w:rPr>
      </w:pPr>
      <w:r w:rsidRPr="00676175">
        <w:rPr>
          <w:rFonts w:ascii="SimHei" w:eastAsia="SimHei" w:hint="eastAsia"/>
          <w:color w:val="FF0000"/>
        </w:rPr>
        <w:t>宪法，立法，国家机关</w:t>
      </w:r>
    </w:p>
    <w:p w:rsidR="00E76CDB" w:rsidRDefault="00E76CDB" w:rsidP="00E76CDB">
      <w:pPr>
        <w:pStyle w:val="SingleTxt"/>
        <w:rPr>
          <w:rFonts w:hint="eastAsia"/>
        </w:rPr>
      </w:pPr>
      <w:r>
        <w:rPr>
          <w:rFonts w:hint="eastAsia"/>
        </w:rPr>
        <w:t>4</w:t>
      </w:r>
      <w:r w:rsidR="00676175">
        <w:t>.</w:t>
      </w:r>
      <w:r>
        <w:rPr>
          <w:rFonts w:hint="eastAsia"/>
        </w:rPr>
        <w:tab/>
        <w:t>对前次结论意见（A/55/38, 建议 239）的答复中举出2003年9月1日至2004年1月1日期间三个法院正在进行的关于平等待遇案子的诉讼。请提供在报告所述期间法院关于平等待遇案件的全面的统计数据，包括尚未结案和已经结案的案数，各案的性质和结果。</w:t>
      </w:r>
    </w:p>
    <w:p w:rsidR="00E76CDB" w:rsidRDefault="00E76CDB" w:rsidP="00E76CDB">
      <w:pPr>
        <w:pStyle w:val="SingleTxt"/>
        <w:rPr>
          <w:rFonts w:hint="eastAsia"/>
        </w:rPr>
      </w:pPr>
      <w:r>
        <w:rPr>
          <w:rFonts w:hint="eastAsia"/>
        </w:rPr>
        <w:t>5</w:t>
      </w:r>
      <w:r w:rsidR="00676175">
        <w:t>.</w:t>
      </w:r>
      <w:r>
        <w:rPr>
          <w:rFonts w:hint="eastAsia"/>
        </w:rPr>
        <w:tab/>
        <w:t>报告说明正在计划重组平等待遇委员会。根据计划，委员会的工作范围将扩大到监测不仅是男女在工作场所的平等待遇，并扩大到所有人在所有生活领域不分种族、族裔、宗教信仰、意识形态、年龄、或性倾向的平等（答复CEDAW A/55/38,建议235）。请说明现在有什么措施，确保这一扩大的任务不至于削弱消除对妇女歧视的努力。并解释，为什么在新的平等待遇委员会的三个理事会结构中，只在工作场所确保男女平等待遇，而在种族和族裔方面还包括其他领域？</w:t>
      </w:r>
    </w:p>
    <w:p w:rsidR="00E76CDB" w:rsidRDefault="00E76CDB" w:rsidP="00E76CDB">
      <w:pPr>
        <w:pStyle w:val="SingleTxt"/>
        <w:rPr>
          <w:rFonts w:hint="eastAsia"/>
        </w:rPr>
      </w:pPr>
      <w:r>
        <w:rPr>
          <w:rFonts w:hint="eastAsia"/>
        </w:rPr>
        <w:t>6</w:t>
      </w:r>
      <w:r w:rsidR="00676175">
        <w:t>.</w:t>
      </w:r>
      <w:r>
        <w:rPr>
          <w:rFonts w:hint="eastAsia"/>
        </w:rPr>
        <w:tab/>
        <w:t>请解释，报告在第3条下关于奥地利发展政策的两性平等原则称，“执行这一原则仍然是一项挑战，它不仅对“奥地利发展合作”，对奥地利联邦政府所采取的、对发展中国家具有潜在影响的措施也是如此。”。</w:t>
      </w:r>
    </w:p>
    <w:p w:rsidR="00E76CDB" w:rsidRPr="00676175" w:rsidRDefault="00E76CDB" w:rsidP="00E76CDB">
      <w:pPr>
        <w:pStyle w:val="SingleTxt"/>
        <w:rPr>
          <w:rFonts w:ascii="SimHei" w:eastAsia="SimHei" w:hint="eastAsia"/>
          <w:color w:val="FF0000"/>
        </w:rPr>
      </w:pPr>
      <w:r w:rsidRPr="00676175">
        <w:rPr>
          <w:rFonts w:ascii="SimHei" w:eastAsia="SimHei" w:hint="eastAsia"/>
          <w:color w:val="FF0000"/>
        </w:rPr>
        <w:t>对妇女的暴力</w:t>
      </w:r>
    </w:p>
    <w:p w:rsidR="00E76CDB" w:rsidRDefault="00E76CDB" w:rsidP="00E76CDB">
      <w:pPr>
        <w:pStyle w:val="SingleTxt"/>
        <w:rPr>
          <w:rFonts w:hint="eastAsia"/>
        </w:rPr>
      </w:pPr>
      <w:r>
        <w:rPr>
          <w:rFonts w:hint="eastAsia"/>
        </w:rPr>
        <w:t>7</w:t>
      </w:r>
      <w:r w:rsidR="004239FC">
        <w:t>.</w:t>
      </w:r>
      <w:r w:rsidR="004239FC">
        <w:tab/>
      </w:r>
      <w:r>
        <w:rPr>
          <w:rFonts w:hint="eastAsia"/>
        </w:rPr>
        <w:t>禁止酷刑委员会在2005年12月15日的结论意见（CAT/C/AUT/CO/3）中表示关切，在《禁止酷刑和其他残忍、不人道或有辱人格 的待遇或处罚公约 》所涵盖的各领域，缺乏可用的统计和“详细的关于性暴力案件和关于调查、起诉、惩罚犯法者的资料”。请说明正在采取什么步骤，改善情况，并提供关于这个问题至今已经有的资料，特别是关于对妇女影响的资料。</w:t>
      </w:r>
    </w:p>
    <w:p w:rsidR="00E76CDB" w:rsidRDefault="00E76CDB" w:rsidP="00E76CDB">
      <w:pPr>
        <w:pStyle w:val="SingleTxt"/>
        <w:rPr>
          <w:rFonts w:hint="eastAsia"/>
        </w:rPr>
      </w:pPr>
      <w:r>
        <w:rPr>
          <w:rFonts w:hint="eastAsia"/>
        </w:rPr>
        <w:t>8</w:t>
      </w:r>
      <w:r w:rsidR="004239FC">
        <w:t>.</w:t>
      </w:r>
      <w:r w:rsidR="004239FC">
        <w:tab/>
      </w:r>
      <w:r>
        <w:rPr>
          <w:rFonts w:hint="eastAsia"/>
        </w:rPr>
        <w:t>暴力侵害妇女行为及其因果问题特别报告员对缺乏“关于每年被虐待的妇女人数的准确统计资料”，和关于奥地利妇女收容所经费拮据，表示关切（E/CD.4/2003/75/Add.1, 第1566 和1568段）。除了在第六次定期报告中在第5</w:t>
      </w:r>
      <w:r w:rsidR="004239FC">
        <w:t>(</w:t>
      </w:r>
      <w:r>
        <w:rPr>
          <w:rFonts w:hint="eastAsia"/>
        </w:rPr>
        <w:t>a</w:t>
      </w:r>
      <w:r w:rsidR="004239FC">
        <w:t>)</w:t>
      </w:r>
      <w:r>
        <w:rPr>
          <w:rFonts w:hint="eastAsia"/>
        </w:rPr>
        <w:t>条下列出的资料外，请说明是否有任何计划，进行全人口的对妇女暴力案的调查。请并提供关于干预中心所协助的受害者以及妇女难民的人数统计，其中说明那些援助中心的收容能力和经费来源是否足够。</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 xml:space="preserve">贩卖人口和剥削卖淫妇女 </w:t>
      </w:r>
    </w:p>
    <w:p w:rsidR="00E76CDB" w:rsidRDefault="00E76CDB" w:rsidP="00E76CDB">
      <w:pPr>
        <w:pStyle w:val="SingleTxt"/>
      </w:pPr>
      <w:r>
        <w:rPr>
          <w:rFonts w:hint="eastAsia"/>
        </w:rPr>
        <w:t>9</w:t>
      </w:r>
      <w:r w:rsidR="004239FC">
        <w:t>.</w:t>
      </w:r>
      <w:r w:rsidR="004239FC">
        <w:tab/>
      </w:r>
      <w:r>
        <w:rPr>
          <w:rFonts w:hint="eastAsia"/>
        </w:rPr>
        <w:t>暴力侵害妇女行为及其因果问题特别报告员从报告（E/C.4/2000/68,第70段）将奥地利列为贩卖妇女的主要目的地国家之一。委员会注意到在答复委员会前次结论意见（建议228）中已经说明的发展外，请提供详细资料，说明为人口贩卖受害者提供的服务的类型和范围，包括有记录可查的受害者人数的数据，和对贩卖人口罪犯所采取司法行动的资料。</w:t>
      </w:r>
    </w:p>
    <w:p w:rsidR="00E76CDB" w:rsidRDefault="00E76CDB" w:rsidP="00E76CDB">
      <w:pPr>
        <w:pStyle w:val="SingleTxt"/>
      </w:pPr>
      <w:r>
        <w:rPr>
          <w:rFonts w:hint="eastAsia"/>
        </w:rPr>
        <w:t>10</w:t>
      </w:r>
      <w:r w:rsidR="004239FC">
        <w:t>.</w:t>
      </w:r>
      <w:r w:rsidR="004239FC">
        <w:tab/>
      </w:r>
      <w:r>
        <w:rPr>
          <w:rFonts w:hint="eastAsia"/>
        </w:rPr>
        <w:t>该报告提到一种协议，允许暂时居住的寻求庇护者申请一种“健康检查卡”而当妓女，认为是登记人数增加的原因，特别是黑非洲妇女的登记（见第40页）。请提供资料，说明采取了什么措施，包括立法，扑灭一切形式的贩卖妇女和剥削卖淫妇女的现象，以及采取了什么措施，如何解决那些最后使得她们沦为妓女的妇女脆弱情况。</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参与政治生活和公共生活</w:t>
      </w:r>
    </w:p>
    <w:p w:rsidR="00E76CDB" w:rsidRDefault="00E76CDB" w:rsidP="00E76CDB">
      <w:pPr>
        <w:pStyle w:val="SingleTxt"/>
        <w:rPr>
          <w:rFonts w:hint="eastAsia"/>
        </w:rPr>
      </w:pPr>
      <w:r>
        <w:rPr>
          <w:rFonts w:hint="eastAsia"/>
        </w:rPr>
        <w:t>11</w:t>
      </w:r>
      <w:r w:rsidR="004239FC">
        <w:t>.</w:t>
      </w:r>
      <w:r w:rsidR="004239FC">
        <w:tab/>
      </w:r>
      <w:r>
        <w:rPr>
          <w:rFonts w:hint="eastAsia"/>
        </w:rPr>
        <w:t>经济、社会和文化权利委员会2005年满意地指出，联邦政府一半的部长是妇女（</w:t>
      </w:r>
      <w:r w:rsidR="004239FC">
        <w:rPr>
          <w:rFonts w:hint="eastAsia"/>
        </w:rPr>
        <w:t>E/C12/AUT/CO/3,</w:t>
      </w:r>
      <w:r>
        <w:rPr>
          <w:rFonts w:hint="eastAsia"/>
        </w:rPr>
        <w:t>B5）。同时，根据该报告附件二的数字，在决策阶层，特别是议会，以及各省的政府和议会，妇女人数仍然很少。请说明自从审议上次报告后，政府采取了什么措施，包括根据《公约》第四条第1款所称的暂行特别措施，提高妇女在所有各决策层级的参与。</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教育和定型观念</w:t>
      </w:r>
    </w:p>
    <w:p w:rsidR="00E76CDB" w:rsidRDefault="00E76CDB" w:rsidP="00E76CDB">
      <w:pPr>
        <w:pStyle w:val="SingleTxt"/>
        <w:rPr>
          <w:rFonts w:hint="eastAsia"/>
        </w:rPr>
      </w:pPr>
      <w:r>
        <w:rPr>
          <w:rFonts w:hint="eastAsia"/>
        </w:rPr>
        <w:t>12</w:t>
      </w:r>
      <w:r w:rsidR="004239FC">
        <w:t>.</w:t>
      </w:r>
      <w:r w:rsidR="004239FC">
        <w:tab/>
      </w:r>
      <w:r>
        <w:rPr>
          <w:rFonts w:hint="eastAsia"/>
        </w:rPr>
        <w:t>请提供资料，说明报告第5</w:t>
      </w:r>
      <w:r w:rsidR="004239FC">
        <w:rPr>
          <w:rFonts w:hint="eastAsia"/>
        </w:rPr>
        <w:t>条</w:t>
      </w:r>
      <w:r w:rsidR="004239FC">
        <w:t>(</w:t>
      </w:r>
      <w:r>
        <w:rPr>
          <w:rFonts w:hint="eastAsia"/>
        </w:rPr>
        <w:t>a</w:t>
      </w:r>
      <w:r w:rsidR="004239FC">
        <w:t>)</w:t>
      </w:r>
      <w:r>
        <w:rPr>
          <w:rFonts w:hint="eastAsia"/>
        </w:rPr>
        <w:t>款下所指的特别研究项目的结论。该研究项目的目的是评价对男女平等教育原则的认识以及该原则在学校中的落实。并说明是否根据结论采取了任何行动。并请提供资料，说明有没有任何解决媒体中男女定型观念问题的现行措施。</w:t>
      </w:r>
    </w:p>
    <w:p w:rsidR="00E76CDB" w:rsidRDefault="00E76CDB" w:rsidP="00E76CDB">
      <w:pPr>
        <w:pStyle w:val="SingleTxt"/>
      </w:pPr>
      <w:r>
        <w:rPr>
          <w:rFonts w:hint="eastAsia"/>
        </w:rPr>
        <w:t>13</w:t>
      </w:r>
      <w:r w:rsidR="004239FC">
        <w:t>.</w:t>
      </w:r>
      <w:r w:rsidR="004239FC">
        <w:tab/>
      </w:r>
      <w:r>
        <w:rPr>
          <w:rFonts w:hint="eastAsia"/>
        </w:rPr>
        <w:t>委员会在前次结论意见中（</w:t>
      </w:r>
      <w:r w:rsidR="004239FC">
        <w:rPr>
          <w:rFonts w:hint="eastAsia"/>
        </w:rPr>
        <w:t>A/55/38,</w:t>
      </w:r>
      <w:r>
        <w:rPr>
          <w:rFonts w:hint="eastAsia"/>
        </w:rPr>
        <w:t>建议241），请缔约国在学校课程中引进人权教育，特别是妇女的人权教育。请提供资料，说明为执行该建议所采取的步骤。</w:t>
      </w:r>
    </w:p>
    <w:p w:rsidR="00E76CDB" w:rsidRDefault="00E76CDB" w:rsidP="00E76CDB">
      <w:pPr>
        <w:pStyle w:val="SingleTxt"/>
      </w:pPr>
      <w:r>
        <w:rPr>
          <w:rFonts w:hint="eastAsia"/>
        </w:rPr>
        <w:t>14</w:t>
      </w:r>
      <w:r w:rsidR="004239FC">
        <w:t>.</w:t>
      </w:r>
      <w:r w:rsidR="004239FC">
        <w:tab/>
      </w:r>
      <w:r>
        <w:rPr>
          <w:rFonts w:hint="eastAsia"/>
        </w:rPr>
        <w:t>报告提供了关于拥有博士学位和研究经验但因为超龄而没有资格获得“根据标准条件的研究津贴”的妇女“APART extra——奥地利高级研究和先进技术方案附加方案”资料。她们超龄是因为履行母亲责任而中断工作。请说明是否对发给研究津贴的“标准条件”中的性别敏感性做了评估；是否采取了任何措施，消除这方面事实上的歧视。</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就业和兼顾工作与家庭生活</w:t>
      </w:r>
    </w:p>
    <w:p w:rsidR="00E76CDB" w:rsidRDefault="00E76CDB" w:rsidP="00E76CDB">
      <w:pPr>
        <w:pStyle w:val="SingleTxt"/>
        <w:rPr>
          <w:rFonts w:hint="eastAsia"/>
        </w:rPr>
      </w:pPr>
      <w:r>
        <w:rPr>
          <w:rFonts w:hint="eastAsia"/>
        </w:rPr>
        <w:t>15</w:t>
      </w:r>
      <w:r w:rsidR="004239FC">
        <w:t>.</w:t>
      </w:r>
      <w:r w:rsidR="004239FC">
        <w:tab/>
      </w:r>
      <w:r>
        <w:rPr>
          <w:rFonts w:hint="eastAsia"/>
        </w:rPr>
        <w:t>报告称，妇女占非全时工作者的85％（对建议</w:t>
      </w:r>
      <w:r w:rsidR="004239FC">
        <w:rPr>
          <w:rFonts w:hint="eastAsia"/>
        </w:rPr>
        <w:t>233</w:t>
      </w:r>
      <w:r>
        <w:rPr>
          <w:rFonts w:hint="eastAsia"/>
        </w:rPr>
        <w:t>和23</w:t>
      </w:r>
      <w:r w:rsidR="004239FC">
        <w:rPr>
          <w:rFonts w:hint="eastAsia"/>
        </w:rPr>
        <w:t>4</w:t>
      </w:r>
      <w:r>
        <w:rPr>
          <w:rFonts w:hint="eastAsia"/>
        </w:rPr>
        <w:t>的答复）。还举出最近的一项研究说，在访谈过的非全时妇女工作者中，70％称家庭情况是从事非全时工作的主要原因，而男子这种原因的比率只有10％。除了在第11条第2款下报告所讨论的立法修改外，政府打算采取什么具体措施，鼓励男女之间更好地兼顾工作和家庭的责任。</w:t>
      </w:r>
    </w:p>
    <w:p w:rsidR="00E76CDB" w:rsidRDefault="00E76CDB" w:rsidP="00E76CDB">
      <w:pPr>
        <w:pStyle w:val="SingleTxt"/>
        <w:rPr>
          <w:rFonts w:hint="eastAsia"/>
        </w:rPr>
      </w:pPr>
      <w:r>
        <w:rPr>
          <w:rFonts w:hint="eastAsia"/>
        </w:rPr>
        <w:t>16</w:t>
      </w:r>
      <w:r w:rsidR="004239FC">
        <w:t>.</w:t>
      </w:r>
      <w:r w:rsidR="004239FC">
        <w:tab/>
      </w:r>
      <w:r>
        <w:rPr>
          <w:rFonts w:hint="eastAsia"/>
        </w:rPr>
        <w:t>经济、社会和文化权利委员会对妇女在低工资非全时工作中占极高的比列，以及妇女在同等工作上往往比男子获得较少薪酬，表示关切（E/C.12/AUT/CO/3,</w:t>
      </w:r>
      <w:r w:rsidR="004239FC">
        <w:t xml:space="preserve"> </w:t>
      </w:r>
      <w:r>
        <w:rPr>
          <w:rFonts w:hint="eastAsia"/>
        </w:rPr>
        <w:t>D.10）。根据第六次报告提供的统计数据，在2001年，妇女的收入比男子平均少28％（对建议</w:t>
      </w:r>
      <w:r w:rsidR="004239FC">
        <w:rPr>
          <w:rFonts w:hint="eastAsia"/>
        </w:rPr>
        <w:t>233</w:t>
      </w:r>
      <w:r>
        <w:rPr>
          <w:rFonts w:hint="eastAsia"/>
        </w:rPr>
        <w:t>和</w:t>
      </w:r>
      <w:r w:rsidR="004239FC">
        <w:rPr>
          <w:rFonts w:hint="eastAsia"/>
        </w:rPr>
        <w:t>234</w:t>
      </w:r>
      <w:r>
        <w:rPr>
          <w:rFonts w:hint="eastAsia"/>
        </w:rPr>
        <w:t>的答复）。请说明，缔约国打算怎样进一步处理这个问题。在答复中应当包括“同工同酬和同值工同酬”准则的执行情况的资料。</w:t>
      </w:r>
    </w:p>
    <w:p w:rsidR="004239FC" w:rsidRDefault="00E76CDB" w:rsidP="00E76CDB">
      <w:pPr>
        <w:pStyle w:val="SingleTxt"/>
      </w:pPr>
      <w:r>
        <w:rPr>
          <w:rFonts w:hint="eastAsia"/>
        </w:rPr>
        <w:t>17</w:t>
      </w:r>
      <w:r w:rsidR="004239FC">
        <w:t>.</w:t>
      </w:r>
      <w:r w:rsidR="004239FC">
        <w:tab/>
      </w:r>
      <w:r>
        <w:rPr>
          <w:rFonts w:hint="eastAsia"/>
        </w:rPr>
        <w:t>委员会前次的结论建议（建议236）对单身妇女、特别是没有结过婚的和离婚的老年妇女在退休金与社会安全福利上的不利地位，表示关切。报告答复委员会的建议，叙述了退休金计划的修正案。请更详细地阐述在改革中怎样照顾到上述各类妇女的具体情况和需要。特别是，请解释在第11条第1</w:t>
      </w:r>
      <w:r w:rsidR="004239FC">
        <w:rPr>
          <w:rFonts w:hint="eastAsia"/>
        </w:rPr>
        <w:t>款</w:t>
      </w:r>
      <w:r w:rsidR="004239FC">
        <w:t>(</w:t>
      </w:r>
      <w:r>
        <w:rPr>
          <w:rFonts w:hint="eastAsia"/>
        </w:rPr>
        <w:t>e</w:t>
      </w:r>
      <w:r w:rsidR="004239FC">
        <w:t>)</w:t>
      </w:r>
      <w:r>
        <w:rPr>
          <w:rFonts w:hint="eastAsia"/>
        </w:rPr>
        <w:t>项内说明的平等补助金对于消除对妇女在退休金方面的歧视有多少作用。</w:t>
      </w:r>
    </w:p>
    <w:p w:rsidR="00E76CDB" w:rsidRPr="004239FC" w:rsidRDefault="004239FC" w:rsidP="00E76CDB">
      <w:pPr>
        <w:pStyle w:val="SingleTxt"/>
        <w:rPr>
          <w:rFonts w:ascii="SimHei" w:eastAsia="SimHei" w:hint="eastAsia"/>
          <w:color w:val="FF0000"/>
        </w:rPr>
      </w:pPr>
      <w:r>
        <w:rPr>
          <w:rFonts w:ascii="SimHei" w:eastAsia="SimHei"/>
          <w:color w:val="FF0000"/>
        </w:rPr>
        <w:br w:type="page"/>
      </w:r>
      <w:r w:rsidR="00E76CDB" w:rsidRPr="004239FC">
        <w:rPr>
          <w:rFonts w:ascii="SimHei" w:eastAsia="SimHei" w:hint="eastAsia"/>
          <w:color w:val="FF0000"/>
        </w:rPr>
        <w:t>保健</w:t>
      </w:r>
    </w:p>
    <w:p w:rsidR="00E76CDB" w:rsidRDefault="00E76CDB" w:rsidP="00E76CDB">
      <w:pPr>
        <w:pStyle w:val="SingleTxt"/>
        <w:rPr>
          <w:rFonts w:hint="eastAsia"/>
        </w:rPr>
      </w:pPr>
      <w:r>
        <w:rPr>
          <w:rFonts w:hint="eastAsia"/>
        </w:rPr>
        <w:t>18</w:t>
      </w:r>
      <w:r w:rsidR="004239FC">
        <w:t>.</w:t>
      </w:r>
      <w:r w:rsidR="004239FC">
        <w:tab/>
      </w:r>
      <w:r>
        <w:rPr>
          <w:rFonts w:hint="eastAsia"/>
        </w:rPr>
        <w:t>请提供资料，说明关于2002年和2003年进行的影响妇女健康的社会经济因素研究的主要结论（答复建议237， A/55/38）以及其后那些结论怎样对政府关于这些问题的政策有影响。</w:t>
      </w:r>
    </w:p>
    <w:p w:rsidR="00E76CDB" w:rsidRDefault="00E76CDB" w:rsidP="00E76CDB">
      <w:pPr>
        <w:pStyle w:val="SingleTxt"/>
        <w:rPr>
          <w:rFonts w:hint="eastAsia"/>
        </w:rPr>
      </w:pPr>
      <w:r>
        <w:rPr>
          <w:rFonts w:hint="eastAsia"/>
        </w:rPr>
        <w:t>19</w:t>
      </w:r>
      <w:r w:rsidR="004239FC">
        <w:t>.</w:t>
      </w:r>
      <w:r w:rsidR="004239FC">
        <w:tab/>
      </w:r>
      <w:r>
        <w:rPr>
          <w:rFonts w:hint="eastAsia"/>
        </w:rPr>
        <w:t>根据报告，各妇女保健中心得到联邦卫生与妇女问题部“按照预算能力”的补助（答复建议237）。请提供数据，举出中心的数目，和对中心的补助是否满足妇女的保健需要。说明政府采取什么步骤，去解决津贴可能欠缺的问题。</w:t>
      </w:r>
    </w:p>
    <w:p w:rsidR="00E76CDB" w:rsidRDefault="00E76CDB" w:rsidP="00E76CDB">
      <w:pPr>
        <w:pStyle w:val="SingleTxt"/>
        <w:rPr>
          <w:rFonts w:hint="eastAsia"/>
        </w:rPr>
      </w:pPr>
      <w:r>
        <w:rPr>
          <w:rFonts w:hint="eastAsia"/>
        </w:rPr>
        <w:t>20</w:t>
      </w:r>
      <w:r w:rsidR="004239FC">
        <w:t>.</w:t>
      </w:r>
      <w:r w:rsidR="004239FC">
        <w:tab/>
      </w:r>
      <w:r>
        <w:rPr>
          <w:rFonts w:hint="eastAsia"/>
        </w:rPr>
        <w:t>请提供按性别分列的奥地利关于艾滋病毒/艾滋病的统计资料，包括移徙人口中的情况，并阐述国内现有的任何提高认识宣传和援助方案，包括对一般公民和对脆弱群体。</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若干特殊的妇女的状况</w:t>
      </w:r>
    </w:p>
    <w:p w:rsidR="00E76CDB" w:rsidRDefault="00E76CDB" w:rsidP="00E76CDB">
      <w:pPr>
        <w:pStyle w:val="SingleTxt"/>
      </w:pPr>
      <w:r>
        <w:rPr>
          <w:rFonts w:hint="eastAsia"/>
        </w:rPr>
        <w:t>21</w:t>
      </w:r>
      <w:r w:rsidR="004239FC">
        <w:t>.</w:t>
      </w:r>
      <w:r w:rsidR="004239FC">
        <w:tab/>
      </w:r>
      <w:r>
        <w:rPr>
          <w:rFonts w:hint="eastAsia"/>
        </w:rPr>
        <w:t>经济、社会和文化权利委员会2005年的结论意见对奥地利13％的人口面临贫穷，表示关切（E/C.12/AUT/CO/3，第14段）。请按性别和年龄提供这些人的数据，以及提供关于有针对性减轻贫困和社会排斥问题的措施的资料，特别是关于面临多种歧视的妇女（例如农村妇女、老年妇女、残疾妇女、少数群体妇女、移徙妇女）的这类措施。</w:t>
      </w:r>
    </w:p>
    <w:p w:rsidR="00E76CDB" w:rsidRDefault="00E76CDB" w:rsidP="00E76CDB">
      <w:pPr>
        <w:pStyle w:val="SingleTxt"/>
        <w:rPr>
          <w:rFonts w:hint="eastAsia"/>
        </w:rPr>
      </w:pPr>
      <w:r>
        <w:rPr>
          <w:rFonts w:hint="eastAsia"/>
        </w:rPr>
        <w:t>22</w:t>
      </w:r>
      <w:r w:rsidR="004239FC">
        <w:t>.</w:t>
      </w:r>
      <w:r w:rsidR="004239FC">
        <w:tab/>
      </w:r>
      <w:r>
        <w:rPr>
          <w:rFonts w:hint="eastAsia"/>
        </w:rPr>
        <w:t>根据报告，大约41％奥地利农业户是由妇女管理。但是，只有大约三分之一投资补助是付给妇女管理的农庄。请解释为什么妇女分到的投资补助比率看来小于她们所管理的农庄的比率。</w:t>
      </w:r>
    </w:p>
    <w:p w:rsidR="00E76CDB" w:rsidRDefault="00E76CDB" w:rsidP="00E76CDB">
      <w:pPr>
        <w:pStyle w:val="SingleTxt"/>
        <w:rPr>
          <w:rFonts w:hint="eastAsia"/>
        </w:rPr>
      </w:pPr>
      <w:r>
        <w:rPr>
          <w:rFonts w:hint="eastAsia"/>
        </w:rPr>
        <w:t>23</w:t>
      </w:r>
      <w:r w:rsidR="004239FC">
        <w:t>.</w:t>
      </w:r>
      <w:r w:rsidR="004239FC">
        <w:tab/>
      </w:r>
      <w:r>
        <w:rPr>
          <w:rFonts w:hint="eastAsia"/>
        </w:rPr>
        <w:t>请阐述2003年题为“对性别问题有敏感认识的区域发展基本原则” （第3条“空间规划与区域政策”）研究的结论，说明这些结论怎样影响政策以及是否特别注意农村妇女和老年妇女。</w:t>
      </w:r>
    </w:p>
    <w:p w:rsidR="00E76CDB" w:rsidRDefault="00E76CDB" w:rsidP="00E76CDB">
      <w:pPr>
        <w:pStyle w:val="SingleTxt"/>
        <w:rPr>
          <w:rFonts w:hint="eastAsia"/>
        </w:rPr>
      </w:pPr>
      <w:r>
        <w:rPr>
          <w:rFonts w:hint="eastAsia"/>
        </w:rPr>
        <w:t>24</w:t>
      </w:r>
      <w:r w:rsidR="004239FC">
        <w:t>.</w:t>
      </w:r>
      <w:r w:rsidR="004239FC">
        <w:tab/>
      </w:r>
      <w:r>
        <w:rPr>
          <w:rFonts w:hint="eastAsia"/>
        </w:rPr>
        <w:t>委员会在前次结论意见（结论229）中，以及暴力侵害妇女行为及其因果问题特别报告员（</w:t>
      </w:r>
      <w:r w:rsidR="004239FC">
        <w:rPr>
          <w:rFonts w:hint="eastAsia"/>
        </w:rPr>
        <w:t>E/CD.4/2003/75/Add.1,</w:t>
      </w:r>
      <w:r>
        <w:rPr>
          <w:rFonts w:hint="eastAsia"/>
        </w:rPr>
        <w:t>第</w:t>
      </w:r>
      <w:r w:rsidR="004239FC">
        <w:rPr>
          <w:rFonts w:hint="eastAsia"/>
        </w:rPr>
        <w:t>1566</w:t>
      </w:r>
      <w:r>
        <w:rPr>
          <w:rFonts w:hint="eastAsia"/>
        </w:rPr>
        <w:t>和1568段）都表示对奥地利境内移徙妇女的情况表示关切，特别是政府官员侵犯人权的问题。报告在答复委员会结论意见（建议229）时称，“一旦怀疑工作人员对庇护申请者任何形式的侵犯，即提出控告</w:t>
      </w:r>
      <w:r w:rsidR="004239FC">
        <w:rPr>
          <w:rFonts w:hint="eastAsia"/>
        </w:rPr>
        <w:t>……</w:t>
      </w:r>
      <w:r>
        <w:rPr>
          <w:rFonts w:hint="eastAsia"/>
        </w:rPr>
        <w:t>”请就任何这种控告的性质及其结果提出资料和统计数字。</w:t>
      </w:r>
    </w:p>
    <w:p w:rsidR="00E76CDB" w:rsidRDefault="00E76CDB" w:rsidP="00E76CDB">
      <w:pPr>
        <w:pStyle w:val="SingleTxt"/>
        <w:rPr>
          <w:rFonts w:hint="eastAsia"/>
        </w:rPr>
      </w:pPr>
      <w:r>
        <w:rPr>
          <w:rFonts w:hint="eastAsia"/>
        </w:rPr>
        <w:t>25</w:t>
      </w:r>
      <w:r w:rsidR="004239FC">
        <w:t>.</w:t>
      </w:r>
      <w:r w:rsidR="004239FC">
        <w:tab/>
      </w:r>
      <w:r>
        <w:rPr>
          <w:rFonts w:hint="eastAsia"/>
        </w:rPr>
        <w:t>请评估第10</w:t>
      </w:r>
      <w:r w:rsidR="004239FC">
        <w:rPr>
          <w:rFonts w:hint="eastAsia"/>
        </w:rPr>
        <w:t>条</w:t>
      </w:r>
      <w:r w:rsidR="004239FC">
        <w:t>(</w:t>
      </w:r>
      <w:r>
        <w:rPr>
          <w:rFonts w:hint="eastAsia"/>
        </w:rPr>
        <w:t>e</w:t>
      </w:r>
      <w:r w:rsidR="004239FC">
        <w:t>)</w:t>
      </w:r>
      <w:r>
        <w:rPr>
          <w:rFonts w:hint="eastAsia"/>
        </w:rPr>
        <w:t>款（“对移徙妇女提供教育”）下所称、对各省所发起的针对移徙妇女的教育措施的影响，考虑到该报告称，这些措施“对男女平等开放”，“所有这些方案和课程在设计中都考虑到了与性别有关的因素。”。</w:t>
      </w:r>
    </w:p>
    <w:p w:rsidR="00E76CDB" w:rsidRPr="004239FC" w:rsidRDefault="00E76CDB" w:rsidP="00E76CDB">
      <w:pPr>
        <w:pStyle w:val="SingleTxt"/>
        <w:rPr>
          <w:rFonts w:ascii="SimHei" w:eastAsia="SimHei" w:hint="eastAsia"/>
          <w:color w:val="FF0000"/>
        </w:rPr>
      </w:pPr>
      <w:r w:rsidRPr="004239FC">
        <w:rPr>
          <w:rFonts w:ascii="SimHei" w:eastAsia="SimHei" w:hint="eastAsia"/>
          <w:color w:val="FF0000"/>
        </w:rPr>
        <w:t>任择议定书</w:t>
      </w:r>
    </w:p>
    <w:p w:rsidR="00E76CDB" w:rsidRPr="004239FC" w:rsidRDefault="004239FC" w:rsidP="004239FC">
      <w:pPr>
        <w:pStyle w:val="SingleTxt"/>
        <w:spacing w:after="0" w:line="240" w:lineRule="auto"/>
        <w:rPr>
          <w:rFonts w:hint="eastAsia"/>
          <w:sz w:val="20"/>
        </w:rPr>
      </w:pPr>
      <w:r>
        <w:rPr>
          <w:rFonts w:hint="eastAsia"/>
          <w:noProof/>
        </w:rPr>
        <w:pict>
          <v:line id="_x0000_s1027" style="position:absolute;left:0;text-align:left;z-index:2" from="210pt,51pt" to="282pt,51pt" strokeweight=".25pt"/>
        </w:pict>
      </w:r>
      <w:r w:rsidR="00E76CDB">
        <w:rPr>
          <w:rFonts w:hint="eastAsia"/>
        </w:rPr>
        <w:t>26</w:t>
      </w:r>
      <w:r>
        <w:t>.</w:t>
      </w:r>
      <w:r>
        <w:tab/>
      </w:r>
      <w:r w:rsidR="00E76CDB">
        <w:rPr>
          <w:rFonts w:hint="eastAsia"/>
        </w:rPr>
        <w:t>请提供资料，说明采取了什么措施，广为宣传奥地利于2000年9月6日批准的《公约》的《任择议定书》。</w:t>
      </w:r>
    </w:p>
    <w:sectPr w:rsidR="00E76CDB" w:rsidRPr="004239FC" w:rsidSect="00500C17">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1T10:35:00Z" w:initials="Start">
    <w:p w:rsidR="004239FC" w:rsidRDefault="004239F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CE71BC">
        <w:fldChar w:fldCharType="separate"/>
      </w:r>
      <w:r w:rsidR="00CE71BC">
        <w:rPr>
          <w:rFonts w:hint="eastAsia"/>
          <w:noProof/>
        </w:rPr>
        <w:t xml:space="preserve">页: </w:t>
      </w:r>
      <w:r w:rsidR="00CE71BC">
        <w:rPr>
          <w:noProof/>
        </w:rPr>
        <w:t>1</w:t>
      </w:r>
      <w:r w:rsidR="00CE71BC">
        <w:rPr>
          <w:rFonts w:hint="eastAsia"/>
          <w:noProof/>
        </w:rPr>
        <w:br/>
      </w:r>
      <w:r>
        <w:fldChar w:fldCharType="end"/>
      </w:r>
      <w:r>
        <w:rPr>
          <w:rStyle w:val="CommentReference"/>
        </w:rPr>
        <w:annotationRef/>
      </w:r>
      <w:r>
        <w:t>&lt;&lt;ODS JOB NO&gt;&gt;N0646756C&lt;&lt;ODS JOB NO&gt;&gt;</w:t>
      </w:r>
    </w:p>
    <w:p w:rsidR="004239FC" w:rsidRDefault="004239FC">
      <w:pPr>
        <w:pStyle w:val="CommentText"/>
      </w:pPr>
      <w:r>
        <w:t>&lt;&lt;ODS DOC SYMBOL1&gt;&gt;CEDAW/C/AUT/Q/6&lt;&lt;ODS DOC SYMBOL1&gt;&gt;</w:t>
      </w:r>
    </w:p>
    <w:p w:rsidR="004239FC" w:rsidRDefault="004239F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132" w:rsidRDefault="00883132">
      <w:r>
        <w:separator/>
      </w:r>
    </w:p>
  </w:endnote>
  <w:endnote w:type="continuationSeparator" w:id="0">
    <w:p w:rsidR="00883132" w:rsidRDefault="00883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9FC" w:rsidTr="00500C17">
      <w:tblPrEx>
        <w:tblCellMar>
          <w:top w:w="0" w:type="dxa"/>
          <w:bottom w:w="0" w:type="dxa"/>
        </w:tblCellMar>
      </w:tblPrEx>
      <w:tc>
        <w:tcPr>
          <w:tcW w:w="5033" w:type="dxa"/>
          <w:shd w:val="clear" w:color="auto" w:fill="auto"/>
          <w:vAlign w:val="bottom"/>
        </w:tcPr>
        <w:p w:rsidR="004239FC" w:rsidRPr="00500C17" w:rsidRDefault="004239FC" w:rsidP="00500C17">
          <w:pPr>
            <w:pStyle w:val="Footer"/>
            <w:jc w:val="left"/>
          </w:pPr>
          <w:r>
            <w:fldChar w:fldCharType="begin"/>
          </w:r>
          <w:r>
            <w:instrText xml:space="preserve"> PAGE  \* MERGEFORMAT </w:instrText>
          </w:r>
          <w:r>
            <w:fldChar w:fldCharType="separate"/>
          </w:r>
          <w:r w:rsidR="00CE71BC">
            <w:t>2</w:t>
          </w:r>
          <w:r>
            <w:fldChar w:fldCharType="end"/>
          </w:r>
        </w:p>
      </w:tc>
      <w:tc>
        <w:tcPr>
          <w:tcW w:w="5033" w:type="dxa"/>
          <w:shd w:val="clear" w:color="auto" w:fill="auto"/>
          <w:vAlign w:val="bottom"/>
        </w:tcPr>
        <w:p w:rsidR="004239FC" w:rsidRPr="00500C17" w:rsidRDefault="004239FC" w:rsidP="00500C1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E71BC">
            <w:rPr>
              <w:b w:val="0"/>
              <w:sz w:val="14"/>
            </w:rPr>
            <w:t>06-46756</w:t>
          </w:r>
          <w:r>
            <w:rPr>
              <w:b w:val="0"/>
              <w:sz w:val="14"/>
            </w:rPr>
            <w:fldChar w:fldCharType="end"/>
          </w:r>
        </w:p>
      </w:tc>
    </w:tr>
  </w:tbl>
  <w:p w:rsidR="004239FC" w:rsidRPr="00500C17" w:rsidRDefault="004239FC" w:rsidP="00500C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239FC" w:rsidTr="00500C17">
      <w:tblPrEx>
        <w:tblCellMar>
          <w:top w:w="0" w:type="dxa"/>
          <w:bottom w:w="0" w:type="dxa"/>
        </w:tblCellMar>
      </w:tblPrEx>
      <w:tc>
        <w:tcPr>
          <w:tcW w:w="5033" w:type="dxa"/>
          <w:shd w:val="clear" w:color="auto" w:fill="auto"/>
          <w:vAlign w:val="bottom"/>
        </w:tcPr>
        <w:p w:rsidR="004239FC" w:rsidRPr="00500C17" w:rsidRDefault="004239FC" w:rsidP="00500C17">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CE71BC">
            <w:rPr>
              <w:b w:val="0"/>
              <w:sz w:val="14"/>
            </w:rPr>
            <w:t>06-46756</w:t>
          </w:r>
          <w:r>
            <w:rPr>
              <w:b w:val="0"/>
              <w:sz w:val="14"/>
            </w:rPr>
            <w:fldChar w:fldCharType="end"/>
          </w:r>
        </w:p>
      </w:tc>
      <w:tc>
        <w:tcPr>
          <w:tcW w:w="5033" w:type="dxa"/>
          <w:shd w:val="clear" w:color="auto" w:fill="auto"/>
          <w:vAlign w:val="bottom"/>
        </w:tcPr>
        <w:p w:rsidR="004239FC" w:rsidRPr="00500C17" w:rsidRDefault="004239FC" w:rsidP="00500C17">
          <w:pPr>
            <w:pStyle w:val="Footer"/>
            <w:jc w:val="right"/>
          </w:pPr>
          <w:r>
            <w:fldChar w:fldCharType="begin"/>
          </w:r>
          <w:r>
            <w:instrText xml:space="preserve"> PAGE  \* MERGEFORMAT </w:instrText>
          </w:r>
          <w:r>
            <w:fldChar w:fldCharType="separate"/>
          </w:r>
          <w:r w:rsidR="00CE71BC">
            <w:t>3</w:t>
          </w:r>
          <w:r>
            <w:fldChar w:fldCharType="end"/>
          </w:r>
        </w:p>
      </w:tc>
    </w:tr>
  </w:tbl>
  <w:p w:rsidR="004239FC" w:rsidRPr="00500C17" w:rsidRDefault="004239FC" w:rsidP="00500C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FC" w:rsidRDefault="004239FC" w:rsidP="00500C17">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CE71BC">
      <w:rPr>
        <w:b w:val="0"/>
        <w:sz w:val="21"/>
      </w:rPr>
      <w:t>06-46756 (C)</w:t>
    </w:r>
    <w:r>
      <w:rPr>
        <w:b w:val="0"/>
        <w:sz w:val="21"/>
      </w:rPr>
      <w:fldChar w:fldCharType="end"/>
    </w:r>
    <w:r>
      <w:rPr>
        <w:b w:val="0"/>
        <w:sz w:val="21"/>
      </w:rPr>
      <w:t xml:space="preserve">    010906    010906</w:t>
    </w:r>
  </w:p>
  <w:p w:rsidR="004239FC" w:rsidRPr="00500C17" w:rsidRDefault="004239FC" w:rsidP="00500C17">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CE71BC">
      <w:rPr>
        <w:rFonts w:ascii="Barcode 3 of 9 by request" w:hAnsi="Barcode 3 of 9 by request"/>
        <w:sz w:val="24"/>
      </w:rPr>
      <w:t>*0646756*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132" w:rsidRDefault="00883132">
      <w:r>
        <w:separator/>
      </w:r>
    </w:p>
  </w:footnote>
  <w:footnote w:type="continuationSeparator" w:id="0">
    <w:p w:rsidR="00883132" w:rsidRDefault="00883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9FC" w:rsidTr="00500C17">
      <w:tblPrEx>
        <w:tblCellMar>
          <w:top w:w="0" w:type="dxa"/>
          <w:bottom w:w="0" w:type="dxa"/>
        </w:tblCellMar>
      </w:tblPrEx>
      <w:trPr>
        <w:trHeight w:hRule="exact" w:val="864"/>
      </w:trPr>
      <w:tc>
        <w:tcPr>
          <w:tcW w:w="4838" w:type="dxa"/>
          <w:shd w:val="clear" w:color="auto" w:fill="auto"/>
          <w:vAlign w:val="bottom"/>
        </w:tcPr>
        <w:p w:rsidR="004239FC" w:rsidRPr="00500C17" w:rsidRDefault="004239FC" w:rsidP="00500C17">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E71BC">
            <w:rPr>
              <w:b/>
              <w:sz w:val="17"/>
            </w:rPr>
            <w:t>CEDAW/C/AUT/Q/6</w:t>
          </w:r>
          <w:r>
            <w:rPr>
              <w:b/>
              <w:sz w:val="17"/>
            </w:rPr>
            <w:fldChar w:fldCharType="end"/>
          </w:r>
        </w:p>
      </w:tc>
      <w:tc>
        <w:tcPr>
          <w:tcW w:w="5033" w:type="dxa"/>
          <w:shd w:val="clear" w:color="auto" w:fill="auto"/>
          <w:vAlign w:val="bottom"/>
        </w:tcPr>
        <w:p w:rsidR="004239FC" w:rsidRDefault="004239FC" w:rsidP="00500C17">
          <w:pPr>
            <w:pStyle w:val="Header"/>
          </w:pPr>
        </w:p>
      </w:tc>
    </w:tr>
  </w:tbl>
  <w:p w:rsidR="004239FC" w:rsidRPr="00500C17" w:rsidRDefault="004239FC" w:rsidP="00500C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239FC" w:rsidTr="00500C17">
      <w:tblPrEx>
        <w:tblCellMar>
          <w:top w:w="0" w:type="dxa"/>
          <w:bottom w:w="0" w:type="dxa"/>
        </w:tblCellMar>
      </w:tblPrEx>
      <w:trPr>
        <w:trHeight w:hRule="exact" w:val="864"/>
      </w:trPr>
      <w:tc>
        <w:tcPr>
          <w:tcW w:w="4838" w:type="dxa"/>
          <w:shd w:val="clear" w:color="auto" w:fill="auto"/>
          <w:vAlign w:val="bottom"/>
        </w:tcPr>
        <w:p w:rsidR="004239FC" w:rsidRDefault="004239FC" w:rsidP="00500C17">
          <w:pPr>
            <w:pStyle w:val="Header"/>
          </w:pPr>
        </w:p>
      </w:tc>
      <w:tc>
        <w:tcPr>
          <w:tcW w:w="5033" w:type="dxa"/>
          <w:shd w:val="clear" w:color="auto" w:fill="auto"/>
          <w:vAlign w:val="bottom"/>
        </w:tcPr>
        <w:p w:rsidR="004239FC" w:rsidRPr="00500C17" w:rsidRDefault="004239FC" w:rsidP="00500C17">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E71BC">
            <w:rPr>
              <w:b/>
              <w:sz w:val="17"/>
            </w:rPr>
            <w:t>CEDAW/C/AUT/Q/6</w:t>
          </w:r>
          <w:r>
            <w:rPr>
              <w:b/>
              <w:sz w:val="17"/>
            </w:rPr>
            <w:fldChar w:fldCharType="end"/>
          </w:r>
        </w:p>
      </w:tc>
    </w:tr>
  </w:tbl>
  <w:p w:rsidR="004239FC" w:rsidRPr="00500C17" w:rsidRDefault="004239FC" w:rsidP="00500C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239FC" w:rsidTr="00500C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39FC" w:rsidRDefault="004239FC" w:rsidP="00500C17">
          <w:pPr>
            <w:pStyle w:val="Header"/>
            <w:spacing w:after="120"/>
          </w:pPr>
        </w:p>
      </w:tc>
      <w:tc>
        <w:tcPr>
          <w:tcW w:w="1872" w:type="dxa"/>
          <w:tcBorders>
            <w:bottom w:val="single" w:sz="4" w:space="0" w:color="auto"/>
          </w:tcBorders>
          <w:shd w:val="clear" w:color="auto" w:fill="auto"/>
          <w:vAlign w:val="bottom"/>
        </w:tcPr>
        <w:p w:rsidR="004239FC" w:rsidRPr="00500C17" w:rsidRDefault="004239FC" w:rsidP="00500C1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239FC" w:rsidRDefault="004239FC" w:rsidP="00500C17">
          <w:pPr>
            <w:pStyle w:val="Header"/>
            <w:spacing w:after="120"/>
          </w:pPr>
        </w:p>
      </w:tc>
      <w:tc>
        <w:tcPr>
          <w:tcW w:w="6523" w:type="dxa"/>
          <w:gridSpan w:val="3"/>
          <w:tcBorders>
            <w:bottom w:val="single" w:sz="4" w:space="0" w:color="auto"/>
          </w:tcBorders>
          <w:shd w:val="clear" w:color="auto" w:fill="auto"/>
          <w:vAlign w:val="bottom"/>
        </w:tcPr>
        <w:p w:rsidR="004239FC" w:rsidRPr="00500C17" w:rsidRDefault="004239FC" w:rsidP="00500C1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/C/AUT/Q/6</w:t>
          </w:r>
        </w:p>
      </w:tc>
    </w:tr>
    <w:tr w:rsidR="004239FC" w:rsidRPr="00500C17" w:rsidTr="00500C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39FC" w:rsidRDefault="004239FC" w:rsidP="00500C1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239FC" w:rsidRPr="00500C17" w:rsidRDefault="004239FC" w:rsidP="00500C17">
          <w:pPr>
            <w:pStyle w:val="Header"/>
            <w:spacing w:before="109"/>
            <w:ind w:left="-72"/>
          </w:pPr>
        </w:p>
      </w:tc>
      <w:tc>
        <w:tcPr>
          <w:tcW w:w="5227" w:type="dxa"/>
          <w:gridSpan w:val="3"/>
          <w:tcBorders>
            <w:top w:val="single" w:sz="4" w:space="0" w:color="auto"/>
            <w:bottom w:val="single" w:sz="12" w:space="0" w:color="auto"/>
          </w:tcBorders>
          <w:shd w:val="clear" w:color="auto" w:fill="auto"/>
        </w:tcPr>
        <w:p w:rsidR="004239FC" w:rsidRPr="00500C17" w:rsidRDefault="004239FC" w:rsidP="00500C1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239FC" w:rsidRPr="00500C17" w:rsidRDefault="004239FC" w:rsidP="00500C17">
          <w:pPr>
            <w:pStyle w:val="Header"/>
            <w:spacing w:before="109"/>
          </w:pPr>
        </w:p>
      </w:tc>
      <w:tc>
        <w:tcPr>
          <w:tcW w:w="3180" w:type="dxa"/>
          <w:gridSpan w:val="2"/>
          <w:tcBorders>
            <w:top w:val="single" w:sz="4" w:space="0" w:color="auto"/>
            <w:bottom w:val="single" w:sz="12" w:space="0" w:color="auto"/>
          </w:tcBorders>
          <w:shd w:val="clear" w:color="auto" w:fill="auto"/>
        </w:tcPr>
        <w:p w:rsidR="004239FC" w:rsidRDefault="004239FC" w:rsidP="00500C17">
          <w:pPr>
            <w:spacing w:before="240" w:line="240" w:lineRule="exact"/>
            <w:rPr>
              <w:rFonts w:ascii="Times New Roman"/>
            </w:rPr>
          </w:pPr>
          <w:r>
            <w:rPr>
              <w:rFonts w:ascii="Times New Roman"/>
            </w:rPr>
            <w:t>Distr.: General</w:t>
          </w:r>
        </w:p>
        <w:p w:rsidR="004239FC" w:rsidRDefault="004239FC" w:rsidP="00500C17">
          <w:pPr>
            <w:spacing w:line="240" w:lineRule="exact"/>
            <w:rPr>
              <w:rFonts w:ascii="Times New Roman"/>
            </w:rPr>
          </w:pPr>
          <w:r>
            <w:rPr>
              <w:rFonts w:ascii="Times New Roman"/>
            </w:rPr>
            <w:t>8 August 2006</w:t>
          </w:r>
        </w:p>
        <w:p w:rsidR="004239FC" w:rsidRDefault="004239FC" w:rsidP="00500C17">
          <w:pPr>
            <w:spacing w:line="240" w:lineRule="exact"/>
            <w:rPr>
              <w:rFonts w:ascii="Times New Roman"/>
            </w:rPr>
          </w:pPr>
          <w:r>
            <w:rPr>
              <w:rFonts w:ascii="Times New Roman"/>
            </w:rPr>
            <w:t>Chinese</w:t>
          </w:r>
        </w:p>
        <w:p w:rsidR="004239FC" w:rsidRPr="00500C17" w:rsidRDefault="004239FC" w:rsidP="00500C17">
          <w:pPr>
            <w:spacing w:line="240" w:lineRule="exact"/>
            <w:rPr>
              <w:rFonts w:ascii="Times New Roman"/>
            </w:rPr>
          </w:pPr>
          <w:r>
            <w:rPr>
              <w:rFonts w:ascii="Times New Roman"/>
            </w:rPr>
            <w:t>Original: English</w:t>
          </w:r>
        </w:p>
      </w:tc>
    </w:tr>
  </w:tbl>
  <w:p w:rsidR="004239FC" w:rsidRPr="00500C17" w:rsidRDefault="004239FC" w:rsidP="00500C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56*"/>
    <w:docVar w:name="CreationDt" w:val="01/09/2006 10:09:52"/>
    <w:docVar w:name="DocCategory" w:val="Doc"/>
    <w:docVar w:name="DocType" w:val="Final"/>
    <w:docVar w:name="FooterJN" w:val="06-46756"/>
    <w:docVar w:name="jobn" w:val="06-46756 (C)"/>
    <w:docVar w:name="jobnDT" w:val="06-46756 (C)   010906"/>
    <w:docVar w:name="jobnDTDT" w:val="06-46756 (C)   010906   010906"/>
    <w:docVar w:name="JobNo" w:val="0646756C"/>
    <w:docVar w:name="OandT" w:val="XI"/>
    <w:docVar w:name="sss1" w:val="CEDAW/C/AUT/Q/6"/>
    <w:docVar w:name="sss2" w:val="-"/>
    <w:docVar w:name="Symbol1" w:val="CEDAW/C/AUT/Q/6"/>
    <w:docVar w:name="Symbol2" w:val="-"/>
  </w:docVars>
  <w:rsids>
    <w:rsidRoot w:val="004B3D6B"/>
    <w:rsid w:val="00037B39"/>
    <w:rsid w:val="00044CA4"/>
    <w:rsid w:val="000A07E3"/>
    <w:rsid w:val="000A31F9"/>
    <w:rsid w:val="000C1786"/>
    <w:rsid w:val="000F1058"/>
    <w:rsid w:val="00141322"/>
    <w:rsid w:val="001627F5"/>
    <w:rsid w:val="001E5A51"/>
    <w:rsid w:val="00252E35"/>
    <w:rsid w:val="00282D17"/>
    <w:rsid w:val="002B305F"/>
    <w:rsid w:val="002C2828"/>
    <w:rsid w:val="00371BC6"/>
    <w:rsid w:val="004239FC"/>
    <w:rsid w:val="004B3D6B"/>
    <w:rsid w:val="00500C17"/>
    <w:rsid w:val="00521275"/>
    <w:rsid w:val="0052216F"/>
    <w:rsid w:val="005541E4"/>
    <w:rsid w:val="0058302A"/>
    <w:rsid w:val="005F3273"/>
    <w:rsid w:val="00676175"/>
    <w:rsid w:val="007F2278"/>
    <w:rsid w:val="00824C19"/>
    <w:rsid w:val="008378D1"/>
    <w:rsid w:val="00883132"/>
    <w:rsid w:val="008F5472"/>
    <w:rsid w:val="0096193C"/>
    <w:rsid w:val="00984A91"/>
    <w:rsid w:val="009A2F76"/>
    <w:rsid w:val="00CE71BC"/>
    <w:rsid w:val="00E76CDB"/>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527</Words>
  <Characters>3004</Characters>
  <Application>Microsoft Office Word</Application>
  <DocSecurity>4</DocSecurity>
  <Lines>25</Lines>
  <Paragraphs>7</Paragraphs>
  <ScaleCrop>false</ScaleCrop>
  <Company>United Nations</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Lanjun Xi</cp:lastModifiedBy>
  <cp:revision>10</cp:revision>
  <cp:lastPrinted>2006-09-01T09:35:00Z</cp:lastPrinted>
  <dcterms:created xsi:type="dcterms:W3CDTF">2006-09-01T09:08:00Z</dcterms:created>
  <dcterms:modified xsi:type="dcterms:W3CDTF">2006-09-01T09:41:00Z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0646756</vt:lpwstr>
  </property>
  <property fmtid="{D5CDD505-2E9C-101B-9397-08002B2CF9AE}" pid="3" name="Symbol1">
    <vt:lpwstr>CEDAW/C/AUT/Q/6</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