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napToGrid/>
        </w:rPr>
      </w:pPr>
      <w:r>
        <w:rPr>
          <w:snapToGrid/>
        </w:rPr>
        <w:t>2006</w:t>
      </w:r>
      <w:r>
        <w:rPr>
          <w:rFonts w:hint="eastAsia"/>
          <w:snapToGrid/>
        </w:rPr>
        <w:t>年实务会议</w:t>
      </w:r>
    </w:p>
    <w:p w:rsidR="00000000" w:rsidRDefault="00000000">
      <w:pPr>
        <w:rPr>
          <w:snapToGrid/>
        </w:rPr>
      </w:pPr>
    </w:p>
    <w:p w:rsidR="00000000" w:rsidRDefault="00000000">
      <w:pPr>
        <w:rPr>
          <w:b/>
          <w:bCs/>
          <w:snapToGrid/>
        </w:rPr>
      </w:pPr>
    </w:p>
    <w:p w:rsidR="00000000" w:rsidRDefault="00000000">
      <w:pPr>
        <w:rPr>
          <w:b/>
          <w:bCs/>
          <w:snapToGrid/>
        </w:rPr>
      </w:pPr>
    </w:p>
    <w:p w:rsidR="00000000" w:rsidRDefault="00000000">
      <w:pPr>
        <w:pStyle w:val="Heading2"/>
      </w:pPr>
      <w:r>
        <w:rPr>
          <w:rFonts w:hint="eastAsia"/>
        </w:rPr>
        <w:t>《经济、社会、文化国际公约》的执行情况</w:t>
      </w:r>
    </w:p>
    <w:p w:rsidR="00000000" w:rsidRDefault="00000000">
      <w:pPr>
        <w:pStyle w:val="Heading3"/>
      </w:pPr>
      <w:r>
        <w:rPr>
          <w:rFonts w:hint="eastAsia"/>
        </w:rPr>
        <w:t>缔约国根据《公约》第</w:t>
      </w:r>
      <w:r>
        <w:t>16</w:t>
      </w:r>
      <w:r>
        <w:rPr>
          <w:rFonts w:hint="eastAsia"/>
        </w:rPr>
        <w:t>和</w:t>
      </w:r>
      <w:r>
        <w:t>17</w:t>
      </w:r>
      <w:r>
        <w:rPr>
          <w:rFonts w:hint="eastAsia"/>
        </w:rPr>
        <w:t>条</w:t>
      </w:r>
      <w:r>
        <w:br/>
      </w:r>
      <w:r>
        <w:rPr>
          <w:rFonts w:hint="eastAsia"/>
        </w:rPr>
        <w:t>提交的第五次定期报告</w:t>
      </w:r>
    </w:p>
    <w:p w:rsidR="00000000" w:rsidRDefault="00000000">
      <w:pPr>
        <w:pStyle w:val="Heading3"/>
      </w:pPr>
      <w:r>
        <w:rPr>
          <w:rFonts w:hint="eastAsia"/>
        </w:rPr>
        <w:t>增</w:t>
      </w:r>
      <w:r>
        <w:t xml:space="preserve">  </w:t>
      </w:r>
      <w:r>
        <w:rPr>
          <w:rFonts w:hint="eastAsia"/>
        </w:rPr>
        <w:t>编</w:t>
      </w:r>
    </w:p>
    <w:p w:rsidR="00000000" w:rsidRDefault="00000000">
      <w:pPr>
        <w:pStyle w:val="Heading3"/>
        <w:rPr>
          <w:rFonts w:hint="eastAsia"/>
          <w:u w:val="none"/>
        </w:rPr>
      </w:pPr>
      <w:r>
        <w:rPr>
          <w:rFonts w:ascii="Time New Roman" w:eastAsia="SimHei" w:hAnsi="Time New Roman"/>
          <w:u w:val="none"/>
        </w:rPr>
        <w:t xml:space="preserve">      </w:t>
      </w:r>
      <w:r>
        <w:rPr>
          <w:rFonts w:ascii="Time New Roman" w:eastAsia="SimHei" w:hAnsi="Time New Roman" w:hint="eastAsia"/>
          <w:u w:val="none"/>
        </w:rPr>
        <w:t>瑞</w:t>
      </w:r>
      <w:r>
        <w:rPr>
          <w:rFonts w:ascii="Time New Roman" w:eastAsia="SimHei" w:hAnsi="Time New Roman"/>
          <w:u w:val="none"/>
        </w:rPr>
        <w:t xml:space="preserve"> </w:t>
      </w:r>
      <w:r>
        <w:rPr>
          <w:rFonts w:ascii="Time New Roman" w:eastAsia="SimHei" w:hAnsi="Time New Roman" w:hint="eastAsia"/>
          <w:u w:val="none"/>
        </w:rPr>
        <w:t xml:space="preserve"> </w:t>
      </w:r>
      <w:r>
        <w:rPr>
          <w:rFonts w:ascii="Time New Roman" w:eastAsia="SimHei" w:hAnsi="Time New Roman" w:hint="eastAsia"/>
          <w:u w:val="none"/>
        </w:rPr>
        <w:t>典</w:t>
      </w:r>
      <w:r>
        <w:rPr>
          <w:rStyle w:val="FootnoteReference"/>
          <w:u w:val="none"/>
          <w:vertAlign w:val="baseline"/>
        </w:rPr>
        <w:footnoteReference w:customMarkFollows="1" w:id="1"/>
        <w:t>*</w:t>
      </w:r>
      <w:r>
        <w:rPr>
          <w:rFonts w:ascii="Time New Roman" w:eastAsia="SimHei" w:hAnsi="Time New Roman" w:hint="eastAsia"/>
          <w:u w:val="none"/>
        </w:rPr>
        <w:t xml:space="preserve"> </w:t>
      </w:r>
      <w:r>
        <w:rPr>
          <w:rStyle w:val="FootnoteReference"/>
          <w:u w:val="none"/>
          <w:vertAlign w:val="baseline"/>
        </w:rPr>
        <w:footnoteReference w:customMarkFollows="1" w:id="2"/>
        <w:t>**</w:t>
      </w:r>
      <w:r>
        <w:rPr>
          <w:rFonts w:ascii="Time New Roman" w:eastAsia="SimHei" w:hAnsi="Time New Roman" w:hint="eastAsia"/>
          <w:u w:val="none"/>
        </w:rPr>
        <w:t xml:space="preserve"> </w:t>
      </w:r>
      <w:r>
        <w:rPr>
          <w:rStyle w:val="FootnoteReference"/>
          <w:u w:val="none"/>
          <w:vertAlign w:val="baseline"/>
        </w:rPr>
        <w:footnoteReference w:customMarkFollows="1" w:id="3"/>
        <w:t>***</w:t>
      </w:r>
    </w:p>
    <w:p w:rsidR="00000000" w:rsidRDefault="00000000">
      <w:pPr>
        <w:rPr>
          <w:rFonts w:hint="eastAsia"/>
          <w:snapToGrid/>
        </w:rPr>
      </w:pPr>
    </w:p>
    <w:p w:rsidR="00000000" w:rsidRDefault="00000000">
      <w:pPr>
        <w:ind w:left="7140"/>
        <w:rPr>
          <w:snapToGrid/>
        </w:rPr>
      </w:pPr>
      <w:r>
        <w:rPr>
          <w:snapToGrid/>
        </w:rPr>
        <w:t>[2006</w:t>
      </w:r>
      <w:r>
        <w:rPr>
          <w:rFonts w:hint="eastAsia"/>
          <w:snapToGrid/>
        </w:rPr>
        <w:t>年</w:t>
      </w:r>
      <w:r>
        <w:rPr>
          <w:snapToGrid/>
        </w:rPr>
        <w:t>6</w:t>
      </w:r>
      <w:r>
        <w:rPr>
          <w:rFonts w:hint="eastAsia"/>
          <w:snapToGrid/>
        </w:rPr>
        <w:t>月</w:t>
      </w:r>
      <w:r>
        <w:rPr>
          <w:snapToGrid/>
        </w:rPr>
        <w:t>30</w:t>
      </w:r>
      <w:r>
        <w:rPr>
          <w:rFonts w:hint="eastAsia"/>
          <w:snapToGrid/>
        </w:rPr>
        <w:t>日</w:t>
      </w:r>
      <w:r>
        <w:rPr>
          <w:snapToGrid/>
        </w:rPr>
        <w:t>]</w:t>
      </w:r>
    </w:p>
    <w:p w:rsidR="00000000" w:rsidRDefault="00000000">
      <w:pPr>
        <w:pStyle w:val="a5"/>
        <w:keepNext/>
        <w:tabs>
          <w:tab w:val="clear" w:pos="7201"/>
          <w:tab w:val="clear" w:pos="8618"/>
          <w:tab w:val="left" w:pos="7088"/>
          <w:tab w:val="left" w:pos="8080"/>
          <w:tab w:val="left" w:pos="8640"/>
        </w:tabs>
        <w:spacing w:line="240" w:lineRule="auto"/>
        <w:jc w:val="center"/>
        <w:rPr>
          <w:spacing w:val="6"/>
          <w:kern w:val="24"/>
        </w:rPr>
      </w:pPr>
      <w:r>
        <w:br w:type="page"/>
      </w:r>
      <w:r>
        <w:rPr>
          <w:rFonts w:hint="eastAsia"/>
          <w:spacing w:val="6"/>
          <w:kern w:val="24"/>
        </w:rPr>
        <w:t>目</w:t>
      </w:r>
      <w:r>
        <w:rPr>
          <w:spacing w:val="6"/>
          <w:kern w:val="24"/>
        </w:rPr>
        <w:tab/>
      </w:r>
      <w:r>
        <w:rPr>
          <w:rFonts w:hint="eastAsia"/>
          <w:spacing w:val="6"/>
          <w:kern w:val="24"/>
        </w:rPr>
        <w:t>录</w:t>
      </w:r>
    </w:p>
    <w:p w:rsidR="00000000" w:rsidRDefault="00000000">
      <w:pPr>
        <w:pStyle w:val="a5"/>
        <w:keepNext/>
        <w:tabs>
          <w:tab w:val="clear" w:pos="7201"/>
          <w:tab w:val="clear" w:pos="8618"/>
          <w:tab w:val="left" w:pos="7088"/>
          <w:tab w:val="left" w:pos="8080"/>
          <w:tab w:val="left" w:pos="8640"/>
        </w:tabs>
        <w:spacing w:after="120" w:line="240" w:lineRule="auto"/>
        <w:rPr>
          <w:rFonts w:eastAsia="长城楷体"/>
          <w:spacing w:val="6"/>
          <w:kern w:val="24"/>
          <w:u w:val="single"/>
        </w:rPr>
      </w:pPr>
      <w:r>
        <w:rPr>
          <w:rFonts w:hint="eastAsia"/>
          <w:spacing w:val="6"/>
          <w:kern w:val="24"/>
        </w:rPr>
        <w:tab/>
      </w:r>
      <w:r>
        <w:rPr>
          <w:spacing w:val="6"/>
          <w:kern w:val="24"/>
        </w:rPr>
        <w:tab/>
      </w:r>
      <w:r>
        <w:rPr>
          <w:rFonts w:hint="eastAsia"/>
          <w:spacing w:val="6"/>
          <w:kern w:val="24"/>
          <w:u w:val="single"/>
        </w:rPr>
        <w:t>段</w:t>
      </w:r>
      <w:r>
        <w:rPr>
          <w:spacing w:val="6"/>
          <w:kern w:val="24"/>
          <w:u w:val="single"/>
        </w:rPr>
        <w:tab/>
      </w:r>
      <w:r>
        <w:rPr>
          <w:rFonts w:hint="eastAsia"/>
          <w:spacing w:val="6"/>
          <w:kern w:val="24"/>
          <w:u w:val="single"/>
        </w:rPr>
        <w:t>次</w:t>
      </w:r>
      <w:r>
        <w:rPr>
          <w:spacing w:val="6"/>
          <w:kern w:val="24"/>
        </w:rPr>
        <w:tab/>
      </w:r>
      <w:r>
        <w:rPr>
          <w:spacing w:val="6"/>
          <w:kern w:val="24"/>
        </w:rPr>
        <w:tab/>
      </w:r>
      <w:r>
        <w:rPr>
          <w:rFonts w:hint="eastAsia"/>
          <w:spacing w:val="6"/>
          <w:kern w:val="24"/>
          <w:u w:val="single"/>
        </w:rPr>
        <w:t>页</w:t>
      </w:r>
      <w:r>
        <w:rPr>
          <w:spacing w:val="6"/>
          <w:kern w:val="24"/>
          <w:u w:val="single"/>
        </w:rPr>
        <w:tab/>
      </w:r>
      <w:r>
        <w:rPr>
          <w:rFonts w:hint="eastAsia"/>
          <w:spacing w:val="6"/>
          <w:kern w:val="24"/>
          <w:u w:val="single"/>
        </w:rPr>
        <w:t>次</w:t>
      </w:r>
    </w:p>
    <w:p w:rsidR="00000000" w:rsidRDefault="00000000">
      <w:pPr>
        <w:pStyle w:val="a7"/>
        <w:spacing w:after="120" w:line="252" w:lineRule="auto"/>
        <w:rPr>
          <w:rFonts w:hint="eastAsia"/>
          <w:snapToGrid/>
          <w:spacing w:val="6"/>
        </w:rPr>
      </w:pPr>
      <w:r>
        <w:rPr>
          <w:rFonts w:hint="eastAsia"/>
          <w:snapToGrid/>
          <w:spacing w:val="6"/>
        </w:rPr>
        <w:t>导</w:t>
      </w:r>
      <w:r>
        <w:rPr>
          <w:snapToGrid/>
          <w:spacing w:val="6"/>
        </w:rPr>
        <w:t xml:space="preserve">  </w:t>
      </w:r>
      <w:r>
        <w:rPr>
          <w:rFonts w:hint="eastAsia"/>
          <w:snapToGrid/>
          <w:spacing w:val="6"/>
        </w:rPr>
        <w:t>言</w:t>
      </w:r>
      <w:r>
        <w:rPr>
          <w:rFonts w:hint="eastAsia"/>
          <w:snapToGrid/>
          <w:spacing w:val="6"/>
        </w:rPr>
        <w:t>....................................</w:t>
      </w:r>
      <w:r>
        <w:rPr>
          <w:rFonts w:hint="eastAsia"/>
          <w:snapToGrid/>
          <w:spacing w:val="6"/>
        </w:rPr>
        <w:tab/>
      </w:r>
      <w:r>
        <w:rPr>
          <w:rFonts w:hint="eastAsia"/>
          <w:snapToGrid/>
          <w:spacing w:val="6"/>
        </w:rPr>
        <w:tab/>
        <w:t>1</w:t>
      </w:r>
      <w:r>
        <w:rPr>
          <w:rFonts w:hint="eastAsia"/>
          <w:snapToGrid/>
          <w:spacing w:val="6"/>
        </w:rPr>
        <w:tab/>
        <w:t>-</w:t>
      </w:r>
      <w:r>
        <w:rPr>
          <w:rFonts w:hint="eastAsia"/>
          <w:snapToGrid/>
          <w:spacing w:val="6"/>
        </w:rPr>
        <w:tab/>
        <w:t>6</w:t>
      </w:r>
      <w:r>
        <w:rPr>
          <w:rFonts w:hint="eastAsia"/>
          <w:snapToGrid/>
          <w:spacing w:val="6"/>
        </w:rPr>
        <w:tab/>
        <w:t>5</w:t>
      </w:r>
    </w:p>
    <w:p w:rsidR="00000000" w:rsidRDefault="00000000">
      <w:pPr>
        <w:pStyle w:val="a7"/>
        <w:spacing w:after="120" w:line="252" w:lineRule="auto"/>
        <w:rPr>
          <w:rFonts w:hint="eastAsia"/>
          <w:snapToGrid/>
          <w:spacing w:val="6"/>
        </w:rPr>
      </w:pPr>
      <w:r>
        <w:rPr>
          <w:rFonts w:hint="eastAsia"/>
          <w:snapToGrid/>
          <w:spacing w:val="6"/>
        </w:rPr>
        <w:t>第</w:t>
      </w:r>
      <w:r>
        <w:rPr>
          <w:rFonts w:hint="eastAsia"/>
          <w:snapToGrid/>
          <w:spacing w:val="6"/>
        </w:rPr>
        <w:t>1</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7</w:t>
      </w:r>
      <w:r>
        <w:rPr>
          <w:rFonts w:hint="eastAsia"/>
          <w:snapToGrid/>
          <w:spacing w:val="6"/>
        </w:rPr>
        <w:tab/>
        <w:t>-</w:t>
      </w:r>
      <w:r>
        <w:rPr>
          <w:rFonts w:hint="eastAsia"/>
          <w:snapToGrid/>
          <w:spacing w:val="6"/>
        </w:rPr>
        <w:tab/>
        <w:t>16</w:t>
      </w:r>
      <w:r>
        <w:rPr>
          <w:rFonts w:hint="eastAsia"/>
          <w:snapToGrid/>
          <w:spacing w:val="6"/>
        </w:rPr>
        <w:tab/>
        <w:t>5</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2</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17</w:t>
      </w:r>
      <w:r>
        <w:rPr>
          <w:rFonts w:hint="eastAsia"/>
          <w:snapToGrid/>
          <w:spacing w:val="6"/>
        </w:rPr>
        <w:tab/>
        <w:t>-</w:t>
      </w:r>
      <w:r>
        <w:rPr>
          <w:rFonts w:hint="eastAsia"/>
          <w:snapToGrid/>
          <w:spacing w:val="6"/>
        </w:rPr>
        <w:tab/>
        <w:t>35</w:t>
      </w:r>
      <w:r>
        <w:rPr>
          <w:rFonts w:hint="eastAsia"/>
          <w:snapToGrid/>
          <w:spacing w:val="6"/>
        </w:rPr>
        <w:tab/>
        <w:t>7</w:t>
      </w:r>
    </w:p>
    <w:p w:rsidR="00000000" w:rsidRDefault="00000000">
      <w:pPr>
        <w:pStyle w:val="a7"/>
        <w:spacing w:line="288" w:lineRule="auto"/>
        <w:ind w:left="1020"/>
        <w:rPr>
          <w:rFonts w:hint="eastAsia"/>
          <w:snapToGrid/>
          <w:spacing w:val="6"/>
        </w:rPr>
      </w:pPr>
      <w:r>
        <w:rPr>
          <w:rFonts w:hint="eastAsia"/>
          <w:snapToGrid/>
          <w:spacing w:val="6"/>
        </w:rPr>
        <w:t>一项新的《国家人权行动计划》</w:t>
      </w:r>
      <w:r>
        <w:rPr>
          <w:rFonts w:hint="eastAsia"/>
          <w:snapToGrid/>
          <w:spacing w:val="6"/>
        </w:rPr>
        <w:tab/>
      </w:r>
      <w:r>
        <w:rPr>
          <w:rFonts w:hint="eastAsia"/>
          <w:snapToGrid/>
          <w:spacing w:val="6"/>
        </w:rPr>
        <w:tab/>
        <w:t>17</w:t>
      </w:r>
      <w:r>
        <w:rPr>
          <w:rFonts w:hint="eastAsia"/>
          <w:snapToGrid/>
          <w:spacing w:val="6"/>
        </w:rPr>
        <w:tab/>
        <w:t>-</w:t>
      </w:r>
      <w:r>
        <w:rPr>
          <w:rFonts w:hint="eastAsia"/>
          <w:snapToGrid/>
          <w:spacing w:val="6"/>
        </w:rPr>
        <w:tab/>
        <w:t>20</w:t>
      </w:r>
      <w:r>
        <w:rPr>
          <w:rFonts w:hint="eastAsia"/>
          <w:snapToGrid/>
          <w:spacing w:val="6"/>
        </w:rPr>
        <w:tab/>
        <w:t>7</w:t>
      </w:r>
    </w:p>
    <w:p w:rsidR="00000000" w:rsidRDefault="00000000">
      <w:pPr>
        <w:pStyle w:val="a7"/>
        <w:spacing w:line="288" w:lineRule="auto"/>
        <w:ind w:left="1020"/>
        <w:rPr>
          <w:snapToGrid/>
          <w:spacing w:val="6"/>
        </w:rPr>
      </w:pPr>
      <w:r>
        <w:rPr>
          <w:rFonts w:hint="eastAsia"/>
          <w:snapToGrid/>
          <w:spacing w:val="6"/>
        </w:rPr>
        <w:t>瑞典人权代表团</w:t>
      </w:r>
      <w:r>
        <w:rPr>
          <w:rFonts w:hint="eastAsia"/>
          <w:snapToGrid/>
          <w:spacing w:val="6"/>
        </w:rPr>
        <w:t>(</w:t>
      </w:r>
      <w:r>
        <w:rPr>
          <w:snapToGrid/>
          <w:spacing w:val="6"/>
        </w:rPr>
        <w:t>ToR 2006</w:t>
      </w:r>
      <w:r>
        <w:rPr>
          <w:rFonts w:hint="eastAsia"/>
          <w:snapToGrid/>
          <w:spacing w:val="6"/>
        </w:rPr>
        <w:t>：</w:t>
      </w:r>
      <w:r>
        <w:rPr>
          <w:snapToGrid/>
          <w:spacing w:val="6"/>
        </w:rPr>
        <w:t>02</w:t>
      </w:r>
      <w:r>
        <w:rPr>
          <w:rFonts w:hint="eastAsia"/>
          <w:snapToGrid/>
          <w:spacing w:val="6"/>
        </w:rPr>
        <w:t>)</w:t>
      </w:r>
      <w:r>
        <w:rPr>
          <w:rFonts w:hint="eastAsia"/>
          <w:snapToGrid/>
          <w:spacing w:val="6"/>
        </w:rPr>
        <w:tab/>
      </w:r>
      <w:r>
        <w:rPr>
          <w:rFonts w:hint="eastAsia"/>
          <w:snapToGrid/>
          <w:spacing w:val="6"/>
        </w:rPr>
        <w:tab/>
        <w:t>21</w:t>
      </w:r>
      <w:r>
        <w:rPr>
          <w:rFonts w:hint="eastAsia"/>
          <w:snapToGrid/>
          <w:spacing w:val="6"/>
        </w:rPr>
        <w:tab/>
        <w:t>-</w:t>
      </w:r>
      <w:r>
        <w:rPr>
          <w:rFonts w:hint="eastAsia"/>
          <w:snapToGrid/>
          <w:spacing w:val="6"/>
        </w:rPr>
        <w:tab/>
        <w:t>22</w:t>
      </w:r>
      <w:r>
        <w:rPr>
          <w:rFonts w:hint="eastAsia"/>
          <w:snapToGrid/>
          <w:spacing w:val="6"/>
        </w:rPr>
        <w:tab/>
        <w:t>8</w:t>
      </w:r>
    </w:p>
    <w:p w:rsidR="00000000" w:rsidRDefault="00000000">
      <w:pPr>
        <w:pStyle w:val="a7"/>
        <w:spacing w:line="288" w:lineRule="auto"/>
        <w:ind w:left="1020"/>
        <w:rPr>
          <w:snapToGrid/>
          <w:spacing w:val="6"/>
        </w:rPr>
      </w:pPr>
      <w:r>
        <w:rPr>
          <w:rFonts w:hint="eastAsia"/>
          <w:snapToGrid/>
          <w:spacing w:val="6"/>
        </w:rPr>
        <w:t>瑞典政府的人权网址</w:t>
      </w:r>
      <w:r>
        <w:rPr>
          <w:rFonts w:hint="eastAsia"/>
          <w:snapToGrid/>
          <w:spacing w:val="6"/>
        </w:rPr>
        <w:tab/>
      </w:r>
      <w:r>
        <w:rPr>
          <w:rFonts w:hint="eastAsia"/>
          <w:snapToGrid/>
          <w:spacing w:val="6"/>
        </w:rPr>
        <w:tab/>
      </w:r>
      <w:r>
        <w:rPr>
          <w:rFonts w:hint="eastAsia"/>
          <w:snapToGrid/>
          <w:spacing w:val="6"/>
        </w:rPr>
        <w:tab/>
        <w:t>23</w:t>
      </w:r>
      <w:r>
        <w:rPr>
          <w:rFonts w:hint="eastAsia"/>
          <w:snapToGrid/>
          <w:spacing w:val="6"/>
        </w:rPr>
        <w:tab/>
      </w:r>
      <w:r>
        <w:rPr>
          <w:rFonts w:hint="eastAsia"/>
          <w:snapToGrid/>
          <w:spacing w:val="6"/>
        </w:rPr>
        <w:tab/>
        <w:t>9</w:t>
      </w:r>
    </w:p>
    <w:p w:rsidR="00000000" w:rsidRDefault="00000000">
      <w:pPr>
        <w:pStyle w:val="a7"/>
        <w:spacing w:line="288" w:lineRule="auto"/>
        <w:ind w:left="1020"/>
        <w:rPr>
          <w:rFonts w:hint="eastAsia"/>
          <w:snapToGrid/>
          <w:spacing w:val="6"/>
        </w:rPr>
      </w:pPr>
      <w:r>
        <w:rPr>
          <w:rFonts w:hint="eastAsia"/>
          <w:snapToGrid/>
          <w:spacing w:val="6"/>
        </w:rPr>
        <w:t>歧视问题议会委员会</w:t>
      </w:r>
      <w:r>
        <w:rPr>
          <w:rFonts w:hint="eastAsia"/>
          <w:snapToGrid/>
          <w:spacing w:val="6"/>
        </w:rPr>
        <w:tab/>
      </w:r>
      <w:r>
        <w:rPr>
          <w:rFonts w:hint="eastAsia"/>
          <w:snapToGrid/>
          <w:spacing w:val="6"/>
        </w:rPr>
        <w:tab/>
        <w:t>24</w:t>
      </w:r>
      <w:r>
        <w:rPr>
          <w:rFonts w:hint="eastAsia"/>
          <w:snapToGrid/>
          <w:spacing w:val="6"/>
        </w:rPr>
        <w:tab/>
        <w:t>-</w:t>
      </w:r>
      <w:r>
        <w:rPr>
          <w:rFonts w:hint="eastAsia"/>
          <w:snapToGrid/>
          <w:spacing w:val="6"/>
        </w:rPr>
        <w:tab/>
        <w:t>28</w:t>
      </w:r>
      <w:r>
        <w:rPr>
          <w:rFonts w:hint="eastAsia"/>
          <w:snapToGrid/>
          <w:spacing w:val="6"/>
        </w:rPr>
        <w:tab/>
        <w:t>9</w:t>
      </w:r>
    </w:p>
    <w:p w:rsidR="00000000" w:rsidRDefault="00000000">
      <w:pPr>
        <w:pStyle w:val="a7"/>
        <w:spacing w:line="288" w:lineRule="auto"/>
        <w:ind w:left="1020"/>
        <w:rPr>
          <w:rFonts w:hint="eastAsia"/>
          <w:snapToGrid/>
          <w:spacing w:val="6"/>
        </w:rPr>
      </w:pPr>
      <w:r>
        <w:rPr>
          <w:rFonts w:hint="eastAsia"/>
          <w:snapToGrid/>
          <w:spacing w:val="6"/>
        </w:rPr>
        <w:t>《禁止歧视法》</w:t>
      </w:r>
      <w:r>
        <w:rPr>
          <w:rFonts w:hint="eastAsia"/>
          <w:snapToGrid/>
          <w:spacing w:val="6"/>
        </w:rPr>
        <w:t>(2003</w:t>
      </w:r>
      <w:r>
        <w:rPr>
          <w:rFonts w:hint="eastAsia"/>
          <w:snapToGrid/>
          <w:spacing w:val="6"/>
        </w:rPr>
        <w:t>：</w:t>
      </w:r>
      <w:r>
        <w:rPr>
          <w:rFonts w:hint="eastAsia"/>
          <w:snapToGrid/>
          <w:spacing w:val="6"/>
        </w:rPr>
        <w:t>307)</w:t>
      </w:r>
      <w:r>
        <w:rPr>
          <w:rFonts w:hint="eastAsia"/>
          <w:snapToGrid/>
          <w:spacing w:val="6"/>
        </w:rPr>
        <w:tab/>
      </w:r>
      <w:r>
        <w:rPr>
          <w:rFonts w:hint="eastAsia"/>
          <w:snapToGrid/>
          <w:spacing w:val="6"/>
        </w:rPr>
        <w:tab/>
        <w:t>29</w:t>
      </w:r>
      <w:r>
        <w:rPr>
          <w:rFonts w:hint="eastAsia"/>
          <w:snapToGrid/>
          <w:spacing w:val="6"/>
        </w:rPr>
        <w:tab/>
        <w:t>-</w:t>
      </w:r>
      <w:r>
        <w:rPr>
          <w:rFonts w:hint="eastAsia"/>
          <w:snapToGrid/>
          <w:spacing w:val="6"/>
        </w:rPr>
        <w:tab/>
        <w:t>30</w:t>
      </w:r>
      <w:r>
        <w:rPr>
          <w:rFonts w:hint="eastAsia"/>
          <w:snapToGrid/>
          <w:spacing w:val="6"/>
        </w:rPr>
        <w:tab/>
        <w:t>10</w:t>
      </w:r>
    </w:p>
    <w:p w:rsidR="00000000" w:rsidRDefault="00000000">
      <w:pPr>
        <w:pStyle w:val="a7"/>
        <w:tabs>
          <w:tab w:val="clear" w:pos="510"/>
          <w:tab w:val="clear" w:pos="1021"/>
          <w:tab w:val="clear" w:pos="1531"/>
          <w:tab w:val="clear" w:pos="2041"/>
        </w:tabs>
        <w:spacing w:line="288" w:lineRule="auto"/>
        <w:ind w:left="525" w:right="2844" w:hanging="15"/>
        <w:rPr>
          <w:rFonts w:hint="eastAsia"/>
          <w:snapToGrid/>
          <w:spacing w:val="6"/>
        </w:rPr>
      </w:pPr>
      <w:r>
        <w:rPr>
          <w:rFonts w:hint="eastAsia"/>
          <w:snapToGrid/>
          <w:spacing w:val="0"/>
        </w:rPr>
        <w:t>《禁止职业生活中的民族歧视的措施法令》</w:t>
      </w:r>
      <w:r>
        <w:rPr>
          <w:rFonts w:hint="eastAsia"/>
          <w:snapToGrid/>
          <w:spacing w:val="0"/>
        </w:rPr>
        <w:t>(1999</w:t>
      </w:r>
      <w:r>
        <w:rPr>
          <w:rFonts w:hint="eastAsia"/>
          <w:snapToGrid/>
          <w:spacing w:val="0"/>
        </w:rPr>
        <w:t>：</w:t>
      </w:r>
      <w:r>
        <w:rPr>
          <w:rFonts w:hint="eastAsia"/>
          <w:snapToGrid/>
          <w:spacing w:val="0"/>
        </w:rPr>
        <w:t>130)</w:t>
      </w:r>
      <w:r>
        <w:rPr>
          <w:rFonts w:hint="eastAsia"/>
          <w:snapToGrid/>
          <w:spacing w:val="6"/>
        </w:rPr>
        <w:t>...</w:t>
      </w:r>
      <w:r>
        <w:rPr>
          <w:rFonts w:hint="eastAsia"/>
          <w:snapToGrid/>
          <w:spacing w:val="6"/>
        </w:rPr>
        <w:tab/>
      </w:r>
      <w:r>
        <w:rPr>
          <w:rFonts w:hint="eastAsia"/>
          <w:snapToGrid/>
          <w:spacing w:val="6"/>
        </w:rPr>
        <w:tab/>
        <w:t>31</w:t>
      </w:r>
      <w:r>
        <w:rPr>
          <w:rFonts w:hint="eastAsia"/>
          <w:snapToGrid/>
          <w:spacing w:val="6"/>
        </w:rPr>
        <w:tab/>
        <w:t>-</w:t>
      </w:r>
      <w:r>
        <w:rPr>
          <w:rFonts w:hint="eastAsia"/>
          <w:snapToGrid/>
          <w:spacing w:val="6"/>
        </w:rPr>
        <w:tab/>
        <w:t>33</w:t>
      </w:r>
      <w:r>
        <w:rPr>
          <w:rFonts w:hint="eastAsia"/>
          <w:snapToGrid/>
          <w:spacing w:val="6"/>
        </w:rPr>
        <w:tab/>
        <w:t>11</w:t>
      </w:r>
    </w:p>
    <w:p w:rsidR="00000000" w:rsidRDefault="00000000">
      <w:pPr>
        <w:pStyle w:val="a7"/>
        <w:spacing w:after="120" w:line="288" w:lineRule="auto"/>
        <w:ind w:left="1020"/>
        <w:rPr>
          <w:rFonts w:hint="eastAsia"/>
          <w:snapToGrid/>
          <w:spacing w:val="6"/>
        </w:rPr>
      </w:pPr>
      <w:r>
        <w:rPr>
          <w:rFonts w:hint="eastAsia"/>
          <w:snapToGrid/>
          <w:spacing w:val="6"/>
        </w:rPr>
        <w:t>瑞典的全球发展政策</w:t>
      </w:r>
      <w:r>
        <w:rPr>
          <w:rFonts w:hint="eastAsia"/>
          <w:snapToGrid/>
          <w:spacing w:val="6"/>
        </w:rPr>
        <w:tab/>
      </w:r>
      <w:r>
        <w:rPr>
          <w:rFonts w:hint="eastAsia"/>
          <w:snapToGrid/>
          <w:spacing w:val="6"/>
        </w:rPr>
        <w:tab/>
        <w:t>34</w:t>
      </w:r>
      <w:r>
        <w:rPr>
          <w:rFonts w:hint="eastAsia"/>
          <w:snapToGrid/>
          <w:spacing w:val="6"/>
        </w:rPr>
        <w:tab/>
        <w:t>-</w:t>
      </w:r>
      <w:r>
        <w:rPr>
          <w:rFonts w:hint="eastAsia"/>
          <w:snapToGrid/>
          <w:spacing w:val="6"/>
        </w:rPr>
        <w:tab/>
        <w:t>35</w:t>
      </w:r>
      <w:r>
        <w:rPr>
          <w:rFonts w:hint="eastAsia"/>
          <w:snapToGrid/>
          <w:spacing w:val="6"/>
        </w:rPr>
        <w:tab/>
        <w:t>12</w:t>
      </w:r>
    </w:p>
    <w:p w:rsidR="00000000" w:rsidRDefault="00000000">
      <w:pPr>
        <w:pStyle w:val="a7"/>
        <w:spacing w:after="120" w:line="252" w:lineRule="auto"/>
        <w:rPr>
          <w:rFonts w:hint="eastAsia"/>
          <w:snapToGrid/>
          <w:spacing w:val="6"/>
        </w:rPr>
      </w:pPr>
      <w:r>
        <w:rPr>
          <w:rFonts w:hint="eastAsia"/>
          <w:snapToGrid/>
          <w:spacing w:val="6"/>
        </w:rPr>
        <w:t>第</w:t>
      </w:r>
      <w:r>
        <w:rPr>
          <w:rFonts w:hint="eastAsia"/>
          <w:snapToGrid/>
          <w:spacing w:val="6"/>
        </w:rPr>
        <w:t>3</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36</w:t>
      </w:r>
      <w:r>
        <w:rPr>
          <w:rFonts w:hint="eastAsia"/>
          <w:snapToGrid/>
          <w:spacing w:val="6"/>
        </w:rPr>
        <w:tab/>
        <w:t>-</w:t>
      </w:r>
      <w:r>
        <w:rPr>
          <w:rFonts w:hint="eastAsia"/>
          <w:snapToGrid/>
          <w:spacing w:val="6"/>
        </w:rPr>
        <w:tab/>
        <w:t>54</w:t>
      </w:r>
      <w:r>
        <w:rPr>
          <w:rFonts w:hint="eastAsia"/>
          <w:snapToGrid/>
          <w:spacing w:val="6"/>
        </w:rPr>
        <w:tab/>
        <w:t>13</w:t>
      </w:r>
    </w:p>
    <w:p w:rsidR="00000000" w:rsidRDefault="00000000">
      <w:pPr>
        <w:pStyle w:val="a7"/>
        <w:spacing w:line="252" w:lineRule="auto"/>
        <w:rPr>
          <w:rFonts w:hint="eastAsia"/>
          <w:snapToGrid/>
          <w:spacing w:val="6"/>
        </w:rPr>
      </w:pPr>
      <w:r>
        <w:rPr>
          <w:rFonts w:hint="eastAsia"/>
          <w:snapToGrid/>
          <w:spacing w:val="6"/>
        </w:rPr>
        <w:t>第</w:t>
      </w:r>
      <w:r>
        <w:rPr>
          <w:rFonts w:hint="eastAsia"/>
          <w:snapToGrid/>
          <w:spacing w:val="6"/>
        </w:rPr>
        <w:t>6</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55</w:t>
      </w:r>
      <w:r>
        <w:rPr>
          <w:rFonts w:hint="eastAsia"/>
          <w:snapToGrid/>
          <w:spacing w:val="6"/>
        </w:rPr>
        <w:tab/>
        <w:t>-</w:t>
      </w:r>
      <w:r>
        <w:rPr>
          <w:rFonts w:hint="eastAsia"/>
          <w:snapToGrid/>
          <w:spacing w:val="6"/>
        </w:rPr>
        <w:tab/>
        <w:t>120</w:t>
      </w:r>
      <w:r>
        <w:rPr>
          <w:rFonts w:hint="eastAsia"/>
          <w:snapToGrid/>
          <w:spacing w:val="6"/>
        </w:rPr>
        <w:tab/>
        <w:t>16</w:t>
      </w:r>
    </w:p>
    <w:p w:rsidR="00000000" w:rsidRDefault="00000000">
      <w:pPr>
        <w:pStyle w:val="a7"/>
        <w:spacing w:line="288" w:lineRule="auto"/>
        <w:ind w:left="1020"/>
        <w:rPr>
          <w:rFonts w:hint="eastAsia"/>
          <w:snapToGrid/>
          <w:spacing w:val="6"/>
        </w:rPr>
      </w:pPr>
      <w:r>
        <w:rPr>
          <w:rFonts w:hint="eastAsia"/>
          <w:snapToGrid/>
          <w:spacing w:val="6"/>
        </w:rPr>
        <w:t>劳工市场的趋势</w:t>
      </w:r>
      <w:r>
        <w:rPr>
          <w:rFonts w:hint="eastAsia"/>
          <w:snapToGrid/>
          <w:spacing w:val="6"/>
        </w:rPr>
        <w:tab/>
      </w:r>
      <w:r>
        <w:rPr>
          <w:rFonts w:hint="eastAsia"/>
          <w:snapToGrid/>
          <w:spacing w:val="6"/>
        </w:rPr>
        <w:tab/>
        <w:t>62</w:t>
      </w:r>
      <w:r>
        <w:rPr>
          <w:rFonts w:hint="eastAsia"/>
          <w:snapToGrid/>
          <w:spacing w:val="6"/>
        </w:rPr>
        <w:tab/>
        <w:t>-</w:t>
      </w:r>
      <w:r>
        <w:rPr>
          <w:rFonts w:hint="eastAsia"/>
          <w:snapToGrid/>
          <w:spacing w:val="6"/>
        </w:rPr>
        <w:tab/>
        <w:t>69</w:t>
      </w:r>
      <w:r>
        <w:rPr>
          <w:rFonts w:hint="eastAsia"/>
          <w:snapToGrid/>
          <w:spacing w:val="6"/>
        </w:rPr>
        <w:tab/>
        <w:t>17</w:t>
      </w:r>
    </w:p>
    <w:p w:rsidR="00000000" w:rsidRDefault="00000000">
      <w:pPr>
        <w:pStyle w:val="a7"/>
        <w:spacing w:line="288" w:lineRule="auto"/>
        <w:ind w:left="1020"/>
        <w:rPr>
          <w:rFonts w:hint="eastAsia"/>
          <w:snapToGrid/>
          <w:spacing w:val="6"/>
        </w:rPr>
      </w:pPr>
      <w:r>
        <w:rPr>
          <w:rFonts w:hint="eastAsia"/>
          <w:snapToGrid/>
          <w:spacing w:val="6"/>
        </w:rPr>
        <w:t>劳工市场的政策方案</w:t>
      </w:r>
      <w:r>
        <w:rPr>
          <w:rFonts w:hint="eastAsia"/>
          <w:snapToGrid/>
          <w:spacing w:val="6"/>
        </w:rPr>
        <w:tab/>
      </w:r>
      <w:r>
        <w:rPr>
          <w:rFonts w:hint="eastAsia"/>
          <w:snapToGrid/>
          <w:spacing w:val="6"/>
        </w:rPr>
        <w:tab/>
        <w:t>70</w:t>
      </w:r>
      <w:r>
        <w:rPr>
          <w:rFonts w:hint="eastAsia"/>
          <w:snapToGrid/>
          <w:spacing w:val="6"/>
        </w:rPr>
        <w:tab/>
        <w:t>-</w:t>
      </w:r>
      <w:r>
        <w:rPr>
          <w:rFonts w:hint="eastAsia"/>
          <w:snapToGrid/>
          <w:spacing w:val="6"/>
        </w:rPr>
        <w:tab/>
        <w:t>74</w:t>
      </w:r>
      <w:r>
        <w:rPr>
          <w:rFonts w:hint="eastAsia"/>
          <w:snapToGrid/>
          <w:spacing w:val="6"/>
        </w:rPr>
        <w:tab/>
        <w:t>19</w:t>
      </w:r>
    </w:p>
    <w:p w:rsidR="00000000" w:rsidRDefault="00000000">
      <w:pPr>
        <w:pStyle w:val="a7"/>
        <w:spacing w:line="288" w:lineRule="auto"/>
        <w:ind w:left="1020"/>
        <w:rPr>
          <w:rFonts w:hint="eastAsia"/>
          <w:snapToGrid/>
          <w:spacing w:val="6"/>
        </w:rPr>
      </w:pPr>
      <w:r>
        <w:rPr>
          <w:rFonts w:hint="eastAsia"/>
          <w:snapToGrid/>
          <w:spacing w:val="6"/>
        </w:rPr>
        <w:t>性别隔离的劳工市场</w:t>
      </w:r>
      <w:r>
        <w:rPr>
          <w:rFonts w:hint="eastAsia"/>
          <w:snapToGrid/>
          <w:spacing w:val="6"/>
        </w:rPr>
        <w:tab/>
      </w:r>
      <w:r>
        <w:rPr>
          <w:rFonts w:hint="eastAsia"/>
          <w:snapToGrid/>
          <w:spacing w:val="6"/>
        </w:rPr>
        <w:tab/>
        <w:t>75</w:t>
      </w:r>
      <w:r>
        <w:rPr>
          <w:rFonts w:hint="eastAsia"/>
          <w:snapToGrid/>
          <w:spacing w:val="6"/>
        </w:rPr>
        <w:tab/>
        <w:t>-</w:t>
      </w:r>
      <w:r>
        <w:rPr>
          <w:rFonts w:hint="eastAsia"/>
          <w:snapToGrid/>
          <w:spacing w:val="6"/>
        </w:rPr>
        <w:tab/>
        <w:t>78</w:t>
      </w:r>
      <w:r>
        <w:rPr>
          <w:rFonts w:hint="eastAsia"/>
          <w:snapToGrid/>
          <w:spacing w:val="6"/>
        </w:rPr>
        <w:tab/>
        <w:t>19</w:t>
      </w:r>
    </w:p>
    <w:p w:rsidR="00000000" w:rsidRDefault="00000000">
      <w:pPr>
        <w:pStyle w:val="a7"/>
        <w:spacing w:line="288" w:lineRule="auto"/>
        <w:ind w:left="1020"/>
        <w:rPr>
          <w:rFonts w:hint="eastAsia"/>
          <w:snapToGrid/>
          <w:spacing w:val="6"/>
        </w:rPr>
      </w:pPr>
      <w:r>
        <w:rPr>
          <w:rFonts w:hint="eastAsia"/>
          <w:snapToGrid/>
          <w:spacing w:val="6"/>
        </w:rPr>
        <w:t>残疾人</w:t>
      </w:r>
      <w:r>
        <w:rPr>
          <w:rFonts w:hint="eastAsia"/>
          <w:snapToGrid/>
          <w:spacing w:val="6"/>
        </w:rPr>
        <w:t>...................</w:t>
      </w:r>
      <w:r>
        <w:rPr>
          <w:rFonts w:hint="eastAsia"/>
          <w:snapToGrid/>
          <w:spacing w:val="6"/>
        </w:rPr>
        <w:tab/>
      </w:r>
      <w:r>
        <w:rPr>
          <w:rFonts w:hint="eastAsia"/>
          <w:snapToGrid/>
          <w:spacing w:val="6"/>
        </w:rPr>
        <w:tab/>
        <w:t>79</w:t>
      </w:r>
      <w:r>
        <w:rPr>
          <w:rFonts w:hint="eastAsia"/>
          <w:snapToGrid/>
          <w:spacing w:val="6"/>
        </w:rPr>
        <w:tab/>
        <w:t>-</w:t>
      </w:r>
      <w:r>
        <w:rPr>
          <w:rFonts w:hint="eastAsia"/>
          <w:snapToGrid/>
          <w:spacing w:val="6"/>
        </w:rPr>
        <w:tab/>
        <w:t>89</w:t>
      </w:r>
      <w:r>
        <w:rPr>
          <w:rFonts w:hint="eastAsia"/>
          <w:snapToGrid/>
          <w:spacing w:val="6"/>
        </w:rPr>
        <w:tab/>
        <w:t>20</w:t>
      </w:r>
    </w:p>
    <w:p w:rsidR="00000000" w:rsidRDefault="00000000">
      <w:pPr>
        <w:pStyle w:val="a7"/>
        <w:spacing w:line="288" w:lineRule="auto"/>
        <w:ind w:left="1020"/>
        <w:rPr>
          <w:rFonts w:hint="eastAsia"/>
          <w:snapToGrid/>
          <w:spacing w:val="6"/>
        </w:rPr>
      </w:pPr>
      <w:r>
        <w:rPr>
          <w:rFonts w:hint="eastAsia"/>
          <w:snapToGrid/>
          <w:spacing w:val="6"/>
        </w:rPr>
        <w:t>青年人</w:t>
      </w:r>
      <w:r>
        <w:rPr>
          <w:rFonts w:hint="eastAsia"/>
          <w:snapToGrid/>
          <w:spacing w:val="6"/>
        </w:rPr>
        <w:t>...................</w:t>
      </w:r>
      <w:r>
        <w:rPr>
          <w:rFonts w:hint="eastAsia"/>
          <w:snapToGrid/>
          <w:spacing w:val="6"/>
        </w:rPr>
        <w:tab/>
      </w:r>
      <w:r>
        <w:rPr>
          <w:rFonts w:hint="eastAsia"/>
          <w:snapToGrid/>
          <w:spacing w:val="6"/>
        </w:rPr>
        <w:tab/>
        <w:t>90</w:t>
      </w:r>
      <w:r>
        <w:rPr>
          <w:rFonts w:hint="eastAsia"/>
          <w:snapToGrid/>
          <w:spacing w:val="6"/>
        </w:rPr>
        <w:tab/>
        <w:t>-</w:t>
      </w:r>
      <w:r>
        <w:rPr>
          <w:rFonts w:hint="eastAsia"/>
          <w:snapToGrid/>
          <w:spacing w:val="6"/>
        </w:rPr>
        <w:tab/>
        <w:t>98</w:t>
      </w:r>
      <w:r>
        <w:rPr>
          <w:rFonts w:hint="eastAsia"/>
          <w:snapToGrid/>
          <w:spacing w:val="6"/>
        </w:rPr>
        <w:tab/>
        <w:t>22</w:t>
      </w:r>
    </w:p>
    <w:p w:rsidR="00000000" w:rsidRDefault="00000000">
      <w:pPr>
        <w:pStyle w:val="a7"/>
        <w:spacing w:line="288" w:lineRule="auto"/>
        <w:ind w:left="1020"/>
        <w:rPr>
          <w:rFonts w:hint="eastAsia"/>
          <w:snapToGrid/>
          <w:spacing w:val="6"/>
        </w:rPr>
      </w:pPr>
      <w:r>
        <w:rPr>
          <w:rFonts w:hint="eastAsia"/>
          <w:snapToGrid/>
          <w:spacing w:val="6"/>
        </w:rPr>
        <w:t>年龄较大的工作者</w:t>
      </w:r>
      <w:r>
        <w:rPr>
          <w:rFonts w:hint="eastAsia"/>
          <w:snapToGrid/>
          <w:spacing w:val="6"/>
        </w:rPr>
        <w:t>.......</w:t>
      </w:r>
      <w:r>
        <w:rPr>
          <w:rFonts w:hint="eastAsia"/>
          <w:snapToGrid/>
          <w:spacing w:val="6"/>
        </w:rPr>
        <w:tab/>
      </w:r>
      <w:r>
        <w:rPr>
          <w:rFonts w:hint="eastAsia"/>
          <w:snapToGrid/>
          <w:spacing w:val="6"/>
        </w:rPr>
        <w:tab/>
        <w:t>99</w:t>
      </w:r>
      <w:r>
        <w:rPr>
          <w:rFonts w:hint="eastAsia"/>
          <w:snapToGrid/>
          <w:spacing w:val="6"/>
        </w:rPr>
        <w:tab/>
        <w:t>-</w:t>
      </w:r>
      <w:r>
        <w:rPr>
          <w:rFonts w:hint="eastAsia"/>
          <w:snapToGrid/>
          <w:spacing w:val="6"/>
        </w:rPr>
        <w:tab/>
        <w:t>102</w:t>
      </w:r>
      <w:r>
        <w:rPr>
          <w:rFonts w:hint="eastAsia"/>
          <w:snapToGrid/>
          <w:spacing w:val="6"/>
        </w:rPr>
        <w:tab/>
        <w:t>23</w:t>
      </w:r>
    </w:p>
    <w:p w:rsidR="00000000" w:rsidRDefault="00000000">
      <w:pPr>
        <w:pStyle w:val="a7"/>
        <w:spacing w:after="120" w:line="288" w:lineRule="auto"/>
        <w:ind w:left="1020"/>
        <w:rPr>
          <w:rFonts w:hint="eastAsia"/>
          <w:snapToGrid/>
          <w:spacing w:val="6"/>
        </w:rPr>
      </w:pPr>
      <w:r>
        <w:rPr>
          <w:rFonts w:hint="eastAsia"/>
          <w:snapToGrid/>
          <w:spacing w:val="6"/>
        </w:rPr>
        <w:t>劳工市场的融合</w:t>
      </w:r>
      <w:r>
        <w:rPr>
          <w:rFonts w:hint="eastAsia"/>
          <w:snapToGrid/>
          <w:spacing w:val="6"/>
        </w:rPr>
        <w:t>.......</w:t>
      </w:r>
      <w:r>
        <w:rPr>
          <w:rFonts w:hint="eastAsia"/>
          <w:snapToGrid/>
          <w:spacing w:val="6"/>
        </w:rPr>
        <w:tab/>
      </w:r>
      <w:r>
        <w:rPr>
          <w:rFonts w:hint="eastAsia"/>
          <w:snapToGrid/>
          <w:spacing w:val="6"/>
        </w:rPr>
        <w:tab/>
        <w:t>103</w:t>
      </w:r>
      <w:r>
        <w:rPr>
          <w:rFonts w:hint="eastAsia"/>
          <w:snapToGrid/>
          <w:spacing w:val="6"/>
        </w:rPr>
        <w:tab/>
        <w:t>-</w:t>
      </w:r>
      <w:r>
        <w:rPr>
          <w:rFonts w:hint="eastAsia"/>
          <w:snapToGrid/>
          <w:spacing w:val="6"/>
        </w:rPr>
        <w:tab/>
        <w:t>120</w:t>
      </w:r>
      <w:r>
        <w:rPr>
          <w:rFonts w:hint="eastAsia"/>
          <w:snapToGrid/>
          <w:spacing w:val="6"/>
        </w:rPr>
        <w:tab/>
        <w:t>24</w:t>
      </w:r>
    </w:p>
    <w:p w:rsidR="00000000" w:rsidRDefault="00000000">
      <w:pPr>
        <w:pStyle w:val="a7"/>
        <w:spacing w:line="252" w:lineRule="auto"/>
        <w:rPr>
          <w:rFonts w:hint="eastAsia"/>
          <w:snapToGrid/>
          <w:spacing w:val="6"/>
        </w:rPr>
      </w:pPr>
      <w:r>
        <w:rPr>
          <w:rFonts w:hint="eastAsia"/>
          <w:snapToGrid/>
          <w:spacing w:val="6"/>
        </w:rPr>
        <w:t>第</w:t>
      </w:r>
      <w:r>
        <w:rPr>
          <w:rFonts w:hint="eastAsia"/>
          <w:snapToGrid/>
          <w:spacing w:val="6"/>
        </w:rPr>
        <w:t>7</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121</w:t>
      </w:r>
      <w:r>
        <w:rPr>
          <w:rFonts w:hint="eastAsia"/>
          <w:snapToGrid/>
          <w:spacing w:val="6"/>
        </w:rPr>
        <w:tab/>
        <w:t>-</w:t>
      </w:r>
      <w:r>
        <w:rPr>
          <w:rFonts w:hint="eastAsia"/>
          <w:snapToGrid/>
          <w:spacing w:val="6"/>
        </w:rPr>
        <w:tab/>
        <w:t>160</w:t>
      </w:r>
      <w:r>
        <w:rPr>
          <w:rFonts w:hint="eastAsia"/>
          <w:snapToGrid/>
          <w:spacing w:val="6"/>
        </w:rPr>
        <w:tab/>
        <w:t>28</w:t>
      </w:r>
    </w:p>
    <w:p w:rsidR="00000000" w:rsidRDefault="00000000">
      <w:pPr>
        <w:pStyle w:val="a7"/>
        <w:spacing w:line="288" w:lineRule="auto"/>
        <w:ind w:left="1020"/>
        <w:rPr>
          <w:rFonts w:hint="eastAsia"/>
          <w:snapToGrid/>
          <w:spacing w:val="6"/>
        </w:rPr>
      </w:pPr>
      <w:r>
        <w:rPr>
          <w:rFonts w:hint="eastAsia"/>
          <w:snapToGrid/>
          <w:spacing w:val="6"/>
        </w:rPr>
        <w:t>20</w:t>
      </w:r>
      <w:r>
        <w:rPr>
          <w:rFonts w:hint="eastAsia"/>
          <w:snapToGrid/>
          <w:spacing w:val="6"/>
        </w:rPr>
        <w:t>世纪</w:t>
      </w:r>
      <w:r>
        <w:rPr>
          <w:rFonts w:hint="eastAsia"/>
          <w:snapToGrid/>
          <w:spacing w:val="6"/>
        </w:rPr>
        <w:t>90</w:t>
      </w:r>
      <w:r>
        <w:rPr>
          <w:rFonts w:hint="eastAsia"/>
          <w:snapToGrid/>
          <w:spacing w:val="6"/>
        </w:rPr>
        <w:t>年代初以来收入差距未见改善</w:t>
      </w:r>
      <w:r>
        <w:rPr>
          <w:rFonts w:hint="eastAsia"/>
          <w:snapToGrid/>
          <w:spacing w:val="6"/>
        </w:rPr>
        <w:tab/>
      </w:r>
      <w:r>
        <w:rPr>
          <w:rFonts w:hint="eastAsia"/>
          <w:snapToGrid/>
          <w:spacing w:val="6"/>
        </w:rPr>
        <w:tab/>
      </w:r>
      <w:r>
        <w:rPr>
          <w:rFonts w:hint="eastAsia"/>
          <w:snapToGrid/>
          <w:spacing w:val="6"/>
        </w:rPr>
        <w:tab/>
        <w:t>125</w:t>
      </w:r>
      <w:r>
        <w:rPr>
          <w:rFonts w:hint="eastAsia"/>
          <w:snapToGrid/>
          <w:spacing w:val="6"/>
        </w:rPr>
        <w:tab/>
        <w:t>29</w:t>
      </w:r>
    </w:p>
    <w:p w:rsidR="00000000" w:rsidRDefault="00000000">
      <w:pPr>
        <w:pStyle w:val="a7"/>
        <w:tabs>
          <w:tab w:val="clear" w:pos="1531"/>
          <w:tab w:val="clear" w:pos="2041"/>
        </w:tabs>
        <w:spacing w:line="288" w:lineRule="auto"/>
        <w:ind w:left="1020"/>
        <w:rPr>
          <w:rFonts w:hint="eastAsia"/>
          <w:snapToGrid/>
          <w:spacing w:val="6"/>
        </w:rPr>
      </w:pPr>
      <w:r>
        <w:rPr>
          <w:rFonts w:hint="eastAsia"/>
          <w:snapToGrid/>
          <w:spacing w:val="6"/>
        </w:rPr>
        <w:t>工作评估</w:t>
      </w:r>
      <w:r>
        <w:rPr>
          <w:rFonts w:hint="eastAsia"/>
          <w:snapToGrid/>
          <w:spacing w:val="6"/>
        </w:rPr>
        <w:tab/>
      </w:r>
      <w:r>
        <w:rPr>
          <w:rFonts w:hint="eastAsia"/>
          <w:snapToGrid/>
          <w:spacing w:val="6"/>
        </w:rPr>
        <w:tab/>
      </w:r>
      <w:r>
        <w:rPr>
          <w:rFonts w:hint="eastAsia"/>
          <w:snapToGrid/>
          <w:spacing w:val="6"/>
        </w:rPr>
        <w:tab/>
        <w:t>126</w:t>
      </w:r>
      <w:r>
        <w:rPr>
          <w:rFonts w:hint="eastAsia"/>
          <w:snapToGrid/>
          <w:spacing w:val="6"/>
        </w:rPr>
        <w:tab/>
        <w:t>30</w:t>
      </w:r>
    </w:p>
    <w:p w:rsidR="00000000" w:rsidRDefault="00000000">
      <w:pPr>
        <w:pStyle w:val="a7"/>
        <w:spacing w:line="288" w:lineRule="auto"/>
        <w:ind w:left="1020"/>
        <w:rPr>
          <w:rFonts w:hint="eastAsia"/>
          <w:snapToGrid/>
          <w:spacing w:val="6"/>
        </w:rPr>
      </w:pPr>
      <w:r>
        <w:rPr>
          <w:rFonts w:hint="eastAsia"/>
          <w:snapToGrid/>
          <w:spacing w:val="6"/>
        </w:rPr>
        <w:t>更加严格的《机会均等法》</w:t>
      </w:r>
      <w:r>
        <w:rPr>
          <w:rFonts w:hint="eastAsia"/>
          <w:snapToGrid/>
          <w:spacing w:val="6"/>
        </w:rPr>
        <w:tab/>
      </w:r>
      <w:r>
        <w:rPr>
          <w:rFonts w:hint="eastAsia"/>
          <w:snapToGrid/>
          <w:spacing w:val="6"/>
        </w:rPr>
        <w:tab/>
        <w:t>127</w:t>
      </w:r>
      <w:r>
        <w:rPr>
          <w:rFonts w:hint="eastAsia"/>
          <w:snapToGrid/>
          <w:spacing w:val="6"/>
        </w:rPr>
        <w:tab/>
        <w:t>-</w:t>
      </w:r>
      <w:r>
        <w:rPr>
          <w:rFonts w:hint="eastAsia"/>
          <w:snapToGrid/>
          <w:spacing w:val="6"/>
        </w:rPr>
        <w:tab/>
        <w:t>128</w:t>
      </w:r>
      <w:r>
        <w:rPr>
          <w:rFonts w:hint="eastAsia"/>
          <w:snapToGrid/>
          <w:spacing w:val="6"/>
        </w:rPr>
        <w:tab/>
        <w:t>30</w:t>
      </w:r>
    </w:p>
    <w:p w:rsidR="00000000" w:rsidRDefault="00000000">
      <w:pPr>
        <w:pStyle w:val="a7"/>
        <w:spacing w:line="288" w:lineRule="auto"/>
        <w:ind w:left="1020"/>
        <w:rPr>
          <w:rFonts w:hint="eastAsia"/>
          <w:snapToGrid/>
          <w:spacing w:val="6"/>
        </w:rPr>
      </w:pPr>
      <w:r>
        <w:rPr>
          <w:rFonts w:hint="eastAsia"/>
          <w:snapToGrid/>
          <w:spacing w:val="6"/>
        </w:rPr>
        <w:t>公营和私营部门的收入差距</w:t>
      </w:r>
      <w:r>
        <w:rPr>
          <w:rFonts w:hint="eastAsia"/>
          <w:snapToGrid/>
          <w:spacing w:val="6"/>
        </w:rPr>
        <w:tab/>
      </w:r>
      <w:r>
        <w:rPr>
          <w:rFonts w:hint="eastAsia"/>
          <w:snapToGrid/>
          <w:spacing w:val="6"/>
        </w:rPr>
        <w:tab/>
        <w:t>129</w:t>
      </w:r>
      <w:r>
        <w:rPr>
          <w:rFonts w:hint="eastAsia"/>
          <w:snapToGrid/>
          <w:spacing w:val="6"/>
        </w:rPr>
        <w:tab/>
        <w:t>-</w:t>
      </w:r>
      <w:r>
        <w:rPr>
          <w:rFonts w:hint="eastAsia"/>
          <w:snapToGrid/>
          <w:spacing w:val="6"/>
        </w:rPr>
        <w:tab/>
        <w:t>130</w:t>
      </w:r>
      <w:r>
        <w:rPr>
          <w:rFonts w:hint="eastAsia"/>
          <w:snapToGrid/>
          <w:spacing w:val="6"/>
        </w:rPr>
        <w:tab/>
        <w:t>30</w:t>
      </w:r>
    </w:p>
    <w:p w:rsidR="00000000" w:rsidRDefault="00000000">
      <w:pPr>
        <w:pStyle w:val="a7"/>
        <w:spacing w:line="288" w:lineRule="auto"/>
        <w:ind w:left="1020"/>
        <w:rPr>
          <w:rFonts w:hint="eastAsia"/>
          <w:snapToGrid/>
          <w:spacing w:val="6"/>
        </w:rPr>
      </w:pPr>
      <w:r>
        <w:rPr>
          <w:rFonts w:hint="eastAsia"/>
          <w:snapToGrid/>
          <w:spacing w:val="6"/>
        </w:rPr>
        <w:t>《机会均等法》</w:t>
      </w:r>
      <w:r>
        <w:rPr>
          <w:rFonts w:hint="eastAsia"/>
          <w:snapToGrid/>
          <w:spacing w:val="6"/>
        </w:rPr>
        <w:tab/>
      </w:r>
      <w:r>
        <w:rPr>
          <w:rFonts w:hint="eastAsia"/>
          <w:snapToGrid/>
          <w:spacing w:val="6"/>
        </w:rPr>
        <w:tab/>
      </w:r>
      <w:r>
        <w:rPr>
          <w:rFonts w:hint="eastAsia"/>
          <w:snapToGrid/>
          <w:spacing w:val="6"/>
        </w:rPr>
        <w:tab/>
        <w:t>131</w:t>
      </w:r>
      <w:r>
        <w:rPr>
          <w:rFonts w:hint="eastAsia"/>
          <w:snapToGrid/>
          <w:spacing w:val="6"/>
        </w:rPr>
        <w:tab/>
        <w:t>31</w:t>
      </w:r>
    </w:p>
    <w:p w:rsidR="00000000" w:rsidRDefault="00000000">
      <w:pPr>
        <w:pStyle w:val="a7"/>
        <w:spacing w:line="288" w:lineRule="auto"/>
        <w:ind w:left="1020"/>
        <w:rPr>
          <w:rFonts w:hint="eastAsia"/>
          <w:snapToGrid/>
          <w:spacing w:val="6"/>
        </w:rPr>
      </w:pPr>
      <w:r>
        <w:rPr>
          <w:rFonts w:hint="eastAsia"/>
          <w:snapToGrid/>
          <w:spacing w:val="6"/>
        </w:rPr>
        <w:t>国家调解办公室的作用</w:t>
      </w:r>
      <w:r>
        <w:rPr>
          <w:rFonts w:hint="eastAsia"/>
          <w:snapToGrid/>
          <w:spacing w:val="6"/>
        </w:rPr>
        <w:tab/>
      </w:r>
      <w:r>
        <w:rPr>
          <w:rFonts w:hint="eastAsia"/>
          <w:snapToGrid/>
          <w:spacing w:val="6"/>
        </w:rPr>
        <w:tab/>
      </w:r>
      <w:r>
        <w:rPr>
          <w:rFonts w:hint="eastAsia"/>
          <w:snapToGrid/>
          <w:spacing w:val="6"/>
        </w:rPr>
        <w:tab/>
        <w:t>132</w:t>
      </w:r>
      <w:r>
        <w:rPr>
          <w:rFonts w:hint="eastAsia"/>
          <w:snapToGrid/>
          <w:spacing w:val="6"/>
        </w:rPr>
        <w:tab/>
        <w:t>31</w:t>
      </w:r>
    </w:p>
    <w:p w:rsidR="00000000" w:rsidRDefault="00000000">
      <w:pPr>
        <w:pStyle w:val="a7"/>
        <w:spacing w:line="288" w:lineRule="auto"/>
        <w:ind w:left="1020"/>
        <w:rPr>
          <w:rFonts w:hint="eastAsia"/>
          <w:snapToGrid/>
          <w:spacing w:val="6"/>
        </w:rPr>
      </w:pPr>
      <w:r>
        <w:rPr>
          <w:rFonts w:hint="eastAsia"/>
          <w:snapToGrid/>
          <w:spacing w:val="6"/>
        </w:rPr>
        <w:t>取决社会结构的收入差距</w:t>
      </w:r>
      <w:r>
        <w:rPr>
          <w:rFonts w:hint="eastAsia"/>
          <w:snapToGrid/>
          <w:spacing w:val="6"/>
        </w:rPr>
        <w:tab/>
      </w:r>
      <w:r>
        <w:rPr>
          <w:rFonts w:hint="eastAsia"/>
          <w:snapToGrid/>
          <w:spacing w:val="6"/>
        </w:rPr>
        <w:tab/>
      </w:r>
      <w:r>
        <w:rPr>
          <w:rFonts w:hint="eastAsia"/>
          <w:snapToGrid/>
          <w:spacing w:val="6"/>
        </w:rPr>
        <w:tab/>
        <w:t>133</w:t>
      </w:r>
      <w:r>
        <w:rPr>
          <w:rFonts w:hint="eastAsia"/>
          <w:snapToGrid/>
          <w:spacing w:val="6"/>
        </w:rPr>
        <w:tab/>
        <w:t>31</w:t>
      </w:r>
    </w:p>
    <w:p w:rsidR="00000000" w:rsidRDefault="00000000">
      <w:pPr>
        <w:pStyle w:val="a7"/>
        <w:spacing w:after="120" w:line="288" w:lineRule="auto"/>
        <w:ind w:left="1020"/>
        <w:rPr>
          <w:rFonts w:hint="eastAsia"/>
          <w:snapToGrid/>
          <w:spacing w:val="6"/>
        </w:rPr>
      </w:pPr>
      <w:r>
        <w:rPr>
          <w:rFonts w:hint="eastAsia"/>
          <w:snapToGrid/>
          <w:spacing w:val="6"/>
        </w:rPr>
        <w:t>政府的收入平等行动计划</w:t>
      </w:r>
      <w:r>
        <w:rPr>
          <w:rFonts w:hint="eastAsia"/>
          <w:snapToGrid/>
          <w:spacing w:val="6"/>
        </w:rPr>
        <w:tab/>
      </w:r>
      <w:r>
        <w:rPr>
          <w:rFonts w:hint="eastAsia"/>
          <w:snapToGrid/>
          <w:spacing w:val="6"/>
        </w:rPr>
        <w:tab/>
        <w:t>134</w:t>
      </w:r>
      <w:r>
        <w:rPr>
          <w:rFonts w:hint="eastAsia"/>
          <w:snapToGrid/>
          <w:spacing w:val="6"/>
        </w:rPr>
        <w:tab/>
        <w:t>-</w:t>
      </w:r>
      <w:r>
        <w:rPr>
          <w:rFonts w:hint="eastAsia"/>
          <w:snapToGrid/>
          <w:spacing w:val="6"/>
        </w:rPr>
        <w:tab/>
        <w:t>160</w:t>
      </w:r>
      <w:r>
        <w:rPr>
          <w:rFonts w:hint="eastAsia"/>
          <w:snapToGrid/>
          <w:spacing w:val="6"/>
        </w:rPr>
        <w:tab/>
        <w:t>32</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8</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161</w:t>
      </w:r>
      <w:r>
        <w:rPr>
          <w:rFonts w:hint="eastAsia"/>
          <w:snapToGrid/>
          <w:spacing w:val="6"/>
        </w:rPr>
        <w:tab/>
        <w:t>-</w:t>
      </w:r>
      <w:r>
        <w:rPr>
          <w:rFonts w:hint="eastAsia"/>
          <w:snapToGrid/>
          <w:spacing w:val="6"/>
        </w:rPr>
        <w:tab/>
        <w:t>198</w:t>
      </w:r>
      <w:r>
        <w:rPr>
          <w:rFonts w:hint="eastAsia"/>
          <w:snapToGrid/>
          <w:spacing w:val="6"/>
        </w:rPr>
        <w:tab/>
        <w:t>35</w:t>
      </w:r>
    </w:p>
    <w:p w:rsidR="00000000" w:rsidRDefault="00000000">
      <w:pPr>
        <w:pStyle w:val="a7"/>
        <w:spacing w:after="120" w:line="288" w:lineRule="auto"/>
        <w:ind w:left="1020"/>
        <w:rPr>
          <w:rFonts w:hint="eastAsia"/>
          <w:snapToGrid/>
          <w:spacing w:val="6"/>
        </w:rPr>
      </w:pPr>
      <w:r>
        <w:rPr>
          <w:rFonts w:hint="eastAsia"/>
          <w:snapToGrid/>
          <w:spacing w:val="6"/>
        </w:rPr>
        <w:t>统计数字</w:t>
      </w:r>
      <w:r>
        <w:rPr>
          <w:rFonts w:hint="eastAsia"/>
          <w:snapToGrid/>
          <w:spacing w:val="6"/>
        </w:rPr>
        <w:t>.............</w:t>
      </w:r>
      <w:r>
        <w:rPr>
          <w:rFonts w:hint="eastAsia"/>
          <w:snapToGrid/>
          <w:spacing w:val="6"/>
        </w:rPr>
        <w:tab/>
      </w:r>
      <w:r>
        <w:rPr>
          <w:rFonts w:hint="eastAsia"/>
          <w:snapToGrid/>
          <w:spacing w:val="6"/>
        </w:rPr>
        <w:tab/>
        <w:t>185</w:t>
      </w:r>
      <w:r>
        <w:rPr>
          <w:rFonts w:hint="eastAsia"/>
          <w:snapToGrid/>
          <w:spacing w:val="6"/>
        </w:rPr>
        <w:tab/>
        <w:t>-</w:t>
      </w:r>
      <w:r>
        <w:rPr>
          <w:rFonts w:hint="eastAsia"/>
          <w:snapToGrid/>
          <w:spacing w:val="6"/>
        </w:rPr>
        <w:tab/>
        <w:t>188</w:t>
      </w:r>
      <w:r>
        <w:rPr>
          <w:rFonts w:hint="eastAsia"/>
          <w:snapToGrid/>
          <w:spacing w:val="6"/>
        </w:rPr>
        <w:tab/>
        <w:t>39</w:t>
      </w:r>
    </w:p>
    <w:p w:rsidR="00000000" w:rsidRDefault="00000000">
      <w:pPr>
        <w:pStyle w:val="a5"/>
        <w:keepNext/>
        <w:tabs>
          <w:tab w:val="clear" w:pos="7201"/>
          <w:tab w:val="clear" w:pos="8618"/>
          <w:tab w:val="left" w:pos="7088"/>
          <w:tab w:val="left" w:pos="8080"/>
          <w:tab w:val="left" w:pos="8640"/>
        </w:tabs>
        <w:spacing w:line="240" w:lineRule="auto"/>
        <w:jc w:val="center"/>
        <w:rPr>
          <w:spacing w:val="6"/>
          <w:kern w:val="24"/>
        </w:rPr>
      </w:pPr>
      <w:r>
        <w:rPr>
          <w:rFonts w:hint="eastAsia"/>
          <w:spacing w:val="6"/>
          <w:kern w:val="24"/>
        </w:rPr>
        <w:t>目</w:t>
      </w:r>
      <w:r>
        <w:rPr>
          <w:spacing w:val="6"/>
          <w:kern w:val="24"/>
        </w:rPr>
        <w:tab/>
      </w:r>
      <w:r>
        <w:rPr>
          <w:rFonts w:hint="eastAsia"/>
          <w:spacing w:val="6"/>
          <w:kern w:val="24"/>
        </w:rPr>
        <w:t>录</w:t>
      </w:r>
      <w:r>
        <w:rPr>
          <w:rFonts w:hint="eastAsia"/>
          <w:spacing w:val="6"/>
          <w:kern w:val="24"/>
        </w:rPr>
        <w:t>(</w:t>
      </w:r>
      <w:r>
        <w:rPr>
          <w:rFonts w:hint="eastAsia"/>
          <w:spacing w:val="6"/>
          <w:kern w:val="24"/>
          <w:u w:val="single"/>
        </w:rPr>
        <w:t>续</w:t>
      </w:r>
      <w:r>
        <w:rPr>
          <w:rFonts w:hint="eastAsia"/>
          <w:spacing w:val="6"/>
          <w:kern w:val="24"/>
        </w:rPr>
        <w:t>)</w:t>
      </w:r>
    </w:p>
    <w:p w:rsidR="00000000" w:rsidRDefault="00000000">
      <w:pPr>
        <w:pStyle w:val="a5"/>
        <w:keepNext/>
        <w:tabs>
          <w:tab w:val="clear" w:pos="7201"/>
          <w:tab w:val="left" w:pos="7088"/>
          <w:tab w:val="left" w:pos="8080"/>
        </w:tabs>
        <w:spacing w:after="120" w:line="240" w:lineRule="auto"/>
        <w:jc w:val="center"/>
        <w:rPr>
          <w:rFonts w:hint="eastAsia"/>
          <w:spacing w:val="6"/>
          <w:kern w:val="24"/>
        </w:rPr>
      </w:pPr>
      <w:r>
        <w:rPr>
          <w:rFonts w:hint="eastAsia"/>
          <w:spacing w:val="6"/>
          <w:kern w:val="24"/>
        </w:rPr>
        <w:tab/>
      </w:r>
      <w:r>
        <w:rPr>
          <w:spacing w:val="6"/>
          <w:kern w:val="24"/>
        </w:rPr>
        <w:tab/>
      </w:r>
      <w:r>
        <w:rPr>
          <w:rFonts w:hint="eastAsia"/>
          <w:spacing w:val="6"/>
          <w:kern w:val="24"/>
          <w:u w:val="single"/>
        </w:rPr>
        <w:t>段</w:t>
      </w:r>
      <w:r>
        <w:rPr>
          <w:spacing w:val="6"/>
          <w:kern w:val="24"/>
          <w:u w:val="single"/>
        </w:rPr>
        <w:tab/>
      </w:r>
      <w:r>
        <w:rPr>
          <w:rFonts w:hint="eastAsia"/>
          <w:spacing w:val="6"/>
          <w:kern w:val="24"/>
          <w:u w:val="single"/>
        </w:rPr>
        <w:t>次</w:t>
      </w:r>
      <w:r>
        <w:rPr>
          <w:spacing w:val="6"/>
          <w:kern w:val="24"/>
        </w:rPr>
        <w:tab/>
      </w:r>
      <w:r>
        <w:rPr>
          <w:spacing w:val="6"/>
          <w:kern w:val="24"/>
        </w:rPr>
        <w:tab/>
      </w:r>
      <w:r>
        <w:rPr>
          <w:rFonts w:hint="eastAsia"/>
          <w:spacing w:val="6"/>
          <w:kern w:val="24"/>
          <w:u w:val="single"/>
        </w:rPr>
        <w:t>页</w:t>
      </w:r>
      <w:r>
        <w:rPr>
          <w:spacing w:val="6"/>
          <w:kern w:val="24"/>
          <w:u w:val="single"/>
        </w:rPr>
        <w:tab/>
      </w:r>
      <w:r>
        <w:rPr>
          <w:rFonts w:hint="eastAsia"/>
          <w:spacing w:val="6"/>
          <w:kern w:val="24"/>
          <w:u w:val="single"/>
        </w:rPr>
        <w:t>次</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9</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199</w:t>
      </w:r>
      <w:r>
        <w:rPr>
          <w:rFonts w:hint="eastAsia"/>
          <w:snapToGrid/>
          <w:spacing w:val="6"/>
        </w:rPr>
        <w:tab/>
        <w:t>-</w:t>
      </w:r>
      <w:r>
        <w:rPr>
          <w:rFonts w:hint="eastAsia"/>
          <w:snapToGrid/>
          <w:spacing w:val="6"/>
        </w:rPr>
        <w:tab/>
      </w:r>
      <w:r>
        <w:rPr>
          <w:snapToGrid/>
          <w:spacing w:val="6"/>
        </w:rPr>
        <w:t>248</w:t>
      </w:r>
      <w:r>
        <w:rPr>
          <w:rFonts w:hint="eastAsia"/>
          <w:snapToGrid/>
          <w:spacing w:val="6"/>
        </w:rPr>
        <w:tab/>
        <w:t>42</w:t>
      </w:r>
    </w:p>
    <w:p w:rsidR="00000000" w:rsidRDefault="00000000">
      <w:pPr>
        <w:pStyle w:val="a7"/>
        <w:spacing w:line="288" w:lineRule="auto"/>
        <w:ind w:left="1020"/>
        <w:rPr>
          <w:rFonts w:hint="eastAsia"/>
          <w:snapToGrid/>
          <w:spacing w:val="6"/>
        </w:rPr>
      </w:pPr>
      <w:r>
        <w:rPr>
          <w:rFonts w:hint="eastAsia"/>
          <w:snapToGrid/>
          <w:spacing w:val="6"/>
        </w:rPr>
        <w:t>医疗</w:t>
      </w:r>
      <w:r>
        <w:rPr>
          <w:rFonts w:hint="eastAsia"/>
          <w:snapToGrid/>
          <w:spacing w:val="6"/>
        </w:rPr>
        <w:t>........................</w:t>
      </w:r>
      <w:r>
        <w:rPr>
          <w:rFonts w:hint="eastAsia"/>
          <w:snapToGrid/>
          <w:spacing w:val="6"/>
        </w:rPr>
        <w:tab/>
      </w:r>
      <w:r>
        <w:rPr>
          <w:rFonts w:hint="eastAsia"/>
          <w:snapToGrid/>
          <w:spacing w:val="6"/>
        </w:rPr>
        <w:tab/>
        <w:t>204</w:t>
      </w:r>
      <w:r>
        <w:rPr>
          <w:rFonts w:hint="eastAsia"/>
          <w:snapToGrid/>
          <w:spacing w:val="6"/>
        </w:rPr>
        <w:tab/>
        <w:t>-</w:t>
      </w:r>
      <w:r>
        <w:rPr>
          <w:rFonts w:hint="eastAsia"/>
          <w:snapToGrid/>
          <w:spacing w:val="6"/>
        </w:rPr>
        <w:tab/>
        <w:t>205</w:t>
      </w:r>
      <w:r>
        <w:rPr>
          <w:rFonts w:hint="eastAsia"/>
          <w:snapToGrid/>
          <w:spacing w:val="6"/>
        </w:rPr>
        <w:tab/>
        <w:t>43</w:t>
      </w:r>
    </w:p>
    <w:p w:rsidR="00000000" w:rsidRDefault="00000000">
      <w:pPr>
        <w:pStyle w:val="a7"/>
        <w:spacing w:line="288" w:lineRule="auto"/>
        <w:ind w:left="1020"/>
        <w:rPr>
          <w:rFonts w:hint="eastAsia"/>
          <w:snapToGrid/>
          <w:spacing w:val="6"/>
        </w:rPr>
      </w:pPr>
      <w:r>
        <w:rPr>
          <w:rFonts w:hint="eastAsia"/>
          <w:snapToGrid/>
          <w:spacing w:val="6"/>
        </w:rPr>
        <w:t>疾病现金津贴</w:t>
      </w:r>
      <w:r>
        <w:rPr>
          <w:rFonts w:hint="eastAsia"/>
          <w:snapToGrid/>
          <w:spacing w:val="6"/>
        </w:rPr>
        <w:t>.........</w:t>
      </w:r>
      <w:r>
        <w:rPr>
          <w:rFonts w:hint="eastAsia"/>
          <w:snapToGrid/>
          <w:spacing w:val="6"/>
        </w:rPr>
        <w:tab/>
      </w:r>
      <w:r>
        <w:rPr>
          <w:rFonts w:hint="eastAsia"/>
          <w:snapToGrid/>
          <w:spacing w:val="6"/>
        </w:rPr>
        <w:tab/>
        <w:t>206</w:t>
      </w:r>
      <w:r>
        <w:rPr>
          <w:rFonts w:hint="eastAsia"/>
          <w:snapToGrid/>
          <w:spacing w:val="6"/>
        </w:rPr>
        <w:tab/>
        <w:t>-</w:t>
      </w:r>
      <w:r>
        <w:rPr>
          <w:rFonts w:hint="eastAsia"/>
          <w:snapToGrid/>
          <w:spacing w:val="6"/>
        </w:rPr>
        <w:tab/>
        <w:t>210</w:t>
      </w:r>
      <w:r>
        <w:rPr>
          <w:rFonts w:hint="eastAsia"/>
          <w:snapToGrid/>
          <w:spacing w:val="6"/>
        </w:rPr>
        <w:tab/>
        <w:t>43</w:t>
      </w:r>
    </w:p>
    <w:p w:rsidR="00000000" w:rsidRDefault="00000000">
      <w:pPr>
        <w:pStyle w:val="a7"/>
        <w:spacing w:line="288" w:lineRule="auto"/>
        <w:ind w:left="1020"/>
        <w:rPr>
          <w:rFonts w:hint="eastAsia"/>
          <w:snapToGrid/>
          <w:spacing w:val="6"/>
        </w:rPr>
      </w:pPr>
      <w:r>
        <w:rPr>
          <w:rFonts w:hint="eastAsia"/>
          <w:snapToGrid/>
          <w:spacing w:val="6"/>
        </w:rPr>
        <w:t>父母津贴</w:t>
      </w:r>
      <w:r>
        <w:rPr>
          <w:rFonts w:hint="eastAsia"/>
          <w:snapToGrid/>
          <w:spacing w:val="6"/>
        </w:rPr>
        <w:t>.............</w:t>
      </w:r>
      <w:r>
        <w:rPr>
          <w:rFonts w:hint="eastAsia"/>
          <w:snapToGrid/>
          <w:spacing w:val="6"/>
        </w:rPr>
        <w:tab/>
      </w:r>
      <w:r>
        <w:rPr>
          <w:rFonts w:hint="eastAsia"/>
          <w:snapToGrid/>
          <w:spacing w:val="6"/>
        </w:rPr>
        <w:tab/>
        <w:t>211</w:t>
      </w:r>
      <w:r>
        <w:rPr>
          <w:rFonts w:hint="eastAsia"/>
          <w:snapToGrid/>
          <w:spacing w:val="6"/>
        </w:rPr>
        <w:tab/>
        <w:t>-</w:t>
      </w:r>
      <w:r>
        <w:rPr>
          <w:rFonts w:hint="eastAsia"/>
          <w:snapToGrid/>
          <w:spacing w:val="6"/>
        </w:rPr>
        <w:tab/>
        <w:t>216</w:t>
      </w:r>
      <w:r>
        <w:rPr>
          <w:rFonts w:hint="eastAsia"/>
          <w:snapToGrid/>
          <w:spacing w:val="6"/>
        </w:rPr>
        <w:tab/>
        <w:t>44</w:t>
      </w:r>
    </w:p>
    <w:p w:rsidR="00000000" w:rsidRDefault="00000000">
      <w:pPr>
        <w:pStyle w:val="a7"/>
        <w:spacing w:line="288" w:lineRule="auto"/>
        <w:ind w:left="1020"/>
        <w:rPr>
          <w:rFonts w:hint="eastAsia"/>
          <w:snapToGrid/>
          <w:spacing w:val="6"/>
        </w:rPr>
      </w:pPr>
      <w:r>
        <w:rPr>
          <w:rFonts w:hint="eastAsia"/>
          <w:snapToGrid/>
          <w:spacing w:val="6"/>
        </w:rPr>
        <w:t>退休、无工作能力和遗属津贴</w:t>
      </w:r>
      <w:r>
        <w:rPr>
          <w:rFonts w:hint="eastAsia"/>
          <w:snapToGrid/>
          <w:spacing w:val="6"/>
        </w:rPr>
        <w:tab/>
      </w:r>
      <w:r>
        <w:rPr>
          <w:rFonts w:hint="eastAsia"/>
          <w:snapToGrid/>
          <w:spacing w:val="6"/>
        </w:rPr>
        <w:tab/>
        <w:t>217</w:t>
      </w:r>
      <w:r>
        <w:rPr>
          <w:rFonts w:hint="eastAsia"/>
          <w:snapToGrid/>
          <w:spacing w:val="6"/>
        </w:rPr>
        <w:tab/>
        <w:t>-</w:t>
      </w:r>
      <w:r>
        <w:rPr>
          <w:rFonts w:hint="eastAsia"/>
          <w:snapToGrid/>
          <w:spacing w:val="6"/>
        </w:rPr>
        <w:tab/>
        <w:t>222</w:t>
      </w:r>
      <w:r>
        <w:rPr>
          <w:rFonts w:hint="eastAsia"/>
          <w:snapToGrid/>
          <w:spacing w:val="6"/>
        </w:rPr>
        <w:tab/>
        <w:t>44</w:t>
      </w:r>
    </w:p>
    <w:p w:rsidR="00000000" w:rsidRDefault="00000000">
      <w:pPr>
        <w:pStyle w:val="a7"/>
        <w:spacing w:line="288" w:lineRule="auto"/>
        <w:ind w:left="1020"/>
        <w:rPr>
          <w:rFonts w:hint="eastAsia"/>
          <w:snapToGrid/>
          <w:spacing w:val="6"/>
        </w:rPr>
      </w:pPr>
      <w:r>
        <w:rPr>
          <w:rFonts w:hint="eastAsia"/>
          <w:snapToGrid/>
          <w:spacing w:val="6"/>
        </w:rPr>
        <w:t>残疾人士的其他津贴</w:t>
      </w:r>
      <w:r>
        <w:rPr>
          <w:rFonts w:hint="eastAsia"/>
          <w:snapToGrid/>
          <w:spacing w:val="6"/>
        </w:rPr>
        <w:tab/>
      </w:r>
      <w:r>
        <w:rPr>
          <w:rFonts w:hint="eastAsia"/>
          <w:snapToGrid/>
          <w:spacing w:val="6"/>
        </w:rPr>
        <w:tab/>
        <w:t>223</w:t>
      </w:r>
      <w:r>
        <w:rPr>
          <w:rFonts w:hint="eastAsia"/>
          <w:snapToGrid/>
          <w:spacing w:val="6"/>
        </w:rPr>
        <w:tab/>
        <w:t>-</w:t>
      </w:r>
      <w:r>
        <w:rPr>
          <w:rFonts w:hint="eastAsia"/>
          <w:snapToGrid/>
          <w:spacing w:val="6"/>
        </w:rPr>
        <w:tab/>
        <w:t>224</w:t>
      </w:r>
      <w:r>
        <w:rPr>
          <w:rFonts w:hint="eastAsia"/>
          <w:snapToGrid/>
          <w:spacing w:val="6"/>
        </w:rPr>
        <w:tab/>
        <w:t>45</w:t>
      </w:r>
    </w:p>
    <w:p w:rsidR="00000000" w:rsidRDefault="00000000">
      <w:pPr>
        <w:pStyle w:val="a7"/>
        <w:spacing w:line="288" w:lineRule="auto"/>
        <w:ind w:left="1020"/>
        <w:rPr>
          <w:rFonts w:hint="eastAsia"/>
          <w:snapToGrid/>
          <w:spacing w:val="6"/>
        </w:rPr>
      </w:pPr>
      <w:r>
        <w:rPr>
          <w:rFonts w:hint="eastAsia"/>
          <w:snapToGrid/>
          <w:spacing w:val="6"/>
        </w:rPr>
        <w:t>职业伤害津贴</w:t>
      </w:r>
      <w:r>
        <w:rPr>
          <w:rFonts w:hint="eastAsia"/>
          <w:snapToGrid/>
          <w:spacing w:val="6"/>
        </w:rPr>
        <w:t>.........</w:t>
      </w:r>
      <w:r>
        <w:rPr>
          <w:rFonts w:hint="eastAsia"/>
          <w:snapToGrid/>
          <w:spacing w:val="6"/>
        </w:rPr>
        <w:tab/>
      </w:r>
      <w:r>
        <w:rPr>
          <w:rFonts w:hint="eastAsia"/>
          <w:snapToGrid/>
          <w:spacing w:val="6"/>
        </w:rPr>
        <w:tab/>
        <w:t>225</w:t>
      </w:r>
      <w:r>
        <w:rPr>
          <w:rFonts w:hint="eastAsia"/>
          <w:snapToGrid/>
          <w:spacing w:val="6"/>
        </w:rPr>
        <w:tab/>
        <w:t>-</w:t>
      </w:r>
      <w:r>
        <w:rPr>
          <w:rFonts w:hint="eastAsia"/>
          <w:snapToGrid/>
          <w:spacing w:val="6"/>
        </w:rPr>
        <w:tab/>
        <w:t>227</w:t>
      </w:r>
      <w:r>
        <w:rPr>
          <w:rFonts w:hint="eastAsia"/>
          <w:snapToGrid/>
          <w:spacing w:val="6"/>
        </w:rPr>
        <w:tab/>
        <w:t>46</w:t>
      </w:r>
    </w:p>
    <w:p w:rsidR="00000000" w:rsidRDefault="00000000">
      <w:pPr>
        <w:pStyle w:val="a7"/>
        <w:tabs>
          <w:tab w:val="clear" w:pos="1531"/>
          <w:tab w:val="clear" w:pos="2041"/>
        </w:tabs>
        <w:spacing w:line="288" w:lineRule="auto"/>
        <w:ind w:left="1020"/>
        <w:rPr>
          <w:rFonts w:hint="eastAsia"/>
          <w:snapToGrid/>
          <w:spacing w:val="6"/>
        </w:rPr>
      </w:pPr>
      <w:r>
        <w:rPr>
          <w:rFonts w:hint="eastAsia"/>
          <w:snapToGrid/>
          <w:spacing w:val="6"/>
        </w:rPr>
        <w:t>失业津贴</w:t>
      </w:r>
      <w:r>
        <w:rPr>
          <w:rFonts w:hint="eastAsia"/>
          <w:snapToGrid/>
          <w:spacing w:val="6"/>
        </w:rPr>
        <w:tab/>
      </w:r>
      <w:r>
        <w:rPr>
          <w:rFonts w:hint="eastAsia"/>
          <w:snapToGrid/>
          <w:spacing w:val="6"/>
        </w:rPr>
        <w:tab/>
        <w:t>228</w:t>
      </w:r>
      <w:r>
        <w:rPr>
          <w:rFonts w:hint="eastAsia"/>
          <w:snapToGrid/>
          <w:spacing w:val="6"/>
        </w:rPr>
        <w:tab/>
        <w:t>-</w:t>
      </w:r>
      <w:r>
        <w:rPr>
          <w:rFonts w:hint="eastAsia"/>
          <w:snapToGrid/>
          <w:spacing w:val="6"/>
        </w:rPr>
        <w:tab/>
        <w:t>232</w:t>
      </w:r>
      <w:r>
        <w:rPr>
          <w:rFonts w:hint="eastAsia"/>
          <w:snapToGrid/>
          <w:spacing w:val="6"/>
        </w:rPr>
        <w:tab/>
        <w:t>46</w:t>
      </w:r>
    </w:p>
    <w:p w:rsidR="00000000" w:rsidRDefault="00000000">
      <w:pPr>
        <w:pStyle w:val="a7"/>
        <w:spacing w:line="288" w:lineRule="auto"/>
        <w:ind w:left="1020"/>
        <w:rPr>
          <w:rFonts w:hint="eastAsia"/>
          <w:snapToGrid/>
          <w:spacing w:val="6"/>
        </w:rPr>
      </w:pPr>
      <w:r>
        <w:rPr>
          <w:rFonts w:hint="eastAsia"/>
          <w:snapToGrid/>
          <w:spacing w:val="6"/>
        </w:rPr>
        <w:t>家庭津贴</w:t>
      </w:r>
      <w:r>
        <w:rPr>
          <w:rFonts w:hint="eastAsia"/>
          <w:snapToGrid/>
          <w:spacing w:val="6"/>
        </w:rPr>
        <w:t>.............</w:t>
      </w:r>
      <w:r>
        <w:rPr>
          <w:rFonts w:hint="eastAsia"/>
          <w:snapToGrid/>
          <w:spacing w:val="6"/>
        </w:rPr>
        <w:tab/>
      </w:r>
      <w:r>
        <w:rPr>
          <w:rFonts w:hint="eastAsia"/>
          <w:snapToGrid/>
          <w:spacing w:val="6"/>
        </w:rPr>
        <w:tab/>
        <w:t>233</w:t>
      </w:r>
      <w:r>
        <w:rPr>
          <w:rFonts w:hint="eastAsia"/>
          <w:snapToGrid/>
          <w:spacing w:val="6"/>
        </w:rPr>
        <w:tab/>
        <w:t>-</w:t>
      </w:r>
      <w:r>
        <w:rPr>
          <w:rFonts w:hint="eastAsia"/>
          <w:snapToGrid/>
          <w:spacing w:val="6"/>
        </w:rPr>
        <w:tab/>
        <w:t>242</w:t>
      </w:r>
      <w:r>
        <w:rPr>
          <w:rFonts w:hint="eastAsia"/>
          <w:snapToGrid/>
          <w:spacing w:val="6"/>
        </w:rPr>
        <w:tab/>
        <w:t>47</w:t>
      </w:r>
    </w:p>
    <w:p w:rsidR="00000000" w:rsidRDefault="00000000">
      <w:pPr>
        <w:pStyle w:val="a7"/>
        <w:spacing w:after="120" w:line="288" w:lineRule="auto"/>
        <w:ind w:left="1020"/>
        <w:rPr>
          <w:rFonts w:hint="eastAsia"/>
          <w:snapToGrid/>
          <w:spacing w:val="6"/>
        </w:rPr>
      </w:pPr>
      <w:r>
        <w:rPr>
          <w:rFonts w:hint="eastAsia"/>
          <w:snapToGrid/>
          <w:spacing w:val="6"/>
        </w:rPr>
        <w:t>经济援助</w:t>
      </w:r>
      <w:r>
        <w:rPr>
          <w:rFonts w:hint="eastAsia"/>
          <w:snapToGrid/>
          <w:spacing w:val="6"/>
        </w:rPr>
        <w:t>.................</w:t>
      </w:r>
      <w:r>
        <w:rPr>
          <w:rFonts w:hint="eastAsia"/>
          <w:snapToGrid/>
          <w:spacing w:val="6"/>
        </w:rPr>
        <w:tab/>
      </w:r>
      <w:r>
        <w:rPr>
          <w:rFonts w:hint="eastAsia"/>
          <w:snapToGrid/>
          <w:spacing w:val="6"/>
        </w:rPr>
        <w:tab/>
        <w:t>243</w:t>
      </w:r>
      <w:r>
        <w:rPr>
          <w:rFonts w:hint="eastAsia"/>
          <w:snapToGrid/>
          <w:spacing w:val="6"/>
        </w:rPr>
        <w:tab/>
        <w:t>-</w:t>
      </w:r>
      <w:r>
        <w:rPr>
          <w:rFonts w:hint="eastAsia"/>
          <w:snapToGrid/>
          <w:spacing w:val="6"/>
        </w:rPr>
        <w:tab/>
        <w:t>248</w:t>
      </w:r>
      <w:r>
        <w:rPr>
          <w:rFonts w:hint="eastAsia"/>
          <w:snapToGrid/>
          <w:spacing w:val="6"/>
        </w:rPr>
        <w:tab/>
        <w:t>49</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10</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249</w:t>
      </w:r>
      <w:r>
        <w:rPr>
          <w:rFonts w:hint="eastAsia"/>
          <w:snapToGrid/>
          <w:spacing w:val="6"/>
        </w:rPr>
        <w:tab/>
        <w:t>-</w:t>
      </w:r>
      <w:r>
        <w:rPr>
          <w:rFonts w:hint="eastAsia"/>
          <w:snapToGrid/>
          <w:spacing w:val="6"/>
        </w:rPr>
        <w:tab/>
        <w:t>291</w:t>
      </w:r>
      <w:r>
        <w:rPr>
          <w:rFonts w:hint="eastAsia"/>
          <w:snapToGrid/>
          <w:spacing w:val="6"/>
        </w:rPr>
        <w:tab/>
        <w:t>50</w:t>
      </w:r>
    </w:p>
    <w:p w:rsidR="00000000" w:rsidRDefault="00000000">
      <w:pPr>
        <w:pStyle w:val="a7"/>
        <w:spacing w:line="288" w:lineRule="auto"/>
        <w:ind w:left="1020"/>
        <w:rPr>
          <w:rFonts w:hint="eastAsia"/>
          <w:snapToGrid/>
          <w:spacing w:val="6"/>
        </w:rPr>
      </w:pPr>
      <w:r>
        <w:rPr>
          <w:rFonts w:hint="eastAsia"/>
          <w:snapToGrid/>
          <w:spacing w:val="6"/>
        </w:rPr>
        <w:t>残疾儿童</w:t>
      </w:r>
      <w:r>
        <w:rPr>
          <w:rFonts w:hint="eastAsia"/>
          <w:snapToGrid/>
          <w:spacing w:val="6"/>
        </w:rPr>
        <w:t>............</w:t>
      </w:r>
      <w:r>
        <w:rPr>
          <w:rFonts w:hint="eastAsia"/>
          <w:snapToGrid/>
          <w:spacing w:val="6"/>
        </w:rPr>
        <w:tab/>
      </w:r>
      <w:r>
        <w:rPr>
          <w:rFonts w:hint="eastAsia"/>
          <w:snapToGrid/>
          <w:spacing w:val="6"/>
        </w:rPr>
        <w:tab/>
      </w:r>
      <w:r>
        <w:rPr>
          <w:rFonts w:hint="eastAsia"/>
          <w:snapToGrid/>
          <w:spacing w:val="6"/>
        </w:rPr>
        <w:tab/>
        <w:t>256</w:t>
      </w:r>
      <w:r>
        <w:rPr>
          <w:rFonts w:hint="eastAsia"/>
          <w:snapToGrid/>
          <w:spacing w:val="6"/>
        </w:rPr>
        <w:tab/>
        <w:t>51</w:t>
      </w:r>
    </w:p>
    <w:p w:rsidR="00000000" w:rsidRDefault="00000000">
      <w:pPr>
        <w:pStyle w:val="a7"/>
        <w:spacing w:line="288" w:lineRule="auto"/>
        <w:ind w:left="1020"/>
        <w:rPr>
          <w:rFonts w:hint="eastAsia"/>
          <w:snapToGrid/>
          <w:spacing w:val="6"/>
        </w:rPr>
      </w:pPr>
      <w:r>
        <w:rPr>
          <w:rFonts w:hint="eastAsia"/>
          <w:snapToGrid/>
          <w:spacing w:val="6"/>
        </w:rPr>
        <w:t>社会服务</w:t>
      </w:r>
      <w:r>
        <w:rPr>
          <w:rFonts w:hint="eastAsia"/>
          <w:snapToGrid/>
          <w:spacing w:val="6"/>
        </w:rPr>
        <w:t>.............</w:t>
      </w:r>
      <w:r>
        <w:rPr>
          <w:rFonts w:hint="eastAsia"/>
          <w:snapToGrid/>
          <w:spacing w:val="6"/>
        </w:rPr>
        <w:tab/>
      </w:r>
      <w:r>
        <w:rPr>
          <w:rFonts w:hint="eastAsia"/>
          <w:snapToGrid/>
          <w:spacing w:val="6"/>
        </w:rPr>
        <w:tab/>
        <w:t>257</w:t>
      </w:r>
      <w:r>
        <w:rPr>
          <w:rFonts w:hint="eastAsia"/>
          <w:snapToGrid/>
          <w:spacing w:val="6"/>
        </w:rPr>
        <w:tab/>
        <w:t>-</w:t>
      </w:r>
      <w:r>
        <w:rPr>
          <w:rFonts w:hint="eastAsia"/>
          <w:snapToGrid/>
          <w:spacing w:val="6"/>
        </w:rPr>
        <w:tab/>
        <w:t>260</w:t>
      </w:r>
      <w:r>
        <w:rPr>
          <w:rFonts w:hint="eastAsia"/>
          <w:snapToGrid/>
          <w:spacing w:val="6"/>
        </w:rPr>
        <w:tab/>
        <w:t>51</w:t>
      </w:r>
    </w:p>
    <w:p w:rsidR="00000000" w:rsidRDefault="00000000">
      <w:pPr>
        <w:pStyle w:val="a7"/>
        <w:spacing w:line="288" w:lineRule="auto"/>
        <w:ind w:left="1020"/>
        <w:rPr>
          <w:rFonts w:hint="eastAsia"/>
          <w:snapToGrid/>
          <w:spacing w:val="6"/>
        </w:rPr>
      </w:pPr>
      <w:r>
        <w:rPr>
          <w:rFonts w:hint="eastAsia"/>
          <w:snapToGrid/>
          <w:spacing w:val="6"/>
        </w:rPr>
        <w:t>法律制度</w:t>
      </w:r>
      <w:r>
        <w:rPr>
          <w:rFonts w:hint="eastAsia"/>
          <w:snapToGrid/>
          <w:spacing w:val="6"/>
        </w:rPr>
        <w:t>............</w:t>
      </w:r>
      <w:r>
        <w:rPr>
          <w:rFonts w:hint="eastAsia"/>
          <w:snapToGrid/>
          <w:spacing w:val="6"/>
        </w:rPr>
        <w:tab/>
      </w:r>
      <w:r>
        <w:rPr>
          <w:rFonts w:hint="eastAsia"/>
          <w:snapToGrid/>
          <w:spacing w:val="6"/>
        </w:rPr>
        <w:tab/>
        <w:t>261</w:t>
      </w:r>
      <w:r>
        <w:rPr>
          <w:rFonts w:hint="eastAsia"/>
          <w:snapToGrid/>
          <w:spacing w:val="6"/>
        </w:rPr>
        <w:tab/>
        <w:t>-</w:t>
      </w:r>
      <w:r>
        <w:rPr>
          <w:rFonts w:hint="eastAsia"/>
          <w:snapToGrid/>
          <w:spacing w:val="6"/>
        </w:rPr>
        <w:tab/>
        <w:t>276</w:t>
      </w:r>
      <w:r>
        <w:rPr>
          <w:rFonts w:hint="eastAsia"/>
          <w:snapToGrid/>
          <w:spacing w:val="6"/>
        </w:rPr>
        <w:tab/>
        <w:t>52</w:t>
      </w:r>
    </w:p>
    <w:p w:rsidR="00000000" w:rsidRDefault="00000000">
      <w:pPr>
        <w:pStyle w:val="a7"/>
        <w:spacing w:line="288" w:lineRule="auto"/>
        <w:ind w:left="1020"/>
        <w:rPr>
          <w:rFonts w:hint="eastAsia"/>
          <w:snapToGrid/>
          <w:spacing w:val="6"/>
        </w:rPr>
      </w:pPr>
      <w:r>
        <w:rPr>
          <w:rFonts w:hint="eastAsia"/>
          <w:snapToGrid/>
          <w:spacing w:val="6"/>
        </w:rPr>
        <w:t>提高国家官员和司法界的人权意识</w:t>
      </w:r>
      <w:r>
        <w:rPr>
          <w:rFonts w:hint="eastAsia"/>
          <w:snapToGrid/>
          <w:spacing w:val="6"/>
        </w:rPr>
        <w:tab/>
      </w:r>
      <w:r>
        <w:rPr>
          <w:rFonts w:hint="eastAsia"/>
          <w:snapToGrid/>
          <w:spacing w:val="6"/>
        </w:rPr>
        <w:tab/>
        <w:t>277</w:t>
      </w:r>
      <w:r>
        <w:rPr>
          <w:rFonts w:hint="eastAsia"/>
          <w:snapToGrid/>
          <w:spacing w:val="6"/>
        </w:rPr>
        <w:tab/>
        <w:t>-</w:t>
      </w:r>
      <w:r>
        <w:rPr>
          <w:rFonts w:hint="eastAsia"/>
          <w:snapToGrid/>
          <w:spacing w:val="6"/>
        </w:rPr>
        <w:tab/>
        <w:t>290</w:t>
      </w:r>
      <w:r>
        <w:rPr>
          <w:rFonts w:hint="eastAsia"/>
          <w:snapToGrid/>
          <w:spacing w:val="6"/>
        </w:rPr>
        <w:tab/>
        <w:t>55</w:t>
      </w:r>
    </w:p>
    <w:p w:rsidR="00000000" w:rsidRDefault="00000000">
      <w:pPr>
        <w:pStyle w:val="a7"/>
        <w:spacing w:after="120" w:line="288" w:lineRule="auto"/>
        <w:ind w:left="1020"/>
        <w:rPr>
          <w:rFonts w:hint="eastAsia"/>
          <w:snapToGrid/>
          <w:spacing w:val="6"/>
        </w:rPr>
      </w:pPr>
      <w:r>
        <w:rPr>
          <w:rFonts w:hint="eastAsia"/>
          <w:snapToGrid/>
          <w:spacing w:val="6"/>
        </w:rPr>
        <w:t>瑞典的青年政策</w:t>
      </w:r>
      <w:r>
        <w:rPr>
          <w:rFonts w:hint="eastAsia"/>
          <w:snapToGrid/>
          <w:spacing w:val="6"/>
        </w:rPr>
        <w:t>...</w:t>
      </w:r>
      <w:r>
        <w:rPr>
          <w:rFonts w:hint="eastAsia"/>
          <w:snapToGrid/>
          <w:spacing w:val="6"/>
        </w:rPr>
        <w:tab/>
      </w:r>
      <w:r>
        <w:rPr>
          <w:rFonts w:hint="eastAsia"/>
          <w:snapToGrid/>
          <w:spacing w:val="6"/>
        </w:rPr>
        <w:tab/>
      </w:r>
      <w:r>
        <w:rPr>
          <w:rFonts w:hint="eastAsia"/>
          <w:snapToGrid/>
          <w:spacing w:val="6"/>
        </w:rPr>
        <w:tab/>
        <w:t>291</w:t>
      </w:r>
      <w:r>
        <w:rPr>
          <w:rFonts w:hint="eastAsia"/>
          <w:snapToGrid/>
          <w:spacing w:val="6"/>
        </w:rPr>
        <w:tab/>
        <w:t>58</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11</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292</w:t>
      </w:r>
      <w:r>
        <w:rPr>
          <w:rFonts w:hint="eastAsia"/>
          <w:snapToGrid/>
          <w:spacing w:val="6"/>
        </w:rPr>
        <w:tab/>
        <w:t>-</w:t>
      </w:r>
      <w:r>
        <w:rPr>
          <w:rFonts w:hint="eastAsia"/>
          <w:snapToGrid/>
          <w:spacing w:val="6"/>
        </w:rPr>
        <w:tab/>
        <w:t>378</w:t>
      </w:r>
      <w:r>
        <w:rPr>
          <w:rFonts w:hint="eastAsia"/>
          <w:snapToGrid/>
          <w:spacing w:val="6"/>
        </w:rPr>
        <w:tab/>
        <w:t>58</w:t>
      </w:r>
    </w:p>
    <w:p w:rsidR="00000000" w:rsidRDefault="00000000">
      <w:pPr>
        <w:pStyle w:val="a7"/>
        <w:spacing w:line="288" w:lineRule="auto"/>
        <w:ind w:left="1020"/>
        <w:rPr>
          <w:rFonts w:hint="eastAsia"/>
          <w:snapToGrid/>
          <w:spacing w:val="6"/>
        </w:rPr>
      </w:pPr>
      <w:r>
        <w:rPr>
          <w:rFonts w:hint="eastAsia"/>
          <w:snapToGrid/>
          <w:spacing w:val="6"/>
        </w:rPr>
        <w:t>老年人的生活水准和生活状况</w:t>
      </w:r>
      <w:r>
        <w:rPr>
          <w:rFonts w:hint="eastAsia"/>
          <w:snapToGrid/>
          <w:spacing w:val="6"/>
        </w:rPr>
        <w:tab/>
      </w:r>
      <w:r>
        <w:rPr>
          <w:rFonts w:hint="eastAsia"/>
          <w:snapToGrid/>
          <w:spacing w:val="6"/>
        </w:rPr>
        <w:tab/>
        <w:t>304</w:t>
      </w:r>
      <w:r>
        <w:rPr>
          <w:rFonts w:hint="eastAsia"/>
          <w:snapToGrid/>
          <w:spacing w:val="6"/>
        </w:rPr>
        <w:tab/>
        <w:t>-</w:t>
      </w:r>
      <w:r>
        <w:rPr>
          <w:rFonts w:hint="eastAsia"/>
          <w:snapToGrid/>
          <w:spacing w:val="6"/>
        </w:rPr>
        <w:tab/>
        <w:t>309</w:t>
      </w:r>
      <w:r>
        <w:rPr>
          <w:rFonts w:hint="eastAsia"/>
          <w:snapToGrid/>
          <w:spacing w:val="6"/>
        </w:rPr>
        <w:tab/>
        <w:t>61</w:t>
      </w:r>
    </w:p>
    <w:p w:rsidR="00000000" w:rsidRDefault="00000000">
      <w:pPr>
        <w:pStyle w:val="a7"/>
        <w:tabs>
          <w:tab w:val="clear" w:pos="1531"/>
          <w:tab w:val="clear" w:pos="2041"/>
        </w:tabs>
        <w:spacing w:line="288" w:lineRule="auto"/>
        <w:ind w:left="1020"/>
        <w:rPr>
          <w:rFonts w:hint="eastAsia"/>
          <w:snapToGrid/>
          <w:spacing w:val="6"/>
        </w:rPr>
      </w:pPr>
      <w:r>
        <w:rPr>
          <w:rFonts w:hint="eastAsia"/>
          <w:snapToGrid/>
          <w:spacing w:val="6"/>
        </w:rPr>
        <w:t>残疾人</w:t>
      </w:r>
      <w:r>
        <w:rPr>
          <w:rFonts w:hint="eastAsia"/>
          <w:snapToGrid/>
          <w:spacing w:val="6"/>
        </w:rPr>
        <w:tab/>
      </w:r>
      <w:r>
        <w:rPr>
          <w:rFonts w:hint="eastAsia"/>
          <w:snapToGrid/>
          <w:spacing w:val="6"/>
        </w:rPr>
        <w:tab/>
        <w:t>310</w:t>
      </w:r>
      <w:r>
        <w:rPr>
          <w:rFonts w:hint="eastAsia"/>
          <w:snapToGrid/>
          <w:spacing w:val="6"/>
        </w:rPr>
        <w:tab/>
        <w:t>-</w:t>
      </w:r>
      <w:r>
        <w:rPr>
          <w:rFonts w:hint="eastAsia"/>
          <w:snapToGrid/>
          <w:spacing w:val="6"/>
        </w:rPr>
        <w:tab/>
        <w:t>313</w:t>
      </w:r>
      <w:r>
        <w:rPr>
          <w:rFonts w:hint="eastAsia"/>
          <w:snapToGrid/>
          <w:spacing w:val="6"/>
        </w:rPr>
        <w:tab/>
        <w:t>62</w:t>
      </w:r>
    </w:p>
    <w:p w:rsidR="00000000" w:rsidRDefault="00000000">
      <w:pPr>
        <w:pStyle w:val="a7"/>
        <w:spacing w:line="288" w:lineRule="auto"/>
        <w:ind w:left="1020"/>
        <w:rPr>
          <w:rFonts w:hint="eastAsia"/>
          <w:snapToGrid/>
          <w:spacing w:val="6"/>
        </w:rPr>
      </w:pPr>
      <w:r>
        <w:rPr>
          <w:rFonts w:hint="eastAsia"/>
          <w:snapToGrid/>
          <w:spacing w:val="6"/>
        </w:rPr>
        <w:t>《社会服务法》之下的举措</w:t>
      </w:r>
      <w:r>
        <w:rPr>
          <w:rFonts w:hint="eastAsia"/>
          <w:snapToGrid/>
          <w:spacing w:val="6"/>
        </w:rPr>
        <w:tab/>
      </w:r>
      <w:r>
        <w:rPr>
          <w:rFonts w:hint="eastAsia"/>
          <w:snapToGrid/>
          <w:spacing w:val="6"/>
        </w:rPr>
        <w:tab/>
        <w:t>314</w:t>
      </w:r>
      <w:r>
        <w:rPr>
          <w:rFonts w:hint="eastAsia"/>
          <w:snapToGrid/>
          <w:spacing w:val="6"/>
        </w:rPr>
        <w:tab/>
        <w:t>-</w:t>
      </w:r>
      <w:r>
        <w:rPr>
          <w:rFonts w:hint="eastAsia"/>
          <w:snapToGrid/>
          <w:spacing w:val="6"/>
        </w:rPr>
        <w:tab/>
        <w:t>316</w:t>
      </w:r>
      <w:r>
        <w:rPr>
          <w:rFonts w:hint="eastAsia"/>
          <w:snapToGrid/>
          <w:spacing w:val="6"/>
        </w:rPr>
        <w:tab/>
        <w:t>64</w:t>
      </w:r>
    </w:p>
    <w:p w:rsidR="00000000" w:rsidRDefault="00000000">
      <w:pPr>
        <w:pStyle w:val="a7"/>
        <w:spacing w:line="288" w:lineRule="auto"/>
        <w:ind w:left="1020"/>
        <w:rPr>
          <w:rFonts w:hint="eastAsia"/>
          <w:snapToGrid/>
          <w:spacing w:val="6"/>
        </w:rPr>
      </w:pPr>
      <w:r>
        <w:rPr>
          <w:rFonts w:hint="eastAsia"/>
          <w:snapToGrid/>
          <w:spacing w:val="6"/>
        </w:rPr>
        <w:t>瑞典的贫困统计</w:t>
      </w:r>
      <w:r>
        <w:rPr>
          <w:rFonts w:hint="eastAsia"/>
          <w:snapToGrid/>
          <w:spacing w:val="6"/>
        </w:rPr>
        <w:t>.................</w:t>
      </w:r>
      <w:r>
        <w:rPr>
          <w:rFonts w:hint="eastAsia"/>
          <w:snapToGrid/>
          <w:spacing w:val="6"/>
        </w:rPr>
        <w:tab/>
      </w:r>
      <w:r>
        <w:rPr>
          <w:rFonts w:hint="eastAsia"/>
          <w:snapToGrid/>
          <w:spacing w:val="6"/>
        </w:rPr>
        <w:tab/>
        <w:t>317</w:t>
      </w:r>
      <w:r>
        <w:rPr>
          <w:rFonts w:hint="eastAsia"/>
          <w:snapToGrid/>
          <w:spacing w:val="6"/>
        </w:rPr>
        <w:tab/>
        <w:t>-</w:t>
      </w:r>
      <w:r>
        <w:rPr>
          <w:rFonts w:hint="eastAsia"/>
          <w:snapToGrid/>
          <w:spacing w:val="6"/>
        </w:rPr>
        <w:tab/>
        <w:t>339</w:t>
      </w:r>
      <w:r>
        <w:rPr>
          <w:rFonts w:hint="eastAsia"/>
          <w:snapToGrid/>
          <w:spacing w:val="6"/>
        </w:rPr>
        <w:tab/>
        <w:t>64</w:t>
      </w:r>
    </w:p>
    <w:p w:rsidR="00000000" w:rsidRDefault="00000000">
      <w:pPr>
        <w:pStyle w:val="a7"/>
        <w:spacing w:line="288" w:lineRule="auto"/>
        <w:ind w:left="1020"/>
        <w:rPr>
          <w:rFonts w:hint="eastAsia"/>
          <w:snapToGrid/>
          <w:spacing w:val="6"/>
        </w:rPr>
      </w:pPr>
      <w:r>
        <w:rPr>
          <w:rFonts w:hint="eastAsia"/>
          <w:snapToGrid/>
          <w:spacing w:val="6"/>
        </w:rPr>
        <w:t>瑞典国家商品署</w:t>
      </w:r>
      <w:r>
        <w:rPr>
          <w:rFonts w:hint="eastAsia"/>
          <w:snapToGrid/>
          <w:spacing w:val="6"/>
        </w:rPr>
        <w:tab/>
      </w:r>
      <w:r>
        <w:rPr>
          <w:rFonts w:hint="eastAsia"/>
          <w:snapToGrid/>
          <w:spacing w:val="6"/>
        </w:rPr>
        <w:tab/>
        <w:t>340</w:t>
      </w:r>
      <w:r>
        <w:rPr>
          <w:rFonts w:hint="eastAsia"/>
          <w:snapToGrid/>
          <w:spacing w:val="6"/>
        </w:rPr>
        <w:tab/>
        <w:t>-</w:t>
      </w:r>
      <w:r>
        <w:rPr>
          <w:rFonts w:hint="eastAsia"/>
          <w:snapToGrid/>
          <w:spacing w:val="6"/>
        </w:rPr>
        <w:tab/>
        <w:t>346</w:t>
      </w:r>
      <w:r>
        <w:rPr>
          <w:rFonts w:hint="eastAsia"/>
          <w:snapToGrid/>
          <w:spacing w:val="6"/>
        </w:rPr>
        <w:tab/>
        <w:t>69</w:t>
      </w:r>
    </w:p>
    <w:p w:rsidR="00000000" w:rsidRDefault="00000000">
      <w:pPr>
        <w:pStyle w:val="a7"/>
        <w:spacing w:line="288" w:lineRule="auto"/>
        <w:ind w:left="1020"/>
        <w:rPr>
          <w:rFonts w:hint="eastAsia"/>
          <w:snapToGrid/>
          <w:spacing w:val="6"/>
        </w:rPr>
      </w:pPr>
      <w:r>
        <w:rPr>
          <w:rFonts w:hint="eastAsia"/>
          <w:snapToGrid/>
          <w:spacing w:val="6"/>
        </w:rPr>
        <w:t>瑞典农业委员会</w:t>
      </w:r>
      <w:r>
        <w:rPr>
          <w:rFonts w:hint="eastAsia"/>
          <w:snapToGrid/>
          <w:spacing w:val="6"/>
        </w:rPr>
        <w:t>.....</w:t>
      </w:r>
      <w:r>
        <w:rPr>
          <w:rFonts w:hint="eastAsia"/>
          <w:snapToGrid/>
          <w:spacing w:val="6"/>
        </w:rPr>
        <w:tab/>
      </w:r>
      <w:r>
        <w:rPr>
          <w:rFonts w:hint="eastAsia"/>
          <w:snapToGrid/>
          <w:spacing w:val="6"/>
        </w:rPr>
        <w:tab/>
        <w:t>347</w:t>
      </w:r>
      <w:r>
        <w:rPr>
          <w:rFonts w:hint="eastAsia"/>
          <w:snapToGrid/>
          <w:spacing w:val="6"/>
        </w:rPr>
        <w:tab/>
        <w:t>-</w:t>
      </w:r>
      <w:r>
        <w:rPr>
          <w:rFonts w:hint="eastAsia"/>
          <w:snapToGrid/>
          <w:spacing w:val="6"/>
        </w:rPr>
        <w:tab/>
        <w:t>349</w:t>
      </w:r>
      <w:r>
        <w:rPr>
          <w:rFonts w:hint="eastAsia"/>
          <w:snapToGrid/>
          <w:spacing w:val="6"/>
        </w:rPr>
        <w:tab/>
        <w:t>70</w:t>
      </w:r>
    </w:p>
    <w:p w:rsidR="00000000" w:rsidRDefault="00000000">
      <w:pPr>
        <w:pStyle w:val="a7"/>
        <w:spacing w:line="288" w:lineRule="auto"/>
        <w:ind w:left="1020"/>
        <w:rPr>
          <w:rFonts w:hint="eastAsia"/>
          <w:snapToGrid/>
          <w:spacing w:val="6"/>
        </w:rPr>
      </w:pPr>
      <w:r>
        <w:rPr>
          <w:rFonts w:hint="eastAsia"/>
          <w:snapToGrid/>
          <w:spacing w:val="6"/>
        </w:rPr>
        <w:t>充足食品权</w:t>
      </w:r>
      <w:r>
        <w:rPr>
          <w:rFonts w:hint="eastAsia"/>
          <w:snapToGrid/>
          <w:spacing w:val="6"/>
        </w:rPr>
        <w:t>..................</w:t>
      </w:r>
      <w:r>
        <w:rPr>
          <w:rFonts w:hint="eastAsia"/>
          <w:snapToGrid/>
          <w:spacing w:val="6"/>
        </w:rPr>
        <w:tab/>
      </w:r>
      <w:r>
        <w:rPr>
          <w:rFonts w:hint="eastAsia"/>
          <w:snapToGrid/>
          <w:spacing w:val="6"/>
        </w:rPr>
        <w:tab/>
        <w:t>350</w:t>
      </w:r>
      <w:r>
        <w:rPr>
          <w:rFonts w:hint="eastAsia"/>
          <w:snapToGrid/>
          <w:spacing w:val="6"/>
        </w:rPr>
        <w:tab/>
        <w:t>-</w:t>
      </w:r>
      <w:r>
        <w:rPr>
          <w:rFonts w:hint="eastAsia"/>
          <w:snapToGrid/>
          <w:spacing w:val="6"/>
        </w:rPr>
        <w:tab/>
        <w:t>352</w:t>
      </w:r>
      <w:r>
        <w:rPr>
          <w:rFonts w:hint="eastAsia"/>
          <w:snapToGrid/>
          <w:spacing w:val="6"/>
        </w:rPr>
        <w:tab/>
        <w:t>71</w:t>
      </w:r>
    </w:p>
    <w:p w:rsidR="00000000" w:rsidRDefault="00000000">
      <w:pPr>
        <w:pStyle w:val="a7"/>
        <w:spacing w:line="288" w:lineRule="auto"/>
        <w:ind w:left="1020"/>
        <w:rPr>
          <w:rFonts w:hint="eastAsia"/>
          <w:snapToGrid/>
          <w:spacing w:val="6"/>
        </w:rPr>
      </w:pPr>
      <w:r>
        <w:rPr>
          <w:rFonts w:hint="eastAsia"/>
          <w:snapToGrid/>
          <w:spacing w:val="6"/>
        </w:rPr>
        <w:t>住房政策</w:t>
      </w:r>
      <w:r>
        <w:rPr>
          <w:rFonts w:hint="eastAsia"/>
          <w:snapToGrid/>
          <w:spacing w:val="6"/>
        </w:rPr>
        <w:t>....................</w:t>
      </w:r>
      <w:r>
        <w:rPr>
          <w:rFonts w:hint="eastAsia"/>
          <w:snapToGrid/>
          <w:spacing w:val="6"/>
        </w:rPr>
        <w:tab/>
      </w:r>
      <w:r>
        <w:rPr>
          <w:rFonts w:hint="eastAsia"/>
          <w:snapToGrid/>
          <w:spacing w:val="6"/>
        </w:rPr>
        <w:tab/>
        <w:t>353</w:t>
      </w:r>
      <w:r>
        <w:rPr>
          <w:rFonts w:hint="eastAsia"/>
          <w:snapToGrid/>
          <w:spacing w:val="6"/>
        </w:rPr>
        <w:tab/>
        <w:t>-</w:t>
      </w:r>
      <w:r>
        <w:rPr>
          <w:rFonts w:hint="eastAsia"/>
          <w:snapToGrid/>
          <w:spacing w:val="6"/>
        </w:rPr>
        <w:tab/>
        <w:t>355</w:t>
      </w:r>
      <w:r>
        <w:rPr>
          <w:rFonts w:hint="eastAsia"/>
          <w:snapToGrid/>
          <w:spacing w:val="6"/>
        </w:rPr>
        <w:tab/>
        <w:t>71</w:t>
      </w:r>
    </w:p>
    <w:p w:rsidR="00000000" w:rsidRDefault="00000000">
      <w:pPr>
        <w:pStyle w:val="a7"/>
        <w:spacing w:line="288" w:lineRule="auto"/>
        <w:ind w:left="1020"/>
        <w:rPr>
          <w:rFonts w:hint="eastAsia"/>
          <w:snapToGrid/>
          <w:spacing w:val="6"/>
        </w:rPr>
      </w:pPr>
      <w:r>
        <w:rPr>
          <w:rFonts w:hint="eastAsia"/>
          <w:snapToGrid/>
          <w:spacing w:val="6"/>
        </w:rPr>
        <w:t>降低住房成本，增加住房供应的举措</w:t>
      </w:r>
      <w:r>
        <w:rPr>
          <w:rFonts w:hint="eastAsia"/>
          <w:snapToGrid/>
          <w:spacing w:val="6"/>
        </w:rPr>
        <w:tab/>
      </w:r>
      <w:r>
        <w:rPr>
          <w:rFonts w:hint="eastAsia"/>
          <w:snapToGrid/>
          <w:spacing w:val="6"/>
        </w:rPr>
        <w:tab/>
        <w:t>356</w:t>
      </w:r>
      <w:r>
        <w:rPr>
          <w:rFonts w:hint="eastAsia"/>
          <w:snapToGrid/>
          <w:spacing w:val="6"/>
        </w:rPr>
        <w:tab/>
        <w:t>-</w:t>
      </w:r>
      <w:r>
        <w:rPr>
          <w:rFonts w:hint="eastAsia"/>
          <w:snapToGrid/>
          <w:spacing w:val="6"/>
        </w:rPr>
        <w:tab/>
        <w:t>360</w:t>
      </w:r>
      <w:r>
        <w:rPr>
          <w:rFonts w:hint="eastAsia"/>
          <w:snapToGrid/>
          <w:spacing w:val="6"/>
        </w:rPr>
        <w:tab/>
        <w:t>72</w:t>
      </w:r>
    </w:p>
    <w:p w:rsidR="00000000" w:rsidRDefault="00000000">
      <w:pPr>
        <w:pStyle w:val="a7"/>
        <w:spacing w:line="288" w:lineRule="auto"/>
        <w:ind w:left="1020"/>
        <w:rPr>
          <w:rFonts w:hint="eastAsia"/>
          <w:snapToGrid/>
          <w:spacing w:val="6"/>
        </w:rPr>
      </w:pPr>
      <w:r>
        <w:rPr>
          <w:rFonts w:hint="eastAsia"/>
          <w:snapToGrid/>
          <w:spacing w:val="6"/>
        </w:rPr>
        <w:t>住房供应举措</w:t>
      </w:r>
      <w:r>
        <w:rPr>
          <w:rFonts w:hint="eastAsia"/>
          <w:snapToGrid/>
          <w:spacing w:val="6"/>
        </w:rPr>
        <w:t>................</w:t>
      </w:r>
      <w:r>
        <w:rPr>
          <w:rFonts w:hint="eastAsia"/>
          <w:snapToGrid/>
          <w:spacing w:val="6"/>
        </w:rPr>
        <w:tab/>
      </w:r>
      <w:r>
        <w:rPr>
          <w:rFonts w:hint="eastAsia"/>
          <w:snapToGrid/>
          <w:spacing w:val="6"/>
        </w:rPr>
        <w:tab/>
        <w:t>361</w:t>
      </w:r>
      <w:r>
        <w:rPr>
          <w:rFonts w:hint="eastAsia"/>
          <w:snapToGrid/>
          <w:spacing w:val="6"/>
        </w:rPr>
        <w:tab/>
        <w:t>-</w:t>
      </w:r>
      <w:r>
        <w:rPr>
          <w:rFonts w:hint="eastAsia"/>
          <w:snapToGrid/>
          <w:spacing w:val="6"/>
        </w:rPr>
        <w:tab/>
        <w:t>365</w:t>
      </w:r>
      <w:r>
        <w:rPr>
          <w:rFonts w:hint="eastAsia"/>
          <w:snapToGrid/>
          <w:spacing w:val="6"/>
        </w:rPr>
        <w:tab/>
        <w:t>73</w:t>
      </w:r>
    </w:p>
    <w:p w:rsidR="00000000" w:rsidRDefault="00000000">
      <w:pPr>
        <w:pStyle w:val="a7"/>
        <w:spacing w:line="288" w:lineRule="auto"/>
        <w:ind w:left="1020"/>
        <w:rPr>
          <w:rFonts w:hint="eastAsia"/>
          <w:snapToGrid/>
          <w:spacing w:val="6"/>
        </w:rPr>
      </w:pPr>
      <w:r>
        <w:rPr>
          <w:rFonts w:hint="eastAsia"/>
          <w:snapToGrid/>
          <w:spacing w:val="6"/>
        </w:rPr>
        <w:t>拥挤居住状况的一般情况</w:t>
      </w:r>
      <w:r>
        <w:rPr>
          <w:rFonts w:hint="eastAsia"/>
          <w:snapToGrid/>
          <w:spacing w:val="6"/>
        </w:rPr>
        <w:tab/>
      </w:r>
      <w:r>
        <w:rPr>
          <w:rFonts w:hint="eastAsia"/>
          <w:snapToGrid/>
          <w:spacing w:val="6"/>
        </w:rPr>
        <w:tab/>
      </w:r>
      <w:r>
        <w:rPr>
          <w:rFonts w:hint="eastAsia"/>
          <w:snapToGrid/>
          <w:spacing w:val="6"/>
        </w:rPr>
        <w:tab/>
        <w:t>366</w:t>
      </w:r>
      <w:r>
        <w:rPr>
          <w:rFonts w:hint="eastAsia"/>
          <w:snapToGrid/>
          <w:spacing w:val="6"/>
        </w:rPr>
        <w:tab/>
        <w:t>74</w:t>
      </w:r>
    </w:p>
    <w:p w:rsidR="00000000" w:rsidRDefault="00000000">
      <w:pPr>
        <w:pStyle w:val="a7"/>
        <w:tabs>
          <w:tab w:val="clear" w:pos="2041"/>
        </w:tabs>
        <w:spacing w:line="288" w:lineRule="auto"/>
        <w:ind w:left="1020"/>
        <w:rPr>
          <w:rFonts w:hint="eastAsia"/>
          <w:snapToGrid/>
          <w:spacing w:val="6"/>
        </w:rPr>
      </w:pPr>
      <w:r>
        <w:rPr>
          <w:rFonts w:hint="eastAsia"/>
          <w:snapToGrid/>
          <w:spacing w:val="6"/>
        </w:rPr>
        <w:t>室内环境</w:t>
      </w:r>
      <w:r>
        <w:rPr>
          <w:snapToGrid/>
          <w:spacing w:val="6"/>
        </w:rPr>
        <w:tab/>
      </w:r>
      <w:r>
        <w:rPr>
          <w:rFonts w:hint="eastAsia"/>
          <w:snapToGrid/>
          <w:spacing w:val="6"/>
        </w:rPr>
        <w:tab/>
      </w:r>
      <w:r>
        <w:rPr>
          <w:rFonts w:hint="eastAsia"/>
          <w:snapToGrid/>
          <w:spacing w:val="6"/>
        </w:rPr>
        <w:tab/>
        <w:t>367</w:t>
      </w:r>
      <w:r>
        <w:rPr>
          <w:rFonts w:hint="eastAsia"/>
          <w:snapToGrid/>
          <w:spacing w:val="6"/>
        </w:rPr>
        <w:tab/>
        <w:t>-</w:t>
      </w:r>
      <w:r>
        <w:rPr>
          <w:rFonts w:hint="eastAsia"/>
          <w:snapToGrid/>
          <w:spacing w:val="6"/>
        </w:rPr>
        <w:tab/>
        <w:t>372</w:t>
      </w:r>
      <w:r>
        <w:rPr>
          <w:rFonts w:hint="eastAsia"/>
          <w:snapToGrid/>
          <w:spacing w:val="6"/>
        </w:rPr>
        <w:tab/>
        <w:t>74</w:t>
      </w:r>
    </w:p>
    <w:p w:rsidR="00000000" w:rsidRDefault="00000000">
      <w:pPr>
        <w:pStyle w:val="a7"/>
        <w:spacing w:line="288" w:lineRule="auto"/>
        <w:ind w:left="1020"/>
        <w:rPr>
          <w:rFonts w:hint="eastAsia"/>
          <w:snapToGrid/>
          <w:spacing w:val="6"/>
        </w:rPr>
      </w:pPr>
      <w:r>
        <w:rPr>
          <w:rFonts w:hint="eastAsia"/>
          <w:snapToGrid/>
          <w:spacing w:val="6"/>
        </w:rPr>
        <w:t>改建电梯安全的措施</w:t>
      </w:r>
      <w:r>
        <w:rPr>
          <w:rFonts w:hint="eastAsia"/>
          <w:snapToGrid/>
          <w:spacing w:val="6"/>
        </w:rPr>
        <w:tab/>
      </w:r>
      <w:r>
        <w:rPr>
          <w:rFonts w:hint="eastAsia"/>
          <w:snapToGrid/>
          <w:spacing w:val="6"/>
        </w:rPr>
        <w:tab/>
      </w:r>
      <w:r>
        <w:rPr>
          <w:rFonts w:hint="eastAsia"/>
          <w:snapToGrid/>
          <w:spacing w:val="6"/>
        </w:rPr>
        <w:tab/>
        <w:t>373</w:t>
      </w:r>
      <w:r>
        <w:rPr>
          <w:rFonts w:hint="eastAsia"/>
          <w:snapToGrid/>
          <w:spacing w:val="6"/>
        </w:rPr>
        <w:tab/>
        <w:t>75</w:t>
      </w:r>
    </w:p>
    <w:p w:rsidR="00000000" w:rsidRDefault="00000000">
      <w:pPr>
        <w:pStyle w:val="a7"/>
        <w:spacing w:line="288" w:lineRule="auto"/>
        <w:ind w:left="1020"/>
        <w:rPr>
          <w:rFonts w:hint="eastAsia"/>
          <w:snapToGrid/>
          <w:spacing w:val="6"/>
        </w:rPr>
      </w:pPr>
      <w:r>
        <w:rPr>
          <w:rFonts w:hint="eastAsia"/>
          <w:snapToGrid/>
          <w:spacing w:val="6"/>
        </w:rPr>
        <w:t>经济家庭政策范围内的措施</w:t>
      </w:r>
      <w:r>
        <w:rPr>
          <w:rFonts w:hint="eastAsia"/>
          <w:snapToGrid/>
          <w:spacing w:val="6"/>
        </w:rPr>
        <w:tab/>
      </w:r>
      <w:r>
        <w:rPr>
          <w:rFonts w:hint="eastAsia"/>
          <w:snapToGrid/>
          <w:spacing w:val="6"/>
        </w:rPr>
        <w:tab/>
      </w:r>
      <w:r>
        <w:rPr>
          <w:rFonts w:hint="eastAsia"/>
          <w:snapToGrid/>
          <w:spacing w:val="6"/>
        </w:rPr>
        <w:tab/>
        <w:t>374</w:t>
      </w:r>
      <w:r>
        <w:rPr>
          <w:rFonts w:hint="eastAsia"/>
          <w:snapToGrid/>
          <w:spacing w:val="6"/>
        </w:rPr>
        <w:tab/>
        <w:t>75</w:t>
      </w:r>
    </w:p>
    <w:p w:rsidR="00000000" w:rsidRDefault="00000000">
      <w:pPr>
        <w:pStyle w:val="a7"/>
        <w:spacing w:after="120" w:line="288" w:lineRule="auto"/>
        <w:ind w:left="1020"/>
        <w:rPr>
          <w:snapToGrid/>
          <w:spacing w:val="6"/>
        </w:rPr>
      </w:pPr>
    </w:p>
    <w:p w:rsidR="00000000" w:rsidRDefault="00000000">
      <w:pPr>
        <w:pStyle w:val="a5"/>
        <w:keepNext/>
        <w:tabs>
          <w:tab w:val="clear" w:pos="7201"/>
          <w:tab w:val="clear" w:pos="8618"/>
          <w:tab w:val="left" w:pos="7088"/>
          <w:tab w:val="left" w:pos="8080"/>
          <w:tab w:val="left" w:pos="8640"/>
        </w:tabs>
        <w:spacing w:line="288" w:lineRule="auto"/>
        <w:jc w:val="center"/>
        <w:rPr>
          <w:spacing w:val="6"/>
          <w:kern w:val="24"/>
        </w:rPr>
      </w:pPr>
      <w:r>
        <w:rPr>
          <w:rFonts w:hint="eastAsia"/>
          <w:spacing w:val="6"/>
          <w:kern w:val="24"/>
        </w:rPr>
        <w:t>目</w:t>
      </w:r>
      <w:r>
        <w:rPr>
          <w:spacing w:val="6"/>
          <w:kern w:val="24"/>
        </w:rPr>
        <w:tab/>
      </w:r>
      <w:r>
        <w:rPr>
          <w:rFonts w:hint="eastAsia"/>
          <w:spacing w:val="6"/>
          <w:kern w:val="24"/>
        </w:rPr>
        <w:t>录</w:t>
      </w:r>
      <w:r>
        <w:rPr>
          <w:rFonts w:hint="eastAsia"/>
          <w:spacing w:val="6"/>
          <w:kern w:val="24"/>
        </w:rPr>
        <w:t>(</w:t>
      </w:r>
      <w:r>
        <w:rPr>
          <w:rFonts w:hint="eastAsia"/>
          <w:spacing w:val="6"/>
          <w:kern w:val="24"/>
          <w:u w:val="single"/>
        </w:rPr>
        <w:t>续</w:t>
      </w:r>
      <w:r>
        <w:rPr>
          <w:rFonts w:hint="eastAsia"/>
          <w:spacing w:val="6"/>
          <w:kern w:val="24"/>
        </w:rPr>
        <w:t>)</w:t>
      </w:r>
    </w:p>
    <w:p w:rsidR="00000000" w:rsidRDefault="00000000">
      <w:pPr>
        <w:pStyle w:val="a5"/>
        <w:keepNext/>
        <w:tabs>
          <w:tab w:val="clear" w:pos="7201"/>
          <w:tab w:val="left" w:pos="7088"/>
          <w:tab w:val="left" w:pos="8080"/>
        </w:tabs>
        <w:spacing w:after="120" w:line="240" w:lineRule="auto"/>
        <w:jc w:val="center"/>
        <w:rPr>
          <w:rFonts w:hint="eastAsia"/>
          <w:spacing w:val="6"/>
          <w:kern w:val="24"/>
        </w:rPr>
      </w:pPr>
      <w:r>
        <w:rPr>
          <w:rFonts w:hint="eastAsia"/>
          <w:spacing w:val="6"/>
          <w:kern w:val="24"/>
        </w:rPr>
        <w:tab/>
      </w:r>
      <w:r>
        <w:rPr>
          <w:spacing w:val="6"/>
          <w:kern w:val="24"/>
        </w:rPr>
        <w:tab/>
      </w:r>
      <w:r>
        <w:rPr>
          <w:rFonts w:hint="eastAsia"/>
          <w:spacing w:val="6"/>
          <w:kern w:val="24"/>
          <w:u w:val="single"/>
        </w:rPr>
        <w:t>段</w:t>
      </w:r>
      <w:r>
        <w:rPr>
          <w:spacing w:val="6"/>
          <w:kern w:val="24"/>
          <w:u w:val="single"/>
        </w:rPr>
        <w:tab/>
      </w:r>
      <w:r>
        <w:rPr>
          <w:rFonts w:hint="eastAsia"/>
          <w:spacing w:val="6"/>
          <w:kern w:val="24"/>
          <w:u w:val="single"/>
        </w:rPr>
        <w:t>次</w:t>
      </w:r>
      <w:r>
        <w:rPr>
          <w:spacing w:val="6"/>
          <w:kern w:val="24"/>
        </w:rPr>
        <w:tab/>
      </w:r>
      <w:r>
        <w:rPr>
          <w:spacing w:val="6"/>
          <w:kern w:val="24"/>
        </w:rPr>
        <w:tab/>
      </w:r>
      <w:r>
        <w:rPr>
          <w:rFonts w:hint="eastAsia"/>
          <w:spacing w:val="6"/>
          <w:kern w:val="24"/>
          <w:u w:val="single"/>
        </w:rPr>
        <w:t>页</w:t>
      </w:r>
      <w:r>
        <w:rPr>
          <w:spacing w:val="6"/>
          <w:kern w:val="24"/>
          <w:u w:val="single"/>
        </w:rPr>
        <w:tab/>
      </w:r>
      <w:r>
        <w:rPr>
          <w:rFonts w:hint="eastAsia"/>
          <w:spacing w:val="6"/>
          <w:kern w:val="24"/>
          <w:u w:val="single"/>
        </w:rPr>
        <w:t>次</w:t>
      </w:r>
    </w:p>
    <w:p w:rsidR="00000000" w:rsidRDefault="00000000">
      <w:pPr>
        <w:pStyle w:val="a7"/>
        <w:spacing w:after="120" w:line="288" w:lineRule="auto"/>
        <w:ind w:left="1020"/>
        <w:rPr>
          <w:rFonts w:hint="eastAsia"/>
          <w:snapToGrid/>
          <w:spacing w:val="6"/>
        </w:rPr>
      </w:pPr>
      <w:r>
        <w:rPr>
          <w:rFonts w:hint="eastAsia"/>
          <w:snapToGrid/>
          <w:spacing w:val="6"/>
        </w:rPr>
        <w:t>社会服务政策范围内的措施</w:t>
      </w:r>
      <w:r>
        <w:rPr>
          <w:rFonts w:hint="eastAsia"/>
          <w:snapToGrid/>
          <w:spacing w:val="6"/>
        </w:rPr>
        <w:tab/>
      </w:r>
      <w:r>
        <w:rPr>
          <w:rFonts w:hint="eastAsia"/>
          <w:snapToGrid/>
          <w:spacing w:val="6"/>
        </w:rPr>
        <w:tab/>
        <w:t>375</w:t>
      </w:r>
      <w:r>
        <w:rPr>
          <w:rFonts w:hint="eastAsia"/>
          <w:snapToGrid/>
          <w:spacing w:val="6"/>
        </w:rPr>
        <w:tab/>
        <w:t>-</w:t>
      </w:r>
      <w:r>
        <w:rPr>
          <w:rFonts w:hint="eastAsia"/>
          <w:snapToGrid/>
          <w:spacing w:val="6"/>
        </w:rPr>
        <w:tab/>
        <w:t>378</w:t>
      </w:r>
      <w:r>
        <w:rPr>
          <w:rFonts w:hint="eastAsia"/>
          <w:snapToGrid/>
          <w:spacing w:val="6"/>
        </w:rPr>
        <w:tab/>
        <w:t>75</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12</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379</w:t>
      </w:r>
      <w:r>
        <w:rPr>
          <w:rFonts w:hint="eastAsia"/>
          <w:snapToGrid/>
          <w:spacing w:val="6"/>
        </w:rPr>
        <w:tab/>
        <w:t>-</w:t>
      </w:r>
      <w:r>
        <w:rPr>
          <w:rFonts w:hint="eastAsia"/>
          <w:snapToGrid/>
          <w:spacing w:val="6"/>
        </w:rPr>
        <w:tab/>
        <w:t>423</w:t>
      </w:r>
      <w:r>
        <w:rPr>
          <w:rFonts w:hint="eastAsia"/>
          <w:snapToGrid/>
          <w:spacing w:val="6"/>
        </w:rPr>
        <w:tab/>
        <w:t>76</w:t>
      </w:r>
    </w:p>
    <w:p w:rsidR="00000000" w:rsidRDefault="00000000">
      <w:pPr>
        <w:pStyle w:val="a7"/>
        <w:tabs>
          <w:tab w:val="clear" w:pos="1531"/>
          <w:tab w:val="clear" w:pos="2041"/>
        </w:tabs>
        <w:spacing w:after="120" w:line="288" w:lineRule="auto"/>
        <w:ind w:left="1020"/>
        <w:rPr>
          <w:rFonts w:hint="eastAsia"/>
          <w:snapToGrid/>
          <w:spacing w:val="6"/>
        </w:rPr>
      </w:pPr>
      <w:r>
        <w:rPr>
          <w:rFonts w:hint="eastAsia"/>
          <w:snapToGrid/>
          <w:spacing w:val="6"/>
        </w:rPr>
        <w:t>老年护理系统</w:t>
      </w:r>
      <w:r>
        <w:rPr>
          <w:rFonts w:hint="eastAsia"/>
          <w:snapToGrid/>
          <w:spacing w:val="6"/>
        </w:rPr>
        <w:tab/>
      </w:r>
      <w:r>
        <w:rPr>
          <w:rFonts w:hint="eastAsia"/>
          <w:snapToGrid/>
          <w:spacing w:val="6"/>
        </w:rPr>
        <w:tab/>
        <w:t>405</w:t>
      </w:r>
      <w:r>
        <w:rPr>
          <w:rFonts w:hint="eastAsia"/>
          <w:snapToGrid/>
          <w:spacing w:val="6"/>
        </w:rPr>
        <w:tab/>
        <w:t>-</w:t>
      </w:r>
      <w:r>
        <w:rPr>
          <w:rFonts w:hint="eastAsia"/>
          <w:snapToGrid/>
          <w:spacing w:val="6"/>
        </w:rPr>
        <w:tab/>
        <w:t>423</w:t>
      </w:r>
      <w:r>
        <w:rPr>
          <w:rFonts w:hint="eastAsia"/>
          <w:snapToGrid/>
          <w:spacing w:val="6"/>
        </w:rPr>
        <w:tab/>
        <w:t>80</w:t>
      </w:r>
    </w:p>
    <w:p w:rsidR="00000000" w:rsidRDefault="00000000">
      <w:pPr>
        <w:pStyle w:val="a7"/>
        <w:spacing w:line="288" w:lineRule="auto"/>
        <w:rPr>
          <w:rFonts w:hint="eastAsia"/>
          <w:snapToGrid/>
          <w:spacing w:val="6"/>
        </w:rPr>
      </w:pPr>
      <w:r>
        <w:rPr>
          <w:rFonts w:hint="eastAsia"/>
          <w:snapToGrid/>
          <w:spacing w:val="6"/>
        </w:rPr>
        <w:t>第</w:t>
      </w:r>
      <w:r>
        <w:rPr>
          <w:rFonts w:hint="eastAsia"/>
          <w:snapToGrid/>
          <w:spacing w:val="6"/>
        </w:rPr>
        <w:t>13</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424</w:t>
      </w:r>
      <w:r>
        <w:rPr>
          <w:rFonts w:hint="eastAsia"/>
          <w:snapToGrid/>
          <w:spacing w:val="6"/>
        </w:rPr>
        <w:tab/>
        <w:t>-</w:t>
      </w:r>
      <w:r>
        <w:rPr>
          <w:rFonts w:hint="eastAsia"/>
          <w:snapToGrid/>
          <w:spacing w:val="6"/>
        </w:rPr>
        <w:tab/>
      </w:r>
      <w:r>
        <w:rPr>
          <w:snapToGrid/>
          <w:spacing w:val="6"/>
        </w:rPr>
        <w:t>487</w:t>
      </w:r>
      <w:r>
        <w:rPr>
          <w:rFonts w:hint="eastAsia"/>
          <w:snapToGrid/>
          <w:spacing w:val="6"/>
        </w:rPr>
        <w:tab/>
        <w:t>83</w:t>
      </w:r>
    </w:p>
    <w:p w:rsidR="00000000" w:rsidRDefault="00000000">
      <w:pPr>
        <w:pStyle w:val="a7"/>
        <w:spacing w:line="288" w:lineRule="auto"/>
        <w:ind w:left="1020"/>
        <w:rPr>
          <w:rFonts w:hint="eastAsia"/>
          <w:snapToGrid/>
          <w:spacing w:val="6"/>
        </w:rPr>
      </w:pPr>
      <w:r>
        <w:rPr>
          <w:rFonts w:hint="eastAsia"/>
          <w:snapToGrid/>
          <w:spacing w:val="6"/>
        </w:rPr>
        <w:t>儿童和青年人的教育</w:t>
      </w:r>
      <w:r>
        <w:rPr>
          <w:rFonts w:hint="eastAsia"/>
          <w:snapToGrid/>
          <w:spacing w:val="6"/>
        </w:rPr>
        <w:tab/>
      </w:r>
      <w:r>
        <w:rPr>
          <w:rFonts w:hint="eastAsia"/>
          <w:snapToGrid/>
          <w:spacing w:val="6"/>
        </w:rPr>
        <w:tab/>
        <w:t>424</w:t>
      </w:r>
      <w:r>
        <w:rPr>
          <w:rFonts w:hint="eastAsia"/>
          <w:snapToGrid/>
          <w:spacing w:val="6"/>
        </w:rPr>
        <w:tab/>
        <w:t>-</w:t>
      </w:r>
      <w:r>
        <w:rPr>
          <w:rFonts w:hint="eastAsia"/>
          <w:snapToGrid/>
          <w:spacing w:val="6"/>
        </w:rPr>
        <w:tab/>
        <w:t>457</w:t>
      </w:r>
      <w:r>
        <w:rPr>
          <w:rFonts w:hint="eastAsia"/>
          <w:snapToGrid/>
          <w:spacing w:val="6"/>
        </w:rPr>
        <w:tab/>
        <w:t>83</w:t>
      </w:r>
    </w:p>
    <w:p w:rsidR="00000000" w:rsidRDefault="00000000">
      <w:pPr>
        <w:pStyle w:val="a7"/>
        <w:spacing w:line="288" w:lineRule="auto"/>
        <w:ind w:left="1540"/>
        <w:rPr>
          <w:rFonts w:hint="eastAsia"/>
          <w:snapToGrid/>
          <w:spacing w:val="6"/>
        </w:rPr>
      </w:pPr>
      <w:r>
        <w:rPr>
          <w:rFonts w:hint="eastAsia"/>
          <w:snapToGrid/>
          <w:spacing w:val="6"/>
        </w:rPr>
        <w:t>促进了解少数民族</w:t>
      </w:r>
      <w:r>
        <w:rPr>
          <w:rFonts w:hint="eastAsia"/>
          <w:snapToGrid/>
          <w:spacing w:val="6"/>
        </w:rPr>
        <w:tab/>
      </w:r>
      <w:r>
        <w:rPr>
          <w:rFonts w:hint="eastAsia"/>
          <w:snapToGrid/>
          <w:spacing w:val="6"/>
        </w:rPr>
        <w:tab/>
        <w:t>424</w:t>
      </w:r>
      <w:r>
        <w:rPr>
          <w:rFonts w:hint="eastAsia"/>
          <w:snapToGrid/>
          <w:spacing w:val="6"/>
        </w:rPr>
        <w:tab/>
        <w:t>-</w:t>
      </w:r>
      <w:r>
        <w:rPr>
          <w:rFonts w:hint="eastAsia"/>
          <w:snapToGrid/>
          <w:spacing w:val="6"/>
        </w:rPr>
        <w:tab/>
        <w:t>432</w:t>
      </w:r>
      <w:r>
        <w:rPr>
          <w:rFonts w:hint="eastAsia"/>
          <w:snapToGrid/>
          <w:spacing w:val="6"/>
        </w:rPr>
        <w:tab/>
        <w:t>83</w:t>
      </w:r>
    </w:p>
    <w:p w:rsidR="00000000" w:rsidRDefault="00000000">
      <w:pPr>
        <w:pStyle w:val="a7"/>
        <w:spacing w:line="288" w:lineRule="auto"/>
        <w:ind w:left="1540"/>
        <w:rPr>
          <w:rFonts w:hint="eastAsia"/>
          <w:snapToGrid/>
          <w:spacing w:val="6"/>
        </w:rPr>
      </w:pPr>
      <w:r>
        <w:rPr>
          <w:rFonts w:hint="eastAsia"/>
          <w:snapToGrid/>
          <w:spacing w:val="6"/>
        </w:rPr>
        <w:t>幼儿园和学龄儿童照顾</w:t>
      </w:r>
      <w:r>
        <w:rPr>
          <w:rFonts w:hint="eastAsia"/>
          <w:snapToGrid/>
          <w:spacing w:val="6"/>
        </w:rPr>
        <w:tab/>
      </w:r>
      <w:r>
        <w:rPr>
          <w:rFonts w:hint="eastAsia"/>
          <w:snapToGrid/>
          <w:spacing w:val="6"/>
        </w:rPr>
        <w:tab/>
        <w:t>433</w:t>
      </w:r>
      <w:r>
        <w:rPr>
          <w:rFonts w:hint="eastAsia"/>
          <w:snapToGrid/>
          <w:spacing w:val="6"/>
        </w:rPr>
        <w:tab/>
        <w:t>-</w:t>
      </w:r>
      <w:r>
        <w:rPr>
          <w:rFonts w:hint="eastAsia"/>
          <w:snapToGrid/>
          <w:spacing w:val="6"/>
        </w:rPr>
        <w:tab/>
        <w:t>439</w:t>
      </w:r>
      <w:r>
        <w:rPr>
          <w:rFonts w:hint="eastAsia"/>
          <w:snapToGrid/>
          <w:spacing w:val="6"/>
        </w:rPr>
        <w:tab/>
        <w:t>85</w:t>
      </w:r>
    </w:p>
    <w:p w:rsidR="00000000" w:rsidRDefault="00000000">
      <w:pPr>
        <w:pStyle w:val="a7"/>
        <w:spacing w:line="288" w:lineRule="auto"/>
        <w:ind w:left="1540"/>
        <w:rPr>
          <w:rFonts w:hint="eastAsia"/>
          <w:snapToGrid/>
          <w:spacing w:val="6"/>
        </w:rPr>
      </w:pPr>
      <w:r>
        <w:rPr>
          <w:rFonts w:hint="eastAsia"/>
          <w:snapToGrid/>
          <w:spacing w:val="6"/>
        </w:rPr>
        <w:t>义务制学校</w:t>
      </w:r>
      <w:r>
        <w:rPr>
          <w:rFonts w:hint="eastAsia"/>
          <w:snapToGrid/>
          <w:spacing w:val="6"/>
        </w:rPr>
        <w:t>...........</w:t>
      </w:r>
      <w:r>
        <w:rPr>
          <w:rFonts w:hint="eastAsia"/>
          <w:snapToGrid/>
          <w:spacing w:val="6"/>
        </w:rPr>
        <w:tab/>
      </w:r>
      <w:r>
        <w:rPr>
          <w:rFonts w:hint="eastAsia"/>
          <w:snapToGrid/>
          <w:spacing w:val="6"/>
        </w:rPr>
        <w:tab/>
        <w:t>440</w:t>
      </w:r>
      <w:r>
        <w:rPr>
          <w:rFonts w:hint="eastAsia"/>
          <w:snapToGrid/>
          <w:spacing w:val="6"/>
        </w:rPr>
        <w:tab/>
        <w:t>-</w:t>
      </w:r>
      <w:r>
        <w:rPr>
          <w:rFonts w:hint="eastAsia"/>
          <w:snapToGrid/>
          <w:spacing w:val="6"/>
        </w:rPr>
        <w:tab/>
        <w:t>451</w:t>
      </w:r>
      <w:r>
        <w:rPr>
          <w:rFonts w:hint="eastAsia"/>
          <w:snapToGrid/>
          <w:spacing w:val="6"/>
        </w:rPr>
        <w:tab/>
        <w:t>86</w:t>
      </w:r>
    </w:p>
    <w:p w:rsidR="00000000" w:rsidRDefault="00000000">
      <w:pPr>
        <w:pStyle w:val="a7"/>
        <w:spacing w:line="288" w:lineRule="auto"/>
        <w:ind w:left="1540"/>
        <w:rPr>
          <w:rFonts w:hint="eastAsia"/>
          <w:snapToGrid/>
          <w:spacing w:val="6"/>
        </w:rPr>
      </w:pPr>
      <w:r>
        <w:rPr>
          <w:rFonts w:hint="eastAsia"/>
          <w:snapToGrid/>
          <w:spacing w:val="6"/>
        </w:rPr>
        <w:t>高级中学</w:t>
      </w:r>
      <w:r>
        <w:rPr>
          <w:rFonts w:hint="eastAsia"/>
          <w:snapToGrid/>
          <w:spacing w:val="6"/>
        </w:rPr>
        <w:tab/>
      </w:r>
      <w:r>
        <w:rPr>
          <w:rFonts w:hint="eastAsia"/>
          <w:snapToGrid/>
          <w:spacing w:val="6"/>
        </w:rPr>
        <w:tab/>
      </w:r>
      <w:r>
        <w:rPr>
          <w:rFonts w:hint="eastAsia"/>
          <w:snapToGrid/>
          <w:spacing w:val="6"/>
        </w:rPr>
        <w:tab/>
        <w:t>452</w:t>
      </w:r>
      <w:r>
        <w:rPr>
          <w:rFonts w:hint="eastAsia"/>
          <w:snapToGrid/>
          <w:spacing w:val="6"/>
        </w:rPr>
        <w:tab/>
        <w:t>-</w:t>
      </w:r>
      <w:r>
        <w:rPr>
          <w:rFonts w:hint="eastAsia"/>
          <w:snapToGrid/>
          <w:spacing w:val="6"/>
        </w:rPr>
        <w:tab/>
        <w:t>457</w:t>
      </w:r>
      <w:r>
        <w:rPr>
          <w:rFonts w:hint="eastAsia"/>
          <w:snapToGrid/>
          <w:spacing w:val="6"/>
        </w:rPr>
        <w:tab/>
        <w:t>89</w:t>
      </w:r>
    </w:p>
    <w:p w:rsidR="00000000" w:rsidRDefault="00000000">
      <w:pPr>
        <w:pStyle w:val="a7"/>
        <w:spacing w:line="288" w:lineRule="auto"/>
        <w:ind w:left="1020"/>
        <w:rPr>
          <w:rFonts w:hint="eastAsia"/>
          <w:snapToGrid/>
          <w:spacing w:val="6"/>
        </w:rPr>
      </w:pPr>
      <w:r>
        <w:rPr>
          <w:rFonts w:hint="eastAsia"/>
          <w:snapToGrid/>
          <w:spacing w:val="6"/>
        </w:rPr>
        <w:t>成人教育</w:t>
      </w:r>
      <w:r>
        <w:rPr>
          <w:rFonts w:hint="eastAsia"/>
          <w:snapToGrid/>
          <w:spacing w:val="6"/>
        </w:rPr>
        <w:t>....................</w:t>
      </w:r>
      <w:r>
        <w:rPr>
          <w:rFonts w:hint="eastAsia"/>
          <w:snapToGrid/>
          <w:spacing w:val="6"/>
        </w:rPr>
        <w:tab/>
      </w:r>
      <w:r>
        <w:rPr>
          <w:rFonts w:hint="eastAsia"/>
          <w:snapToGrid/>
          <w:spacing w:val="6"/>
        </w:rPr>
        <w:tab/>
        <w:t>458</w:t>
      </w:r>
      <w:r>
        <w:rPr>
          <w:rFonts w:hint="eastAsia"/>
          <w:snapToGrid/>
          <w:spacing w:val="6"/>
        </w:rPr>
        <w:tab/>
        <w:t>-</w:t>
      </w:r>
      <w:r>
        <w:rPr>
          <w:rFonts w:hint="eastAsia"/>
          <w:snapToGrid/>
          <w:spacing w:val="6"/>
        </w:rPr>
        <w:tab/>
        <w:t>470</w:t>
      </w:r>
      <w:r>
        <w:rPr>
          <w:rFonts w:hint="eastAsia"/>
          <w:snapToGrid/>
          <w:spacing w:val="6"/>
        </w:rPr>
        <w:tab/>
        <w:t>90</w:t>
      </w:r>
    </w:p>
    <w:p w:rsidR="00000000" w:rsidRDefault="00000000">
      <w:pPr>
        <w:pStyle w:val="a7"/>
        <w:spacing w:line="288" w:lineRule="auto"/>
        <w:ind w:left="1540"/>
        <w:rPr>
          <w:rFonts w:hint="eastAsia"/>
          <w:snapToGrid/>
          <w:spacing w:val="6"/>
        </w:rPr>
      </w:pPr>
      <w:r>
        <w:rPr>
          <w:rFonts w:hint="eastAsia"/>
          <w:snapToGrid/>
          <w:spacing w:val="6"/>
        </w:rPr>
        <w:t>总述</w:t>
      </w:r>
      <w:r>
        <w:rPr>
          <w:rFonts w:hint="eastAsia"/>
          <w:snapToGrid/>
          <w:spacing w:val="6"/>
        </w:rPr>
        <w:t>.........................</w:t>
      </w:r>
      <w:r>
        <w:rPr>
          <w:rFonts w:hint="eastAsia"/>
          <w:snapToGrid/>
          <w:spacing w:val="6"/>
        </w:rPr>
        <w:tab/>
      </w:r>
      <w:r>
        <w:rPr>
          <w:rFonts w:hint="eastAsia"/>
          <w:snapToGrid/>
          <w:spacing w:val="6"/>
        </w:rPr>
        <w:tab/>
        <w:t>468</w:t>
      </w:r>
      <w:r>
        <w:rPr>
          <w:rFonts w:hint="eastAsia"/>
          <w:snapToGrid/>
          <w:spacing w:val="6"/>
        </w:rPr>
        <w:tab/>
        <w:t>-</w:t>
      </w:r>
      <w:r>
        <w:rPr>
          <w:rFonts w:hint="eastAsia"/>
          <w:snapToGrid/>
          <w:spacing w:val="6"/>
        </w:rPr>
        <w:tab/>
        <w:t>470</w:t>
      </w:r>
      <w:r>
        <w:rPr>
          <w:rFonts w:hint="eastAsia"/>
          <w:snapToGrid/>
          <w:spacing w:val="6"/>
        </w:rPr>
        <w:tab/>
        <w:t>91</w:t>
      </w:r>
    </w:p>
    <w:p w:rsidR="00000000" w:rsidRDefault="00000000">
      <w:pPr>
        <w:pStyle w:val="a7"/>
        <w:spacing w:line="288" w:lineRule="auto"/>
        <w:ind w:left="1020"/>
        <w:rPr>
          <w:rFonts w:hint="eastAsia"/>
          <w:snapToGrid/>
          <w:spacing w:val="6"/>
        </w:rPr>
      </w:pPr>
      <w:r>
        <w:rPr>
          <w:rFonts w:hint="eastAsia"/>
          <w:snapToGrid/>
          <w:spacing w:val="6"/>
        </w:rPr>
        <w:t>高等教育</w:t>
      </w:r>
      <w:r>
        <w:rPr>
          <w:rFonts w:hint="eastAsia"/>
          <w:snapToGrid/>
          <w:spacing w:val="6"/>
        </w:rPr>
        <w:t>...................</w:t>
      </w:r>
      <w:r>
        <w:rPr>
          <w:rFonts w:hint="eastAsia"/>
          <w:snapToGrid/>
          <w:spacing w:val="6"/>
        </w:rPr>
        <w:tab/>
      </w:r>
      <w:r>
        <w:rPr>
          <w:rFonts w:hint="eastAsia"/>
          <w:snapToGrid/>
          <w:spacing w:val="6"/>
        </w:rPr>
        <w:tab/>
        <w:t>471</w:t>
      </w:r>
      <w:r>
        <w:rPr>
          <w:rFonts w:hint="eastAsia"/>
          <w:snapToGrid/>
          <w:spacing w:val="6"/>
        </w:rPr>
        <w:tab/>
        <w:t>-</w:t>
      </w:r>
      <w:r>
        <w:rPr>
          <w:rFonts w:hint="eastAsia"/>
          <w:snapToGrid/>
          <w:spacing w:val="6"/>
        </w:rPr>
        <w:tab/>
        <w:t>512</w:t>
      </w:r>
      <w:r>
        <w:rPr>
          <w:rFonts w:hint="eastAsia"/>
          <w:snapToGrid/>
          <w:spacing w:val="6"/>
        </w:rPr>
        <w:tab/>
        <w:t>92</w:t>
      </w:r>
    </w:p>
    <w:p w:rsidR="00000000" w:rsidRDefault="00000000">
      <w:pPr>
        <w:pStyle w:val="a7"/>
        <w:spacing w:line="288" w:lineRule="auto"/>
        <w:ind w:left="1540"/>
        <w:rPr>
          <w:rFonts w:hint="eastAsia"/>
          <w:snapToGrid/>
          <w:spacing w:val="6"/>
        </w:rPr>
      </w:pPr>
      <w:r>
        <w:rPr>
          <w:rFonts w:hint="eastAsia"/>
          <w:snapToGrid/>
          <w:spacing w:val="6"/>
        </w:rPr>
        <w:t>保护免受歧视</w:t>
      </w:r>
      <w:r>
        <w:rPr>
          <w:rFonts w:hint="eastAsia"/>
          <w:snapToGrid/>
          <w:spacing w:val="6"/>
        </w:rPr>
        <w:t>...................</w:t>
      </w:r>
      <w:r>
        <w:rPr>
          <w:rFonts w:hint="eastAsia"/>
          <w:snapToGrid/>
          <w:spacing w:val="6"/>
        </w:rPr>
        <w:tab/>
      </w:r>
      <w:r>
        <w:rPr>
          <w:rFonts w:hint="eastAsia"/>
          <w:snapToGrid/>
          <w:spacing w:val="6"/>
        </w:rPr>
        <w:tab/>
        <w:t>472</w:t>
      </w:r>
      <w:r>
        <w:rPr>
          <w:rFonts w:hint="eastAsia"/>
          <w:snapToGrid/>
          <w:spacing w:val="6"/>
        </w:rPr>
        <w:tab/>
        <w:t>-</w:t>
      </w:r>
      <w:r>
        <w:rPr>
          <w:rFonts w:hint="eastAsia"/>
          <w:snapToGrid/>
          <w:spacing w:val="6"/>
        </w:rPr>
        <w:tab/>
        <w:t>473</w:t>
      </w:r>
      <w:r>
        <w:rPr>
          <w:rFonts w:hint="eastAsia"/>
          <w:snapToGrid/>
          <w:spacing w:val="6"/>
        </w:rPr>
        <w:tab/>
        <w:t>92</w:t>
      </w:r>
    </w:p>
    <w:p w:rsidR="00000000" w:rsidRDefault="00000000">
      <w:pPr>
        <w:pStyle w:val="a7"/>
        <w:spacing w:line="288" w:lineRule="auto"/>
        <w:ind w:left="1540"/>
        <w:rPr>
          <w:rFonts w:hint="eastAsia"/>
          <w:snapToGrid/>
          <w:spacing w:val="6"/>
        </w:rPr>
      </w:pPr>
      <w:r>
        <w:rPr>
          <w:rFonts w:hint="eastAsia"/>
          <w:snapToGrid/>
          <w:spacing w:val="6"/>
        </w:rPr>
        <w:t>扩大招生</w:t>
      </w:r>
      <w:r>
        <w:rPr>
          <w:rFonts w:hint="eastAsia"/>
          <w:snapToGrid/>
          <w:spacing w:val="6"/>
        </w:rPr>
        <w:t>.................</w:t>
      </w:r>
      <w:r>
        <w:rPr>
          <w:rFonts w:hint="eastAsia"/>
          <w:snapToGrid/>
          <w:spacing w:val="6"/>
        </w:rPr>
        <w:tab/>
      </w:r>
      <w:r>
        <w:rPr>
          <w:rFonts w:hint="eastAsia"/>
          <w:snapToGrid/>
          <w:spacing w:val="6"/>
        </w:rPr>
        <w:tab/>
      </w:r>
      <w:r>
        <w:rPr>
          <w:rFonts w:hint="eastAsia"/>
          <w:snapToGrid/>
          <w:spacing w:val="6"/>
        </w:rPr>
        <w:tab/>
        <w:t>474</w:t>
      </w:r>
      <w:r>
        <w:rPr>
          <w:rFonts w:hint="eastAsia"/>
          <w:snapToGrid/>
          <w:spacing w:val="6"/>
        </w:rPr>
        <w:tab/>
        <w:t>92</w:t>
      </w:r>
    </w:p>
    <w:p w:rsidR="00000000" w:rsidRDefault="00000000">
      <w:pPr>
        <w:pStyle w:val="a7"/>
        <w:spacing w:line="288" w:lineRule="auto"/>
        <w:ind w:left="1540"/>
        <w:rPr>
          <w:rFonts w:hint="eastAsia"/>
          <w:snapToGrid/>
          <w:spacing w:val="6"/>
        </w:rPr>
      </w:pPr>
      <w:r>
        <w:rPr>
          <w:rFonts w:hint="eastAsia"/>
          <w:snapToGrid/>
          <w:spacing w:val="6"/>
        </w:rPr>
        <w:t>《平等待遇法》</w:t>
      </w:r>
      <w:r>
        <w:rPr>
          <w:rFonts w:hint="eastAsia"/>
          <w:snapToGrid/>
          <w:spacing w:val="6"/>
        </w:rPr>
        <w:t>..............</w:t>
      </w:r>
      <w:r>
        <w:rPr>
          <w:rFonts w:hint="eastAsia"/>
          <w:snapToGrid/>
          <w:spacing w:val="6"/>
        </w:rPr>
        <w:tab/>
      </w:r>
      <w:r>
        <w:rPr>
          <w:rFonts w:hint="eastAsia"/>
          <w:snapToGrid/>
          <w:spacing w:val="6"/>
        </w:rPr>
        <w:tab/>
        <w:t>475</w:t>
      </w:r>
      <w:r>
        <w:rPr>
          <w:rFonts w:hint="eastAsia"/>
          <w:snapToGrid/>
          <w:spacing w:val="6"/>
        </w:rPr>
        <w:tab/>
        <w:t>-</w:t>
      </w:r>
      <w:r>
        <w:rPr>
          <w:rFonts w:hint="eastAsia"/>
          <w:snapToGrid/>
          <w:spacing w:val="6"/>
        </w:rPr>
        <w:tab/>
        <w:t>479</w:t>
      </w:r>
      <w:r>
        <w:rPr>
          <w:rFonts w:hint="eastAsia"/>
          <w:snapToGrid/>
          <w:spacing w:val="6"/>
        </w:rPr>
        <w:tab/>
        <w:t>93</w:t>
      </w:r>
    </w:p>
    <w:p w:rsidR="00000000" w:rsidRDefault="00000000">
      <w:pPr>
        <w:pStyle w:val="a7"/>
        <w:spacing w:line="288" w:lineRule="auto"/>
        <w:ind w:left="1540"/>
        <w:rPr>
          <w:rFonts w:hint="eastAsia"/>
          <w:snapToGrid/>
          <w:spacing w:val="6"/>
        </w:rPr>
      </w:pPr>
      <w:r>
        <w:rPr>
          <w:rFonts w:hint="eastAsia"/>
          <w:snapToGrid/>
          <w:spacing w:val="6"/>
        </w:rPr>
        <w:t>师资教育</w:t>
      </w:r>
      <w:r>
        <w:rPr>
          <w:rFonts w:hint="eastAsia"/>
          <w:snapToGrid/>
          <w:spacing w:val="6"/>
        </w:rPr>
        <w:t>...................</w:t>
      </w:r>
      <w:r>
        <w:rPr>
          <w:rFonts w:hint="eastAsia"/>
          <w:snapToGrid/>
          <w:spacing w:val="6"/>
        </w:rPr>
        <w:tab/>
      </w:r>
      <w:r>
        <w:rPr>
          <w:rFonts w:hint="eastAsia"/>
          <w:snapToGrid/>
          <w:spacing w:val="6"/>
        </w:rPr>
        <w:tab/>
      </w:r>
      <w:r>
        <w:rPr>
          <w:rFonts w:hint="eastAsia"/>
          <w:snapToGrid/>
          <w:spacing w:val="6"/>
        </w:rPr>
        <w:tab/>
        <w:t>480</w:t>
      </w:r>
      <w:r>
        <w:rPr>
          <w:rFonts w:hint="eastAsia"/>
          <w:snapToGrid/>
          <w:spacing w:val="6"/>
        </w:rPr>
        <w:tab/>
        <w:t>94</w:t>
      </w:r>
    </w:p>
    <w:p w:rsidR="00000000" w:rsidRDefault="00000000">
      <w:pPr>
        <w:pStyle w:val="a7"/>
        <w:spacing w:line="288" w:lineRule="auto"/>
        <w:ind w:left="1540"/>
        <w:rPr>
          <w:rFonts w:hint="eastAsia"/>
          <w:snapToGrid/>
          <w:spacing w:val="6"/>
        </w:rPr>
      </w:pPr>
      <w:r>
        <w:rPr>
          <w:rFonts w:hint="eastAsia"/>
          <w:snapToGrid/>
          <w:spacing w:val="6"/>
        </w:rPr>
        <w:t>教师技能的提高</w:t>
      </w:r>
      <w:r>
        <w:rPr>
          <w:rFonts w:hint="eastAsia"/>
          <w:snapToGrid/>
          <w:spacing w:val="6"/>
        </w:rPr>
        <w:t>......</w:t>
      </w:r>
      <w:r>
        <w:rPr>
          <w:rFonts w:hint="eastAsia"/>
          <w:snapToGrid/>
          <w:spacing w:val="6"/>
        </w:rPr>
        <w:tab/>
      </w:r>
      <w:r>
        <w:rPr>
          <w:rFonts w:hint="eastAsia"/>
          <w:snapToGrid/>
          <w:spacing w:val="6"/>
        </w:rPr>
        <w:tab/>
        <w:t>481</w:t>
      </w:r>
      <w:r>
        <w:rPr>
          <w:rFonts w:hint="eastAsia"/>
          <w:snapToGrid/>
          <w:spacing w:val="6"/>
        </w:rPr>
        <w:tab/>
        <w:t>-</w:t>
      </w:r>
      <w:r>
        <w:rPr>
          <w:rFonts w:hint="eastAsia"/>
          <w:snapToGrid/>
          <w:spacing w:val="6"/>
        </w:rPr>
        <w:tab/>
        <w:t>484</w:t>
      </w:r>
      <w:r>
        <w:rPr>
          <w:rFonts w:hint="eastAsia"/>
          <w:snapToGrid/>
          <w:spacing w:val="6"/>
        </w:rPr>
        <w:tab/>
        <w:t>94</w:t>
      </w:r>
    </w:p>
    <w:p w:rsidR="00000000" w:rsidRDefault="00000000">
      <w:pPr>
        <w:pStyle w:val="a7"/>
        <w:spacing w:line="288" w:lineRule="auto"/>
        <w:ind w:left="1540"/>
        <w:rPr>
          <w:rFonts w:hint="eastAsia"/>
          <w:snapToGrid/>
          <w:spacing w:val="6"/>
        </w:rPr>
      </w:pPr>
      <w:r>
        <w:rPr>
          <w:rFonts w:hint="eastAsia"/>
          <w:snapToGrid/>
          <w:spacing w:val="6"/>
        </w:rPr>
        <w:t>教育中的人权</w:t>
      </w:r>
      <w:r>
        <w:rPr>
          <w:rFonts w:hint="eastAsia"/>
          <w:snapToGrid/>
          <w:spacing w:val="6"/>
        </w:rPr>
        <w:tab/>
      </w:r>
      <w:r>
        <w:rPr>
          <w:rFonts w:hint="eastAsia"/>
          <w:snapToGrid/>
          <w:spacing w:val="6"/>
        </w:rPr>
        <w:tab/>
        <w:t>485</w:t>
      </w:r>
      <w:r>
        <w:rPr>
          <w:rFonts w:hint="eastAsia"/>
          <w:snapToGrid/>
          <w:spacing w:val="6"/>
        </w:rPr>
        <w:tab/>
        <w:t>-</w:t>
      </w:r>
      <w:r>
        <w:rPr>
          <w:rFonts w:hint="eastAsia"/>
          <w:snapToGrid/>
          <w:spacing w:val="6"/>
        </w:rPr>
        <w:tab/>
        <w:t>486</w:t>
      </w:r>
      <w:r>
        <w:rPr>
          <w:rFonts w:hint="eastAsia"/>
          <w:snapToGrid/>
          <w:spacing w:val="6"/>
        </w:rPr>
        <w:tab/>
        <w:t>95</w:t>
      </w:r>
    </w:p>
    <w:p w:rsidR="00000000" w:rsidRDefault="00000000">
      <w:pPr>
        <w:pStyle w:val="a7"/>
        <w:spacing w:after="120" w:line="288" w:lineRule="auto"/>
        <w:ind w:left="1540"/>
        <w:rPr>
          <w:rFonts w:hint="eastAsia"/>
          <w:snapToGrid/>
          <w:spacing w:val="6"/>
        </w:rPr>
      </w:pPr>
      <w:r>
        <w:rPr>
          <w:rFonts w:hint="eastAsia"/>
          <w:snapToGrid/>
          <w:spacing w:val="6"/>
        </w:rPr>
        <w:t>教育开支</w:t>
      </w:r>
      <w:r>
        <w:rPr>
          <w:rFonts w:hint="eastAsia"/>
          <w:snapToGrid/>
          <w:spacing w:val="6"/>
        </w:rPr>
        <w:tab/>
      </w:r>
      <w:r>
        <w:rPr>
          <w:rFonts w:hint="eastAsia"/>
          <w:snapToGrid/>
          <w:spacing w:val="6"/>
        </w:rPr>
        <w:tab/>
      </w:r>
      <w:r>
        <w:rPr>
          <w:rFonts w:hint="eastAsia"/>
          <w:snapToGrid/>
          <w:spacing w:val="6"/>
        </w:rPr>
        <w:tab/>
      </w:r>
      <w:r>
        <w:rPr>
          <w:rFonts w:hint="eastAsia"/>
          <w:snapToGrid/>
          <w:spacing w:val="6"/>
        </w:rPr>
        <w:tab/>
        <w:t>487</w:t>
      </w:r>
      <w:r>
        <w:rPr>
          <w:rFonts w:hint="eastAsia"/>
          <w:snapToGrid/>
          <w:spacing w:val="6"/>
        </w:rPr>
        <w:tab/>
        <w:t>95</w:t>
      </w:r>
    </w:p>
    <w:p w:rsidR="00000000" w:rsidRDefault="00000000">
      <w:pPr>
        <w:pStyle w:val="a7"/>
        <w:spacing w:line="240" w:lineRule="auto"/>
        <w:rPr>
          <w:rFonts w:hint="eastAsia"/>
          <w:snapToGrid/>
          <w:spacing w:val="6"/>
          <w:sz w:val="22"/>
        </w:rPr>
      </w:pPr>
      <w:r>
        <w:rPr>
          <w:rFonts w:hint="eastAsia"/>
          <w:snapToGrid/>
          <w:spacing w:val="6"/>
        </w:rPr>
        <w:t>第</w:t>
      </w:r>
      <w:r>
        <w:rPr>
          <w:rFonts w:hint="eastAsia"/>
          <w:snapToGrid/>
          <w:spacing w:val="6"/>
        </w:rPr>
        <w:t>15</w:t>
      </w:r>
      <w:r>
        <w:rPr>
          <w:rFonts w:hint="eastAsia"/>
          <w:snapToGrid/>
          <w:spacing w:val="6"/>
        </w:rPr>
        <w:t>条</w:t>
      </w:r>
      <w:r>
        <w:rPr>
          <w:rFonts w:hint="eastAsia"/>
          <w:snapToGrid/>
          <w:spacing w:val="6"/>
        </w:rPr>
        <w:t>..........................</w:t>
      </w:r>
      <w:r>
        <w:rPr>
          <w:rFonts w:hint="eastAsia"/>
          <w:snapToGrid/>
          <w:spacing w:val="6"/>
        </w:rPr>
        <w:tab/>
      </w:r>
      <w:r>
        <w:rPr>
          <w:rFonts w:hint="eastAsia"/>
          <w:snapToGrid/>
          <w:spacing w:val="6"/>
        </w:rPr>
        <w:tab/>
        <w:t>488</w:t>
      </w:r>
      <w:r>
        <w:rPr>
          <w:rFonts w:hint="eastAsia"/>
          <w:snapToGrid/>
          <w:spacing w:val="6"/>
        </w:rPr>
        <w:tab/>
        <w:t>-</w:t>
      </w:r>
      <w:r>
        <w:rPr>
          <w:rFonts w:hint="eastAsia"/>
          <w:snapToGrid/>
          <w:spacing w:val="6"/>
        </w:rPr>
        <w:tab/>
        <w:t>512</w:t>
      </w:r>
      <w:r>
        <w:rPr>
          <w:rFonts w:hint="eastAsia"/>
          <w:snapToGrid/>
          <w:spacing w:val="6"/>
          <w:sz w:val="22"/>
        </w:rPr>
        <w:tab/>
        <w:t>95</w:t>
      </w:r>
    </w:p>
    <w:p w:rsidR="00000000" w:rsidRDefault="00000000">
      <w:pPr>
        <w:pStyle w:val="Heading3"/>
        <w:rPr>
          <w:rFonts w:ascii="Time New Roman" w:eastAsia="SimHei" w:hAnsi="Time New Roman"/>
          <w:u w:val="none"/>
        </w:rPr>
      </w:pPr>
      <w:r>
        <w:rPr>
          <w:spacing w:val="6"/>
          <w:sz w:val="22"/>
        </w:rPr>
        <w:br w:type="page"/>
      </w:r>
      <w:r>
        <w:rPr>
          <w:rFonts w:ascii="Time New Roman" w:eastAsia="SimHei" w:hAnsi="Time New Roman" w:hint="eastAsia"/>
          <w:u w:val="none"/>
        </w:rPr>
        <w:t>导</w:t>
      </w:r>
      <w:r>
        <w:rPr>
          <w:rFonts w:ascii="Time New Roman" w:eastAsia="SimHei" w:hAnsi="Time New Roman"/>
          <w:u w:val="none"/>
        </w:rPr>
        <w:t xml:space="preserve">  </w:t>
      </w:r>
      <w:r>
        <w:rPr>
          <w:rFonts w:ascii="Time New Roman" w:eastAsia="SimHei" w:hAnsi="Time New Roman" w:hint="eastAsia"/>
          <w:u w:val="none"/>
        </w:rPr>
        <w:t>言</w:t>
      </w:r>
    </w:p>
    <w:p w:rsidR="00000000" w:rsidRDefault="00000000">
      <w:pPr>
        <w:rPr>
          <w:snapToGrid/>
        </w:rPr>
      </w:pPr>
      <w:r>
        <w:rPr>
          <w:snapToGrid/>
        </w:rPr>
        <w:tab/>
        <w:t xml:space="preserve">1.  </w:t>
      </w:r>
      <w:r>
        <w:rPr>
          <w:rFonts w:hint="eastAsia"/>
          <w:snapToGrid/>
        </w:rPr>
        <w:t>本报告详细叙述瑞典在实施《经济、社会、文化权利国际公约》方面采取的措施。本报告还特别注重与经济、社会、文化权利委员会的结论性意见</w:t>
      </w:r>
      <w:r>
        <w:rPr>
          <w:snapToGrid/>
        </w:rPr>
        <w:t>(E/C.12/ 1/Add.70)</w:t>
      </w:r>
      <w:r>
        <w:rPr>
          <w:rFonts w:hint="eastAsia"/>
          <w:snapToGrid/>
        </w:rPr>
        <w:t>有关的问题。</w:t>
      </w:r>
    </w:p>
    <w:p w:rsidR="00000000" w:rsidRDefault="00000000">
      <w:pPr>
        <w:rPr>
          <w:rFonts w:hint="eastAsia"/>
          <w:snapToGrid/>
        </w:rPr>
      </w:pPr>
      <w:r>
        <w:rPr>
          <w:snapToGrid/>
        </w:rPr>
        <w:tab/>
        <w:t xml:space="preserve">2.  </w:t>
      </w:r>
      <w:r>
        <w:rPr>
          <w:rFonts w:hint="eastAsia"/>
          <w:snapToGrid/>
        </w:rPr>
        <w:t>在结论性意见中，委员会感到遗憾的是，未在缔约国的法律程序中使《公约》完全生效，因此不能在法庭上直接援引《公约》。</w:t>
      </w:r>
    </w:p>
    <w:p w:rsidR="00000000" w:rsidRDefault="00000000">
      <w:pPr>
        <w:rPr>
          <w:rFonts w:hint="eastAsia"/>
          <w:snapToGrid/>
        </w:rPr>
      </w:pPr>
      <w:r>
        <w:rPr>
          <w:snapToGrid/>
        </w:rPr>
        <w:tab/>
        <w:t xml:space="preserve">3.  </w:t>
      </w:r>
      <w:r>
        <w:rPr>
          <w:rFonts w:hint="eastAsia"/>
          <w:snapToGrid/>
        </w:rPr>
        <w:t>瑞典遵循国际条约并不自动成为瑞典法律的一部分这项原则。国际条约要变得能够适用，必须要么被转为瑞典立法，要么通过一项特别法令加以纳入。执行一项国际协定方面的传统程序，是在一部尚未制定有关条款的独立的瑞典法规中列入相应的条款。</w:t>
      </w:r>
    </w:p>
    <w:p w:rsidR="00000000" w:rsidRDefault="00000000">
      <w:pPr>
        <w:rPr>
          <w:snapToGrid/>
        </w:rPr>
      </w:pPr>
      <w:r>
        <w:rPr>
          <w:snapToGrid/>
        </w:rPr>
        <w:tab/>
        <w:t xml:space="preserve">4.  </w:t>
      </w:r>
      <w:r>
        <w:rPr>
          <w:rFonts w:hint="eastAsia"/>
          <w:snapToGrid/>
        </w:rPr>
        <w:t>为批准《经济、社会、文化权利国际公约》而进行的筹备工作，包括一项全面审查，目的是确保瑞典法律与《公约》的规定相一致。在进行这项审查以及议会随后通过法案之后，《公约》便获得批准。</w:t>
      </w:r>
    </w:p>
    <w:p w:rsidR="00000000" w:rsidRDefault="00000000">
      <w:pPr>
        <w:rPr>
          <w:snapToGrid/>
        </w:rPr>
      </w:pPr>
      <w:r>
        <w:rPr>
          <w:snapToGrid/>
        </w:rPr>
        <w:tab/>
        <w:t xml:space="preserve">5.  </w:t>
      </w:r>
      <w:r>
        <w:rPr>
          <w:rFonts w:hint="eastAsia"/>
          <w:snapToGrid/>
        </w:rPr>
        <w:t>在瑞典的制度下，《公约》的实际内容并不直接适用于瑞典法院或由瑞典主管机构加以适用。不过，依据瑞典判例法</w:t>
      </w:r>
      <w:r>
        <w:rPr>
          <w:rFonts w:hint="eastAsia"/>
          <w:snapToGrid/>
          <w:spacing w:val="-50"/>
          <w:sz w:val="22"/>
        </w:rPr>
        <w:t>―</w:t>
      </w:r>
      <w:r>
        <w:rPr>
          <w:rFonts w:hint="eastAsia"/>
          <w:snapToGrid/>
          <w:sz w:val="22"/>
        </w:rPr>
        <w:t>―</w:t>
      </w:r>
      <w:r>
        <w:rPr>
          <w:rFonts w:hint="eastAsia"/>
          <w:snapToGrid/>
        </w:rPr>
        <w:t>依照最高法院的一些裁决加以制定</w:t>
      </w:r>
      <w:r>
        <w:rPr>
          <w:rFonts w:hint="eastAsia"/>
          <w:snapToGrid/>
          <w:spacing w:val="-50"/>
          <w:sz w:val="22"/>
        </w:rPr>
        <w:t>―</w:t>
      </w:r>
      <w:r>
        <w:rPr>
          <w:rFonts w:hint="eastAsia"/>
          <w:snapToGrid/>
          <w:sz w:val="22"/>
        </w:rPr>
        <w:t>―</w:t>
      </w:r>
      <w:r>
        <w:rPr>
          <w:rFonts w:hint="eastAsia"/>
          <w:snapToGrid/>
        </w:rPr>
        <w:t>国内立法及其任何修正案必须按照瑞典履行的国际义务加以解释。</w:t>
      </w:r>
    </w:p>
    <w:p w:rsidR="00000000" w:rsidRDefault="00000000">
      <w:pPr>
        <w:spacing w:after="320"/>
        <w:rPr>
          <w:rFonts w:hint="eastAsia"/>
          <w:snapToGrid/>
        </w:rPr>
      </w:pPr>
      <w:r>
        <w:rPr>
          <w:snapToGrid/>
        </w:rPr>
        <w:tab/>
        <w:t xml:space="preserve">6.  </w:t>
      </w:r>
      <w:r>
        <w:rPr>
          <w:rFonts w:hint="eastAsia"/>
          <w:snapToGrid/>
        </w:rPr>
        <w:t>在编写本报告期间，邀请了瑞典的各非政府组织来提出它们的观点。同时召开了一次范围广泛的非政府组织会议。</w:t>
      </w:r>
    </w:p>
    <w:p w:rsidR="00000000" w:rsidRDefault="00000000">
      <w:pPr>
        <w:pStyle w:val="Heading3"/>
        <w:rPr>
          <w:rFonts w:ascii="Time New Roman" w:eastAsia="SimHei" w:hAnsi="Time New Roman" w:hint="eastAsia"/>
          <w:spacing w:val="0"/>
          <w:kern w:val="0"/>
          <w:u w:val="none"/>
        </w:rPr>
      </w:pPr>
      <w:r>
        <w:rPr>
          <w:rFonts w:ascii="Time New Roman" w:eastAsia="SimHei" w:hAnsi="Time New Roman" w:hint="eastAsia"/>
          <w:spacing w:val="0"/>
          <w:kern w:val="0"/>
          <w:u w:val="none"/>
        </w:rPr>
        <w:t>第</w:t>
      </w:r>
      <w:r>
        <w:rPr>
          <w:rFonts w:ascii="Time New Roman" w:eastAsia="SimHei" w:hAnsi="Time New Roman"/>
          <w:spacing w:val="0"/>
          <w:kern w:val="0"/>
          <w:u w:val="none"/>
        </w:rPr>
        <w:t xml:space="preserve"> </w:t>
      </w:r>
      <w:r>
        <w:rPr>
          <w:rFonts w:ascii="Time New Roman" w:eastAsia="SimHei" w:hAnsi="Time New Roman"/>
          <w:b/>
          <w:spacing w:val="0"/>
          <w:kern w:val="0"/>
          <w:u w:val="none"/>
        </w:rPr>
        <w:t>1</w:t>
      </w:r>
      <w:r>
        <w:rPr>
          <w:rFonts w:ascii="Time New Roman" w:eastAsia="SimHei" w:hAnsi="Time New Roman"/>
          <w:spacing w:val="0"/>
          <w:kern w:val="0"/>
          <w:u w:val="none"/>
        </w:rPr>
        <w:t xml:space="preserve"> </w:t>
      </w:r>
      <w:r>
        <w:rPr>
          <w:rFonts w:ascii="Time New Roman" w:eastAsia="SimHei" w:hAnsi="Time New Roman" w:hint="eastAsia"/>
          <w:spacing w:val="0"/>
          <w:kern w:val="0"/>
          <w:u w:val="none"/>
        </w:rPr>
        <w:t>条</w:t>
      </w:r>
    </w:p>
    <w:p w:rsidR="00000000" w:rsidRDefault="00000000">
      <w:pPr>
        <w:rPr>
          <w:rFonts w:hint="eastAsia"/>
          <w:snapToGrid/>
        </w:rPr>
      </w:pPr>
      <w:r>
        <w:rPr>
          <w:rFonts w:hint="eastAsia"/>
          <w:snapToGrid/>
        </w:rPr>
        <w:tab/>
        <w:t xml:space="preserve">7.  </w:t>
      </w:r>
      <w:r>
        <w:rPr>
          <w:rFonts w:hint="eastAsia"/>
          <w:snapToGrid/>
        </w:rPr>
        <w:t>瑞典政府认为，土著民族只要构成</w:t>
      </w:r>
      <w:r>
        <w:rPr>
          <w:snapToGrid/>
        </w:rPr>
        <w:t>1966</w:t>
      </w:r>
      <w:r>
        <w:rPr>
          <w:rFonts w:hint="eastAsia"/>
          <w:snapToGrid/>
        </w:rPr>
        <w:t>年《公民权利和政治权利国际公约》和</w:t>
      </w:r>
      <w:r>
        <w:rPr>
          <w:snapToGrid/>
        </w:rPr>
        <w:t>1966</w:t>
      </w:r>
      <w:r>
        <w:rPr>
          <w:rFonts w:hint="eastAsia"/>
          <w:snapToGrid/>
        </w:rPr>
        <w:t>年《经济、社会、文化权利国际公约》共同的第</w:t>
      </w:r>
      <w:r>
        <w:rPr>
          <w:snapToGrid/>
        </w:rPr>
        <w:t>1</w:t>
      </w:r>
      <w:r>
        <w:rPr>
          <w:rFonts w:hint="eastAsia"/>
          <w:snapToGrid/>
        </w:rPr>
        <w:t>条的“民族”含义的，都有自决的权利。</w:t>
      </w:r>
    </w:p>
    <w:p w:rsidR="00000000" w:rsidRDefault="00000000">
      <w:pPr>
        <w:rPr>
          <w:rFonts w:hint="eastAsia"/>
          <w:snapToGrid/>
        </w:rPr>
      </w:pPr>
      <w:r>
        <w:rPr>
          <w:rFonts w:hint="eastAsia"/>
          <w:snapToGrid/>
        </w:rPr>
        <w:tab/>
        <w:t xml:space="preserve">8.  </w:t>
      </w:r>
      <w:r>
        <w:rPr>
          <w:rFonts w:hint="eastAsia"/>
          <w:snapToGrid/>
        </w:rPr>
        <w:t>土著民族通过行使他们的自决权，自由确定他们的政治地位，并且自由地进行他们的经济、社会和文化发展。但是，不能将自决权解释为授权或鼓励可能全部或部分割裂或损害各主权国家的领土完整或政治统一的任何行为，而这些国家是依照各民族享有平等权利和自决权的原则行事，因此拥有一个无任何区别地代表该领土全体人民的政府的。</w:t>
      </w:r>
    </w:p>
    <w:p w:rsidR="00000000" w:rsidRDefault="00000000">
      <w:pPr>
        <w:rPr>
          <w:rFonts w:hint="eastAsia"/>
          <w:snapToGrid/>
        </w:rPr>
      </w:pPr>
      <w:r>
        <w:rPr>
          <w:rFonts w:hint="eastAsia"/>
          <w:snapToGrid/>
        </w:rPr>
        <w:tab/>
        <w:t xml:space="preserve">9.  </w:t>
      </w:r>
      <w:r>
        <w:rPr>
          <w:rFonts w:hint="eastAsia"/>
          <w:snapToGrid/>
        </w:rPr>
        <w:t>萨米人被确认为一个土著民族，构成瑞典的一个经确认的少数民族。</w:t>
      </w:r>
    </w:p>
    <w:p w:rsidR="00000000" w:rsidRDefault="00000000">
      <w:pPr>
        <w:rPr>
          <w:snapToGrid/>
        </w:rPr>
      </w:pPr>
      <w:r>
        <w:rPr>
          <w:rFonts w:hint="eastAsia"/>
          <w:snapToGrid/>
        </w:rPr>
        <w:tab/>
        <w:t xml:space="preserve">10.  </w:t>
      </w:r>
      <w:r>
        <w:rPr>
          <w:rFonts w:hint="eastAsia"/>
          <w:snapToGrid/>
        </w:rPr>
        <w:t>象社会上的其他人一样，重要的是让瑞典的萨米人感到赋有权力，并且有机会影响他们本身的文化和整个社会的发展。这就是</w:t>
      </w:r>
      <w:r>
        <w:rPr>
          <w:snapToGrid/>
        </w:rPr>
        <w:t>1993</w:t>
      </w:r>
      <w:r>
        <w:rPr>
          <w:rFonts w:hint="eastAsia"/>
          <w:snapToGrid/>
        </w:rPr>
        <w:t>年在瑞典设立萨米族议会的一部分原因。萨米族议会既是瑞典的一个政府机构，也是一个由人民选举出来的机构。这个民选机构由</w:t>
      </w:r>
      <w:r>
        <w:rPr>
          <w:snapToGrid/>
        </w:rPr>
        <w:t>31</w:t>
      </w:r>
      <w:r>
        <w:rPr>
          <w:rFonts w:hint="eastAsia"/>
          <w:snapToGrid/>
        </w:rPr>
        <w:t>位瑞典的萨米族人选举出来的议员组成。萨米族议会的选举每</w:t>
      </w:r>
      <w:r>
        <w:rPr>
          <w:snapToGrid/>
        </w:rPr>
        <w:t>4</w:t>
      </w:r>
      <w:r>
        <w:rPr>
          <w:rFonts w:hint="eastAsia"/>
          <w:snapToGrid/>
        </w:rPr>
        <w:t>年举行一次，凡是在萨米族议会的选举名单上登记的萨米人都有资格选举。大约有</w:t>
      </w:r>
      <w:r>
        <w:rPr>
          <w:snapToGrid/>
        </w:rPr>
        <w:t>2</w:t>
      </w:r>
      <w:r>
        <w:rPr>
          <w:rFonts w:hint="eastAsia"/>
          <w:snapToGrid/>
        </w:rPr>
        <w:t>万名萨米人在瑞典居住，约</w:t>
      </w:r>
      <w:r>
        <w:rPr>
          <w:snapToGrid/>
        </w:rPr>
        <w:t>7,180</w:t>
      </w:r>
      <w:r>
        <w:rPr>
          <w:rFonts w:hint="eastAsia"/>
          <w:snapToGrid/>
        </w:rPr>
        <w:t>人在选举名单上登记。选民出动率在</w:t>
      </w:r>
      <w:r>
        <w:rPr>
          <w:snapToGrid/>
        </w:rPr>
        <w:t>2005</w:t>
      </w:r>
      <w:r>
        <w:rPr>
          <w:rFonts w:hint="eastAsia"/>
          <w:snapToGrid/>
        </w:rPr>
        <w:t>年的选举中增加到</w:t>
      </w:r>
      <w:r>
        <w:rPr>
          <w:snapToGrid/>
        </w:rPr>
        <w:t>66%</w:t>
      </w:r>
      <w:r>
        <w:rPr>
          <w:rFonts w:hint="eastAsia"/>
          <w:snapToGrid/>
        </w:rPr>
        <w:t>，这个百分比从</w:t>
      </w:r>
      <w:r>
        <w:rPr>
          <w:snapToGrid/>
        </w:rPr>
        <w:t>1993</w:t>
      </w:r>
      <w:r>
        <w:rPr>
          <w:rFonts w:hint="eastAsia"/>
          <w:snapToGrid/>
        </w:rPr>
        <w:t>年第一次选举以来减少了</w:t>
      </w:r>
      <w:r>
        <w:rPr>
          <w:snapToGrid/>
        </w:rPr>
        <w:t>6%</w:t>
      </w:r>
      <w:r>
        <w:rPr>
          <w:rFonts w:hint="eastAsia"/>
          <w:snapToGrid/>
        </w:rPr>
        <w:t>。不过从第一次选举以来，登记的萨米人增加了大约</w:t>
      </w:r>
      <w:r>
        <w:rPr>
          <w:snapToGrid/>
        </w:rPr>
        <w:t>1,800</w:t>
      </w:r>
      <w:r>
        <w:rPr>
          <w:rFonts w:hint="eastAsia"/>
          <w:snapToGrid/>
        </w:rPr>
        <w:t>人，这表明选民出动率的绝对人数是增加的。在</w:t>
      </w:r>
      <w:r>
        <w:rPr>
          <w:snapToGrid/>
        </w:rPr>
        <w:t>2005</w:t>
      </w:r>
      <w:r>
        <w:rPr>
          <w:rFonts w:hint="eastAsia"/>
          <w:snapToGrid/>
        </w:rPr>
        <w:t>年的选举中，萨米族议会全体大会中的</w:t>
      </w:r>
      <w:r>
        <w:rPr>
          <w:snapToGrid/>
        </w:rPr>
        <w:t>32%</w:t>
      </w:r>
      <w:r>
        <w:rPr>
          <w:rFonts w:hint="eastAsia"/>
          <w:snapToGrid/>
        </w:rPr>
        <w:t>是妇女，</w:t>
      </w:r>
      <w:r>
        <w:rPr>
          <w:snapToGrid/>
        </w:rPr>
        <w:t>68%</w:t>
      </w:r>
      <w:r>
        <w:rPr>
          <w:rFonts w:hint="eastAsia"/>
          <w:snapToGrid/>
        </w:rPr>
        <w:t>是男子。从</w:t>
      </w:r>
      <w:r>
        <w:rPr>
          <w:snapToGrid/>
        </w:rPr>
        <w:t>2001</w:t>
      </w:r>
      <w:r>
        <w:rPr>
          <w:rFonts w:hint="eastAsia"/>
          <w:snapToGrid/>
        </w:rPr>
        <w:t>年的选举以来，妇女代表的人数增加了</w:t>
      </w:r>
      <w:r>
        <w:rPr>
          <w:snapToGrid/>
        </w:rPr>
        <w:t>7%</w:t>
      </w:r>
      <w:r>
        <w:rPr>
          <w:rFonts w:hint="eastAsia"/>
          <w:snapToGrid/>
        </w:rPr>
        <w:t>。有资格投票而事实上参加投票的萨米人中，</w:t>
      </w:r>
      <w:r>
        <w:rPr>
          <w:snapToGrid/>
        </w:rPr>
        <w:t>49%</w:t>
      </w:r>
      <w:r>
        <w:rPr>
          <w:rFonts w:hint="eastAsia"/>
          <w:snapToGrid/>
        </w:rPr>
        <w:t>是妇女，</w:t>
      </w:r>
      <w:r>
        <w:rPr>
          <w:snapToGrid/>
        </w:rPr>
        <w:t>51%</w:t>
      </w:r>
      <w:r>
        <w:rPr>
          <w:rFonts w:hint="eastAsia"/>
          <w:snapToGrid/>
        </w:rPr>
        <w:t>是男子。</w:t>
      </w:r>
    </w:p>
    <w:p w:rsidR="00000000" w:rsidRDefault="00000000">
      <w:pPr>
        <w:rPr>
          <w:rFonts w:hint="eastAsia"/>
          <w:snapToGrid/>
        </w:rPr>
      </w:pPr>
      <w:r>
        <w:rPr>
          <w:rFonts w:hint="eastAsia"/>
          <w:snapToGrid/>
        </w:rPr>
        <w:tab/>
        <w:t xml:space="preserve">11.  </w:t>
      </w:r>
      <w:r>
        <w:rPr>
          <w:rFonts w:hint="eastAsia"/>
          <w:snapToGrid/>
        </w:rPr>
        <w:t>萨米族议会是萨米人的一个重要的象征，它在不同的场合以一个民选机构的身份代表了萨米民族。瑞典政府和萨米族议会之间的定期对话和评议，在加强萨米人作为一个土著民族和瑞典的一个少数民族的地位方面发挥了重要的职能。不断进行的对话集中讨论各种主题事务，主要是萨米族议会希望讨论和阐明的一些问题。</w:t>
      </w:r>
    </w:p>
    <w:p w:rsidR="00000000" w:rsidRDefault="00000000">
      <w:pPr>
        <w:rPr>
          <w:rFonts w:hint="eastAsia"/>
          <w:snapToGrid/>
        </w:rPr>
      </w:pPr>
      <w:r>
        <w:rPr>
          <w:rFonts w:hint="eastAsia"/>
          <w:snapToGrid/>
        </w:rPr>
        <w:tab/>
        <w:t xml:space="preserve">12.  </w:t>
      </w:r>
      <w:r>
        <w:rPr>
          <w:rFonts w:hint="eastAsia"/>
          <w:snapToGrid/>
        </w:rPr>
        <w:t>一段时期以来，在瑞典进行着目的在于增加萨米人对于更多的萨米人内部事务和从一种较广的社会角度来看影响到萨米人的事务的发展。作为这种努力的一部分，政府向议会提交了</w:t>
      </w:r>
      <w:r>
        <w:rPr>
          <w:snapToGrid/>
        </w:rPr>
        <w:t>2005/06</w:t>
      </w:r>
      <w:r>
        <w:rPr>
          <w:snapToGrid/>
        </w:rPr>
        <w:t>：</w:t>
      </w:r>
      <w:r>
        <w:rPr>
          <w:snapToGrid/>
        </w:rPr>
        <w:t>86</w:t>
      </w:r>
      <w:r>
        <w:rPr>
          <w:rFonts w:hint="eastAsia"/>
          <w:snapToGrid/>
        </w:rPr>
        <w:t>号法案“增加萨米人的影响”。政府在这项法案中表示认为，萨米族议会应当履行目前由省行政委员会和瑞典农业委员会履行的主要有关萨米人内部状况的任务。议会在</w:t>
      </w:r>
      <w:r>
        <w:rPr>
          <w:snapToGrid/>
        </w:rPr>
        <w:t>2006</w:t>
      </w:r>
      <w:r>
        <w:rPr>
          <w:rFonts w:hint="eastAsia"/>
          <w:snapToGrid/>
        </w:rPr>
        <w:t>年</w:t>
      </w:r>
      <w:r>
        <w:rPr>
          <w:snapToGrid/>
        </w:rPr>
        <w:t>5</w:t>
      </w:r>
      <w:r>
        <w:rPr>
          <w:rFonts w:hint="eastAsia"/>
          <w:snapToGrid/>
        </w:rPr>
        <w:t>月</w:t>
      </w:r>
      <w:r>
        <w:rPr>
          <w:snapToGrid/>
        </w:rPr>
        <w:t>11</w:t>
      </w:r>
      <w:r>
        <w:rPr>
          <w:rFonts w:hint="eastAsia"/>
          <w:snapToGrid/>
        </w:rPr>
        <w:t>日表决赞成该项法案中的各项提议。根据这项决定，驯鹿放牧业中的许多职责将从省行政委员会和农业委员会转交给萨米族议会，而</w:t>
      </w:r>
      <w:r>
        <w:rPr>
          <w:snapToGrid/>
        </w:rPr>
        <w:t>2007</w:t>
      </w:r>
      <w:r>
        <w:rPr>
          <w:rFonts w:hint="eastAsia"/>
          <w:snapToGrid/>
        </w:rPr>
        <w:t>年</w:t>
      </w:r>
      <w:r>
        <w:rPr>
          <w:snapToGrid/>
        </w:rPr>
        <w:t>1</w:t>
      </w:r>
      <w:r>
        <w:rPr>
          <w:rFonts w:hint="eastAsia"/>
          <w:snapToGrid/>
        </w:rPr>
        <w:t>月份起，萨米族议会将成为负责驯鹿放牧业的行政管理机构。</w:t>
      </w:r>
    </w:p>
    <w:p w:rsidR="00000000" w:rsidRDefault="00000000">
      <w:pPr>
        <w:rPr>
          <w:rFonts w:hint="eastAsia"/>
          <w:snapToGrid/>
        </w:rPr>
      </w:pPr>
      <w:r>
        <w:rPr>
          <w:rFonts w:hint="eastAsia"/>
          <w:snapToGrid/>
        </w:rPr>
        <w:tab/>
        <w:t xml:space="preserve">13.  </w:t>
      </w:r>
      <w:r>
        <w:rPr>
          <w:rFonts w:hint="eastAsia"/>
          <w:snapToGrid/>
        </w:rPr>
        <w:t>这种发展情况的另一个方面，是瑞典打算尽快成为劳工组织第</w:t>
      </w:r>
      <w:r>
        <w:rPr>
          <w:snapToGrid/>
        </w:rPr>
        <w:t>169</w:t>
      </w:r>
      <w:r>
        <w:rPr>
          <w:rFonts w:hint="eastAsia"/>
          <w:snapToGrid/>
        </w:rPr>
        <w:t>号公约的成员国。该国政府已经查明在未来批准有关萨米族和其他民族对于土地和水域的权利之前必须进行澄清的两个领域。</w:t>
      </w:r>
      <w:r>
        <w:rPr>
          <w:rFonts w:hint="eastAsia"/>
          <w:snapToGrid/>
        </w:rPr>
        <w:t>(</w:t>
      </w:r>
      <w:r>
        <w:rPr>
          <w:rFonts w:hint="eastAsia"/>
          <w:snapToGrid/>
        </w:rPr>
        <w:t>见委员会的结论性意见第</w:t>
      </w:r>
      <w:r>
        <w:rPr>
          <w:snapToGrid/>
        </w:rPr>
        <w:t>28</w:t>
      </w:r>
      <w:r>
        <w:rPr>
          <w:rFonts w:hint="eastAsia"/>
          <w:snapToGrid/>
        </w:rPr>
        <w:t>项</w:t>
      </w:r>
      <w:r>
        <w:rPr>
          <w:rFonts w:hint="eastAsia"/>
          <w:snapToGrid/>
        </w:rPr>
        <w:t>)</w:t>
      </w:r>
    </w:p>
    <w:p w:rsidR="00000000" w:rsidRDefault="00000000">
      <w:pPr>
        <w:rPr>
          <w:snapToGrid/>
        </w:rPr>
      </w:pPr>
      <w:r>
        <w:rPr>
          <w:rFonts w:hint="eastAsia"/>
          <w:snapToGrid/>
        </w:rPr>
        <w:tab/>
        <w:t xml:space="preserve">14.  </w:t>
      </w:r>
      <w:r>
        <w:rPr>
          <w:rFonts w:hint="eastAsia"/>
          <w:snapToGrid/>
        </w:rPr>
        <w:t>为此目的，政府已经于</w:t>
      </w:r>
      <w:r>
        <w:rPr>
          <w:snapToGrid/>
        </w:rPr>
        <w:t>2002</w:t>
      </w:r>
      <w:r>
        <w:rPr>
          <w:rFonts w:hint="eastAsia"/>
          <w:snapToGrid/>
        </w:rPr>
        <w:t>年</w:t>
      </w:r>
      <w:r>
        <w:rPr>
          <w:snapToGrid/>
        </w:rPr>
        <w:t>1</w:t>
      </w:r>
      <w:r>
        <w:rPr>
          <w:rFonts w:hint="eastAsia"/>
          <w:snapToGrid/>
        </w:rPr>
        <w:t>月任命了一个边界委员会，指示该委员会研究存在驯鹿放牧权的土地的边界问题。还希望该委员会确定研究劳工组织第</w:t>
      </w:r>
      <w:r>
        <w:rPr>
          <w:snapToGrid/>
        </w:rPr>
        <w:t>169</w:t>
      </w:r>
      <w:r>
        <w:rPr>
          <w:rFonts w:hint="eastAsia"/>
          <w:snapToGrid/>
        </w:rPr>
        <w:t>号公约第</w:t>
      </w:r>
      <w:r>
        <w:rPr>
          <w:snapToGrid/>
        </w:rPr>
        <w:t>14</w:t>
      </w:r>
      <w:r>
        <w:rPr>
          <w:rFonts w:hint="eastAsia"/>
          <w:snapToGrid/>
        </w:rPr>
        <w:t>条所指的萨米人历来与其他人共同占有和使用土地的范围。该委员会于</w:t>
      </w:r>
      <w:r>
        <w:rPr>
          <w:snapToGrid/>
        </w:rPr>
        <w:t>2006</w:t>
      </w:r>
      <w:r>
        <w:rPr>
          <w:rFonts w:hint="eastAsia"/>
          <w:snapToGrid/>
        </w:rPr>
        <w:t>年春提交了其报告和建议，这项报告已经提交审议。</w:t>
      </w:r>
    </w:p>
    <w:p w:rsidR="00000000" w:rsidRDefault="00000000">
      <w:pPr>
        <w:rPr>
          <w:rFonts w:hint="eastAsia"/>
          <w:snapToGrid/>
        </w:rPr>
      </w:pPr>
      <w:r>
        <w:rPr>
          <w:rFonts w:hint="eastAsia"/>
          <w:snapToGrid/>
        </w:rPr>
        <w:tab/>
        <w:t xml:space="preserve">15.  </w:t>
      </w:r>
      <w:r>
        <w:rPr>
          <w:rFonts w:hint="eastAsia"/>
          <w:snapToGrid/>
        </w:rPr>
        <w:t>为了在批准劳工组织公约之前获得进一步澄清，政府在</w:t>
      </w:r>
      <w:r>
        <w:rPr>
          <w:snapToGrid/>
        </w:rPr>
        <w:t>2003</w:t>
      </w:r>
      <w:r>
        <w:rPr>
          <w:rFonts w:hint="eastAsia"/>
          <w:snapToGrid/>
        </w:rPr>
        <w:t>年</w:t>
      </w:r>
      <w:r>
        <w:rPr>
          <w:snapToGrid/>
        </w:rPr>
        <w:t>4</w:t>
      </w:r>
      <w:r>
        <w:rPr>
          <w:rFonts w:hint="eastAsia"/>
          <w:snapToGrid/>
        </w:rPr>
        <w:t>月任命了一个特别委员会，其任务是尽可能勘定土地所有人和萨米族村民在萨米人的土地和放牧驯鹿的山上拥有渔猎权的场地和范围。这项报告于</w:t>
      </w:r>
      <w:r>
        <w:rPr>
          <w:snapToGrid/>
        </w:rPr>
        <w:t>2006</w:t>
      </w:r>
      <w:r>
        <w:rPr>
          <w:rFonts w:hint="eastAsia"/>
          <w:snapToGrid/>
        </w:rPr>
        <w:t>年</w:t>
      </w:r>
      <w:r>
        <w:rPr>
          <w:snapToGrid/>
        </w:rPr>
        <w:t>1</w:t>
      </w:r>
      <w:r>
        <w:rPr>
          <w:rFonts w:hint="eastAsia"/>
          <w:snapToGrid/>
        </w:rPr>
        <w:t>月提交给政府，并且已提交审议。提交期结束之后，将由政府部门处理提交期的研究和结果。</w:t>
      </w:r>
    </w:p>
    <w:p w:rsidR="00000000" w:rsidRDefault="00000000">
      <w:pPr>
        <w:spacing w:after="320"/>
        <w:rPr>
          <w:rFonts w:hint="eastAsia"/>
          <w:snapToGrid/>
        </w:rPr>
      </w:pPr>
      <w:r>
        <w:rPr>
          <w:rFonts w:hint="eastAsia"/>
          <w:snapToGrid/>
        </w:rPr>
        <w:tab/>
        <w:t xml:space="preserve">16.  </w:t>
      </w:r>
      <w:r>
        <w:rPr>
          <w:rFonts w:hint="eastAsia"/>
          <w:snapToGrid/>
        </w:rPr>
        <w:t>在北欧诸国一级正在进行着一项协调在瑞典、挪威和芬兰的萨米族的状况的方案。这件工作的结果之一，是这三国的萨米族部长和萨米族议会主席任命了一个委员会，指示该委员会起草一份北欧诸国萨米族公约。这个委员会由萨米族议会和三国政府的代表组成。该委员会于</w:t>
      </w:r>
      <w:r>
        <w:rPr>
          <w:snapToGrid/>
        </w:rPr>
        <w:t>2005</w:t>
      </w:r>
      <w:r>
        <w:rPr>
          <w:rFonts w:hint="eastAsia"/>
          <w:snapToGrid/>
        </w:rPr>
        <w:t>年</w:t>
      </w:r>
      <w:r>
        <w:rPr>
          <w:snapToGrid/>
        </w:rPr>
        <w:t>11</w:t>
      </w:r>
      <w:r>
        <w:rPr>
          <w:rFonts w:hint="eastAsia"/>
          <w:snapToGrid/>
        </w:rPr>
        <w:t>月提交了草案，报告已经在</w:t>
      </w:r>
      <w:r>
        <w:rPr>
          <w:snapToGrid/>
        </w:rPr>
        <w:t>2006</w:t>
      </w:r>
      <w:r>
        <w:rPr>
          <w:rFonts w:hint="eastAsia"/>
          <w:snapToGrid/>
        </w:rPr>
        <w:t>年春提交所有三国审议。在此以后，将进行国别和北欧诸国共同起草的过程。</w:t>
      </w:r>
    </w:p>
    <w:p w:rsidR="00000000" w:rsidRDefault="00000000">
      <w:pPr>
        <w:pStyle w:val="Heading3"/>
        <w:rPr>
          <w:rFonts w:ascii="Time New Roman" w:eastAsia="SimHei" w:hAnsi="Time New Roman" w:hint="eastAsia"/>
          <w:spacing w:val="0"/>
          <w:kern w:val="0"/>
          <w:u w:val="none"/>
        </w:rPr>
      </w:pPr>
      <w:r>
        <w:rPr>
          <w:rFonts w:ascii="Time New Roman" w:eastAsia="SimHei" w:hAnsi="Time New Roman" w:hint="eastAsia"/>
          <w:spacing w:val="0"/>
          <w:kern w:val="0"/>
          <w:u w:val="none"/>
        </w:rPr>
        <w:t>第</w:t>
      </w:r>
      <w:r>
        <w:rPr>
          <w:rFonts w:ascii="Time New Roman" w:eastAsia="SimHei" w:hAnsi="Time New Roman"/>
          <w:spacing w:val="0"/>
          <w:kern w:val="0"/>
          <w:u w:val="none"/>
        </w:rPr>
        <w:t xml:space="preserve"> </w:t>
      </w:r>
      <w:r>
        <w:rPr>
          <w:rFonts w:ascii="Time New Roman" w:eastAsia="SimHei" w:hAnsi="Time New Roman"/>
          <w:b/>
          <w:spacing w:val="0"/>
          <w:kern w:val="0"/>
          <w:u w:val="none"/>
        </w:rPr>
        <w:t>2</w:t>
      </w:r>
      <w:r>
        <w:rPr>
          <w:rFonts w:ascii="Time New Roman" w:eastAsia="SimHei" w:hAnsi="Time New Roman"/>
          <w:spacing w:val="0"/>
          <w:kern w:val="0"/>
          <w:u w:val="none"/>
        </w:rPr>
        <w:t xml:space="preserve"> </w:t>
      </w:r>
      <w:r>
        <w:rPr>
          <w:rFonts w:ascii="Time New Roman" w:eastAsia="SimHei" w:hAnsi="Time New Roman" w:hint="eastAsia"/>
          <w:spacing w:val="0"/>
          <w:kern w:val="0"/>
          <w:u w:val="none"/>
        </w:rPr>
        <w:t>条</w:t>
      </w:r>
    </w:p>
    <w:p w:rsidR="00000000" w:rsidRDefault="00000000">
      <w:pPr>
        <w:pStyle w:val="Heading4"/>
        <w:rPr>
          <w:rFonts w:hint="eastAsia"/>
          <w:u w:val="none"/>
        </w:rPr>
      </w:pPr>
      <w:r>
        <w:rPr>
          <w:rFonts w:hint="eastAsia"/>
        </w:rPr>
        <w:t>一项新的《国家人权行动计划</w:t>
      </w:r>
      <w:r>
        <w:rPr>
          <w:rFonts w:hint="eastAsia"/>
          <w:u w:val="none"/>
        </w:rPr>
        <w:t>》</w:t>
      </w:r>
    </w:p>
    <w:p w:rsidR="00000000" w:rsidRDefault="00000000">
      <w:pPr>
        <w:rPr>
          <w:rFonts w:hint="eastAsia"/>
          <w:snapToGrid/>
        </w:rPr>
      </w:pPr>
      <w:r>
        <w:rPr>
          <w:rFonts w:hint="eastAsia"/>
          <w:snapToGrid/>
        </w:rPr>
        <w:tab/>
        <w:t xml:space="preserve">17.  </w:t>
      </w:r>
      <w:r>
        <w:rPr>
          <w:rFonts w:hint="eastAsia"/>
          <w:snapToGrid/>
        </w:rPr>
        <w:t>该国政府在</w:t>
      </w:r>
      <w:r>
        <w:rPr>
          <w:snapToGrid/>
        </w:rPr>
        <w:t>2006</w:t>
      </w:r>
      <w:r>
        <w:rPr>
          <w:rFonts w:hint="eastAsia"/>
          <w:snapToGrid/>
        </w:rPr>
        <w:t>年</w:t>
      </w:r>
      <w:r>
        <w:rPr>
          <w:snapToGrid/>
        </w:rPr>
        <w:t>3</w:t>
      </w:r>
      <w:r>
        <w:rPr>
          <w:rFonts w:hint="eastAsia"/>
          <w:snapToGrid/>
        </w:rPr>
        <w:t>月作出了一项关于“</w:t>
      </w:r>
      <w:r>
        <w:rPr>
          <w:snapToGrid/>
        </w:rPr>
        <w:t>2006-2009</w:t>
      </w:r>
      <w:r>
        <w:rPr>
          <w:rFonts w:hint="eastAsia"/>
          <w:snapToGrid/>
        </w:rPr>
        <w:t>年国家人权行动计划”</w:t>
      </w:r>
      <w:r>
        <w:rPr>
          <w:rFonts w:hint="eastAsia"/>
          <w:snapToGrid/>
        </w:rPr>
        <w:t>(</w:t>
      </w:r>
      <w:r>
        <w:rPr>
          <w:rFonts w:hint="eastAsia"/>
          <w:snapToGrid/>
        </w:rPr>
        <w:t>政府发文第</w:t>
      </w:r>
      <w:r>
        <w:rPr>
          <w:snapToGrid/>
        </w:rPr>
        <w:t>2005/06</w:t>
      </w:r>
      <w:r>
        <w:rPr>
          <w:snapToGrid/>
        </w:rPr>
        <w:t>：</w:t>
      </w:r>
      <w:r>
        <w:rPr>
          <w:snapToGrid/>
        </w:rPr>
        <w:t>95</w:t>
      </w:r>
      <w:r>
        <w:rPr>
          <w:rFonts w:hint="eastAsia"/>
          <w:snapToGrid/>
        </w:rPr>
        <w:t>号</w:t>
      </w:r>
      <w:r>
        <w:rPr>
          <w:rFonts w:hint="eastAsia"/>
          <w:snapToGrid/>
        </w:rPr>
        <w:t>)</w:t>
      </w:r>
      <w:r>
        <w:rPr>
          <w:rFonts w:hint="eastAsia"/>
          <w:snapToGrid/>
        </w:rPr>
        <w:t>的决定。这项行动计划于</w:t>
      </w:r>
      <w:r>
        <w:rPr>
          <w:snapToGrid/>
        </w:rPr>
        <w:t>2006</w:t>
      </w:r>
      <w:r>
        <w:rPr>
          <w:rFonts w:hint="eastAsia"/>
          <w:snapToGrid/>
        </w:rPr>
        <w:t>年</w:t>
      </w:r>
      <w:r>
        <w:rPr>
          <w:snapToGrid/>
        </w:rPr>
        <w:t>5</w:t>
      </w:r>
      <w:r>
        <w:rPr>
          <w:rFonts w:hint="eastAsia"/>
          <w:snapToGrid/>
        </w:rPr>
        <w:t>月由议会通过，是该国政府关于人权的第二项行动计划。”第一项行动计划是于</w:t>
      </w:r>
      <w:r>
        <w:rPr>
          <w:snapToGrid/>
        </w:rPr>
        <w:t>2002</w:t>
      </w:r>
      <w:r>
        <w:rPr>
          <w:rFonts w:hint="eastAsia"/>
          <w:snapToGrid/>
        </w:rPr>
        <w:t>年通过的，涉及</w:t>
      </w:r>
      <w:r>
        <w:rPr>
          <w:snapToGrid/>
        </w:rPr>
        <w:t>2002-2004</w:t>
      </w:r>
      <w:r>
        <w:rPr>
          <w:rFonts w:hint="eastAsia"/>
          <w:snapToGrid/>
        </w:rPr>
        <w:t>年这一段时期，已经经过后续和评估。第一项行动计划所宣布的各项措施除了个别的例外以外，已经付诸实施。</w:t>
      </w:r>
    </w:p>
    <w:p w:rsidR="00000000" w:rsidRDefault="00000000">
      <w:pPr>
        <w:rPr>
          <w:rFonts w:hint="eastAsia"/>
          <w:snapToGrid/>
        </w:rPr>
      </w:pPr>
      <w:r>
        <w:rPr>
          <w:rFonts w:hint="eastAsia"/>
          <w:snapToGrid/>
        </w:rPr>
        <w:tab/>
        <w:t xml:space="preserve">18.  </w:t>
      </w:r>
      <w:r>
        <w:rPr>
          <w:rFonts w:hint="eastAsia"/>
          <w:snapToGrid/>
        </w:rPr>
        <w:t>这份新的政府发文载有一项</w:t>
      </w:r>
      <w:r>
        <w:rPr>
          <w:snapToGrid/>
        </w:rPr>
        <w:t>2006-2009</w:t>
      </w:r>
      <w:r>
        <w:rPr>
          <w:rFonts w:hint="eastAsia"/>
          <w:snapToGrid/>
        </w:rPr>
        <w:t>年期间的人权行动计划</w:t>
      </w:r>
      <w:r>
        <w:rPr>
          <w:rFonts w:hint="eastAsia"/>
          <w:snapToGrid/>
        </w:rPr>
        <w:t>(</w:t>
      </w:r>
      <w:r>
        <w:rPr>
          <w:rFonts w:hint="eastAsia"/>
          <w:snapToGrid/>
        </w:rPr>
        <w:t>第一部分</w:t>
      </w:r>
      <w:r>
        <w:rPr>
          <w:rFonts w:hint="eastAsia"/>
          <w:snapToGrid/>
        </w:rPr>
        <w:t>)</w:t>
      </w:r>
      <w:r>
        <w:rPr>
          <w:rFonts w:hint="eastAsia"/>
          <w:snapToGrid/>
        </w:rPr>
        <w:t>，以及对于</w:t>
      </w:r>
      <w:r>
        <w:rPr>
          <w:snapToGrid/>
        </w:rPr>
        <w:t>2005</w:t>
      </w:r>
      <w:r>
        <w:rPr>
          <w:rFonts w:hint="eastAsia"/>
          <w:snapToGrid/>
        </w:rPr>
        <w:t>年瑞典人权状况的一项考察</w:t>
      </w:r>
      <w:r>
        <w:rPr>
          <w:rFonts w:hint="eastAsia"/>
          <w:snapToGrid/>
        </w:rPr>
        <w:t>(</w:t>
      </w:r>
      <w:r>
        <w:rPr>
          <w:rFonts w:hint="eastAsia"/>
          <w:snapToGrid/>
        </w:rPr>
        <w:t>第二部分</w:t>
      </w:r>
      <w:r>
        <w:rPr>
          <w:rFonts w:hint="eastAsia"/>
          <w:snapToGrid/>
        </w:rPr>
        <w:t>)</w:t>
      </w:r>
      <w:r>
        <w:rPr>
          <w:rFonts w:hint="eastAsia"/>
          <w:snapToGrid/>
        </w:rPr>
        <w:t>。考察的目的在于查明瑞典在保护和增进人权方面可能存在的不足之处，从而为行动计划提供一个基础。行动计划详细阐述在考察的基础上提出的各种措施，旨在加强若干权利。行动计划集中阐述针对歧视的保护，并且具体提出旨在打击基于性别、民族、宗教和其他信仰、残疾、性取向以及在一定程度上基于年龄的歧视的若干措施。根据包括联合国经济、社会及文化权利委员会</w:t>
      </w:r>
      <w:r>
        <w:rPr>
          <w:rFonts w:hint="eastAsia"/>
          <w:snapToGrid/>
        </w:rPr>
        <w:t>(</w:t>
      </w:r>
      <w:r>
        <w:rPr>
          <w:rFonts w:hint="eastAsia"/>
          <w:snapToGrid/>
        </w:rPr>
        <w:t>见结论性意见第</w:t>
      </w:r>
      <w:r>
        <w:rPr>
          <w:snapToGrid/>
        </w:rPr>
        <w:t>25</w:t>
      </w:r>
      <w:r>
        <w:rPr>
          <w:rFonts w:hint="eastAsia"/>
          <w:snapToGrid/>
        </w:rPr>
        <w:t>项</w:t>
      </w:r>
      <w:r>
        <w:rPr>
          <w:rFonts w:hint="eastAsia"/>
          <w:snapToGrid/>
        </w:rPr>
        <w:t>)</w:t>
      </w:r>
      <w:r>
        <w:rPr>
          <w:rFonts w:hint="eastAsia"/>
          <w:snapToGrid/>
        </w:rPr>
        <w:t>在内的机关以及第一项行动计划的评估人所提出的建议，这项计划比第一项行动计划更多地强调了经济、社会和文化权利，其中载有关于包括萨米土著民族在内的少数民族的就业、住房、保健、教育和权利的分别章节和措施。在经济和社会权利中增加了不歧视的观点。</w:t>
      </w:r>
    </w:p>
    <w:p w:rsidR="00000000" w:rsidRDefault="00000000">
      <w:pPr>
        <w:rPr>
          <w:rFonts w:hint="eastAsia"/>
          <w:snapToGrid/>
        </w:rPr>
      </w:pPr>
      <w:r>
        <w:rPr>
          <w:rFonts w:hint="eastAsia"/>
          <w:snapToGrid/>
        </w:rPr>
        <w:tab/>
        <w:t xml:space="preserve">19.  </w:t>
      </w:r>
      <w:r>
        <w:rPr>
          <w:rFonts w:hint="eastAsia"/>
          <w:snapToGrid/>
        </w:rPr>
        <w:t>所阐述的其他问题包括残疾人权利、儿童权利、包括以荣誉的名义实施的暴力在内的男子对妇女的暴力，以及贩运人口、法治及庇护权和移徙等问题。宣布了其他措施，其目的是在教育系统和公共部门以及一般公众中增加有关人权的知识和信息。最后，这项计划阐述了有关组织人权工作的问题以及行动计划的后续和评估问题。在方法论方面值得注意的是，该国政府在行动计划中宣布有意在</w:t>
      </w:r>
      <w:r>
        <w:rPr>
          <w:snapToGrid/>
        </w:rPr>
        <w:t>2006</w:t>
      </w:r>
      <w:r>
        <w:rPr>
          <w:rFonts w:hint="eastAsia"/>
          <w:snapToGrid/>
        </w:rPr>
        <w:t>年开始一项方案，以查明国家的人权目标，并且确定为了达到这些目标的后续和评估工作的各项指标。</w:t>
      </w:r>
    </w:p>
    <w:p w:rsidR="00000000" w:rsidRDefault="00000000">
      <w:pPr>
        <w:spacing w:after="240"/>
        <w:rPr>
          <w:rFonts w:hint="eastAsia"/>
          <w:snapToGrid/>
        </w:rPr>
      </w:pPr>
      <w:r>
        <w:rPr>
          <w:rFonts w:hint="eastAsia"/>
          <w:snapToGrid/>
        </w:rPr>
        <w:tab/>
        <w:t xml:space="preserve">20.  </w:t>
      </w:r>
      <w:r>
        <w:rPr>
          <w:rFonts w:hint="eastAsia"/>
          <w:snapToGrid/>
        </w:rPr>
        <w:t>考察书和行动计划所涉及的人权问题是从大量的材料中精选出来的。这些材料首先包括联合国和欧洲理事会的条约监测机构的评论和批评；其次，在对第一项行动计划的评论中找出了宝贵的材料；第三，从包括议会中的各政党代表、各政府机构、市政区议会和省议会、高教机构以及非政府组织等在内的大量社会活动者那里搜集到的，应当列入考察书和行动计划的观点和建议。《国家人权行动计划》将翻译成英文。</w:t>
      </w:r>
    </w:p>
    <w:p w:rsidR="00000000" w:rsidRDefault="00000000">
      <w:pPr>
        <w:pStyle w:val="Heading4"/>
        <w:rPr>
          <w:u w:val="none"/>
        </w:rPr>
      </w:pPr>
      <w:r>
        <w:rPr>
          <w:rFonts w:hint="eastAsia"/>
        </w:rPr>
        <w:t>瑞典人权代表团</w:t>
      </w:r>
      <w:r>
        <w:rPr>
          <w:rFonts w:hint="eastAsia"/>
        </w:rPr>
        <w:t>(</w:t>
      </w:r>
      <w:r>
        <w:t>ToR 2006</w:t>
      </w:r>
      <w:r>
        <w:t>：</w:t>
      </w:r>
      <w:r>
        <w:t>02</w:t>
      </w:r>
      <w:r>
        <w:rPr>
          <w:rFonts w:hint="eastAsia"/>
          <w:u w:val="none"/>
        </w:rPr>
        <w:t>)</w:t>
      </w:r>
    </w:p>
    <w:p w:rsidR="00000000" w:rsidRDefault="00000000">
      <w:pPr>
        <w:rPr>
          <w:rFonts w:hint="eastAsia"/>
          <w:snapToGrid/>
        </w:rPr>
      </w:pPr>
      <w:r>
        <w:rPr>
          <w:rFonts w:hint="eastAsia"/>
          <w:snapToGrid/>
        </w:rPr>
        <w:tab/>
        <w:t xml:space="preserve">21.  </w:t>
      </w:r>
      <w:r>
        <w:rPr>
          <w:rFonts w:hint="eastAsia"/>
          <w:snapToGrid/>
        </w:rPr>
        <w:t>在提出行动计划的同时，该国政府建立了一个代表团以支持确保瑞典在行动计划的基础上充分尊重人权的长期任务</w:t>
      </w:r>
      <w:r>
        <w:rPr>
          <w:rFonts w:hint="eastAsia"/>
          <w:snapToGrid/>
        </w:rPr>
        <w:t>(</w:t>
      </w:r>
      <w:r>
        <w:rPr>
          <w:snapToGrid/>
        </w:rPr>
        <w:t>ToR 2006</w:t>
      </w:r>
      <w:r>
        <w:rPr>
          <w:snapToGrid/>
        </w:rPr>
        <w:t>：</w:t>
      </w:r>
      <w:r>
        <w:rPr>
          <w:snapToGrid/>
        </w:rPr>
        <w:t>02</w:t>
      </w:r>
      <w:r>
        <w:rPr>
          <w:rFonts w:hint="eastAsia"/>
          <w:snapToGrid/>
        </w:rPr>
        <w:t>)</w:t>
      </w:r>
      <w:r>
        <w:rPr>
          <w:rFonts w:hint="eastAsia"/>
          <w:snapToGrid/>
        </w:rPr>
        <w:t>。该代表团在其职权的框架内，应当：</w:t>
      </w:r>
    </w:p>
    <w:p w:rsidR="00000000" w:rsidRDefault="00000000">
      <w:pPr>
        <w:pStyle w:val="a0"/>
        <w:ind w:left="1530"/>
        <w:rPr>
          <w:rFonts w:hint="eastAsia"/>
          <w:snapToGrid/>
        </w:rPr>
      </w:pPr>
      <w:r>
        <w:rPr>
          <w:rFonts w:hint="eastAsia"/>
          <w:snapToGrid/>
        </w:rPr>
        <w:t>支持各政府部门、市政区议会和省议会关于在它们的活动领域内确保充分尊重人权的工作；</w:t>
      </w:r>
    </w:p>
    <w:p w:rsidR="00000000" w:rsidRDefault="00000000">
      <w:pPr>
        <w:pStyle w:val="a0"/>
        <w:ind w:left="1530"/>
        <w:rPr>
          <w:rFonts w:hint="eastAsia"/>
          <w:snapToGrid/>
        </w:rPr>
      </w:pPr>
      <w:r>
        <w:rPr>
          <w:rFonts w:hint="eastAsia"/>
          <w:snapToGrid/>
        </w:rPr>
        <w:t>发展和实施战略，以在社区的特别目标群体中增加有关人权的信息和知识；</w:t>
      </w:r>
    </w:p>
    <w:p w:rsidR="00000000" w:rsidRDefault="00000000">
      <w:pPr>
        <w:pStyle w:val="a0"/>
        <w:ind w:left="1530"/>
        <w:rPr>
          <w:rFonts w:hint="eastAsia"/>
          <w:snapToGrid/>
        </w:rPr>
      </w:pPr>
      <w:r>
        <w:rPr>
          <w:rFonts w:hint="eastAsia"/>
          <w:snapToGrid/>
        </w:rPr>
        <w:t>促进关于人权的公共讨论；以及</w:t>
      </w:r>
    </w:p>
    <w:p w:rsidR="00000000" w:rsidRDefault="00000000">
      <w:pPr>
        <w:pStyle w:val="a0"/>
        <w:ind w:left="1530"/>
        <w:rPr>
          <w:rFonts w:hint="eastAsia"/>
          <w:snapToGrid/>
        </w:rPr>
      </w:pPr>
      <w:r>
        <w:rPr>
          <w:rFonts w:hint="eastAsia"/>
          <w:snapToGrid/>
        </w:rPr>
        <w:t>提出有关在本代表团完成其任务之后如何支持在瑞典确保充分尊重人权的任务的建议。</w:t>
      </w:r>
    </w:p>
    <w:p w:rsidR="00000000" w:rsidRDefault="00000000">
      <w:pPr>
        <w:spacing w:after="240"/>
        <w:rPr>
          <w:rFonts w:hint="eastAsia"/>
          <w:snapToGrid/>
        </w:rPr>
      </w:pPr>
      <w:r>
        <w:rPr>
          <w:rFonts w:hint="eastAsia"/>
          <w:snapToGrid/>
        </w:rPr>
        <w:tab/>
        <w:t xml:space="preserve">22.  </w:t>
      </w:r>
      <w:r>
        <w:rPr>
          <w:rFonts w:hint="eastAsia"/>
          <w:snapToGrid/>
        </w:rPr>
        <w:t>代表团由一名主席和十名拥有人权方面的专门知识的代表组成。要求代表团有一个由各非政府组织代表组成的咨询小组。代表团还有一个配备三名全职秘书的秘书处。代表团将在</w:t>
      </w:r>
      <w:r>
        <w:rPr>
          <w:snapToGrid/>
        </w:rPr>
        <w:t>2010</w:t>
      </w:r>
      <w:r>
        <w:rPr>
          <w:rFonts w:hint="eastAsia"/>
          <w:snapToGrid/>
        </w:rPr>
        <w:t>年</w:t>
      </w:r>
      <w:r>
        <w:rPr>
          <w:snapToGrid/>
        </w:rPr>
        <w:t>3</w:t>
      </w:r>
      <w:r>
        <w:rPr>
          <w:rFonts w:hint="eastAsia"/>
          <w:snapToGrid/>
        </w:rPr>
        <w:t>月</w:t>
      </w:r>
      <w:r>
        <w:rPr>
          <w:snapToGrid/>
        </w:rPr>
        <w:t>31</w:t>
      </w:r>
      <w:r>
        <w:rPr>
          <w:rFonts w:hint="eastAsia"/>
          <w:snapToGrid/>
        </w:rPr>
        <w:t>日之前向政府提出其最后报告。</w:t>
      </w:r>
    </w:p>
    <w:p w:rsidR="00000000" w:rsidRDefault="00000000">
      <w:pPr>
        <w:pStyle w:val="Heading4"/>
      </w:pPr>
      <w:r>
        <w:rPr>
          <w:rFonts w:hint="eastAsia"/>
        </w:rPr>
        <w:t>瑞典政府的人权网址</w:t>
      </w:r>
    </w:p>
    <w:p w:rsidR="00000000" w:rsidRDefault="00000000">
      <w:pPr>
        <w:spacing w:after="240"/>
        <w:rPr>
          <w:rFonts w:hint="eastAsia"/>
          <w:snapToGrid/>
        </w:rPr>
      </w:pPr>
      <w:r>
        <w:rPr>
          <w:rFonts w:hint="eastAsia"/>
          <w:snapToGrid/>
        </w:rPr>
        <w:tab/>
        <w:t xml:space="preserve">23.  </w:t>
      </w:r>
      <w:r>
        <w:rPr>
          <w:rFonts w:hint="eastAsia"/>
          <w:snapToGrid/>
        </w:rPr>
        <w:t>政府的人权网址</w:t>
      </w:r>
      <w:r>
        <w:rPr>
          <w:rFonts w:hint="eastAsia"/>
          <w:snapToGrid/>
        </w:rPr>
        <w:t>(</w:t>
      </w:r>
      <w:r>
        <w:rPr>
          <w:snapToGrid/>
          <w:u w:val="single"/>
        </w:rPr>
        <w:t>www.mansligarattigheter.se/www.humanright.gov.se</w:t>
      </w:r>
      <w:r>
        <w:rPr>
          <w:rFonts w:hint="eastAsia"/>
          <w:snapToGrid/>
        </w:rPr>
        <w:t>)</w:t>
      </w:r>
      <w:r>
        <w:rPr>
          <w:rFonts w:hint="eastAsia"/>
          <w:snapToGrid/>
        </w:rPr>
        <w:t>于</w:t>
      </w:r>
      <w:r>
        <w:rPr>
          <w:snapToGrid/>
        </w:rPr>
        <w:t>2002</w:t>
      </w:r>
      <w:r>
        <w:rPr>
          <w:rFonts w:hint="eastAsia"/>
          <w:snapToGrid/>
        </w:rPr>
        <w:t>年建立，是实施第一项行动计划的一个方面。在这个网址上登录的信息包括翻译成瑞典文的主要的人权公约以及其他重要文件，其中包括瑞典向联合国和欧洲理事会的条约监测机构提交的报告</w:t>
      </w:r>
      <w:r>
        <w:rPr>
          <w:rFonts w:hint="eastAsia"/>
          <w:snapToGrid/>
        </w:rPr>
        <w:t>(</w:t>
      </w:r>
      <w:r>
        <w:rPr>
          <w:rFonts w:hint="eastAsia"/>
          <w:snapToGrid/>
        </w:rPr>
        <w:t>也是瑞典文的</w:t>
      </w:r>
      <w:r>
        <w:rPr>
          <w:rFonts w:hint="eastAsia"/>
          <w:snapToGrid/>
        </w:rPr>
        <w:t>)</w:t>
      </w:r>
      <w:r>
        <w:rPr>
          <w:rFonts w:hint="eastAsia"/>
          <w:snapToGrid/>
        </w:rPr>
        <w:t>。在</w:t>
      </w:r>
      <w:r>
        <w:rPr>
          <w:snapToGrid/>
        </w:rPr>
        <w:t>2006</w:t>
      </w:r>
      <w:r>
        <w:rPr>
          <w:rFonts w:hint="eastAsia"/>
          <w:snapToGrid/>
        </w:rPr>
        <w:t>年开始了一项方案，目的在于进一步使该网址适合残疾人以及将有些章节翻译成瑞典的少数民族语文。</w:t>
      </w:r>
    </w:p>
    <w:p w:rsidR="00000000" w:rsidRDefault="00000000">
      <w:pPr>
        <w:pStyle w:val="Heading4"/>
      </w:pPr>
      <w:r>
        <w:rPr>
          <w:rFonts w:hint="eastAsia"/>
        </w:rPr>
        <w:t>歧视问题议会委员会</w:t>
      </w:r>
    </w:p>
    <w:p w:rsidR="00000000" w:rsidRDefault="00000000">
      <w:pPr>
        <w:rPr>
          <w:rFonts w:hint="eastAsia"/>
          <w:snapToGrid/>
        </w:rPr>
      </w:pPr>
      <w:r>
        <w:rPr>
          <w:rFonts w:hint="eastAsia"/>
          <w:snapToGrid/>
        </w:rPr>
        <w:tab/>
        <w:t xml:space="preserve">24.  </w:t>
      </w:r>
      <w:r>
        <w:rPr>
          <w:rFonts w:hint="eastAsia"/>
          <w:snapToGrid/>
        </w:rPr>
        <w:t>政府在</w:t>
      </w:r>
      <w:r>
        <w:rPr>
          <w:snapToGrid/>
        </w:rPr>
        <w:t>2002</w:t>
      </w:r>
      <w:r>
        <w:rPr>
          <w:rFonts w:hint="eastAsia"/>
          <w:snapToGrid/>
        </w:rPr>
        <w:t>年</w:t>
      </w:r>
      <w:r>
        <w:rPr>
          <w:rFonts w:hint="eastAsia"/>
          <w:snapToGrid/>
        </w:rPr>
        <w:t>1</w:t>
      </w:r>
      <w:r>
        <w:rPr>
          <w:rFonts w:hint="eastAsia"/>
          <w:snapToGrid/>
        </w:rPr>
        <w:t>月决定任命一个歧视问题议会委员会，其任务包括审议统一的歧视法，即包含全部或大多数歧视理由和社会领域的立法。歧视问题议会委员会在</w:t>
      </w:r>
      <w:r>
        <w:rPr>
          <w:snapToGrid/>
        </w:rPr>
        <w:t>200</w:t>
      </w:r>
      <w:r>
        <w:rPr>
          <w:rFonts w:hint="eastAsia"/>
          <w:snapToGrid/>
        </w:rPr>
        <w:t>6</w:t>
      </w:r>
      <w:r>
        <w:rPr>
          <w:rFonts w:hint="eastAsia"/>
          <w:snapToGrid/>
        </w:rPr>
        <w:t>年</w:t>
      </w:r>
      <w:r>
        <w:rPr>
          <w:rFonts w:hint="eastAsia"/>
          <w:snapToGrid/>
        </w:rPr>
        <w:t>2</w:t>
      </w:r>
      <w:r>
        <w:rPr>
          <w:rFonts w:hint="eastAsia"/>
          <w:snapToGrid/>
        </w:rPr>
        <w:t>月进行最后一次述职，提交了一项关于统一的歧视法的报告</w:t>
      </w:r>
      <w:r>
        <w:rPr>
          <w:rFonts w:hint="eastAsia"/>
          <w:snapToGrid/>
        </w:rPr>
        <w:t>(SOU 2006</w:t>
      </w:r>
      <w:r>
        <w:rPr>
          <w:rFonts w:hint="eastAsia"/>
          <w:snapToGrid/>
        </w:rPr>
        <w:t>：</w:t>
      </w:r>
      <w:r>
        <w:rPr>
          <w:rFonts w:hint="eastAsia"/>
          <w:snapToGrid/>
        </w:rPr>
        <w:t>22)</w:t>
      </w:r>
      <w:r>
        <w:rPr>
          <w:rFonts w:hint="eastAsia"/>
          <w:snapToGrid/>
        </w:rPr>
        <w:t>。报告中的建议包括禁止歧视的一些现行法律</w:t>
      </w:r>
      <w:r>
        <w:rPr>
          <w:rFonts w:hint="eastAsia"/>
          <w:snapToGrid/>
        </w:rPr>
        <w:t>(</w:t>
      </w:r>
      <w:r>
        <w:rPr>
          <w:rFonts w:hint="eastAsia"/>
          <w:snapToGrid/>
        </w:rPr>
        <w:t>《性别平等法》、</w:t>
      </w:r>
      <w:r>
        <w:rPr>
          <w:rFonts w:hint="eastAsia"/>
          <w:snapToGrid/>
        </w:rPr>
        <w:t>1999</w:t>
      </w:r>
      <w:r>
        <w:rPr>
          <w:rFonts w:hint="eastAsia"/>
          <w:snapToGrid/>
        </w:rPr>
        <w:t>年关于歧视的劳工法律、《大学学生平等待遇法》、《禁止歧视法》、《禁止歧视及有辱人格地对待儿童和在校学生法》</w:t>
      </w:r>
      <w:r>
        <w:rPr>
          <w:rFonts w:hint="eastAsia"/>
          <w:snapToGrid/>
        </w:rPr>
        <w:t>)</w:t>
      </w:r>
      <w:r>
        <w:rPr>
          <w:rFonts w:hint="eastAsia"/>
          <w:snapToGrid/>
        </w:rPr>
        <w:t>应予以废止，代之以一项新的禁止歧视的法令。委员会还建议，目前的四种歧视问题监察员</w:t>
      </w:r>
      <w:r>
        <w:rPr>
          <w:snapToGrid/>
        </w:rPr>
        <w:t>—</w:t>
      </w:r>
      <w:r>
        <w:rPr>
          <w:rFonts w:hint="eastAsia"/>
          <w:snapToGrid/>
        </w:rPr>
        <w:t>反对民族歧视监察员、残疾问题监察员、反对基于性取向歧视监察员和机会均等监察员</w:t>
      </w:r>
      <w:r>
        <w:rPr>
          <w:rFonts w:hint="eastAsia"/>
          <w:snapToGrid/>
          <w:spacing w:val="-50"/>
        </w:rPr>
        <w:t>―</w:t>
      </w:r>
      <w:r>
        <w:rPr>
          <w:rFonts w:hint="eastAsia"/>
          <w:snapToGrid/>
        </w:rPr>
        <w:t>―应当合并成一个政府机构，即歧视问题监察局。</w:t>
      </w:r>
      <w:r>
        <w:rPr>
          <w:rFonts w:hint="eastAsia"/>
          <w:snapToGrid/>
        </w:rPr>
        <w:t>(</w:t>
      </w:r>
      <w:r>
        <w:rPr>
          <w:rFonts w:hint="eastAsia"/>
          <w:snapToGrid/>
        </w:rPr>
        <w:t>见结论性意见第</w:t>
      </w:r>
      <w:r>
        <w:rPr>
          <w:snapToGrid/>
        </w:rPr>
        <w:t>2</w:t>
      </w:r>
      <w:r>
        <w:rPr>
          <w:rFonts w:hint="eastAsia"/>
          <w:snapToGrid/>
        </w:rPr>
        <w:t>6</w:t>
      </w:r>
      <w:r>
        <w:rPr>
          <w:rFonts w:hint="eastAsia"/>
          <w:snapToGrid/>
        </w:rPr>
        <w:t>项。</w:t>
      </w:r>
      <w:r>
        <w:rPr>
          <w:rFonts w:hint="eastAsia"/>
          <w:snapToGrid/>
        </w:rPr>
        <w:t>)</w:t>
      </w:r>
    </w:p>
    <w:p w:rsidR="00000000" w:rsidRDefault="00000000">
      <w:pPr>
        <w:rPr>
          <w:rFonts w:hint="eastAsia"/>
          <w:snapToGrid/>
        </w:rPr>
      </w:pPr>
      <w:r>
        <w:rPr>
          <w:rFonts w:hint="eastAsia"/>
          <w:snapToGrid/>
        </w:rPr>
        <w:tab/>
        <w:t xml:space="preserve">25.  </w:t>
      </w:r>
      <w:r>
        <w:rPr>
          <w:rFonts w:hint="eastAsia"/>
          <w:snapToGrid/>
        </w:rPr>
        <w:t>新的监察员将按照新的法律监察歧视问题。据建议，新的法律也应该</w:t>
      </w:r>
      <w:r>
        <w:rPr>
          <w:rFonts w:hint="eastAsia"/>
          <w:snapToGrid/>
          <w:spacing w:val="-50"/>
        </w:rPr>
        <w:t>―</w:t>
      </w:r>
      <w:r>
        <w:rPr>
          <w:rFonts w:hint="eastAsia"/>
          <w:snapToGrid/>
        </w:rPr>
        <w:t>―如同目前一样</w:t>
      </w:r>
      <w:r>
        <w:rPr>
          <w:snapToGrid/>
        </w:rPr>
        <w:t>—</w:t>
      </w:r>
      <w:r>
        <w:rPr>
          <w:rFonts w:hint="eastAsia"/>
          <w:snapToGrid/>
        </w:rPr>
        <w:t>适用于工作场所、一部分教育系统、劳工市场政策方案、创办或经营业务、专业执业、雇主组织、工会和类似机构的成员身份等、提供货物、服务或住房、社会服务、社会保险系统、失业保险、保健以及国家对学生的经济资助。据建议，该法律也应在新的社会部门适用：</w:t>
      </w:r>
    </w:p>
    <w:p w:rsidR="00000000" w:rsidRDefault="00000000">
      <w:pPr>
        <w:pStyle w:val="a0"/>
        <w:ind w:left="1530"/>
        <w:rPr>
          <w:rFonts w:hint="eastAsia"/>
          <w:snapToGrid/>
        </w:rPr>
      </w:pPr>
      <w:r>
        <w:rPr>
          <w:rFonts w:hint="eastAsia"/>
          <w:snapToGrid/>
        </w:rPr>
        <w:t>整个教育系统</w:t>
      </w:r>
      <w:r>
        <w:rPr>
          <w:snapToGrid/>
        </w:rPr>
        <w:t>；</w:t>
      </w:r>
    </w:p>
    <w:p w:rsidR="00000000" w:rsidRDefault="00000000">
      <w:pPr>
        <w:pStyle w:val="a0"/>
        <w:ind w:left="1530"/>
        <w:rPr>
          <w:rFonts w:hint="eastAsia"/>
          <w:snapToGrid/>
        </w:rPr>
      </w:pPr>
      <w:r>
        <w:rPr>
          <w:rFonts w:hint="eastAsia"/>
          <w:snapToGrid/>
        </w:rPr>
        <w:t>公共集会和公共娱乐</w:t>
      </w:r>
      <w:r>
        <w:rPr>
          <w:snapToGrid/>
        </w:rPr>
        <w:t>；</w:t>
      </w:r>
    </w:p>
    <w:p w:rsidR="00000000" w:rsidRDefault="00000000">
      <w:pPr>
        <w:pStyle w:val="a0"/>
        <w:ind w:left="1530"/>
        <w:rPr>
          <w:rFonts w:hint="eastAsia"/>
          <w:snapToGrid/>
        </w:rPr>
      </w:pPr>
      <w:r>
        <w:rPr>
          <w:rFonts w:hint="eastAsia"/>
          <w:snapToGrid/>
        </w:rPr>
        <w:t>义务兵役和国防</w:t>
      </w:r>
      <w:r>
        <w:rPr>
          <w:snapToGrid/>
        </w:rPr>
        <w:t>；</w:t>
      </w:r>
    </w:p>
    <w:p w:rsidR="00000000" w:rsidRDefault="00000000">
      <w:pPr>
        <w:pStyle w:val="a0"/>
        <w:ind w:left="1530"/>
        <w:rPr>
          <w:rFonts w:hint="eastAsia"/>
          <w:snapToGrid/>
        </w:rPr>
      </w:pPr>
      <w:r>
        <w:rPr>
          <w:rFonts w:hint="eastAsia"/>
          <w:snapToGrid/>
        </w:rPr>
        <w:t>公共部门就业或公共部门委派。</w:t>
      </w:r>
    </w:p>
    <w:p w:rsidR="00000000" w:rsidRDefault="00000000">
      <w:pPr>
        <w:rPr>
          <w:rFonts w:hint="eastAsia"/>
          <w:snapToGrid/>
        </w:rPr>
      </w:pPr>
      <w:r>
        <w:rPr>
          <w:rFonts w:hint="eastAsia"/>
          <w:snapToGrid/>
        </w:rPr>
        <w:tab/>
        <w:t xml:space="preserve">26.  </w:t>
      </w:r>
      <w:r>
        <w:rPr>
          <w:rFonts w:hint="eastAsia"/>
          <w:snapToGrid/>
        </w:rPr>
        <w:t>此外还建议，私人在向公众提供货物、服务或住房时，应当得到不受歧视的保护，该领域的公司、团体和其他法人应在需要时受到法律保护。根据现行的反歧视法律，只向自然人提供不受歧视的保护。该国政府打算编写提议，着眼于新的法律在</w:t>
      </w:r>
      <w:r>
        <w:rPr>
          <w:rFonts w:hint="eastAsia"/>
          <w:snapToGrid/>
        </w:rPr>
        <w:t>2008</w:t>
      </w:r>
      <w:r>
        <w:rPr>
          <w:rFonts w:hint="eastAsia"/>
          <w:snapToGrid/>
        </w:rPr>
        <w:t>年生效。</w:t>
      </w:r>
    </w:p>
    <w:p w:rsidR="00000000" w:rsidRDefault="00000000">
      <w:pPr>
        <w:rPr>
          <w:rFonts w:hint="eastAsia"/>
          <w:snapToGrid/>
        </w:rPr>
      </w:pPr>
      <w:r>
        <w:rPr>
          <w:rFonts w:hint="eastAsia"/>
          <w:snapToGrid/>
        </w:rPr>
        <w:tab/>
        <w:t xml:space="preserve">27.  </w:t>
      </w:r>
      <w:r>
        <w:rPr>
          <w:rFonts w:hint="eastAsia"/>
          <w:snapToGrid/>
        </w:rPr>
        <w:t>政府认为，不应该将公共资金分配给违反人权的活动。为了防止发生这种情况，反歧视条款应当适用于政府采购，而为此目的已经采取若干措施。应政府的要求，政府采购国家委员会起草了反歧视条款的样本。然后，政府指示政府采购国家委员会开展一项旨在支持各单位在采购方面的不断努力的宣传运动。政府采购国家委员会因而印制了有关使用反歧视条款的宣传传单，并安排组织一次讨论有关问题的会议。政府还颁布了《关于采购合同中的反歧视条件的法令》</w:t>
      </w:r>
      <w:r>
        <w:rPr>
          <w:rFonts w:hint="eastAsia"/>
          <w:snapToGrid/>
        </w:rPr>
        <w:t>(2006</w:t>
      </w:r>
      <w:r>
        <w:rPr>
          <w:rFonts w:hint="eastAsia"/>
          <w:snapToGrid/>
        </w:rPr>
        <w:t>：</w:t>
      </w:r>
      <w:r>
        <w:rPr>
          <w:rFonts w:hint="eastAsia"/>
          <w:snapToGrid/>
        </w:rPr>
        <w:t>260)</w:t>
      </w:r>
      <w:r>
        <w:rPr>
          <w:rFonts w:hint="eastAsia"/>
          <w:snapToGrid/>
        </w:rPr>
        <w:t>，该法令于</w:t>
      </w:r>
      <w:r>
        <w:rPr>
          <w:rFonts w:hint="eastAsia"/>
          <w:snapToGrid/>
        </w:rPr>
        <w:t>2006</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日生效。这项法令要求某些大的政府部门在它们的采购过程中纳入反歧视的条件。指示政府采购国家委员会起草关于法令的应用和后续的指示。</w:t>
      </w:r>
    </w:p>
    <w:p w:rsidR="00000000" w:rsidRDefault="00000000">
      <w:pPr>
        <w:spacing w:after="240"/>
        <w:rPr>
          <w:rFonts w:hint="eastAsia"/>
          <w:snapToGrid/>
        </w:rPr>
      </w:pPr>
      <w:r>
        <w:rPr>
          <w:rFonts w:hint="eastAsia"/>
          <w:snapToGrid/>
        </w:rPr>
        <w:tab/>
        <w:t xml:space="preserve">28.  </w:t>
      </w:r>
      <w:r>
        <w:rPr>
          <w:rFonts w:hint="eastAsia"/>
          <w:snapToGrid/>
        </w:rPr>
        <w:t>根据《对于防止和打击歧视活动的政府补助金的法令》</w:t>
      </w:r>
      <w:r>
        <w:rPr>
          <w:rFonts w:hint="eastAsia"/>
          <w:snapToGrid/>
        </w:rPr>
        <w:t>(2002</w:t>
      </w:r>
      <w:r>
        <w:rPr>
          <w:rFonts w:hint="eastAsia"/>
          <w:snapToGrid/>
        </w:rPr>
        <w:t>：</w:t>
      </w:r>
      <w:r>
        <w:rPr>
          <w:rFonts w:hint="eastAsia"/>
          <w:snapToGrid/>
        </w:rPr>
        <w:t>989)</w:t>
      </w:r>
      <w:r>
        <w:rPr>
          <w:rFonts w:hint="eastAsia"/>
          <w:snapToGrid/>
        </w:rPr>
        <w:t>，可以向各种单位和基金会因举办防止和打击基于性别、民族、宗教或其他信仰、残疾、性取向的歧视的活动而发给资金。融合委员会采取措施根据该项法令发给资金。各个反歧视机构和机会均等监察员、反对种族歧视监察员、残疾问题监察员及反对基于性取向歧视监察员结成将在监察员向反歧视机构提供的意见、支持和教育方面发展起来的合伙关系。</w:t>
      </w:r>
    </w:p>
    <w:p w:rsidR="00000000" w:rsidRDefault="00000000">
      <w:pPr>
        <w:pStyle w:val="Heading4"/>
        <w:rPr>
          <w:rFonts w:hint="eastAsia"/>
        </w:rPr>
      </w:pPr>
      <w:r>
        <w:rPr>
          <w:rFonts w:hint="eastAsia"/>
        </w:rPr>
        <w:t>《禁止歧视法》</w:t>
      </w:r>
      <w:r>
        <w:rPr>
          <w:rFonts w:hint="eastAsia"/>
        </w:rPr>
        <w:t>(2003</w:t>
      </w:r>
      <w:r>
        <w:rPr>
          <w:rFonts w:hint="eastAsia"/>
        </w:rPr>
        <w:t>：</w:t>
      </w:r>
      <w:r>
        <w:rPr>
          <w:rFonts w:hint="eastAsia"/>
        </w:rPr>
        <w:t>307</w:t>
      </w:r>
      <w:r>
        <w:rPr>
          <w:rFonts w:hint="eastAsia"/>
          <w:u w:val="none"/>
        </w:rPr>
        <w:t>)</w:t>
      </w:r>
    </w:p>
    <w:p w:rsidR="00000000" w:rsidRDefault="00000000">
      <w:pPr>
        <w:rPr>
          <w:rFonts w:hint="eastAsia"/>
          <w:snapToGrid/>
        </w:rPr>
      </w:pPr>
      <w:r>
        <w:rPr>
          <w:rFonts w:hint="eastAsia"/>
          <w:snapToGrid/>
        </w:rPr>
        <w:tab/>
        <w:t xml:space="preserve">29.  </w:t>
      </w:r>
      <w:r>
        <w:rPr>
          <w:rFonts w:hint="eastAsia"/>
          <w:snapToGrid/>
        </w:rPr>
        <w:t>《禁止歧视法》</w:t>
      </w:r>
      <w:r>
        <w:rPr>
          <w:rFonts w:hint="eastAsia"/>
          <w:snapToGrid/>
        </w:rPr>
        <w:t>(2003</w:t>
      </w:r>
      <w:r>
        <w:rPr>
          <w:rFonts w:hint="eastAsia"/>
          <w:snapToGrid/>
        </w:rPr>
        <w:t>：</w:t>
      </w:r>
      <w:r>
        <w:rPr>
          <w:rFonts w:hint="eastAsia"/>
          <w:snapToGrid/>
        </w:rPr>
        <w:t>307)</w:t>
      </w:r>
      <w:r>
        <w:rPr>
          <w:rFonts w:hint="eastAsia"/>
          <w:snapToGrid/>
        </w:rPr>
        <w:t>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日生效，作为执行欧共体的两条指令</w:t>
      </w:r>
      <w:r>
        <w:rPr>
          <w:rFonts w:hint="eastAsia"/>
          <w:snapToGrid/>
          <w:vertAlign w:val="superscript"/>
        </w:rPr>
        <w:t>1</w:t>
      </w:r>
      <w:r>
        <w:rPr>
          <w:rFonts w:hint="eastAsia"/>
          <w:snapToGrid/>
        </w:rPr>
        <w:t>的一个方面。这条法律的宗旨是防止和打击基于包括民族、宗教或其他信仰在内的歧视。根据这条法律，“歧视”意味着直接和间接的歧视、骚扰和指示歧视。这条法律的应用范围广泛。禁止基于民族、宗教或其他信仰在内的歧视适用于：</w:t>
      </w:r>
    </w:p>
    <w:p w:rsidR="00000000" w:rsidRDefault="00000000">
      <w:pPr>
        <w:pStyle w:val="a0"/>
        <w:tabs>
          <w:tab w:val="clear" w:pos="510"/>
        </w:tabs>
        <w:ind w:left="1530"/>
        <w:rPr>
          <w:rFonts w:hint="eastAsia"/>
          <w:snapToGrid/>
        </w:rPr>
      </w:pPr>
      <w:r>
        <w:rPr>
          <w:rFonts w:hint="eastAsia"/>
          <w:snapToGrid/>
        </w:rPr>
        <w:t>劳工市场政策方案；</w:t>
      </w:r>
    </w:p>
    <w:p w:rsidR="00000000" w:rsidRDefault="00000000">
      <w:pPr>
        <w:pStyle w:val="a0"/>
        <w:tabs>
          <w:tab w:val="clear" w:pos="510"/>
        </w:tabs>
        <w:ind w:left="1530"/>
        <w:rPr>
          <w:rFonts w:hint="eastAsia"/>
          <w:snapToGrid/>
        </w:rPr>
      </w:pPr>
      <w:r>
        <w:rPr>
          <w:rFonts w:hint="eastAsia"/>
          <w:snapToGrid/>
        </w:rPr>
        <w:t>创办或经营业务；</w:t>
      </w:r>
    </w:p>
    <w:p w:rsidR="00000000" w:rsidRDefault="00000000">
      <w:pPr>
        <w:pStyle w:val="a0"/>
        <w:tabs>
          <w:tab w:val="clear" w:pos="510"/>
        </w:tabs>
        <w:ind w:left="1530"/>
        <w:rPr>
          <w:rFonts w:hint="eastAsia"/>
          <w:snapToGrid/>
        </w:rPr>
      </w:pPr>
      <w:r>
        <w:rPr>
          <w:rFonts w:hint="eastAsia"/>
          <w:snapToGrid/>
        </w:rPr>
        <w:t>专业执业；</w:t>
      </w:r>
    </w:p>
    <w:p w:rsidR="00000000" w:rsidRDefault="00000000">
      <w:pPr>
        <w:pStyle w:val="a0"/>
        <w:tabs>
          <w:tab w:val="clear" w:pos="510"/>
        </w:tabs>
        <w:ind w:left="1530"/>
        <w:rPr>
          <w:rFonts w:hint="eastAsia"/>
          <w:snapToGrid/>
        </w:rPr>
      </w:pPr>
      <w:r>
        <w:rPr>
          <w:rFonts w:hint="eastAsia"/>
          <w:snapToGrid/>
        </w:rPr>
        <w:t>工会、管理机构或专业机构的成员身份、参与和成员津贴；</w:t>
      </w:r>
    </w:p>
    <w:p w:rsidR="00000000" w:rsidRDefault="00000000">
      <w:pPr>
        <w:pStyle w:val="a0"/>
        <w:tabs>
          <w:tab w:val="clear" w:pos="510"/>
        </w:tabs>
        <w:ind w:left="1530"/>
        <w:rPr>
          <w:rFonts w:hint="eastAsia"/>
          <w:snapToGrid/>
        </w:rPr>
      </w:pPr>
      <w:r>
        <w:rPr>
          <w:rFonts w:hint="eastAsia"/>
          <w:snapToGrid/>
        </w:rPr>
        <w:t>货物、服务或住房</w:t>
      </w:r>
      <w:r>
        <w:rPr>
          <w:snapToGrid/>
        </w:rPr>
        <w:t>；</w:t>
      </w:r>
    </w:p>
    <w:p w:rsidR="00000000" w:rsidRDefault="00000000">
      <w:pPr>
        <w:pStyle w:val="a0"/>
        <w:tabs>
          <w:tab w:val="clear" w:pos="510"/>
        </w:tabs>
        <w:ind w:left="1530"/>
        <w:rPr>
          <w:rFonts w:hint="eastAsia"/>
          <w:snapToGrid/>
        </w:rPr>
      </w:pPr>
      <w:r>
        <w:rPr>
          <w:rFonts w:hint="eastAsia"/>
          <w:snapToGrid/>
        </w:rPr>
        <w:t>社会服务、因医疗原因而给予津贴的交通费、因医疗原因而给予国家津贴的交通费以及使残疾人适应住房而发给的补助金；</w:t>
      </w:r>
    </w:p>
    <w:p w:rsidR="00000000" w:rsidRDefault="00000000">
      <w:pPr>
        <w:pStyle w:val="a0"/>
        <w:tabs>
          <w:tab w:val="clear" w:pos="510"/>
        </w:tabs>
        <w:ind w:left="1530"/>
        <w:rPr>
          <w:rFonts w:hint="eastAsia"/>
          <w:snapToGrid/>
        </w:rPr>
      </w:pPr>
      <w:r>
        <w:rPr>
          <w:rFonts w:hint="eastAsia"/>
          <w:snapToGrid/>
        </w:rPr>
        <w:t>社会保险和有关的津贴方案；</w:t>
      </w:r>
    </w:p>
    <w:p w:rsidR="00000000" w:rsidRDefault="00000000">
      <w:pPr>
        <w:pStyle w:val="a0"/>
        <w:tabs>
          <w:tab w:val="clear" w:pos="510"/>
        </w:tabs>
        <w:ind w:left="1530"/>
        <w:rPr>
          <w:rFonts w:hint="eastAsia"/>
          <w:snapToGrid/>
        </w:rPr>
      </w:pPr>
      <w:r>
        <w:rPr>
          <w:rFonts w:hint="eastAsia"/>
          <w:snapToGrid/>
        </w:rPr>
        <w:t>失业保险</w:t>
      </w:r>
      <w:r>
        <w:rPr>
          <w:snapToGrid/>
        </w:rPr>
        <w:t>；</w:t>
      </w:r>
    </w:p>
    <w:p w:rsidR="00000000" w:rsidRDefault="00000000">
      <w:pPr>
        <w:pStyle w:val="a0"/>
        <w:tabs>
          <w:tab w:val="clear" w:pos="510"/>
        </w:tabs>
        <w:ind w:left="1530"/>
        <w:rPr>
          <w:rFonts w:hint="eastAsia"/>
          <w:snapToGrid/>
        </w:rPr>
      </w:pPr>
      <w:r>
        <w:rPr>
          <w:rFonts w:hint="eastAsia"/>
          <w:snapToGrid/>
        </w:rPr>
        <w:t>国家对学生的经济资助；</w:t>
      </w:r>
    </w:p>
    <w:p w:rsidR="00000000" w:rsidRDefault="00000000">
      <w:pPr>
        <w:pStyle w:val="a0"/>
        <w:ind w:left="1530"/>
        <w:rPr>
          <w:rFonts w:hint="eastAsia"/>
          <w:snapToGrid/>
        </w:rPr>
      </w:pPr>
      <w:r>
        <w:rPr>
          <w:rFonts w:hint="eastAsia"/>
          <w:snapToGrid/>
        </w:rPr>
        <w:t>保健及其他医疗服务。</w:t>
      </w:r>
    </w:p>
    <w:p w:rsidR="00000000" w:rsidRDefault="00000000">
      <w:pPr>
        <w:rPr>
          <w:rFonts w:hint="eastAsia"/>
          <w:snapToGrid/>
        </w:rPr>
      </w:pPr>
      <w:r>
        <w:rPr>
          <w:snapToGrid/>
        </w:rPr>
        <w:tab/>
      </w:r>
      <w:r>
        <w:rPr>
          <w:rFonts w:hint="eastAsia"/>
          <w:snapToGrid/>
        </w:rPr>
        <w:t>如果违反对于歧视的禁止，可能施加的法律制裁是失效和损失赔偿金。</w:t>
      </w:r>
    </w:p>
    <w:p w:rsidR="00000000" w:rsidRDefault="00000000">
      <w:pPr>
        <w:rPr>
          <w:rFonts w:hint="eastAsia"/>
          <w:snapToGrid/>
        </w:rPr>
      </w:pPr>
      <w:r>
        <w:rPr>
          <w:rFonts w:hint="eastAsia"/>
          <w:snapToGrid/>
        </w:rPr>
        <w:tab/>
        <w:t xml:space="preserve">30.  </w:t>
      </w:r>
      <w:r>
        <w:rPr>
          <w:rFonts w:hint="eastAsia"/>
          <w:snapToGrid/>
        </w:rPr>
        <w:t>根据法律，被声称对某人有歧视行为的人不得因为一个人提出起</w:t>
      </w:r>
    </w:p>
    <w:p w:rsidR="00000000" w:rsidRDefault="00000000">
      <w:pPr>
        <w:spacing w:after="240"/>
        <w:rPr>
          <w:rFonts w:hint="eastAsia"/>
          <w:snapToGrid/>
        </w:rPr>
      </w:pPr>
      <w:r>
        <w:rPr>
          <w:rFonts w:hint="eastAsia"/>
          <w:snapToGrid/>
        </w:rPr>
        <w:t>诉，或反对歧视，或在对于歧视行为的调查中进行合作而对此人进行报复。违反禁止报复的规定将导致支付损失赔偿金的责任。</w:t>
      </w:r>
    </w:p>
    <w:p w:rsidR="00000000" w:rsidRDefault="00000000">
      <w:pPr>
        <w:pStyle w:val="Heading4"/>
        <w:rPr>
          <w:rFonts w:hint="eastAsia"/>
        </w:rPr>
      </w:pPr>
      <w:r>
        <w:rPr>
          <w:rFonts w:hint="eastAsia"/>
        </w:rPr>
        <w:t>《禁止职业生活中的民族歧视的措施法令》</w:t>
      </w:r>
      <w:r>
        <w:rPr>
          <w:rFonts w:hint="eastAsia"/>
        </w:rPr>
        <w:t>(1999</w:t>
      </w:r>
      <w:r>
        <w:rPr>
          <w:rFonts w:hint="eastAsia"/>
        </w:rPr>
        <w:t>：</w:t>
      </w:r>
      <w:r>
        <w:rPr>
          <w:rFonts w:hint="eastAsia"/>
        </w:rPr>
        <w:t>130</w:t>
      </w:r>
      <w:r>
        <w:rPr>
          <w:rFonts w:hint="eastAsia"/>
          <w:u w:val="none"/>
        </w:rPr>
        <w:t>)</w:t>
      </w:r>
    </w:p>
    <w:p w:rsidR="00000000" w:rsidRDefault="00000000">
      <w:pPr>
        <w:rPr>
          <w:rFonts w:hint="eastAsia"/>
          <w:snapToGrid/>
        </w:rPr>
      </w:pPr>
      <w:r>
        <w:rPr>
          <w:rFonts w:hint="eastAsia"/>
          <w:snapToGrid/>
        </w:rPr>
        <w:tab/>
        <w:t xml:space="preserve">31.  </w:t>
      </w:r>
      <w:r>
        <w:rPr>
          <w:rFonts w:hint="eastAsia"/>
          <w:snapToGrid/>
        </w:rPr>
        <w:t>这项法律于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修订，作为执行欧共体的上述两条指令的一个方面。将一种新的歧视理由，即“宗教或其他信仰”，纳入了这项法律。因此，这项法律的名称相应改为《禁止职业生活中的以民族、宗教或其他信仰为理由的民族歧视的措施法令》。这项修订反映了将“信仰”与“民族”的歧视理由分开，因为现在这个理由包含在“宗教或其他信仰”的理由中。根据这项法律，“民族”是指属于同一个国家或民族、种族群体或肤色的人。歧视的定义已经与欧洲理事会的法律相协调，该项法律现在明确申明，骚扰和指示骚扰一个人是歧视的形式。这项法律的范围也扩大了。这项法律还适用于一名雇主决定或采取有关工作经验的职位、培训或其他职业指导的措施的时候。申请或完成一个工作经验职位的人，以及不属于员工但借调在一个工作地点或通过一个临时就业机构履行工作任务的人也根据这项法律受到保护。</w:t>
      </w:r>
    </w:p>
    <w:p w:rsidR="00000000" w:rsidRDefault="00000000">
      <w:pPr>
        <w:rPr>
          <w:rFonts w:hint="eastAsia"/>
          <w:snapToGrid/>
        </w:rPr>
      </w:pPr>
      <w:r>
        <w:rPr>
          <w:rFonts w:hint="eastAsia"/>
          <w:snapToGrid/>
        </w:rPr>
        <w:tab/>
        <w:t>32.  2005</w:t>
      </w:r>
      <w:r>
        <w:rPr>
          <w:rFonts w:hint="eastAsia"/>
          <w:snapToGrid/>
        </w:rPr>
        <w:t>年融合委员会的拨款指示指令委员会利用状况测试来考察研究劳工市场的民族和宗教歧视的发生率及范围的机会，并且在如果存在先决条件的情况下，编制和开始这种研究。根据融合委员会的职权，研究应当设计成展示全国性的状况，并且能够对各区域、行业以及男子和妇女进行比较。根据所分配的任务，融合委员会在</w:t>
      </w:r>
      <w:r>
        <w:rPr>
          <w:snapToGrid/>
        </w:rPr>
        <w:t>2006</w:t>
      </w:r>
      <w:r>
        <w:rPr>
          <w:rFonts w:hint="eastAsia"/>
          <w:snapToGrid/>
        </w:rPr>
        <w:t>年</w:t>
      </w:r>
      <w:r>
        <w:rPr>
          <w:snapToGrid/>
        </w:rPr>
        <w:t>10</w:t>
      </w:r>
      <w:r>
        <w:rPr>
          <w:rFonts w:hint="eastAsia"/>
          <w:snapToGrid/>
        </w:rPr>
        <w:t>月递交一份最后报告的基础上，递交了一份方案计划。其提议的结果是，授权该委员会与国际劳工组织达成一项关于在瑞典劳工市场开展这种研究的协议。国际劳工组织已经制定出一套劳工市场状况测试方法，并在好几个欧洲国家使用过。情况表明，在好几个社会领域中有歧视现象。向反对民族歧视监察员提出了大量关于住房市场的投诉。基于融合委员会从劳工市场研究得出的结论，政府因而打算审议是否有必要在更多的社会领域中进行状况测试。</w:t>
      </w:r>
    </w:p>
    <w:p w:rsidR="00000000" w:rsidRDefault="00000000">
      <w:pPr>
        <w:spacing w:after="240"/>
        <w:rPr>
          <w:rFonts w:hint="eastAsia"/>
          <w:snapToGrid/>
        </w:rPr>
      </w:pPr>
      <w:r>
        <w:rPr>
          <w:rFonts w:hint="eastAsia"/>
          <w:snapToGrid/>
        </w:rPr>
        <w:tab/>
        <w:t xml:space="preserve">33.  </w:t>
      </w:r>
      <w:r>
        <w:rPr>
          <w:rFonts w:hint="eastAsia"/>
          <w:snapToGrid/>
        </w:rPr>
        <w:t>政府在</w:t>
      </w:r>
      <w:r>
        <w:rPr>
          <w:snapToGrid/>
        </w:rPr>
        <w:t>2003</w:t>
      </w:r>
      <w:r>
        <w:rPr>
          <w:rFonts w:hint="eastAsia"/>
          <w:snapToGrid/>
        </w:rPr>
        <w:t>年</w:t>
      </w:r>
      <w:r>
        <w:rPr>
          <w:snapToGrid/>
        </w:rPr>
        <w:t>10</w:t>
      </w:r>
      <w:r>
        <w:rPr>
          <w:rFonts w:hint="eastAsia"/>
          <w:snapToGrid/>
        </w:rPr>
        <w:t>月指示一个特别委员会审议基于民族或宗教的结构性歧视并提交研究和资料，提议旨在增进这方面的了解的举措，并且提出反对这种歧视的措施。委员会于</w:t>
      </w:r>
      <w:r>
        <w:rPr>
          <w:snapToGrid/>
        </w:rPr>
        <w:t>2005</w:t>
      </w:r>
      <w:r>
        <w:rPr>
          <w:rFonts w:hint="eastAsia"/>
          <w:snapToGrid/>
        </w:rPr>
        <w:t>年</w:t>
      </w:r>
      <w:r>
        <w:rPr>
          <w:snapToGrid/>
        </w:rPr>
        <w:t>6</w:t>
      </w:r>
      <w:r>
        <w:rPr>
          <w:rFonts w:hint="eastAsia"/>
          <w:snapToGrid/>
        </w:rPr>
        <w:t>月提交了其报告《蓝色和黄色的玻璃房屋</w:t>
      </w:r>
      <w:r>
        <w:rPr>
          <w:snapToGrid/>
        </w:rPr>
        <w:t>—</w:t>
      </w:r>
      <w:r>
        <w:rPr>
          <w:rFonts w:hint="eastAsia"/>
          <w:snapToGrid/>
        </w:rPr>
        <w:t>瑞典的结构歧视》</w:t>
      </w:r>
      <w:r>
        <w:rPr>
          <w:rFonts w:hint="eastAsia"/>
          <w:snapToGrid/>
        </w:rPr>
        <w:t>(</w:t>
      </w:r>
      <w:r>
        <w:rPr>
          <w:snapToGrid/>
        </w:rPr>
        <w:t>SOU 2005</w:t>
      </w:r>
      <w:r>
        <w:rPr>
          <w:snapToGrid/>
        </w:rPr>
        <w:t>：</w:t>
      </w:r>
      <w:r>
        <w:rPr>
          <w:snapToGrid/>
        </w:rPr>
        <w:t>56</w:t>
      </w:r>
      <w:r>
        <w:rPr>
          <w:rFonts w:hint="eastAsia"/>
          <w:snapToGrid/>
        </w:rPr>
        <w:t>)</w:t>
      </w:r>
      <w:r>
        <w:rPr>
          <w:rFonts w:hint="eastAsia"/>
          <w:snapToGrid/>
        </w:rPr>
        <w:t>。报告已经递交审议，政府将在建议的基础上研究出适当措施。但是，该委员会的职权并不包括自行调查研究以弥补了解情况的差距。部分由于这个原因，政府在</w:t>
      </w:r>
      <w:r>
        <w:rPr>
          <w:snapToGrid/>
        </w:rPr>
        <w:t>2004</w:t>
      </w:r>
      <w:r>
        <w:rPr>
          <w:rFonts w:hint="eastAsia"/>
          <w:snapToGrid/>
        </w:rPr>
        <w:t>年</w:t>
      </w:r>
      <w:r>
        <w:rPr>
          <w:snapToGrid/>
        </w:rPr>
        <w:t>4</w:t>
      </w:r>
      <w:r>
        <w:rPr>
          <w:rFonts w:hint="eastAsia"/>
          <w:snapToGrid/>
        </w:rPr>
        <w:t>月</w:t>
      </w:r>
      <w:r>
        <w:rPr>
          <w:snapToGrid/>
        </w:rPr>
        <w:t>22</w:t>
      </w:r>
      <w:r>
        <w:rPr>
          <w:rFonts w:hint="eastAsia"/>
          <w:snapToGrid/>
        </w:rPr>
        <w:t>日决定发出一项关于权力、融合和结构歧视委员会的指令</w:t>
      </w:r>
      <w:r>
        <w:rPr>
          <w:rFonts w:hint="eastAsia"/>
          <w:snapToGrid/>
        </w:rPr>
        <w:t>(</w:t>
      </w:r>
      <w:r>
        <w:rPr>
          <w:snapToGrid/>
        </w:rPr>
        <w:t>ToR 2004</w:t>
      </w:r>
      <w:r>
        <w:rPr>
          <w:snapToGrid/>
        </w:rPr>
        <w:t>：</w:t>
      </w:r>
      <w:r>
        <w:rPr>
          <w:snapToGrid/>
        </w:rPr>
        <w:t>54</w:t>
      </w:r>
      <w:r>
        <w:rPr>
          <w:rFonts w:hint="eastAsia"/>
          <w:snapToGrid/>
        </w:rPr>
        <w:t>)</w:t>
      </w:r>
      <w:r>
        <w:rPr>
          <w:rFonts w:hint="eastAsia"/>
          <w:snapToGrid/>
        </w:rPr>
        <w:t>。根据这项指令，委员会将查明基于民族和宗教信仰的歧视，并且在能够显示此种歧视的范围内，查明和分析其内在的机制、对于权力和影响的后果以及与融合政策目标相关联的后果。该委员会还将提出有关打击基于民族和宗教的歧视的措施，以及增加使得有最大风险遭受此种歧视的人获得影响和权力的机会的措施。该委员会将在</w:t>
      </w:r>
      <w:r>
        <w:rPr>
          <w:snapToGrid/>
        </w:rPr>
        <w:t>2006</w:t>
      </w:r>
      <w:r>
        <w:rPr>
          <w:rFonts w:hint="eastAsia"/>
          <w:snapToGrid/>
        </w:rPr>
        <w:t>年</w:t>
      </w:r>
      <w:r>
        <w:rPr>
          <w:snapToGrid/>
        </w:rPr>
        <w:t>8</w:t>
      </w:r>
      <w:r>
        <w:rPr>
          <w:rFonts w:hint="eastAsia"/>
          <w:snapToGrid/>
        </w:rPr>
        <w:t>月</w:t>
      </w:r>
      <w:r>
        <w:rPr>
          <w:snapToGrid/>
        </w:rPr>
        <w:t>1</w:t>
      </w:r>
      <w:r>
        <w:rPr>
          <w:rFonts w:hint="eastAsia"/>
          <w:snapToGrid/>
        </w:rPr>
        <w:t>日提交其报告。政府也将在该委员会即将提出的建议的基础上研究出适当措施。</w:t>
      </w:r>
    </w:p>
    <w:p w:rsidR="00000000" w:rsidRDefault="00000000">
      <w:pPr>
        <w:pStyle w:val="Heading4"/>
      </w:pPr>
      <w:r>
        <w:rPr>
          <w:rFonts w:hint="eastAsia"/>
        </w:rPr>
        <w:t>瑞典的全球发展新政策</w:t>
      </w:r>
    </w:p>
    <w:p w:rsidR="00000000" w:rsidRDefault="00000000">
      <w:pPr>
        <w:rPr>
          <w:rFonts w:hint="eastAsia"/>
          <w:snapToGrid/>
        </w:rPr>
      </w:pPr>
      <w:r>
        <w:rPr>
          <w:rFonts w:hint="eastAsia"/>
          <w:snapToGrid/>
        </w:rPr>
        <w:tab/>
        <w:t xml:space="preserve">34.  </w:t>
      </w:r>
      <w:r>
        <w:rPr>
          <w:snapToGrid/>
        </w:rPr>
        <w:t>2003</w:t>
      </w:r>
      <w:r>
        <w:rPr>
          <w:rFonts w:hint="eastAsia"/>
          <w:snapToGrid/>
        </w:rPr>
        <w:t>年</w:t>
      </w:r>
      <w:r>
        <w:rPr>
          <w:snapToGrid/>
        </w:rPr>
        <w:t>12</w:t>
      </w:r>
      <w:r>
        <w:rPr>
          <w:rFonts w:hint="eastAsia"/>
          <w:snapToGrid/>
        </w:rPr>
        <w:t>月，议会一致通过《分担的责任：瑞典的全球发展新政策》</w:t>
      </w:r>
      <w:r>
        <w:rPr>
          <w:rFonts w:hint="eastAsia"/>
          <w:snapToGrid/>
        </w:rPr>
        <w:t>(</w:t>
      </w:r>
      <w:r>
        <w:rPr>
          <w:rFonts w:hint="eastAsia"/>
          <w:snapToGrid/>
        </w:rPr>
        <w:t>政府法案</w:t>
      </w:r>
      <w:r>
        <w:rPr>
          <w:snapToGrid/>
        </w:rPr>
        <w:t>2002/2003</w:t>
      </w:r>
      <w:r>
        <w:rPr>
          <w:snapToGrid/>
        </w:rPr>
        <w:t>：</w:t>
      </w:r>
      <w:r>
        <w:rPr>
          <w:snapToGrid/>
        </w:rPr>
        <w:t>122</w:t>
      </w:r>
      <w:r>
        <w:rPr>
          <w:rFonts w:hint="eastAsia"/>
          <w:snapToGrid/>
        </w:rPr>
        <w:t>；报告</w:t>
      </w:r>
      <w:r>
        <w:rPr>
          <w:snapToGrid/>
        </w:rPr>
        <w:t>2003/2004</w:t>
      </w:r>
      <w:r>
        <w:rPr>
          <w:snapToGrid/>
        </w:rPr>
        <w:t>：</w:t>
      </w:r>
      <w:r>
        <w:rPr>
          <w:snapToGrid/>
        </w:rPr>
        <w:t>UU3</w:t>
      </w:r>
      <w:r>
        <w:rPr>
          <w:snapToGrid/>
        </w:rPr>
        <w:t>：</w:t>
      </w:r>
      <w:r>
        <w:rPr>
          <w:rFonts w:hint="eastAsia"/>
          <w:snapToGrid/>
        </w:rPr>
        <w:t>议会发文</w:t>
      </w:r>
      <w:r>
        <w:rPr>
          <w:snapToGrid/>
        </w:rPr>
        <w:t>2003/2004</w:t>
      </w:r>
      <w:r>
        <w:rPr>
          <w:snapToGrid/>
        </w:rPr>
        <w:t>：</w:t>
      </w:r>
      <w:r>
        <w:rPr>
          <w:snapToGrid/>
        </w:rPr>
        <w:t>112</w:t>
      </w:r>
      <w:r>
        <w:rPr>
          <w:rFonts w:hint="eastAsia"/>
          <w:snapToGrid/>
        </w:rPr>
        <w:t>)</w:t>
      </w:r>
      <w:r>
        <w:rPr>
          <w:rFonts w:hint="eastAsia"/>
          <w:snapToGrid/>
        </w:rPr>
        <w:t>。起草这项政策的根据，是因为洞察到有许多政策领域，包括传统上并不把重点放在发展问题上的政策领域，影响到全球发展以及发展中国家和转型期国家中的穷人的状况。这项政策适用于直接或间接影响到这些人民的所有政策决定。适用于一切政策领域的总的目标，是为了对于平等和可持续的全球发展做出贡献。政策领域与诸如欧洲联盟、联合国、国际金融机构、其他多边组织和各国等行动者之间在互动方面达成的更加一致的意见将产生更加有效的扶贫。这项政策应当纳入两个观点：权利观点以及穷人关于发展的观点。这项政策有八个主要特点：尊重人权、民主和善治、性别平等、可持续利用自然资源及对于环境的关注、经济发展、社会发展和安全、冲突管理以及全球公共商品。</w:t>
      </w:r>
    </w:p>
    <w:p w:rsidR="00000000" w:rsidRDefault="00000000">
      <w:pPr>
        <w:spacing w:after="320"/>
        <w:rPr>
          <w:rFonts w:hint="eastAsia"/>
          <w:snapToGrid/>
        </w:rPr>
      </w:pPr>
      <w:r>
        <w:rPr>
          <w:rFonts w:hint="eastAsia"/>
          <w:snapToGrid/>
        </w:rPr>
        <w:tab/>
        <w:t xml:space="preserve">35.  </w:t>
      </w:r>
      <w:r>
        <w:rPr>
          <w:rFonts w:hint="eastAsia"/>
          <w:snapToGrid/>
        </w:rPr>
        <w:t>政府向议会提出有关执行这项政策的年度报告。目前的焦点集中在五个问题上：环境、农业、贸易、移徙和安全，以及这些问题各自与发展的关系</w:t>
      </w:r>
      <w:r>
        <w:rPr>
          <w:rFonts w:hint="eastAsia"/>
          <w:snapToGrid/>
        </w:rPr>
        <w:t>(</w:t>
      </w:r>
      <w:r>
        <w:rPr>
          <w:rFonts w:hint="eastAsia"/>
          <w:snapToGrid/>
        </w:rPr>
        <w:t>议会发文</w:t>
      </w:r>
      <w:r>
        <w:rPr>
          <w:snapToGrid/>
        </w:rPr>
        <w:t>2004/2005</w:t>
      </w:r>
      <w:r>
        <w:rPr>
          <w:snapToGrid/>
        </w:rPr>
        <w:t>：</w:t>
      </w:r>
      <w:r>
        <w:rPr>
          <w:snapToGrid/>
        </w:rPr>
        <w:t>4</w:t>
      </w:r>
      <w:r>
        <w:rPr>
          <w:rFonts w:hint="eastAsia"/>
          <w:snapToGrid/>
        </w:rPr>
        <w:t>、议会发文</w:t>
      </w:r>
      <w:r>
        <w:rPr>
          <w:snapToGrid/>
        </w:rPr>
        <w:t>2004/2005</w:t>
      </w:r>
      <w:r>
        <w:rPr>
          <w:rFonts w:hint="eastAsia"/>
          <w:snapToGrid/>
        </w:rPr>
        <w:t>：</w:t>
      </w:r>
      <w:r>
        <w:rPr>
          <w:snapToGrid/>
        </w:rPr>
        <w:t>161</w:t>
      </w:r>
      <w:r>
        <w:rPr>
          <w:rFonts w:hint="eastAsia"/>
          <w:snapToGrid/>
        </w:rPr>
        <w:t>、议会发文</w:t>
      </w:r>
      <w:r>
        <w:rPr>
          <w:snapToGrid/>
        </w:rPr>
        <w:t>2005/2006</w:t>
      </w:r>
      <w:r>
        <w:rPr>
          <w:rFonts w:hint="eastAsia"/>
          <w:snapToGrid/>
        </w:rPr>
        <w:t>：</w:t>
      </w:r>
      <w:r>
        <w:rPr>
          <w:snapToGrid/>
        </w:rPr>
        <w:t>204</w:t>
      </w:r>
      <w:r>
        <w:rPr>
          <w:rFonts w:hint="eastAsia"/>
          <w:snapToGrid/>
        </w:rPr>
        <w:t>)</w:t>
      </w:r>
      <w:r>
        <w:rPr>
          <w:rFonts w:hint="eastAsia"/>
          <w:snapToGrid/>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b/>
          <w:u w:val="none"/>
        </w:rPr>
        <w:t>3</w:t>
      </w:r>
      <w:r>
        <w:rPr>
          <w:rFonts w:ascii="Time New Roman" w:eastAsia="SimHei" w:hAnsi="Time New Roman"/>
          <w:u w:val="none"/>
        </w:rPr>
        <w:t xml:space="preserve"> </w:t>
      </w:r>
      <w:r>
        <w:rPr>
          <w:rFonts w:ascii="Time New Roman" w:eastAsia="SimHei" w:hAnsi="Time New Roman" w:hint="eastAsia"/>
          <w:u w:val="none"/>
        </w:rPr>
        <w:t>条</w:t>
      </w:r>
    </w:p>
    <w:p w:rsidR="00000000" w:rsidRDefault="00000000">
      <w:pPr>
        <w:rPr>
          <w:rFonts w:hint="eastAsia"/>
          <w:snapToGrid/>
        </w:rPr>
      </w:pPr>
      <w:r>
        <w:rPr>
          <w:rFonts w:hint="eastAsia"/>
          <w:snapToGrid/>
        </w:rPr>
        <w:tab/>
        <w:t xml:space="preserve">36.  </w:t>
      </w:r>
      <w:r>
        <w:rPr>
          <w:rFonts w:hint="eastAsia"/>
          <w:snapToGrid/>
        </w:rPr>
        <w:t>妇女和男子的地位在本报告的有关条款进行了概述。</w:t>
      </w:r>
    </w:p>
    <w:p w:rsidR="00000000" w:rsidRDefault="00000000">
      <w:pPr>
        <w:rPr>
          <w:rFonts w:hint="eastAsia"/>
          <w:snapToGrid/>
        </w:rPr>
      </w:pPr>
      <w:r>
        <w:rPr>
          <w:rFonts w:hint="eastAsia"/>
          <w:snapToGrid/>
        </w:rPr>
        <w:tab/>
        <w:t xml:space="preserve">37.  </w:t>
      </w:r>
      <w:r>
        <w:rPr>
          <w:rFonts w:hint="eastAsia"/>
          <w:snapToGrid/>
        </w:rPr>
        <w:t>接下去是政府在有关期间促进男女平等的措施的一份简短报告。如欲了解更加详细的叙述，请查阅瑞典政府将在</w:t>
      </w:r>
      <w:r>
        <w:rPr>
          <w:snapToGrid/>
        </w:rPr>
        <w:t>2006</w:t>
      </w:r>
      <w:r>
        <w:rPr>
          <w:rFonts w:hint="eastAsia"/>
          <w:snapToGrid/>
        </w:rPr>
        <w:t>年</w:t>
      </w:r>
      <w:r>
        <w:rPr>
          <w:snapToGrid/>
        </w:rPr>
        <w:t>9</w:t>
      </w:r>
      <w:r>
        <w:rPr>
          <w:rFonts w:hint="eastAsia"/>
          <w:snapToGrid/>
        </w:rPr>
        <w:t>月</w:t>
      </w:r>
      <w:r>
        <w:rPr>
          <w:snapToGrid/>
        </w:rPr>
        <w:t>3</w:t>
      </w:r>
      <w:r>
        <w:rPr>
          <w:rFonts w:hint="eastAsia"/>
          <w:snapToGrid/>
        </w:rPr>
        <w:t>日在《消除对妇女一切形式歧视公约》之下向联合国提交的合并的第</w:t>
      </w:r>
      <w:r>
        <w:rPr>
          <w:snapToGrid/>
        </w:rPr>
        <w:t>6</w:t>
      </w:r>
      <w:r>
        <w:rPr>
          <w:rFonts w:hint="eastAsia"/>
          <w:snapToGrid/>
        </w:rPr>
        <w:t>次和第</w:t>
      </w:r>
      <w:r>
        <w:rPr>
          <w:snapToGrid/>
        </w:rPr>
        <w:t>7</w:t>
      </w:r>
      <w:r>
        <w:rPr>
          <w:rFonts w:hint="eastAsia"/>
          <w:snapToGrid/>
        </w:rPr>
        <w:t>次定期报告。</w:t>
      </w:r>
    </w:p>
    <w:p w:rsidR="00000000" w:rsidRDefault="00000000">
      <w:pPr>
        <w:rPr>
          <w:rFonts w:hint="eastAsia"/>
          <w:snapToGrid/>
        </w:rPr>
      </w:pPr>
      <w:r>
        <w:rPr>
          <w:rFonts w:hint="eastAsia"/>
          <w:snapToGrid/>
        </w:rPr>
        <w:tab/>
        <w:t xml:space="preserve">38.  </w:t>
      </w:r>
      <w:r>
        <w:rPr>
          <w:rFonts w:hint="eastAsia"/>
          <w:snapToGrid/>
        </w:rPr>
        <w:t>政府在</w:t>
      </w:r>
      <w:r>
        <w:rPr>
          <w:snapToGrid/>
        </w:rPr>
        <w:t>2004</w:t>
      </w:r>
      <w:r>
        <w:rPr>
          <w:rFonts w:hint="eastAsia"/>
          <w:snapToGrid/>
        </w:rPr>
        <w:t>年</w:t>
      </w:r>
      <w:r>
        <w:rPr>
          <w:snapToGrid/>
        </w:rPr>
        <w:t>4</w:t>
      </w:r>
      <w:r>
        <w:rPr>
          <w:rFonts w:hint="eastAsia"/>
          <w:snapToGrid/>
        </w:rPr>
        <w:t>月通过了一项至</w:t>
      </w:r>
      <w:r>
        <w:rPr>
          <w:snapToGrid/>
        </w:rPr>
        <w:t>1999</w:t>
      </w:r>
      <w:r>
        <w:rPr>
          <w:rFonts w:hint="eastAsia"/>
          <w:snapToGrid/>
        </w:rPr>
        <w:t>年</w:t>
      </w:r>
      <w:r>
        <w:rPr>
          <w:snapToGrid/>
        </w:rPr>
        <w:t>12</w:t>
      </w:r>
      <w:r>
        <w:rPr>
          <w:rFonts w:hint="eastAsia"/>
          <w:snapToGrid/>
        </w:rPr>
        <w:t>月</w:t>
      </w:r>
      <w:r>
        <w:rPr>
          <w:snapToGrid/>
        </w:rPr>
        <w:t>31</w:t>
      </w:r>
      <w:r>
        <w:rPr>
          <w:rFonts w:hint="eastAsia"/>
          <w:snapToGrid/>
        </w:rPr>
        <w:t>日为止的在政府各办公机构将性别问题纳入主流的分别计划。</w:t>
      </w:r>
    </w:p>
    <w:p w:rsidR="00000000" w:rsidRDefault="00000000">
      <w:pPr>
        <w:rPr>
          <w:rFonts w:hint="eastAsia"/>
          <w:snapToGrid/>
        </w:rPr>
      </w:pPr>
      <w:r>
        <w:rPr>
          <w:rFonts w:hint="eastAsia"/>
          <w:snapToGrid/>
        </w:rPr>
        <w:tab/>
        <w:t xml:space="preserve">39.  </w:t>
      </w:r>
      <w:r>
        <w:rPr>
          <w:rFonts w:hint="eastAsia"/>
          <w:snapToGrid/>
        </w:rPr>
        <w:t>政府在向议会提出的一份</w:t>
      </w:r>
      <w:r>
        <w:rPr>
          <w:snapToGrid/>
        </w:rPr>
        <w:t>2002</w:t>
      </w:r>
      <w:r>
        <w:rPr>
          <w:rFonts w:hint="eastAsia"/>
          <w:snapToGrid/>
        </w:rPr>
        <w:t>年的报告</w:t>
      </w:r>
      <w:r>
        <w:rPr>
          <w:rFonts w:hint="eastAsia"/>
          <w:snapToGrid/>
        </w:rPr>
        <w:t>(</w:t>
      </w:r>
      <w:r>
        <w:rPr>
          <w:snapToGrid/>
        </w:rPr>
        <w:t>2002/03</w:t>
      </w:r>
      <w:r>
        <w:rPr>
          <w:snapToGrid/>
        </w:rPr>
        <w:t>：</w:t>
      </w:r>
      <w:r>
        <w:rPr>
          <w:snapToGrid/>
        </w:rPr>
        <w:t>140</w:t>
      </w:r>
      <w:r>
        <w:rPr>
          <w:rFonts w:hint="eastAsia"/>
          <w:snapToGrid/>
        </w:rPr>
        <w:t>)</w:t>
      </w:r>
      <w:r>
        <w:rPr>
          <w:rFonts w:hint="eastAsia"/>
          <w:snapToGrid/>
        </w:rPr>
        <w:t>中，概述了从</w:t>
      </w:r>
      <w:r>
        <w:rPr>
          <w:snapToGrid/>
        </w:rPr>
        <w:t>1999</w:t>
      </w:r>
      <w:r>
        <w:rPr>
          <w:rFonts w:hint="eastAsia"/>
          <w:snapToGrid/>
        </w:rPr>
        <w:t>年以来所采取的性别政策措施，并且提出了一份</w:t>
      </w:r>
      <w:r>
        <w:rPr>
          <w:snapToGrid/>
        </w:rPr>
        <w:t>2002-2006</w:t>
      </w:r>
      <w:r>
        <w:rPr>
          <w:rFonts w:hint="eastAsia"/>
          <w:snapToGrid/>
        </w:rPr>
        <w:t>年任期内的性别平等国家行动计划。报告阐述，最近几年来在加强妇女在社会中的地位方面取得了重大进展，其中包括妇女在政界有了更多代表。除了将性别问题纳入主流以为，行动计划有五个重点方面：代表权；平等分配权力和影响；同工同酬和可以比较的工作同酬；男子对妇女的暴力；卖淫和为了性的目的贩运妇女；男子和性别平等；以及公共空间的性色化。</w:t>
      </w:r>
    </w:p>
    <w:p w:rsidR="00000000" w:rsidRDefault="00000000">
      <w:pPr>
        <w:rPr>
          <w:rFonts w:hint="eastAsia"/>
          <w:snapToGrid/>
        </w:rPr>
      </w:pPr>
      <w:r>
        <w:rPr>
          <w:rFonts w:hint="eastAsia"/>
          <w:snapToGrid/>
        </w:rPr>
        <w:tab/>
        <w:t xml:space="preserve">40.  </w:t>
      </w:r>
      <w:r>
        <w:rPr>
          <w:rFonts w:hint="eastAsia"/>
          <w:snapToGrid/>
        </w:rPr>
        <w:t>政府在</w:t>
      </w:r>
      <w:r>
        <w:rPr>
          <w:snapToGrid/>
        </w:rPr>
        <w:t>2006</w:t>
      </w:r>
      <w:r>
        <w:rPr>
          <w:rFonts w:hint="eastAsia"/>
          <w:snapToGrid/>
        </w:rPr>
        <w:t>年</w:t>
      </w:r>
      <w:r>
        <w:rPr>
          <w:snapToGrid/>
        </w:rPr>
        <w:t>3</w:t>
      </w:r>
      <w:r>
        <w:rPr>
          <w:rFonts w:hint="eastAsia"/>
          <w:snapToGrid/>
        </w:rPr>
        <w:t>月向议会提出一份题为《塑造社会和个人生活的权力</w:t>
      </w:r>
      <w:r>
        <w:rPr>
          <w:rFonts w:hint="eastAsia"/>
          <w:snapToGrid/>
          <w:spacing w:val="-50"/>
        </w:rPr>
        <w:t>―</w:t>
      </w:r>
      <w:r>
        <w:rPr>
          <w:rFonts w:hint="eastAsia"/>
          <w:snapToGrid/>
        </w:rPr>
        <w:t>―新的性别政策目标》的法案</w:t>
      </w:r>
      <w:r>
        <w:rPr>
          <w:rFonts w:hint="eastAsia"/>
          <w:snapToGrid/>
        </w:rPr>
        <w:t>(</w:t>
      </w:r>
      <w:r>
        <w:rPr>
          <w:rFonts w:hint="eastAsia"/>
          <w:snapToGrid/>
        </w:rPr>
        <w:t>政府法案第</w:t>
      </w:r>
      <w:r>
        <w:rPr>
          <w:snapToGrid/>
        </w:rPr>
        <w:t>2005/06</w:t>
      </w:r>
      <w:r>
        <w:rPr>
          <w:snapToGrid/>
        </w:rPr>
        <w:t>：</w:t>
      </w:r>
      <w:r>
        <w:rPr>
          <w:snapToGrid/>
        </w:rPr>
        <w:t>155</w:t>
      </w:r>
      <w:r>
        <w:rPr>
          <w:rFonts w:hint="eastAsia"/>
          <w:snapToGrid/>
        </w:rPr>
        <w:t>号</w:t>
      </w:r>
      <w:r>
        <w:rPr>
          <w:rFonts w:hint="eastAsia"/>
          <w:snapToGrid/>
        </w:rPr>
        <w:t>)</w:t>
      </w:r>
      <w:r>
        <w:rPr>
          <w:rFonts w:hint="eastAsia"/>
          <w:snapToGrid/>
        </w:rPr>
        <w:t>这项法案载有所提出的新的性别政策目标以及一项关于设立一个新的政府机构的建议。议会于</w:t>
      </w:r>
      <w:r>
        <w:rPr>
          <w:snapToGrid/>
        </w:rPr>
        <w:t>5</w:t>
      </w:r>
      <w:r>
        <w:rPr>
          <w:rFonts w:hint="eastAsia"/>
          <w:snapToGrid/>
        </w:rPr>
        <w:t>月底通过了这项法案。总的目标是妇女和男子应当拥有塑造社会和他们个人生活的平等权力。法案阐述了对于妇女的暴力问题，特别是男子对妇女的暴力行为。暂定目标是：</w:t>
      </w:r>
    </w:p>
    <w:p w:rsidR="00000000" w:rsidRDefault="00000000">
      <w:pPr>
        <w:pStyle w:val="a0"/>
        <w:tabs>
          <w:tab w:val="clear" w:pos="510"/>
          <w:tab w:val="num" w:pos="1020"/>
        </w:tabs>
        <w:ind w:left="1530"/>
        <w:rPr>
          <w:rFonts w:hint="eastAsia"/>
          <w:snapToGrid/>
        </w:rPr>
      </w:pPr>
      <w:r>
        <w:rPr>
          <w:rFonts w:hint="eastAsia"/>
          <w:snapToGrid/>
        </w:rPr>
        <w:t>平等分配权力和影响。妇女和男子应当拥有成为积极公民和形成决策条件的相同权利和机会。</w:t>
      </w:r>
    </w:p>
    <w:p w:rsidR="00000000" w:rsidRDefault="00000000">
      <w:pPr>
        <w:pStyle w:val="a0"/>
        <w:tabs>
          <w:tab w:val="clear" w:pos="510"/>
          <w:tab w:val="num" w:pos="1020"/>
        </w:tabs>
        <w:ind w:left="1530"/>
        <w:rPr>
          <w:rFonts w:hint="eastAsia"/>
          <w:snapToGrid/>
        </w:rPr>
      </w:pPr>
      <w:r>
        <w:rPr>
          <w:rFonts w:hint="eastAsia"/>
          <w:snapToGrid/>
        </w:rPr>
        <w:t>经济平等。妇女和男子应当拥有对于教育和提供毕生经济独立的有薪酬工作的相同机会和条件。</w:t>
      </w:r>
    </w:p>
    <w:p w:rsidR="00000000" w:rsidRDefault="00000000">
      <w:pPr>
        <w:pStyle w:val="a0"/>
        <w:tabs>
          <w:tab w:val="clear" w:pos="510"/>
          <w:tab w:val="num" w:pos="1020"/>
        </w:tabs>
        <w:ind w:left="1530"/>
        <w:rPr>
          <w:rFonts w:hint="eastAsia"/>
          <w:snapToGrid/>
        </w:rPr>
      </w:pPr>
      <w:r>
        <w:rPr>
          <w:rFonts w:hint="eastAsia"/>
          <w:snapToGrid/>
        </w:rPr>
        <w:t>平等分配无薪酬的照料工作和家务。妇女和男子应当对家务承担同样的责任，并且有同样的机会依照平等条件提供和得到照料。</w:t>
      </w:r>
    </w:p>
    <w:p w:rsidR="00000000" w:rsidRDefault="00000000">
      <w:pPr>
        <w:pStyle w:val="a0"/>
        <w:tabs>
          <w:tab w:val="clear" w:pos="510"/>
          <w:tab w:val="num" w:pos="1020"/>
        </w:tabs>
        <w:ind w:left="1530"/>
        <w:rPr>
          <w:rFonts w:hint="eastAsia"/>
          <w:snapToGrid/>
        </w:rPr>
      </w:pPr>
      <w:r>
        <w:rPr>
          <w:rFonts w:hint="eastAsia"/>
          <w:snapToGrid/>
        </w:rPr>
        <w:t>男子对妇女的暴力行为应当废止。妇女和男子、少女和少男应当有保持身体不受侵犯的平等权利和机会。</w:t>
      </w:r>
    </w:p>
    <w:p w:rsidR="00000000" w:rsidRDefault="00000000">
      <w:pPr>
        <w:rPr>
          <w:rFonts w:hint="eastAsia"/>
          <w:snapToGrid/>
        </w:rPr>
      </w:pPr>
      <w:r>
        <w:rPr>
          <w:rFonts w:hint="eastAsia"/>
          <w:snapToGrid/>
        </w:rPr>
        <w:tab/>
        <w:t xml:space="preserve">41.  </w:t>
      </w:r>
      <w:r>
        <w:rPr>
          <w:rFonts w:hint="eastAsia"/>
          <w:snapToGrid/>
        </w:rPr>
        <w:t>对妇女的施加的暴力行为仍然是一个严重问题，而这种行为是男女权力结构不平衡的最终后果。政府打算朝着政府法案</w:t>
      </w:r>
      <w:r>
        <w:rPr>
          <w:snapToGrid/>
        </w:rPr>
        <w:t>1997/98</w:t>
      </w:r>
      <w:r>
        <w:rPr>
          <w:rFonts w:hint="eastAsia"/>
          <w:snapToGrid/>
        </w:rPr>
        <w:t>中提供的方向继续努力</w:t>
      </w:r>
      <w:r>
        <w:rPr>
          <w:rFonts w:hint="eastAsia"/>
          <w:snapToGrid/>
        </w:rPr>
        <w:t>(</w:t>
      </w:r>
      <w:r>
        <w:rPr>
          <w:rFonts w:hint="eastAsia"/>
          <w:snapToGrid/>
        </w:rPr>
        <w:t>见前一项报告</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42.  </w:t>
      </w:r>
      <w:r>
        <w:rPr>
          <w:rFonts w:hint="eastAsia"/>
          <w:snapToGrid/>
        </w:rPr>
        <w:t>近年来作出了重大的努力，其中包括重大的教育举措和在各政府机构内部制定准则、增加对于妇女住所的筹资、对于受害者更充分的支持，以及更加严格的法律。</w:t>
      </w:r>
    </w:p>
    <w:p w:rsidR="00000000" w:rsidRDefault="00000000">
      <w:pPr>
        <w:rPr>
          <w:rFonts w:hint="eastAsia"/>
          <w:snapToGrid/>
        </w:rPr>
      </w:pPr>
      <w:r>
        <w:rPr>
          <w:rFonts w:hint="eastAsia"/>
          <w:snapToGrid/>
        </w:rPr>
        <w:tab/>
        <w:t xml:space="preserve">43.  </w:t>
      </w:r>
      <w:r>
        <w:rPr>
          <w:rFonts w:hint="eastAsia"/>
          <w:snapToGrid/>
        </w:rPr>
        <w:t>政府计划在</w:t>
      </w:r>
      <w:r>
        <w:rPr>
          <w:snapToGrid/>
        </w:rPr>
        <w:t>2006</w:t>
      </w:r>
      <w:r>
        <w:rPr>
          <w:rFonts w:hint="eastAsia"/>
          <w:snapToGrid/>
        </w:rPr>
        <w:t>年开始对有关粗暴侵犯妇女身体权利的立法进行一次审议。政府各办公机构目前正在更加详细地考虑进行这种审议的方法。</w:t>
      </w:r>
    </w:p>
    <w:p w:rsidR="00000000" w:rsidRDefault="00000000">
      <w:pPr>
        <w:rPr>
          <w:rFonts w:hint="eastAsia"/>
          <w:snapToGrid/>
        </w:rPr>
      </w:pPr>
      <w:r>
        <w:rPr>
          <w:rFonts w:hint="eastAsia"/>
          <w:snapToGrid/>
        </w:rPr>
        <w:tab/>
        <w:t xml:space="preserve">44.  </w:t>
      </w:r>
      <w:r>
        <w:rPr>
          <w:rFonts w:hint="eastAsia"/>
          <w:snapToGrid/>
        </w:rPr>
        <w:t>一项新的性犯罪法令在</w:t>
      </w:r>
      <w:r>
        <w:rPr>
          <w:snapToGrid/>
        </w:rPr>
        <w:t>2005</w:t>
      </w:r>
      <w:r>
        <w:rPr>
          <w:rFonts w:hint="eastAsia"/>
          <w:snapToGrid/>
        </w:rPr>
        <w:t>年</w:t>
      </w:r>
      <w:r>
        <w:rPr>
          <w:snapToGrid/>
        </w:rPr>
        <w:t>4</w:t>
      </w:r>
      <w:r>
        <w:rPr>
          <w:rFonts w:hint="eastAsia"/>
          <w:snapToGrid/>
        </w:rPr>
        <w:t>月</w:t>
      </w:r>
      <w:r>
        <w:rPr>
          <w:snapToGrid/>
        </w:rPr>
        <w:t>1</w:t>
      </w:r>
      <w:r>
        <w:rPr>
          <w:rFonts w:hint="eastAsia"/>
          <w:snapToGrid/>
        </w:rPr>
        <w:t>日生效。这项法令的宗旨是进一步加强和澄清每个人不受人身和性侵犯的以及性自决的绝对权利，以及以各种方式将保护儿童和青年不受性剥削的问题提到重要位置并予以加强。这一点包括扩大对于强奸罪的法律定义、禁止向未成年人购买性行为、插入一项有关保护儿童不因摆出性色姿势而受到剥削的特别处罚规定，以及将禁止购买性服务的法令扩大到也适用于利用由他人付款的性服务的人。</w:t>
      </w:r>
    </w:p>
    <w:p w:rsidR="00000000" w:rsidRDefault="00000000">
      <w:pPr>
        <w:rPr>
          <w:rFonts w:hint="eastAsia"/>
          <w:snapToGrid/>
        </w:rPr>
      </w:pPr>
      <w:r>
        <w:rPr>
          <w:rFonts w:hint="eastAsia"/>
          <w:snapToGrid/>
        </w:rPr>
        <w:tab/>
        <w:t xml:space="preserve">45.  </w:t>
      </w:r>
      <w:r>
        <w:rPr>
          <w:rFonts w:hint="eastAsia"/>
          <w:snapToGrid/>
        </w:rPr>
        <w:t>新的性犯罪法删除了双重罪行的要求，以允许对于瑞典公民在国外对未成年人犯下的严重性罪行判罪。这项修正案废除了对于下列罪行的双重罪行的要求：强奸、严重强奸、性胁迫、对处于依赖地位的人的性剥削、对处于依赖地位的人的严重性剥削、强奸儿童、严重强奸未成年人、骚扰儿童、严重骚扰儿童、严重剥削儿童摆出色情姿势、拉皮条和严重拉皮条，以及这些罪行犯罪未遂。该修正案还允许对所列罪行施加可能被视为比犯罪地点的适用法律所允许的惩罚更加严厉的惩罚。</w:t>
      </w:r>
      <w:r>
        <w:rPr>
          <w:rFonts w:hint="eastAsia"/>
          <w:snapToGrid/>
        </w:rPr>
        <w:t>(</w:t>
      </w:r>
      <w:r>
        <w:rPr>
          <w:rFonts w:hint="eastAsia"/>
          <w:snapToGrid/>
        </w:rPr>
        <w:t>见结论性意见第</w:t>
      </w:r>
      <w:r>
        <w:rPr>
          <w:snapToGrid/>
        </w:rPr>
        <w:t>23</w:t>
      </w:r>
      <w:r>
        <w:rPr>
          <w:rFonts w:hint="eastAsia"/>
          <w:snapToGrid/>
        </w:rPr>
        <w:t>项和第</w:t>
      </w:r>
      <w:r>
        <w:rPr>
          <w:snapToGrid/>
        </w:rPr>
        <w:t>29</w:t>
      </w:r>
      <w:r>
        <w:rPr>
          <w:rFonts w:hint="eastAsia"/>
          <w:snapToGrid/>
        </w:rPr>
        <w:t>项。</w:t>
      </w:r>
      <w:r>
        <w:rPr>
          <w:rFonts w:hint="eastAsia"/>
          <w:snapToGrid/>
        </w:rPr>
        <w:t>)</w:t>
      </w:r>
      <w:r>
        <w:rPr>
          <w:rFonts w:hint="eastAsia"/>
          <w:snapToGrid/>
        </w:rPr>
        <w:t>还指令一个委员会审议赞成和反对废除或限制贩运人口罪的“双重罪行”的要求的理由。</w:t>
      </w:r>
    </w:p>
    <w:p w:rsidR="00000000" w:rsidRDefault="00000000">
      <w:pPr>
        <w:rPr>
          <w:rFonts w:hint="eastAsia"/>
          <w:snapToGrid/>
        </w:rPr>
      </w:pPr>
      <w:r>
        <w:rPr>
          <w:rFonts w:hint="eastAsia"/>
          <w:snapToGrid/>
        </w:rPr>
        <w:tab/>
        <w:t xml:space="preserve">46.  </w:t>
      </w:r>
      <w:r>
        <w:rPr>
          <w:snapToGrid/>
        </w:rPr>
        <w:t>2004</w:t>
      </w:r>
      <w:r>
        <w:rPr>
          <w:rFonts w:hint="eastAsia"/>
          <w:snapToGrid/>
        </w:rPr>
        <w:t>年</w:t>
      </w:r>
      <w:r>
        <w:rPr>
          <w:snapToGrid/>
        </w:rPr>
        <w:t>6</w:t>
      </w:r>
      <w:r>
        <w:rPr>
          <w:rFonts w:hint="eastAsia"/>
          <w:snapToGrid/>
        </w:rPr>
        <w:t>月</w:t>
      </w:r>
      <w:r>
        <w:rPr>
          <w:snapToGrid/>
        </w:rPr>
        <w:t>15</w:t>
      </w:r>
      <w:r>
        <w:rPr>
          <w:rFonts w:hint="eastAsia"/>
          <w:snapToGrid/>
        </w:rPr>
        <w:t>日，政府指令机会均等监察员分析可能对于不报告性袭击事件起作用的因素，研究性袭击的受害人是如何看待刑事调查以及其后的法律诉讼的，并且建议目标在于增加报告性袭击事件的意愿以及减少整个法律诉讼过程对于受害人造成的痛苦和困难的策略和措施。</w:t>
      </w:r>
      <w:r>
        <w:rPr>
          <w:snapToGrid/>
        </w:rPr>
        <w:t>2005</w:t>
      </w:r>
      <w:r>
        <w:rPr>
          <w:rFonts w:hint="eastAsia"/>
          <w:snapToGrid/>
        </w:rPr>
        <w:t>年</w:t>
      </w:r>
      <w:r>
        <w:rPr>
          <w:snapToGrid/>
        </w:rPr>
        <w:t>11</w:t>
      </w:r>
      <w:r>
        <w:rPr>
          <w:rFonts w:hint="eastAsia"/>
          <w:snapToGrid/>
        </w:rPr>
        <w:t>月，该委员会递交了立法提案形式的措施以及例如涉及有关政府机构和教育问题的措施的若干建议。</w:t>
      </w:r>
    </w:p>
    <w:p w:rsidR="00000000" w:rsidRDefault="00000000">
      <w:pPr>
        <w:rPr>
          <w:rFonts w:hint="eastAsia"/>
          <w:snapToGrid/>
        </w:rPr>
      </w:pPr>
      <w:r>
        <w:rPr>
          <w:rFonts w:hint="eastAsia"/>
          <w:snapToGrid/>
        </w:rPr>
        <w:tab/>
        <w:t xml:space="preserve">47.  </w:t>
      </w:r>
      <w:r>
        <w:rPr>
          <w:rFonts w:hint="eastAsia"/>
          <w:snapToGrid/>
        </w:rPr>
        <w:t>有关为年轻人制作关于性态度的指导材料，与经犯罪受害人补偿和支助署授权创建一个犯罪受害人门户以发展一个管理社区犯罪受害人问题的全国性协调方案有关的性犯罪方面的信息等工作已经予以实施。立法提案已经提交审议。其他提议目前正在准备中。</w:t>
      </w:r>
    </w:p>
    <w:p w:rsidR="00000000" w:rsidRDefault="00000000">
      <w:pPr>
        <w:rPr>
          <w:snapToGrid/>
        </w:rPr>
      </w:pPr>
      <w:r>
        <w:rPr>
          <w:rFonts w:hint="eastAsia"/>
          <w:snapToGrid/>
        </w:rPr>
        <w:tab/>
        <w:t xml:space="preserve">48.  </w:t>
      </w:r>
      <w:r>
        <w:rPr>
          <w:rFonts w:hint="eastAsia"/>
          <w:snapToGrid/>
        </w:rPr>
        <w:t>从</w:t>
      </w:r>
      <w:r>
        <w:rPr>
          <w:snapToGrid/>
        </w:rPr>
        <w:t>2002</w:t>
      </w:r>
      <w:r>
        <w:rPr>
          <w:rFonts w:hint="eastAsia"/>
          <w:snapToGrid/>
        </w:rPr>
        <w:t>年</w:t>
      </w:r>
      <w:r>
        <w:rPr>
          <w:snapToGrid/>
        </w:rPr>
        <w:t>7</w:t>
      </w:r>
      <w:r>
        <w:rPr>
          <w:rFonts w:hint="eastAsia"/>
          <w:snapToGrid/>
        </w:rPr>
        <w:t>月</w:t>
      </w:r>
      <w:r>
        <w:rPr>
          <w:snapToGrid/>
        </w:rPr>
        <w:t>1</w:t>
      </w:r>
      <w:r>
        <w:rPr>
          <w:rFonts w:hint="eastAsia"/>
          <w:snapToGrid/>
        </w:rPr>
        <w:t>日起，在瑞典刑法中纳入了一种称为“为了性目的贩运人口”的新的罪行。</w:t>
      </w:r>
      <w:r>
        <w:rPr>
          <w:snapToGrid/>
        </w:rPr>
        <w:t>2004</w:t>
      </w:r>
      <w:r>
        <w:rPr>
          <w:rFonts w:hint="eastAsia"/>
          <w:snapToGrid/>
        </w:rPr>
        <w:t>年</w:t>
      </w:r>
      <w:r>
        <w:rPr>
          <w:snapToGrid/>
        </w:rPr>
        <w:t>7</w:t>
      </w:r>
      <w:r>
        <w:rPr>
          <w:rFonts w:hint="eastAsia"/>
          <w:snapToGrid/>
        </w:rPr>
        <w:t>月</w:t>
      </w:r>
      <w:r>
        <w:rPr>
          <w:snapToGrid/>
        </w:rPr>
        <w:t>1</w:t>
      </w:r>
      <w:r>
        <w:rPr>
          <w:rFonts w:hint="eastAsia"/>
          <w:snapToGrid/>
        </w:rPr>
        <w:t>日打击贩运人口行径的刑法保护扩大到包括非跨国贩运人口以及目的在于性剥削以外的其他剥削形式的贩运人口，如强迫劳动和贩运人体器官等。</w:t>
      </w:r>
      <w:r>
        <w:rPr>
          <w:rFonts w:hint="eastAsia"/>
          <w:snapToGrid/>
        </w:rPr>
        <w:t>(</w:t>
      </w:r>
      <w:r>
        <w:rPr>
          <w:rFonts w:hint="eastAsia"/>
          <w:snapToGrid/>
        </w:rPr>
        <w:t>见结论性意见第</w:t>
      </w:r>
      <w:r>
        <w:rPr>
          <w:snapToGrid/>
        </w:rPr>
        <w:t>36</w:t>
      </w:r>
      <w:r>
        <w:rPr>
          <w:rFonts w:hint="eastAsia"/>
          <w:snapToGrid/>
        </w:rPr>
        <w:t>项。</w:t>
      </w:r>
      <w:r>
        <w:rPr>
          <w:rFonts w:hint="eastAsia"/>
          <w:snapToGrid/>
        </w:rPr>
        <w:t>)</w:t>
      </w:r>
    </w:p>
    <w:p w:rsidR="00000000" w:rsidRDefault="00000000">
      <w:pPr>
        <w:rPr>
          <w:rFonts w:hint="eastAsia"/>
          <w:snapToGrid/>
        </w:rPr>
      </w:pPr>
      <w:r>
        <w:rPr>
          <w:rFonts w:hint="eastAsia"/>
          <w:snapToGrid/>
        </w:rPr>
        <w:tab/>
        <w:t xml:space="preserve">49.  </w:t>
      </w:r>
      <w:r>
        <w:rPr>
          <w:rFonts w:hint="eastAsia"/>
          <w:snapToGrid/>
        </w:rPr>
        <w:t>瑞典已经成为补充《联合国打击跨国有组织犯罪公约》的《防止、镇压和惩罚贩运人口议定书》的缔约国。</w:t>
      </w:r>
    </w:p>
    <w:p w:rsidR="00000000" w:rsidRDefault="00000000">
      <w:pPr>
        <w:rPr>
          <w:rFonts w:hint="eastAsia"/>
          <w:snapToGrid/>
        </w:rPr>
      </w:pPr>
      <w:r>
        <w:rPr>
          <w:rFonts w:hint="eastAsia"/>
          <w:snapToGrid/>
        </w:rPr>
        <w:tab/>
        <w:t xml:space="preserve">50.  </w:t>
      </w:r>
      <w:r>
        <w:rPr>
          <w:rFonts w:hint="eastAsia"/>
          <w:snapToGrid/>
        </w:rPr>
        <w:t>该国政府已经任命一个委员会编写一份关于贩运人口罪的概观。</w:t>
      </w:r>
    </w:p>
    <w:p w:rsidR="00000000" w:rsidRDefault="00000000">
      <w:pPr>
        <w:rPr>
          <w:rFonts w:hint="eastAsia"/>
          <w:snapToGrid/>
        </w:rPr>
      </w:pPr>
      <w:r>
        <w:rPr>
          <w:rFonts w:hint="eastAsia"/>
          <w:snapToGrid/>
        </w:rPr>
        <w:tab/>
        <w:t xml:space="preserve">51.  </w:t>
      </w:r>
      <w:r>
        <w:rPr>
          <w:rFonts w:hint="eastAsia"/>
          <w:snapToGrid/>
        </w:rPr>
        <w:t>瑞典已经批准一项关于打击贩运人口行径的欧盟框架决定。</w:t>
      </w:r>
    </w:p>
    <w:p w:rsidR="00000000" w:rsidRDefault="00000000">
      <w:pPr>
        <w:rPr>
          <w:rFonts w:hint="eastAsia"/>
          <w:snapToGrid/>
        </w:rPr>
      </w:pPr>
      <w:r>
        <w:rPr>
          <w:rFonts w:hint="eastAsia"/>
          <w:snapToGrid/>
        </w:rPr>
        <w:tab/>
        <w:t xml:space="preserve">52.  </w:t>
      </w:r>
      <w:r>
        <w:rPr>
          <w:rFonts w:hint="eastAsia"/>
          <w:snapToGrid/>
        </w:rPr>
        <w:t>瑞典已经成为欧洲理事会《打击贩运人口行动公约》的缔约国。</w:t>
      </w:r>
    </w:p>
    <w:p w:rsidR="00000000" w:rsidRDefault="00000000">
      <w:pPr>
        <w:rPr>
          <w:rFonts w:hint="eastAsia"/>
          <w:snapToGrid/>
        </w:rPr>
      </w:pPr>
      <w:r>
        <w:rPr>
          <w:rFonts w:hint="eastAsia"/>
          <w:snapToGrid/>
        </w:rPr>
        <w:tab/>
        <w:t xml:space="preserve">53.  </w:t>
      </w:r>
      <w:r>
        <w:rPr>
          <w:rFonts w:hint="eastAsia"/>
          <w:snapToGrid/>
        </w:rPr>
        <w:t>政府办公机构目前正在起草一项打击一切形式贩运人口的行动计划。这项行动计划将分为两个部分。第一部分将集中于打击卖淫和为了性目的贩运人口，特别是妇女和儿童的努力，将于</w:t>
      </w:r>
      <w:r>
        <w:rPr>
          <w:snapToGrid/>
        </w:rPr>
        <w:t>2006</w:t>
      </w:r>
      <w:r>
        <w:rPr>
          <w:rFonts w:hint="eastAsia"/>
          <w:snapToGrid/>
        </w:rPr>
        <w:t>年春完成。第二部分将集中于打击为了劳动剥削贩运人口，以及贩运人体器官，将于</w:t>
      </w:r>
      <w:r>
        <w:rPr>
          <w:snapToGrid/>
        </w:rPr>
        <w:t>2006</w:t>
      </w:r>
      <w:r>
        <w:rPr>
          <w:rFonts w:hint="eastAsia"/>
          <w:snapToGrid/>
        </w:rPr>
        <w:t>年秋完成。</w:t>
      </w:r>
    </w:p>
    <w:p w:rsidR="00000000" w:rsidRDefault="00000000">
      <w:pPr>
        <w:spacing w:after="320"/>
        <w:rPr>
          <w:rFonts w:hint="eastAsia"/>
          <w:snapToGrid/>
        </w:rPr>
      </w:pPr>
      <w:r>
        <w:rPr>
          <w:rFonts w:hint="eastAsia"/>
          <w:snapToGrid/>
        </w:rPr>
        <w:tab/>
        <w:t xml:space="preserve">54.  </w:t>
      </w:r>
      <w:r>
        <w:rPr>
          <w:rFonts w:hint="eastAsia"/>
          <w:snapToGrid/>
        </w:rPr>
        <w:t>该国政府好几年来一直在采取旨在改善遭受与荣誉有关的暴力和家庭成员实施的压迫风险的男女青年的境遇的特别措施。为此目的，该国政府已经为</w:t>
      </w:r>
      <w:r>
        <w:rPr>
          <w:snapToGrid/>
        </w:rPr>
        <w:t>2003-2007</w:t>
      </w:r>
      <w:r>
        <w:rPr>
          <w:rFonts w:hint="eastAsia"/>
          <w:snapToGrid/>
        </w:rPr>
        <w:t>期间拨出总额为</w:t>
      </w:r>
      <w:r>
        <w:rPr>
          <w:snapToGrid/>
        </w:rPr>
        <w:t>1.8</w:t>
      </w:r>
      <w:r>
        <w:rPr>
          <w:rFonts w:hint="eastAsia"/>
          <w:snapToGrid/>
        </w:rPr>
        <w:t>亿瑞典克朗的经费。</w:t>
      </w:r>
    </w:p>
    <w:p w:rsidR="00000000" w:rsidRDefault="00000000">
      <w:pPr>
        <w:pStyle w:val="Heading3"/>
        <w:rPr>
          <w:rFonts w:ascii="Time New Roman" w:eastAsia="SimHei" w:hAnsi="Time New Roman" w:hint="eastAsia"/>
          <w:u w:val="none"/>
          <w:lang w:val="fr-CH"/>
        </w:rPr>
      </w:pP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b/>
          <w:u w:val="none"/>
        </w:rPr>
        <w:t xml:space="preserve">6 </w:t>
      </w:r>
      <w:r>
        <w:rPr>
          <w:rFonts w:ascii="Time New Roman" w:eastAsia="SimHei" w:hAnsi="Time New Roman" w:hint="eastAsia"/>
          <w:u w:val="none"/>
        </w:rPr>
        <w:t>条</w:t>
      </w:r>
    </w:p>
    <w:p w:rsidR="00000000" w:rsidRDefault="00000000">
      <w:pPr>
        <w:pStyle w:val="Heading4"/>
        <w:rPr>
          <w:rFonts w:eastAsia="KaiTi_GB2312" w:hint="eastAsia"/>
          <w:b/>
          <w:bCs/>
          <w:spacing w:val="0"/>
          <w:u w:val="none"/>
          <w:lang w:val="fr-CH"/>
        </w:rPr>
      </w:pPr>
      <w:r>
        <w:rPr>
          <w:rFonts w:eastAsia="KaiTi_GB2312" w:hint="eastAsia"/>
          <w:b/>
          <w:bCs/>
          <w:spacing w:val="0"/>
          <w:u w:val="none"/>
          <w:lang w:val="fr-CH"/>
        </w:rPr>
        <w:t>准则</w:t>
      </w:r>
      <w:r>
        <w:rPr>
          <w:rFonts w:eastAsia="KaiTi_GB2312" w:hint="eastAsia"/>
          <w:b/>
          <w:bCs/>
          <w:spacing w:val="0"/>
          <w:u w:val="none"/>
          <w:lang w:val="fr-CH"/>
        </w:rPr>
        <w:t>1</w:t>
      </w:r>
    </w:p>
    <w:p w:rsidR="00000000" w:rsidRDefault="00000000">
      <w:pPr>
        <w:rPr>
          <w:rFonts w:hint="eastAsia"/>
          <w:snapToGrid/>
        </w:rPr>
      </w:pPr>
      <w:r>
        <w:rPr>
          <w:rFonts w:hint="eastAsia"/>
          <w:snapToGrid/>
        </w:rPr>
        <w:tab/>
        <w:t xml:space="preserve">55.  </w:t>
      </w:r>
      <w:r>
        <w:rPr>
          <w:rFonts w:hint="eastAsia"/>
          <w:snapToGrid/>
        </w:rPr>
        <w:t>瑞典是</w:t>
      </w:r>
      <w:r>
        <w:rPr>
          <w:snapToGrid/>
        </w:rPr>
        <w:t>1964</w:t>
      </w:r>
      <w:r>
        <w:rPr>
          <w:rFonts w:hint="eastAsia"/>
          <w:snapToGrid/>
        </w:rPr>
        <w:t>年国际劳工组织第</w:t>
      </w:r>
      <w:r>
        <w:rPr>
          <w:snapToGrid/>
        </w:rPr>
        <w:t>122</w:t>
      </w:r>
      <w:r>
        <w:rPr>
          <w:rFonts w:hint="eastAsia"/>
          <w:snapToGrid/>
        </w:rPr>
        <w:t>号</w:t>
      </w:r>
      <w:r>
        <w:rPr>
          <w:rFonts w:hint="eastAsia"/>
          <w:snapToGrid/>
        </w:rPr>
        <w:t>(</w:t>
      </w:r>
      <w:r>
        <w:rPr>
          <w:rFonts w:hint="eastAsia"/>
          <w:snapToGrid/>
        </w:rPr>
        <w:t>关于就业政策的</w:t>
      </w:r>
      <w:r>
        <w:rPr>
          <w:rFonts w:hint="eastAsia"/>
          <w:snapToGrid/>
        </w:rPr>
        <w:t>)</w:t>
      </w:r>
      <w:r>
        <w:rPr>
          <w:rFonts w:hint="eastAsia"/>
          <w:snapToGrid/>
        </w:rPr>
        <w:t>公约和</w:t>
      </w:r>
      <w:r>
        <w:rPr>
          <w:snapToGrid/>
        </w:rPr>
        <w:t>1958</w:t>
      </w:r>
      <w:r>
        <w:rPr>
          <w:rFonts w:hint="eastAsia"/>
          <w:snapToGrid/>
        </w:rPr>
        <w:t>年第</w:t>
      </w:r>
      <w:r>
        <w:rPr>
          <w:snapToGrid/>
        </w:rPr>
        <w:t>111</w:t>
      </w:r>
      <w:r>
        <w:rPr>
          <w:rFonts w:hint="eastAsia"/>
          <w:snapToGrid/>
        </w:rPr>
        <w:t>号</w:t>
      </w:r>
      <w:r>
        <w:rPr>
          <w:rFonts w:hint="eastAsia"/>
          <w:snapToGrid/>
        </w:rPr>
        <w:t>(</w:t>
      </w:r>
      <w:r>
        <w:rPr>
          <w:rFonts w:hint="eastAsia"/>
          <w:snapToGrid/>
        </w:rPr>
        <w:t>关于</w:t>
      </w:r>
      <w:r>
        <w:rPr>
          <w:rFonts w:hint="eastAsia"/>
          <w:snapToGrid/>
        </w:rPr>
        <w:t>(</w:t>
      </w:r>
      <w:r>
        <w:rPr>
          <w:rFonts w:hint="eastAsia"/>
          <w:snapToGrid/>
        </w:rPr>
        <w:t>就业和职业</w:t>
      </w:r>
      <w:r>
        <w:rPr>
          <w:rFonts w:hint="eastAsia"/>
          <w:snapToGrid/>
        </w:rPr>
        <w:t>)</w:t>
      </w:r>
      <w:r>
        <w:rPr>
          <w:rFonts w:hint="eastAsia"/>
          <w:snapToGrid/>
        </w:rPr>
        <w:t>歧视的</w:t>
      </w:r>
      <w:r>
        <w:rPr>
          <w:rFonts w:hint="eastAsia"/>
          <w:snapToGrid/>
        </w:rPr>
        <w:t>)</w:t>
      </w:r>
      <w:r>
        <w:rPr>
          <w:rFonts w:hint="eastAsia"/>
          <w:snapToGrid/>
        </w:rPr>
        <w:t>公约的缔约国。</w:t>
      </w:r>
    </w:p>
    <w:p w:rsidR="00000000" w:rsidRDefault="00000000">
      <w:pPr>
        <w:spacing w:after="240"/>
        <w:rPr>
          <w:rFonts w:hint="eastAsia"/>
          <w:snapToGrid/>
        </w:rPr>
      </w:pPr>
      <w:r>
        <w:rPr>
          <w:rFonts w:hint="eastAsia"/>
          <w:snapToGrid/>
        </w:rPr>
        <w:tab/>
        <w:t xml:space="preserve">56.  </w:t>
      </w:r>
      <w:r>
        <w:rPr>
          <w:rFonts w:hint="eastAsia"/>
          <w:snapToGrid/>
        </w:rPr>
        <w:t>瑞典还是《消除一切形式种族歧视国际公约》和《消除对妇女一切形式歧视国际公约》的缔约国。</w:t>
      </w:r>
    </w:p>
    <w:p w:rsidR="00000000" w:rsidRDefault="00000000">
      <w:pPr>
        <w:pStyle w:val="Heading4"/>
        <w:rPr>
          <w:rFonts w:eastAsia="KaiTi_GB2312" w:hint="eastAsia"/>
          <w:b/>
          <w:bCs/>
          <w:spacing w:val="0"/>
          <w:u w:val="none"/>
        </w:rPr>
      </w:pPr>
      <w:r>
        <w:rPr>
          <w:rFonts w:eastAsia="KaiTi_GB2312" w:hint="eastAsia"/>
          <w:b/>
          <w:bCs/>
          <w:spacing w:val="0"/>
          <w:u w:val="none"/>
          <w:lang w:val="fr-CH"/>
        </w:rPr>
        <w:t>准则</w:t>
      </w:r>
      <w:r>
        <w:rPr>
          <w:rFonts w:eastAsia="KaiTi_GB2312"/>
          <w:b/>
          <w:bCs/>
          <w:spacing w:val="0"/>
          <w:u w:val="none"/>
        </w:rPr>
        <w:t>2(a)</w:t>
      </w:r>
      <w:r>
        <w:rPr>
          <w:rFonts w:eastAsia="KaiTi_GB2312" w:hint="eastAsia"/>
          <w:b/>
          <w:bCs/>
          <w:spacing w:val="0"/>
          <w:u w:val="none"/>
        </w:rPr>
        <w:t>至</w:t>
      </w:r>
      <w:r>
        <w:rPr>
          <w:rFonts w:eastAsia="KaiTi_GB2312"/>
          <w:b/>
          <w:bCs/>
          <w:spacing w:val="0"/>
          <w:u w:val="none"/>
        </w:rPr>
        <w:t>(c)</w:t>
      </w:r>
      <w:r>
        <w:rPr>
          <w:rFonts w:eastAsia="KaiTi_GB2312" w:hint="eastAsia"/>
          <w:b/>
          <w:bCs/>
          <w:spacing w:val="0"/>
          <w:u w:val="none"/>
        </w:rPr>
        <w:t>项、</w:t>
      </w:r>
      <w:r>
        <w:rPr>
          <w:rFonts w:eastAsia="KaiTi_GB2312"/>
          <w:b/>
          <w:bCs/>
          <w:spacing w:val="0"/>
          <w:u w:val="none"/>
        </w:rPr>
        <w:t>(e)</w:t>
      </w:r>
      <w:r>
        <w:rPr>
          <w:rFonts w:eastAsia="KaiTi_GB2312" w:hint="eastAsia"/>
          <w:b/>
          <w:bCs/>
          <w:spacing w:val="0"/>
          <w:u w:val="none"/>
        </w:rPr>
        <w:t>项和</w:t>
      </w:r>
      <w:r>
        <w:rPr>
          <w:rFonts w:eastAsia="KaiTi_GB2312"/>
          <w:b/>
          <w:bCs/>
          <w:spacing w:val="0"/>
          <w:u w:val="none"/>
        </w:rPr>
        <w:t>(f)</w:t>
      </w:r>
      <w:r>
        <w:rPr>
          <w:rFonts w:eastAsia="KaiTi_GB2312" w:hint="eastAsia"/>
          <w:b/>
          <w:bCs/>
          <w:spacing w:val="0"/>
          <w:u w:val="none"/>
        </w:rPr>
        <w:t>项</w:t>
      </w:r>
    </w:p>
    <w:p w:rsidR="00000000" w:rsidRDefault="00000000">
      <w:pPr>
        <w:rPr>
          <w:rFonts w:hint="eastAsia"/>
          <w:snapToGrid/>
        </w:rPr>
      </w:pPr>
      <w:r>
        <w:rPr>
          <w:rFonts w:hint="eastAsia"/>
          <w:snapToGrid/>
        </w:rPr>
        <w:tab/>
        <w:t xml:space="preserve">57.  </w:t>
      </w:r>
      <w:r>
        <w:rPr>
          <w:rFonts w:hint="eastAsia"/>
          <w:snapToGrid/>
        </w:rPr>
        <w:t>提到了关于执行这项公约的第四次定期报告。</w:t>
      </w:r>
    </w:p>
    <w:p w:rsidR="00000000" w:rsidRDefault="00000000">
      <w:pPr>
        <w:rPr>
          <w:rFonts w:hint="eastAsia"/>
          <w:snapToGrid/>
        </w:rPr>
      </w:pPr>
      <w:r>
        <w:rPr>
          <w:rFonts w:hint="eastAsia"/>
          <w:snapToGrid/>
        </w:rPr>
        <w:tab/>
        <w:t xml:space="preserve">58.  </w:t>
      </w:r>
      <w:r>
        <w:rPr>
          <w:rFonts w:hint="eastAsia"/>
          <w:snapToGrid/>
        </w:rPr>
        <w:t>还提到了瑞典就执行</w:t>
      </w:r>
      <w:r>
        <w:rPr>
          <w:snapToGrid/>
        </w:rPr>
        <w:t>1964</w:t>
      </w:r>
      <w:r>
        <w:rPr>
          <w:rFonts w:hint="eastAsia"/>
          <w:snapToGrid/>
        </w:rPr>
        <w:t>年国际劳工组织第</w:t>
      </w:r>
      <w:r>
        <w:rPr>
          <w:snapToGrid/>
        </w:rPr>
        <w:t>122</w:t>
      </w:r>
      <w:r>
        <w:rPr>
          <w:rFonts w:hint="eastAsia"/>
          <w:snapToGrid/>
        </w:rPr>
        <w:t>号</w:t>
      </w:r>
      <w:r>
        <w:rPr>
          <w:rFonts w:hint="eastAsia"/>
          <w:snapToGrid/>
        </w:rPr>
        <w:t>(</w:t>
      </w:r>
      <w:r>
        <w:rPr>
          <w:rFonts w:hint="eastAsia"/>
          <w:snapToGrid/>
        </w:rPr>
        <w:t>关于就业政策的</w:t>
      </w:r>
      <w:r>
        <w:rPr>
          <w:rFonts w:hint="eastAsia"/>
          <w:snapToGrid/>
        </w:rPr>
        <w:t>)</w:t>
      </w:r>
      <w:r>
        <w:rPr>
          <w:rFonts w:hint="eastAsia"/>
          <w:snapToGrid/>
        </w:rPr>
        <w:t>公约以前提交的几份报告。</w:t>
      </w:r>
    </w:p>
    <w:p w:rsidR="00000000" w:rsidRDefault="00000000">
      <w:pPr>
        <w:rPr>
          <w:rFonts w:hint="eastAsia"/>
          <w:snapToGrid/>
        </w:rPr>
      </w:pPr>
      <w:r>
        <w:rPr>
          <w:rFonts w:hint="eastAsia"/>
          <w:snapToGrid/>
        </w:rPr>
        <w:tab/>
        <w:t xml:space="preserve">59.  </w:t>
      </w:r>
      <w:r>
        <w:rPr>
          <w:rFonts w:hint="eastAsia"/>
          <w:snapToGrid/>
        </w:rPr>
        <w:t>又提到了瑞典在《消除对妇女一切形式歧视国际公约》项下提交的第六次和第七次定期报告。接下来是这些报告内容的概要和另外的信息。</w:t>
      </w:r>
    </w:p>
    <w:p w:rsidR="00000000" w:rsidRDefault="00000000">
      <w:pPr>
        <w:rPr>
          <w:rFonts w:hint="eastAsia"/>
          <w:snapToGrid/>
        </w:rPr>
      </w:pPr>
      <w:r>
        <w:rPr>
          <w:rFonts w:hint="eastAsia"/>
          <w:snapToGrid/>
        </w:rPr>
        <w:tab/>
        <w:t xml:space="preserve">60.  </w:t>
      </w:r>
      <w:r>
        <w:rPr>
          <w:rFonts w:hint="eastAsia"/>
          <w:snapToGrid/>
        </w:rPr>
        <w:t>提高就业率和降低失业率是瑞典政府的两个关键目标。几个政策领域必须互动，劳工市场的行动者必须结成伙伴，才能达到目标。</w:t>
      </w:r>
    </w:p>
    <w:p w:rsidR="00000000" w:rsidRDefault="00000000">
      <w:pPr>
        <w:spacing w:after="240"/>
        <w:rPr>
          <w:rFonts w:hint="eastAsia"/>
          <w:snapToGrid/>
        </w:rPr>
      </w:pPr>
      <w:r>
        <w:rPr>
          <w:rFonts w:hint="eastAsia"/>
          <w:snapToGrid/>
        </w:rPr>
        <w:tab/>
        <w:t xml:space="preserve">61.  </w:t>
      </w:r>
      <w:r>
        <w:rPr>
          <w:rFonts w:hint="eastAsia"/>
          <w:snapToGrid/>
        </w:rPr>
        <w:t>雇员和雇主的有效配合，对于达到政府的完全就业和</w:t>
      </w:r>
      <w:r>
        <w:rPr>
          <w:snapToGrid/>
        </w:rPr>
        <w:t>20</w:t>
      </w:r>
      <w:r>
        <w:rPr>
          <w:rFonts w:hint="eastAsia"/>
          <w:snapToGrid/>
        </w:rPr>
        <w:t>到</w:t>
      </w:r>
      <w:r>
        <w:rPr>
          <w:snapToGrid/>
        </w:rPr>
        <w:t>64</w:t>
      </w:r>
      <w:r>
        <w:rPr>
          <w:rFonts w:hint="eastAsia"/>
          <w:snapToGrid/>
        </w:rPr>
        <w:t>岁的人</w:t>
      </w:r>
      <w:r>
        <w:rPr>
          <w:snapToGrid/>
        </w:rPr>
        <w:t>4%</w:t>
      </w:r>
      <w:r>
        <w:rPr>
          <w:rFonts w:hint="eastAsia"/>
          <w:snapToGrid/>
        </w:rPr>
        <w:t>失业率和</w:t>
      </w:r>
      <w:r>
        <w:rPr>
          <w:snapToGrid/>
        </w:rPr>
        <w:t>80</w:t>
      </w:r>
      <w:r>
        <w:rPr>
          <w:rFonts w:hint="eastAsia"/>
          <w:snapToGrid/>
        </w:rPr>
        <w:t>%</w:t>
      </w:r>
      <w:r>
        <w:rPr>
          <w:rFonts w:hint="eastAsia"/>
          <w:snapToGrid/>
        </w:rPr>
        <w:t>就业率的临时目标是十分重要的。政府正在劳工市场政策的框架内执行各种措施，以确保现有的工作岗位很快有人填补，而求职者具有符合劳工市场要求的配备。还正在采取行动促进劳动力在劳工市场的流动性，以防止本地或区域性的劳动力不足。劳工市场政策给予工作能力受到损害的残疾人、失业青年和外国背景的男女优先权。</w:t>
      </w:r>
    </w:p>
    <w:p w:rsidR="00000000" w:rsidRDefault="00000000">
      <w:pPr>
        <w:pStyle w:val="Heading4"/>
        <w:rPr>
          <w:rFonts w:hint="eastAsia"/>
        </w:rPr>
      </w:pPr>
      <w:r>
        <w:rPr>
          <w:rFonts w:hint="eastAsia"/>
        </w:rPr>
        <w:t>劳工市场的趋势</w:t>
      </w:r>
    </w:p>
    <w:p w:rsidR="00000000" w:rsidRDefault="00000000">
      <w:pPr>
        <w:rPr>
          <w:rFonts w:hint="eastAsia"/>
          <w:snapToGrid/>
        </w:rPr>
      </w:pPr>
      <w:r>
        <w:rPr>
          <w:rFonts w:hint="eastAsia"/>
          <w:snapToGrid/>
        </w:rPr>
        <w:tab/>
        <w:t xml:space="preserve">62.  </w:t>
      </w:r>
      <w:r>
        <w:rPr>
          <w:rFonts w:hint="eastAsia"/>
          <w:snapToGrid/>
        </w:rPr>
        <w:t>在</w:t>
      </w:r>
      <w:r>
        <w:rPr>
          <w:snapToGrid/>
        </w:rPr>
        <w:t>20</w:t>
      </w:r>
      <w:r>
        <w:rPr>
          <w:rFonts w:hint="eastAsia"/>
          <w:snapToGrid/>
        </w:rPr>
        <w:t>世纪</w:t>
      </w:r>
      <w:r>
        <w:rPr>
          <w:snapToGrid/>
        </w:rPr>
        <w:t>90</w:t>
      </w:r>
      <w:r>
        <w:rPr>
          <w:rFonts w:hint="eastAsia"/>
          <w:snapToGrid/>
        </w:rPr>
        <w:t>年代经济危机的那些年之后，</w:t>
      </w:r>
      <w:r>
        <w:rPr>
          <w:snapToGrid/>
        </w:rPr>
        <w:t>1995</w:t>
      </w:r>
      <w:r>
        <w:rPr>
          <w:rFonts w:hint="eastAsia"/>
          <w:snapToGrid/>
        </w:rPr>
        <w:t>年</w:t>
      </w:r>
      <w:r>
        <w:rPr>
          <w:snapToGrid/>
        </w:rPr>
        <w:t>16</w:t>
      </w:r>
      <w:r>
        <w:rPr>
          <w:rFonts w:hint="eastAsia"/>
          <w:snapToGrid/>
        </w:rPr>
        <w:t>到</w:t>
      </w:r>
      <w:r>
        <w:rPr>
          <w:snapToGrid/>
        </w:rPr>
        <w:t>64</w:t>
      </w:r>
      <w:r>
        <w:rPr>
          <w:rFonts w:hint="eastAsia"/>
          <w:snapToGrid/>
        </w:rPr>
        <w:t>岁的人的失业率是</w:t>
      </w:r>
      <w:r>
        <w:rPr>
          <w:snapToGrid/>
        </w:rPr>
        <w:t>7.7%</w:t>
      </w:r>
      <w:r>
        <w:rPr>
          <w:rFonts w:hint="eastAsia"/>
          <w:snapToGrid/>
        </w:rPr>
        <w:t>(</w:t>
      </w:r>
      <w:r>
        <w:rPr>
          <w:rFonts w:hint="eastAsia"/>
          <w:snapToGrid/>
        </w:rPr>
        <w:t>妇女</w:t>
      </w:r>
      <w:r>
        <w:rPr>
          <w:snapToGrid/>
        </w:rPr>
        <w:t>6.9</w:t>
      </w:r>
      <w:r>
        <w:rPr>
          <w:rFonts w:hint="eastAsia"/>
          <w:snapToGrid/>
        </w:rPr>
        <w:t>%</w:t>
      </w:r>
      <w:r>
        <w:rPr>
          <w:rFonts w:hint="eastAsia"/>
          <w:snapToGrid/>
        </w:rPr>
        <w:t>，男子</w:t>
      </w:r>
      <w:r>
        <w:rPr>
          <w:snapToGrid/>
        </w:rPr>
        <w:t>8.4%</w:t>
      </w:r>
      <w:r>
        <w:rPr>
          <w:rFonts w:hint="eastAsia"/>
          <w:snapToGrid/>
        </w:rPr>
        <w:t>)</w:t>
      </w:r>
      <w:r>
        <w:rPr>
          <w:rFonts w:hint="eastAsia"/>
          <w:snapToGrid/>
        </w:rPr>
        <w:t>。就业率是</w:t>
      </w:r>
      <w:r>
        <w:rPr>
          <w:snapToGrid/>
        </w:rPr>
        <w:t>72.2%</w:t>
      </w:r>
      <w:r>
        <w:rPr>
          <w:rFonts w:hint="eastAsia"/>
          <w:snapToGrid/>
        </w:rPr>
        <w:t>(</w:t>
      </w:r>
      <w:r>
        <w:rPr>
          <w:rFonts w:hint="eastAsia"/>
          <w:snapToGrid/>
        </w:rPr>
        <w:t>妇女</w:t>
      </w:r>
      <w:r>
        <w:rPr>
          <w:snapToGrid/>
        </w:rPr>
        <w:t>73.5</w:t>
      </w:r>
      <w:r>
        <w:rPr>
          <w:rFonts w:hint="eastAsia"/>
          <w:snapToGrid/>
        </w:rPr>
        <w:t>%</w:t>
      </w:r>
      <w:r>
        <w:rPr>
          <w:rFonts w:hint="eastAsia"/>
          <w:snapToGrid/>
        </w:rPr>
        <w:t>，男子</w:t>
      </w:r>
      <w:r>
        <w:rPr>
          <w:snapToGrid/>
        </w:rPr>
        <w:t>70.9%</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 xml:space="preserve">63.  </w:t>
      </w:r>
      <w:r>
        <w:rPr>
          <w:rFonts w:hint="eastAsia"/>
          <w:snapToGrid/>
        </w:rPr>
        <w:t>到</w:t>
      </w:r>
      <w:r>
        <w:rPr>
          <w:snapToGrid/>
        </w:rPr>
        <w:t>2000</w:t>
      </w:r>
      <w:r>
        <w:rPr>
          <w:rFonts w:hint="eastAsia"/>
          <w:snapToGrid/>
        </w:rPr>
        <w:t>年，失业率已经跌落到</w:t>
      </w:r>
      <w:r>
        <w:rPr>
          <w:snapToGrid/>
        </w:rPr>
        <w:t>4.7%</w:t>
      </w:r>
      <w:r>
        <w:rPr>
          <w:rFonts w:hint="eastAsia"/>
          <w:snapToGrid/>
        </w:rPr>
        <w:t>(</w:t>
      </w:r>
      <w:r>
        <w:rPr>
          <w:rFonts w:hint="eastAsia"/>
          <w:snapToGrid/>
        </w:rPr>
        <w:t>妇女</w:t>
      </w:r>
      <w:r>
        <w:rPr>
          <w:snapToGrid/>
        </w:rPr>
        <w:t>4.3</w:t>
      </w:r>
      <w:r>
        <w:rPr>
          <w:rFonts w:hint="eastAsia"/>
          <w:snapToGrid/>
        </w:rPr>
        <w:t>%</w:t>
      </w:r>
      <w:r>
        <w:rPr>
          <w:rFonts w:hint="eastAsia"/>
          <w:snapToGrid/>
        </w:rPr>
        <w:t>，男子</w:t>
      </w:r>
      <w:r>
        <w:rPr>
          <w:snapToGrid/>
        </w:rPr>
        <w:t>6.5%</w:t>
      </w:r>
      <w:r>
        <w:rPr>
          <w:rFonts w:hint="eastAsia"/>
          <w:snapToGrid/>
        </w:rPr>
        <w:t>)</w:t>
      </w:r>
      <w:r>
        <w:rPr>
          <w:rFonts w:hint="eastAsia"/>
          <w:snapToGrid/>
        </w:rPr>
        <w:t>，就业率上升到</w:t>
      </w:r>
      <w:r>
        <w:rPr>
          <w:rFonts w:hint="eastAsia"/>
          <w:snapToGrid/>
        </w:rPr>
        <w:t>7</w:t>
      </w:r>
      <w:r>
        <w:rPr>
          <w:snapToGrid/>
        </w:rPr>
        <w:t>4.</w:t>
      </w:r>
      <w:r>
        <w:rPr>
          <w:rFonts w:hint="eastAsia"/>
          <w:snapToGrid/>
        </w:rPr>
        <w:t>2</w:t>
      </w:r>
      <w:r>
        <w:rPr>
          <w:snapToGrid/>
        </w:rPr>
        <w:t>%</w:t>
      </w:r>
      <w:r>
        <w:rPr>
          <w:rFonts w:hint="eastAsia"/>
          <w:snapToGrid/>
        </w:rPr>
        <w:t>(</w:t>
      </w:r>
      <w:r>
        <w:rPr>
          <w:rFonts w:hint="eastAsia"/>
          <w:snapToGrid/>
        </w:rPr>
        <w:t>妇女</w:t>
      </w:r>
      <w:r>
        <w:rPr>
          <w:rFonts w:hint="eastAsia"/>
          <w:snapToGrid/>
        </w:rPr>
        <w:t>72.2%</w:t>
      </w:r>
      <w:r>
        <w:rPr>
          <w:rFonts w:hint="eastAsia"/>
          <w:snapToGrid/>
        </w:rPr>
        <w:t>，男子</w:t>
      </w:r>
      <w:r>
        <w:rPr>
          <w:rFonts w:hint="eastAsia"/>
          <w:snapToGrid/>
        </w:rPr>
        <w:t>7</w:t>
      </w:r>
      <w:r>
        <w:rPr>
          <w:snapToGrid/>
        </w:rPr>
        <w:t>6.</w:t>
      </w:r>
      <w:r>
        <w:rPr>
          <w:rFonts w:hint="eastAsia"/>
          <w:snapToGrid/>
        </w:rPr>
        <w:t>1</w:t>
      </w:r>
      <w:r>
        <w:rPr>
          <w:snapToGrid/>
        </w:rPr>
        <w:t>%</w:t>
      </w:r>
      <w:r>
        <w:rPr>
          <w:rFonts w:hint="eastAsia"/>
          <w:snapToGrid/>
        </w:rPr>
        <w:t>)</w:t>
      </w:r>
      <w:r>
        <w:rPr>
          <w:rFonts w:hint="eastAsia"/>
          <w:snapToGrid/>
        </w:rPr>
        <w:t>。瑞典劳工市场的形势看好。</w:t>
      </w:r>
      <w:r>
        <w:rPr>
          <w:snapToGrid/>
        </w:rPr>
        <w:t>200</w:t>
      </w:r>
      <w:r>
        <w:rPr>
          <w:rFonts w:hint="eastAsia"/>
          <w:snapToGrid/>
        </w:rPr>
        <w:t>1</w:t>
      </w:r>
      <w:r>
        <w:rPr>
          <w:rFonts w:hint="eastAsia"/>
          <w:snapToGrid/>
        </w:rPr>
        <w:t>年的经济滑坡造成劳动力过剩。尽管经济状况比以前疲软，但是劳工市场的形势没有明显变坏，直到</w:t>
      </w:r>
      <w:r>
        <w:rPr>
          <w:snapToGrid/>
        </w:rPr>
        <w:t>200</w:t>
      </w:r>
      <w:r>
        <w:rPr>
          <w:rFonts w:hint="eastAsia"/>
          <w:snapToGrid/>
        </w:rPr>
        <w:t>3</w:t>
      </w:r>
      <w:r>
        <w:rPr>
          <w:rFonts w:hint="eastAsia"/>
          <w:snapToGrid/>
        </w:rPr>
        <w:t>年，就业率下降，而失业率上升。在</w:t>
      </w:r>
      <w:r>
        <w:rPr>
          <w:snapToGrid/>
        </w:rPr>
        <w:t>200</w:t>
      </w:r>
      <w:r>
        <w:rPr>
          <w:rFonts w:hint="eastAsia"/>
          <w:snapToGrid/>
        </w:rPr>
        <w:t>4</w:t>
      </w:r>
      <w:r>
        <w:rPr>
          <w:rFonts w:hint="eastAsia"/>
          <w:snapToGrid/>
        </w:rPr>
        <w:t>年，尽管经济增长强劲，并且向劳工市场政策方案分配给更多的资源，但是公开失业率上升，就业率进一步下降。</w:t>
      </w:r>
      <w:r>
        <w:rPr>
          <w:snapToGrid/>
        </w:rPr>
        <w:t>200</w:t>
      </w:r>
      <w:r>
        <w:rPr>
          <w:rFonts w:hint="eastAsia"/>
          <w:snapToGrid/>
        </w:rPr>
        <w:t>5</w:t>
      </w:r>
      <w:r>
        <w:rPr>
          <w:rFonts w:hint="eastAsia"/>
          <w:snapToGrid/>
        </w:rPr>
        <w:t>年的经济增长仍然强劲，但是失业率并没有出现相应的下降：</w:t>
      </w:r>
      <w:r>
        <w:rPr>
          <w:rFonts w:hint="eastAsia"/>
          <w:snapToGrid/>
        </w:rPr>
        <w:t>6.0</w:t>
      </w:r>
      <w:r>
        <w:rPr>
          <w:snapToGrid/>
        </w:rPr>
        <w:t>%</w:t>
      </w:r>
      <w:r>
        <w:rPr>
          <w:rFonts w:hint="eastAsia"/>
          <w:snapToGrid/>
        </w:rPr>
        <w:t>的人公开失业</w:t>
      </w:r>
      <w:r>
        <w:rPr>
          <w:rFonts w:hint="eastAsia"/>
          <w:snapToGrid/>
        </w:rPr>
        <w:t>(</w:t>
      </w:r>
      <w:r>
        <w:rPr>
          <w:rFonts w:hint="eastAsia"/>
          <w:snapToGrid/>
        </w:rPr>
        <w:t>妇女</w:t>
      </w:r>
      <w:r>
        <w:rPr>
          <w:rFonts w:hint="eastAsia"/>
          <w:snapToGrid/>
        </w:rPr>
        <w:t>5.7%</w:t>
      </w:r>
      <w:r>
        <w:rPr>
          <w:rFonts w:hint="eastAsia"/>
          <w:snapToGrid/>
        </w:rPr>
        <w:t>，男子</w:t>
      </w:r>
      <w:r>
        <w:rPr>
          <w:snapToGrid/>
        </w:rPr>
        <w:t>6.</w:t>
      </w:r>
      <w:r>
        <w:rPr>
          <w:rFonts w:hint="eastAsia"/>
          <w:snapToGrid/>
        </w:rPr>
        <w:t>2</w:t>
      </w:r>
      <w:r>
        <w:rPr>
          <w:snapToGrid/>
        </w:rPr>
        <w:t>%</w:t>
      </w:r>
      <w:r>
        <w:rPr>
          <w:rFonts w:hint="eastAsia"/>
          <w:snapToGrid/>
        </w:rPr>
        <w:t>)</w:t>
      </w:r>
      <w:r>
        <w:rPr>
          <w:rFonts w:hint="eastAsia"/>
          <w:snapToGrid/>
        </w:rPr>
        <w:t>，就业率是</w:t>
      </w:r>
      <w:r>
        <w:rPr>
          <w:rFonts w:hint="eastAsia"/>
          <w:snapToGrid/>
        </w:rPr>
        <w:t>73.9</w:t>
      </w:r>
      <w:r>
        <w:rPr>
          <w:snapToGrid/>
        </w:rPr>
        <w:t>%</w:t>
      </w:r>
      <w:r>
        <w:rPr>
          <w:rFonts w:hint="eastAsia"/>
          <w:snapToGrid/>
        </w:rPr>
        <w:t>(</w:t>
      </w:r>
      <w:r>
        <w:rPr>
          <w:rFonts w:hint="eastAsia"/>
          <w:snapToGrid/>
        </w:rPr>
        <w:t>妇女</w:t>
      </w:r>
      <w:r>
        <w:rPr>
          <w:rFonts w:hint="eastAsia"/>
          <w:snapToGrid/>
        </w:rPr>
        <w:t>71.</w:t>
      </w:r>
      <w:r>
        <w:rPr>
          <w:snapToGrid/>
        </w:rPr>
        <w:t>9</w:t>
      </w:r>
      <w:r>
        <w:rPr>
          <w:rFonts w:hint="eastAsia"/>
          <w:snapToGrid/>
        </w:rPr>
        <w:t>%</w:t>
      </w:r>
      <w:r>
        <w:rPr>
          <w:rFonts w:hint="eastAsia"/>
          <w:snapToGrid/>
        </w:rPr>
        <w:t>，男子</w:t>
      </w:r>
      <w:r>
        <w:rPr>
          <w:rFonts w:hint="eastAsia"/>
          <w:snapToGrid/>
        </w:rPr>
        <w:t>75.9</w:t>
      </w:r>
      <w:r>
        <w:rPr>
          <w:snapToGrid/>
        </w:rPr>
        <w:t>%</w:t>
      </w:r>
      <w:r>
        <w:rPr>
          <w:rFonts w:hint="eastAsia"/>
          <w:snapToGrid/>
        </w:rPr>
        <w:t>)</w:t>
      </w:r>
      <w:r>
        <w:rPr>
          <w:rFonts w:hint="eastAsia"/>
          <w:snapToGrid/>
        </w:rPr>
        <w:t>。</w:t>
      </w:r>
      <w:r>
        <w:rPr>
          <w:rFonts w:hint="eastAsia"/>
          <w:snapToGrid/>
          <w:vertAlign w:val="superscript"/>
        </w:rPr>
        <w:t>2</w:t>
      </w:r>
      <w:r>
        <w:rPr>
          <w:rFonts w:hint="eastAsia"/>
          <w:snapToGrid/>
        </w:rPr>
        <w:t>男子的全天失业率高于妇女，但是部分时间失业的情况则相反。妇女在显然大得多的程度上部分时间失业。</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6</w:t>
      </w:r>
      <w:r>
        <w:rPr>
          <w:rFonts w:ascii="Time New Roman" w:eastAsia="SimHei" w:hAnsi="Time New Roman" w:hint="eastAsia"/>
          <w:u w:val="none"/>
        </w:rPr>
        <w:t>：</w:t>
      </w:r>
      <w:r>
        <w:rPr>
          <w:rFonts w:ascii="Time New Roman" w:eastAsia="SimHei" w:hAnsi="Time New Roman" w:hint="eastAsia"/>
          <w:b/>
          <w:u w:val="none"/>
        </w:rPr>
        <w:t>1</w:t>
      </w:r>
    </w:p>
    <w:p w:rsidR="00000000" w:rsidRDefault="00000000">
      <w:pPr>
        <w:pStyle w:val="Heading3"/>
        <w:spacing w:after="240"/>
        <w:rPr>
          <w:rFonts w:ascii="Time New Roman" w:eastAsia="SimHei" w:hAnsi="Time New Roman" w:hint="eastAsia"/>
          <w:u w:val="none"/>
        </w:rPr>
      </w:pPr>
      <w:r>
        <w:rPr>
          <w:rFonts w:ascii="Time New Roman" w:eastAsia="SimHei" w:hAnsi="Time New Roman"/>
          <w:b/>
          <w:u w:val="none"/>
        </w:rPr>
        <w:t>200</w:t>
      </w:r>
      <w:r>
        <w:rPr>
          <w:rFonts w:ascii="Time New Roman" w:eastAsia="SimHei" w:hAnsi="Time New Roman" w:hint="eastAsia"/>
          <w:b/>
          <w:u w:val="none"/>
        </w:rPr>
        <w:t>1</w:t>
      </w:r>
      <w:r>
        <w:rPr>
          <w:rFonts w:ascii="Time New Roman" w:eastAsia="SimHei" w:hAnsi="Time New Roman"/>
          <w:u w:val="none"/>
        </w:rPr>
        <w:t>-</w:t>
      </w:r>
      <w:r>
        <w:rPr>
          <w:rFonts w:ascii="Time New Roman" w:eastAsia="SimHei" w:hAnsi="Time New Roman"/>
          <w:b/>
          <w:u w:val="none"/>
        </w:rPr>
        <w:t>200</w:t>
      </w:r>
      <w:r>
        <w:rPr>
          <w:rFonts w:ascii="Time New Roman" w:eastAsia="SimHei" w:hAnsi="Time New Roman" w:hint="eastAsia"/>
          <w:b/>
          <w:u w:val="none"/>
        </w:rPr>
        <w:t>5</w:t>
      </w:r>
      <w:r>
        <w:rPr>
          <w:rFonts w:ascii="Time New Roman" w:eastAsia="SimHei" w:hAnsi="Time New Roman" w:hint="eastAsia"/>
          <w:u w:val="none"/>
        </w:rPr>
        <w:t>年登记全日或部分时间工作的</w:t>
      </w:r>
      <w:r>
        <w:rPr>
          <w:rFonts w:ascii="Time New Roman" w:eastAsia="SimHei" w:hAnsi="Time New Roman"/>
          <w:b/>
          <w:u w:val="none"/>
        </w:rPr>
        <w:t>16</w:t>
      </w:r>
      <w:r>
        <w:rPr>
          <w:rFonts w:ascii="Time New Roman" w:eastAsia="SimHei" w:hAnsi="Time New Roman" w:hint="eastAsia"/>
          <w:u w:val="none"/>
        </w:rPr>
        <w:t>到</w:t>
      </w:r>
      <w:r>
        <w:rPr>
          <w:rFonts w:ascii="Time New Roman" w:eastAsia="SimHei" w:hAnsi="Time New Roman"/>
          <w:b/>
          <w:u w:val="none"/>
        </w:rPr>
        <w:t>64</w:t>
      </w:r>
      <w:r>
        <w:rPr>
          <w:rFonts w:ascii="Time New Roman" w:eastAsia="SimHei" w:hAnsi="Time New Roman" w:hint="eastAsia"/>
          <w:u w:val="none"/>
        </w:rPr>
        <w:t>岁的</w:t>
      </w:r>
      <w:r>
        <w:rPr>
          <w:rFonts w:ascii="Time New Roman" w:eastAsia="SimHei" w:hAnsi="Time New Roman"/>
          <w:u w:val="none"/>
        </w:rPr>
        <w:br/>
      </w:r>
      <w:r>
        <w:rPr>
          <w:rFonts w:ascii="Time New Roman" w:eastAsia="SimHei" w:hAnsi="Time New Roman" w:hint="eastAsia"/>
          <w:u w:val="none"/>
        </w:rPr>
        <w:t>求职者中部分时间失业的百分比</w:t>
      </w:r>
    </w:p>
    <w:tbl>
      <w:tblPr>
        <w:tblW w:w="0" w:type="auto"/>
        <w:tblInd w:w="1183" w:type="dxa"/>
        <w:tblCellMar>
          <w:left w:w="28" w:type="dxa"/>
          <w:right w:w="28" w:type="dxa"/>
        </w:tblCellMar>
        <w:tblLook w:val="0000" w:firstRow="0" w:lastRow="0" w:firstColumn="0" w:lastColumn="0" w:noHBand="0" w:noVBand="0"/>
      </w:tblPr>
      <w:tblGrid>
        <w:gridCol w:w="2695"/>
        <w:gridCol w:w="2170"/>
        <w:gridCol w:w="2275"/>
      </w:tblGrid>
      <w:tr w:rsidR="00000000">
        <w:tblPrEx>
          <w:tblCellMar>
            <w:top w:w="0" w:type="dxa"/>
            <w:bottom w:w="0" w:type="dxa"/>
          </w:tblCellMar>
        </w:tblPrEx>
        <w:tc>
          <w:tcPr>
            <w:tcW w:w="2695"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年</w:t>
            </w:r>
            <w:r>
              <w:rPr>
                <w:rFonts w:ascii="Time New Roman" w:eastAsia="SimHei" w:hAnsi="Time New Roman" w:hint="eastAsia"/>
                <w:snapToGrid/>
              </w:rPr>
              <w:t xml:space="preserve">  </w:t>
            </w:r>
            <w:r>
              <w:rPr>
                <w:rFonts w:ascii="Time New Roman" w:eastAsia="SimHei" w:hAnsi="Time New Roman" w:hint="eastAsia"/>
                <w:snapToGrid/>
              </w:rPr>
              <w:t>份</w:t>
            </w:r>
          </w:p>
        </w:tc>
        <w:tc>
          <w:tcPr>
            <w:tcW w:w="217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妇</w:t>
            </w:r>
            <w:r>
              <w:rPr>
                <w:rFonts w:ascii="Time New Roman" w:eastAsia="SimHei" w:hAnsi="Time New Roman" w:hint="eastAsia"/>
                <w:snapToGrid/>
              </w:rPr>
              <w:t xml:space="preserve">  </w:t>
            </w:r>
            <w:r>
              <w:rPr>
                <w:rFonts w:ascii="Time New Roman" w:eastAsia="SimHei" w:hAnsi="Time New Roman" w:hint="eastAsia"/>
                <w:snapToGrid/>
              </w:rPr>
              <w:t>女</w:t>
            </w:r>
          </w:p>
        </w:tc>
        <w:tc>
          <w:tcPr>
            <w:tcW w:w="2275"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子</w:t>
            </w:r>
          </w:p>
        </w:tc>
      </w:tr>
      <w:tr w:rsidR="00000000">
        <w:tblPrEx>
          <w:tblCellMar>
            <w:top w:w="0" w:type="dxa"/>
            <w:bottom w:w="0" w:type="dxa"/>
          </w:tblCellMar>
        </w:tblPrEx>
        <w:tc>
          <w:tcPr>
            <w:tcW w:w="2695" w:type="dxa"/>
            <w:tcBorders>
              <w:top w:val="single" w:sz="4" w:space="0" w:color="auto"/>
            </w:tcBorders>
          </w:tcPr>
          <w:p w:rsidR="00000000" w:rsidRDefault="00000000">
            <w:pPr>
              <w:pStyle w:val="ac"/>
              <w:jc w:val="center"/>
            </w:pPr>
            <w:r>
              <w:rPr>
                <w:rFonts w:hint="eastAsia"/>
                <w:snapToGrid/>
              </w:rPr>
              <w:t>2001</w:t>
            </w:r>
          </w:p>
        </w:tc>
        <w:tc>
          <w:tcPr>
            <w:tcW w:w="2170" w:type="dxa"/>
            <w:tcBorders>
              <w:top w:val="single" w:sz="4" w:space="0" w:color="auto"/>
            </w:tcBorders>
          </w:tcPr>
          <w:p w:rsidR="00000000" w:rsidRDefault="00000000">
            <w:pPr>
              <w:pStyle w:val="ac"/>
              <w:jc w:val="center"/>
            </w:pPr>
            <w:r>
              <w:rPr>
                <w:rFonts w:hint="eastAsia"/>
                <w:snapToGrid/>
              </w:rPr>
              <w:t>48</w:t>
            </w:r>
          </w:p>
        </w:tc>
        <w:tc>
          <w:tcPr>
            <w:tcW w:w="2275" w:type="dxa"/>
            <w:tcBorders>
              <w:top w:val="single" w:sz="4" w:space="0" w:color="auto"/>
            </w:tcBorders>
          </w:tcPr>
          <w:p w:rsidR="00000000" w:rsidRDefault="00000000">
            <w:pPr>
              <w:pStyle w:val="ac"/>
              <w:jc w:val="center"/>
            </w:pPr>
            <w:r>
              <w:rPr>
                <w:rFonts w:hint="eastAsia"/>
                <w:snapToGrid/>
              </w:rPr>
              <w:t>15</w:t>
            </w:r>
          </w:p>
        </w:tc>
      </w:tr>
      <w:tr w:rsidR="00000000">
        <w:tblPrEx>
          <w:tblCellMar>
            <w:top w:w="0" w:type="dxa"/>
            <w:bottom w:w="0" w:type="dxa"/>
          </w:tblCellMar>
        </w:tblPrEx>
        <w:tc>
          <w:tcPr>
            <w:tcW w:w="2695" w:type="dxa"/>
          </w:tcPr>
          <w:p w:rsidR="00000000" w:rsidRDefault="00000000">
            <w:pPr>
              <w:pStyle w:val="ac"/>
              <w:jc w:val="center"/>
            </w:pPr>
            <w:r>
              <w:rPr>
                <w:rFonts w:hint="eastAsia"/>
                <w:snapToGrid/>
              </w:rPr>
              <w:t>2002</w:t>
            </w:r>
          </w:p>
        </w:tc>
        <w:tc>
          <w:tcPr>
            <w:tcW w:w="2170" w:type="dxa"/>
          </w:tcPr>
          <w:p w:rsidR="00000000" w:rsidRDefault="00000000">
            <w:pPr>
              <w:pStyle w:val="ac"/>
              <w:jc w:val="center"/>
            </w:pPr>
            <w:r>
              <w:rPr>
                <w:rFonts w:hint="eastAsia"/>
                <w:snapToGrid/>
              </w:rPr>
              <w:t>46</w:t>
            </w:r>
          </w:p>
        </w:tc>
        <w:tc>
          <w:tcPr>
            <w:tcW w:w="2275" w:type="dxa"/>
          </w:tcPr>
          <w:p w:rsidR="00000000" w:rsidRDefault="00000000">
            <w:pPr>
              <w:pStyle w:val="ac"/>
              <w:jc w:val="center"/>
            </w:pPr>
            <w:r>
              <w:rPr>
                <w:rFonts w:hint="eastAsia"/>
                <w:snapToGrid/>
              </w:rPr>
              <w:t>13</w:t>
            </w:r>
          </w:p>
        </w:tc>
      </w:tr>
      <w:tr w:rsidR="00000000">
        <w:tblPrEx>
          <w:tblCellMar>
            <w:top w:w="0" w:type="dxa"/>
            <w:bottom w:w="0" w:type="dxa"/>
          </w:tblCellMar>
        </w:tblPrEx>
        <w:tc>
          <w:tcPr>
            <w:tcW w:w="2695" w:type="dxa"/>
          </w:tcPr>
          <w:p w:rsidR="00000000" w:rsidRDefault="00000000">
            <w:pPr>
              <w:pStyle w:val="ac"/>
              <w:jc w:val="center"/>
            </w:pPr>
            <w:r>
              <w:rPr>
                <w:rFonts w:hint="eastAsia"/>
                <w:snapToGrid/>
              </w:rPr>
              <w:t>2003</w:t>
            </w:r>
          </w:p>
        </w:tc>
        <w:tc>
          <w:tcPr>
            <w:tcW w:w="2170" w:type="dxa"/>
          </w:tcPr>
          <w:p w:rsidR="00000000" w:rsidRDefault="00000000">
            <w:pPr>
              <w:pStyle w:val="ac"/>
              <w:jc w:val="center"/>
            </w:pPr>
            <w:r>
              <w:rPr>
                <w:rFonts w:hint="eastAsia"/>
                <w:snapToGrid/>
              </w:rPr>
              <w:t>39</w:t>
            </w:r>
          </w:p>
        </w:tc>
        <w:tc>
          <w:tcPr>
            <w:tcW w:w="2275" w:type="dxa"/>
          </w:tcPr>
          <w:p w:rsidR="00000000" w:rsidRDefault="00000000">
            <w:pPr>
              <w:pStyle w:val="ac"/>
              <w:jc w:val="center"/>
            </w:pPr>
            <w:r>
              <w:rPr>
                <w:rFonts w:hint="eastAsia"/>
                <w:snapToGrid/>
              </w:rPr>
              <w:t>11</w:t>
            </w:r>
          </w:p>
        </w:tc>
      </w:tr>
      <w:tr w:rsidR="00000000">
        <w:tblPrEx>
          <w:tblCellMar>
            <w:top w:w="0" w:type="dxa"/>
            <w:bottom w:w="0" w:type="dxa"/>
          </w:tblCellMar>
        </w:tblPrEx>
        <w:tc>
          <w:tcPr>
            <w:tcW w:w="2695" w:type="dxa"/>
          </w:tcPr>
          <w:p w:rsidR="00000000" w:rsidRDefault="00000000">
            <w:pPr>
              <w:pStyle w:val="ac"/>
              <w:jc w:val="center"/>
            </w:pPr>
            <w:r>
              <w:rPr>
                <w:rFonts w:hint="eastAsia"/>
                <w:snapToGrid/>
              </w:rPr>
              <w:t>2004</w:t>
            </w:r>
          </w:p>
        </w:tc>
        <w:tc>
          <w:tcPr>
            <w:tcW w:w="2170" w:type="dxa"/>
          </w:tcPr>
          <w:p w:rsidR="00000000" w:rsidRDefault="00000000">
            <w:pPr>
              <w:pStyle w:val="ac"/>
              <w:jc w:val="center"/>
            </w:pPr>
            <w:r>
              <w:rPr>
                <w:rFonts w:hint="eastAsia"/>
                <w:snapToGrid/>
              </w:rPr>
              <w:t>35</w:t>
            </w:r>
          </w:p>
        </w:tc>
        <w:tc>
          <w:tcPr>
            <w:tcW w:w="2275" w:type="dxa"/>
          </w:tcPr>
          <w:p w:rsidR="00000000" w:rsidRDefault="00000000">
            <w:pPr>
              <w:pStyle w:val="ac"/>
              <w:jc w:val="center"/>
            </w:pPr>
            <w:r>
              <w:rPr>
                <w:rFonts w:hint="eastAsia"/>
                <w:snapToGrid/>
              </w:rPr>
              <w:t>11</w:t>
            </w:r>
          </w:p>
        </w:tc>
      </w:tr>
      <w:tr w:rsidR="00000000">
        <w:tblPrEx>
          <w:tblCellMar>
            <w:top w:w="0" w:type="dxa"/>
            <w:bottom w:w="0" w:type="dxa"/>
          </w:tblCellMar>
        </w:tblPrEx>
        <w:tc>
          <w:tcPr>
            <w:tcW w:w="2695" w:type="dxa"/>
            <w:tcBorders>
              <w:bottom w:val="single" w:sz="4" w:space="0" w:color="auto"/>
            </w:tcBorders>
          </w:tcPr>
          <w:p w:rsidR="00000000" w:rsidRDefault="00000000">
            <w:pPr>
              <w:pStyle w:val="ac"/>
              <w:jc w:val="center"/>
            </w:pPr>
            <w:r>
              <w:rPr>
                <w:rFonts w:hint="eastAsia"/>
                <w:snapToGrid/>
              </w:rPr>
              <w:t>2005</w:t>
            </w:r>
          </w:p>
        </w:tc>
        <w:tc>
          <w:tcPr>
            <w:tcW w:w="2170" w:type="dxa"/>
            <w:tcBorders>
              <w:bottom w:val="single" w:sz="4" w:space="0" w:color="auto"/>
            </w:tcBorders>
          </w:tcPr>
          <w:p w:rsidR="00000000" w:rsidRDefault="00000000">
            <w:pPr>
              <w:pStyle w:val="ac"/>
              <w:jc w:val="center"/>
            </w:pPr>
            <w:r>
              <w:rPr>
                <w:rFonts w:hint="eastAsia"/>
                <w:snapToGrid/>
              </w:rPr>
              <w:t>33</w:t>
            </w:r>
          </w:p>
        </w:tc>
        <w:tc>
          <w:tcPr>
            <w:tcW w:w="2275" w:type="dxa"/>
            <w:tcBorders>
              <w:bottom w:val="single" w:sz="4" w:space="0" w:color="auto"/>
            </w:tcBorders>
          </w:tcPr>
          <w:p w:rsidR="00000000" w:rsidRDefault="00000000">
            <w:pPr>
              <w:pStyle w:val="ac"/>
              <w:jc w:val="center"/>
            </w:pPr>
            <w:r>
              <w:rPr>
                <w:rFonts w:hint="eastAsia"/>
                <w:snapToGrid/>
              </w:rPr>
              <w:t>11</w:t>
            </w:r>
          </w:p>
        </w:tc>
      </w:tr>
    </w:tbl>
    <w:p w:rsidR="00000000" w:rsidRDefault="00000000">
      <w:pPr>
        <w:spacing w:before="180"/>
        <w:ind w:left="1780"/>
        <w:rPr>
          <w:rFonts w:hint="eastAsia"/>
        </w:rPr>
      </w:pPr>
      <w:r>
        <w:rPr>
          <w:rFonts w:eastAsia="KaiTi_GB2312" w:hint="eastAsia"/>
          <w:snapToGrid/>
          <w:spacing w:val="0"/>
          <w:sz w:val="22"/>
          <w:u w:val="single"/>
        </w:rPr>
        <w:t>来源</w:t>
      </w:r>
      <w:r>
        <w:rPr>
          <w:rFonts w:eastAsia="KaiTi_GB2312" w:hint="eastAsia"/>
          <w:snapToGrid/>
          <w:spacing w:val="0"/>
          <w:sz w:val="22"/>
        </w:rPr>
        <w:t>：国家劳工市场委员会</w:t>
      </w:r>
    </w:p>
    <w:p w:rsidR="00000000" w:rsidRDefault="00000000">
      <w:pPr>
        <w:rPr>
          <w:rFonts w:hint="eastAsia"/>
          <w:snapToGrid/>
        </w:rPr>
      </w:pPr>
    </w:p>
    <w:p w:rsidR="00000000" w:rsidRDefault="00000000">
      <w:pPr>
        <w:rPr>
          <w:rFonts w:hint="eastAsia"/>
          <w:snapToGrid/>
        </w:rPr>
      </w:pPr>
      <w:r>
        <w:rPr>
          <w:rFonts w:hint="eastAsia"/>
          <w:snapToGrid/>
        </w:rPr>
        <w:tab/>
        <w:t xml:space="preserve">64.  </w:t>
      </w:r>
      <w:r>
        <w:rPr>
          <w:rFonts w:hint="eastAsia"/>
          <w:snapToGrid/>
        </w:rPr>
        <w:t>为了补救非自愿部分时间失业的问题，该国政府任命了一个委员会来寻找加强全日就业权利的机会。该委员会于</w:t>
      </w:r>
      <w:r>
        <w:rPr>
          <w:snapToGrid/>
        </w:rPr>
        <w:t>2005</w:t>
      </w:r>
      <w:r>
        <w:rPr>
          <w:rFonts w:hint="eastAsia"/>
          <w:snapToGrid/>
        </w:rPr>
        <w:t>年</w:t>
      </w:r>
      <w:r>
        <w:rPr>
          <w:snapToGrid/>
        </w:rPr>
        <w:t>11</w:t>
      </w:r>
      <w:r>
        <w:rPr>
          <w:rFonts w:hint="eastAsia"/>
          <w:snapToGrid/>
        </w:rPr>
        <w:t>月底向政府递交了其建议</w:t>
      </w:r>
      <w:r>
        <w:rPr>
          <w:rFonts w:hint="eastAsia"/>
          <w:snapToGrid/>
        </w:rPr>
        <w:t>(SOU 2004</w:t>
      </w:r>
      <w:r>
        <w:rPr>
          <w:rFonts w:hint="eastAsia"/>
          <w:snapToGrid/>
        </w:rPr>
        <w:t>：</w:t>
      </w:r>
      <w:r>
        <w:rPr>
          <w:rFonts w:hint="eastAsia"/>
          <w:snapToGrid/>
        </w:rPr>
        <w:t>50)</w:t>
      </w:r>
      <w:r>
        <w:rPr>
          <w:rFonts w:hint="eastAsia"/>
          <w:snapToGrid/>
        </w:rPr>
        <w:t>。政府打算决定在</w:t>
      </w:r>
      <w:r>
        <w:rPr>
          <w:snapToGrid/>
        </w:rPr>
        <w:t>200</w:t>
      </w:r>
      <w:r>
        <w:rPr>
          <w:rFonts w:hint="eastAsia"/>
          <w:snapToGrid/>
        </w:rPr>
        <w:t>6</w:t>
      </w:r>
      <w:r>
        <w:rPr>
          <w:rFonts w:hint="eastAsia"/>
          <w:snapToGrid/>
        </w:rPr>
        <w:t>年深秋将一项带来加强的全日就业权利的提议提交立法理事会审议。</w:t>
      </w:r>
    </w:p>
    <w:p w:rsidR="00000000" w:rsidRDefault="00000000">
      <w:pPr>
        <w:rPr>
          <w:rFonts w:hint="eastAsia"/>
          <w:snapToGrid/>
        </w:rPr>
      </w:pPr>
      <w:r>
        <w:rPr>
          <w:rFonts w:hint="eastAsia"/>
          <w:snapToGrid/>
        </w:rPr>
        <w:tab/>
        <w:t xml:space="preserve">65.  </w:t>
      </w:r>
      <w:r>
        <w:rPr>
          <w:rFonts w:hint="eastAsia"/>
          <w:snapToGrid/>
        </w:rPr>
        <w:t>在千年之交的这段时间内，病假的人数也骤然增加。作为对策，政府确定了一个目标，到</w:t>
      </w:r>
      <w:r>
        <w:rPr>
          <w:rFonts w:hint="eastAsia"/>
          <w:snapToGrid/>
        </w:rPr>
        <w:t>2008</w:t>
      </w:r>
      <w:r>
        <w:rPr>
          <w:rFonts w:hint="eastAsia"/>
          <w:snapToGrid/>
        </w:rPr>
        <w:t>年将享受病假津贴的天数削减到</w:t>
      </w:r>
      <w:r>
        <w:rPr>
          <w:rFonts w:hint="eastAsia"/>
          <w:snapToGrid/>
        </w:rPr>
        <w:t>2002</w:t>
      </w:r>
      <w:r>
        <w:rPr>
          <w:rFonts w:hint="eastAsia"/>
          <w:snapToGrid/>
        </w:rPr>
        <w:t>年的一半。同时减少新的疾病补偿和活动补偿案例的数目。政府认为，到</w:t>
      </w:r>
      <w:r>
        <w:rPr>
          <w:rFonts w:hint="eastAsia"/>
          <w:snapToGrid/>
        </w:rPr>
        <w:t>2008</w:t>
      </w:r>
      <w:r>
        <w:rPr>
          <w:rFonts w:hint="eastAsia"/>
          <w:snapToGrid/>
        </w:rPr>
        <w:t>年达到目标的形势看好。男子和妇女在因病缺勤方面的差别很大。妇女占享受病假津贴的天数的</w:t>
      </w:r>
      <w:r>
        <w:rPr>
          <w:rFonts w:hint="eastAsia"/>
          <w:snapToGrid/>
        </w:rPr>
        <w:t>62%</w:t>
      </w:r>
      <w:r>
        <w:rPr>
          <w:rFonts w:hint="eastAsia"/>
          <w:snapToGrid/>
        </w:rPr>
        <w:t>，男子则占</w:t>
      </w:r>
      <w:r>
        <w:rPr>
          <w:rFonts w:hint="eastAsia"/>
          <w:snapToGrid/>
        </w:rPr>
        <w:t>38%</w:t>
      </w:r>
      <w:r>
        <w:rPr>
          <w:rFonts w:hint="eastAsia"/>
          <w:snapToGrid/>
        </w:rPr>
        <w:t>。近年来减少享受病假津贴的天数对于男女是平等的。与</w:t>
      </w:r>
      <w:r>
        <w:rPr>
          <w:rFonts w:hint="eastAsia"/>
          <w:snapToGrid/>
        </w:rPr>
        <w:t>2002</w:t>
      </w:r>
      <w:r>
        <w:rPr>
          <w:rFonts w:hint="eastAsia"/>
          <w:snapToGrid/>
        </w:rPr>
        <w:t>年相比，享受病假津贴的天数已减少了</w:t>
      </w:r>
      <w:r>
        <w:rPr>
          <w:rFonts w:hint="eastAsia"/>
          <w:snapToGrid/>
        </w:rPr>
        <w:t>31%</w:t>
      </w:r>
      <w:r>
        <w:rPr>
          <w:rFonts w:hint="eastAsia"/>
          <w:snapToGrid/>
        </w:rPr>
        <w:t>。与男子相比，妇女请部分时间病假的也比较多。请病假的妇女中的</w:t>
      </w:r>
      <w:r>
        <w:rPr>
          <w:rFonts w:hint="eastAsia"/>
          <w:snapToGrid/>
        </w:rPr>
        <w:t>37%</w:t>
      </w:r>
      <w:r>
        <w:rPr>
          <w:rFonts w:hint="eastAsia"/>
          <w:snapToGrid/>
        </w:rPr>
        <w:t>和请病假的男子中的</w:t>
      </w:r>
      <w:r>
        <w:rPr>
          <w:rFonts w:hint="eastAsia"/>
          <w:snapToGrid/>
        </w:rPr>
        <w:t>32%</w:t>
      </w:r>
      <w:r>
        <w:rPr>
          <w:rFonts w:hint="eastAsia"/>
          <w:snapToGrid/>
        </w:rPr>
        <w:t>请的是部分时间的病假。</w:t>
      </w:r>
    </w:p>
    <w:p w:rsidR="00000000" w:rsidRDefault="00000000">
      <w:pPr>
        <w:rPr>
          <w:rFonts w:hint="eastAsia"/>
          <w:snapToGrid/>
        </w:rPr>
      </w:pPr>
      <w:r>
        <w:rPr>
          <w:rFonts w:hint="eastAsia"/>
          <w:snapToGrid/>
        </w:rPr>
        <w:tab/>
        <w:t xml:space="preserve">66.  </w:t>
      </w:r>
      <w:r>
        <w:rPr>
          <w:rFonts w:hint="eastAsia"/>
          <w:snapToGrid/>
        </w:rPr>
        <w:t>享受病假津贴的保险案例</w:t>
      </w:r>
      <w:r>
        <w:rPr>
          <w:rFonts w:hint="eastAsia"/>
          <w:snapToGrid/>
        </w:rPr>
        <w:t>(</w:t>
      </w:r>
      <w:r>
        <w:rPr>
          <w:rFonts w:hint="eastAsia"/>
          <w:snapToGrid/>
        </w:rPr>
        <w:t>在</w:t>
      </w:r>
      <w:r>
        <w:rPr>
          <w:rFonts w:hint="eastAsia"/>
          <w:snapToGrid/>
        </w:rPr>
        <w:t>2003</w:t>
      </w:r>
      <w:r>
        <w:rPr>
          <w:rFonts w:hint="eastAsia"/>
          <w:snapToGrid/>
        </w:rPr>
        <w:t>年与活动补偿一起替代以前的残疾养恤金和疾病养恤金的社会编写津贴</w:t>
      </w:r>
      <w:r>
        <w:rPr>
          <w:rFonts w:hint="eastAsia"/>
          <w:snapToGrid/>
        </w:rPr>
        <w:t>)</w:t>
      </w:r>
      <w:r>
        <w:rPr>
          <w:rFonts w:hint="eastAsia"/>
          <w:snapToGrid/>
        </w:rPr>
        <w:t>中，大约</w:t>
      </w:r>
      <w:r>
        <w:rPr>
          <w:rFonts w:hint="eastAsia"/>
          <w:snapToGrid/>
        </w:rPr>
        <w:t>60%</w:t>
      </w:r>
      <w:r>
        <w:rPr>
          <w:rFonts w:hint="eastAsia"/>
          <w:snapToGrid/>
        </w:rPr>
        <w:t>是妇女，</w:t>
      </w:r>
      <w:r>
        <w:rPr>
          <w:rFonts w:hint="eastAsia"/>
          <w:snapToGrid/>
        </w:rPr>
        <w:t>40%</w:t>
      </w:r>
      <w:r>
        <w:rPr>
          <w:rFonts w:hint="eastAsia"/>
          <w:snapToGrid/>
        </w:rPr>
        <w:t>是男子。享受全额病假津贴的</w:t>
      </w:r>
      <w:r>
        <w:rPr>
          <w:rFonts w:hint="eastAsia"/>
          <w:snapToGrid/>
        </w:rPr>
        <w:t>67%</w:t>
      </w:r>
      <w:r>
        <w:rPr>
          <w:rFonts w:hint="eastAsia"/>
          <w:snapToGrid/>
        </w:rPr>
        <w:t>是妇女。在这方面，妇女领取部分时间的津贴的次数也比男子多。享受津贴的妇女的人数比男子多的原因不明。一个原因可能是妇女从事部分时间工作比男子更加普遍，而病假津贴的水平是与以前的工作范围挂钩，而不是与实际的无工作能力挂钩的。平均说来，获得疾病补偿和活动补偿的妇女中，有三分之一领取的是部分时间的津贴，相比之下，男子是五分之一。</w:t>
      </w:r>
    </w:p>
    <w:p w:rsidR="00000000" w:rsidRDefault="00000000">
      <w:pPr>
        <w:rPr>
          <w:rFonts w:hint="eastAsia"/>
          <w:snapToGrid/>
        </w:rPr>
      </w:pPr>
      <w:r>
        <w:rPr>
          <w:rFonts w:hint="eastAsia"/>
          <w:snapToGrid/>
        </w:rPr>
        <w:tab/>
        <w:t xml:space="preserve">67.  </w:t>
      </w:r>
      <w:r>
        <w:rPr>
          <w:rFonts w:hint="eastAsia"/>
          <w:snapToGrid/>
        </w:rPr>
        <w:t>应政府的请求，社会保险管理署对社会保险方案进行了一次基于性别的分析。社会保险管理署的最后报告论述了与处理社会保险案例有关的若干挑战和问题，主要是与疾病保险有关的津贴问题。为了确保能以男女相同的方式处理疾病保险案例，政府指令社会保险管理署编写一项计划，将性别观点纳入社会保险方案的应用。</w:t>
      </w:r>
    </w:p>
    <w:p w:rsidR="00000000" w:rsidRDefault="00000000">
      <w:pPr>
        <w:rPr>
          <w:rFonts w:hint="eastAsia"/>
          <w:snapToGrid/>
        </w:rPr>
      </w:pPr>
      <w:r>
        <w:rPr>
          <w:rFonts w:hint="eastAsia"/>
          <w:snapToGrid/>
        </w:rPr>
        <w:tab/>
        <w:t xml:space="preserve">68.  </w:t>
      </w:r>
      <w:r>
        <w:rPr>
          <w:rFonts w:hint="eastAsia"/>
          <w:snapToGrid/>
        </w:rPr>
        <w:t>为了促进从依赖津贴转化为通过就业自谋生计，政府任命了一个从社会援助到工作委员会</w:t>
      </w:r>
      <w:r>
        <w:rPr>
          <w:rFonts w:hint="eastAsia"/>
          <w:snapToGrid/>
        </w:rPr>
        <w:t>(2005</w:t>
      </w:r>
      <w:r>
        <w:rPr>
          <w:rFonts w:hint="eastAsia"/>
          <w:snapToGrid/>
        </w:rPr>
        <w:t>：</w:t>
      </w:r>
      <w:r>
        <w:rPr>
          <w:rFonts w:hint="eastAsia"/>
          <w:snapToGrid/>
        </w:rPr>
        <w:t>01)</w:t>
      </w:r>
      <w:r>
        <w:rPr>
          <w:rFonts w:hint="eastAsia"/>
          <w:snapToGrid/>
        </w:rPr>
        <w:t>。该委员会将于</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1</w:t>
      </w:r>
      <w:r>
        <w:rPr>
          <w:rFonts w:hint="eastAsia"/>
          <w:snapToGrid/>
        </w:rPr>
        <w:t>日递交其最后报告。</w:t>
      </w:r>
    </w:p>
    <w:p w:rsidR="00000000" w:rsidRDefault="00000000">
      <w:pPr>
        <w:spacing w:after="240"/>
        <w:rPr>
          <w:rFonts w:hint="eastAsia"/>
          <w:snapToGrid/>
        </w:rPr>
      </w:pPr>
      <w:r>
        <w:rPr>
          <w:rFonts w:hint="eastAsia"/>
          <w:snapToGrid/>
        </w:rPr>
        <w:tab/>
        <w:t xml:space="preserve">69.  </w:t>
      </w:r>
      <w:r>
        <w:rPr>
          <w:rFonts w:hint="eastAsia"/>
          <w:snapToGrid/>
        </w:rPr>
        <w:t>政府在其</w:t>
      </w:r>
      <w:r>
        <w:rPr>
          <w:rFonts w:hint="eastAsia"/>
          <w:snapToGrid/>
        </w:rPr>
        <w:t>2006</w:t>
      </w:r>
      <w:r>
        <w:rPr>
          <w:rFonts w:hint="eastAsia"/>
          <w:snapToGrid/>
        </w:rPr>
        <w:t>年预算方案中，提议了一个提高就业率和降低失业率的一揽子行动方案。预期这项一揽子行动方案将给予大约</w:t>
      </w:r>
      <w:r>
        <w:rPr>
          <w:rFonts w:hint="eastAsia"/>
          <w:snapToGrid/>
        </w:rPr>
        <w:t>55,000</w:t>
      </w:r>
      <w:r>
        <w:rPr>
          <w:rFonts w:hint="eastAsia"/>
          <w:snapToGrid/>
        </w:rPr>
        <w:t>个人就业、工作经验职位或教育的机会。大部分举措将在劳工市场政策的框架内予以实施，并且将为</w:t>
      </w:r>
      <w:r>
        <w:rPr>
          <w:rFonts w:hint="eastAsia"/>
          <w:snapToGrid/>
        </w:rPr>
        <w:t>4</w:t>
      </w:r>
      <w:r>
        <w:rPr>
          <w:rFonts w:hint="eastAsia"/>
          <w:snapToGrid/>
        </w:rPr>
        <w:t>万多名失业人员带来职业或提高技能的方案。政府还建议若干举措，使得能力受到损害的残疾人士比较容易找到工作，其中包括一个旨在提高适雇性的分为三个步骤的模式。提议中还包括向残疾人提供工作的国营有限公司“</w:t>
      </w:r>
      <w:r>
        <w:rPr>
          <w:rFonts w:hint="eastAsia"/>
          <w:snapToGrid/>
        </w:rPr>
        <w:t>Samhall</w:t>
      </w:r>
      <w:r>
        <w:rPr>
          <w:rFonts w:hint="eastAsia"/>
          <w:snapToGrid/>
        </w:rPr>
        <w:t>”的一个新的作用，以及更高的工资津贴封顶数额。</w:t>
      </w:r>
    </w:p>
    <w:p w:rsidR="00000000" w:rsidRDefault="00000000">
      <w:pPr>
        <w:pStyle w:val="Heading4"/>
        <w:rPr>
          <w:rFonts w:hint="eastAsia"/>
        </w:rPr>
      </w:pPr>
      <w:r>
        <w:rPr>
          <w:rFonts w:hint="eastAsia"/>
        </w:rPr>
        <w:t>劳工市场政策方案</w:t>
      </w:r>
    </w:p>
    <w:p w:rsidR="00000000" w:rsidRDefault="00000000">
      <w:pPr>
        <w:rPr>
          <w:rFonts w:hint="eastAsia"/>
          <w:snapToGrid/>
        </w:rPr>
      </w:pPr>
      <w:r>
        <w:rPr>
          <w:rFonts w:hint="eastAsia"/>
          <w:snapToGrid/>
        </w:rPr>
        <w:tab/>
        <w:t xml:space="preserve">70.  </w:t>
      </w:r>
      <w:r>
        <w:rPr>
          <w:rFonts w:hint="eastAsia"/>
          <w:snapToGrid/>
        </w:rPr>
        <w:t>劳工市场政策方案的意图在于以各种方式提高求职者的技能和知识，以加强他们在劳工市场的地位，改进找到工作的先决条件。这些方案还旨在帮助确保求职者具有所要求的技能，因而防止引起通货膨胀和阻碍经济增长的劳动力不足</w:t>
      </w:r>
      <w:r>
        <w:rPr>
          <w:rFonts w:hint="eastAsia"/>
          <w:snapToGrid/>
        </w:rPr>
        <w:t>(</w:t>
      </w:r>
      <w:r>
        <w:rPr>
          <w:rFonts w:hint="eastAsia"/>
          <w:snapToGrid/>
        </w:rPr>
        <w:t>“瓶颈”</w:t>
      </w:r>
      <w:r>
        <w:rPr>
          <w:rFonts w:hint="eastAsia"/>
          <w:snapToGrid/>
        </w:rPr>
        <w:t>)</w:t>
      </w:r>
      <w:r>
        <w:rPr>
          <w:rFonts w:hint="eastAsia"/>
          <w:snapToGrid/>
        </w:rPr>
        <w:t>。某些方案的目的是促进雇主们雇佣某些种类的失业人员。</w:t>
      </w:r>
    </w:p>
    <w:p w:rsidR="00000000" w:rsidRDefault="00000000">
      <w:pPr>
        <w:rPr>
          <w:rFonts w:hint="eastAsia"/>
          <w:snapToGrid/>
        </w:rPr>
      </w:pPr>
      <w:r>
        <w:rPr>
          <w:rFonts w:hint="eastAsia"/>
          <w:snapToGrid/>
        </w:rPr>
        <w:tab/>
        <w:t>71.  2006</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日，开始采用一种称为“</w:t>
      </w:r>
      <w:r>
        <w:rPr>
          <w:rFonts w:hint="eastAsia"/>
          <w:snapToGrid/>
        </w:rPr>
        <w:t>Plusjobb</w:t>
      </w:r>
      <w:r>
        <w:rPr>
          <w:rFonts w:hint="eastAsia"/>
          <w:snapToGrid/>
        </w:rPr>
        <w:t>”的提高了的就业津贴形式，“</w:t>
      </w:r>
      <w:r>
        <w:rPr>
          <w:rFonts w:hint="eastAsia"/>
          <w:snapToGrid/>
        </w:rPr>
        <w:t>Plusjobb</w:t>
      </w:r>
      <w:r>
        <w:rPr>
          <w:rFonts w:hint="eastAsia"/>
          <w:snapToGrid/>
        </w:rPr>
        <w:t>”是指由国家、城市、地方部门的社团以及由这些机构聘请的合同人的雇佣。目标群体的组成，是在就业服务处登记过至少两年的失业人员。</w:t>
      </w:r>
    </w:p>
    <w:p w:rsidR="00000000" w:rsidRDefault="00000000">
      <w:pPr>
        <w:rPr>
          <w:rFonts w:hint="eastAsia"/>
          <w:snapToGrid/>
        </w:rPr>
      </w:pPr>
      <w:r>
        <w:rPr>
          <w:rFonts w:hint="eastAsia"/>
          <w:snapToGrid/>
        </w:rPr>
        <w:tab/>
        <w:t>72.  2006</w:t>
      </w:r>
      <w:r>
        <w:rPr>
          <w:rFonts w:hint="eastAsia"/>
          <w:snapToGrid/>
        </w:rPr>
        <w:t>年和</w:t>
      </w:r>
      <w:r>
        <w:rPr>
          <w:rFonts w:hint="eastAsia"/>
          <w:snapToGrid/>
        </w:rPr>
        <w:t>2007</w:t>
      </w:r>
      <w:r>
        <w:rPr>
          <w:rFonts w:hint="eastAsia"/>
          <w:snapToGrid/>
        </w:rPr>
        <w:t>年恢复了受训者替换临时计划。受训者替换临时计划的意图是使得公营部门能够投资于更加好地培训和教育其员工，同时又为</w:t>
      </w:r>
      <w:r>
        <w:rPr>
          <w:rFonts w:hint="eastAsia"/>
          <w:snapToGrid/>
        </w:rPr>
        <w:t>1</w:t>
      </w:r>
      <w:r>
        <w:rPr>
          <w:rFonts w:hint="eastAsia"/>
          <w:snapToGrid/>
        </w:rPr>
        <w:t>万名失业人员提供工作经验。这一次，这项方案的指向是保健部门，以便提高受教育较少的员工的教育水平。</w:t>
      </w:r>
    </w:p>
    <w:p w:rsidR="00000000" w:rsidRDefault="00000000">
      <w:pPr>
        <w:rPr>
          <w:rFonts w:hint="eastAsia"/>
          <w:snapToGrid/>
        </w:rPr>
      </w:pPr>
      <w:r>
        <w:rPr>
          <w:rFonts w:hint="eastAsia"/>
          <w:snapToGrid/>
        </w:rPr>
        <w:tab/>
        <w:t xml:space="preserve">73.  </w:t>
      </w:r>
      <w:r>
        <w:rPr>
          <w:rFonts w:hint="eastAsia"/>
          <w:snapToGrid/>
        </w:rPr>
        <w:t>一个在</w:t>
      </w:r>
      <w:r>
        <w:rPr>
          <w:rFonts w:hint="eastAsia"/>
          <w:snapToGrid/>
        </w:rPr>
        <w:t>12</w:t>
      </w:r>
      <w:r>
        <w:rPr>
          <w:rFonts w:hint="eastAsia"/>
          <w:snapToGrid/>
        </w:rPr>
        <w:t>个城市提供公休的试行项目于</w:t>
      </w:r>
      <w:r>
        <w:rPr>
          <w:rFonts w:hint="eastAsia"/>
          <w:snapToGrid/>
        </w:rPr>
        <w:t>2004</w:t>
      </w:r>
      <w:r>
        <w:rPr>
          <w:rFonts w:hint="eastAsia"/>
          <w:snapToGrid/>
        </w:rPr>
        <w:t>年完成。从</w:t>
      </w:r>
      <w:r>
        <w:rPr>
          <w:rFonts w:hint="eastAsia"/>
          <w:snapToGrid/>
        </w:rPr>
        <w:t>2005</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日起，公休方案在全国铺开。这项方案在雇佣一名失业人员作为替代的情况下，允许雇员申请从三到十二个月的公休。在公休期间，将向正式雇员支付他或她作为一名领取活动补偿的失业人员所会领取的金额的</w:t>
      </w:r>
      <w:r>
        <w:rPr>
          <w:rFonts w:hint="eastAsia"/>
          <w:snapToGrid/>
        </w:rPr>
        <w:t>85%</w:t>
      </w:r>
      <w:r>
        <w:rPr>
          <w:rFonts w:hint="eastAsia"/>
          <w:snapToGrid/>
        </w:rPr>
        <w:t>。</w:t>
      </w:r>
    </w:p>
    <w:p w:rsidR="00000000" w:rsidRDefault="00000000">
      <w:pPr>
        <w:spacing w:after="240"/>
        <w:rPr>
          <w:rFonts w:hint="eastAsia"/>
          <w:snapToGrid/>
        </w:rPr>
      </w:pPr>
      <w:r>
        <w:rPr>
          <w:rFonts w:hint="eastAsia"/>
          <w:snapToGrid/>
        </w:rPr>
        <w:tab/>
        <w:t xml:space="preserve">74.  </w:t>
      </w:r>
      <w:r>
        <w:rPr>
          <w:rFonts w:hint="eastAsia"/>
          <w:snapToGrid/>
        </w:rPr>
        <w:t>那些不涉及有薪酬工作的劳工市场政策方案的参加者以活动补偿的方式领取津贴。有权获得失业补偿的人的活动补偿金额相当于如同他们失业但未参加一项方案所领取的数额。其他参加者每天领取</w:t>
      </w:r>
      <w:r>
        <w:rPr>
          <w:rFonts w:hint="eastAsia"/>
          <w:snapToGrid/>
        </w:rPr>
        <w:t>223</w:t>
      </w:r>
      <w:r>
        <w:rPr>
          <w:rFonts w:hint="eastAsia"/>
          <w:snapToGrid/>
        </w:rPr>
        <w:t>瑞典克朗的活动补偿。</w:t>
      </w:r>
    </w:p>
    <w:p w:rsidR="00000000" w:rsidRDefault="00000000">
      <w:pPr>
        <w:pStyle w:val="Heading4"/>
        <w:rPr>
          <w:rFonts w:hint="eastAsia"/>
        </w:rPr>
      </w:pPr>
      <w:r>
        <w:rPr>
          <w:rFonts w:hint="eastAsia"/>
        </w:rPr>
        <w:t>性别隔离的劳工市场</w:t>
      </w:r>
    </w:p>
    <w:p w:rsidR="00000000" w:rsidRDefault="00000000">
      <w:pPr>
        <w:rPr>
          <w:rFonts w:hint="eastAsia"/>
          <w:snapToGrid/>
        </w:rPr>
      </w:pPr>
      <w:r>
        <w:rPr>
          <w:rFonts w:hint="eastAsia"/>
          <w:snapToGrid/>
        </w:rPr>
        <w:tab/>
        <w:t xml:space="preserve">75.  </w:t>
      </w:r>
      <w:r>
        <w:rPr>
          <w:rFonts w:hint="eastAsia"/>
          <w:snapToGrid/>
        </w:rPr>
        <w:t>尽管瑞典在性别平等方面怀着很高的雄心，但是瑞典的劳工市场并不是性别平等的</w:t>
      </w:r>
      <w:r>
        <w:rPr>
          <w:rFonts w:hint="eastAsia"/>
          <w:snapToGrid/>
        </w:rPr>
        <w:t>(</w:t>
      </w:r>
      <w:r>
        <w:rPr>
          <w:rFonts w:hint="eastAsia"/>
          <w:snapToGrid/>
        </w:rPr>
        <w:t>见结论性意见第</w:t>
      </w:r>
      <w:r>
        <w:rPr>
          <w:rFonts w:hint="eastAsia"/>
          <w:snapToGrid/>
        </w:rPr>
        <w:t>19</w:t>
      </w:r>
      <w:r>
        <w:rPr>
          <w:rFonts w:hint="eastAsia"/>
          <w:snapToGrid/>
        </w:rPr>
        <w:t>项和第</w:t>
      </w:r>
      <w:r>
        <w:rPr>
          <w:rFonts w:hint="eastAsia"/>
          <w:snapToGrid/>
        </w:rPr>
        <w:t>30</w:t>
      </w:r>
      <w:r>
        <w:rPr>
          <w:rFonts w:hint="eastAsia"/>
          <w:snapToGrid/>
        </w:rPr>
        <w:t>项。</w:t>
      </w:r>
      <w:r>
        <w:rPr>
          <w:rFonts w:hint="eastAsia"/>
          <w:snapToGrid/>
        </w:rPr>
        <w:t>)</w:t>
      </w:r>
      <w:r>
        <w:rPr>
          <w:rFonts w:hint="eastAsia"/>
          <w:snapToGrid/>
        </w:rPr>
        <w:t>。虽然参加劳工市场是几乎男女平等的，然而瑞典的劳工市场仍然有着强烈的性别隔离现象，不过在</w:t>
      </w:r>
      <w:r>
        <w:rPr>
          <w:rFonts w:hint="eastAsia"/>
          <w:snapToGrid/>
        </w:rPr>
        <w:t>20</w:t>
      </w:r>
      <w:r>
        <w:rPr>
          <w:rFonts w:hint="eastAsia"/>
          <w:snapToGrid/>
        </w:rPr>
        <w:t>世纪</w:t>
      </w:r>
      <w:r>
        <w:rPr>
          <w:rFonts w:hint="eastAsia"/>
          <w:snapToGrid/>
        </w:rPr>
        <w:t>90</w:t>
      </w:r>
      <w:r>
        <w:rPr>
          <w:rFonts w:hint="eastAsia"/>
          <w:snapToGrid/>
        </w:rPr>
        <w:t>年代差别略有缩小。妇女是推动改变的基本力量。</w:t>
      </w:r>
    </w:p>
    <w:p w:rsidR="00000000" w:rsidRDefault="00000000">
      <w:pPr>
        <w:rPr>
          <w:rFonts w:hint="eastAsia"/>
          <w:snapToGrid/>
        </w:rPr>
      </w:pPr>
      <w:r>
        <w:rPr>
          <w:rFonts w:hint="eastAsia"/>
          <w:snapToGrid/>
        </w:rPr>
        <w:tab/>
        <w:t xml:space="preserve">76.  </w:t>
      </w:r>
      <w:r>
        <w:rPr>
          <w:rFonts w:hint="eastAsia"/>
          <w:snapToGrid/>
        </w:rPr>
        <w:t>妇女已经比男子更加拓宽了她们的职业选择，在更大程度上进入了要求较高的教育程度，以男子为主的职业。在教育程度要求低的以男子为主的职业中不能发现同样的改变。男子并没有进入以妇女为主的职业，而不管教育程度的要求是高是低。全部</w:t>
      </w:r>
      <w:r>
        <w:rPr>
          <w:rFonts w:hint="eastAsia"/>
          <w:snapToGrid/>
        </w:rPr>
        <w:t>20-64</w:t>
      </w:r>
      <w:r>
        <w:rPr>
          <w:rFonts w:hint="eastAsia"/>
          <w:snapToGrid/>
        </w:rPr>
        <w:t>岁的妇女中，一半人在公营业部门工作，一半在私营部门工作。同样年龄段的男子中，大约</w:t>
      </w:r>
      <w:r>
        <w:rPr>
          <w:rFonts w:hint="eastAsia"/>
          <w:snapToGrid/>
        </w:rPr>
        <w:t>20%</w:t>
      </w:r>
      <w:r>
        <w:rPr>
          <w:rFonts w:hint="eastAsia"/>
          <w:snapToGrid/>
        </w:rPr>
        <w:t>在公营部门工作，</w:t>
      </w:r>
      <w:r>
        <w:rPr>
          <w:rFonts w:hint="eastAsia"/>
          <w:snapToGrid/>
        </w:rPr>
        <w:t>80%</w:t>
      </w:r>
      <w:r>
        <w:rPr>
          <w:rFonts w:hint="eastAsia"/>
          <w:snapToGrid/>
        </w:rPr>
        <w:t>在私营部门工作。</w:t>
      </w:r>
    </w:p>
    <w:p w:rsidR="00000000" w:rsidRDefault="00000000">
      <w:pPr>
        <w:rPr>
          <w:rFonts w:hint="eastAsia"/>
          <w:snapToGrid/>
        </w:rPr>
      </w:pPr>
      <w:r>
        <w:rPr>
          <w:rFonts w:hint="eastAsia"/>
          <w:snapToGrid/>
        </w:rPr>
        <w:tab/>
        <w:t xml:space="preserve">77.  </w:t>
      </w:r>
      <w:r>
        <w:rPr>
          <w:rFonts w:hint="eastAsia"/>
          <w:snapToGrid/>
        </w:rPr>
        <w:t>同时据发现，在劳工市场中，妇女与男子不是处于同样的等级层次，这就是说，妇女不象男子那样经常拥有经理人员职位。据发现，男子在高得多的程度上从事薪酬较高的职业，而妇女则从事薪酬较低的职业，因而从保险系统领取的补偿比较低。妇女从事非全日制工作的程度也比男子高得多，根据临时合同工作的妇女人数明显地多于男子。</w:t>
      </w:r>
      <w:r>
        <w:rPr>
          <w:rFonts w:hint="eastAsia"/>
          <w:snapToGrid/>
        </w:rPr>
        <w:t>2003</w:t>
      </w:r>
      <w:r>
        <w:rPr>
          <w:rFonts w:hint="eastAsia"/>
          <w:snapToGrid/>
        </w:rPr>
        <w:t>年全部临时职位人员中，</w:t>
      </w:r>
      <w:r>
        <w:rPr>
          <w:rFonts w:hint="eastAsia"/>
          <w:snapToGrid/>
        </w:rPr>
        <w:t>60%</w:t>
      </w:r>
      <w:r>
        <w:rPr>
          <w:rFonts w:hint="eastAsia"/>
          <w:snapToGrid/>
        </w:rPr>
        <w:t>是妇女，</w:t>
      </w:r>
      <w:r>
        <w:rPr>
          <w:rFonts w:hint="eastAsia"/>
          <w:snapToGrid/>
        </w:rPr>
        <w:t>40%</w:t>
      </w:r>
      <w:r>
        <w:rPr>
          <w:rFonts w:hint="eastAsia"/>
          <w:snapToGrid/>
        </w:rPr>
        <w:t>是男子。</w:t>
      </w:r>
    </w:p>
    <w:p w:rsidR="00000000" w:rsidRDefault="00000000">
      <w:pPr>
        <w:spacing w:after="240"/>
        <w:rPr>
          <w:rFonts w:hint="eastAsia"/>
          <w:snapToGrid/>
        </w:rPr>
      </w:pPr>
      <w:r>
        <w:rPr>
          <w:rFonts w:hint="eastAsia"/>
          <w:snapToGrid/>
        </w:rPr>
        <w:tab/>
        <w:t xml:space="preserve">78.  </w:t>
      </w:r>
      <w:r>
        <w:rPr>
          <w:rFonts w:hint="eastAsia"/>
          <w:snapToGrid/>
        </w:rPr>
        <w:t>妇女与男子的工作条件和生活条件的迥异也在某种程度上反映在劳工市场政策方案中。例如，方案中男女人数的比例与他们在全部失业人员中的比例有所不同。在预备性培训和职业指导及职业安置方面，妇女的人数多于男子。在诸如就业支助、工资津贴和创业补助金等发给津贴的就业方案中，男子的比例超过了他们的人数比例。</w:t>
      </w:r>
    </w:p>
    <w:p w:rsidR="00000000" w:rsidRDefault="00000000">
      <w:pPr>
        <w:pStyle w:val="Heading4"/>
        <w:rPr>
          <w:rFonts w:hint="eastAsia"/>
        </w:rPr>
      </w:pPr>
      <w:r>
        <w:rPr>
          <w:rFonts w:hint="eastAsia"/>
        </w:rPr>
        <w:t>残疾人</w:t>
      </w:r>
    </w:p>
    <w:p w:rsidR="00000000" w:rsidRDefault="00000000">
      <w:pPr>
        <w:rPr>
          <w:rFonts w:hint="eastAsia"/>
          <w:snapToGrid/>
        </w:rPr>
      </w:pPr>
      <w:r>
        <w:rPr>
          <w:rFonts w:hint="eastAsia"/>
          <w:snapToGrid/>
        </w:rPr>
        <w:tab/>
        <w:t xml:space="preserve">79.  </w:t>
      </w:r>
      <w:r>
        <w:rPr>
          <w:rFonts w:hint="eastAsia"/>
          <w:snapToGrid/>
        </w:rPr>
        <w:t>残疾人参与劳工市场的人数从</w:t>
      </w:r>
      <w:r>
        <w:rPr>
          <w:rFonts w:hint="eastAsia"/>
          <w:snapToGrid/>
        </w:rPr>
        <w:t>1996</w:t>
      </w:r>
      <w:r>
        <w:rPr>
          <w:rFonts w:hint="eastAsia"/>
          <w:snapToGrid/>
        </w:rPr>
        <w:t>年到</w:t>
      </w:r>
      <w:r>
        <w:rPr>
          <w:rFonts w:hint="eastAsia"/>
          <w:snapToGrid/>
        </w:rPr>
        <w:t>2000</w:t>
      </w:r>
      <w:r>
        <w:rPr>
          <w:rFonts w:hint="eastAsia"/>
          <w:snapToGrid/>
        </w:rPr>
        <w:t>年急剧增加</w:t>
      </w:r>
      <w:r>
        <w:rPr>
          <w:rFonts w:hint="eastAsia"/>
          <w:snapToGrid/>
        </w:rPr>
        <w:t>(</w:t>
      </w:r>
      <w:r>
        <w:rPr>
          <w:rFonts w:hint="eastAsia"/>
          <w:snapToGrid/>
        </w:rPr>
        <w:t>从</w:t>
      </w:r>
      <w:r>
        <w:rPr>
          <w:rFonts w:hint="eastAsia"/>
          <w:snapToGrid/>
        </w:rPr>
        <w:t>1996</w:t>
      </w:r>
      <w:r>
        <w:rPr>
          <w:rFonts w:hint="eastAsia"/>
          <w:snapToGrid/>
        </w:rPr>
        <w:t>年的</w:t>
      </w:r>
      <w:r>
        <w:rPr>
          <w:rFonts w:hint="eastAsia"/>
          <w:snapToGrid/>
        </w:rPr>
        <w:t>61.3%</w:t>
      </w:r>
      <w:r>
        <w:rPr>
          <w:rFonts w:hint="eastAsia"/>
          <w:snapToGrid/>
        </w:rPr>
        <w:t>增加到</w:t>
      </w:r>
      <w:r>
        <w:rPr>
          <w:rFonts w:hint="eastAsia"/>
          <w:snapToGrid/>
        </w:rPr>
        <w:t>2000</w:t>
      </w:r>
      <w:r>
        <w:rPr>
          <w:rFonts w:hint="eastAsia"/>
          <w:snapToGrid/>
        </w:rPr>
        <w:t>年的</w:t>
      </w:r>
      <w:r>
        <w:rPr>
          <w:rFonts w:hint="eastAsia"/>
          <w:snapToGrid/>
        </w:rPr>
        <w:t>70.7%)</w:t>
      </w:r>
      <w:r>
        <w:rPr>
          <w:rFonts w:hint="eastAsia"/>
          <w:snapToGrid/>
        </w:rPr>
        <w:t>。其后，由于劳工市场形势变差，劳工市场的参与率降低了。</w:t>
      </w:r>
      <w:r>
        <w:rPr>
          <w:rFonts w:hint="eastAsia"/>
          <w:snapToGrid/>
        </w:rPr>
        <w:t>2004</w:t>
      </w:r>
      <w:r>
        <w:rPr>
          <w:rFonts w:hint="eastAsia"/>
          <w:snapToGrid/>
        </w:rPr>
        <w:t>年，这个群体的劳工市场参与率是</w:t>
      </w:r>
      <w:r>
        <w:rPr>
          <w:rFonts w:hint="eastAsia"/>
          <w:snapToGrid/>
        </w:rPr>
        <w:t>65.7%</w:t>
      </w:r>
      <w:r>
        <w:rPr>
          <w:rFonts w:hint="eastAsia"/>
          <w:snapToGrid/>
        </w:rPr>
        <w:t>。残疾男子的参与率略高于残疾妇女。在</w:t>
      </w:r>
      <w:r>
        <w:rPr>
          <w:rFonts w:hint="eastAsia"/>
          <w:snapToGrid/>
        </w:rPr>
        <w:t>1998</w:t>
      </w:r>
      <w:r>
        <w:rPr>
          <w:rFonts w:hint="eastAsia"/>
          <w:snapToGrid/>
        </w:rPr>
        <w:t>年到</w:t>
      </w:r>
      <w:r>
        <w:rPr>
          <w:rFonts w:hint="eastAsia"/>
          <w:snapToGrid/>
        </w:rPr>
        <w:t>2004</w:t>
      </w:r>
      <w:r>
        <w:rPr>
          <w:rFonts w:hint="eastAsia"/>
          <w:snapToGrid/>
        </w:rPr>
        <w:t>年期间，每个群体的劳工市场参与率的差别平均相差</w:t>
      </w:r>
      <w:r>
        <w:rPr>
          <w:rFonts w:hint="eastAsia"/>
          <w:snapToGrid/>
        </w:rPr>
        <w:t>5.2%</w:t>
      </w:r>
      <w:r>
        <w:rPr>
          <w:rFonts w:hint="eastAsia"/>
          <w:snapToGrid/>
        </w:rPr>
        <w:t>，以男子居高。</w:t>
      </w:r>
      <w:r>
        <w:rPr>
          <w:rFonts w:hint="eastAsia"/>
          <w:snapToGrid/>
        </w:rPr>
        <w:t>2004</w:t>
      </w:r>
      <w:r>
        <w:rPr>
          <w:rFonts w:hint="eastAsia"/>
          <w:snapToGrid/>
        </w:rPr>
        <w:t>年残疾妇女的劳工市场参与率为</w:t>
      </w:r>
      <w:r>
        <w:rPr>
          <w:rFonts w:hint="eastAsia"/>
          <w:snapToGrid/>
        </w:rPr>
        <w:t>63.1%</w:t>
      </w:r>
      <w:r>
        <w:rPr>
          <w:rFonts w:hint="eastAsia"/>
          <w:snapToGrid/>
        </w:rPr>
        <w:t>，而相应的残疾男子的数字是</w:t>
      </w:r>
      <w:r>
        <w:rPr>
          <w:rFonts w:hint="eastAsia"/>
          <w:snapToGrid/>
        </w:rPr>
        <w:t>68.1%</w:t>
      </w:r>
      <w:r>
        <w:rPr>
          <w:rFonts w:hint="eastAsia"/>
          <w:snapToGrid/>
        </w:rPr>
        <w:t>。</w:t>
      </w:r>
    </w:p>
    <w:p w:rsidR="00000000" w:rsidRDefault="00000000">
      <w:pPr>
        <w:rPr>
          <w:rFonts w:hint="eastAsia"/>
          <w:snapToGrid/>
        </w:rPr>
      </w:pPr>
      <w:r>
        <w:rPr>
          <w:rFonts w:hint="eastAsia"/>
          <w:snapToGrid/>
        </w:rPr>
        <w:tab/>
        <w:t>80.  1996</w:t>
      </w:r>
      <w:r>
        <w:rPr>
          <w:rFonts w:hint="eastAsia"/>
          <w:snapToGrid/>
        </w:rPr>
        <w:t>年到</w:t>
      </w:r>
      <w:r>
        <w:rPr>
          <w:rFonts w:hint="eastAsia"/>
          <w:snapToGrid/>
        </w:rPr>
        <w:t>2000</w:t>
      </w:r>
      <w:r>
        <w:rPr>
          <w:rFonts w:hint="eastAsia"/>
          <w:snapToGrid/>
        </w:rPr>
        <w:t>年期间残疾人的就业率同样提高了</w:t>
      </w:r>
      <w:r>
        <w:rPr>
          <w:rFonts w:hint="eastAsia"/>
          <w:snapToGrid/>
        </w:rPr>
        <w:t>(</w:t>
      </w:r>
      <w:r>
        <w:rPr>
          <w:rFonts w:hint="eastAsia"/>
          <w:snapToGrid/>
        </w:rPr>
        <w:t>从</w:t>
      </w:r>
      <w:r>
        <w:rPr>
          <w:rFonts w:hint="eastAsia"/>
          <w:snapToGrid/>
        </w:rPr>
        <w:t>1996</w:t>
      </w:r>
      <w:r>
        <w:rPr>
          <w:rFonts w:hint="eastAsia"/>
          <w:snapToGrid/>
        </w:rPr>
        <w:t>年的</w:t>
      </w:r>
      <w:r>
        <w:rPr>
          <w:rFonts w:hint="eastAsia"/>
          <w:snapToGrid/>
        </w:rPr>
        <w:t>54.8%</w:t>
      </w:r>
      <w:r>
        <w:rPr>
          <w:rFonts w:hint="eastAsia"/>
          <w:snapToGrid/>
        </w:rPr>
        <w:t>增加到</w:t>
      </w:r>
      <w:r>
        <w:rPr>
          <w:rFonts w:hint="eastAsia"/>
          <w:snapToGrid/>
        </w:rPr>
        <w:t>2000</w:t>
      </w:r>
      <w:r>
        <w:rPr>
          <w:rFonts w:hint="eastAsia"/>
          <w:snapToGrid/>
        </w:rPr>
        <w:t>年的</w:t>
      </w:r>
      <w:r>
        <w:rPr>
          <w:rFonts w:hint="eastAsia"/>
          <w:snapToGrid/>
        </w:rPr>
        <w:t>67%)</w:t>
      </w:r>
      <w:r>
        <w:rPr>
          <w:rFonts w:hint="eastAsia"/>
          <w:snapToGrid/>
        </w:rPr>
        <w:t>。其后，就业率在</w:t>
      </w:r>
      <w:r>
        <w:rPr>
          <w:rFonts w:hint="eastAsia"/>
          <w:snapToGrid/>
        </w:rPr>
        <w:t>2004</w:t>
      </w:r>
      <w:r>
        <w:rPr>
          <w:rFonts w:hint="eastAsia"/>
          <w:snapToGrid/>
        </w:rPr>
        <w:t>年降低到</w:t>
      </w:r>
      <w:r>
        <w:rPr>
          <w:rFonts w:hint="eastAsia"/>
          <w:snapToGrid/>
        </w:rPr>
        <w:t>61.6%</w:t>
      </w:r>
      <w:r>
        <w:rPr>
          <w:rFonts w:hint="eastAsia"/>
          <w:snapToGrid/>
        </w:rPr>
        <w:t>。然而值得注意的是，在这段时期内，工作能力未受损害的残疾人的趋势是好的，而且这种趋势要比非残疾人的趋势好。工作能力未受损害的残疾人的就业率在</w:t>
      </w:r>
      <w:r>
        <w:rPr>
          <w:rFonts w:hint="eastAsia"/>
          <w:snapToGrid/>
        </w:rPr>
        <w:t>1996</w:t>
      </w:r>
      <w:r>
        <w:rPr>
          <w:rFonts w:hint="eastAsia"/>
          <w:snapToGrid/>
        </w:rPr>
        <w:t>年是</w:t>
      </w:r>
      <w:r>
        <w:rPr>
          <w:rFonts w:hint="eastAsia"/>
          <w:snapToGrid/>
        </w:rPr>
        <w:t>65.3%</w:t>
      </w:r>
      <w:r>
        <w:rPr>
          <w:rFonts w:hint="eastAsia"/>
          <w:snapToGrid/>
        </w:rPr>
        <w:t>，</w:t>
      </w:r>
      <w:r>
        <w:rPr>
          <w:rFonts w:hint="eastAsia"/>
          <w:snapToGrid/>
        </w:rPr>
        <w:t>2000</w:t>
      </w:r>
      <w:r>
        <w:rPr>
          <w:rFonts w:hint="eastAsia"/>
          <w:snapToGrid/>
        </w:rPr>
        <w:t>年是</w:t>
      </w:r>
      <w:r>
        <w:rPr>
          <w:rFonts w:hint="eastAsia"/>
          <w:snapToGrid/>
        </w:rPr>
        <w:t>76.4%</w:t>
      </w:r>
      <w:r>
        <w:rPr>
          <w:rFonts w:hint="eastAsia"/>
          <w:snapToGrid/>
        </w:rPr>
        <w:t>，</w:t>
      </w:r>
      <w:r>
        <w:rPr>
          <w:rFonts w:hint="eastAsia"/>
          <w:snapToGrid/>
        </w:rPr>
        <w:t>2004</w:t>
      </w:r>
      <w:r>
        <w:rPr>
          <w:rFonts w:hint="eastAsia"/>
          <w:snapToGrid/>
        </w:rPr>
        <w:t>年是</w:t>
      </w:r>
      <w:r>
        <w:rPr>
          <w:rFonts w:hint="eastAsia"/>
          <w:snapToGrid/>
        </w:rPr>
        <w:t>76.8%</w:t>
      </w:r>
      <w:r>
        <w:rPr>
          <w:rFonts w:hint="eastAsia"/>
          <w:snapToGrid/>
        </w:rPr>
        <w:t>。非残疾人的就业率在</w:t>
      </w:r>
      <w:r>
        <w:rPr>
          <w:rFonts w:hint="eastAsia"/>
          <w:snapToGrid/>
        </w:rPr>
        <w:t>1996</w:t>
      </w:r>
      <w:r>
        <w:rPr>
          <w:rFonts w:hint="eastAsia"/>
          <w:snapToGrid/>
        </w:rPr>
        <w:t>年是</w:t>
      </w:r>
      <w:r>
        <w:rPr>
          <w:rFonts w:hint="eastAsia"/>
          <w:snapToGrid/>
        </w:rPr>
        <w:t>74.7%</w:t>
      </w:r>
      <w:r>
        <w:rPr>
          <w:rFonts w:hint="eastAsia"/>
          <w:snapToGrid/>
        </w:rPr>
        <w:t>，</w:t>
      </w:r>
      <w:r>
        <w:rPr>
          <w:rFonts w:hint="eastAsia"/>
          <w:snapToGrid/>
        </w:rPr>
        <w:t>2000</w:t>
      </w:r>
      <w:r>
        <w:rPr>
          <w:rFonts w:hint="eastAsia"/>
          <w:snapToGrid/>
        </w:rPr>
        <w:t>年是</w:t>
      </w:r>
      <w:r>
        <w:rPr>
          <w:rFonts w:hint="eastAsia"/>
          <w:snapToGrid/>
        </w:rPr>
        <w:t>76.8%</w:t>
      </w:r>
      <w:r>
        <w:rPr>
          <w:rFonts w:hint="eastAsia"/>
          <w:snapToGrid/>
        </w:rPr>
        <w:t>，</w:t>
      </w:r>
      <w:r>
        <w:rPr>
          <w:rFonts w:hint="eastAsia"/>
          <w:snapToGrid/>
        </w:rPr>
        <w:t>2004</w:t>
      </w:r>
      <w:r>
        <w:rPr>
          <w:rFonts w:hint="eastAsia"/>
          <w:snapToGrid/>
        </w:rPr>
        <w:t>年是</w:t>
      </w:r>
      <w:r>
        <w:rPr>
          <w:rFonts w:hint="eastAsia"/>
          <w:snapToGrid/>
        </w:rPr>
        <w:t>75.5%</w:t>
      </w:r>
      <w:r>
        <w:rPr>
          <w:rFonts w:hint="eastAsia"/>
          <w:snapToGrid/>
        </w:rPr>
        <w:t>。</w:t>
      </w:r>
    </w:p>
    <w:p w:rsidR="00000000" w:rsidRDefault="00000000">
      <w:pPr>
        <w:rPr>
          <w:rFonts w:hint="eastAsia"/>
          <w:snapToGrid/>
        </w:rPr>
      </w:pPr>
      <w:r>
        <w:rPr>
          <w:rFonts w:hint="eastAsia"/>
          <w:snapToGrid/>
        </w:rPr>
        <w:tab/>
        <w:t xml:space="preserve">81.  </w:t>
      </w:r>
      <w:r>
        <w:rPr>
          <w:rFonts w:hint="eastAsia"/>
          <w:snapToGrid/>
        </w:rPr>
        <w:t>残疾男子的就业率比残疾妇女的就业率高。在</w:t>
      </w:r>
      <w:r>
        <w:rPr>
          <w:rFonts w:hint="eastAsia"/>
          <w:snapToGrid/>
        </w:rPr>
        <w:t>2000</w:t>
      </w:r>
      <w:r>
        <w:rPr>
          <w:snapToGrid/>
        </w:rPr>
        <w:t>-</w:t>
      </w:r>
      <w:r>
        <w:rPr>
          <w:rFonts w:hint="eastAsia"/>
          <w:snapToGrid/>
        </w:rPr>
        <w:t>2004</w:t>
      </w:r>
      <w:r>
        <w:rPr>
          <w:rFonts w:hint="eastAsia"/>
          <w:snapToGrid/>
        </w:rPr>
        <w:t>年期间残疾人的就业率，男子比妇女平均高出</w:t>
      </w:r>
      <w:r>
        <w:rPr>
          <w:rFonts w:hint="eastAsia"/>
          <w:snapToGrid/>
        </w:rPr>
        <w:t>4.8%</w:t>
      </w:r>
      <w:r>
        <w:rPr>
          <w:rFonts w:hint="eastAsia"/>
          <w:snapToGrid/>
        </w:rPr>
        <w:t>。在工作能力未受损害的人群中，</w:t>
      </w:r>
      <w:r>
        <w:rPr>
          <w:rFonts w:hint="eastAsia"/>
          <w:snapToGrid/>
        </w:rPr>
        <w:t>2002</w:t>
      </w:r>
      <w:r>
        <w:rPr>
          <w:snapToGrid/>
        </w:rPr>
        <w:t>-</w:t>
      </w:r>
      <w:r>
        <w:rPr>
          <w:rFonts w:hint="eastAsia"/>
          <w:snapToGrid/>
        </w:rPr>
        <w:t>2004</w:t>
      </w:r>
      <w:r>
        <w:rPr>
          <w:rFonts w:hint="eastAsia"/>
          <w:snapToGrid/>
        </w:rPr>
        <w:t>年期间的差别是</w:t>
      </w:r>
      <w:r>
        <w:rPr>
          <w:rFonts w:hint="eastAsia"/>
          <w:snapToGrid/>
        </w:rPr>
        <w:t>1.6</w:t>
      </w:r>
      <w:r>
        <w:rPr>
          <w:rFonts w:hint="eastAsia"/>
          <w:snapToGrid/>
        </w:rPr>
        <w:t>个百分点，以男子居高。</w:t>
      </w:r>
    </w:p>
    <w:p w:rsidR="00000000" w:rsidRDefault="00000000">
      <w:pPr>
        <w:rPr>
          <w:rFonts w:hint="eastAsia"/>
          <w:snapToGrid/>
        </w:rPr>
      </w:pPr>
      <w:r>
        <w:rPr>
          <w:rFonts w:hint="eastAsia"/>
          <w:snapToGrid/>
        </w:rPr>
        <w:tab/>
        <w:t xml:space="preserve">82.  </w:t>
      </w:r>
      <w:r>
        <w:rPr>
          <w:rFonts w:hint="eastAsia"/>
          <w:snapToGrid/>
        </w:rPr>
        <w:t>对于残疾人来说最重要的特别劳工市场政策方案是公营领域里的工资津贴和受庇护的就业</w:t>
      </w:r>
      <w:r>
        <w:rPr>
          <w:rFonts w:hint="eastAsia"/>
          <w:snapToGrid/>
        </w:rPr>
        <w:t>(OSA</w:t>
      </w:r>
      <w:r>
        <w:rPr>
          <w:rFonts w:hint="eastAsia"/>
          <w:snapToGrid/>
        </w:rPr>
        <w:t>方案</w:t>
      </w:r>
      <w:r>
        <w:rPr>
          <w:rFonts w:hint="eastAsia"/>
          <w:snapToGrid/>
        </w:rPr>
        <w:t>)</w:t>
      </w:r>
      <w:r>
        <w:rPr>
          <w:rFonts w:hint="eastAsia"/>
          <w:snapToGrid/>
        </w:rPr>
        <w:t>。在最近</w:t>
      </w:r>
      <w:r>
        <w:rPr>
          <w:rFonts w:hint="eastAsia"/>
          <w:snapToGrid/>
        </w:rPr>
        <w:t>10</w:t>
      </w:r>
      <w:r>
        <w:rPr>
          <w:rFonts w:hint="eastAsia"/>
          <w:snapToGrid/>
        </w:rPr>
        <w:t>年，领取津贴工资和在公营部门从事受庇护的就业的人数一直在连续增加。</w:t>
      </w:r>
      <w:r>
        <w:rPr>
          <w:rFonts w:hint="eastAsia"/>
          <w:snapToGrid/>
        </w:rPr>
        <w:t>1995</w:t>
      </w:r>
      <w:r>
        <w:rPr>
          <w:rFonts w:hint="eastAsia"/>
          <w:snapToGrid/>
        </w:rPr>
        <w:t>年，平均每月有</w:t>
      </w:r>
      <w:r>
        <w:rPr>
          <w:rFonts w:hint="eastAsia"/>
          <w:snapToGrid/>
        </w:rPr>
        <w:t>55,400</w:t>
      </w:r>
      <w:r>
        <w:rPr>
          <w:rFonts w:hint="eastAsia"/>
          <w:snapToGrid/>
        </w:rPr>
        <w:t>份津贴工资或</w:t>
      </w:r>
      <w:r>
        <w:rPr>
          <w:rFonts w:hint="eastAsia"/>
          <w:snapToGrid/>
        </w:rPr>
        <w:t>OSA</w:t>
      </w:r>
      <w:r>
        <w:rPr>
          <w:rFonts w:hint="eastAsia"/>
          <w:snapToGrid/>
        </w:rPr>
        <w:t>职位</w:t>
      </w:r>
      <w:r>
        <w:rPr>
          <w:rFonts w:hint="eastAsia"/>
          <w:snapToGrid/>
        </w:rPr>
        <w:t>(</w:t>
      </w:r>
      <w:r>
        <w:rPr>
          <w:rFonts w:hint="eastAsia"/>
          <w:snapToGrid/>
        </w:rPr>
        <w:t>其中</w:t>
      </w:r>
      <w:r>
        <w:rPr>
          <w:rFonts w:hint="eastAsia"/>
          <w:snapToGrid/>
        </w:rPr>
        <w:t>38%</w:t>
      </w:r>
      <w:r>
        <w:rPr>
          <w:rFonts w:hint="eastAsia"/>
          <w:snapToGrid/>
        </w:rPr>
        <w:t>是妇女的，</w:t>
      </w:r>
      <w:r>
        <w:rPr>
          <w:rFonts w:hint="eastAsia"/>
          <w:snapToGrid/>
        </w:rPr>
        <w:t>62%</w:t>
      </w:r>
      <w:r>
        <w:rPr>
          <w:rFonts w:hint="eastAsia"/>
          <w:snapToGrid/>
        </w:rPr>
        <w:t>是男子的</w:t>
      </w:r>
      <w:r>
        <w:rPr>
          <w:rFonts w:hint="eastAsia"/>
          <w:snapToGrid/>
        </w:rPr>
        <w:t>)</w:t>
      </w:r>
      <w:r>
        <w:rPr>
          <w:rFonts w:hint="eastAsia"/>
          <w:snapToGrid/>
        </w:rPr>
        <w:t>。</w:t>
      </w:r>
      <w:r>
        <w:rPr>
          <w:rFonts w:hint="eastAsia"/>
          <w:snapToGrid/>
        </w:rPr>
        <w:t>2000</w:t>
      </w:r>
      <w:r>
        <w:rPr>
          <w:rFonts w:hint="eastAsia"/>
          <w:snapToGrid/>
        </w:rPr>
        <w:t>年的相应数字是</w:t>
      </w:r>
      <w:r>
        <w:rPr>
          <w:rFonts w:hint="eastAsia"/>
          <w:snapToGrid/>
        </w:rPr>
        <w:t>53,900(</w:t>
      </w:r>
      <w:r>
        <w:rPr>
          <w:rFonts w:hint="eastAsia"/>
          <w:snapToGrid/>
        </w:rPr>
        <w:t>其中</w:t>
      </w:r>
      <w:r>
        <w:rPr>
          <w:rFonts w:hint="eastAsia"/>
          <w:snapToGrid/>
        </w:rPr>
        <w:t>37%</w:t>
      </w:r>
      <w:r>
        <w:rPr>
          <w:rFonts w:hint="eastAsia"/>
          <w:snapToGrid/>
        </w:rPr>
        <w:t>是妇女的，</w:t>
      </w:r>
      <w:r>
        <w:rPr>
          <w:rFonts w:hint="eastAsia"/>
          <w:snapToGrid/>
        </w:rPr>
        <w:t>63%</w:t>
      </w:r>
      <w:r>
        <w:rPr>
          <w:rFonts w:hint="eastAsia"/>
          <w:snapToGrid/>
        </w:rPr>
        <w:t>是男子的</w:t>
      </w:r>
      <w:r>
        <w:rPr>
          <w:rFonts w:hint="eastAsia"/>
          <w:snapToGrid/>
        </w:rPr>
        <w:t>)</w:t>
      </w:r>
      <w:r>
        <w:rPr>
          <w:rFonts w:hint="eastAsia"/>
          <w:snapToGrid/>
        </w:rPr>
        <w:t>。那一年的数字低得反常，到下一年即</w:t>
      </w:r>
      <w:r>
        <w:rPr>
          <w:rFonts w:hint="eastAsia"/>
          <w:snapToGrid/>
        </w:rPr>
        <w:t>2001</w:t>
      </w:r>
      <w:r>
        <w:rPr>
          <w:rFonts w:hint="eastAsia"/>
          <w:snapToGrid/>
        </w:rPr>
        <w:t>年就升高到</w:t>
      </w:r>
      <w:r>
        <w:rPr>
          <w:rFonts w:hint="eastAsia"/>
          <w:snapToGrid/>
        </w:rPr>
        <w:t>56</w:t>
      </w:r>
      <w:r>
        <w:rPr>
          <w:snapToGrid/>
        </w:rPr>
        <w:t>,</w:t>
      </w:r>
      <w:r>
        <w:rPr>
          <w:rFonts w:hint="eastAsia"/>
          <w:snapToGrid/>
        </w:rPr>
        <w:t>800(</w:t>
      </w:r>
      <w:r>
        <w:rPr>
          <w:rFonts w:hint="eastAsia"/>
          <w:snapToGrid/>
        </w:rPr>
        <w:t>性别分布自</w:t>
      </w:r>
      <w:r>
        <w:rPr>
          <w:rFonts w:hint="eastAsia"/>
          <w:snapToGrid/>
        </w:rPr>
        <w:t>2006</w:t>
      </w:r>
      <w:r>
        <w:rPr>
          <w:rFonts w:hint="eastAsia"/>
          <w:snapToGrid/>
        </w:rPr>
        <w:t>年以来没有变化</w:t>
      </w:r>
      <w:r>
        <w:rPr>
          <w:rFonts w:hint="eastAsia"/>
          <w:snapToGrid/>
        </w:rPr>
        <w:t>)</w:t>
      </w:r>
      <w:r>
        <w:rPr>
          <w:rFonts w:hint="eastAsia"/>
          <w:snapToGrid/>
        </w:rPr>
        <w:t>。到</w:t>
      </w:r>
      <w:r>
        <w:rPr>
          <w:rFonts w:hint="eastAsia"/>
          <w:snapToGrid/>
        </w:rPr>
        <w:t>2005</w:t>
      </w:r>
      <w:r>
        <w:rPr>
          <w:rFonts w:hint="eastAsia"/>
          <w:snapToGrid/>
        </w:rPr>
        <w:t>年，这个数字增加到</w:t>
      </w:r>
      <w:r>
        <w:rPr>
          <w:rFonts w:hint="eastAsia"/>
          <w:snapToGrid/>
        </w:rPr>
        <w:t>62,900</w:t>
      </w:r>
      <w:r>
        <w:rPr>
          <w:rFonts w:hint="eastAsia"/>
          <w:snapToGrid/>
        </w:rPr>
        <w:t>份津贴工资和</w:t>
      </w:r>
      <w:r>
        <w:rPr>
          <w:rFonts w:hint="eastAsia"/>
          <w:snapToGrid/>
        </w:rPr>
        <w:t>OSA</w:t>
      </w:r>
      <w:r>
        <w:rPr>
          <w:rFonts w:hint="eastAsia"/>
          <w:snapToGrid/>
        </w:rPr>
        <w:t>职位</w:t>
      </w:r>
      <w:r>
        <w:rPr>
          <w:rFonts w:hint="eastAsia"/>
          <w:snapToGrid/>
        </w:rPr>
        <w:t>(</w:t>
      </w:r>
      <w:r>
        <w:rPr>
          <w:rFonts w:hint="eastAsia"/>
          <w:snapToGrid/>
        </w:rPr>
        <w:t>性别分布自</w:t>
      </w:r>
      <w:r>
        <w:rPr>
          <w:rFonts w:hint="eastAsia"/>
          <w:snapToGrid/>
        </w:rPr>
        <w:t>2000</w:t>
      </w:r>
      <w:r>
        <w:rPr>
          <w:rFonts w:hint="eastAsia"/>
          <w:snapToGrid/>
        </w:rPr>
        <w:t>年以来的没有变化</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83.  </w:t>
      </w:r>
      <w:r>
        <w:rPr>
          <w:rFonts w:hint="eastAsia"/>
          <w:snapToGrid/>
        </w:rPr>
        <w:t>在普通的依经济而定的劳工市场政策方案中也应当给予残疾人求职者优先权。残疾人所利用的依经济而定的方案的比例，从</w:t>
      </w:r>
      <w:r>
        <w:rPr>
          <w:rFonts w:hint="eastAsia"/>
          <w:snapToGrid/>
        </w:rPr>
        <w:t>1995</w:t>
      </w:r>
      <w:r>
        <w:rPr>
          <w:rFonts w:hint="eastAsia"/>
          <w:snapToGrid/>
        </w:rPr>
        <w:t>年的</w:t>
      </w:r>
      <w:r>
        <w:rPr>
          <w:rFonts w:hint="eastAsia"/>
          <w:snapToGrid/>
        </w:rPr>
        <w:t>12.3%</w:t>
      </w:r>
      <w:r>
        <w:rPr>
          <w:rFonts w:hint="eastAsia"/>
          <w:snapToGrid/>
        </w:rPr>
        <w:t>增加到</w:t>
      </w:r>
      <w:r>
        <w:rPr>
          <w:rFonts w:hint="eastAsia"/>
          <w:snapToGrid/>
        </w:rPr>
        <w:t>2000</w:t>
      </w:r>
      <w:r>
        <w:rPr>
          <w:rFonts w:hint="eastAsia"/>
          <w:snapToGrid/>
        </w:rPr>
        <w:t>年的</w:t>
      </w:r>
      <w:r>
        <w:rPr>
          <w:rFonts w:hint="eastAsia"/>
          <w:snapToGrid/>
        </w:rPr>
        <w:t>18.6%</w:t>
      </w:r>
      <w:r>
        <w:rPr>
          <w:rFonts w:hint="eastAsia"/>
          <w:snapToGrid/>
        </w:rPr>
        <w:t>，再增加到</w:t>
      </w:r>
      <w:r>
        <w:rPr>
          <w:rFonts w:hint="eastAsia"/>
          <w:snapToGrid/>
        </w:rPr>
        <w:t>2005</w:t>
      </w:r>
      <w:r>
        <w:rPr>
          <w:rFonts w:hint="eastAsia"/>
          <w:snapToGrid/>
        </w:rPr>
        <w:t>年的</w:t>
      </w:r>
      <w:r>
        <w:rPr>
          <w:rFonts w:hint="eastAsia"/>
          <w:snapToGrid/>
        </w:rPr>
        <w:t>19.1%</w:t>
      </w:r>
      <w:r>
        <w:rPr>
          <w:rFonts w:hint="eastAsia"/>
          <w:snapToGrid/>
        </w:rPr>
        <w:t>。</w:t>
      </w:r>
      <w:r>
        <w:rPr>
          <w:rFonts w:hint="eastAsia"/>
          <w:snapToGrid/>
        </w:rPr>
        <w:t>2000</w:t>
      </w:r>
      <w:r>
        <w:rPr>
          <w:snapToGrid/>
        </w:rPr>
        <w:t>-</w:t>
      </w:r>
      <w:r>
        <w:rPr>
          <w:rFonts w:hint="eastAsia"/>
          <w:snapToGrid/>
        </w:rPr>
        <w:t>2005</w:t>
      </w:r>
      <w:r>
        <w:rPr>
          <w:rFonts w:hint="eastAsia"/>
          <w:snapToGrid/>
        </w:rPr>
        <w:t>年期间残疾妇女在政策规划中的比例比残疾男子高出大约</w:t>
      </w:r>
      <w:r>
        <w:rPr>
          <w:rFonts w:hint="eastAsia"/>
          <w:snapToGrid/>
        </w:rPr>
        <w:t>1</w:t>
      </w:r>
      <w:r>
        <w:rPr>
          <w:rFonts w:hint="eastAsia"/>
          <w:snapToGrid/>
        </w:rPr>
        <w:t>个百分点。在就业服务处登记的求职者中的残疾人的百分比在</w:t>
      </w:r>
      <w:r>
        <w:rPr>
          <w:rFonts w:hint="eastAsia"/>
          <w:snapToGrid/>
        </w:rPr>
        <w:t>1995</w:t>
      </w:r>
      <w:r>
        <w:rPr>
          <w:snapToGrid/>
        </w:rPr>
        <w:t>-</w:t>
      </w:r>
      <w:r>
        <w:rPr>
          <w:rFonts w:hint="eastAsia"/>
          <w:snapToGrid/>
        </w:rPr>
        <w:t>2000</w:t>
      </w:r>
      <w:r>
        <w:rPr>
          <w:rFonts w:hint="eastAsia"/>
          <w:snapToGrid/>
        </w:rPr>
        <w:t>年期间有了一点增加</w:t>
      </w:r>
      <w:r>
        <w:rPr>
          <w:rFonts w:hint="eastAsia"/>
          <w:snapToGrid/>
        </w:rPr>
        <w:t>(</w:t>
      </w:r>
      <w:r>
        <w:rPr>
          <w:rFonts w:hint="eastAsia"/>
          <w:snapToGrid/>
        </w:rPr>
        <w:t>从</w:t>
      </w:r>
      <w:r>
        <w:rPr>
          <w:rFonts w:hint="eastAsia"/>
          <w:snapToGrid/>
        </w:rPr>
        <w:t>9%</w:t>
      </w:r>
      <w:r>
        <w:rPr>
          <w:rFonts w:hint="eastAsia"/>
          <w:snapToGrid/>
        </w:rPr>
        <w:t>增加到</w:t>
      </w:r>
      <w:r>
        <w:rPr>
          <w:rFonts w:hint="eastAsia"/>
          <w:snapToGrid/>
        </w:rPr>
        <w:t>10.7%)</w:t>
      </w:r>
      <w:r>
        <w:rPr>
          <w:rFonts w:hint="eastAsia"/>
          <w:snapToGrid/>
        </w:rPr>
        <w:t>，其后，这个百分比</w:t>
      </w:r>
      <w:r>
        <w:rPr>
          <w:rFonts w:hint="eastAsia"/>
          <w:snapToGrid/>
        </w:rPr>
        <w:t>2005</w:t>
      </w:r>
      <w:r>
        <w:rPr>
          <w:rFonts w:hint="eastAsia"/>
          <w:snapToGrid/>
        </w:rPr>
        <w:t>年下降到</w:t>
      </w:r>
      <w:r>
        <w:rPr>
          <w:rFonts w:hint="eastAsia"/>
          <w:snapToGrid/>
        </w:rPr>
        <w:t>8.9%</w:t>
      </w:r>
      <w:r>
        <w:rPr>
          <w:rFonts w:hint="eastAsia"/>
          <w:snapToGrid/>
        </w:rPr>
        <w:t>。</w:t>
      </w:r>
      <w:r>
        <w:rPr>
          <w:rFonts w:hint="eastAsia"/>
          <w:snapToGrid/>
        </w:rPr>
        <w:t>2000</w:t>
      </w:r>
      <w:r>
        <w:rPr>
          <w:snapToGrid/>
        </w:rPr>
        <w:t>-</w:t>
      </w:r>
      <w:r>
        <w:rPr>
          <w:rFonts w:hint="eastAsia"/>
          <w:snapToGrid/>
        </w:rPr>
        <w:t>2005</w:t>
      </w:r>
      <w:r>
        <w:rPr>
          <w:rFonts w:hint="eastAsia"/>
          <w:snapToGrid/>
        </w:rPr>
        <w:t>年期间残疾妇女在失业人员中的百分比比残疾男子低大约</w:t>
      </w:r>
      <w:r>
        <w:rPr>
          <w:rFonts w:hint="eastAsia"/>
          <w:snapToGrid/>
        </w:rPr>
        <w:t>2</w:t>
      </w:r>
      <w:r>
        <w:rPr>
          <w:rFonts w:hint="eastAsia"/>
          <w:snapToGrid/>
        </w:rPr>
        <w:t>个百分点。将残疾人失业者人数的百分比与依经济而定的的方案中的相应百分比加以比较，显示出这些规划给予残疾人更多的优先权。给予妇女的优先权要比给予男子的优先权高出一点。</w:t>
      </w:r>
    </w:p>
    <w:p w:rsidR="00000000" w:rsidRDefault="00000000">
      <w:pPr>
        <w:rPr>
          <w:rFonts w:hint="eastAsia"/>
          <w:snapToGrid/>
        </w:rPr>
      </w:pPr>
      <w:r>
        <w:rPr>
          <w:rFonts w:hint="eastAsia"/>
          <w:snapToGrid/>
        </w:rPr>
        <w:tab/>
        <w:t xml:space="preserve">84.  </w:t>
      </w:r>
      <w:r>
        <w:rPr>
          <w:rFonts w:hint="eastAsia"/>
          <w:snapToGrid/>
        </w:rPr>
        <w:t>作为进一步加强残疾人在劳工市场的地位的一种方式，政府和议会采用了一种更加有系统地按照对于残疾人的特别劳工市场政策举措进行工作的新的模式。新模式于</w:t>
      </w:r>
      <w:r>
        <w:rPr>
          <w:rFonts w:hint="eastAsia"/>
          <w:snapToGrid/>
        </w:rPr>
        <w:t>2006</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日实施。</w:t>
      </w:r>
    </w:p>
    <w:p w:rsidR="00000000" w:rsidRDefault="00000000">
      <w:pPr>
        <w:rPr>
          <w:rFonts w:hint="eastAsia"/>
          <w:snapToGrid/>
        </w:rPr>
      </w:pPr>
      <w:r>
        <w:rPr>
          <w:rFonts w:hint="eastAsia"/>
          <w:snapToGrid/>
        </w:rPr>
        <w:tab/>
        <w:t xml:space="preserve">85.  </w:t>
      </w:r>
      <w:r>
        <w:rPr>
          <w:rFonts w:hint="eastAsia"/>
          <w:snapToGrid/>
        </w:rPr>
        <w:t>一种称为深度评估和指导的新举措可以向那些对于自己的技能和能力没有把握的求职者提出。在一段有限的时间内，他们可以获得帮助以在选择就业服务处方面取得进展，在这个时限内，他们领取活动补偿维持生计。</w:t>
      </w:r>
    </w:p>
    <w:p w:rsidR="00000000" w:rsidRDefault="00000000">
      <w:pPr>
        <w:rPr>
          <w:rFonts w:hint="eastAsia"/>
          <w:snapToGrid/>
        </w:rPr>
      </w:pPr>
      <w:r>
        <w:rPr>
          <w:rFonts w:hint="eastAsia"/>
          <w:snapToGrid/>
        </w:rPr>
        <w:tab/>
        <w:t xml:space="preserve">86.  </w:t>
      </w:r>
      <w:r>
        <w:rPr>
          <w:rFonts w:hint="eastAsia"/>
          <w:snapToGrid/>
        </w:rPr>
        <w:t>下一步可能是一个就业发展方案，这是一个期限不超过一年的临时职位。按照集体协议向雇员支付工资和其他津贴。工作将带来参加某些康复规划以及发展技能的机会。雇方将由于雇员工作能力的损害而获得工资津贴以及最高数额为每天</w:t>
      </w:r>
      <w:r>
        <w:rPr>
          <w:rFonts w:hint="eastAsia"/>
          <w:snapToGrid/>
        </w:rPr>
        <w:t>100</w:t>
      </w:r>
      <w:r>
        <w:rPr>
          <w:rFonts w:hint="eastAsia"/>
          <w:snapToGrid/>
        </w:rPr>
        <w:t>瑞典克朗的工作提供人津贴。</w:t>
      </w:r>
    </w:p>
    <w:p w:rsidR="00000000" w:rsidRDefault="00000000">
      <w:pPr>
        <w:rPr>
          <w:rFonts w:hint="eastAsia"/>
          <w:snapToGrid/>
        </w:rPr>
      </w:pPr>
      <w:r>
        <w:rPr>
          <w:rFonts w:hint="eastAsia"/>
          <w:snapToGrid/>
        </w:rPr>
        <w:tab/>
        <w:t xml:space="preserve">87.  </w:t>
      </w:r>
      <w:r>
        <w:rPr>
          <w:rFonts w:hint="eastAsia"/>
          <w:snapToGrid/>
        </w:rPr>
        <w:t>第三个可能的步骤是由除了</w:t>
      </w:r>
      <w:r>
        <w:rPr>
          <w:rFonts w:hint="eastAsia"/>
          <w:snapToGrid/>
        </w:rPr>
        <w:t>Samhall</w:t>
      </w:r>
      <w:r>
        <w:rPr>
          <w:rFonts w:hint="eastAsia"/>
          <w:snapToGrid/>
        </w:rPr>
        <w:t>这个提供庇护性就业的国营有限公司之外的其他行动者提供庇护性就业。社会保障工作是根据集体协议享有工资和其他津贴的长期性的工作。雇方将由于雇员工作能力的损害而获得工资津贴补偿以及最高数额为每天</w:t>
      </w:r>
      <w:r>
        <w:rPr>
          <w:rFonts w:hint="eastAsia"/>
          <w:snapToGrid/>
        </w:rPr>
        <w:t>100</w:t>
      </w:r>
      <w:r>
        <w:rPr>
          <w:rFonts w:hint="eastAsia"/>
          <w:snapToGrid/>
        </w:rPr>
        <w:t>瑞典克朗的工作提供人津贴补偿。</w:t>
      </w:r>
    </w:p>
    <w:p w:rsidR="00000000" w:rsidRDefault="00000000">
      <w:pPr>
        <w:rPr>
          <w:rFonts w:hint="eastAsia"/>
          <w:snapToGrid/>
        </w:rPr>
      </w:pPr>
      <w:r>
        <w:rPr>
          <w:rFonts w:hint="eastAsia"/>
          <w:snapToGrid/>
        </w:rPr>
        <w:tab/>
        <w:t xml:space="preserve">88.  </w:t>
      </w:r>
      <w:r>
        <w:rPr>
          <w:rFonts w:hint="eastAsia"/>
          <w:snapToGrid/>
        </w:rPr>
        <w:t>工资津贴按照工资的一个百分比发给，直到有资格领取津贴的最高工资额为止。从</w:t>
      </w:r>
      <w:r>
        <w:rPr>
          <w:rFonts w:hint="eastAsia"/>
          <w:snapToGrid/>
        </w:rPr>
        <w:t>20061</w:t>
      </w:r>
      <w:r>
        <w:rPr>
          <w:rFonts w:hint="eastAsia"/>
          <w:snapToGrid/>
        </w:rPr>
        <w:t>月起，政府将有资格领取津贴的最高月工资额从</w:t>
      </w:r>
      <w:r>
        <w:rPr>
          <w:rFonts w:hint="eastAsia"/>
          <w:snapToGrid/>
        </w:rPr>
        <w:t>13,700</w:t>
      </w:r>
      <w:r>
        <w:rPr>
          <w:rFonts w:hint="eastAsia"/>
          <w:snapToGrid/>
        </w:rPr>
        <w:t>瑞典克朗提高到</w:t>
      </w:r>
      <w:r>
        <w:rPr>
          <w:rFonts w:hint="eastAsia"/>
          <w:snapToGrid/>
        </w:rPr>
        <w:t>15,200</w:t>
      </w:r>
      <w:r>
        <w:rPr>
          <w:rFonts w:hint="eastAsia"/>
          <w:snapToGrid/>
        </w:rPr>
        <w:t>瑞典克朗。</w:t>
      </w:r>
    </w:p>
    <w:p w:rsidR="00000000" w:rsidRDefault="00000000">
      <w:pPr>
        <w:spacing w:after="240"/>
        <w:rPr>
          <w:rFonts w:hint="eastAsia"/>
          <w:snapToGrid/>
        </w:rPr>
      </w:pPr>
      <w:r>
        <w:rPr>
          <w:rFonts w:hint="eastAsia"/>
          <w:snapToGrid/>
        </w:rPr>
        <w:tab/>
        <w:t xml:space="preserve">89.  </w:t>
      </w:r>
      <w:r>
        <w:rPr>
          <w:rFonts w:hint="eastAsia"/>
          <w:snapToGrid/>
        </w:rPr>
        <w:t>国家目前每年向劳工市场政策方案提供大约</w:t>
      </w:r>
      <w:r>
        <w:rPr>
          <w:rFonts w:hint="eastAsia"/>
          <w:snapToGrid/>
        </w:rPr>
        <w:t>120</w:t>
      </w:r>
      <w:r>
        <w:rPr>
          <w:rFonts w:hint="eastAsia"/>
          <w:snapToGrid/>
        </w:rPr>
        <w:t>亿瑞典克朗的资助，专门用于残疾人。政府的雄心一直是为工作能力损害的残疾的人创建一套更加统一的劳工市场政策。作为这项努力的一部分，在</w:t>
      </w:r>
      <w:r>
        <w:rPr>
          <w:rFonts w:hint="eastAsia"/>
          <w:snapToGrid/>
        </w:rPr>
        <w:t>2006</w:t>
      </w:r>
      <w:r>
        <w:rPr>
          <w:rFonts w:hint="eastAsia"/>
          <w:snapToGrid/>
        </w:rPr>
        <w:t>年指派全国劳工市场委员会承担为残疾人举措发放各种形式的资助的全面职责。其中包括向</w:t>
      </w:r>
      <w:r>
        <w:rPr>
          <w:rFonts w:hint="eastAsia"/>
          <w:snapToGrid/>
        </w:rPr>
        <w:t>Samhall</w:t>
      </w:r>
      <w:r>
        <w:rPr>
          <w:rFonts w:hint="eastAsia"/>
          <w:snapToGrid/>
        </w:rPr>
        <w:t>的拨款。预期这个措施将使全国劳工市场委员会与</w:t>
      </w:r>
      <w:r>
        <w:rPr>
          <w:rFonts w:hint="eastAsia"/>
          <w:snapToGrid/>
        </w:rPr>
        <w:t>Samhall</w:t>
      </w:r>
      <w:r>
        <w:rPr>
          <w:rFonts w:hint="eastAsia"/>
          <w:snapToGrid/>
        </w:rPr>
        <w:t>之间的伙伴关系合理化，使得</w:t>
      </w:r>
      <w:r>
        <w:rPr>
          <w:rFonts w:hint="eastAsia"/>
          <w:snapToGrid/>
        </w:rPr>
        <w:t>Samhall</w:t>
      </w:r>
      <w:r>
        <w:rPr>
          <w:rFonts w:hint="eastAsia"/>
          <w:snapToGrid/>
        </w:rPr>
        <w:t>能够更好地达到目标。</w:t>
      </w:r>
    </w:p>
    <w:p w:rsidR="00000000" w:rsidRDefault="00000000">
      <w:pPr>
        <w:pStyle w:val="Heading4"/>
        <w:rPr>
          <w:rFonts w:hint="eastAsia"/>
        </w:rPr>
      </w:pPr>
      <w:r>
        <w:rPr>
          <w:rFonts w:hint="eastAsia"/>
        </w:rPr>
        <w:t>青年人</w:t>
      </w:r>
    </w:p>
    <w:p w:rsidR="00000000" w:rsidRDefault="00000000">
      <w:pPr>
        <w:rPr>
          <w:rFonts w:hint="eastAsia"/>
          <w:snapToGrid/>
        </w:rPr>
      </w:pPr>
      <w:r>
        <w:rPr>
          <w:rFonts w:hint="eastAsia"/>
          <w:snapToGrid/>
        </w:rPr>
        <w:tab/>
        <w:t>90.  1995</w:t>
      </w:r>
      <w:r>
        <w:rPr>
          <w:rFonts w:hint="eastAsia"/>
          <w:snapToGrid/>
        </w:rPr>
        <w:t>年</w:t>
      </w:r>
      <w:r>
        <w:rPr>
          <w:rFonts w:hint="eastAsia"/>
          <w:snapToGrid/>
        </w:rPr>
        <w:t>16-24</w:t>
      </w:r>
      <w:r>
        <w:rPr>
          <w:rFonts w:hint="eastAsia"/>
          <w:snapToGrid/>
        </w:rPr>
        <w:t>岁的青年人的相对失业率是</w:t>
      </w:r>
      <w:r>
        <w:rPr>
          <w:rFonts w:hint="eastAsia"/>
          <w:snapToGrid/>
        </w:rPr>
        <w:t>15.3%</w:t>
      </w:r>
      <w:r>
        <w:rPr>
          <w:rFonts w:hint="eastAsia"/>
          <w:snapToGrid/>
        </w:rPr>
        <w:t>。女青年的失业率是</w:t>
      </w:r>
      <w:r>
        <w:rPr>
          <w:rFonts w:hint="eastAsia"/>
          <w:snapToGrid/>
        </w:rPr>
        <w:t>14.0%</w:t>
      </w:r>
      <w:r>
        <w:rPr>
          <w:rFonts w:hint="eastAsia"/>
          <w:snapToGrid/>
        </w:rPr>
        <w:t>，男青年的失业率是</w:t>
      </w:r>
      <w:r>
        <w:rPr>
          <w:rFonts w:hint="eastAsia"/>
          <w:snapToGrid/>
        </w:rPr>
        <w:t>16.6%</w:t>
      </w:r>
      <w:r>
        <w:rPr>
          <w:rFonts w:hint="eastAsia"/>
          <w:snapToGrid/>
        </w:rPr>
        <w:t>。到</w:t>
      </w:r>
      <w:r>
        <w:rPr>
          <w:rFonts w:hint="eastAsia"/>
          <w:snapToGrid/>
        </w:rPr>
        <w:t>2000</w:t>
      </w:r>
      <w:r>
        <w:rPr>
          <w:rFonts w:hint="eastAsia"/>
          <w:snapToGrid/>
        </w:rPr>
        <w:t>年，失业率下降到</w:t>
      </w:r>
      <w:r>
        <w:rPr>
          <w:rFonts w:hint="eastAsia"/>
          <w:snapToGrid/>
        </w:rPr>
        <w:t>7.9%(</w:t>
      </w:r>
      <w:r>
        <w:rPr>
          <w:rFonts w:hint="eastAsia"/>
          <w:snapToGrid/>
        </w:rPr>
        <w:t>女青年为</w:t>
      </w:r>
      <w:r>
        <w:rPr>
          <w:rFonts w:hint="eastAsia"/>
          <w:snapToGrid/>
        </w:rPr>
        <w:t>7.4%</w:t>
      </w:r>
      <w:r>
        <w:rPr>
          <w:rFonts w:hint="eastAsia"/>
          <w:snapToGrid/>
        </w:rPr>
        <w:t>，男青年为</w:t>
      </w:r>
      <w:r>
        <w:rPr>
          <w:rFonts w:hint="eastAsia"/>
          <w:snapToGrid/>
        </w:rPr>
        <w:t>8.6%)</w:t>
      </w:r>
      <w:r>
        <w:rPr>
          <w:rFonts w:hint="eastAsia"/>
          <w:snapToGrid/>
        </w:rPr>
        <w:t>。自兹以来，失业率再次回复到高水平，</w:t>
      </w:r>
      <w:r>
        <w:rPr>
          <w:rFonts w:hint="eastAsia"/>
          <w:snapToGrid/>
        </w:rPr>
        <w:t>2005</w:t>
      </w:r>
      <w:r>
        <w:rPr>
          <w:rFonts w:hint="eastAsia"/>
          <w:snapToGrid/>
        </w:rPr>
        <w:t>年是</w:t>
      </w:r>
      <w:r>
        <w:rPr>
          <w:rFonts w:hint="eastAsia"/>
          <w:snapToGrid/>
        </w:rPr>
        <w:t>13.9%(</w:t>
      </w:r>
      <w:r>
        <w:rPr>
          <w:rFonts w:hint="eastAsia"/>
          <w:snapToGrid/>
        </w:rPr>
        <w:t>女青年为</w:t>
      </w:r>
      <w:r>
        <w:rPr>
          <w:rFonts w:hint="eastAsia"/>
          <w:snapToGrid/>
        </w:rPr>
        <w:t>12.7%</w:t>
      </w:r>
      <w:r>
        <w:rPr>
          <w:rFonts w:hint="eastAsia"/>
          <w:snapToGrid/>
        </w:rPr>
        <w:t>，男青年为</w:t>
      </w:r>
      <w:r>
        <w:rPr>
          <w:rFonts w:hint="eastAsia"/>
          <w:snapToGrid/>
        </w:rPr>
        <w:t>15.9%)</w:t>
      </w:r>
      <w:r>
        <w:rPr>
          <w:rFonts w:hint="eastAsia"/>
          <w:snapToGrid/>
        </w:rPr>
        <w:t>。</w:t>
      </w:r>
    </w:p>
    <w:p w:rsidR="00000000" w:rsidRDefault="00000000">
      <w:pPr>
        <w:rPr>
          <w:rFonts w:hint="eastAsia"/>
          <w:snapToGrid/>
        </w:rPr>
      </w:pPr>
      <w:r>
        <w:rPr>
          <w:rFonts w:hint="eastAsia"/>
          <w:snapToGrid/>
        </w:rPr>
        <w:tab/>
        <w:t xml:space="preserve">91.  </w:t>
      </w:r>
      <w:r>
        <w:rPr>
          <w:rFonts w:hint="eastAsia"/>
          <w:snapToGrid/>
        </w:rPr>
        <w:t>最近</w:t>
      </w:r>
      <w:r>
        <w:rPr>
          <w:rFonts w:hint="eastAsia"/>
          <w:snapToGrid/>
        </w:rPr>
        <w:t>10</w:t>
      </w:r>
      <w:r>
        <w:rPr>
          <w:rFonts w:hint="eastAsia"/>
          <w:snapToGrid/>
        </w:rPr>
        <w:t>年来，参与劳工市场政策方案的青年人的人数急剧减少。在</w:t>
      </w:r>
      <w:r>
        <w:rPr>
          <w:rFonts w:hint="eastAsia"/>
          <w:snapToGrid/>
        </w:rPr>
        <w:t>1997</w:t>
      </w:r>
      <w:r>
        <w:rPr>
          <w:rFonts w:hint="eastAsia"/>
          <w:snapToGrid/>
        </w:rPr>
        <w:t>年，每个月平均有</w:t>
      </w:r>
      <w:r>
        <w:rPr>
          <w:rFonts w:hint="eastAsia"/>
          <w:snapToGrid/>
        </w:rPr>
        <w:t>58,000</w:t>
      </w:r>
      <w:r>
        <w:rPr>
          <w:rFonts w:hint="eastAsia"/>
          <w:snapToGrid/>
        </w:rPr>
        <w:t>名青年参与各种劳工市场政策方案，其中是</w:t>
      </w:r>
      <w:r>
        <w:rPr>
          <w:rFonts w:hint="eastAsia"/>
          <w:snapToGrid/>
        </w:rPr>
        <w:t>27,000</w:t>
      </w:r>
      <w:r>
        <w:rPr>
          <w:rFonts w:hint="eastAsia"/>
          <w:snapToGrid/>
        </w:rPr>
        <w:t>人是女青年，</w:t>
      </w:r>
      <w:r>
        <w:rPr>
          <w:rFonts w:hint="eastAsia"/>
          <w:snapToGrid/>
        </w:rPr>
        <w:t>31,000</w:t>
      </w:r>
      <w:r>
        <w:rPr>
          <w:rFonts w:hint="eastAsia"/>
          <w:snapToGrid/>
        </w:rPr>
        <w:t>人是男青年。到</w:t>
      </w:r>
      <w:r>
        <w:rPr>
          <w:rFonts w:hint="eastAsia"/>
          <w:snapToGrid/>
        </w:rPr>
        <w:t>2000</w:t>
      </w:r>
      <w:r>
        <w:rPr>
          <w:rFonts w:hint="eastAsia"/>
          <w:snapToGrid/>
        </w:rPr>
        <w:t>年，每月平均参与人数减少到</w:t>
      </w:r>
      <w:r>
        <w:rPr>
          <w:rFonts w:hint="eastAsia"/>
          <w:snapToGrid/>
        </w:rPr>
        <w:t>20,000</w:t>
      </w:r>
      <w:r>
        <w:rPr>
          <w:rFonts w:hint="eastAsia"/>
          <w:snapToGrid/>
        </w:rPr>
        <w:t>人，其中大约</w:t>
      </w:r>
      <w:r>
        <w:rPr>
          <w:rFonts w:hint="eastAsia"/>
          <w:snapToGrid/>
        </w:rPr>
        <w:t>9,000</w:t>
      </w:r>
      <w:r>
        <w:rPr>
          <w:rFonts w:hint="eastAsia"/>
          <w:snapToGrid/>
        </w:rPr>
        <w:t>人是女青年。到了</w:t>
      </w:r>
      <w:r>
        <w:rPr>
          <w:rFonts w:hint="eastAsia"/>
          <w:snapToGrid/>
        </w:rPr>
        <w:t>2005</w:t>
      </w:r>
      <w:r>
        <w:rPr>
          <w:rFonts w:hint="eastAsia"/>
          <w:snapToGrid/>
        </w:rPr>
        <w:t>年，平均参与人数增加到</w:t>
      </w:r>
      <w:r>
        <w:rPr>
          <w:rFonts w:hint="eastAsia"/>
          <w:snapToGrid/>
        </w:rPr>
        <w:t>21,000</w:t>
      </w:r>
      <w:r>
        <w:rPr>
          <w:rFonts w:hint="eastAsia"/>
          <w:snapToGrid/>
        </w:rPr>
        <w:t>人，其中包括大约</w:t>
      </w:r>
      <w:r>
        <w:rPr>
          <w:rFonts w:hint="eastAsia"/>
          <w:snapToGrid/>
        </w:rPr>
        <w:t>9,000</w:t>
      </w:r>
      <w:r>
        <w:rPr>
          <w:rFonts w:hint="eastAsia"/>
          <w:snapToGrid/>
        </w:rPr>
        <w:t>名女青年。</w:t>
      </w:r>
    </w:p>
    <w:p w:rsidR="00000000" w:rsidRDefault="00000000">
      <w:pPr>
        <w:rPr>
          <w:rFonts w:hint="eastAsia"/>
          <w:snapToGrid/>
        </w:rPr>
      </w:pPr>
      <w:r>
        <w:rPr>
          <w:rFonts w:hint="eastAsia"/>
          <w:snapToGrid/>
        </w:rPr>
        <w:tab/>
        <w:t xml:space="preserve">92.  </w:t>
      </w:r>
      <w:r>
        <w:rPr>
          <w:rFonts w:hint="eastAsia"/>
          <w:snapToGrid/>
        </w:rPr>
        <w:t>长期失业，即公开失业的时间超过</w:t>
      </w:r>
      <w:r>
        <w:rPr>
          <w:rFonts w:hint="eastAsia"/>
          <w:snapToGrid/>
        </w:rPr>
        <w:t>100</w:t>
      </w:r>
      <w:r>
        <w:rPr>
          <w:rFonts w:hint="eastAsia"/>
          <w:snapToGrid/>
        </w:rPr>
        <w:t>天的青年人的平均人数，</w:t>
      </w:r>
      <w:r>
        <w:rPr>
          <w:rFonts w:hint="eastAsia"/>
          <w:snapToGrid/>
        </w:rPr>
        <w:t>2005</w:t>
      </w:r>
      <w:r>
        <w:rPr>
          <w:rFonts w:hint="eastAsia"/>
          <w:snapToGrid/>
        </w:rPr>
        <w:t>年是</w:t>
      </w:r>
      <w:r>
        <w:rPr>
          <w:rFonts w:hint="eastAsia"/>
          <w:snapToGrid/>
        </w:rPr>
        <w:t>3,500</w:t>
      </w:r>
      <w:r>
        <w:rPr>
          <w:rFonts w:hint="eastAsia"/>
          <w:snapToGrid/>
        </w:rPr>
        <w:t>人。长期失业青年中的女青年的比例是</w:t>
      </w:r>
      <w:r>
        <w:rPr>
          <w:rFonts w:hint="eastAsia"/>
          <w:snapToGrid/>
        </w:rPr>
        <w:t>39%</w:t>
      </w:r>
      <w:r>
        <w:rPr>
          <w:rFonts w:hint="eastAsia"/>
          <w:snapToGrid/>
        </w:rPr>
        <w:t>。长期失业率在</w:t>
      </w:r>
      <w:r>
        <w:rPr>
          <w:rFonts w:hint="eastAsia"/>
          <w:snapToGrid/>
        </w:rPr>
        <w:t>20</w:t>
      </w:r>
      <w:r>
        <w:rPr>
          <w:rFonts w:hint="eastAsia"/>
          <w:snapToGrid/>
        </w:rPr>
        <w:t>世纪</w:t>
      </w:r>
      <w:r>
        <w:rPr>
          <w:rFonts w:hint="eastAsia"/>
          <w:snapToGrid/>
        </w:rPr>
        <w:t>90</w:t>
      </w:r>
      <w:r>
        <w:rPr>
          <w:rFonts w:hint="eastAsia"/>
          <w:snapToGrid/>
        </w:rPr>
        <w:t>年代末急剧下降。在</w:t>
      </w:r>
      <w:r>
        <w:rPr>
          <w:rFonts w:hint="eastAsia"/>
          <w:snapToGrid/>
        </w:rPr>
        <w:t>10</w:t>
      </w:r>
      <w:r>
        <w:rPr>
          <w:rFonts w:hint="eastAsia"/>
          <w:snapToGrid/>
        </w:rPr>
        <w:t>年期间，青年人长期失业率下降了</w:t>
      </w:r>
      <w:r>
        <w:rPr>
          <w:rFonts w:hint="eastAsia"/>
          <w:snapToGrid/>
        </w:rPr>
        <w:t>87%</w:t>
      </w:r>
      <w:r>
        <w:rPr>
          <w:rFonts w:hint="eastAsia"/>
          <w:snapToGrid/>
        </w:rPr>
        <w:t>，不过在最近</w:t>
      </w:r>
      <w:r>
        <w:rPr>
          <w:rFonts w:hint="eastAsia"/>
          <w:snapToGrid/>
        </w:rPr>
        <w:t>5</w:t>
      </w:r>
      <w:r>
        <w:rPr>
          <w:rFonts w:hint="eastAsia"/>
          <w:snapToGrid/>
        </w:rPr>
        <w:t>年内却上升了</w:t>
      </w:r>
      <w:r>
        <w:rPr>
          <w:rFonts w:hint="eastAsia"/>
          <w:snapToGrid/>
        </w:rPr>
        <w:t>12%</w:t>
      </w:r>
      <w:r>
        <w:rPr>
          <w:rFonts w:hint="eastAsia"/>
          <w:snapToGrid/>
        </w:rPr>
        <w:t>。</w:t>
      </w:r>
    </w:p>
    <w:p w:rsidR="00000000" w:rsidRDefault="00000000">
      <w:pPr>
        <w:rPr>
          <w:rFonts w:hint="eastAsia"/>
          <w:snapToGrid/>
        </w:rPr>
      </w:pPr>
      <w:r>
        <w:rPr>
          <w:rFonts w:hint="eastAsia"/>
          <w:snapToGrid/>
        </w:rPr>
        <w:tab/>
        <w:t>93.  2005</w:t>
      </w:r>
      <w:r>
        <w:rPr>
          <w:rFonts w:hint="eastAsia"/>
          <w:snapToGrid/>
        </w:rPr>
        <w:t>年</w:t>
      </w:r>
      <w:r>
        <w:rPr>
          <w:rFonts w:hint="eastAsia"/>
          <w:snapToGrid/>
        </w:rPr>
        <w:t>7</w:t>
      </w:r>
      <w:r>
        <w:rPr>
          <w:rFonts w:hint="eastAsia"/>
          <w:snapToGrid/>
        </w:rPr>
        <w:t>月修订了《教育法》，向青年人家庭所在的城市分派了更加明确的信息方面的职责。各城市现在有义务跟踪该城市已完成学业但还不到</w:t>
      </w:r>
      <w:r>
        <w:rPr>
          <w:rFonts w:hint="eastAsia"/>
          <w:snapToGrid/>
        </w:rPr>
        <w:t>20</w:t>
      </w:r>
      <w:r>
        <w:rPr>
          <w:rFonts w:hint="eastAsia"/>
          <w:snapToGrid/>
        </w:rPr>
        <w:t>岁的年轻人的职业情况。该信息的意图是使得城市更加易于向那些既不上学又不工作的年轻人提供适当的个体化倡议。</w:t>
      </w:r>
    </w:p>
    <w:p w:rsidR="00000000" w:rsidRDefault="00000000">
      <w:pPr>
        <w:rPr>
          <w:rFonts w:hint="eastAsia"/>
          <w:snapToGrid/>
        </w:rPr>
      </w:pPr>
      <w:r>
        <w:rPr>
          <w:rFonts w:hint="eastAsia"/>
          <w:snapToGrid/>
        </w:rPr>
        <w:tab/>
        <w:t xml:space="preserve">94.  </w:t>
      </w:r>
      <w:r>
        <w:rPr>
          <w:rFonts w:hint="eastAsia"/>
          <w:snapToGrid/>
        </w:rPr>
        <w:t>在就业服务处登记</w:t>
      </w:r>
      <w:r>
        <w:rPr>
          <w:rFonts w:hint="eastAsia"/>
          <w:snapToGrid/>
        </w:rPr>
        <w:t>6</w:t>
      </w:r>
      <w:r>
        <w:rPr>
          <w:rFonts w:hint="eastAsia"/>
          <w:snapToGrid/>
        </w:rPr>
        <w:t>个月以上，并且曾经参加过职业指导和求职活动的青年人，应当能够在普遍就业的支助下获得一份工作。这是一项支助规划，根据这项规划，公司和机构可以以一半工资的费用雇佣青年工作</w:t>
      </w:r>
      <w:r>
        <w:rPr>
          <w:rFonts w:hint="eastAsia"/>
          <w:snapToGrid/>
        </w:rPr>
        <w:t>6</w:t>
      </w:r>
      <w:r>
        <w:rPr>
          <w:rFonts w:hint="eastAsia"/>
          <w:snapToGrid/>
        </w:rPr>
        <w:t>个月。其目标是给予就业服务处一件更加有效的工具来支持青年人走向在正式劳工市场上找到一份工作。</w:t>
      </w:r>
    </w:p>
    <w:p w:rsidR="00000000" w:rsidRDefault="00000000">
      <w:pPr>
        <w:rPr>
          <w:rFonts w:hint="eastAsia"/>
          <w:snapToGrid/>
        </w:rPr>
      </w:pPr>
      <w:r>
        <w:rPr>
          <w:rFonts w:hint="eastAsia"/>
          <w:snapToGrid/>
        </w:rPr>
        <w:tab/>
        <w:t xml:space="preserve">95.  </w:t>
      </w:r>
      <w:r>
        <w:rPr>
          <w:rFonts w:hint="eastAsia"/>
          <w:snapToGrid/>
        </w:rPr>
        <w:t>就业服务处将与求职者结成对子，起草一项阐明求职者的义务和和计划活动的个体化行动计划。根据全国劳工市场委员会的指示，这项行动计划应当由</w:t>
      </w:r>
      <w:r>
        <w:rPr>
          <w:rFonts w:hint="eastAsia"/>
          <w:snapToGrid/>
        </w:rPr>
        <w:t>25</w:t>
      </w:r>
      <w:r>
        <w:rPr>
          <w:rFonts w:hint="eastAsia"/>
          <w:snapToGrid/>
        </w:rPr>
        <w:t>岁以下的人在</w:t>
      </w:r>
      <w:r>
        <w:rPr>
          <w:rFonts w:hint="eastAsia"/>
          <w:snapToGrid/>
        </w:rPr>
        <w:t>14</w:t>
      </w:r>
      <w:r>
        <w:rPr>
          <w:rFonts w:hint="eastAsia"/>
          <w:snapToGrid/>
        </w:rPr>
        <w:t>天内撰写好，并且应当予以后续。预期就业服务处、各城市和青年们将继续进行合作。</w:t>
      </w:r>
    </w:p>
    <w:p w:rsidR="00000000" w:rsidRDefault="00000000">
      <w:pPr>
        <w:rPr>
          <w:rFonts w:hint="eastAsia"/>
          <w:snapToGrid/>
        </w:rPr>
      </w:pPr>
      <w:r>
        <w:rPr>
          <w:rFonts w:hint="eastAsia"/>
          <w:snapToGrid/>
        </w:rPr>
        <w:tab/>
        <w:t xml:space="preserve">96.  </w:t>
      </w:r>
      <w:r>
        <w:rPr>
          <w:rFonts w:hint="eastAsia"/>
          <w:snapToGrid/>
        </w:rPr>
        <w:t>必须保证所有失业青年人在</w:t>
      </w:r>
      <w:r>
        <w:rPr>
          <w:rFonts w:hint="eastAsia"/>
          <w:snapToGrid/>
        </w:rPr>
        <w:t>90</w:t>
      </w:r>
      <w:r>
        <w:rPr>
          <w:rFonts w:hint="eastAsia"/>
          <w:snapToGrid/>
        </w:rPr>
        <w:t>天内参加求职活动。这一条甚至将适用于未实行青年人保证的就业服务处办事处。城市青年人方案和青年人保证还应当在职业指导和求职活动时就开始。</w:t>
      </w:r>
    </w:p>
    <w:p w:rsidR="00000000" w:rsidRDefault="00000000">
      <w:pPr>
        <w:rPr>
          <w:rFonts w:hint="eastAsia"/>
          <w:snapToGrid/>
        </w:rPr>
      </w:pPr>
      <w:r>
        <w:rPr>
          <w:rFonts w:hint="eastAsia"/>
          <w:snapToGrid/>
        </w:rPr>
        <w:tab/>
        <w:t xml:space="preserve">97.  </w:t>
      </w:r>
      <w:r>
        <w:rPr>
          <w:rFonts w:hint="eastAsia"/>
          <w:snapToGrid/>
        </w:rPr>
        <w:t>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日起，将特别为长期失业青年执行</w:t>
      </w:r>
      <w:r>
        <w:rPr>
          <w:rFonts w:hint="eastAsia"/>
          <w:snapToGrid/>
        </w:rPr>
        <w:t>1,000</w:t>
      </w:r>
      <w:r>
        <w:rPr>
          <w:rFonts w:hint="eastAsia"/>
          <w:snapToGrid/>
        </w:rPr>
        <w:t>份补助金工作</w:t>
      </w:r>
      <w:r>
        <w:rPr>
          <w:rFonts w:hint="eastAsia"/>
          <w:snapToGrid/>
        </w:rPr>
        <w:t>(Bonus Jobs)</w:t>
      </w:r>
      <w:r>
        <w:rPr>
          <w:rFonts w:hint="eastAsia"/>
          <w:snapToGrid/>
        </w:rPr>
        <w:t>，与此相平行的是继续支持“航海者规划”，在这项规划中，各城市与就业服务处、各单位和当地工商界结成伙伴关系，向青年提供支持和个人建议。</w:t>
      </w:r>
    </w:p>
    <w:p w:rsidR="00000000" w:rsidRDefault="00000000">
      <w:pPr>
        <w:spacing w:after="240"/>
        <w:rPr>
          <w:rFonts w:hint="eastAsia"/>
          <w:snapToGrid/>
        </w:rPr>
      </w:pPr>
      <w:r>
        <w:rPr>
          <w:rFonts w:hint="eastAsia"/>
          <w:snapToGrid/>
        </w:rPr>
        <w:tab/>
        <w:t xml:space="preserve">98.  </w:t>
      </w:r>
      <w:r>
        <w:rPr>
          <w:rFonts w:hint="eastAsia"/>
          <w:snapToGrid/>
        </w:rPr>
        <w:t>为了给予青年人在劳工市场的立脚点，政府将在</w:t>
      </w:r>
      <w:r>
        <w:rPr>
          <w:rFonts w:hint="eastAsia"/>
          <w:snapToGrid/>
        </w:rPr>
        <w:t>2006</w:t>
      </w:r>
      <w:r>
        <w:rPr>
          <w:rFonts w:hint="eastAsia"/>
          <w:snapToGrid/>
        </w:rPr>
        <w:t>年拨出总额为</w:t>
      </w:r>
      <w:r>
        <w:rPr>
          <w:rFonts w:hint="eastAsia"/>
          <w:snapToGrid/>
        </w:rPr>
        <w:t>1</w:t>
      </w:r>
      <w:r>
        <w:rPr>
          <w:rFonts w:hint="eastAsia"/>
          <w:snapToGrid/>
        </w:rPr>
        <w:t>亿瑞典克朗的资金，来帮助向中学生提供暑期工作的城市。政府已经任命了一名全国协调人来探索为青年人铺平道路，更迅速地在劳工市场上站住脚跟的其他措施。协调人将至</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30</w:t>
      </w:r>
      <w:r>
        <w:rPr>
          <w:rFonts w:hint="eastAsia"/>
          <w:snapToGrid/>
        </w:rPr>
        <w:t>日报告研究的结论。</w:t>
      </w:r>
    </w:p>
    <w:p w:rsidR="00000000" w:rsidRDefault="00000000">
      <w:pPr>
        <w:pStyle w:val="Heading4"/>
        <w:rPr>
          <w:rFonts w:hint="eastAsia"/>
        </w:rPr>
      </w:pPr>
      <w:r>
        <w:rPr>
          <w:rFonts w:hint="eastAsia"/>
        </w:rPr>
        <w:t>年龄较大的工作者</w:t>
      </w:r>
    </w:p>
    <w:p w:rsidR="00000000" w:rsidRDefault="00000000">
      <w:pPr>
        <w:rPr>
          <w:rFonts w:hint="eastAsia"/>
          <w:snapToGrid/>
        </w:rPr>
      </w:pPr>
      <w:r>
        <w:rPr>
          <w:rFonts w:hint="eastAsia"/>
          <w:snapToGrid/>
        </w:rPr>
        <w:tab/>
        <w:t>99.  1996</w:t>
      </w:r>
      <w:r>
        <w:rPr>
          <w:rFonts w:hint="eastAsia"/>
          <w:snapToGrid/>
        </w:rPr>
        <w:t>年，</w:t>
      </w:r>
      <w:r>
        <w:rPr>
          <w:rFonts w:hint="eastAsia"/>
          <w:snapToGrid/>
        </w:rPr>
        <w:t>55</w:t>
      </w:r>
      <w:r>
        <w:rPr>
          <w:snapToGrid/>
        </w:rPr>
        <w:t>-</w:t>
      </w:r>
      <w:r>
        <w:rPr>
          <w:rFonts w:hint="eastAsia"/>
          <w:snapToGrid/>
        </w:rPr>
        <w:t>64</w:t>
      </w:r>
      <w:r>
        <w:rPr>
          <w:rFonts w:hint="eastAsia"/>
          <w:snapToGrid/>
        </w:rPr>
        <w:t>岁年龄段的人的就业率是妇女略高于</w:t>
      </w:r>
      <w:r>
        <w:rPr>
          <w:rFonts w:hint="eastAsia"/>
          <w:snapToGrid/>
        </w:rPr>
        <w:t>54%</w:t>
      </w:r>
      <w:r>
        <w:rPr>
          <w:rFonts w:hint="eastAsia"/>
          <w:snapToGrid/>
        </w:rPr>
        <w:t>，男子</w:t>
      </w:r>
      <w:r>
        <w:rPr>
          <w:rFonts w:hint="eastAsia"/>
          <w:snapToGrid/>
        </w:rPr>
        <w:t>60%</w:t>
      </w:r>
      <w:r>
        <w:rPr>
          <w:rFonts w:hint="eastAsia"/>
          <w:snapToGrid/>
        </w:rPr>
        <w:t>。自兹之后，男女性的就业率都有很大的提高。</w:t>
      </w:r>
      <w:r>
        <w:rPr>
          <w:rFonts w:hint="eastAsia"/>
          <w:snapToGrid/>
        </w:rPr>
        <w:t>2005</w:t>
      </w:r>
      <w:r>
        <w:rPr>
          <w:rFonts w:hint="eastAsia"/>
          <w:snapToGrid/>
        </w:rPr>
        <w:t>年，这个年龄段有</w:t>
      </w:r>
      <w:r>
        <w:rPr>
          <w:rFonts w:hint="eastAsia"/>
          <w:snapToGrid/>
        </w:rPr>
        <w:t>67%</w:t>
      </w:r>
      <w:r>
        <w:rPr>
          <w:rFonts w:hint="eastAsia"/>
          <w:snapToGrid/>
        </w:rPr>
        <w:t>妇女和</w:t>
      </w:r>
      <w:r>
        <w:rPr>
          <w:rFonts w:hint="eastAsia"/>
          <w:snapToGrid/>
        </w:rPr>
        <w:t>74%</w:t>
      </w:r>
      <w:r>
        <w:rPr>
          <w:rFonts w:hint="eastAsia"/>
          <w:snapToGrid/>
        </w:rPr>
        <w:t>的男子就业。</w:t>
      </w:r>
    </w:p>
    <w:p w:rsidR="00000000" w:rsidRDefault="00000000">
      <w:pPr>
        <w:rPr>
          <w:rFonts w:hint="eastAsia"/>
          <w:snapToGrid/>
        </w:rPr>
      </w:pPr>
      <w:r>
        <w:rPr>
          <w:rFonts w:hint="eastAsia"/>
          <w:snapToGrid/>
        </w:rPr>
        <w:tab/>
        <w:t xml:space="preserve">100.  </w:t>
      </w:r>
      <w:r>
        <w:rPr>
          <w:rFonts w:hint="eastAsia"/>
          <w:snapToGrid/>
        </w:rPr>
        <w:t>过去</w:t>
      </w:r>
      <w:r>
        <w:rPr>
          <w:rFonts w:hint="eastAsia"/>
          <w:snapToGrid/>
        </w:rPr>
        <w:t>5</w:t>
      </w:r>
      <w:r>
        <w:rPr>
          <w:rFonts w:hint="eastAsia"/>
          <w:snapToGrid/>
        </w:rPr>
        <w:t>年中，</w:t>
      </w:r>
      <w:r>
        <w:rPr>
          <w:rFonts w:hint="eastAsia"/>
          <w:snapToGrid/>
        </w:rPr>
        <w:t>60</w:t>
      </w:r>
      <w:r>
        <w:rPr>
          <w:snapToGrid/>
        </w:rPr>
        <w:t>-</w:t>
      </w:r>
      <w:r>
        <w:rPr>
          <w:rFonts w:hint="eastAsia"/>
          <w:snapToGrid/>
        </w:rPr>
        <w:t>64</w:t>
      </w:r>
      <w:r>
        <w:rPr>
          <w:rFonts w:hint="eastAsia"/>
          <w:snapToGrid/>
        </w:rPr>
        <w:t>岁年龄段的人中间发生了最为重大的变化。男女性的就业率提高了</w:t>
      </w:r>
      <w:r>
        <w:rPr>
          <w:rFonts w:hint="eastAsia"/>
          <w:snapToGrid/>
        </w:rPr>
        <w:t>11%</w:t>
      </w:r>
      <w:r>
        <w:rPr>
          <w:rFonts w:hint="eastAsia"/>
          <w:snapToGrid/>
        </w:rPr>
        <w:t>稍多一点，从</w:t>
      </w:r>
      <w:r>
        <w:rPr>
          <w:rFonts w:hint="eastAsia"/>
          <w:snapToGrid/>
        </w:rPr>
        <w:t>46.8%</w:t>
      </w:r>
      <w:r>
        <w:rPr>
          <w:rFonts w:hint="eastAsia"/>
          <w:snapToGrid/>
        </w:rPr>
        <w:t>增加到</w:t>
      </w:r>
      <w:r>
        <w:rPr>
          <w:rFonts w:hint="eastAsia"/>
          <w:snapToGrid/>
        </w:rPr>
        <w:t>58.5%</w:t>
      </w:r>
      <w:r>
        <w:rPr>
          <w:rFonts w:hint="eastAsia"/>
          <w:snapToGrid/>
        </w:rPr>
        <w:t>。积极的劳工市场政策和劳工法律的是瑞典在这个领域的状况的关键因素。另一个解释是，这个年龄段的教育水平提高了，从而改进了留在劳工市场的机会。</w:t>
      </w:r>
    </w:p>
    <w:p w:rsidR="00000000" w:rsidRDefault="00000000">
      <w:pPr>
        <w:rPr>
          <w:rFonts w:hint="eastAsia"/>
          <w:snapToGrid/>
        </w:rPr>
      </w:pPr>
      <w:r>
        <w:rPr>
          <w:rFonts w:hint="eastAsia"/>
          <w:snapToGrid/>
        </w:rPr>
        <w:tab/>
        <w:t>101.  2005</w:t>
      </w:r>
      <w:r>
        <w:rPr>
          <w:rFonts w:hint="eastAsia"/>
          <w:snapToGrid/>
        </w:rPr>
        <w:t>年，</w:t>
      </w:r>
      <w:r>
        <w:rPr>
          <w:rFonts w:hint="eastAsia"/>
          <w:snapToGrid/>
        </w:rPr>
        <w:t>55</w:t>
      </w:r>
      <w:r>
        <w:rPr>
          <w:rFonts w:hint="eastAsia"/>
          <w:snapToGrid/>
        </w:rPr>
        <w:t>到</w:t>
      </w:r>
      <w:r>
        <w:rPr>
          <w:rFonts w:hint="eastAsia"/>
          <w:snapToGrid/>
        </w:rPr>
        <w:t>64</w:t>
      </w:r>
      <w:r>
        <w:rPr>
          <w:rFonts w:hint="eastAsia"/>
          <w:snapToGrid/>
        </w:rPr>
        <w:t>岁的瑞典妇女中的</w:t>
      </w:r>
      <w:r>
        <w:rPr>
          <w:rFonts w:hint="eastAsia"/>
          <w:snapToGrid/>
        </w:rPr>
        <w:t>69.0%</w:t>
      </w:r>
      <w:r>
        <w:rPr>
          <w:rFonts w:hint="eastAsia"/>
          <w:snapToGrid/>
        </w:rPr>
        <w:t>的和瑞典男子中的</w:t>
      </w:r>
      <w:r>
        <w:rPr>
          <w:rFonts w:hint="eastAsia"/>
          <w:snapToGrid/>
        </w:rPr>
        <w:t>75.9%</w:t>
      </w:r>
      <w:r>
        <w:rPr>
          <w:rFonts w:hint="eastAsia"/>
          <w:snapToGrid/>
        </w:rPr>
        <w:t>就业。这个现象可以与</w:t>
      </w:r>
      <w:r>
        <w:rPr>
          <w:rFonts w:hint="eastAsia"/>
          <w:snapToGrid/>
        </w:rPr>
        <w:t>16</w:t>
      </w:r>
      <w:r>
        <w:rPr>
          <w:snapToGrid/>
        </w:rPr>
        <w:t>-</w:t>
      </w:r>
      <w:r>
        <w:rPr>
          <w:rFonts w:hint="eastAsia"/>
          <w:snapToGrid/>
        </w:rPr>
        <w:t>64</w:t>
      </w:r>
      <w:r>
        <w:rPr>
          <w:rFonts w:hint="eastAsia"/>
          <w:snapToGrid/>
        </w:rPr>
        <w:t>岁年龄段人中</w:t>
      </w:r>
      <w:r>
        <w:rPr>
          <w:rFonts w:hint="eastAsia"/>
          <w:snapToGrid/>
        </w:rPr>
        <w:t>76.1%</w:t>
      </w:r>
      <w:r>
        <w:rPr>
          <w:rFonts w:hint="eastAsia"/>
          <w:snapToGrid/>
        </w:rPr>
        <w:t>的妇女和</w:t>
      </w:r>
      <w:r>
        <w:rPr>
          <w:rFonts w:hint="eastAsia"/>
          <w:snapToGrid/>
        </w:rPr>
        <w:t>81%</w:t>
      </w:r>
      <w:r>
        <w:rPr>
          <w:rFonts w:hint="eastAsia"/>
          <w:snapToGrid/>
        </w:rPr>
        <w:t>的男子的平均参加劳动力率相比较。</w:t>
      </w:r>
    </w:p>
    <w:p w:rsidR="00000000" w:rsidRDefault="00000000">
      <w:pPr>
        <w:spacing w:after="240"/>
        <w:rPr>
          <w:rFonts w:hint="eastAsia"/>
          <w:snapToGrid/>
        </w:rPr>
      </w:pPr>
      <w:r>
        <w:rPr>
          <w:rFonts w:hint="eastAsia"/>
          <w:snapToGrid/>
        </w:rPr>
        <w:tab/>
        <w:t xml:space="preserve">102.  </w:t>
      </w:r>
      <w:r>
        <w:rPr>
          <w:rFonts w:hint="eastAsia"/>
          <w:snapToGrid/>
        </w:rPr>
        <w:t>年龄较大的工作者的失业率仍然低于瑞典全体工作者的平均数。</w:t>
      </w:r>
      <w:r>
        <w:rPr>
          <w:rFonts w:hint="eastAsia"/>
          <w:snapToGrid/>
        </w:rPr>
        <w:t>2005</w:t>
      </w:r>
      <w:r>
        <w:rPr>
          <w:rFonts w:hint="eastAsia"/>
          <w:snapToGrid/>
        </w:rPr>
        <w:t>年，</w:t>
      </w:r>
      <w:r>
        <w:rPr>
          <w:rFonts w:hint="eastAsia"/>
          <w:snapToGrid/>
        </w:rPr>
        <w:t>55</w:t>
      </w:r>
      <w:r>
        <w:rPr>
          <w:rFonts w:hint="eastAsia"/>
          <w:snapToGrid/>
        </w:rPr>
        <w:t>到</w:t>
      </w:r>
      <w:r>
        <w:rPr>
          <w:rFonts w:hint="eastAsia"/>
          <w:snapToGrid/>
        </w:rPr>
        <w:t>64</w:t>
      </w:r>
      <w:r>
        <w:rPr>
          <w:rFonts w:hint="eastAsia"/>
          <w:snapToGrid/>
        </w:rPr>
        <w:t>岁年龄段的人的平均失业率是妇女</w:t>
      </w:r>
      <w:r>
        <w:rPr>
          <w:rFonts w:hint="eastAsia"/>
          <w:snapToGrid/>
        </w:rPr>
        <w:t>4%</w:t>
      </w:r>
      <w:r>
        <w:rPr>
          <w:rFonts w:hint="eastAsia"/>
          <w:snapToGrid/>
        </w:rPr>
        <w:t>，男子</w:t>
      </w:r>
      <w:r>
        <w:rPr>
          <w:rFonts w:hint="eastAsia"/>
          <w:snapToGrid/>
        </w:rPr>
        <w:t>4.8%</w:t>
      </w:r>
      <w:r>
        <w:rPr>
          <w:rFonts w:hint="eastAsia"/>
          <w:snapToGrid/>
        </w:rPr>
        <w:t>。由于</w:t>
      </w:r>
      <w:r>
        <w:rPr>
          <w:rFonts w:hint="eastAsia"/>
          <w:snapToGrid/>
        </w:rPr>
        <w:t>20</w:t>
      </w:r>
      <w:r>
        <w:rPr>
          <w:rFonts w:hint="eastAsia"/>
          <w:snapToGrid/>
        </w:rPr>
        <w:t>世纪</w:t>
      </w:r>
      <w:r>
        <w:rPr>
          <w:rFonts w:hint="eastAsia"/>
          <w:snapToGrid/>
        </w:rPr>
        <w:t>90</w:t>
      </w:r>
      <w:r>
        <w:rPr>
          <w:rFonts w:hint="eastAsia"/>
          <w:snapToGrid/>
        </w:rPr>
        <w:t>年代的经济衰退，</w:t>
      </w:r>
      <w:r>
        <w:rPr>
          <w:rFonts w:hint="eastAsia"/>
          <w:snapToGrid/>
        </w:rPr>
        <w:t>1996</w:t>
      </w:r>
      <w:r>
        <w:rPr>
          <w:rFonts w:hint="eastAsia"/>
          <w:snapToGrid/>
        </w:rPr>
        <w:t>年的失业率要高得多。</w:t>
      </w:r>
      <w:r>
        <w:rPr>
          <w:rFonts w:hint="eastAsia"/>
          <w:snapToGrid/>
        </w:rPr>
        <w:t>1996</w:t>
      </w:r>
      <w:r>
        <w:rPr>
          <w:rFonts w:hint="eastAsia"/>
          <w:snapToGrid/>
        </w:rPr>
        <w:t>年，</w:t>
      </w:r>
      <w:r>
        <w:rPr>
          <w:rFonts w:hint="eastAsia"/>
          <w:snapToGrid/>
        </w:rPr>
        <w:t>9%</w:t>
      </w:r>
      <w:r>
        <w:rPr>
          <w:rFonts w:hint="eastAsia"/>
          <w:snapToGrid/>
        </w:rPr>
        <w:t>的男子和</w:t>
      </w:r>
      <w:r>
        <w:rPr>
          <w:rFonts w:hint="eastAsia"/>
          <w:snapToGrid/>
        </w:rPr>
        <w:t>7%</w:t>
      </w:r>
      <w:r>
        <w:rPr>
          <w:rFonts w:hint="eastAsia"/>
          <w:snapToGrid/>
        </w:rPr>
        <w:t>的妇女失业。年龄较大的工作者失业以后再进入劳工市场可能有困难。失业的年龄较大的男女工作者中大约</w:t>
      </w:r>
      <w:r>
        <w:rPr>
          <w:rFonts w:hint="eastAsia"/>
          <w:snapToGrid/>
        </w:rPr>
        <w:t>40%</w:t>
      </w:r>
      <w:r>
        <w:rPr>
          <w:rFonts w:hint="eastAsia"/>
          <w:snapToGrid/>
        </w:rPr>
        <w:t>是长期失业。这个数字是从前过去几年的</w:t>
      </w:r>
      <w:r>
        <w:rPr>
          <w:rFonts w:hint="eastAsia"/>
          <w:snapToGrid/>
        </w:rPr>
        <w:t>50%</w:t>
      </w:r>
      <w:r>
        <w:rPr>
          <w:rFonts w:hint="eastAsia"/>
          <w:snapToGrid/>
        </w:rPr>
        <w:t>所下降的。</w:t>
      </w:r>
    </w:p>
    <w:p w:rsidR="00000000" w:rsidRDefault="00000000">
      <w:pPr>
        <w:pStyle w:val="Heading4"/>
        <w:rPr>
          <w:rFonts w:hint="eastAsia"/>
        </w:rPr>
      </w:pPr>
      <w:r>
        <w:rPr>
          <w:rFonts w:hint="eastAsia"/>
        </w:rPr>
        <w:t>劳工市场的融合</w:t>
      </w:r>
    </w:p>
    <w:p w:rsidR="00000000" w:rsidRDefault="00000000">
      <w:pPr>
        <w:rPr>
          <w:rFonts w:hint="eastAsia"/>
          <w:snapToGrid/>
        </w:rPr>
      </w:pPr>
      <w:r>
        <w:rPr>
          <w:rFonts w:hint="eastAsia"/>
          <w:snapToGrid/>
        </w:rPr>
        <w:tab/>
        <w:t>103.  1997</w:t>
      </w:r>
      <w:r>
        <w:rPr>
          <w:rFonts w:hint="eastAsia"/>
          <w:snapToGrid/>
        </w:rPr>
        <w:t>年以来，在外国出生和土生土长的瑞典人的就业率都提高了。相对说来，外国出生的瑞典人的进展比较大。尽管如此，就业方面的差距大得不可接受，需要做更多的事来缩小差距。在外国出生的公民和瑞典居民的就业率比土生土长的瑞典人的就业率低得多。</w:t>
      </w:r>
      <w:r>
        <w:rPr>
          <w:rFonts w:hint="eastAsia"/>
          <w:snapToGrid/>
        </w:rPr>
        <w:t>2005</w:t>
      </w:r>
      <w:r>
        <w:rPr>
          <w:rFonts w:hint="eastAsia"/>
          <w:snapToGrid/>
        </w:rPr>
        <w:t>年，瑞典全部</w:t>
      </w:r>
      <w:r>
        <w:rPr>
          <w:rFonts w:hint="eastAsia"/>
          <w:snapToGrid/>
        </w:rPr>
        <w:t>16</w:t>
      </w:r>
      <w:r>
        <w:rPr>
          <w:rFonts w:hint="eastAsia"/>
          <w:snapToGrid/>
        </w:rPr>
        <w:t>到</w:t>
      </w:r>
      <w:r>
        <w:rPr>
          <w:rFonts w:hint="eastAsia"/>
          <w:snapToGrid/>
        </w:rPr>
        <w:t>64</w:t>
      </w:r>
      <w:r>
        <w:rPr>
          <w:rFonts w:hint="eastAsia"/>
          <w:snapToGrid/>
        </w:rPr>
        <w:t>岁的外国出生人士中，就业率是</w:t>
      </w:r>
      <w:r>
        <w:rPr>
          <w:rFonts w:hint="eastAsia"/>
          <w:snapToGrid/>
        </w:rPr>
        <w:t>61.6%(</w:t>
      </w:r>
      <w:r>
        <w:rPr>
          <w:rFonts w:hint="eastAsia"/>
          <w:snapToGrid/>
        </w:rPr>
        <w:t>妇女</w:t>
      </w:r>
      <w:r>
        <w:rPr>
          <w:rFonts w:hint="eastAsia"/>
          <w:snapToGrid/>
        </w:rPr>
        <w:t>58.7%</w:t>
      </w:r>
      <w:r>
        <w:rPr>
          <w:rFonts w:hint="eastAsia"/>
          <w:snapToGrid/>
        </w:rPr>
        <w:t>，男子</w:t>
      </w:r>
      <w:r>
        <w:rPr>
          <w:rFonts w:hint="eastAsia"/>
          <w:snapToGrid/>
        </w:rPr>
        <w:t>64.8%)</w:t>
      </w:r>
      <w:r>
        <w:rPr>
          <w:rFonts w:hint="eastAsia"/>
          <w:snapToGrid/>
        </w:rPr>
        <w:t>。</w:t>
      </w:r>
    </w:p>
    <w:p w:rsidR="00000000" w:rsidRDefault="00000000">
      <w:pPr>
        <w:spacing w:after="240"/>
        <w:rPr>
          <w:rFonts w:hint="eastAsia"/>
          <w:snapToGrid/>
        </w:rPr>
      </w:pPr>
      <w:r>
        <w:rPr>
          <w:rFonts w:hint="eastAsia"/>
          <w:snapToGrid/>
        </w:rPr>
        <w:tab/>
        <w:t>104.  2005</w:t>
      </w:r>
      <w:r>
        <w:rPr>
          <w:rFonts w:hint="eastAsia"/>
          <w:snapToGrid/>
        </w:rPr>
        <w:t>年，在外国出生的公民和瑞典居民的相对失业率与土生土长的瑞典人相比，是两倍略多一点。但是与</w:t>
      </w:r>
      <w:r>
        <w:rPr>
          <w:rFonts w:hint="eastAsia"/>
          <w:snapToGrid/>
        </w:rPr>
        <w:t>1995</w:t>
      </w:r>
      <w:r>
        <w:rPr>
          <w:rFonts w:hint="eastAsia"/>
          <w:snapToGrid/>
        </w:rPr>
        <w:t>年相比，外国出生的瑞典人已经急剧下降。在长期失业的人中间，外国出生的人的人数也超过了比例。</w:t>
      </w:r>
    </w:p>
    <w:p w:rsidR="00000000" w:rsidRDefault="00000000">
      <w:pPr>
        <w:pStyle w:val="Heading3"/>
        <w:spacing w:after="240"/>
        <w:rPr>
          <w:rFonts w:ascii="Time New Roman" w:eastAsia="SimHei" w:hAnsi="Time New Roman" w:hint="eastAsia"/>
          <w:u w:val="none"/>
        </w:rPr>
      </w:pPr>
      <w:r>
        <w:rPr>
          <w:u w:val="none"/>
        </w:rPr>
        <w:br w:type="page"/>
      </w:r>
      <w:r>
        <w:rPr>
          <w:rFonts w:ascii="Time New Roman" w:eastAsia="SimHei" w:hAnsi="Time New Roman" w:hint="eastAsia"/>
          <w:u w:val="none"/>
        </w:rPr>
        <w:t>表</w:t>
      </w:r>
      <w:r>
        <w:rPr>
          <w:rFonts w:ascii="Time New Roman" w:eastAsia="SimHei" w:hAnsi="Time New Roman" w:hint="eastAsia"/>
          <w:b/>
          <w:u w:val="none"/>
        </w:rPr>
        <w:t>6</w:t>
      </w:r>
      <w:r>
        <w:rPr>
          <w:rFonts w:ascii="Time New Roman" w:eastAsia="SimHei" w:hAnsi="Time New Roman" w:hint="eastAsia"/>
          <w:u w:val="none"/>
        </w:rPr>
        <w:t>：</w:t>
      </w:r>
      <w:r>
        <w:rPr>
          <w:rFonts w:ascii="Time New Roman" w:eastAsia="SimHei" w:hAnsi="Time New Roman" w:hint="eastAsia"/>
          <w:b/>
          <w:u w:val="none"/>
        </w:rPr>
        <w:t>2</w:t>
      </w:r>
    </w:p>
    <w:p w:rsidR="00000000" w:rsidRDefault="00000000">
      <w:pPr>
        <w:pStyle w:val="Heading3"/>
        <w:spacing w:after="240"/>
        <w:rPr>
          <w:rFonts w:hint="eastAsia"/>
        </w:rPr>
      </w:pPr>
      <w:r>
        <w:rPr>
          <w:rFonts w:ascii="Time New Roman" w:eastAsia="SimHei" w:hAnsi="Time New Roman" w:hint="eastAsia"/>
          <w:u w:val="none"/>
        </w:rPr>
        <w:t>失业率，</w:t>
      </w:r>
      <w:r>
        <w:rPr>
          <w:rFonts w:ascii="Time New Roman" w:eastAsia="SimHei" w:hAnsi="Time New Roman" w:hint="eastAsia"/>
          <w:b/>
          <w:u w:val="none"/>
        </w:rPr>
        <w:t>16</w:t>
      </w:r>
      <w:r>
        <w:rPr>
          <w:rFonts w:ascii="Time New Roman" w:eastAsia="SimHei" w:hAnsi="Time New Roman"/>
          <w:u w:val="none"/>
        </w:rPr>
        <w:t>-</w:t>
      </w:r>
      <w:r>
        <w:rPr>
          <w:rFonts w:ascii="Time New Roman" w:eastAsia="SimHei" w:hAnsi="Time New Roman" w:hint="eastAsia"/>
          <w:b/>
          <w:u w:val="none"/>
        </w:rPr>
        <w:t>64</w:t>
      </w:r>
      <w:r>
        <w:rPr>
          <w:rFonts w:ascii="Time New Roman" w:eastAsia="SimHei" w:hAnsi="Time New Roman" w:hint="eastAsia"/>
          <w:u w:val="none"/>
        </w:rPr>
        <w:t>岁的瑞典在外国出生人士</w:t>
      </w:r>
    </w:p>
    <w:tbl>
      <w:tblPr>
        <w:tblW w:w="0" w:type="auto"/>
        <w:tblInd w:w="1288" w:type="dxa"/>
        <w:tblCellMar>
          <w:left w:w="28" w:type="dxa"/>
          <w:right w:w="28" w:type="dxa"/>
        </w:tblCellMar>
        <w:tblLook w:val="0000" w:firstRow="0" w:lastRow="0" w:firstColumn="0" w:lastColumn="0" w:noHBand="0" w:noVBand="0"/>
      </w:tblPr>
      <w:tblGrid>
        <w:gridCol w:w="1680"/>
        <w:gridCol w:w="1750"/>
        <w:gridCol w:w="1750"/>
        <w:gridCol w:w="1750"/>
      </w:tblGrid>
      <w:tr w:rsidR="00000000">
        <w:tblPrEx>
          <w:tblCellMar>
            <w:top w:w="0" w:type="dxa"/>
            <w:bottom w:w="0" w:type="dxa"/>
          </w:tblCellMar>
        </w:tblPrEx>
        <w:trPr>
          <w:cantSplit/>
        </w:trPr>
        <w:tc>
          <w:tcPr>
            <w:tcW w:w="1680" w:type="dxa"/>
            <w:tcBorders>
              <w:top w:val="single" w:sz="4" w:space="0" w:color="auto"/>
              <w:bottom w:val="single" w:sz="4" w:space="0" w:color="auto"/>
            </w:tcBorders>
          </w:tcPr>
          <w:p w:rsidR="00000000" w:rsidRDefault="00000000">
            <w:pPr>
              <w:pStyle w:val="ac"/>
              <w:jc w:val="center"/>
              <w:rPr>
                <w:rFonts w:hint="eastAsia"/>
              </w:rPr>
            </w:pPr>
          </w:p>
        </w:tc>
        <w:tc>
          <w:tcPr>
            <w:tcW w:w="1750" w:type="dxa"/>
            <w:tcBorders>
              <w:top w:val="single" w:sz="4" w:space="0" w:color="auto"/>
              <w:bottom w:val="single" w:sz="4" w:space="0" w:color="auto"/>
            </w:tcBorders>
          </w:tcPr>
          <w:p w:rsidR="00000000" w:rsidRDefault="00000000">
            <w:pPr>
              <w:pStyle w:val="ac"/>
              <w:jc w:val="center"/>
              <w:rPr>
                <w:rFonts w:hint="eastAsia"/>
              </w:rPr>
            </w:pPr>
            <w:r>
              <w:rPr>
                <w:rFonts w:hint="eastAsia"/>
                <w:b/>
                <w:snapToGrid/>
              </w:rPr>
              <w:t>1995</w:t>
            </w:r>
            <w:r>
              <w:rPr>
                <w:rFonts w:hint="eastAsia"/>
                <w:snapToGrid/>
              </w:rPr>
              <w:t>*</w:t>
            </w:r>
          </w:p>
        </w:tc>
        <w:tc>
          <w:tcPr>
            <w:tcW w:w="1750" w:type="dxa"/>
            <w:tcBorders>
              <w:top w:val="single" w:sz="4" w:space="0" w:color="auto"/>
              <w:bottom w:val="single" w:sz="4" w:space="0" w:color="auto"/>
            </w:tcBorders>
          </w:tcPr>
          <w:p w:rsidR="00000000" w:rsidRDefault="00000000">
            <w:pPr>
              <w:pStyle w:val="ac"/>
              <w:jc w:val="center"/>
              <w:rPr>
                <w:rFonts w:hint="eastAsia"/>
              </w:rPr>
            </w:pPr>
            <w:r>
              <w:rPr>
                <w:rFonts w:hint="eastAsia"/>
                <w:b/>
                <w:snapToGrid/>
              </w:rPr>
              <w:t>2000</w:t>
            </w:r>
            <w:r>
              <w:rPr>
                <w:rFonts w:hint="eastAsia"/>
                <w:snapToGrid/>
              </w:rPr>
              <w:t>*</w:t>
            </w:r>
          </w:p>
        </w:tc>
        <w:tc>
          <w:tcPr>
            <w:tcW w:w="1750" w:type="dxa"/>
            <w:tcBorders>
              <w:top w:val="single" w:sz="4" w:space="0" w:color="auto"/>
              <w:bottom w:val="single" w:sz="4" w:space="0" w:color="auto"/>
            </w:tcBorders>
          </w:tcPr>
          <w:p w:rsidR="00000000" w:rsidRDefault="00000000">
            <w:pPr>
              <w:pStyle w:val="ac"/>
              <w:jc w:val="center"/>
              <w:rPr>
                <w:rFonts w:hint="eastAsia"/>
              </w:rPr>
            </w:pPr>
            <w:r>
              <w:rPr>
                <w:rFonts w:hint="eastAsia"/>
                <w:b/>
                <w:snapToGrid/>
              </w:rPr>
              <w:t>2005</w:t>
            </w:r>
            <w:r>
              <w:rPr>
                <w:rFonts w:hint="eastAsia"/>
                <w:snapToGrid/>
              </w:rPr>
              <w:t>**</w:t>
            </w:r>
          </w:p>
        </w:tc>
      </w:tr>
      <w:tr w:rsidR="00000000">
        <w:tblPrEx>
          <w:tblCellMar>
            <w:top w:w="0" w:type="dxa"/>
            <w:bottom w:w="0" w:type="dxa"/>
          </w:tblCellMar>
        </w:tblPrEx>
        <w:trPr>
          <w:cantSplit/>
        </w:trPr>
        <w:tc>
          <w:tcPr>
            <w:tcW w:w="1680" w:type="dxa"/>
            <w:tcBorders>
              <w:top w:val="single" w:sz="4" w:space="0" w:color="auto"/>
            </w:tcBorders>
          </w:tcPr>
          <w:p w:rsidR="00000000" w:rsidRDefault="00000000">
            <w:pPr>
              <w:pStyle w:val="ac"/>
              <w:spacing w:before="20"/>
            </w:pPr>
            <w:r>
              <w:rPr>
                <w:rFonts w:hint="eastAsia"/>
                <w:snapToGrid/>
              </w:rPr>
              <w:t>全部</w:t>
            </w:r>
          </w:p>
        </w:tc>
        <w:tc>
          <w:tcPr>
            <w:tcW w:w="1750" w:type="dxa"/>
            <w:tcBorders>
              <w:top w:val="single" w:sz="4" w:space="0" w:color="auto"/>
            </w:tcBorders>
          </w:tcPr>
          <w:p w:rsidR="00000000" w:rsidRDefault="00000000">
            <w:pPr>
              <w:pStyle w:val="ac"/>
              <w:tabs>
                <w:tab w:val="decimal" w:pos="917"/>
              </w:tabs>
              <w:spacing w:before="20"/>
            </w:pPr>
            <w:r>
              <w:rPr>
                <w:rFonts w:hint="eastAsia"/>
                <w:snapToGrid/>
              </w:rPr>
              <w:t>17.6</w:t>
            </w:r>
          </w:p>
        </w:tc>
        <w:tc>
          <w:tcPr>
            <w:tcW w:w="1750" w:type="dxa"/>
            <w:tcBorders>
              <w:top w:val="single" w:sz="4" w:space="0" w:color="auto"/>
            </w:tcBorders>
          </w:tcPr>
          <w:p w:rsidR="00000000" w:rsidRDefault="00000000">
            <w:pPr>
              <w:pStyle w:val="ac"/>
              <w:tabs>
                <w:tab w:val="decimal" w:pos="917"/>
              </w:tabs>
              <w:spacing w:before="20"/>
            </w:pPr>
            <w:r>
              <w:rPr>
                <w:rFonts w:hint="eastAsia"/>
                <w:snapToGrid/>
              </w:rPr>
              <w:t>10.2</w:t>
            </w:r>
          </w:p>
        </w:tc>
        <w:tc>
          <w:tcPr>
            <w:tcW w:w="1750" w:type="dxa"/>
            <w:tcBorders>
              <w:top w:val="single" w:sz="4" w:space="0" w:color="auto"/>
            </w:tcBorders>
          </w:tcPr>
          <w:p w:rsidR="00000000" w:rsidRDefault="00000000">
            <w:pPr>
              <w:pStyle w:val="ac"/>
              <w:tabs>
                <w:tab w:val="decimal" w:pos="917"/>
              </w:tabs>
              <w:spacing w:before="20"/>
            </w:pPr>
            <w:r>
              <w:rPr>
                <w:snapToGrid/>
              </w:rPr>
              <w:t>1</w:t>
            </w:r>
            <w:r>
              <w:rPr>
                <w:rFonts w:hint="eastAsia"/>
                <w:snapToGrid/>
              </w:rPr>
              <w:t>1.3</w:t>
            </w:r>
          </w:p>
        </w:tc>
      </w:tr>
      <w:tr w:rsidR="00000000">
        <w:tblPrEx>
          <w:tblCellMar>
            <w:top w:w="0" w:type="dxa"/>
            <w:bottom w:w="0" w:type="dxa"/>
          </w:tblCellMar>
        </w:tblPrEx>
        <w:trPr>
          <w:cantSplit/>
        </w:trPr>
        <w:tc>
          <w:tcPr>
            <w:tcW w:w="1680" w:type="dxa"/>
          </w:tcPr>
          <w:p w:rsidR="00000000" w:rsidRDefault="00000000">
            <w:pPr>
              <w:pStyle w:val="ac"/>
            </w:pPr>
            <w:r>
              <w:rPr>
                <w:rFonts w:hint="eastAsia"/>
                <w:snapToGrid/>
              </w:rPr>
              <w:t>妇女</w:t>
            </w:r>
          </w:p>
        </w:tc>
        <w:tc>
          <w:tcPr>
            <w:tcW w:w="1750" w:type="dxa"/>
          </w:tcPr>
          <w:p w:rsidR="00000000" w:rsidRDefault="00000000">
            <w:pPr>
              <w:pStyle w:val="ac"/>
              <w:tabs>
                <w:tab w:val="decimal" w:pos="917"/>
              </w:tabs>
            </w:pPr>
            <w:r>
              <w:rPr>
                <w:rFonts w:hint="eastAsia"/>
                <w:snapToGrid/>
              </w:rPr>
              <w:t>16.8</w:t>
            </w:r>
          </w:p>
        </w:tc>
        <w:tc>
          <w:tcPr>
            <w:tcW w:w="1750" w:type="dxa"/>
          </w:tcPr>
          <w:p w:rsidR="00000000" w:rsidRDefault="00000000">
            <w:pPr>
              <w:pStyle w:val="ac"/>
              <w:tabs>
                <w:tab w:val="decimal" w:pos="917"/>
              </w:tabs>
            </w:pPr>
            <w:r>
              <w:rPr>
                <w:rFonts w:hint="eastAsia"/>
                <w:snapToGrid/>
              </w:rPr>
              <w:t>9.1</w:t>
            </w:r>
          </w:p>
        </w:tc>
        <w:tc>
          <w:tcPr>
            <w:tcW w:w="1750" w:type="dxa"/>
          </w:tcPr>
          <w:p w:rsidR="00000000" w:rsidRDefault="00000000">
            <w:pPr>
              <w:pStyle w:val="ac"/>
              <w:tabs>
                <w:tab w:val="decimal" w:pos="917"/>
              </w:tabs>
            </w:pPr>
            <w:r>
              <w:rPr>
                <w:rFonts w:hint="eastAsia"/>
                <w:snapToGrid/>
              </w:rPr>
              <w:t>10.5</w:t>
            </w:r>
          </w:p>
        </w:tc>
      </w:tr>
      <w:tr w:rsidR="00000000">
        <w:tblPrEx>
          <w:tblCellMar>
            <w:top w:w="0" w:type="dxa"/>
            <w:bottom w:w="0" w:type="dxa"/>
          </w:tblCellMar>
        </w:tblPrEx>
        <w:trPr>
          <w:cantSplit/>
        </w:trPr>
        <w:tc>
          <w:tcPr>
            <w:tcW w:w="1680" w:type="dxa"/>
            <w:tcBorders>
              <w:bottom w:val="single" w:sz="4" w:space="0" w:color="auto"/>
            </w:tcBorders>
          </w:tcPr>
          <w:p w:rsidR="00000000" w:rsidRDefault="00000000">
            <w:pPr>
              <w:pStyle w:val="ac"/>
            </w:pPr>
            <w:r>
              <w:rPr>
                <w:rFonts w:hint="eastAsia"/>
                <w:snapToGrid/>
              </w:rPr>
              <w:t>男子</w:t>
            </w:r>
          </w:p>
        </w:tc>
        <w:tc>
          <w:tcPr>
            <w:tcW w:w="1750" w:type="dxa"/>
            <w:tcBorders>
              <w:bottom w:val="single" w:sz="4" w:space="0" w:color="auto"/>
            </w:tcBorders>
          </w:tcPr>
          <w:p w:rsidR="00000000" w:rsidRDefault="00000000">
            <w:pPr>
              <w:pStyle w:val="ac"/>
              <w:tabs>
                <w:tab w:val="decimal" w:pos="917"/>
              </w:tabs>
            </w:pPr>
            <w:r>
              <w:rPr>
                <w:rFonts w:hint="eastAsia"/>
                <w:snapToGrid/>
              </w:rPr>
              <w:t>18.3</w:t>
            </w:r>
          </w:p>
        </w:tc>
        <w:tc>
          <w:tcPr>
            <w:tcW w:w="1750" w:type="dxa"/>
            <w:tcBorders>
              <w:bottom w:val="single" w:sz="4" w:space="0" w:color="auto"/>
            </w:tcBorders>
          </w:tcPr>
          <w:p w:rsidR="00000000" w:rsidRDefault="00000000">
            <w:pPr>
              <w:pStyle w:val="ac"/>
              <w:tabs>
                <w:tab w:val="decimal" w:pos="917"/>
              </w:tabs>
            </w:pPr>
            <w:r>
              <w:rPr>
                <w:rFonts w:hint="eastAsia"/>
                <w:snapToGrid/>
              </w:rPr>
              <w:t>11.1</w:t>
            </w:r>
          </w:p>
        </w:tc>
        <w:tc>
          <w:tcPr>
            <w:tcW w:w="1750" w:type="dxa"/>
            <w:tcBorders>
              <w:bottom w:val="single" w:sz="4" w:space="0" w:color="auto"/>
            </w:tcBorders>
          </w:tcPr>
          <w:p w:rsidR="00000000" w:rsidRDefault="00000000">
            <w:pPr>
              <w:pStyle w:val="ac"/>
              <w:tabs>
                <w:tab w:val="decimal" w:pos="917"/>
              </w:tabs>
            </w:pPr>
            <w:r>
              <w:rPr>
                <w:snapToGrid/>
              </w:rPr>
              <w:t>11.9</w:t>
            </w:r>
          </w:p>
        </w:tc>
      </w:tr>
    </w:tbl>
    <w:p w:rsidR="00000000" w:rsidRDefault="00000000">
      <w:pPr>
        <w:spacing w:before="100" w:line="264" w:lineRule="auto"/>
        <w:ind w:left="2041"/>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w:t>
      </w:r>
      <w:r>
        <w:rPr>
          <w:rFonts w:eastAsia="KaiTi_GB2312" w:hint="eastAsia"/>
          <w:snapToGrid/>
          <w:spacing w:val="0"/>
          <w:sz w:val="22"/>
        </w:rPr>
        <w:t>AKU(</w:t>
      </w:r>
      <w:r>
        <w:rPr>
          <w:rFonts w:eastAsia="KaiTi_GB2312" w:hint="eastAsia"/>
          <w:snapToGrid/>
          <w:spacing w:val="0"/>
          <w:sz w:val="22"/>
        </w:rPr>
        <w:t>公共统计</w:t>
      </w:r>
      <w:r>
        <w:rPr>
          <w:rFonts w:eastAsia="KaiTi_GB2312" w:hint="eastAsia"/>
          <w:snapToGrid/>
          <w:spacing w:val="0"/>
          <w:sz w:val="22"/>
        </w:rPr>
        <w:t>)</w:t>
      </w:r>
    </w:p>
    <w:p w:rsidR="00000000" w:rsidRDefault="00000000">
      <w:pPr>
        <w:spacing w:line="264" w:lineRule="auto"/>
        <w:ind w:left="2041"/>
        <w:rPr>
          <w:rFonts w:eastAsia="KaiTi_GB2312" w:hint="eastAsia"/>
          <w:snapToGrid/>
          <w:spacing w:val="0"/>
          <w:sz w:val="22"/>
        </w:rPr>
      </w:pPr>
      <w:r>
        <w:rPr>
          <w:rFonts w:hint="eastAsia"/>
          <w:snapToGrid/>
          <w:sz w:val="22"/>
        </w:rPr>
        <w:t>*</w:t>
      </w:r>
      <w:r>
        <w:rPr>
          <w:rFonts w:eastAsia="KaiTi_GB2312" w:hint="eastAsia"/>
          <w:snapToGrid/>
          <w:spacing w:val="0"/>
          <w:sz w:val="22"/>
        </w:rPr>
        <w:t xml:space="preserve"> </w:t>
      </w:r>
      <w:r>
        <w:rPr>
          <w:rFonts w:eastAsia="KaiTi_GB2312" w:hint="eastAsia"/>
          <w:snapToGrid/>
          <w:spacing w:val="0"/>
          <w:sz w:val="22"/>
        </w:rPr>
        <w:tab/>
      </w:r>
      <w:r>
        <w:rPr>
          <w:rFonts w:eastAsia="KaiTi_GB2312" w:hint="eastAsia"/>
          <w:snapToGrid/>
          <w:spacing w:val="0"/>
          <w:sz w:val="22"/>
        </w:rPr>
        <w:t>指该年下半年</w:t>
      </w:r>
    </w:p>
    <w:p w:rsidR="00000000" w:rsidRDefault="00000000">
      <w:pPr>
        <w:spacing w:line="264" w:lineRule="auto"/>
        <w:ind w:left="1680" w:right="1059" w:firstLine="315"/>
        <w:rPr>
          <w:rFonts w:eastAsia="KaiTi_GB2312" w:hint="eastAsia"/>
          <w:snapToGrid/>
          <w:spacing w:val="0"/>
          <w:sz w:val="22"/>
        </w:rPr>
      </w:pPr>
      <w:r>
        <w:rPr>
          <w:rFonts w:hint="eastAsia"/>
          <w:snapToGrid/>
          <w:sz w:val="22"/>
        </w:rPr>
        <w:t>**</w:t>
      </w:r>
      <w:r>
        <w:rPr>
          <w:rFonts w:eastAsia="KaiTi_GB2312" w:hint="eastAsia"/>
          <w:snapToGrid/>
          <w:spacing w:val="0"/>
          <w:sz w:val="22"/>
        </w:rPr>
        <w:t xml:space="preserve"> </w:t>
      </w:r>
      <w:r>
        <w:rPr>
          <w:rFonts w:eastAsia="KaiTi_GB2312" w:hint="eastAsia"/>
          <w:snapToGrid/>
          <w:spacing w:val="0"/>
          <w:sz w:val="22"/>
        </w:rPr>
        <w:tab/>
      </w:r>
      <w:r>
        <w:rPr>
          <w:rFonts w:eastAsia="KaiTi_GB2312" w:hint="eastAsia"/>
          <w:snapToGrid/>
          <w:spacing w:val="0"/>
          <w:sz w:val="22"/>
        </w:rPr>
        <w:t>由于公共统计</w:t>
      </w:r>
      <w:r>
        <w:rPr>
          <w:rFonts w:eastAsia="KaiTi_GB2312" w:hint="eastAsia"/>
          <w:snapToGrid/>
          <w:spacing w:val="0"/>
          <w:sz w:val="22"/>
        </w:rPr>
        <w:t>(AKU)</w:t>
      </w:r>
      <w:r>
        <w:rPr>
          <w:rFonts w:eastAsia="KaiTi_GB2312" w:hint="eastAsia"/>
          <w:snapToGrid/>
          <w:spacing w:val="0"/>
          <w:sz w:val="22"/>
        </w:rPr>
        <w:t>的重构，</w:t>
      </w:r>
      <w:r>
        <w:rPr>
          <w:rFonts w:eastAsia="KaiTi_GB2312" w:hint="eastAsia"/>
          <w:snapToGrid/>
          <w:spacing w:val="0"/>
          <w:sz w:val="22"/>
        </w:rPr>
        <w:t>2005</w:t>
      </w:r>
      <w:r>
        <w:rPr>
          <w:rFonts w:eastAsia="KaiTi_GB2312" w:hint="eastAsia"/>
          <w:snapToGrid/>
          <w:spacing w:val="0"/>
          <w:sz w:val="22"/>
        </w:rPr>
        <w:t>年的数字无法与其他年份的数字相比；指该年全年。</w:t>
      </w:r>
    </w:p>
    <w:p w:rsidR="00000000" w:rsidRDefault="00000000">
      <w:pPr>
        <w:spacing w:after="160" w:line="264" w:lineRule="auto"/>
        <w:ind w:left="1680" w:right="1059" w:firstLine="315"/>
        <w:rPr>
          <w:rFonts w:hint="eastAsia"/>
          <w:snapToGrid/>
        </w:rPr>
      </w:pP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6</w:t>
      </w:r>
      <w:r>
        <w:rPr>
          <w:rFonts w:ascii="Time New Roman" w:eastAsia="SimHei" w:hAnsi="Time New Roman" w:hint="eastAsia"/>
          <w:u w:val="none"/>
        </w:rPr>
        <w:t>：</w:t>
      </w:r>
      <w:r>
        <w:rPr>
          <w:rFonts w:ascii="Time New Roman" w:eastAsia="SimHei" w:hAnsi="Time New Roman" w:hint="eastAsia"/>
          <w:b/>
          <w:u w:val="none"/>
        </w:rPr>
        <w:t>3</w:t>
      </w:r>
    </w:p>
    <w:p w:rsidR="00000000" w:rsidRDefault="00000000">
      <w:pPr>
        <w:pStyle w:val="Heading3"/>
        <w:rPr>
          <w:rFonts w:hint="eastAsia"/>
        </w:rPr>
      </w:pPr>
      <w:r>
        <w:rPr>
          <w:rFonts w:ascii="Time New Roman" w:eastAsia="SimHei" w:hAnsi="Time New Roman" w:hint="eastAsia"/>
          <w:u w:val="none"/>
        </w:rPr>
        <w:t>就业率，</w:t>
      </w:r>
      <w:r>
        <w:rPr>
          <w:rFonts w:ascii="Time New Roman" w:eastAsia="SimHei" w:hAnsi="Time New Roman" w:hint="eastAsia"/>
          <w:b/>
          <w:u w:val="none"/>
        </w:rPr>
        <w:t>16</w:t>
      </w:r>
      <w:r>
        <w:rPr>
          <w:rFonts w:ascii="Time New Roman" w:eastAsia="SimHei" w:hAnsi="Time New Roman"/>
          <w:u w:val="none"/>
        </w:rPr>
        <w:t>-</w:t>
      </w:r>
      <w:r>
        <w:rPr>
          <w:rFonts w:ascii="Time New Roman" w:eastAsia="SimHei" w:hAnsi="Time New Roman" w:hint="eastAsia"/>
          <w:b/>
          <w:u w:val="none"/>
        </w:rPr>
        <w:t>64</w:t>
      </w:r>
      <w:r>
        <w:rPr>
          <w:rFonts w:ascii="Time New Roman" w:eastAsia="SimHei" w:hAnsi="Time New Roman" w:hint="eastAsia"/>
          <w:u w:val="none"/>
        </w:rPr>
        <w:t>岁的瑞典在外国出生人士</w:t>
      </w:r>
    </w:p>
    <w:tbl>
      <w:tblPr>
        <w:tblW w:w="0" w:type="auto"/>
        <w:tblInd w:w="1288" w:type="dxa"/>
        <w:tblCellMar>
          <w:left w:w="28" w:type="dxa"/>
          <w:right w:w="28" w:type="dxa"/>
        </w:tblCellMar>
        <w:tblLook w:val="0000" w:firstRow="0" w:lastRow="0" w:firstColumn="0" w:lastColumn="0" w:noHBand="0" w:noVBand="0"/>
      </w:tblPr>
      <w:tblGrid>
        <w:gridCol w:w="1680"/>
        <w:gridCol w:w="1750"/>
        <w:gridCol w:w="1750"/>
        <w:gridCol w:w="1750"/>
      </w:tblGrid>
      <w:tr w:rsidR="00000000">
        <w:tblPrEx>
          <w:tblCellMar>
            <w:top w:w="0" w:type="dxa"/>
            <w:bottom w:w="0" w:type="dxa"/>
          </w:tblCellMar>
        </w:tblPrEx>
        <w:trPr>
          <w:cantSplit/>
        </w:trPr>
        <w:tc>
          <w:tcPr>
            <w:tcW w:w="1680" w:type="dxa"/>
            <w:tcBorders>
              <w:top w:val="single" w:sz="4" w:space="0" w:color="auto"/>
              <w:bottom w:val="single" w:sz="4" w:space="0" w:color="auto"/>
            </w:tcBorders>
          </w:tcPr>
          <w:p w:rsidR="00000000" w:rsidRDefault="00000000">
            <w:pPr>
              <w:pStyle w:val="ac"/>
              <w:jc w:val="center"/>
              <w:rPr>
                <w:rFonts w:hint="eastAsia"/>
              </w:rPr>
            </w:pPr>
          </w:p>
        </w:tc>
        <w:tc>
          <w:tcPr>
            <w:tcW w:w="1750" w:type="dxa"/>
            <w:tcBorders>
              <w:top w:val="single" w:sz="4" w:space="0" w:color="auto"/>
              <w:bottom w:val="single" w:sz="4" w:space="0" w:color="auto"/>
            </w:tcBorders>
          </w:tcPr>
          <w:p w:rsidR="00000000" w:rsidRDefault="00000000">
            <w:pPr>
              <w:pStyle w:val="ac"/>
              <w:jc w:val="center"/>
              <w:rPr>
                <w:rFonts w:hint="eastAsia"/>
              </w:rPr>
            </w:pPr>
            <w:r>
              <w:rPr>
                <w:rFonts w:hint="eastAsia"/>
                <w:b/>
                <w:snapToGrid/>
              </w:rPr>
              <w:t>1995</w:t>
            </w:r>
            <w:r>
              <w:rPr>
                <w:rFonts w:hint="eastAsia"/>
                <w:snapToGrid/>
              </w:rPr>
              <w:t>*</w:t>
            </w:r>
          </w:p>
        </w:tc>
        <w:tc>
          <w:tcPr>
            <w:tcW w:w="1750" w:type="dxa"/>
            <w:tcBorders>
              <w:top w:val="single" w:sz="4" w:space="0" w:color="auto"/>
              <w:bottom w:val="single" w:sz="4" w:space="0" w:color="auto"/>
            </w:tcBorders>
          </w:tcPr>
          <w:p w:rsidR="00000000" w:rsidRDefault="00000000">
            <w:pPr>
              <w:pStyle w:val="ac"/>
              <w:jc w:val="center"/>
              <w:rPr>
                <w:rFonts w:hint="eastAsia"/>
              </w:rPr>
            </w:pPr>
            <w:r>
              <w:rPr>
                <w:rFonts w:hint="eastAsia"/>
                <w:b/>
                <w:snapToGrid/>
              </w:rPr>
              <w:t>2000</w:t>
            </w:r>
            <w:r>
              <w:rPr>
                <w:rFonts w:hint="eastAsia"/>
                <w:snapToGrid/>
              </w:rPr>
              <w:t>*</w:t>
            </w:r>
          </w:p>
        </w:tc>
        <w:tc>
          <w:tcPr>
            <w:tcW w:w="1750" w:type="dxa"/>
            <w:tcBorders>
              <w:top w:val="single" w:sz="4" w:space="0" w:color="auto"/>
              <w:bottom w:val="single" w:sz="4" w:space="0" w:color="auto"/>
            </w:tcBorders>
          </w:tcPr>
          <w:p w:rsidR="00000000" w:rsidRDefault="00000000">
            <w:pPr>
              <w:pStyle w:val="ac"/>
              <w:jc w:val="center"/>
              <w:rPr>
                <w:rFonts w:hint="eastAsia"/>
              </w:rPr>
            </w:pPr>
            <w:r>
              <w:rPr>
                <w:rFonts w:hint="eastAsia"/>
                <w:b/>
                <w:snapToGrid/>
              </w:rPr>
              <w:t>2005</w:t>
            </w:r>
            <w:r>
              <w:rPr>
                <w:rFonts w:hint="eastAsia"/>
                <w:snapToGrid/>
              </w:rPr>
              <w:t>**</w:t>
            </w:r>
          </w:p>
        </w:tc>
      </w:tr>
      <w:tr w:rsidR="00000000">
        <w:tblPrEx>
          <w:tblCellMar>
            <w:top w:w="0" w:type="dxa"/>
            <w:bottom w:w="0" w:type="dxa"/>
          </w:tblCellMar>
        </w:tblPrEx>
        <w:trPr>
          <w:cantSplit/>
        </w:trPr>
        <w:tc>
          <w:tcPr>
            <w:tcW w:w="1680" w:type="dxa"/>
            <w:tcBorders>
              <w:top w:val="single" w:sz="4" w:space="0" w:color="auto"/>
            </w:tcBorders>
          </w:tcPr>
          <w:p w:rsidR="00000000" w:rsidRDefault="00000000">
            <w:pPr>
              <w:pStyle w:val="ac"/>
            </w:pPr>
            <w:r>
              <w:rPr>
                <w:rFonts w:hint="eastAsia"/>
                <w:snapToGrid/>
              </w:rPr>
              <w:t>全部</w:t>
            </w:r>
          </w:p>
        </w:tc>
        <w:tc>
          <w:tcPr>
            <w:tcW w:w="1750" w:type="dxa"/>
            <w:tcBorders>
              <w:top w:val="single" w:sz="4" w:space="0" w:color="auto"/>
            </w:tcBorders>
          </w:tcPr>
          <w:p w:rsidR="00000000" w:rsidRDefault="00000000">
            <w:pPr>
              <w:pStyle w:val="ac"/>
              <w:tabs>
                <w:tab w:val="decimal" w:pos="812"/>
              </w:tabs>
            </w:pPr>
            <w:r>
              <w:rPr>
                <w:rFonts w:hint="eastAsia"/>
                <w:snapToGrid/>
              </w:rPr>
              <w:t>53.9</w:t>
            </w:r>
          </w:p>
        </w:tc>
        <w:tc>
          <w:tcPr>
            <w:tcW w:w="1750" w:type="dxa"/>
            <w:tcBorders>
              <w:top w:val="single" w:sz="4" w:space="0" w:color="auto"/>
            </w:tcBorders>
          </w:tcPr>
          <w:p w:rsidR="00000000" w:rsidRDefault="00000000">
            <w:pPr>
              <w:pStyle w:val="ac"/>
              <w:tabs>
                <w:tab w:val="decimal" w:pos="812"/>
              </w:tabs>
            </w:pPr>
            <w:r>
              <w:rPr>
                <w:rFonts w:hint="eastAsia"/>
                <w:snapToGrid/>
              </w:rPr>
              <w:t>60.6</w:t>
            </w:r>
          </w:p>
        </w:tc>
        <w:tc>
          <w:tcPr>
            <w:tcW w:w="1750" w:type="dxa"/>
            <w:tcBorders>
              <w:top w:val="single" w:sz="4" w:space="0" w:color="auto"/>
            </w:tcBorders>
          </w:tcPr>
          <w:p w:rsidR="00000000" w:rsidRDefault="00000000">
            <w:pPr>
              <w:pStyle w:val="ac"/>
              <w:tabs>
                <w:tab w:val="decimal" w:pos="812"/>
              </w:tabs>
            </w:pPr>
            <w:r>
              <w:rPr>
                <w:rFonts w:hint="eastAsia"/>
                <w:snapToGrid/>
              </w:rPr>
              <w:t>61.6</w:t>
            </w:r>
          </w:p>
        </w:tc>
      </w:tr>
      <w:tr w:rsidR="00000000">
        <w:tblPrEx>
          <w:tblCellMar>
            <w:top w:w="0" w:type="dxa"/>
            <w:bottom w:w="0" w:type="dxa"/>
          </w:tblCellMar>
        </w:tblPrEx>
        <w:trPr>
          <w:cantSplit/>
        </w:trPr>
        <w:tc>
          <w:tcPr>
            <w:tcW w:w="1680" w:type="dxa"/>
          </w:tcPr>
          <w:p w:rsidR="00000000" w:rsidRDefault="00000000">
            <w:pPr>
              <w:pStyle w:val="ac"/>
            </w:pPr>
            <w:r>
              <w:rPr>
                <w:rFonts w:hint="eastAsia"/>
                <w:snapToGrid/>
              </w:rPr>
              <w:t>妇女</w:t>
            </w:r>
          </w:p>
        </w:tc>
        <w:tc>
          <w:tcPr>
            <w:tcW w:w="1750" w:type="dxa"/>
          </w:tcPr>
          <w:p w:rsidR="00000000" w:rsidRDefault="00000000">
            <w:pPr>
              <w:pStyle w:val="ac"/>
              <w:tabs>
                <w:tab w:val="decimal" w:pos="812"/>
              </w:tabs>
            </w:pPr>
            <w:r>
              <w:rPr>
                <w:rFonts w:hint="eastAsia"/>
                <w:snapToGrid/>
              </w:rPr>
              <w:t>51.1</w:t>
            </w:r>
          </w:p>
        </w:tc>
        <w:tc>
          <w:tcPr>
            <w:tcW w:w="1750" w:type="dxa"/>
          </w:tcPr>
          <w:p w:rsidR="00000000" w:rsidRDefault="00000000">
            <w:pPr>
              <w:pStyle w:val="ac"/>
              <w:tabs>
                <w:tab w:val="decimal" w:pos="812"/>
              </w:tabs>
            </w:pPr>
            <w:r>
              <w:rPr>
                <w:rFonts w:hint="eastAsia"/>
                <w:snapToGrid/>
              </w:rPr>
              <w:t>56.5</w:t>
            </w:r>
          </w:p>
        </w:tc>
        <w:tc>
          <w:tcPr>
            <w:tcW w:w="1750" w:type="dxa"/>
          </w:tcPr>
          <w:p w:rsidR="00000000" w:rsidRDefault="00000000">
            <w:pPr>
              <w:pStyle w:val="ac"/>
              <w:tabs>
                <w:tab w:val="decimal" w:pos="812"/>
              </w:tabs>
            </w:pPr>
            <w:r>
              <w:rPr>
                <w:rFonts w:hint="eastAsia"/>
                <w:snapToGrid/>
              </w:rPr>
              <w:t>58.7</w:t>
            </w:r>
          </w:p>
        </w:tc>
      </w:tr>
      <w:tr w:rsidR="00000000">
        <w:tblPrEx>
          <w:tblCellMar>
            <w:top w:w="0" w:type="dxa"/>
            <w:bottom w:w="0" w:type="dxa"/>
          </w:tblCellMar>
        </w:tblPrEx>
        <w:trPr>
          <w:cantSplit/>
        </w:trPr>
        <w:tc>
          <w:tcPr>
            <w:tcW w:w="1680" w:type="dxa"/>
            <w:tcBorders>
              <w:bottom w:val="single" w:sz="4" w:space="0" w:color="auto"/>
            </w:tcBorders>
          </w:tcPr>
          <w:p w:rsidR="00000000" w:rsidRDefault="00000000">
            <w:pPr>
              <w:pStyle w:val="ac"/>
            </w:pPr>
            <w:r>
              <w:rPr>
                <w:rFonts w:hint="eastAsia"/>
                <w:snapToGrid/>
              </w:rPr>
              <w:t>男子</w:t>
            </w:r>
          </w:p>
        </w:tc>
        <w:tc>
          <w:tcPr>
            <w:tcW w:w="1750" w:type="dxa"/>
            <w:tcBorders>
              <w:bottom w:val="single" w:sz="4" w:space="0" w:color="auto"/>
            </w:tcBorders>
          </w:tcPr>
          <w:p w:rsidR="00000000" w:rsidRDefault="00000000">
            <w:pPr>
              <w:pStyle w:val="ac"/>
              <w:tabs>
                <w:tab w:val="decimal" w:pos="812"/>
              </w:tabs>
            </w:pPr>
            <w:r>
              <w:rPr>
                <w:rFonts w:hint="eastAsia"/>
                <w:snapToGrid/>
              </w:rPr>
              <w:t>56.9</w:t>
            </w:r>
          </w:p>
        </w:tc>
        <w:tc>
          <w:tcPr>
            <w:tcW w:w="1750" w:type="dxa"/>
            <w:tcBorders>
              <w:bottom w:val="single" w:sz="4" w:space="0" w:color="auto"/>
            </w:tcBorders>
          </w:tcPr>
          <w:p w:rsidR="00000000" w:rsidRDefault="00000000">
            <w:pPr>
              <w:pStyle w:val="ac"/>
              <w:tabs>
                <w:tab w:val="decimal" w:pos="812"/>
              </w:tabs>
            </w:pPr>
            <w:r>
              <w:rPr>
                <w:rFonts w:hint="eastAsia"/>
                <w:snapToGrid/>
              </w:rPr>
              <w:t>64.9</w:t>
            </w:r>
          </w:p>
        </w:tc>
        <w:tc>
          <w:tcPr>
            <w:tcW w:w="1750" w:type="dxa"/>
            <w:tcBorders>
              <w:bottom w:val="single" w:sz="4" w:space="0" w:color="auto"/>
            </w:tcBorders>
          </w:tcPr>
          <w:p w:rsidR="00000000" w:rsidRDefault="00000000">
            <w:pPr>
              <w:pStyle w:val="ac"/>
              <w:tabs>
                <w:tab w:val="decimal" w:pos="812"/>
              </w:tabs>
            </w:pPr>
            <w:r>
              <w:rPr>
                <w:rFonts w:hint="eastAsia"/>
                <w:snapToGrid/>
              </w:rPr>
              <w:t>64.8</w:t>
            </w:r>
          </w:p>
        </w:tc>
      </w:tr>
    </w:tbl>
    <w:p w:rsidR="00000000" w:rsidRDefault="00000000">
      <w:pPr>
        <w:spacing w:before="180" w:line="288" w:lineRule="auto"/>
        <w:ind w:left="2041"/>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w:t>
      </w:r>
      <w:r>
        <w:rPr>
          <w:rFonts w:eastAsia="KaiTi_GB2312" w:hint="eastAsia"/>
          <w:snapToGrid/>
          <w:spacing w:val="0"/>
          <w:sz w:val="22"/>
        </w:rPr>
        <w:t>AKU(</w:t>
      </w:r>
      <w:r>
        <w:rPr>
          <w:rFonts w:eastAsia="KaiTi_GB2312" w:hint="eastAsia"/>
          <w:snapToGrid/>
          <w:spacing w:val="0"/>
          <w:sz w:val="22"/>
        </w:rPr>
        <w:t>公共统计</w:t>
      </w:r>
      <w:r>
        <w:rPr>
          <w:rFonts w:eastAsia="KaiTi_GB2312" w:hint="eastAsia"/>
          <w:snapToGrid/>
          <w:spacing w:val="0"/>
          <w:sz w:val="22"/>
        </w:rPr>
        <w:t>)</w:t>
      </w:r>
      <w:r>
        <w:rPr>
          <w:rFonts w:eastAsia="KaiTi_GB2312" w:hint="eastAsia"/>
          <w:snapToGrid/>
          <w:spacing w:val="0"/>
          <w:sz w:val="22"/>
        </w:rPr>
        <w:t>。</w:t>
      </w:r>
    </w:p>
    <w:p w:rsidR="00000000" w:rsidRDefault="00000000">
      <w:pPr>
        <w:spacing w:line="288" w:lineRule="auto"/>
        <w:ind w:left="2040"/>
        <w:rPr>
          <w:rFonts w:eastAsia="KaiTi_GB2312" w:hint="eastAsia"/>
          <w:snapToGrid/>
          <w:spacing w:val="0"/>
          <w:sz w:val="22"/>
        </w:rPr>
      </w:pPr>
      <w:r>
        <w:rPr>
          <w:rFonts w:eastAsia="KaiTi_GB2312" w:hint="eastAsia"/>
          <w:snapToGrid/>
          <w:spacing w:val="0"/>
          <w:sz w:val="22"/>
        </w:rPr>
        <w:t xml:space="preserve">* </w:t>
      </w:r>
      <w:r>
        <w:rPr>
          <w:rFonts w:eastAsia="KaiTi_GB2312" w:hint="eastAsia"/>
          <w:snapToGrid/>
          <w:spacing w:val="0"/>
          <w:sz w:val="22"/>
        </w:rPr>
        <w:tab/>
      </w:r>
      <w:r>
        <w:rPr>
          <w:rFonts w:eastAsia="KaiTi_GB2312" w:hint="eastAsia"/>
          <w:snapToGrid/>
          <w:spacing w:val="0"/>
          <w:sz w:val="22"/>
        </w:rPr>
        <w:t>指该年下半年。</w:t>
      </w:r>
    </w:p>
    <w:p w:rsidR="00000000" w:rsidRDefault="00000000">
      <w:pPr>
        <w:spacing w:line="288" w:lineRule="auto"/>
        <w:ind w:left="2040"/>
        <w:rPr>
          <w:rFonts w:hint="eastAsia"/>
          <w:snapToGrid/>
        </w:rPr>
      </w:pPr>
      <w:r>
        <w:rPr>
          <w:rFonts w:eastAsia="KaiTi_GB2312" w:hint="eastAsia"/>
          <w:snapToGrid/>
          <w:spacing w:val="0"/>
          <w:sz w:val="22"/>
        </w:rPr>
        <w:t xml:space="preserve">** </w:t>
      </w:r>
      <w:r>
        <w:rPr>
          <w:rFonts w:eastAsia="KaiTi_GB2312" w:hint="eastAsia"/>
          <w:snapToGrid/>
          <w:spacing w:val="0"/>
          <w:sz w:val="22"/>
        </w:rPr>
        <w:tab/>
      </w:r>
      <w:r>
        <w:rPr>
          <w:rFonts w:eastAsia="KaiTi_GB2312" w:hint="eastAsia"/>
          <w:snapToGrid/>
          <w:spacing w:val="0"/>
          <w:sz w:val="22"/>
        </w:rPr>
        <w:t>全年。</w:t>
      </w:r>
    </w:p>
    <w:p w:rsidR="00000000" w:rsidRDefault="00000000">
      <w:pPr>
        <w:rPr>
          <w:rFonts w:hint="eastAsia"/>
          <w:snapToGrid/>
        </w:rPr>
      </w:pPr>
    </w:p>
    <w:p w:rsidR="00000000" w:rsidRDefault="00000000">
      <w:pPr>
        <w:rPr>
          <w:rFonts w:hint="eastAsia"/>
          <w:snapToGrid/>
        </w:rPr>
      </w:pPr>
      <w:r>
        <w:rPr>
          <w:rFonts w:hint="eastAsia"/>
          <w:snapToGrid/>
        </w:rPr>
        <w:tab/>
        <w:t xml:space="preserve">105.  </w:t>
      </w:r>
      <w:r>
        <w:rPr>
          <w:rFonts w:hint="eastAsia"/>
          <w:snapToGrid/>
        </w:rPr>
        <w:t>外国出生的瑞典人与土生土长的瑞典人之间在劳动力参与方面的差距不仅仅是由于可以联系到移民个人的原因。在对于诸如教育、经验、性别、婚姻状况和居住地点等变量进行了控制之后，差距仍然存在。</w:t>
      </w:r>
    </w:p>
    <w:p w:rsidR="00000000" w:rsidRDefault="00000000">
      <w:pPr>
        <w:rPr>
          <w:rFonts w:hint="eastAsia"/>
          <w:snapToGrid/>
        </w:rPr>
      </w:pPr>
      <w:r>
        <w:rPr>
          <w:rFonts w:hint="eastAsia"/>
          <w:snapToGrid/>
        </w:rPr>
        <w:tab/>
        <w:t xml:space="preserve">106.  </w:t>
      </w:r>
      <w:r>
        <w:rPr>
          <w:rFonts w:hint="eastAsia"/>
          <w:snapToGrid/>
        </w:rPr>
        <w:t>受命研究统一的反歧视立法的议会反歧视委员会最近提交了其最后报告。政府打算编制提议，以便颁布将在</w:t>
      </w:r>
      <w:r>
        <w:rPr>
          <w:rFonts w:hint="eastAsia"/>
          <w:snapToGrid/>
        </w:rPr>
        <w:t>2008</w:t>
      </w:r>
      <w:r>
        <w:rPr>
          <w:rFonts w:hint="eastAsia"/>
          <w:snapToGrid/>
        </w:rPr>
        <w:t>年生效的一项新的法律。</w:t>
      </w:r>
    </w:p>
    <w:p w:rsidR="00000000" w:rsidRDefault="00000000">
      <w:pPr>
        <w:rPr>
          <w:rFonts w:hint="eastAsia"/>
          <w:snapToGrid/>
        </w:rPr>
      </w:pPr>
      <w:r>
        <w:rPr>
          <w:rFonts w:hint="eastAsia"/>
          <w:snapToGrid/>
        </w:rPr>
        <w:tab/>
        <w:t xml:space="preserve">107.  </w:t>
      </w:r>
      <w:r>
        <w:rPr>
          <w:rFonts w:hint="eastAsia"/>
          <w:snapToGrid/>
        </w:rPr>
        <w:t>已经对关于实施一项不再验明身份的申请工作的制度的可能性进行了研究。这项研究最近进行了报告，政府将在</w:t>
      </w:r>
      <w:r>
        <w:rPr>
          <w:rFonts w:hint="eastAsia"/>
          <w:snapToGrid/>
        </w:rPr>
        <w:t>2006</w:t>
      </w:r>
      <w:r>
        <w:rPr>
          <w:rFonts w:hint="eastAsia"/>
          <w:snapToGrid/>
        </w:rPr>
        <w:t>年确定是否以及如何适当地在一个或几个政府机构内部测试这个方法。</w:t>
      </w:r>
    </w:p>
    <w:p w:rsidR="00000000" w:rsidRDefault="00000000">
      <w:pPr>
        <w:rPr>
          <w:rFonts w:hint="eastAsia"/>
          <w:snapToGrid/>
        </w:rPr>
      </w:pPr>
      <w:r>
        <w:rPr>
          <w:rFonts w:hint="eastAsia"/>
          <w:snapToGrid/>
        </w:rPr>
        <w:tab/>
        <w:t xml:space="preserve">108.  </w:t>
      </w:r>
      <w:r>
        <w:rPr>
          <w:rFonts w:hint="eastAsia"/>
          <w:snapToGrid/>
        </w:rPr>
        <w:t>劳工市场的融合关系到许多不同的政策领域。劳工市场政策是解决外国背景人士的低就业率和高失业率问题的</w:t>
      </w:r>
      <w:r>
        <w:rPr>
          <w:rFonts w:hint="eastAsia"/>
          <w:snapToGrid/>
          <w:u w:val="single"/>
        </w:rPr>
        <w:t>唯一</w:t>
      </w:r>
      <w:r>
        <w:rPr>
          <w:rFonts w:hint="eastAsia"/>
          <w:snapToGrid/>
        </w:rPr>
        <w:t>重要手段。由于最终目标是使得人们获得就业，劳工市场谈判的社会伙伴们在这方面发挥着中心作用。最近已经实行了使政府与各社会伙伴进行合作的两个举措。</w:t>
      </w:r>
    </w:p>
    <w:p w:rsidR="00000000" w:rsidRDefault="00000000">
      <w:pPr>
        <w:rPr>
          <w:rFonts w:hint="eastAsia"/>
          <w:snapToGrid/>
        </w:rPr>
      </w:pPr>
      <w:r>
        <w:rPr>
          <w:rFonts w:hint="eastAsia"/>
          <w:snapToGrid/>
        </w:rPr>
        <w:tab/>
        <w:t>109.  2003</w:t>
      </w:r>
      <w:r>
        <w:rPr>
          <w:rFonts w:hint="eastAsia"/>
          <w:snapToGrid/>
        </w:rPr>
        <w:t>年</w:t>
      </w:r>
      <w:r>
        <w:rPr>
          <w:rFonts w:hint="eastAsia"/>
          <w:snapToGrid/>
        </w:rPr>
        <w:t>1</w:t>
      </w:r>
      <w:r>
        <w:rPr>
          <w:rFonts w:hint="eastAsia"/>
          <w:snapToGrid/>
        </w:rPr>
        <w:t>月，任命了一个由瑞典企业联合会和政府各办事机构的代表组成的委员会，以提议改善外国背景人士在劳工市场的处境措施。该委员会于</w:t>
      </w:r>
      <w:r>
        <w:rPr>
          <w:rFonts w:hint="eastAsia"/>
          <w:snapToGrid/>
        </w:rPr>
        <w:t>2004</w:t>
      </w:r>
      <w:r>
        <w:rPr>
          <w:rFonts w:hint="eastAsia"/>
          <w:snapToGrid/>
        </w:rPr>
        <w:t>年</w:t>
      </w:r>
      <w:r>
        <w:rPr>
          <w:rFonts w:hint="eastAsia"/>
          <w:snapToGrid/>
        </w:rPr>
        <w:t>4</w:t>
      </w:r>
      <w:r>
        <w:rPr>
          <w:rFonts w:hint="eastAsia"/>
          <w:snapToGrid/>
        </w:rPr>
        <w:t>月底向政府提交了其报告和建议。建议包括新的劳工市场政策方案“工作场所的职业评估”</w:t>
      </w:r>
      <w:r>
        <w:rPr>
          <w:rFonts w:hint="eastAsia"/>
          <w:snapToGrid/>
        </w:rPr>
        <w:t>(</w:t>
      </w:r>
      <w:r>
        <w:rPr>
          <w:rFonts w:hint="eastAsia"/>
          <w:snapToGrid/>
        </w:rPr>
        <w:t>下文称“职业评估”</w:t>
      </w:r>
      <w:r>
        <w:rPr>
          <w:rFonts w:hint="eastAsia"/>
          <w:snapToGrid/>
        </w:rPr>
        <w:t>)</w:t>
      </w:r>
      <w:r>
        <w:rPr>
          <w:rFonts w:hint="eastAsia"/>
          <w:snapToGrid/>
        </w:rPr>
        <w:t>和“试就业”。</w:t>
      </w:r>
    </w:p>
    <w:p w:rsidR="00000000" w:rsidRDefault="00000000">
      <w:pPr>
        <w:rPr>
          <w:rFonts w:hint="eastAsia"/>
          <w:snapToGrid/>
        </w:rPr>
      </w:pPr>
      <w:r>
        <w:rPr>
          <w:rFonts w:hint="eastAsia"/>
          <w:snapToGrid/>
        </w:rPr>
        <w:tab/>
        <w:t xml:space="preserve">110.  </w:t>
      </w:r>
      <w:r>
        <w:rPr>
          <w:rFonts w:hint="eastAsia"/>
          <w:snapToGrid/>
        </w:rPr>
        <w:t>政府在</w:t>
      </w:r>
      <w:r>
        <w:rPr>
          <w:rFonts w:hint="eastAsia"/>
          <w:snapToGrid/>
        </w:rPr>
        <w:t>2004</w:t>
      </w:r>
      <w:r>
        <w:rPr>
          <w:rFonts w:hint="eastAsia"/>
          <w:snapToGrid/>
        </w:rPr>
        <w:t>年夏季最后完成了与劳工市场谈判的各中心社会伙伴进行的有关改进融合的举措的讨论。讨论产生了由政府、瑞典地方部门协会和瑞典省议会联合会、</w:t>
      </w:r>
      <w:r>
        <w:rPr>
          <w:rFonts w:hint="eastAsia"/>
          <w:snapToGrid/>
        </w:rPr>
        <w:t>LO</w:t>
      </w:r>
      <w:r>
        <w:rPr>
          <w:rFonts w:hint="eastAsia"/>
          <w:snapToGrid/>
        </w:rPr>
        <w:t>、</w:t>
      </w:r>
      <w:r>
        <w:rPr>
          <w:rFonts w:hint="eastAsia"/>
          <w:snapToGrid/>
        </w:rPr>
        <w:t>TCO</w:t>
      </w:r>
      <w:r>
        <w:rPr>
          <w:rFonts w:hint="eastAsia"/>
          <w:snapToGrid/>
        </w:rPr>
        <w:t>和</w:t>
      </w:r>
      <w:r>
        <w:rPr>
          <w:rFonts w:hint="eastAsia"/>
          <w:snapToGrid/>
        </w:rPr>
        <w:t>SACO</w:t>
      </w:r>
      <w:r>
        <w:rPr>
          <w:rFonts w:hint="eastAsia"/>
          <w:snapToGrid/>
        </w:rPr>
        <w:t>签字的一项关于若干旨在提高就业率、促进平等对待及打击基于民族出身的歧视的融合规划的联合声明。作为联合声明的结果，在</w:t>
      </w:r>
      <w:r>
        <w:rPr>
          <w:rFonts w:hint="eastAsia"/>
          <w:snapToGrid/>
        </w:rPr>
        <w:t>2005</w:t>
      </w:r>
      <w:r>
        <w:rPr>
          <w:rFonts w:hint="eastAsia"/>
          <w:snapToGrid/>
        </w:rPr>
        <w:t>年提出了新的劳工市场政策方案“试就业”和“职业评估”。</w:t>
      </w:r>
    </w:p>
    <w:p w:rsidR="00000000" w:rsidRDefault="00000000">
      <w:pPr>
        <w:rPr>
          <w:rFonts w:hint="eastAsia"/>
          <w:snapToGrid/>
        </w:rPr>
      </w:pPr>
      <w:r>
        <w:rPr>
          <w:rFonts w:hint="eastAsia"/>
          <w:snapToGrid/>
        </w:rPr>
        <w:tab/>
        <w:t xml:space="preserve">111.  </w:t>
      </w:r>
      <w:r>
        <w:rPr>
          <w:rFonts w:hint="eastAsia"/>
          <w:snapToGrid/>
        </w:rPr>
        <w:t>如上所述，</w:t>
      </w:r>
      <w:r>
        <w:rPr>
          <w:rFonts w:hint="eastAsia"/>
          <w:snapToGrid/>
        </w:rPr>
        <w:t>2006</w:t>
      </w:r>
      <w:r>
        <w:rPr>
          <w:rFonts w:hint="eastAsia"/>
          <w:snapToGrid/>
        </w:rPr>
        <w:t>年预算案中所提出的政府的一揽子就业方案内的大多数倡议在劳工市场政策的框架中得到了实施。这些倡议的目标群体是外国背景的男女人士的人数超过比例的长期失业者。这项一揽子方案将向许多外国背景人士提供新的机会。</w:t>
      </w:r>
    </w:p>
    <w:p w:rsidR="00000000" w:rsidRDefault="00000000">
      <w:pPr>
        <w:spacing w:after="240"/>
        <w:rPr>
          <w:rFonts w:hint="eastAsia"/>
          <w:snapToGrid/>
        </w:rPr>
      </w:pPr>
      <w:r>
        <w:rPr>
          <w:rFonts w:hint="eastAsia"/>
          <w:snapToGrid/>
        </w:rPr>
        <w:tab/>
        <w:t xml:space="preserve">112.  </w:t>
      </w:r>
      <w:r>
        <w:rPr>
          <w:rFonts w:hint="eastAsia"/>
          <w:snapToGrid/>
        </w:rPr>
        <w:t>已经清楚确定，许多移民缺乏作为获得工作的重要因素的联系和网络。工作地点介绍规划的目的是通过就业服务处在就业之前和从事一份新工作的最初阶段提供额外支持来补救这种障碍。在必要时，还由经过特别培训的就业服务处案例工作者向雇方提供支持。自</w:t>
      </w:r>
      <w:r>
        <w:rPr>
          <w:rFonts w:hint="eastAsia"/>
          <w:snapToGrid/>
        </w:rPr>
        <w:t>2003</w:t>
      </w:r>
      <w:r>
        <w:rPr>
          <w:rFonts w:hint="eastAsia"/>
          <w:snapToGrid/>
        </w:rPr>
        <w:t>年以来，试点工作地点介绍项目在不断进展，</w:t>
      </w:r>
      <w:r>
        <w:rPr>
          <w:rFonts w:hint="eastAsia"/>
          <w:snapToGrid/>
        </w:rPr>
        <w:t>2006</w:t>
      </w:r>
      <w:r>
        <w:rPr>
          <w:rFonts w:hint="eastAsia"/>
          <w:snapToGrid/>
        </w:rPr>
        <w:t>年以后此项办法将定为永久性的。</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2d</w:t>
      </w:r>
      <w:r>
        <w:rPr>
          <w:rFonts w:eastAsia="KaiTi_GB2312" w:hint="eastAsia"/>
          <w:b/>
          <w:bCs/>
          <w:spacing w:val="0"/>
          <w:u w:val="none"/>
        </w:rPr>
        <w:t>项</w:t>
      </w:r>
    </w:p>
    <w:p w:rsidR="00000000" w:rsidRDefault="00000000">
      <w:pPr>
        <w:spacing w:after="240"/>
        <w:rPr>
          <w:rFonts w:hint="eastAsia"/>
          <w:snapToGrid/>
          <w:u w:val="single"/>
        </w:rPr>
      </w:pPr>
      <w:r>
        <w:rPr>
          <w:rFonts w:hint="eastAsia"/>
          <w:snapToGrid/>
        </w:rPr>
        <w:tab/>
        <w:t xml:space="preserve">113.  </w:t>
      </w:r>
      <w:r>
        <w:rPr>
          <w:rFonts w:hint="eastAsia"/>
          <w:snapToGrid/>
        </w:rPr>
        <w:t>请参看瑞典在</w:t>
      </w:r>
      <w:r>
        <w:rPr>
          <w:rFonts w:hint="eastAsia"/>
          <w:snapToGrid/>
        </w:rPr>
        <w:t>2000</w:t>
      </w:r>
      <w:r>
        <w:rPr>
          <w:rFonts w:hint="eastAsia"/>
          <w:snapToGrid/>
        </w:rPr>
        <w:t>年</w:t>
      </w:r>
      <w:r>
        <w:rPr>
          <w:snapToGrid/>
        </w:rPr>
        <w:t>9</w:t>
      </w:r>
      <w:r>
        <w:rPr>
          <w:rFonts w:hint="eastAsia"/>
          <w:snapToGrid/>
        </w:rPr>
        <w:t>月及之前在劳工组织</w:t>
      </w:r>
      <w:r>
        <w:rPr>
          <w:snapToGrid/>
        </w:rPr>
        <w:t>1930</w:t>
      </w:r>
      <w:r>
        <w:rPr>
          <w:rFonts w:hint="eastAsia"/>
          <w:snapToGrid/>
        </w:rPr>
        <w:t>年第</w:t>
      </w:r>
      <w:r>
        <w:rPr>
          <w:snapToGrid/>
        </w:rPr>
        <w:t>29</w:t>
      </w:r>
      <w:r>
        <w:rPr>
          <w:rFonts w:hint="eastAsia"/>
          <w:snapToGrid/>
        </w:rPr>
        <w:t>号公约</w:t>
      </w:r>
      <w:r>
        <w:rPr>
          <w:rFonts w:hint="eastAsia"/>
          <w:snapToGrid/>
        </w:rPr>
        <w:t>(</w:t>
      </w:r>
      <w:r>
        <w:rPr>
          <w:rFonts w:hint="eastAsia"/>
          <w:snapToGrid/>
        </w:rPr>
        <w:t>《强迫劳动公约》</w:t>
      </w:r>
      <w:r>
        <w:rPr>
          <w:rFonts w:hint="eastAsia"/>
          <w:snapToGrid/>
        </w:rPr>
        <w:t>)</w:t>
      </w:r>
      <w:r>
        <w:rPr>
          <w:rFonts w:hint="eastAsia"/>
          <w:snapToGrid/>
        </w:rPr>
        <w:t>之下提交的报告。</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3a</w:t>
      </w:r>
      <w:r>
        <w:rPr>
          <w:rFonts w:eastAsia="KaiTi_GB2312" w:hint="eastAsia"/>
          <w:b/>
          <w:bCs/>
          <w:spacing w:val="0"/>
          <w:u w:val="none"/>
        </w:rPr>
        <w:t>和</w:t>
      </w:r>
      <w:r>
        <w:rPr>
          <w:rFonts w:eastAsia="KaiTi_GB2312" w:hint="eastAsia"/>
          <w:b/>
          <w:bCs/>
          <w:spacing w:val="0"/>
          <w:u w:val="none"/>
        </w:rPr>
        <w:t>c</w:t>
      </w:r>
      <w:r>
        <w:rPr>
          <w:rFonts w:eastAsia="KaiTi_GB2312" w:hint="eastAsia"/>
          <w:b/>
          <w:bCs/>
          <w:spacing w:val="0"/>
          <w:u w:val="none"/>
        </w:rPr>
        <w:t>项</w:t>
      </w:r>
    </w:p>
    <w:p w:rsidR="00000000" w:rsidRDefault="00000000">
      <w:pPr>
        <w:spacing w:after="240"/>
        <w:rPr>
          <w:rFonts w:hint="eastAsia"/>
          <w:snapToGrid/>
        </w:rPr>
      </w:pPr>
      <w:r>
        <w:rPr>
          <w:rFonts w:hint="eastAsia"/>
          <w:snapToGrid/>
        </w:rPr>
        <w:tab/>
        <w:t xml:space="preserve">114.  </w:t>
      </w:r>
      <w:r>
        <w:rPr>
          <w:rFonts w:hint="eastAsia"/>
          <w:snapToGrid/>
        </w:rPr>
        <w:t>请参看瑞典在《消除对妇女一切形式歧视公约》之下提交的第</w:t>
      </w:r>
      <w:r>
        <w:rPr>
          <w:rFonts w:hint="eastAsia"/>
          <w:snapToGrid/>
        </w:rPr>
        <w:t>6</w:t>
      </w:r>
      <w:r>
        <w:rPr>
          <w:rFonts w:hint="eastAsia"/>
          <w:snapToGrid/>
        </w:rPr>
        <w:t>次和第</w:t>
      </w:r>
      <w:r>
        <w:rPr>
          <w:rFonts w:hint="eastAsia"/>
          <w:snapToGrid/>
        </w:rPr>
        <w:t>7</w:t>
      </w:r>
      <w:r>
        <w:rPr>
          <w:rFonts w:hint="eastAsia"/>
          <w:snapToGrid/>
        </w:rPr>
        <w:t>次定期报告以及瑞典在</w:t>
      </w:r>
      <w:r>
        <w:rPr>
          <w:rFonts w:hint="eastAsia"/>
          <w:snapToGrid/>
        </w:rPr>
        <w:t>2004</w:t>
      </w:r>
      <w:r>
        <w:rPr>
          <w:rFonts w:hint="eastAsia"/>
          <w:snapToGrid/>
        </w:rPr>
        <w:t>年</w:t>
      </w:r>
      <w:r>
        <w:rPr>
          <w:rFonts w:hint="eastAsia"/>
          <w:snapToGrid/>
        </w:rPr>
        <w:t>11</w:t>
      </w:r>
      <w:r>
        <w:rPr>
          <w:rFonts w:hint="eastAsia"/>
          <w:snapToGrid/>
        </w:rPr>
        <w:t>月在劳工组织</w:t>
      </w:r>
      <w:r>
        <w:rPr>
          <w:snapToGrid/>
        </w:rPr>
        <w:t>19</w:t>
      </w:r>
      <w:r>
        <w:rPr>
          <w:rFonts w:hint="eastAsia"/>
          <w:snapToGrid/>
        </w:rPr>
        <w:t>58</w:t>
      </w:r>
      <w:r>
        <w:rPr>
          <w:rFonts w:hint="eastAsia"/>
          <w:snapToGrid/>
        </w:rPr>
        <w:t>年第</w:t>
      </w:r>
      <w:r>
        <w:rPr>
          <w:rFonts w:hint="eastAsia"/>
          <w:snapToGrid/>
        </w:rPr>
        <w:t>111</w:t>
      </w:r>
      <w:r>
        <w:rPr>
          <w:rFonts w:hint="eastAsia"/>
          <w:snapToGrid/>
        </w:rPr>
        <w:t>号公约</w:t>
      </w:r>
      <w:r>
        <w:rPr>
          <w:rFonts w:hint="eastAsia"/>
          <w:snapToGrid/>
        </w:rPr>
        <w:t>(</w:t>
      </w:r>
      <w:r>
        <w:rPr>
          <w:rFonts w:hint="eastAsia"/>
          <w:snapToGrid/>
        </w:rPr>
        <w:t>《</w:t>
      </w:r>
      <w:r>
        <w:rPr>
          <w:rFonts w:hint="eastAsia"/>
          <w:snapToGrid/>
        </w:rPr>
        <w:t>(</w:t>
      </w:r>
      <w:r>
        <w:rPr>
          <w:rFonts w:hint="eastAsia"/>
          <w:snapToGrid/>
        </w:rPr>
        <w:t>就业和职业</w:t>
      </w:r>
      <w:r>
        <w:rPr>
          <w:rFonts w:hint="eastAsia"/>
          <w:snapToGrid/>
        </w:rPr>
        <w:t>)</w:t>
      </w:r>
      <w:r>
        <w:rPr>
          <w:rFonts w:hint="eastAsia"/>
          <w:snapToGrid/>
        </w:rPr>
        <w:t>歧视公约》</w:t>
      </w:r>
      <w:r>
        <w:rPr>
          <w:rFonts w:hint="eastAsia"/>
          <w:snapToGrid/>
        </w:rPr>
        <w:t>)</w:t>
      </w:r>
      <w:r>
        <w:rPr>
          <w:rFonts w:hint="eastAsia"/>
          <w:snapToGrid/>
        </w:rPr>
        <w:t>之下提交的报告。</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3b</w:t>
      </w:r>
      <w:r>
        <w:rPr>
          <w:rFonts w:eastAsia="KaiTi_GB2312" w:hint="eastAsia"/>
          <w:b/>
          <w:bCs/>
          <w:spacing w:val="0"/>
          <w:u w:val="none"/>
        </w:rPr>
        <w:t>项</w:t>
      </w:r>
    </w:p>
    <w:p w:rsidR="00000000" w:rsidRDefault="00000000">
      <w:pPr>
        <w:spacing w:after="240"/>
        <w:rPr>
          <w:rFonts w:hint="eastAsia"/>
          <w:snapToGrid/>
        </w:rPr>
      </w:pPr>
      <w:r>
        <w:rPr>
          <w:rFonts w:hint="eastAsia"/>
          <w:snapToGrid/>
        </w:rPr>
        <w:tab/>
        <w:t xml:space="preserve">115.  </w:t>
      </w:r>
      <w:r>
        <w:rPr>
          <w:rFonts w:hint="eastAsia"/>
          <w:snapToGrid/>
        </w:rPr>
        <w:t>请参看本报告第</w:t>
      </w:r>
      <w:r>
        <w:rPr>
          <w:snapToGrid/>
        </w:rPr>
        <w:t>6</w:t>
      </w:r>
      <w:r>
        <w:rPr>
          <w:rFonts w:hint="eastAsia"/>
          <w:snapToGrid/>
        </w:rPr>
        <w:t>条的准则，第</w:t>
      </w:r>
      <w:r>
        <w:rPr>
          <w:snapToGrid/>
        </w:rPr>
        <w:t>2</w:t>
      </w:r>
      <w:r>
        <w:rPr>
          <w:rFonts w:hint="eastAsia"/>
          <w:snapToGrid/>
        </w:rPr>
        <w:t>段</w:t>
      </w:r>
      <w:r>
        <w:rPr>
          <w:snapToGrid/>
        </w:rPr>
        <w:t>(a)</w:t>
      </w:r>
      <w:r>
        <w:rPr>
          <w:rFonts w:hint="eastAsia"/>
          <w:snapToGrid/>
        </w:rPr>
        <w:t>至</w:t>
      </w:r>
      <w:r>
        <w:rPr>
          <w:snapToGrid/>
        </w:rPr>
        <w:t>(c)</w:t>
      </w:r>
      <w:r>
        <w:rPr>
          <w:rFonts w:hint="eastAsia"/>
          <w:snapToGrid/>
        </w:rPr>
        <w:t>项、</w:t>
      </w:r>
      <w:r>
        <w:rPr>
          <w:snapToGrid/>
        </w:rPr>
        <w:t>(e)</w:t>
      </w:r>
      <w:r>
        <w:rPr>
          <w:rFonts w:hint="eastAsia"/>
          <w:snapToGrid/>
        </w:rPr>
        <w:t>项和</w:t>
      </w:r>
      <w:r>
        <w:rPr>
          <w:snapToGrid/>
        </w:rPr>
        <w:t>(f)</w:t>
      </w:r>
      <w:r>
        <w:rPr>
          <w:rFonts w:hint="eastAsia"/>
          <w:snapToGrid/>
        </w:rPr>
        <w:t>项。并请参看瑞典在</w:t>
      </w:r>
      <w:r>
        <w:rPr>
          <w:rFonts w:hint="eastAsia"/>
          <w:snapToGrid/>
        </w:rPr>
        <w:t>2004</w:t>
      </w:r>
      <w:r>
        <w:rPr>
          <w:rFonts w:hint="eastAsia"/>
          <w:snapToGrid/>
        </w:rPr>
        <w:t>年</w:t>
      </w:r>
      <w:r>
        <w:rPr>
          <w:rFonts w:hint="eastAsia"/>
          <w:snapToGrid/>
        </w:rPr>
        <w:t>11</w:t>
      </w:r>
      <w:r>
        <w:rPr>
          <w:rFonts w:hint="eastAsia"/>
          <w:snapToGrid/>
        </w:rPr>
        <w:t>月及在劳工组织</w:t>
      </w:r>
      <w:r>
        <w:rPr>
          <w:snapToGrid/>
        </w:rPr>
        <w:t>19</w:t>
      </w:r>
      <w:r>
        <w:rPr>
          <w:rFonts w:hint="eastAsia"/>
          <w:snapToGrid/>
        </w:rPr>
        <w:t>58</w:t>
      </w:r>
      <w:r>
        <w:rPr>
          <w:rFonts w:hint="eastAsia"/>
          <w:snapToGrid/>
        </w:rPr>
        <w:t>年第</w:t>
      </w:r>
      <w:r>
        <w:rPr>
          <w:rFonts w:hint="eastAsia"/>
          <w:snapToGrid/>
        </w:rPr>
        <w:t>111</w:t>
      </w:r>
      <w:r>
        <w:rPr>
          <w:rFonts w:hint="eastAsia"/>
          <w:snapToGrid/>
        </w:rPr>
        <w:t>号公约</w:t>
      </w:r>
      <w:r>
        <w:rPr>
          <w:rFonts w:hint="eastAsia"/>
          <w:snapToGrid/>
        </w:rPr>
        <w:t>(</w:t>
      </w:r>
      <w:r>
        <w:rPr>
          <w:rFonts w:hint="eastAsia"/>
          <w:snapToGrid/>
        </w:rPr>
        <w:t>《</w:t>
      </w:r>
      <w:r>
        <w:rPr>
          <w:rFonts w:hint="eastAsia"/>
          <w:snapToGrid/>
        </w:rPr>
        <w:t>(</w:t>
      </w:r>
      <w:r>
        <w:rPr>
          <w:rFonts w:hint="eastAsia"/>
          <w:snapToGrid/>
        </w:rPr>
        <w:t>就业和职业</w:t>
      </w:r>
      <w:r>
        <w:rPr>
          <w:rFonts w:hint="eastAsia"/>
          <w:snapToGrid/>
        </w:rPr>
        <w:t>)</w:t>
      </w:r>
      <w:r>
        <w:rPr>
          <w:rFonts w:hint="eastAsia"/>
          <w:snapToGrid/>
        </w:rPr>
        <w:t>歧视公约》</w:t>
      </w:r>
      <w:r>
        <w:rPr>
          <w:rFonts w:hint="eastAsia"/>
          <w:snapToGrid/>
        </w:rPr>
        <w:t>)</w:t>
      </w:r>
      <w:r>
        <w:rPr>
          <w:rFonts w:hint="eastAsia"/>
          <w:snapToGrid/>
        </w:rPr>
        <w:t>之下提交的报告。</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4</w:t>
      </w:r>
    </w:p>
    <w:p w:rsidR="00000000" w:rsidRDefault="00000000">
      <w:pPr>
        <w:rPr>
          <w:rFonts w:hint="eastAsia"/>
          <w:snapToGrid/>
        </w:rPr>
      </w:pPr>
      <w:r>
        <w:rPr>
          <w:rFonts w:hint="eastAsia"/>
          <w:snapToGrid/>
        </w:rPr>
        <w:tab/>
        <w:t xml:space="preserve">116.  </w:t>
      </w:r>
      <w:r>
        <w:rPr>
          <w:rFonts w:hint="eastAsia"/>
          <w:snapToGrid/>
        </w:rPr>
        <w:t>没有所要求的统计数字。</w:t>
      </w:r>
    </w:p>
    <w:p w:rsidR="00000000" w:rsidRDefault="00000000">
      <w:pPr>
        <w:spacing w:after="320"/>
        <w:rPr>
          <w:rFonts w:hint="eastAsia"/>
          <w:snapToGrid/>
        </w:rPr>
      </w:pPr>
      <w:r>
        <w:rPr>
          <w:rFonts w:hint="eastAsia"/>
          <w:snapToGrid/>
        </w:rPr>
        <w:tab/>
        <w:t xml:space="preserve">117.  </w:t>
      </w:r>
      <w:r>
        <w:rPr>
          <w:rFonts w:hint="eastAsia"/>
          <w:snapToGrid/>
        </w:rPr>
        <w:t>瑞典有从事一件以上职业的全部就业者的百分比的数据，但是统计数字并未表明主要的职业是否全日制的，也未表明第二职业的原因。</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6</w:t>
      </w:r>
      <w:r>
        <w:rPr>
          <w:rFonts w:ascii="Time New Roman" w:eastAsia="SimHei" w:hAnsi="Time New Roman" w:hint="eastAsia"/>
          <w:u w:val="none"/>
        </w:rPr>
        <w:t>：</w:t>
      </w:r>
      <w:r>
        <w:rPr>
          <w:rFonts w:ascii="Time New Roman" w:eastAsia="SimHei" w:hAnsi="Time New Roman" w:hint="eastAsia"/>
          <w:b/>
          <w:u w:val="none"/>
        </w:rPr>
        <w:t>4</w:t>
      </w:r>
    </w:p>
    <w:p w:rsidR="00000000" w:rsidRDefault="00000000">
      <w:pPr>
        <w:pStyle w:val="Heading3"/>
        <w:rPr>
          <w:rFonts w:hint="eastAsia"/>
        </w:rPr>
      </w:pPr>
      <w:r>
        <w:rPr>
          <w:rFonts w:ascii="Time New Roman" w:eastAsia="SimHei" w:hAnsi="Time New Roman" w:hint="eastAsia"/>
          <w:u w:val="none"/>
        </w:rPr>
        <w:t>从事第二职业的全部就业者的百分比</w:t>
      </w:r>
    </w:p>
    <w:tbl>
      <w:tblPr>
        <w:tblW w:w="0" w:type="auto"/>
        <w:tblInd w:w="1708" w:type="dxa"/>
        <w:tblCellMar>
          <w:left w:w="28" w:type="dxa"/>
          <w:right w:w="28" w:type="dxa"/>
        </w:tblCellMar>
        <w:tblLook w:val="0000" w:firstRow="0" w:lastRow="0" w:firstColumn="0" w:lastColumn="0" w:noHBand="0" w:noVBand="0"/>
      </w:tblPr>
      <w:tblGrid>
        <w:gridCol w:w="1260"/>
        <w:gridCol w:w="1750"/>
        <w:gridCol w:w="1750"/>
        <w:gridCol w:w="1750"/>
      </w:tblGrid>
      <w:tr w:rsidR="00000000">
        <w:tblPrEx>
          <w:tblCellMar>
            <w:top w:w="0" w:type="dxa"/>
            <w:bottom w:w="0" w:type="dxa"/>
          </w:tblCellMar>
        </w:tblPrEx>
        <w:trPr>
          <w:cantSplit/>
        </w:trPr>
        <w:tc>
          <w:tcPr>
            <w:tcW w:w="126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年</w:t>
            </w:r>
            <w:r>
              <w:rPr>
                <w:rFonts w:ascii="Time New Roman" w:eastAsia="SimHei" w:hAnsi="Time New Roman" w:hint="eastAsia"/>
                <w:snapToGrid/>
              </w:rPr>
              <w:t xml:space="preserve">  </w:t>
            </w:r>
            <w:r>
              <w:rPr>
                <w:rFonts w:ascii="Time New Roman" w:eastAsia="SimHei" w:hAnsi="Time New Roman" w:hint="eastAsia"/>
                <w:snapToGrid/>
              </w:rPr>
              <w:t>份</w:t>
            </w:r>
          </w:p>
        </w:tc>
        <w:tc>
          <w:tcPr>
            <w:tcW w:w="175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全</w:t>
            </w:r>
            <w:r>
              <w:rPr>
                <w:rFonts w:ascii="Time New Roman" w:eastAsia="SimHei" w:hAnsi="Time New Roman" w:hint="eastAsia"/>
                <w:snapToGrid/>
              </w:rPr>
              <w:t xml:space="preserve">  </w:t>
            </w:r>
            <w:r>
              <w:rPr>
                <w:rFonts w:ascii="Time New Roman" w:eastAsia="SimHei" w:hAnsi="Time New Roman" w:hint="eastAsia"/>
                <w:snapToGrid/>
              </w:rPr>
              <w:t>部</w:t>
            </w:r>
          </w:p>
        </w:tc>
        <w:tc>
          <w:tcPr>
            <w:tcW w:w="175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子</w:t>
            </w:r>
          </w:p>
        </w:tc>
        <w:tc>
          <w:tcPr>
            <w:tcW w:w="175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妇</w:t>
            </w:r>
            <w:r>
              <w:rPr>
                <w:rFonts w:ascii="Time New Roman" w:eastAsia="SimHei" w:hAnsi="Time New Roman" w:hint="eastAsia"/>
                <w:snapToGrid/>
              </w:rPr>
              <w:t xml:space="preserve">  </w:t>
            </w:r>
            <w:r>
              <w:rPr>
                <w:rFonts w:ascii="Time New Roman" w:eastAsia="SimHei" w:hAnsi="Time New Roman" w:hint="eastAsia"/>
                <w:snapToGrid/>
              </w:rPr>
              <w:t>女</w:t>
            </w:r>
          </w:p>
        </w:tc>
      </w:tr>
      <w:tr w:rsidR="00000000">
        <w:tblPrEx>
          <w:tblCellMar>
            <w:top w:w="0" w:type="dxa"/>
            <w:bottom w:w="0" w:type="dxa"/>
          </w:tblCellMar>
        </w:tblPrEx>
        <w:trPr>
          <w:cantSplit/>
        </w:trPr>
        <w:tc>
          <w:tcPr>
            <w:tcW w:w="1260" w:type="dxa"/>
            <w:tcBorders>
              <w:top w:val="single" w:sz="4" w:space="0" w:color="auto"/>
            </w:tcBorders>
          </w:tcPr>
          <w:p w:rsidR="00000000" w:rsidRDefault="00000000">
            <w:pPr>
              <w:pStyle w:val="ac"/>
              <w:jc w:val="center"/>
            </w:pPr>
            <w:r>
              <w:rPr>
                <w:rFonts w:hint="eastAsia"/>
                <w:snapToGrid/>
              </w:rPr>
              <w:t>1999</w:t>
            </w:r>
          </w:p>
        </w:tc>
        <w:tc>
          <w:tcPr>
            <w:tcW w:w="1750" w:type="dxa"/>
            <w:tcBorders>
              <w:top w:val="single" w:sz="4" w:space="0" w:color="auto"/>
            </w:tcBorders>
          </w:tcPr>
          <w:p w:rsidR="00000000" w:rsidRDefault="00000000">
            <w:pPr>
              <w:pStyle w:val="ac"/>
              <w:tabs>
                <w:tab w:val="decimal" w:pos="812"/>
              </w:tabs>
            </w:pPr>
            <w:r>
              <w:rPr>
                <w:rFonts w:hint="eastAsia"/>
                <w:snapToGrid/>
              </w:rPr>
              <w:t>9</w:t>
            </w:r>
          </w:p>
        </w:tc>
        <w:tc>
          <w:tcPr>
            <w:tcW w:w="1750" w:type="dxa"/>
            <w:tcBorders>
              <w:top w:val="single" w:sz="4" w:space="0" w:color="auto"/>
            </w:tcBorders>
          </w:tcPr>
          <w:p w:rsidR="00000000" w:rsidRDefault="00000000">
            <w:pPr>
              <w:pStyle w:val="ac"/>
              <w:tabs>
                <w:tab w:val="decimal" w:pos="812"/>
              </w:tabs>
            </w:pPr>
            <w:r>
              <w:rPr>
                <w:rFonts w:hint="eastAsia"/>
                <w:snapToGrid/>
              </w:rPr>
              <w:t>9.4</w:t>
            </w:r>
          </w:p>
        </w:tc>
        <w:tc>
          <w:tcPr>
            <w:tcW w:w="1750" w:type="dxa"/>
            <w:tcBorders>
              <w:top w:val="single" w:sz="4" w:space="0" w:color="auto"/>
            </w:tcBorders>
          </w:tcPr>
          <w:p w:rsidR="00000000" w:rsidRDefault="00000000">
            <w:pPr>
              <w:pStyle w:val="ac"/>
              <w:tabs>
                <w:tab w:val="decimal" w:pos="812"/>
              </w:tabs>
            </w:pPr>
            <w:r>
              <w:rPr>
                <w:rFonts w:hint="eastAsia"/>
                <w:snapToGrid/>
              </w:rPr>
              <w:t>8.6</w:t>
            </w:r>
          </w:p>
        </w:tc>
      </w:tr>
      <w:tr w:rsidR="00000000">
        <w:tblPrEx>
          <w:tblCellMar>
            <w:top w:w="0" w:type="dxa"/>
            <w:bottom w:w="0" w:type="dxa"/>
          </w:tblCellMar>
        </w:tblPrEx>
        <w:trPr>
          <w:cantSplit/>
        </w:trPr>
        <w:tc>
          <w:tcPr>
            <w:tcW w:w="1260" w:type="dxa"/>
          </w:tcPr>
          <w:p w:rsidR="00000000" w:rsidRDefault="00000000">
            <w:pPr>
              <w:pStyle w:val="ac"/>
              <w:jc w:val="center"/>
            </w:pPr>
            <w:r>
              <w:rPr>
                <w:rFonts w:hint="eastAsia"/>
                <w:snapToGrid/>
              </w:rPr>
              <w:t>2000</w:t>
            </w:r>
          </w:p>
        </w:tc>
        <w:tc>
          <w:tcPr>
            <w:tcW w:w="1750" w:type="dxa"/>
          </w:tcPr>
          <w:p w:rsidR="00000000" w:rsidRDefault="00000000">
            <w:pPr>
              <w:pStyle w:val="ac"/>
              <w:tabs>
                <w:tab w:val="decimal" w:pos="812"/>
              </w:tabs>
            </w:pPr>
            <w:r>
              <w:rPr>
                <w:rFonts w:hint="eastAsia"/>
                <w:snapToGrid/>
              </w:rPr>
              <w:t>9</w:t>
            </w:r>
          </w:p>
        </w:tc>
        <w:tc>
          <w:tcPr>
            <w:tcW w:w="1750" w:type="dxa"/>
          </w:tcPr>
          <w:p w:rsidR="00000000" w:rsidRDefault="00000000">
            <w:pPr>
              <w:pStyle w:val="ac"/>
              <w:tabs>
                <w:tab w:val="decimal" w:pos="812"/>
              </w:tabs>
            </w:pPr>
            <w:r>
              <w:rPr>
                <w:rFonts w:hint="eastAsia"/>
                <w:snapToGrid/>
              </w:rPr>
              <w:t>9.5</w:t>
            </w:r>
          </w:p>
        </w:tc>
        <w:tc>
          <w:tcPr>
            <w:tcW w:w="1750" w:type="dxa"/>
          </w:tcPr>
          <w:p w:rsidR="00000000" w:rsidRDefault="00000000">
            <w:pPr>
              <w:pStyle w:val="ac"/>
              <w:tabs>
                <w:tab w:val="decimal" w:pos="812"/>
              </w:tabs>
            </w:pPr>
            <w:r>
              <w:rPr>
                <w:rFonts w:hint="eastAsia"/>
                <w:snapToGrid/>
              </w:rPr>
              <w:t>8.5</w:t>
            </w:r>
          </w:p>
        </w:tc>
      </w:tr>
      <w:tr w:rsidR="00000000">
        <w:tblPrEx>
          <w:tblCellMar>
            <w:top w:w="0" w:type="dxa"/>
            <w:bottom w:w="0" w:type="dxa"/>
          </w:tblCellMar>
        </w:tblPrEx>
        <w:trPr>
          <w:cantSplit/>
        </w:trPr>
        <w:tc>
          <w:tcPr>
            <w:tcW w:w="1260" w:type="dxa"/>
          </w:tcPr>
          <w:p w:rsidR="00000000" w:rsidRDefault="00000000">
            <w:pPr>
              <w:pStyle w:val="ac"/>
              <w:jc w:val="center"/>
            </w:pPr>
            <w:r>
              <w:rPr>
                <w:rFonts w:hint="eastAsia"/>
                <w:snapToGrid/>
              </w:rPr>
              <w:t>2001</w:t>
            </w:r>
          </w:p>
        </w:tc>
        <w:tc>
          <w:tcPr>
            <w:tcW w:w="1750" w:type="dxa"/>
          </w:tcPr>
          <w:p w:rsidR="00000000" w:rsidRDefault="00000000">
            <w:pPr>
              <w:pStyle w:val="ac"/>
              <w:tabs>
                <w:tab w:val="decimal" w:pos="812"/>
              </w:tabs>
            </w:pPr>
            <w:r>
              <w:rPr>
                <w:rFonts w:hint="eastAsia"/>
                <w:snapToGrid/>
              </w:rPr>
              <w:t>9.5</w:t>
            </w:r>
          </w:p>
        </w:tc>
        <w:tc>
          <w:tcPr>
            <w:tcW w:w="1750" w:type="dxa"/>
          </w:tcPr>
          <w:p w:rsidR="00000000" w:rsidRDefault="00000000">
            <w:pPr>
              <w:pStyle w:val="ac"/>
              <w:tabs>
                <w:tab w:val="decimal" w:pos="812"/>
              </w:tabs>
            </w:pPr>
            <w:r>
              <w:rPr>
                <w:rFonts w:hint="eastAsia"/>
                <w:snapToGrid/>
              </w:rPr>
              <w:t>10.2</w:t>
            </w:r>
          </w:p>
        </w:tc>
        <w:tc>
          <w:tcPr>
            <w:tcW w:w="1750" w:type="dxa"/>
          </w:tcPr>
          <w:p w:rsidR="00000000" w:rsidRDefault="00000000">
            <w:pPr>
              <w:pStyle w:val="ac"/>
              <w:tabs>
                <w:tab w:val="decimal" w:pos="812"/>
              </w:tabs>
            </w:pPr>
            <w:r>
              <w:rPr>
                <w:rFonts w:hint="eastAsia"/>
                <w:snapToGrid/>
              </w:rPr>
              <w:t>8.7</w:t>
            </w:r>
          </w:p>
        </w:tc>
      </w:tr>
      <w:tr w:rsidR="00000000">
        <w:tblPrEx>
          <w:tblCellMar>
            <w:top w:w="0" w:type="dxa"/>
            <w:bottom w:w="0" w:type="dxa"/>
          </w:tblCellMar>
        </w:tblPrEx>
        <w:trPr>
          <w:cantSplit/>
        </w:trPr>
        <w:tc>
          <w:tcPr>
            <w:tcW w:w="1260" w:type="dxa"/>
          </w:tcPr>
          <w:p w:rsidR="00000000" w:rsidRDefault="00000000">
            <w:pPr>
              <w:pStyle w:val="ac"/>
              <w:jc w:val="center"/>
            </w:pPr>
            <w:r>
              <w:rPr>
                <w:rFonts w:hint="eastAsia"/>
                <w:snapToGrid/>
              </w:rPr>
              <w:t>2002</w:t>
            </w:r>
          </w:p>
        </w:tc>
        <w:tc>
          <w:tcPr>
            <w:tcW w:w="1750" w:type="dxa"/>
          </w:tcPr>
          <w:p w:rsidR="00000000" w:rsidRDefault="00000000">
            <w:pPr>
              <w:pStyle w:val="ac"/>
              <w:tabs>
                <w:tab w:val="decimal" w:pos="812"/>
              </w:tabs>
            </w:pPr>
            <w:r>
              <w:rPr>
                <w:rFonts w:hint="eastAsia"/>
                <w:snapToGrid/>
              </w:rPr>
              <w:t>9.4</w:t>
            </w:r>
          </w:p>
        </w:tc>
        <w:tc>
          <w:tcPr>
            <w:tcW w:w="1750" w:type="dxa"/>
          </w:tcPr>
          <w:p w:rsidR="00000000" w:rsidRDefault="00000000">
            <w:pPr>
              <w:pStyle w:val="ac"/>
              <w:tabs>
                <w:tab w:val="decimal" w:pos="812"/>
              </w:tabs>
            </w:pPr>
            <w:r>
              <w:rPr>
                <w:rFonts w:hint="eastAsia"/>
                <w:snapToGrid/>
              </w:rPr>
              <w:t>9.9</w:t>
            </w:r>
          </w:p>
        </w:tc>
        <w:tc>
          <w:tcPr>
            <w:tcW w:w="1750" w:type="dxa"/>
          </w:tcPr>
          <w:p w:rsidR="00000000" w:rsidRDefault="00000000">
            <w:pPr>
              <w:pStyle w:val="ac"/>
              <w:tabs>
                <w:tab w:val="decimal" w:pos="812"/>
              </w:tabs>
            </w:pPr>
            <w:r>
              <w:rPr>
                <w:rFonts w:hint="eastAsia"/>
                <w:snapToGrid/>
              </w:rPr>
              <w:t>8.9</w:t>
            </w:r>
          </w:p>
        </w:tc>
      </w:tr>
      <w:tr w:rsidR="00000000">
        <w:tblPrEx>
          <w:tblCellMar>
            <w:top w:w="0" w:type="dxa"/>
            <w:bottom w:w="0" w:type="dxa"/>
          </w:tblCellMar>
        </w:tblPrEx>
        <w:trPr>
          <w:cantSplit/>
        </w:trPr>
        <w:tc>
          <w:tcPr>
            <w:tcW w:w="1260" w:type="dxa"/>
          </w:tcPr>
          <w:p w:rsidR="00000000" w:rsidRDefault="00000000">
            <w:pPr>
              <w:pStyle w:val="ac"/>
              <w:jc w:val="center"/>
            </w:pPr>
            <w:r>
              <w:rPr>
                <w:rFonts w:hint="eastAsia"/>
                <w:snapToGrid/>
              </w:rPr>
              <w:t>2003</w:t>
            </w:r>
          </w:p>
        </w:tc>
        <w:tc>
          <w:tcPr>
            <w:tcW w:w="1750" w:type="dxa"/>
          </w:tcPr>
          <w:p w:rsidR="00000000" w:rsidRDefault="00000000">
            <w:pPr>
              <w:pStyle w:val="ac"/>
              <w:tabs>
                <w:tab w:val="decimal" w:pos="812"/>
              </w:tabs>
            </w:pPr>
            <w:r>
              <w:rPr>
                <w:rFonts w:hint="eastAsia"/>
                <w:snapToGrid/>
              </w:rPr>
              <w:t>9.2</w:t>
            </w:r>
          </w:p>
        </w:tc>
        <w:tc>
          <w:tcPr>
            <w:tcW w:w="1750" w:type="dxa"/>
          </w:tcPr>
          <w:p w:rsidR="00000000" w:rsidRDefault="00000000">
            <w:pPr>
              <w:pStyle w:val="ac"/>
              <w:tabs>
                <w:tab w:val="decimal" w:pos="812"/>
              </w:tabs>
            </w:pPr>
            <w:r>
              <w:rPr>
                <w:rFonts w:hint="eastAsia"/>
                <w:snapToGrid/>
              </w:rPr>
              <w:t>9.7</w:t>
            </w:r>
          </w:p>
        </w:tc>
        <w:tc>
          <w:tcPr>
            <w:tcW w:w="1750" w:type="dxa"/>
          </w:tcPr>
          <w:p w:rsidR="00000000" w:rsidRDefault="00000000">
            <w:pPr>
              <w:pStyle w:val="ac"/>
              <w:tabs>
                <w:tab w:val="decimal" w:pos="812"/>
              </w:tabs>
            </w:pPr>
            <w:r>
              <w:rPr>
                <w:rFonts w:hint="eastAsia"/>
                <w:snapToGrid/>
              </w:rPr>
              <w:t>8.7</w:t>
            </w:r>
          </w:p>
        </w:tc>
      </w:tr>
      <w:tr w:rsidR="00000000">
        <w:tblPrEx>
          <w:tblCellMar>
            <w:top w:w="0" w:type="dxa"/>
            <w:bottom w:w="0" w:type="dxa"/>
          </w:tblCellMar>
        </w:tblPrEx>
        <w:trPr>
          <w:cantSplit/>
        </w:trPr>
        <w:tc>
          <w:tcPr>
            <w:tcW w:w="1260" w:type="dxa"/>
            <w:tcBorders>
              <w:bottom w:val="single" w:sz="4" w:space="0" w:color="auto"/>
            </w:tcBorders>
          </w:tcPr>
          <w:p w:rsidR="00000000" w:rsidRDefault="00000000">
            <w:pPr>
              <w:pStyle w:val="ac"/>
              <w:jc w:val="center"/>
            </w:pPr>
            <w:r>
              <w:rPr>
                <w:rFonts w:hint="eastAsia"/>
                <w:snapToGrid/>
              </w:rPr>
              <w:t>2004</w:t>
            </w:r>
          </w:p>
        </w:tc>
        <w:tc>
          <w:tcPr>
            <w:tcW w:w="1750" w:type="dxa"/>
            <w:tcBorders>
              <w:bottom w:val="single" w:sz="4" w:space="0" w:color="auto"/>
            </w:tcBorders>
          </w:tcPr>
          <w:p w:rsidR="00000000" w:rsidRDefault="00000000">
            <w:pPr>
              <w:pStyle w:val="ac"/>
              <w:tabs>
                <w:tab w:val="decimal" w:pos="812"/>
              </w:tabs>
            </w:pPr>
            <w:r>
              <w:rPr>
                <w:rFonts w:hint="eastAsia"/>
                <w:snapToGrid/>
              </w:rPr>
              <w:t>9.2</w:t>
            </w:r>
          </w:p>
        </w:tc>
        <w:tc>
          <w:tcPr>
            <w:tcW w:w="1750" w:type="dxa"/>
            <w:tcBorders>
              <w:bottom w:val="single" w:sz="4" w:space="0" w:color="auto"/>
            </w:tcBorders>
          </w:tcPr>
          <w:p w:rsidR="00000000" w:rsidRDefault="00000000">
            <w:pPr>
              <w:pStyle w:val="ac"/>
              <w:tabs>
                <w:tab w:val="decimal" w:pos="812"/>
              </w:tabs>
            </w:pPr>
            <w:r>
              <w:rPr>
                <w:rFonts w:hint="eastAsia"/>
                <w:snapToGrid/>
              </w:rPr>
              <w:t>9.5</w:t>
            </w:r>
          </w:p>
        </w:tc>
        <w:tc>
          <w:tcPr>
            <w:tcW w:w="1750" w:type="dxa"/>
            <w:tcBorders>
              <w:bottom w:val="single" w:sz="4" w:space="0" w:color="auto"/>
            </w:tcBorders>
          </w:tcPr>
          <w:p w:rsidR="00000000" w:rsidRDefault="00000000">
            <w:pPr>
              <w:pStyle w:val="ac"/>
              <w:tabs>
                <w:tab w:val="decimal" w:pos="812"/>
              </w:tabs>
            </w:pPr>
            <w:r>
              <w:rPr>
                <w:rFonts w:hint="eastAsia"/>
                <w:snapToGrid/>
              </w:rPr>
              <w:t>8.8</w:t>
            </w:r>
          </w:p>
        </w:tc>
      </w:tr>
    </w:tbl>
    <w:p w:rsidR="00000000" w:rsidRDefault="00000000">
      <w:pPr>
        <w:spacing w:after="160"/>
        <w:rPr>
          <w:rFonts w:hint="eastAsia"/>
        </w:rPr>
      </w:pPr>
    </w:p>
    <w:p w:rsidR="00000000" w:rsidRDefault="00000000">
      <w:pPr>
        <w:spacing w:after="240"/>
        <w:rPr>
          <w:rFonts w:hint="eastAsia"/>
          <w:snapToGrid/>
        </w:rPr>
      </w:pPr>
      <w:r>
        <w:rPr>
          <w:rFonts w:hint="eastAsia"/>
          <w:snapToGrid/>
        </w:rPr>
        <w:tab/>
        <w:t xml:space="preserve">118.  </w:t>
      </w:r>
      <w:r>
        <w:rPr>
          <w:rFonts w:hint="eastAsia"/>
          <w:snapToGrid/>
        </w:rPr>
        <w:t>根据瑞典工作环境法</w:t>
      </w:r>
      <w:r>
        <w:rPr>
          <w:rFonts w:hint="eastAsia"/>
          <w:snapToGrid/>
        </w:rPr>
        <w:t>(1977</w:t>
      </w:r>
      <w:r>
        <w:rPr>
          <w:rFonts w:hint="eastAsia"/>
          <w:snapToGrid/>
        </w:rPr>
        <w:t>：</w:t>
      </w:r>
      <w:r>
        <w:rPr>
          <w:rFonts w:hint="eastAsia"/>
          <w:snapToGrid/>
        </w:rPr>
        <w:t>1160)</w:t>
      </w:r>
      <w:r>
        <w:rPr>
          <w:rFonts w:hint="eastAsia"/>
          <w:snapToGrid/>
        </w:rPr>
        <w:t>，雇主有义务使工作场地适合身体和心理需求以及个人状况。瑞典工作环境署全面负责各种有关残疾和工作环境的问题，并且应该协调、支助和促进于其他有关方相关的问题。该署的措施包括起草一览表以依照瑞典工作环境法监测残疾问题，如有关可利用性和改造工作场地的要求等。</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5</w:t>
      </w:r>
    </w:p>
    <w:p w:rsidR="00000000" w:rsidRDefault="00000000">
      <w:pPr>
        <w:rPr>
          <w:rFonts w:hint="eastAsia"/>
          <w:snapToGrid/>
        </w:rPr>
      </w:pPr>
      <w:r>
        <w:rPr>
          <w:rFonts w:hint="eastAsia"/>
          <w:snapToGrid/>
        </w:rPr>
        <w:tab/>
        <w:t xml:space="preserve">119.  </w:t>
      </w:r>
      <w:r>
        <w:rPr>
          <w:rFonts w:hint="eastAsia"/>
          <w:snapToGrid/>
        </w:rPr>
        <w:t>劳工市场政策措施通过几项法律和条令进行管理。自从上次报告以来，已经实施了若干改变。一些条例已予替代，新的条例颁布了。这些措施主要是通过下列法律和条令进行管理的：</w:t>
      </w:r>
    </w:p>
    <w:p w:rsidR="00000000" w:rsidRDefault="00000000">
      <w:pPr>
        <w:ind w:left="1020"/>
        <w:rPr>
          <w:rFonts w:hint="eastAsia"/>
          <w:snapToGrid/>
        </w:rPr>
      </w:pPr>
      <w:r>
        <w:rPr>
          <w:rFonts w:hint="eastAsia"/>
          <w:snapToGrid/>
        </w:rPr>
        <w:t>《劳工市场政策方案法》</w:t>
      </w:r>
      <w:r>
        <w:rPr>
          <w:rFonts w:hint="eastAsia"/>
          <w:snapToGrid/>
        </w:rPr>
        <w:t>(2000</w:t>
      </w:r>
      <w:r>
        <w:rPr>
          <w:rFonts w:hint="eastAsia"/>
          <w:snapToGrid/>
        </w:rPr>
        <w:t>：</w:t>
      </w:r>
      <w:r>
        <w:rPr>
          <w:rFonts w:hint="eastAsia"/>
          <w:snapToGrid/>
        </w:rPr>
        <w:t>625)</w:t>
      </w:r>
    </w:p>
    <w:p w:rsidR="00000000" w:rsidRDefault="00000000">
      <w:pPr>
        <w:ind w:left="1020"/>
        <w:rPr>
          <w:rFonts w:hint="eastAsia"/>
          <w:snapToGrid/>
        </w:rPr>
      </w:pPr>
      <w:r>
        <w:rPr>
          <w:rFonts w:hint="eastAsia"/>
          <w:snapToGrid/>
        </w:rPr>
        <w:t>《劳工市场政策方案条例》</w:t>
      </w:r>
      <w:r>
        <w:rPr>
          <w:rFonts w:hint="eastAsia"/>
          <w:snapToGrid/>
        </w:rPr>
        <w:t>(2000</w:t>
      </w:r>
      <w:r>
        <w:rPr>
          <w:rFonts w:hint="eastAsia"/>
          <w:snapToGrid/>
        </w:rPr>
        <w:t>：</w:t>
      </w:r>
      <w:r>
        <w:rPr>
          <w:rFonts w:hint="eastAsia"/>
          <w:snapToGrid/>
        </w:rPr>
        <w:t>634)</w:t>
      </w:r>
    </w:p>
    <w:p w:rsidR="00000000" w:rsidRDefault="00000000">
      <w:pPr>
        <w:ind w:left="1020"/>
        <w:rPr>
          <w:rFonts w:hint="eastAsia"/>
          <w:snapToGrid/>
        </w:rPr>
      </w:pPr>
      <w:r>
        <w:rPr>
          <w:rFonts w:hint="eastAsia"/>
          <w:snapToGrid/>
        </w:rPr>
        <w:t>《职业残疾人员</w:t>
      </w:r>
      <w:r>
        <w:rPr>
          <w:rFonts w:hint="eastAsia"/>
          <w:snapToGrid/>
        </w:rPr>
        <w:t>(</w:t>
      </w:r>
      <w:r>
        <w:rPr>
          <w:rFonts w:hint="eastAsia"/>
          <w:snapToGrid/>
        </w:rPr>
        <w:t>特别措施</w:t>
      </w:r>
      <w:r>
        <w:rPr>
          <w:rFonts w:hint="eastAsia"/>
          <w:snapToGrid/>
        </w:rPr>
        <w:t>)</w:t>
      </w:r>
      <w:r>
        <w:rPr>
          <w:rFonts w:hint="eastAsia"/>
          <w:snapToGrid/>
        </w:rPr>
        <w:t>条例》</w:t>
      </w:r>
      <w:r>
        <w:rPr>
          <w:rFonts w:hint="eastAsia"/>
          <w:snapToGrid/>
        </w:rPr>
        <w:t>(2000</w:t>
      </w:r>
      <w:r>
        <w:rPr>
          <w:rFonts w:hint="eastAsia"/>
          <w:snapToGrid/>
        </w:rPr>
        <w:t>：</w:t>
      </w:r>
      <w:r>
        <w:rPr>
          <w:rFonts w:hint="eastAsia"/>
          <w:snapToGrid/>
        </w:rPr>
        <w:t>630)</w:t>
      </w:r>
    </w:p>
    <w:p w:rsidR="00000000" w:rsidRDefault="00000000">
      <w:pPr>
        <w:ind w:left="1020"/>
        <w:rPr>
          <w:rFonts w:hint="eastAsia"/>
          <w:snapToGrid/>
        </w:rPr>
      </w:pPr>
      <w:r>
        <w:rPr>
          <w:rFonts w:hint="eastAsia"/>
          <w:snapToGrid/>
        </w:rPr>
        <w:t>《就业津贴条例》</w:t>
      </w:r>
      <w:r>
        <w:rPr>
          <w:rFonts w:hint="eastAsia"/>
          <w:snapToGrid/>
        </w:rPr>
        <w:t>(1997</w:t>
      </w:r>
      <w:r>
        <w:rPr>
          <w:rFonts w:hint="eastAsia"/>
          <w:snapToGrid/>
        </w:rPr>
        <w:t>：</w:t>
      </w:r>
      <w:r>
        <w:rPr>
          <w:rFonts w:hint="eastAsia"/>
          <w:snapToGrid/>
        </w:rPr>
        <w:t>1275)</w:t>
      </w:r>
    </w:p>
    <w:p w:rsidR="00000000" w:rsidRDefault="00000000">
      <w:pPr>
        <w:ind w:left="1020"/>
        <w:rPr>
          <w:rFonts w:hint="eastAsia"/>
          <w:snapToGrid/>
        </w:rPr>
      </w:pPr>
      <w:r>
        <w:rPr>
          <w:rFonts w:hint="eastAsia"/>
          <w:snapToGrid/>
        </w:rPr>
        <w:t>《重新安置赠款条例》</w:t>
      </w:r>
      <w:r>
        <w:rPr>
          <w:rFonts w:hint="eastAsia"/>
          <w:snapToGrid/>
        </w:rPr>
        <w:t>(1999</w:t>
      </w:r>
      <w:r>
        <w:rPr>
          <w:rFonts w:hint="eastAsia"/>
          <w:snapToGrid/>
        </w:rPr>
        <w:t>：</w:t>
      </w:r>
      <w:r>
        <w:rPr>
          <w:rFonts w:hint="eastAsia"/>
          <w:snapToGrid/>
        </w:rPr>
        <w:t>594)</w:t>
      </w:r>
    </w:p>
    <w:p w:rsidR="00000000" w:rsidRDefault="00000000">
      <w:pPr>
        <w:ind w:left="1020"/>
        <w:rPr>
          <w:rFonts w:hint="eastAsia"/>
          <w:snapToGrid/>
        </w:rPr>
      </w:pPr>
      <w:r>
        <w:rPr>
          <w:rFonts w:hint="eastAsia"/>
          <w:snapToGrid/>
        </w:rPr>
        <w:t>《公休条例》</w:t>
      </w:r>
      <w:r>
        <w:rPr>
          <w:rFonts w:hint="eastAsia"/>
          <w:snapToGrid/>
        </w:rPr>
        <w:t>(</w:t>
      </w:r>
      <w:r>
        <w:rPr>
          <w:rFonts w:hint="eastAsia"/>
          <w:i/>
          <w:snapToGrid/>
        </w:rPr>
        <w:t>F</w:t>
      </w:r>
      <w:r>
        <w:rPr>
          <w:i/>
          <w:iCs/>
        </w:rPr>
        <w:t>ö</w:t>
      </w:r>
      <w:r>
        <w:rPr>
          <w:rFonts w:hint="eastAsia"/>
          <w:i/>
          <w:snapToGrid/>
        </w:rPr>
        <w:t>rordning(2001</w:t>
      </w:r>
      <w:r>
        <w:rPr>
          <w:rFonts w:hint="eastAsia"/>
          <w:i/>
          <w:snapToGrid/>
        </w:rPr>
        <w:t>：</w:t>
      </w:r>
      <w:r>
        <w:rPr>
          <w:rFonts w:hint="eastAsia"/>
          <w:i/>
          <w:snapToGrid/>
        </w:rPr>
        <w:t>1300) om fri</w:t>
      </w:r>
      <w:r>
        <w:rPr>
          <w:i/>
          <w:iCs/>
        </w:rPr>
        <w:t>ä</w:t>
      </w:r>
      <w:r>
        <w:rPr>
          <w:rFonts w:hint="eastAsia"/>
          <w:i/>
          <w:snapToGrid/>
        </w:rPr>
        <w:t>ret</w:t>
      </w:r>
      <w:r>
        <w:rPr>
          <w:rFonts w:hint="eastAsia"/>
          <w:snapToGrid/>
        </w:rPr>
        <w:t>)</w:t>
      </w:r>
    </w:p>
    <w:p w:rsidR="00000000" w:rsidRDefault="00000000">
      <w:pPr>
        <w:ind w:left="1020"/>
        <w:rPr>
          <w:rFonts w:hint="eastAsia"/>
          <w:snapToGrid/>
        </w:rPr>
      </w:pPr>
      <w:r>
        <w:rPr>
          <w:rFonts w:hint="eastAsia"/>
          <w:snapToGrid/>
        </w:rPr>
        <w:t>《工作地点引进条例》</w:t>
      </w:r>
      <w:r>
        <w:rPr>
          <w:rFonts w:hint="eastAsia"/>
          <w:snapToGrid/>
        </w:rPr>
        <w:t>(</w:t>
      </w:r>
      <w:r>
        <w:rPr>
          <w:rFonts w:hint="eastAsia"/>
          <w:i/>
          <w:snapToGrid/>
        </w:rPr>
        <w:t>F</w:t>
      </w:r>
      <w:r>
        <w:rPr>
          <w:i/>
          <w:iCs/>
        </w:rPr>
        <w:t>ö</w:t>
      </w:r>
      <w:r>
        <w:rPr>
          <w:rFonts w:hint="eastAsia"/>
          <w:i/>
          <w:snapToGrid/>
        </w:rPr>
        <w:t>rordning(2003</w:t>
      </w:r>
      <w:r>
        <w:rPr>
          <w:rFonts w:hint="eastAsia"/>
          <w:i/>
          <w:snapToGrid/>
        </w:rPr>
        <w:t>：</w:t>
      </w:r>
      <w:r>
        <w:rPr>
          <w:rFonts w:hint="eastAsia"/>
          <w:i/>
          <w:snapToGrid/>
        </w:rPr>
        <w:t>623) omarbetsplatsintroduktiont</w:t>
      </w:r>
      <w:r>
        <w:rPr>
          <w:rFonts w:hint="eastAsia"/>
          <w:snapToGrid/>
        </w:rPr>
        <w:t>)</w:t>
      </w:r>
    </w:p>
    <w:p w:rsidR="00000000" w:rsidRDefault="00000000">
      <w:pPr>
        <w:spacing w:after="320"/>
        <w:rPr>
          <w:rFonts w:hint="eastAsia"/>
          <w:snapToGrid/>
        </w:rPr>
      </w:pPr>
      <w:r>
        <w:rPr>
          <w:rFonts w:hint="eastAsia"/>
          <w:snapToGrid/>
        </w:rPr>
        <w:tab/>
        <w:t xml:space="preserve">120.  </w:t>
      </w:r>
      <w:r>
        <w:rPr>
          <w:rFonts w:hint="eastAsia"/>
          <w:snapToGrid/>
        </w:rPr>
        <w:t>《机会均等法》</w:t>
      </w:r>
      <w:r>
        <w:rPr>
          <w:rFonts w:hint="eastAsia"/>
          <w:snapToGrid/>
        </w:rPr>
        <w:t>(1991</w:t>
      </w:r>
      <w:r>
        <w:rPr>
          <w:rFonts w:hint="eastAsia"/>
          <w:snapToGrid/>
        </w:rPr>
        <w:t>：</w:t>
      </w:r>
      <w:r>
        <w:rPr>
          <w:rFonts w:hint="eastAsia"/>
          <w:snapToGrid/>
        </w:rPr>
        <w:t>443)</w:t>
      </w:r>
      <w:r>
        <w:rPr>
          <w:rFonts w:hint="eastAsia"/>
          <w:snapToGrid/>
        </w:rPr>
        <w:t>自从上次报告以来，已经在</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日和</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日修订过两次。修订案在《机会均等法》中充分实施了欧共体法律</w:t>
      </w:r>
      <w:r>
        <w:rPr>
          <w:rFonts w:hint="eastAsia"/>
          <w:snapToGrid/>
        </w:rPr>
        <w:t>(</w:t>
      </w:r>
      <w:r>
        <w:rPr>
          <w:rFonts w:hint="eastAsia"/>
          <w:snapToGrid/>
        </w:rPr>
        <w:t>理事会指令</w:t>
      </w:r>
      <w:r>
        <w:rPr>
          <w:rFonts w:hint="eastAsia"/>
          <w:snapToGrid/>
        </w:rPr>
        <w:t>97/80/EC)</w:t>
      </w:r>
      <w:r>
        <w:rPr>
          <w:rFonts w:hint="eastAsia"/>
          <w:snapToGrid/>
        </w:rPr>
        <w:t>的“举证义务”。关于更详细的情况，请参看瑞典在《消除对妇女一切形式歧视公约》之下提交的第</w:t>
      </w:r>
      <w:r>
        <w:rPr>
          <w:rFonts w:hint="eastAsia"/>
          <w:snapToGrid/>
        </w:rPr>
        <w:t>6</w:t>
      </w:r>
      <w:r>
        <w:rPr>
          <w:rFonts w:hint="eastAsia"/>
          <w:snapToGrid/>
        </w:rPr>
        <w:t>次和第</w:t>
      </w:r>
      <w:r>
        <w:rPr>
          <w:rFonts w:hint="eastAsia"/>
          <w:snapToGrid/>
        </w:rPr>
        <w:t>7</w:t>
      </w:r>
      <w:r>
        <w:rPr>
          <w:rFonts w:hint="eastAsia"/>
          <w:snapToGrid/>
        </w:rPr>
        <w:t>次定期报告。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b/>
          <w:u w:val="none"/>
        </w:rPr>
        <w:t>7</w:t>
      </w:r>
      <w:r>
        <w:rPr>
          <w:rFonts w:ascii="Time New Roman" w:eastAsia="SimHei" w:hAnsi="Time New Roman"/>
          <w:b/>
          <w:u w:val="none"/>
        </w:rPr>
        <w:t xml:space="preserve"> </w:t>
      </w:r>
      <w:r>
        <w:rPr>
          <w:rFonts w:ascii="Time New Roman" w:eastAsia="SimHei" w:hAnsi="Time New Roman" w:hint="eastAsia"/>
          <w:u w:val="none"/>
        </w:rPr>
        <w:t>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1</w:t>
      </w:r>
    </w:p>
    <w:p w:rsidR="00000000" w:rsidRDefault="00000000">
      <w:pPr>
        <w:spacing w:after="240"/>
        <w:rPr>
          <w:rFonts w:hint="eastAsia"/>
          <w:snapToGrid/>
        </w:rPr>
      </w:pPr>
      <w:r>
        <w:rPr>
          <w:rFonts w:hint="eastAsia"/>
          <w:snapToGrid/>
        </w:rPr>
        <w:tab/>
        <w:t xml:space="preserve">121.  </w:t>
      </w:r>
      <w:r>
        <w:rPr>
          <w:rFonts w:hint="eastAsia"/>
          <w:snapToGrid/>
        </w:rPr>
        <w:t>请参看瑞典的第</w:t>
      </w:r>
      <w:r>
        <w:rPr>
          <w:rFonts w:hint="eastAsia"/>
          <w:snapToGrid/>
        </w:rPr>
        <w:t>4</w:t>
      </w:r>
      <w:r>
        <w:rPr>
          <w:rFonts w:hint="eastAsia"/>
          <w:snapToGrid/>
        </w:rPr>
        <w:t>次定期报告。关于参看劳工组织报告是否恰当的问题在每条个别准则之下予以确定。</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w:t>
      </w:r>
    </w:p>
    <w:p w:rsidR="00000000" w:rsidRDefault="00000000">
      <w:pPr>
        <w:rPr>
          <w:rFonts w:hint="eastAsia"/>
          <w:snapToGrid/>
        </w:rPr>
      </w:pPr>
      <w:r>
        <w:rPr>
          <w:rFonts w:hint="eastAsia"/>
          <w:snapToGrid/>
        </w:rPr>
        <w:tab/>
        <w:t>122.</w:t>
      </w:r>
      <w:r>
        <w:rPr>
          <w:snapToGrid/>
        </w:rPr>
        <w:t xml:space="preserve">  (a)</w:t>
      </w:r>
      <w:r>
        <w:rPr>
          <w:rFonts w:hint="eastAsia"/>
          <w:snapToGrid/>
        </w:rPr>
        <w:t xml:space="preserve">  </w:t>
      </w:r>
      <w:r>
        <w:rPr>
          <w:rFonts w:hint="eastAsia"/>
          <w:snapToGrid/>
        </w:rPr>
        <w:t>请参看瑞典的第</w:t>
      </w:r>
      <w:r>
        <w:rPr>
          <w:rFonts w:hint="eastAsia"/>
          <w:snapToGrid/>
        </w:rPr>
        <w:t>4</w:t>
      </w:r>
      <w:r>
        <w:rPr>
          <w:rFonts w:hint="eastAsia"/>
          <w:snapToGrid/>
        </w:rPr>
        <w:t>次定期报告第</w:t>
      </w:r>
      <w:r>
        <w:rPr>
          <w:rFonts w:hint="eastAsia"/>
          <w:snapToGrid/>
        </w:rPr>
        <w:t>84</w:t>
      </w:r>
      <w:r>
        <w:rPr>
          <w:rFonts w:hint="eastAsia"/>
          <w:snapToGrid/>
        </w:rPr>
        <w:t>段。</w:t>
      </w:r>
    </w:p>
    <w:p w:rsidR="00000000" w:rsidRDefault="00000000">
      <w:r>
        <w:rPr>
          <w:rFonts w:hint="eastAsia"/>
          <w:snapToGrid/>
        </w:rPr>
        <w:tab/>
        <w:t xml:space="preserve">123.  </w:t>
      </w:r>
      <w:r>
        <w:rPr>
          <w:snapToGrid/>
        </w:rPr>
        <w:t>(b)</w:t>
      </w:r>
      <w:r>
        <w:rPr>
          <w:rFonts w:hint="eastAsia"/>
          <w:snapToGrid/>
        </w:rPr>
        <w:t xml:space="preserve">  </w:t>
      </w:r>
      <w:r>
        <w:rPr>
          <w:rFonts w:hint="eastAsia"/>
          <w:snapToGrid/>
        </w:rPr>
        <w:t>瑞典没有一项最低工资法。工资通过集体协议确定。在有的情况下，关于最低工资的规则受到集体协议的管制。</w:t>
      </w:r>
    </w:p>
    <w:p w:rsidR="00000000" w:rsidRDefault="00000000">
      <w:pPr>
        <w:spacing w:after="240"/>
        <w:rPr>
          <w:rFonts w:hint="eastAsia"/>
          <w:snapToGrid/>
        </w:rPr>
      </w:pPr>
      <w:r>
        <w:rPr>
          <w:rFonts w:hint="eastAsia"/>
          <w:snapToGrid/>
        </w:rPr>
        <w:tab/>
        <w:t xml:space="preserve">124.  </w:t>
      </w:r>
      <w:r>
        <w:t>(c)</w:t>
      </w:r>
      <w:r>
        <w:rPr>
          <w:rFonts w:hint="eastAsia"/>
        </w:rPr>
        <w:t xml:space="preserve">  </w:t>
      </w:r>
      <w:r>
        <w:rPr>
          <w:rFonts w:hint="eastAsia"/>
        </w:rPr>
        <w:t>工资统计。</w:t>
      </w:r>
      <w:r>
        <w:rPr>
          <w:rFonts w:hint="eastAsia"/>
          <w:snapToGrid/>
        </w:rPr>
        <w:t>官方的工资统计的编制包括整个劳工市场。已经设计了一套方法，使得可以连续追踪妇女和男子的工资差距。资料由瑞典统计局每年提出报告。</w:t>
      </w:r>
    </w:p>
    <w:p w:rsidR="00000000" w:rsidRDefault="00000000">
      <w:pPr>
        <w:pStyle w:val="Heading4"/>
        <w:rPr>
          <w:rFonts w:hint="eastAsia"/>
        </w:rPr>
      </w:pPr>
      <w:r>
        <w:rPr>
          <w:rFonts w:hint="eastAsia"/>
        </w:rPr>
        <w:t>20</w:t>
      </w:r>
      <w:r>
        <w:rPr>
          <w:rFonts w:hint="eastAsia"/>
        </w:rPr>
        <w:t>世纪</w:t>
      </w:r>
      <w:r>
        <w:rPr>
          <w:rFonts w:hint="eastAsia"/>
        </w:rPr>
        <w:t>90</w:t>
      </w:r>
      <w:r>
        <w:rPr>
          <w:rFonts w:hint="eastAsia"/>
        </w:rPr>
        <w:t>年代初以来收入差距未见改善</w:t>
      </w:r>
    </w:p>
    <w:p w:rsidR="00000000" w:rsidRDefault="00000000">
      <w:pPr>
        <w:spacing w:after="320"/>
        <w:rPr>
          <w:rFonts w:hint="eastAsia"/>
          <w:snapToGrid/>
        </w:rPr>
      </w:pPr>
      <w:r>
        <w:rPr>
          <w:rFonts w:hint="eastAsia"/>
          <w:snapToGrid/>
        </w:rPr>
        <w:tab/>
        <w:t xml:space="preserve">125.  </w:t>
      </w:r>
      <w:r>
        <w:rPr>
          <w:rFonts w:hint="eastAsia"/>
          <w:snapToGrid/>
        </w:rPr>
        <w:t>从</w:t>
      </w:r>
      <w:r>
        <w:rPr>
          <w:rFonts w:hint="eastAsia"/>
          <w:snapToGrid/>
        </w:rPr>
        <w:t>20</w:t>
      </w:r>
      <w:r>
        <w:rPr>
          <w:rFonts w:hint="eastAsia"/>
          <w:snapToGrid/>
        </w:rPr>
        <w:t>世纪</w:t>
      </w:r>
      <w:r>
        <w:rPr>
          <w:rFonts w:hint="eastAsia"/>
          <w:snapToGrid/>
        </w:rPr>
        <w:t>90</w:t>
      </w:r>
      <w:r>
        <w:rPr>
          <w:rFonts w:hint="eastAsia"/>
          <w:snapToGrid/>
        </w:rPr>
        <w:t>年代初以来，收入差距基本上保持不变。根据工资统计资料，妇女工资平均相当于男子工资的</w:t>
      </w:r>
      <w:r>
        <w:rPr>
          <w:rFonts w:hint="eastAsia"/>
          <w:snapToGrid/>
        </w:rPr>
        <w:t>84%</w:t>
      </w:r>
      <w:r>
        <w:rPr>
          <w:rFonts w:hint="eastAsia"/>
          <w:snapToGrid/>
        </w:rPr>
        <w:t>。如果对统计数字进行调整，按照年龄、教育水准、工作时间、部门和职业群体对妇女和男子进行分布，则收入差距缩小，妇女工资相当于男子工资的</w:t>
      </w:r>
      <w:r>
        <w:rPr>
          <w:rFonts w:hint="eastAsia"/>
          <w:snapToGrid/>
        </w:rPr>
        <w:t>92%</w:t>
      </w:r>
      <w:r>
        <w:rPr>
          <w:rFonts w:hint="eastAsia"/>
          <w:snapToGrid/>
        </w:rPr>
        <w:t>。职业群体是解释收入差距的最强有力的因素</w:t>
      </w:r>
      <w:r>
        <w:rPr>
          <w:rFonts w:hint="eastAsia"/>
          <w:snapToGrid/>
        </w:rPr>
        <w:t>(</w:t>
      </w:r>
      <w:r>
        <w:rPr>
          <w:rFonts w:hint="eastAsia"/>
          <w:snapToGrid/>
        </w:rPr>
        <w:t>全部计算均以全日工作工资为基础。</w:t>
      </w:r>
      <w:r>
        <w:rPr>
          <w:rFonts w:hint="eastAsia"/>
          <w:snapToGrid/>
        </w:rPr>
        <w:t>)</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7</w:t>
      </w:r>
      <w:r>
        <w:rPr>
          <w:rFonts w:ascii="Time New Roman" w:eastAsia="SimHei" w:hAnsi="Time New Roman" w:hint="eastAsia"/>
          <w:u w:val="none"/>
        </w:rPr>
        <w:t>：</w:t>
      </w:r>
      <w:r>
        <w:rPr>
          <w:rFonts w:ascii="Time New Roman" w:eastAsia="SimHei" w:hAnsi="Time New Roman" w:hint="eastAsia"/>
          <w:b/>
          <w:u w:val="none"/>
        </w:rPr>
        <w:t>1</w:t>
      </w:r>
    </w:p>
    <w:p w:rsidR="00000000" w:rsidRDefault="00000000">
      <w:pPr>
        <w:pStyle w:val="Heading3"/>
        <w:rPr>
          <w:rFonts w:hint="eastAsia"/>
        </w:rPr>
      </w:pPr>
      <w:r>
        <w:rPr>
          <w:rFonts w:ascii="Time New Roman" w:eastAsia="SimHei" w:hAnsi="Time New Roman" w:hint="eastAsia"/>
          <w:b/>
          <w:u w:val="none"/>
        </w:rPr>
        <w:t>1992</w:t>
      </w:r>
      <w:r>
        <w:rPr>
          <w:rFonts w:ascii="Time New Roman" w:eastAsia="SimHei" w:hAnsi="Time New Roman"/>
          <w:u w:val="none"/>
        </w:rPr>
        <w:t>-</w:t>
      </w:r>
      <w:r>
        <w:rPr>
          <w:rFonts w:ascii="Time New Roman" w:eastAsia="SimHei" w:hAnsi="Time New Roman" w:hint="eastAsia"/>
          <w:b/>
          <w:u w:val="none"/>
        </w:rPr>
        <w:t>2004</w:t>
      </w:r>
      <w:r>
        <w:rPr>
          <w:rFonts w:ascii="Time New Roman" w:eastAsia="SimHei" w:hAnsi="Time New Roman" w:hint="eastAsia"/>
          <w:u w:val="none"/>
        </w:rPr>
        <w:t>年妇女工资占男子工资的百分比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
        <w:gridCol w:w="717"/>
        <w:gridCol w:w="719"/>
        <w:gridCol w:w="837"/>
        <w:gridCol w:w="719"/>
        <w:gridCol w:w="837"/>
        <w:gridCol w:w="599"/>
        <w:gridCol w:w="837"/>
        <w:gridCol w:w="599"/>
        <w:gridCol w:w="837"/>
        <w:gridCol w:w="599"/>
        <w:gridCol w:w="901"/>
        <w:gridCol w:w="523"/>
      </w:tblGrid>
      <w:tr w:rsidR="00000000">
        <w:tblPrEx>
          <w:tblCellMar>
            <w:top w:w="0" w:type="dxa"/>
            <w:bottom w:w="0" w:type="dxa"/>
          </w:tblCellMar>
        </w:tblPrEx>
        <w:trPr>
          <w:cantSplit/>
        </w:trPr>
        <w:tc>
          <w:tcPr>
            <w:tcW w:w="341" w:type="pct"/>
            <w:vMerge w:val="restart"/>
            <w:tcBorders>
              <w:top w:val="single" w:sz="4" w:space="0" w:color="auto"/>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年份</w:t>
            </w:r>
          </w:p>
        </w:tc>
        <w:tc>
          <w:tcPr>
            <w:tcW w:w="767" w:type="pct"/>
            <w:gridSpan w:val="2"/>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主要城市</w:t>
            </w:r>
          </w:p>
        </w:tc>
        <w:tc>
          <w:tcPr>
            <w:tcW w:w="831" w:type="pct"/>
            <w:gridSpan w:val="2"/>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省级城市</w:t>
            </w:r>
          </w:p>
        </w:tc>
        <w:tc>
          <w:tcPr>
            <w:tcW w:w="767" w:type="pct"/>
            <w:gridSpan w:val="2"/>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国家部门</w:t>
            </w:r>
          </w:p>
        </w:tc>
        <w:tc>
          <w:tcPr>
            <w:tcW w:w="767" w:type="pct"/>
            <w:gridSpan w:val="2"/>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公营部门</w:t>
            </w:r>
          </w:p>
        </w:tc>
        <w:tc>
          <w:tcPr>
            <w:tcW w:w="767" w:type="pct"/>
            <w:gridSpan w:val="2"/>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私营部门</w:t>
            </w:r>
          </w:p>
        </w:tc>
        <w:tc>
          <w:tcPr>
            <w:tcW w:w="761" w:type="pct"/>
            <w:gridSpan w:val="2"/>
            <w:tcMar>
              <w:left w:w="0" w:type="dxa"/>
              <w:right w:w="0" w:type="dxa"/>
            </w:tcMar>
            <w:vAlign w:val="center"/>
          </w:tcPr>
          <w:p w:rsidR="00000000" w:rsidRDefault="00000000">
            <w:pPr>
              <w:pStyle w:val="ac"/>
              <w:spacing w:before="40" w:after="40" w:line="240" w:lineRule="exact"/>
              <w:jc w:val="center"/>
              <w:rPr>
                <w:rFonts w:ascii="Time New Roman" w:eastAsia="SimHei" w:hAnsi="Time New Roman" w:hint="eastAsia"/>
              </w:rPr>
            </w:pPr>
            <w:r>
              <w:rPr>
                <w:rFonts w:ascii="Time New Roman" w:eastAsia="SimHei" w:hAnsi="Time New Roman" w:hint="eastAsia"/>
              </w:rPr>
              <w:t>所有部门</w:t>
            </w:r>
          </w:p>
        </w:tc>
      </w:tr>
      <w:tr w:rsidR="00000000">
        <w:tblPrEx>
          <w:tblCellMar>
            <w:top w:w="0" w:type="dxa"/>
            <w:bottom w:w="0" w:type="dxa"/>
          </w:tblCellMar>
        </w:tblPrEx>
        <w:trPr>
          <w:cantSplit/>
          <w:trHeight w:val="20"/>
        </w:trPr>
        <w:tc>
          <w:tcPr>
            <w:tcW w:w="341" w:type="pct"/>
            <w:vMerge/>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p>
        </w:tc>
        <w:tc>
          <w:tcPr>
            <w:tcW w:w="383"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hint="eastAsia"/>
              </w:rPr>
              <w:t>非</w:t>
            </w:r>
            <w:r>
              <w:rPr>
                <w:rFonts w:ascii="Time New Roman" w:eastAsia="SimHei" w:hAnsi="Time New Roman"/>
              </w:rPr>
              <w:t>SW</w:t>
            </w:r>
          </w:p>
        </w:tc>
        <w:tc>
          <w:tcPr>
            <w:tcW w:w="384"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rPr>
              <w:t>SW</w:t>
            </w:r>
          </w:p>
        </w:tc>
        <w:tc>
          <w:tcPr>
            <w:tcW w:w="447"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hint="eastAsia"/>
              </w:rPr>
              <w:t>非</w:t>
            </w:r>
            <w:r>
              <w:rPr>
                <w:rFonts w:ascii="Time New Roman" w:eastAsia="SimHei" w:hAnsi="Time New Roman"/>
              </w:rPr>
              <w:t>SW</w:t>
            </w:r>
          </w:p>
        </w:tc>
        <w:tc>
          <w:tcPr>
            <w:tcW w:w="384"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rPr>
              <w:t>SW</w:t>
            </w:r>
          </w:p>
        </w:tc>
        <w:tc>
          <w:tcPr>
            <w:tcW w:w="447"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hint="eastAsia"/>
              </w:rPr>
              <w:t>非</w:t>
            </w:r>
            <w:r>
              <w:rPr>
                <w:rFonts w:ascii="Time New Roman" w:eastAsia="SimHei" w:hAnsi="Time New Roman"/>
              </w:rPr>
              <w:t>SW</w:t>
            </w:r>
          </w:p>
        </w:tc>
        <w:tc>
          <w:tcPr>
            <w:tcW w:w="320"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rPr>
              <w:t>SW</w:t>
            </w:r>
          </w:p>
        </w:tc>
        <w:tc>
          <w:tcPr>
            <w:tcW w:w="447"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hint="eastAsia"/>
              </w:rPr>
              <w:t>非</w:t>
            </w:r>
            <w:r>
              <w:rPr>
                <w:rFonts w:ascii="Time New Roman" w:eastAsia="SimHei" w:hAnsi="Time New Roman"/>
              </w:rPr>
              <w:t>SW</w:t>
            </w:r>
          </w:p>
        </w:tc>
        <w:tc>
          <w:tcPr>
            <w:tcW w:w="320"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rPr>
              <w:t>SW</w:t>
            </w:r>
          </w:p>
        </w:tc>
        <w:tc>
          <w:tcPr>
            <w:tcW w:w="447"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hint="eastAsia"/>
              </w:rPr>
              <w:t>非</w:t>
            </w:r>
            <w:r>
              <w:rPr>
                <w:rFonts w:ascii="Time New Roman" w:eastAsia="SimHei" w:hAnsi="Time New Roman"/>
              </w:rPr>
              <w:t>SW</w:t>
            </w:r>
          </w:p>
        </w:tc>
        <w:tc>
          <w:tcPr>
            <w:tcW w:w="320"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rPr>
              <w:t>SW</w:t>
            </w:r>
          </w:p>
        </w:tc>
        <w:tc>
          <w:tcPr>
            <w:tcW w:w="481"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hint="eastAsia"/>
              </w:rPr>
              <w:t>非</w:t>
            </w:r>
            <w:r>
              <w:rPr>
                <w:rFonts w:ascii="Time New Roman" w:eastAsia="SimHei" w:hAnsi="Time New Roman"/>
              </w:rPr>
              <w:t>SW</w:t>
            </w:r>
          </w:p>
        </w:tc>
        <w:tc>
          <w:tcPr>
            <w:tcW w:w="280" w:type="pct"/>
            <w:tcBorders>
              <w:bottom w:val="nil"/>
            </w:tcBorders>
            <w:tcMar>
              <w:left w:w="0" w:type="dxa"/>
              <w:right w:w="0" w:type="dxa"/>
            </w:tcMar>
            <w:vAlign w:val="center"/>
          </w:tcPr>
          <w:p w:rsidR="00000000" w:rsidRDefault="00000000">
            <w:pPr>
              <w:pStyle w:val="ac"/>
              <w:spacing w:before="40" w:after="40" w:line="240" w:lineRule="exact"/>
              <w:jc w:val="center"/>
              <w:rPr>
                <w:rFonts w:ascii="Time New Roman" w:eastAsia="SimHei" w:hAnsi="Time New Roman"/>
              </w:rPr>
            </w:pPr>
            <w:r>
              <w:rPr>
                <w:rFonts w:ascii="Time New Roman" w:eastAsia="SimHei" w:hAnsi="Time New Roman"/>
              </w:rPr>
              <w:t>SW</w:t>
            </w:r>
          </w:p>
        </w:tc>
      </w:tr>
      <w:tr w:rsidR="00000000">
        <w:tblPrEx>
          <w:tblCellMar>
            <w:top w:w="0" w:type="dxa"/>
            <w:bottom w:w="0" w:type="dxa"/>
          </w:tblCellMar>
        </w:tblPrEx>
        <w:trPr>
          <w:trHeight w:val="20"/>
        </w:trPr>
        <w:tc>
          <w:tcPr>
            <w:tcW w:w="341" w:type="pct"/>
            <w:tcBorders>
              <w:bottom w:val="nil"/>
            </w:tcBorders>
          </w:tcPr>
          <w:p w:rsidR="00000000" w:rsidRDefault="00000000">
            <w:pPr>
              <w:pStyle w:val="ac"/>
              <w:spacing w:line="240" w:lineRule="exact"/>
            </w:pPr>
            <w:r>
              <w:t>1992</w:t>
            </w:r>
          </w:p>
        </w:tc>
        <w:tc>
          <w:tcPr>
            <w:tcW w:w="383" w:type="pct"/>
            <w:tcBorders>
              <w:bottom w:val="nil"/>
            </w:tcBorders>
          </w:tcPr>
          <w:p w:rsidR="00000000" w:rsidRDefault="00000000">
            <w:pPr>
              <w:pStyle w:val="ac"/>
              <w:spacing w:line="240" w:lineRule="exact"/>
              <w:jc w:val="center"/>
            </w:pPr>
            <w:r>
              <w:t>86</w:t>
            </w:r>
          </w:p>
        </w:tc>
        <w:tc>
          <w:tcPr>
            <w:tcW w:w="384" w:type="pct"/>
            <w:tcBorders>
              <w:bottom w:val="nil"/>
            </w:tcBorders>
          </w:tcPr>
          <w:p w:rsidR="00000000" w:rsidRDefault="00000000">
            <w:pPr>
              <w:pStyle w:val="ac"/>
              <w:spacing w:line="240" w:lineRule="exact"/>
              <w:jc w:val="center"/>
            </w:pPr>
            <w:r>
              <w:t>-</w:t>
            </w:r>
          </w:p>
        </w:tc>
        <w:tc>
          <w:tcPr>
            <w:tcW w:w="447" w:type="pct"/>
            <w:tcBorders>
              <w:bottom w:val="nil"/>
            </w:tcBorders>
          </w:tcPr>
          <w:p w:rsidR="00000000" w:rsidRDefault="00000000">
            <w:pPr>
              <w:pStyle w:val="ac"/>
              <w:spacing w:line="240" w:lineRule="exact"/>
              <w:jc w:val="center"/>
            </w:pPr>
            <w:r>
              <w:t>75</w:t>
            </w:r>
          </w:p>
        </w:tc>
        <w:tc>
          <w:tcPr>
            <w:tcW w:w="384" w:type="pct"/>
            <w:tcBorders>
              <w:bottom w:val="nil"/>
            </w:tcBorders>
          </w:tcPr>
          <w:p w:rsidR="00000000" w:rsidRDefault="00000000">
            <w:pPr>
              <w:pStyle w:val="ac"/>
              <w:spacing w:line="240" w:lineRule="exact"/>
              <w:jc w:val="center"/>
            </w:pPr>
            <w:r>
              <w:t>-</w:t>
            </w:r>
          </w:p>
        </w:tc>
        <w:tc>
          <w:tcPr>
            <w:tcW w:w="447" w:type="pct"/>
            <w:tcBorders>
              <w:bottom w:val="nil"/>
            </w:tcBorders>
          </w:tcPr>
          <w:p w:rsidR="00000000" w:rsidRDefault="00000000">
            <w:pPr>
              <w:pStyle w:val="ac"/>
              <w:spacing w:line="240" w:lineRule="exact"/>
              <w:jc w:val="center"/>
            </w:pPr>
            <w:r>
              <w:t>84</w:t>
            </w:r>
          </w:p>
        </w:tc>
        <w:tc>
          <w:tcPr>
            <w:tcW w:w="320" w:type="pct"/>
            <w:tcBorders>
              <w:bottom w:val="nil"/>
            </w:tcBorders>
          </w:tcPr>
          <w:p w:rsidR="00000000" w:rsidRDefault="00000000">
            <w:pPr>
              <w:pStyle w:val="ac"/>
              <w:spacing w:line="240" w:lineRule="exact"/>
              <w:jc w:val="center"/>
            </w:pPr>
            <w:r>
              <w:t>-</w:t>
            </w:r>
          </w:p>
        </w:tc>
        <w:tc>
          <w:tcPr>
            <w:tcW w:w="447" w:type="pct"/>
            <w:tcBorders>
              <w:bottom w:val="nil"/>
            </w:tcBorders>
          </w:tcPr>
          <w:p w:rsidR="00000000" w:rsidRDefault="00000000">
            <w:pPr>
              <w:pStyle w:val="ac"/>
              <w:spacing w:line="240" w:lineRule="exact"/>
              <w:jc w:val="center"/>
            </w:pPr>
            <w:r>
              <w:t>83</w:t>
            </w:r>
          </w:p>
        </w:tc>
        <w:tc>
          <w:tcPr>
            <w:tcW w:w="320" w:type="pct"/>
            <w:tcBorders>
              <w:bottom w:val="nil"/>
            </w:tcBorders>
          </w:tcPr>
          <w:p w:rsidR="00000000" w:rsidRDefault="00000000">
            <w:pPr>
              <w:pStyle w:val="ac"/>
              <w:spacing w:line="240" w:lineRule="exact"/>
              <w:jc w:val="center"/>
            </w:pPr>
            <w:r>
              <w:t>-</w:t>
            </w:r>
          </w:p>
        </w:tc>
        <w:tc>
          <w:tcPr>
            <w:tcW w:w="447" w:type="pct"/>
            <w:tcBorders>
              <w:bottom w:val="nil"/>
            </w:tcBorders>
          </w:tcPr>
          <w:p w:rsidR="00000000" w:rsidRDefault="00000000">
            <w:pPr>
              <w:pStyle w:val="ac"/>
              <w:spacing w:line="240" w:lineRule="exact"/>
              <w:jc w:val="center"/>
            </w:pPr>
            <w:r>
              <w:t>83</w:t>
            </w:r>
          </w:p>
        </w:tc>
        <w:tc>
          <w:tcPr>
            <w:tcW w:w="320" w:type="pct"/>
            <w:tcBorders>
              <w:bottom w:val="nil"/>
            </w:tcBorders>
          </w:tcPr>
          <w:p w:rsidR="00000000" w:rsidRDefault="00000000">
            <w:pPr>
              <w:pStyle w:val="ac"/>
              <w:spacing w:line="240" w:lineRule="exact"/>
              <w:jc w:val="center"/>
            </w:pPr>
            <w:r>
              <w:t>-</w:t>
            </w:r>
          </w:p>
        </w:tc>
        <w:tc>
          <w:tcPr>
            <w:tcW w:w="481" w:type="pct"/>
            <w:tcBorders>
              <w:bottom w:val="nil"/>
            </w:tcBorders>
          </w:tcPr>
          <w:p w:rsidR="00000000" w:rsidRDefault="00000000">
            <w:pPr>
              <w:pStyle w:val="ac"/>
              <w:spacing w:line="240" w:lineRule="exact"/>
              <w:jc w:val="center"/>
            </w:pPr>
            <w:r>
              <w:t>84</w:t>
            </w:r>
          </w:p>
        </w:tc>
        <w:tc>
          <w:tcPr>
            <w:tcW w:w="280" w:type="pct"/>
            <w:tcBorders>
              <w:bottom w:val="nil"/>
            </w:tcBorders>
          </w:tcPr>
          <w:p w:rsidR="00000000" w:rsidRDefault="00000000">
            <w:pPr>
              <w:pStyle w:val="ac"/>
              <w:spacing w:line="240" w:lineRule="exact"/>
              <w:jc w:val="center"/>
            </w:pPr>
            <w:r>
              <w:t>-</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1993</w:t>
            </w:r>
          </w:p>
        </w:tc>
        <w:tc>
          <w:tcPr>
            <w:tcW w:w="383" w:type="pct"/>
            <w:tcBorders>
              <w:top w:val="nil"/>
              <w:bottom w:val="nil"/>
            </w:tcBorders>
          </w:tcPr>
          <w:p w:rsidR="00000000" w:rsidRDefault="00000000">
            <w:pPr>
              <w:pStyle w:val="ac"/>
              <w:spacing w:line="240" w:lineRule="exact"/>
              <w:jc w:val="center"/>
            </w:pPr>
            <w:r>
              <w:t>85</w:t>
            </w:r>
          </w:p>
        </w:tc>
        <w:tc>
          <w:tcPr>
            <w:tcW w:w="384"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75</w:t>
            </w:r>
          </w:p>
        </w:tc>
        <w:tc>
          <w:tcPr>
            <w:tcW w:w="384"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w:t>
            </w:r>
          </w:p>
        </w:tc>
        <w:tc>
          <w:tcPr>
            <w:tcW w:w="481" w:type="pct"/>
            <w:tcBorders>
              <w:top w:val="nil"/>
              <w:bottom w:val="nil"/>
            </w:tcBorders>
          </w:tcPr>
          <w:p w:rsidR="00000000" w:rsidRDefault="00000000">
            <w:pPr>
              <w:pStyle w:val="ac"/>
              <w:spacing w:line="240" w:lineRule="exact"/>
              <w:jc w:val="center"/>
            </w:pPr>
            <w:r>
              <w:t>84</w:t>
            </w:r>
          </w:p>
        </w:tc>
        <w:tc>
          <w:tcPr>
            <w:tcW w:w="280" w:type="pct"/>
            <w:tcBorders>
              <w:top w:val="nil"/>
              <w:bottom w:val="nil"/>
            </w:tcBorders>
          </w:tcPr>
          <w:p w:rsidR="00000000" w:rsidRDefault="00000000">
            <w:pPr>
              <w:pStyle w:val="ac"/>
              <w:spacing w:line="240" w:lineRule="exact"/>
              <w:jc w:val="center"/>
            </w:pPr>
            <w:r>
              <w:t>-</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1994</w:t>
            </w:r>
          </w:p>
        </w:tc>
        <w:tc>
          <w:tcPr>
            <w:tcW w:w="383" w:type="pct"/>
            <w:tcBorders>
              <w:top w:val="nil"/>
              <w:bottom w:val="nil"/>
            </w:tcBorders>
          </w:tcPr>
          <w:p w:rsidR="00000000" w:rsidRDefault="00000000">
            <w:pPr>
              <w:pStyle w:val="ac"/>
              <w:spacing w:line="240" w:lineRule="exact"/>
              <w:jc w:val="center"/>
            </w:pPr>
            <w:r>
              <w:t>86</w:t>
            </w:r>
          </w:p>
        </w:tc>
        <w:tc>
          <w:tcPr>
            <w:tcW w:w="384"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74</w:t>
            </w:r>
          </w:p>
        </w:tc>
        <w:tc>
          <w:tcPr>
            <w:tcW w:w="384"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85</w:t>
            </w:r>
          </w:p>
        </w:tc>
        <w:tc>
          <w:tcPr>
            <w:tcW w:w="320" w:type="pct"/>
            <w:tcBorders>
              <w:top w:val="nil"/>
              <w:bottom w:val="nil"/>
            </w:tcBorders>
          </w:tcPr>
          <w:p w:rsidR="00000000" w:rsidRDefault="00000000">
            <w:pPr>
              <w:pStyle w:val="ac"/>
              <w:spacing w:line="240" w:lineRule="exact"/>
              <w:jc w:val="center"/>
            </w:pPr>
            <w:r>
              <w:t>-</w:t>
            </w:r>
          </w:p>
        </w:tc>
        <w:tc>
          <w:tcPr>
            <w:tcW w:w="481" w:type="pct"/>
            <w:tcBorders>
              <w:top w:val="nil"/>
              <w:bottom w:val="nil"/>
            </w:tcBorders>
          </w:tcPr>
          <w:p w:rsidR="00000000" w:rsidRDefault="00000000">
            <w:pPr>
              <w:pStyle w:val="ac"/>
              <w:spacing w:line="240" w:lineRule="exact"/>
              <w:jc w:val="center"/>
            </w:pPr>
            <w:r>
              <w:t>84</w:t>
            </w:r>
          </w:p>
        </w:tc>
        <w:tc>
          <w:tcPr>
            <w:tcW w:w="280" w:type="pct"/>
            <w:tcBorders>
              <w:top w:val="nil"/>
              <w:bottom w:val="nil"/>
            </w:tcBorders>
          </w:tcPr>
          <w:p w:rsidR="00000000" w:rsidRDefault="00000000">
            <w:pPr>
              <w:pStyle w:val="ac"/>
              <w:spacing w:line="240" w:lineRule="exact"/>
              <w:jc w:val="center"/>
            </w:pPr>
            <w:r>
              <w:t>-</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1995</w:t>
            </w:r>
          </w:p>
        </w:tc>
        <w:tc>
          <w:tcPr>
            <w:tcW w:w="383" w:type="pct"/>
            <w:tcBorders>
              <w:top w:val="nil"/>
              <w:bottom w:val="nil"/>
            </w:tcBorders>
          </w:tcPr>
          <w:p w:rsidR="00000000" w:rsidRDefault="00000000">
            <w:pPr>
              <w:pStyle w:val="ac"/>
              <w:spacing w:line="240" w:lineRule="exact"/>
              <w:jc w:val="center"/>
            </w:pPr>
            <w:r>
              <w:t>87</w:t>
            </w:r>
          </w:p>
        </w:tc>
        <w:tc>
          <w:tcPr>
            <w:tcW w:w="384"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72</w:t>
            </w:r>
          </w:p>
        </w:tc>
        <w:tc>
          <w:tcPr>
            <w:tcW w:w="384"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w:t>
            </w:r>
          </w:p>
        </w:tc>
        <w:tc>
          <w:tcPr>
            <w:tcW w:w="447" w:type="pct"/>
            <w:tcBorders>
              <w:top w:val="nil"/>
              <w:bottom w:val="nil"/>
            </w:tcBorders>
          </w:tcPr>
          <w:p w:rsidR="00000000" w:rsidRDefault="00000000">
            <w:pPr>
              <w:pStyle w:val="ac"/>
              <w:spacing w:line="240" w:lineRule="exact"/>
              <w:jc w:val="center"/>
            </w:pPr>
            <w:r>
              <w:t>85</w:t>
            </w:r>
          </w:p>
        </w:tc>
        <w:tc>
          <w:tcPr>
            <w:tcW w:w="320" w:type="pct"/>
            <w:tcBorders>
              <w:top w:val="nil"/>
              <w:bottom w:val="nil"/>
            </w:tcBorders>
          </w:tcPr>
          <w:p w:rsidR="00000000" w:rsidRDefault="00000000">
            <w:pPr>
              <w:pStyle w:val="ac"/>
              <w:spacing w:line="240" w:lineRule="exact"/>
              <w:jc w:val="center"/>
            </w:pPr>
            <w:r>
              <w:t>-</w:t>
            </w:r>
          </w:p>
        </w:tc>
        <w:tc>
          <w:tcPr>
            <w:tcW w:w="481" w:type="pct"/>
            <w:tcBorders>
              <w:top w:val="nil"/>
              <w:bottom w:val="nil"/>
            </w:tcBorders>
          </w:tcPr>
          <w:p w:rsidR="00000000" w:rsidRDefault="00000000">
            <w:pPr>
              <w:pStyle w:val="ac"/>
              <w:spacing w:line="240" w:lineRule="exact"/>
              <w:jc w:val="center"/>
            </w:pPr>
            <w:r>
              <w:t>85</w:t>
            </w:r>
          </w:p>
        </w:tc>
        <w:tc>
          <w:tcPr>
            <w:tcW w:w="280" w:type="pct"/>
            <w:tcBorders>
              <w:top w:val="nil"/>
              <w:bottom w:val="nil"/>
            </w:tcBorders>
          </w:tcPr>
          <w:p w:rsidR="00000000" w:rsidRDefault="00000000">
            <w:pPr>
              <w:pStyle w:val="ac"/>
              <w:spacing w:line="240" w:lineRule="exact"/>
              <w:jc w:val="center"/>
            </w:pPr>
            <w:r>
              <w:t>-</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1996</w:t>
            </w:r>
          </w:p>
        </w:tc>
        <w:tc>
          <w:tcPr>
            <w:tcW w:w="383" w:type="pct"/>
            <w:tcBorders>
              <w:top w:val="nil"/>
              <w:bottom w:val="nil"/>
            </w:tcBorders>
          </w:tcPr>
          <w:p w:rsidR="00000000" w:rsidRDefault="00000000">
            <w:pPr>
              <w:pStyle w:val="ac"/>
              <w:spacing w:line="240" w:lineRule="exact"/>
              <w:jc w:val="center"/>
            </w:pPr>
            <w:r>
              <w:t>87</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94</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93</w:t>
            </w:r>
          </w:p>
        </w:tc>
        <w:tc>
          <w:tcPr>
            <w:tcW w:w="447" w:type="pct"/>
            <w:tcBorders>
              <w:top w:val="nil"/>
              <w:bottom w:val="nil"/>
            </w:tcBorders>
          </w:tcPr>
          <w:p w:rsidR="00000000" w:rsidRDefault="00000000">
            <w:pPr>
              <w:pStyle w:val="ac"/>
              <w:spacing w:line="240" w:lineRule="exact"/>
              <w:jc w:val="center"/>
            </w:pPr>
            <w:r>
              <w:t>81</w:t>
            </w:r>
          </w:p>
        </w:tc>
        <w:tc>
          <w:tcPr>
            <w:tcW w:w="320" w:type="pct"/>
            <w:tcBorders>
              <w:top w:val="nil"/>
              <w:bottom w:val="nil"/>
            </w:tcBorders>
          </w:tcPr>
          <w:p w:rsidR="00000000" w:rsidRDefault="00000000">
            <w:pPr>
              <w:pStyle w:val="ac"/>
              <w:spacing w:line="240" w:lineRule="exact"/>
              <w:jc w:val="center"/>
            </w:pPr>
            <w:r>
              <w:t>95</w:t>
            </w:r>
          </w:p>
        </w:tc>
        <w:tc>
          <w:tcPr>
            <w:tcW w:w="447" w:type="pct"/>
            <w:tcBorders>
              <w:top w:val="nil"/>
              <w:bottom w:val="nil"/>
            </w:tcBorders>
          </w:tcPr>
          <w:p w:rsidR="00000000" w:rsidRDefault="00000000">
            <w:pPr>
              <w:pStyle w:val="ac"/>
              <w:spacing w:line="240" w:lineRule="exact"/>
              <w:jc w:val="center"/>
            </w:pPr>
            <w:r>
              <w:t>85</w:t>
            </w:r>
          </w:p>
        </w:tc>
        <w:tc>
          <w:tcPr>
            <w:tcW w:w="320" w:type="pct"/>
            <w:tcBorders>
              <w:top w:val="nil"/>
              <w:bottom w:val="nil"/>
            </w:tcBorders>
          </w:tcPr>
          <w:p w:rsidR="00000000" w:rsidRDefault="00000000">
            <w:pPr>
              <w:pStyle w:val="ac"/>
              <w:spacing w:line="240" w:lineRule="exact"/>
              <w:jc w:val="center"/>
            </w:pPr>
            <w:r>
              <w:t>91</w:t>
            </w:r>
          </w:p>
        </w:tc>
        <w:tc>
          <w:tcPr>
            <w:tcW w:w="481" w:type="pct"/>
            <w:tcBorders>
              <w:top w:val="nil"/>
              <w:bottom w:val="nil"/>
            </w:tcBorders>
          </w:tcPr>
          <w:p w:rsidR="00000000" w:rsidRDefault="00000000">
            <w:pPr>
              <w:pStyle w:val="ac"/>
              <w:spacing w:line="240" w:lineRule="exact"/>
              <w:jc w:val="center"/>
            </w:pPr>
            <w:r>
              <w:t>83</w:t>
            </w:r>
          </w:p>
        </w:tc>
        <w:tc>
          <w:tcPr>
            <w:tcW w:w="280" w:type="pct"/>
            <w:tcBorders>
              <w:top w:val="nil"/>
              <w:bottom w:val="nil"/>
            </w:tcBorders>
          </w:tcPr>
          <w:p w:rsidR="00000000" w:rsidRDefault="00000000">
            <w:pPr>
              <w:pStyle w:val="ac"/>
              <w:spacing w:line="240" w:lineRule="exact"/>
              <w:jc w:val="center"/>
            </w:pPr>
            <w:r>
              <w:t>92</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1997</w:t>
            </w:r>
          </w:p>
        </w:tc>
        <w:tc>
          <w:tcPr>
            <w:tcW w:w="383" w:type="pct"/>
            <w:tcBorders>
              <w:top w:val="nil"/>
              <w:bottom w:val="nil"/>
            </w:tcBorders>
          </w:tcPr>
          <w:p w:rsidR="00000000" w:rsidRDefault="00000000">
            <w:pPr>
              <w:pStyle w:val="ac"/>
              <w:spacing w:line="240" w:lineRule="exact"/>
              <w:jc w:val="center"/>
            </w:pPr>
            <w:r>
              <w:t>88</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94</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81</w:t>
            </w:r>
          </w:p>
        </w:tc>
        <w:tc>
          <w:tcPr>
            <w:tcW w:w="320" w:type="pct"/>
            <w:tcBorders>
              <w:top w:val="nil"/>
              <w:bottom w:val="nil"/>
            </w:tcBorders>
          </w:tcPr>
          <w:p w:rsidR="00000000" w:rsidRDefault="00000000">
            <w:pPr>
              <w:pStyle w:val="ac"/>
              <w:spacing w:line="240" w:lineRule="exact"/>
              <w:jc w:val="center"/>
            </w:pPr>
            <w:r>
              <w:t>95</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91</w:t>
            </w:r>
          </w:p>
        </w:tc>
        <w:tc>
          <w:tcPr>
            <w:tcW w:w="481" w:type="pct"/>
            <w:tcBorders>
              <w:top w:val="nil"/>
              <w:bottom w:val="nil"/>
            </w:tcBorders>
          </w:tcPr>
          <w:p w:rsidR="00000000" w:rsidRDefault="00000000">
            <w:pPr>
              <w:pStyle w:val="ac"/>
              <w:spacing w:line="240" w:lineRule="exact"/>
              <w:jc w:val="center"/>
            </w:pPr>
            <w:r>
              <w:t>83</w:t>
            </w:r>
          </w:p>
        </w:tc>
        <w:tc>
          <w:tcPr>
            <w:tcW w:w="280" w:type="pct"/>
            <w:tcBorders>
              <w:top w:val="nil"/>
              <w:bottom w:val="nil"/>
            </w:tcBorders>
          </w:tcPr>
          <w:p w:rsidR="00000000" w:rsidRDefault="00000000">
            <w:pPr>
              <w:pStyle w:val="ac"/>
              <w:spacing w:line="240" w:lineRule="exact"/>
              <w:jc w:val="center"/>
            </w:pPr>
            <w:r>
              <w:t>93</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1998</w:t>
            </w:r>
          </w:p>
        </w:tc>
        <w:tc>
          <w:tcPr>
            <w:tcW w:w="383" w:type="pct"/>
            <w:tcBorders>
              <w:top w:val="nil"/>
              <w:bottom w:val="nil"/>
            </w:tcBorders>
          </w:tcPr>
          <w:p w:rsidR="00000000" w:rsidRDefault="00000000">
            <w:pPr>
              <w:pStyle w:val="ac"/>
              <w:spacing w:line="240" w:lineRule="exact"/>
              <w:jc w:val="center"/>
            </w:pPr>
            <w:r>
              <w:t>89</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93</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95</w:t>
            </w:r>
          </w:p>
        </w:tc>
        <w:tc>
          <w:tcPr>
            <w:tcW w:w="447" w:type="pct"/>
            <w:tcBorders>
              <w:top w:val="nil"/>
              <w:bottom w:val="nil"/>
            </w:tcBorders>
          </w:tcPr>
          <w:p w:rsidR="00000000" w:rsidRDefault="00000000">
            <w:pPr>
              <w:pStyle w:val="ac"/>
              <w:spacing w:line="240" w:lineRule="exact"/>
              <w:jc w:val="center"/>
            </w:pPr>
            <w:r>
              <w:t>83</w:t>
            </w:r>
          </w:p>
        </w:tc>
        <w:tc>
          <w:tcPr>
            <w:tcW w:w="320" w:type="pct"/>
            <w:tcBorders>
              <w:top w:val="nil"/>
              <w:bottom w:val="nil"/>
            </w:tcBorders>
          </w:tcPr>
          <w:p w:rsidR="00000000" w:rsidRDefault="00000000">
            <w:pPr>
              <w:pStyle w:val="ac"/>
              <w:spacing w:line="240" w:lineRule="exact"/>
              <w:jc w:val="center"/>
            </w:pPr>
            <w:r>
              <w:t>90</w:t>
            </w:r>
          </w:p>
        </w:tc>
        <w:tc>
          <w:tcPr>
            <w:tcW w:w="481" w:type="pct"/>
            <w:tcBorders>
              <w:top w:val="nil"/>
              <w:bottom w:val="nil"/>
            </w:tcBorders>
          </w:tcPr>
          <w:p w:rsidR="00000000" w:rsidRDefault="00000000">
            <w:pPr>
              <w:pStyle w:val="ac"/>
              <w:spacing w:line="240" w:lineRule="exact"/>
              <w:jc w:val="center"/>
            </w:pPr>
            <w:r>
              <w:t>82</w:t>
            </w:r>
          </w:p>
        </w:tc>
        <w:tc>
          <w:tcPr>
            <w:tcW w:w="280" w:type="pct"/>
            <w:tcBorders>
              <w:top w:val="nil"/>
              <w:bottom w:val="nil"/>
            </w:tcBorders>
          </w:tcPr>
          <w:p w:rsidR="00000000" w:rsidRDefault="00000000">
            <w:pPr>
              <w:pStyle w:val="ac"/>
              <w:spacing w:line="240" w:lineRule="exact"/>
              <w:jc w:val="center"/>
            </w:pPr>
            <w:r>
              <w:t>91</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1999</w:t>
            </w:r>
          </w:p>
        </w:tc>
        <w:tc>
          <w:tcPr>
            <w:tcW w:w="383" w:type="pct"/>
            <w:tcBorders>
              <w:top w:val="nil"/>
              <w:bottom w:val="nil"/>
            </w:tcBorders>
          </w:tcPr>
          <w:p w:rsidR="00000000" w:rsidRDefault="00000000">
            <w:pPr>
              <w:pStyle w:val="ac"/>
              <w:spacing w:line="240" w:lineRule="exact"/>
              <w:jc w:val="center"/>
            </w:pPr>
            <w:r>
              <w:t>90</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93</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95</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90</w:t>
            </w:r>
          </w:p>
        </w:tc>
        <w:tc>
          <w:tcPr>
            <w:tcW w:w="481" w:type="pct"/>
            <w:tcBorders>
              <w:top w:val="nil"/>
              <w:bottom w:val="nil"/>
            </w:tcBorders>
          </w:tcPr>
          <w:p w:rsidR="00000000" w:rsidRDefault="00000000">
            <w:pPr>
              <w:pStyle w:val="ac"/>
              <w:spacing w:line="240" w:lineRule="exact"/>
              <w:jc w:val="center"/>
            </w:pPr>
            <w:r>
              <w:t>83</w:t>
            </w:r>
          </w:p>
        </w:tc>
        <w:tc>
          <w:tcPr>
            <w:tcW w:w="280" w:type="pct"/>
            <w:tcBorders>
              <w:top w:val="nil"/>
              <w:bottom w:val="nil"/>
            </w:tcBorders>
          </w:tcPr>
          <w:p w:rsidR="00000000" w:rsidRDefault="00000000">
            <w:pPr>
              <w:pStyle w:val="ac"/>
              <w:spacing w:line="240" w:lineRule="exact"/>
              <w:jc w:val="center"/>
            </w:pPr>
            <w:r>
              <w:t>92</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2000</w:t>
            </w:r>
          </w:p>
        </w:tc>
        <w:tc>
          <w:tcPr>
            <w:tcW w:w="383" w:type="pct"/>
            <w:tcBorders>
              <w:top w:val="nil"/>
              <w:bottom w:val="nil"/>
            </w:tcBorders>
          </w:tcPr>
          <w:p w:rsidR="00000000" w:rsidRDefault="00000000">
            <w:pPr>
              <w:pStyle w:val="ac"/>
              <w:spacing w:line="240" w:lineRule="exact"/>
              <w:jc w:val="center"/>
            </w:pPr>
            <w:r>
              <w:t>90</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93</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95</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90</w:t>
            </w:r>
          </w:p>
        </w:tc>
        <w:tc>
          <w:tcPr>
            <w:tcW w:w="481" w:type="pct"/>
            <w:tcBorders>
              <w:top w:val="nil"/>
              <w:bottom w:val="nil"/>
            </w:tcBorders>
          </w:tcPr>
          <w:p w:rsidR="00000000" w:rsidRDefault="00000000">
            <w:pPr>
              <w:pStyle w:val="ac"/>
              <w:spacing w:line="240" w:lineRule="exact"/>
              <w:jc w:val="center"/>
            </w:pPr>
            <w:r>
              <w:t>82</w:t>
            </w:r>
          </w:p>
        </w:tc>
        <w:tc>
          <w:tcPr>
            <w:tcW w:w="280" w:type="pct"/>
            <w:tcBorders>
              <w:top w:val="nil"/>
              <w:bottom w:val="nil"/>
            </w:tcBorders>
          </w:tcPr>
          <w:p w:rsidR="00000000" w:rsidRDefault="00000000">
            <w:pPr>
              <w:pStyle w:val="ac"/>
              <w:spacing w:line="240" w:lineRule="exact"/>
              <w:jc w:val="center"/>
            </w:pPr>
            <w:r>
              <w:t>92</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2001</w:t>
            </w:r>
          </w:p>
        </w:tc>
        <w:tc>
          <w:tcPr>
            <w:tcW w:w="383" w:type="pct"/>
            <w:tcBorders>
              <w:top w:val="nil"/>
              <w:bottom w:val="nil"/>
            </w:tcBorders>
          </w:tcPr>
          <w:p w:rsidR="00000000" w:rsidRDefault="00000000">
            <w:pPr>
              <w:pStyle w:val="ac"/>
              <w:spacing w:line="240" w:lineRule="exact"/>
              <w:jc w:val="center"/>
            </w:pPr>
            <w:r>
              <w:t>90</w:t>
            </w:r>
          </w:p>
        </w:tc>
        <w:tc>
          <w:tcPr>
            <w:tcW w:w="384" w:type="pct"/>
            <w:tcBorders>
              <w:top w:val="nil"/>
              <w:bottom w:val="nil"/>
            </w:tcBorders>
          </w:tcPr>
          <w:p w:rsidR="00000000" w:rsidRDefault="00000000">
            <w:pPr>
              <w:pStyle w:val="ac"/>
              <w:spacing w:line="240" w:lineRule="exact"/>
              <w:jc w:val="center"/>
            </w:pPr>
            <w:r>
              <w:t>99</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93</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96</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90</w:t>
            </w:r>
          </w:p>
        </w:tc>
        <w:tc>
          <w:tcPr>
            <w:tcW w:w="481" w:type="pct"/>
            <w:tcBorders>
              <w:top w:val="nil"/>
              <w:bottom w:val="nil"/>
            </w:tcBorders>
          </w:tcPr>
          <w:p w:rsidR="00000000" w:rsidRDefault="00000000">
            <w:pPr>
              <w:pStyle w:val="ac"/>
              <w:spacing w:line="240" w:lineRule="exact"/>
              <w:jc w:val="center"/>
            </w:pPr>
            <w:r>
              <w:t>82</w:t>
            </w:r>
          </w:p>
        </w:tc>
        <w:tc>
          <w:tcPr>
            <w:tcW w:w="280" w:type="pct"/>
            <w:tcBorders>
              <w:top w:val="nil"/>
              <w:bottom w:val="nil"/>
            </w:tcBorders>
          </w:tcPr>
          <w:p w:rsidR="00000000" w:rsidRDefault="00000000">
            <w:pPr>
              <w:pStyle w:val="ac"/>
              <w:spacing w:line="240" w:lineRule="exact"/>
              <w:jc w:val="center"/>
            </w:pPr>
            <w:r>
              <w:t>92</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2002</w:t>
            </w:r>
          </w:p>
        </w:tc>
        <w:tc>
          <w:tcPr>
            <w:tcW w:w="383" w:type="pct"/>
            <w:tcBorders>
              <w:top w:val="nil"/>
              <w:bottom w:val="nil"/>
            </w:tcBorders>
          </w:tcPr>
          <w:p w:rsidR="00000000" w:rsidRDefault="00000000">
            <w:pPr>
              <w:pStyle w:val="ac"/>
              <w:spacing w:line="240" w:lineRule="exact"/>
              <w:jc w:val="center"/>
            </w:pPr>
            <w:r>
              <w:t>90</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84</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95</w:t>
            </w:r>
          </w:p>
        </w:tc>
        <w:tc>
          <w:tcPr>
            <w:tcW w:w="447" w:type="pct"/>
            <w:tcBorders>
              <w:top w:val="nil"/>
              <w:bottom w:val="nil"/>
            </w:tcBorders>
          </w:tcPr>
          <w:p w:rsidR="00000000" w:rsidRDefault="00000000">
            <w:pPr>
              <w:pStyle w:val="ac"/>
              <w:spacing w:line="240" w:lineRule="exact"/>
              <w:jc w:val="center"/>
            </w:pPr>
            <w:r>
              <w:t>85</w:t>
            </w:r>
          </w:p>
        </w:tc>
        <w:tc>
          <w:tcPr>
            <w:tcW w:w="320" w:type="pct"/>
            <w:tcBorders>
              <w:top w:val="nil"/>
              <w:bottom w:val="nil"/>
            </w:tcBorders>
          </w:tcPr>
          <w:p w:rsidR="00000000" w:rsidRDefault="00000000">
            <w:pPr>
              <w:pStyle w:val="ac"/>
              <w:spacing w:line="240" w:lineRule="exact"/>
              <w:jc w:val="center"/>
            </w:pPr>
            <w:r>
              <w:t>90</w:t>
            </w:r>
          </w:p>
        </w:tc>
        <w:tc>
          <w:tcPr>
            <w:tcW w:w="481" w:type="pct"/>
            <w:tcBorders>
              <w:top w:val="nil"/>
              <w:bottom w:val="nil"/>
            </w:tcBorders>
          </w:tcPr>
          <w:p w:rsidR="00000000" w:rsidRDefault="00000000">
            <w:pPr>
              <w:pStyle w:val="ac"/>
              <w:spacing w:line="240" w:lineRule="exact"/>
              <w:jc w:val="center"/>
            </w:pPr>
            <w:r>
              <w:t>83</w:t>
            </w:r>
          </w:p>
        </w:tc>
        <w:tc>
          <w:tcPr>
            <w:tcW w:w="280" w:type="pct"/>
            <w:tcBorders>
              <w:top w:val="nil"/>
              <w:bottom w:val="nil"/>
            </w:tcBorders>
          </w:tcPr>
          <w:p w:rsidR="00000000" w:rsidRDefault="00000000">
            <w:pPr>
              <w:pStyle w:val="ac"/>
              <w:spacing w:line="240" w:lineRule="exact"/>
              <w:jc w:val="center"/>
            </w:pPr>
            <w:r>
              <w:t>92</w:t>
            </w:r>
          </w:p>
        </w:tc>
      </w:tr>
      <w:tr w:rsidR="00000000">
        <w:tblPrEx>
          <w:tblCellMar>
            <w:top w:w="0" w:type="dxa"/>
            <w:bottom w:w="0" w:type="dxa"/>
          </w:tblCellMar>
        </w:tblPrEx>
        <w:trPr>
          <w:trHeight w:val="20"/>
        </w:trPr>
        <w:tc>
          <w:tcPr>
            <w:tcW w:w="341" w:type="pct"/>
            <w:tcBorders>
              <w:top w:val="nil"/>
              <w:bottom w:val="nil"/>
            </w:tcBorders>
          </w:tcPr>
          <w:p w:rsidR="00000000" w:rsidRDefault="00000000">
            <w:pPr>
              <w:pStyle w:val="ac"/>
              <w:spacing w:line="240" w:lineRule="exact"/>
            </w:pPr>
            <w:r>
              <w:t>2003</w:t>
            </w:r>
          </w:p>
        </w:tc>
        <w:tc>
          <w:tcPr>
            <w:tcW w:w="383" w:type="pct"/>
            <w:tcBorders>
              <w:top w:val="nil"/>
              <w:bottom w:val="nil"/>
            </w:tcBorders>
          </w:tcPr>
          <w:p w:rsidR="00000000" w:rsidRDefault="00000000">
            <w:pPr>
              <w:pStyle w:val="ac"/>
              <w:spacing w:line="240" w:lineRule="exact"/>
              <w:jc w:val="center"/>
            </w:pPr>
            <w:r>
              <w:t>91</w:t>
            </w:r>
          </w:p>
        </w:tc>
        <w:tc>
          <w:tcPr>
            <w:tcW w:w="384" w:type="pct"/>
            <w:tcBorders>
              <w:top w:val="nil"/>
              <w:bottom w:val="nil"/>
            </w:tcBorders>
          </w:tcPr>
          <w:p w:rsidR="00000000" w:rsidRDefault="00000000">
            <w:pPr>
              <w:pStyle w:val="ac"/>
              <w:spacing w:line="240" w:lineRule="exact"/>
              <w:jc w:val="center"/>
            </w:pPr>
            <w:r>
              <w:t>98</w:t>
            </w:r>
          </w:p>
        </w:tc>
        <w:tc>
          <w:tcPr>
            <w:tcW w:w="447" w:type="pct"/>
            <w:tcBorders>
              <w:top w:val="nil"/>
              <w:bottom w:val="nil"/>
            </w:tcBorders>
          </w:tcPr>
          <w:p w:rsidR="00000000" w:rsidRDefault="00000000">
            <w:pPr>
              <w:pStyle w:val="ac"/>
              <w:spacing w:line="240" w:lineRule="exact"/>
              <w:jc w:val="center"/>
            </w:pPr>
            <w:r>
              <w:t>71</w:t>
            </w:r>
          </w:p>
        </w:tc>
        <w:tc>
          <w:tcPr>
            <w:tcW w:w="384" w:type="pct"/>
            <w:tcBorders>
              <w:top w:val="nil"/>
              <w:bottom w:val="nil"/>
            </w:tcBorders>
          </w:tcPr>
          <w:p w:rsidR="00000000" w:rsidRDefault="00000000">
            <w:pPr>
              <w:pStyle w:val="ac"/>
              <w:spacing w:line="240" w:lineRule="exact"/>
              <w:jc w:val="center"/>
            </w:pPr>
            <w:r>
              <w:t>93</w:t>
            </w:r>
          </w:p>
        </w:tc>
        <w:tc>
          <w:tcPr>
            <w:tcW w:w="447" w:type="pct"/>
            <w:tcBorders>
              <w:top w:val="nil"/>
              <w:bottom w:val="nil"/>
            </w:tcBorders>
          </w:tcPr>
          <w:p w:rsidR="00000000" w:rsidRDefault="00000000">
            <w:pPr>
              <w:pStyle w:val="ac"/>
              <w:spacing w:line="240" w:lineRule="exact"/>
              <w:jc w:val="center"/>
            </w:pPr>
            <w:r>
              <w:t>85</w:t>
            </w:r>
          </w:p>
        </w:tc>
        <w:tc>
          <w:tcPr>
            <w:tcW w:w="320" w:type="pct"/>
            <w:tcBorders>
              <w:top w:val="nil"/>
              <w:bottom w:val="nil"/>
            </w:tcBorders>
          </w:tcPr>
          <w:p w:rsidR="00000000" w:rsidRDefault="00000000">
            <w:pPr>
              <w:pStyle w:val="ac"/>
              <w:spacing w:line="240" w:lineRule="exact"/>
              <w:jc w:val="center"/>
            </w:pPr>
            <w:r>
              <w:t>92</w:t>
            </w:r>
          </w:p>
        </w:tc>
        <w:tc>
          <w:tcPr>
            <w:tcW w:w="447" w:type="pct"/>
            <w:tcBorders>
              <w:top w:val="nil"/>
              <w:bottom w:val="nil"/>
            </w:tcBorders>
          </w:tcPr>
          <w:p w:rsidR="00000000" w:rsidRDefault="00000000">
            <w:pPr>
              <w:pStyle w:val="ac"/>
              <w:spacing w:line="240" w:lineRule="exact"/>
              <w:jc w:val="center"/>
            </w:pPr>
            <w:r>
              <w:t>82</w:t>
            </w:r>
          </w:p>
        </w:tc>
        <w:tc>
          <w:tcPr>
            <w:tcW w:w="320" w:type="pct"/>
            <w:tcBorders>
              <w:top w:val="nil"/>
              <w:bottom w:val="nil"/>
            </w:tcBorders>
          </w:tcPr>
          <w:p w:rsidR="00000000" w:rsidRDefault="00000000">
            <w:pPr>
              <w:pStyle w:val="ac"/>
              <w:spacing w:line="240" w:lineRule="exact"/>
              <w:jc w:val="center"/>
            </w:pPr>
            <w:r>
              <w:t>96</w:t>
            </w:r>
          </w:p>
        </w:tc>
        <w:tc>
          <w:tcPr>
            <w:tcW w:w="447" w:type="pct"/>
            <w:tcBorders>
              <w:top w:val="nil"/>
              <w:bottom w:val="nil"/>
            </w:tcBorders>
          </w:tcPr>
          <w:p w:rsidR="00000000" w:rsidRDefault="00000000">
            <w:pPr>
              <w:pStyle w:val="ac"/>
              <w:spacing w:line="240" w:lineRule="exact"/>
              <w:jc w:val="center"/>
            </w:pPr>
            <w:r>
              <w:t>85</w:t>
            </w:r>
          </w:p>
        </w:tc>
        <w:tc>
          <w:tcPr>
            <w:tcW w:w="320" w:type="pct"/>
            <w:tcBorders>
              <w:top w:val="nil"/>
              <w:bottom w:val="nil"/>
            </w:tcBorders>
          </w:tcPr>
          <w:p w:rsidR="00000000" w:rsidRDefault="00000000">
            <w:pPr>
              <w:pStyle w:val="ac"/>
              <w:spacing w:line="240" w:lineRule="exact"/>
              <w:jc w:val="center"/>
            </w:pPr>
            <w:r>
              <w:t>90</w:t>
            </w:r>
          </w:p>
        </w:tc>
        <w:tc>
          <w:tcPr>
            <w:tcW w:w="481" w:type="pct"/>
            <w:tcBorders>
              <w:top w:val="nil"/>
              <w:bottom w:val="nil"/>
            </w:tcBorders>
          </w:tcPr>
          <w:p w:rsidR="00000000" w:rsidRDefault="00000000">
            <w:pPr>
              <w:pStyle w:val="ac"/>
              <w:spacing w:line="240" w:lineRule="exact"/>
              <w:jc w:val="center"/>
            </w:pPr>
            <w:r>
              <w:t>84</w:t>
            </w:r>
          </w:p>
        </w:tc>
        <w:tc>
          <w:tcPr>
            <w:tcW w:w="280" w:type="pct"/>
            <w:tcBorders>
              <w:top w:val="nil"/>
              <w:bottom w:val="nil"/>
            </w:tcBorders>
          </w:tcPr>
          <w:p w:rsidR="00000000" w:rsidRDefault="00000000">
            <w:pPr>
              <w:pStyle w:val="ac"/>
              <w:spacing w:line="240" w:lineRule="exact"/>
              <w:jc w:val="center"/>
            </w:pPr>
            <w:r>
              <w:t>92</w:t>
            </w:r>
          </w:p>
        </w:tc>
      </w:tr>
      <w:tr w:rsidR="00000000">
        <w:tblPrEx>
          <w:tblCellMar>
            <w:top w:w="0" w:type="dxa"/>
            <w:bottom w:w="0" w:type="dxa"/>
          </w:tblCellMar>
        </w:tblPrEx>
        <w:trPr>
          <w:trHeight w:val="20"/>
        </w:trPr>
        <w:tc>
          <w:tcPr>
            <w:tcW w:w="341" w:type="pct"/>
            <w:tcBorders>
              <w:top w:val="nil"/>
            </w:tcBorders>
          </w:tcPr>
          <w:p w:rsidR="00000000" w:rsidRDefault="00000000">
            <w:pPr>
              <w:pStyle w:val="ac"/>
              <w:spacing w:line="240" w:lineRule="exact"/>
            </w:pPr>
            <w:r>
              <w:t>2004</w:t>
            </w:r>
          </w:p>
        </w:tc>
        <w:tc>
          <w:tcPr>
            <w:tcW w:w="383" w:type="pct"/>
            <w:tcBorders>
              <w:top w:val="nil"/>
            </w:tcBorders>
          </w:tcPr>
          <w:p w:rsidR="00000000" w:rsidRDefault="00000000">
            <w:pPr>
              <w:pStyle w:val="ac"/>
              <w:spacing w:line="240" w:lineRule="exact"/>
              <w:jc w:val="center"/>
            </w:pPr>
            <w:r>
              <w:t>…</w:t>
            </w:r>
          </w:p>
        </w:tc>
        <w:tc>
          <w:tcPr>
            <w:tcW w:w="384" w:type="pct"/>
            <w:tcBorders>
              <w:top w:val="nil"/>
            </w:tcBorders>
          </w:tcPr>
          <w:p w:rsidR="00000000" w:rsidRDefault="00000000">
            <w:pPr>
              <w:pStyle w:val="ac"/>
              <w:spacing w:line="240" w:lineRule="exact"/>
              <w:jc w:val="center"/>
            </w:pPr>
            <w:r>
              <w:t>…</w:t>
            </w:r>
          </w:p>
        </w:tc>
        <w:tc>
          <w:tcPr>
            <w:tcW w:w="447" w:type="pct"/>
            <w:tcBorders>
              <w:top w:val="nil"/>
            </w:tcBorders>
          </w:tcPr>
          <w:p w:rsidR="00000000" w:rsidRDefault="00000000">
            <w:pPr>
              <w:pStyle w:val="ac"/>
              <w:spacing w:line="240" w:lineRule="exact"/>
              <w:jc w:val="center"/>
            </w:pPr>
            <w:r>
              <w:t>…</w:t>
            </w:r>
          </w:p>
        </w:tc>
        <w:tc>
          <w:tcPr>
            <w:tcW w:w="384" w:type="pct"/>
            <w:tcBorders>
              <w:top w:val="nil"/>
            </w:tcBorders>
          </w:tcPr>
          <w:p w:rsidR="00000000" w:rsidRDefault="00000000">
            <w:pPr>
              <w:pStyle w:val="ac"/>
              <w:spacing w:line="240" w:lineRule="exact"/>
              <w:jc w:val="center"/>
            </w:pPr>
            <w:r>
              <w:t>…</w:t>
            </w:r>
          </w:p>
        </w:tc>
        <w:tc>
          <w:tcPr>
            <w:tcW w:w="447" w:type="pct"/>
            <w:tcBorders>
              <w:top w:val="nil"/>
            </w:tcBorders>
          </w:tcPr>
          <w:p w:rsidR="00000000" w:rsidRDefault="00000000">
            <w:pPr>
              <w:pStyle w:val="ac"/>
              <w:spacing w:line="240" w:lineRule="exact"/>
              <w:jc w:val="center"/>
            </w:pPr>
            <w:r>
              <w:t>85</w:t>
            </w:r>
          </w:p>
        </w:tc>
        <w:tc>
          <w:tcPr>
            <w:tcW w:w="320" w:type="pct"/>
            <w:tcBorders>
              <w:top w:val="nil"/>
            </w:tcBorders>
          </w:tcPr>
          <w:p w:rsidR="00000000" w:rsidRDefault="00000000">
            <w:pPr>
              <w:pStyle w:val="ac"/>
              <w:spacing w:line="240" w:lineRule="exact"/>
              <w:jc w:val="center"/>
            </w:pPr>
            <w:r>
              <w:t>…</w:t>
            </w:r>
          </w:p>
        </w:tc>
        <w:tc>
          <w:tcPr>
            <w:tcW w:w="447" w:type="pct"/>
            <w:tcBorders>
              <w:top w:val="nil"/>
            </w:tcBorders>
          </w:tcPr>
          <w:p w:rsidR="00000000" w:rsidRDefault="00000000">
            <w:pPr>
              <w:pStyle w:val="ac"/>
              <w:spacing w:line="240" w:lineRule="exact"/>
              <w:jc w:val="center"/>
            </w:pPr>
            <w:r>
              <w:t>83</w:t>
            </w:r>
          </w:p>
        </w:tc>
        <w:tc>
          <w:tcPr>
            <w:tcW w:w="320" w:type="pct"/>
            <w:tcBorders>
              <w:top w:val="nil"/>
            </w:tcBorders>
          </w:tcPr>
          <w:p w:rsidR="00000000" w:rsidRDefault="00000000">
            <w:pPr>
              <w:pStyle w:val="ac"/>
              <w:spacing w:line="240" w:lineRule="exact"/>
              <w:jc w:val="center"/>
            </w:pPr>
            <w:r>
              <w:t>…</w:t>
            </w:r>
          </w:p>
        </w:tc>
        <w:tc>
          <w:tcPr>
            <w:tcW w:w="447" w:type="pct"/>
            <w:tcBorders>
              <w:top w:val="nil"/>
            </w:tcBorders>
          </w:tcPr>
          <w:p w:rsidR="00000000" w:rsidRDefault="00000000">
            <w:pPr>
              <w:pStyle w:val="ac"/>
              <w:spacing w:line="240" w:lineRule="exact"/>
              <w:jc w:val="center"/>
            </w:pPr>
            <w:r>
              <w:t>85</w:t>
            </w:r>
          </w:p>
        </w:tc>
        <w:tc>
          <w:tcPr>
            <w:tcW w:w="320" w:type="pct"/>
            <w:tcBorders>
              <w:top w:val="nil"/>
            </w:tcBorders>
          </w:tcPr>
          <w:p w:rsidR="00000000" w:rsidRDefault="00000000">
            <w:pPr>
              <w:pStyle w:val="ac"/>
              <w:spacing w:line="240" w:lineRule="exact"/>
              <w:jc w:val="center"/>
            </w:pPr>
            <w:r>
              <w:t>…</w:t>
            </w:r>
          </w:p>
        </w:tc>
        <w:tc>
          <w:tcPr>
            <w:tcW w:w="481" w:type="pct"/>
            <w:tcBorders>
              <w:top w:val="nil"/>
            </w:tcBorders>
          </w:tcPr>
          <w:p w:rsidR="00000000" w:rsidRDefault="00000000">
            <w:pPr>
              <w:pStyle w:val="ac"/>
              <w:spacing w:line="240" w:lineRule="exact"/>
              <w:jc w:val="center"/>
            </w:pPr>
            <w:r>
              <w:t>84</w:t>
            </w:r>
          </w:p>
        </w:tc>
        <w:tc>
          <w:tcPr>
            <w:tcW w:w="280" w:type="pct"/>
            <w:tcBorders>
              <w:top w:val="nil"/>
            </w:tcBorders>
          </w:tcPr>
          <w:p w:rsidR="00000000" w:rsidRDefault="00000000">
            <w:pPr>
              <w:pStyle w:val="ac"/>
              <w:spacing w:line="240" w:lineRule="exact"/>
              <w:jc w:val="center"/>
            </w:pPr>
            <w:r>
              <w:t>92</w:t>
            </w:r>
          </w:p>
        </w:tc>
      </w:tr>
    </w:tbl>
    <w:p w:rsidR="00000000" w:rsidRDefault="00000000">
      <w:pPr>
        <w:tabs>
          <w:tab w:val="left" w:pos="-1418"/>
        </w:tabs>
        <w:spacing w:before="180" w:line="288" w:lineRule="auto"/>
        <w:ind w:firstLine="510"/>
        <w:rPr>
          <w:rFonts w:eastAsia="KaiTi_GB2312"/>
          <w:snapToGrid/>
          <w:spacing w:val="0"/>
          <w:sz w:val="22"/>
        </w:rPr>
      </w:pPr>
      <w:r>
        <w:rPr>
          <w:sz w:val="22"/>
        </w:rPr>
        <w:t>SW=</w:t>
      </w:r>
      <w:r>
        <w:rPr>
          <w:rFonts w:eastAsia="KaiTi_GB2312" w:hint="eastAsia"/>
          <w:snapToGrid/>
          <w:spacing w:val="0"/>
          <w:sz w:val="22"/>
        </w:rPr>
        <w:t>标准加权，即按照年龄、教育、部门、工作小时</w:t>
      </w:r>
      <w:r>
        <w:rPr>
          <w:rFonts w:eastAsia="KaiTi_GB2312" w:hint="eastAsia"/>
          <w:snapToGrid/>
          <w:spacing w:val="0"/>
          <w:sz w:val="22"/>
        </w:rPr>
        <w:t>(</w:t>
      </w:r>
      <w:r>
        <w:rPr>
          <w:rFonts w:eastAsia="KaiTi_GB2312" w:hint="eastAsia"/>
          <w:snapToGrid/>
          <w:spacing w:val="0"/>
          <w:sz w:val="22"/>
        </w:rPr>
        <w:t>部分时间工作者按照全日制工作重新计算</w:t>
      </w:r>
      <w:r>
        <w:rPr>
          <w:rFonts w:eastAsia="KaiTi_GB2312" w:hint="eastAsia"/>
          <w:snapToGrid/>
          <w:spacing w:val="0"/>
          <w:sz w:val="22"/>
        </w:rPr>
        <w:t>)</w:t>
      </w:r>
      <w:r>
        <w:rPr>
          <w:rFonts w:eastAsia="KaiTi_GB2312" w:hint="eastAsia"/>
          <w:snapToGrid/>
          <w:spacing w:val="0"/>
          <w:sz w:val="22"/>
        </w:rPr>
        <w:t>和职业群体进行调整。</w:t>
      </w:r>
    </w:p>
    <w:p w:rsidR="00000000" w:rsidRDefault="00000000">
      <w:pPr>
        <w:spacing w:line="288" w:lineRule="auto"/>
        <w:rPr>
          <w:rFonts w:hint="eastAsia"/>
          <w:snapToGrid/>
        </w:rPr>
      </w:pPr>
      <w:r>
        <w:rPr>
          <w:i/>
          <w:iCs/>
          <w:sz w:val="22"/>
        </w:rPr>
        <w:tab/>
      </w:r>
      <w:r>
        <w:rPr>
          <w:rFonts w:eastAsia="KaiTi_GB2312" w:hint="eastAsia"/>
          <w:snapToGrid/>
          <w:spacing w:val="0"/>
          <w:sz w:val="22"/>
          <w:u w:val="single"/>
        </w:rPr>
        <w:t>资料</w:t>
      </w:r>
      <w:r>
        <w:rPr>
          <w:sz w:val="22"/>
        </w:rPr>
        <w:t>：</w:t>
      </w:r>
      <w:r>
        <w:rPr>
          <w:sz w:val="22"/>
        </w:rPr>
        <w:t xml:space="preserve">  </w:t>
      </w:r>
      <w:r>
        <w:rPr>
          <w:rFonts w:eastAsia="KaiTi_GB2312" w:hint="eastAsia"/>
          <w:snapToGrid/>
          <w:spacing w:val="0"/>
          <w:sz w:val="22"/>
        </w:rPr>
        <w:t>瑞典统计局。</w:t>
      </w:r>
    </w:p>
    <w:p w:rsidR="00000000" w:rsidRDefault="00000000">
      <w:pPr>
        <w:pStyle w:val="Heading4"/>
        <w:rPr>
          <w:rFonts w:hint="eastAsia"/>
        </w:rPr>
      </w:pPr>
      <w:r>
        <w:rPr>
          <w:rFonts w:hint="eastAsia"/>
        </w:rPr>
        <w:t>工作评估</w:t>
      </w:r>
    </w:p>
    <w:p w:rsidR="00000000" w:rsidRDefault="00000000">
      <w:pPr>
        <w:spacing w:after="240"/>
        <w:rPr>
          <w:rFonts w:hint="eastAsia"/>
          <w:snapToGrid/>
        </w:rPr>
      </w:pPr>
      <w:r>
        <w:rPr>
          <w:rFonts w:hint="eastAsia"/>
          <w:snapToGrid/>
        </w:rPr>
        <w:tab/>
        <w:t xml:space="preserve">126.  </w:t>
      </w:r>
      <w:r>
        <w:rPr>
          <w:rFonts w:hint="eastAsia"/>
          <w:snapToGrid/>
        </w:rPr>
        <w:t>机会均等监察员设计了一套迅速、简易评估工作要求的方法，称为“走向收入平等的步骤”。这套方法可以用来对工资进行调查，以按照《机会均等法》的要求查出妇女和男子之间的不公平收入差距。</w:t>
      </w:r>
    </w:p>
    <w:p w:rsidR="00000000" w:rsidRDefault="00000000">
      <w:pPr>
        <w:pStyle w:val="Heading4"/>
        <w:rPr>
          <w:rFonts w:hint="eastAsia"/>
        </w:rPr>
      </w:pPr>
      <w:r>
        <w:rPr>
          <w:rFonts w:hint="eastAsia"/>
        </w:rPr>
        <w:t>更加严格的《机会均等法</w:t>
      </w:r>
      <w:r>
        <w:rPr>
          <w:rFonts w:hint="eastAsia"/>
          <w:u w:val="none"/>
        </w:rPr>
        <w:t>》</w:t>
      </w:r>
    </w:p>
    <w:p w:rsidR="00000000" w:rsidRDefault="00000000">
      <w:pPr>
        <w:rPr>
          <w:rFonts w:hint="eastAsia"/>
          <w:snapToGrid/>
        </w:rPr>
      </w:pPr>
      <w:r>
        <w:rPr>
          <w:rFonts w:hint="eastAsia"/>
          <w:snapToGrid/>
        </w:rPr>
        <w:tab/>
        <w:t xml:space="preserve">127.  </w:t>
      </w:r>
      <w:r>
        <w:rPr>
          <w:rFonts w:hint="eastAsia"/>
          <w:snapToGrid/>
        </w:rPr>
        <w:t>《机会均等法》与收入平等相关的规定自</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日起进行了加强和澄清</w:t>
      </w:r>
      <w:r>
        <w:rPr>
          <w:rFonts w:hint="eastAsia"/>
          <w:snapToGrid/>
        </w:rPr>
        <w:t>(</w:t>
      </w:r>
      <w:r>
        <w:rPr>
          <w:rFonts w:hint="eastAsia"/>
          <w:snapToGrid/>
        </w:rPr>
        <w:t>见结论性意见第</w:t>
      </w:r>
      <w:r>
        <w:rPr>
          <w:rFonts w:hint="eastAsia"/>
          <w:snapToGrid/>
        </w:rPr>
        <w:t>19</w:t>
      </w:r>
      <w:r>
        <w:rPr>
          <w:rFonts w:hint="eastAsia"/>
          <w:snapToGrid/>
        </w:rPr>
        <w:t>项和第</w:t>
      </w:r>
      <w:r>
        <w:rPr>
          <w:rFonts w:hint="eastAsia"/>
          <w:snapToGrid/>
        </w:rPr>
        <w:t>30</w:t>
      </w:r>
      <w:r>
        <w:rPr>
          <w:rFonts w:hint="eastAsia"/>
          <w:snapToGrid/>
        </w:rPr>
        <w:t>项</w:t>
      </w:r>
      <w:r>
        <w:rPr>
          <w:rFonts w:hint="eastAsia"/>
          <w:snapToGrid/>
        </w:rPr>
        <w:t>)</w:t>
      </w:r>
      <w:r>
        <w:rPr>
          <w:rFonts w:hint="eastAsia"/>
          <w:snapToGrid/>
        </w:rPr>
        <w:t>。只是经过</w:t>
      </w:r>
      <w:r>
        <w:rPr>
          <w:rFonts w:hint="eastAsia"/>
          <w:snapToGrid/>
        </w:rPr>
        <w:t>2001</w:t>
      </w:r>
      <w:r>
        <w:rPr>
          <w:rFonts w:hint="eastAsia"/>
          <w:snapToGrid/>
        </w:rPr>
        <w:t>年修订之后才可以说，这些规定现在起到了当初在</w:t>
      </w:r>
      <w:r>
        <w:rPr>
          <w:rFonts w:hint="eastAsia"/>
          <w:snapToGrid/>
        </w:rPr>
        <w:t>1994</w:t>
      </w:r>
      <w:r>
        <w:rPr>
          <w:rFonts w:hint="eastAsia"/>
          <w:snapToGrid/>
        </w:rPr>
        <w:t>年订立规则时所意图的立法作用。机会均等监察员认为，比较强烈的规定特别是在最后两年中开始有了明显的影响。在对一些个人以及许多以妇女为主的职业群体的收入作出了调整这个意义上，这些规则是成功的。</w:t>
      </w:r>
    </w:p>
    <w:p w:rsidR="00000000" w:rsidRDefault="00000000">
      <w:pPr>
        <w:spacing w:after="240"/>
        <w:rPr>
          <w:rFonts w:hint="eastAsia"/>
          <w:snapToGrid/>
        </w:rPr>
      </w:pPr>
      <w:r>
        <w:rPr>
          <w:rFonts w:hint="eastAsia"/>
          <w:snapToGrid/>
        </w:rPr>
        <w:tab/>
        <w:t xml:space="preserve">128.  </w:t>
      </w:r>
      <w:r>
        <w:rPr>
          <w:rFonts w:hint="eastAsia"/>
          <w:snapToGrid/>
        </w:rPr>
        <w:t>自从修正案生效以来，机会均等监察员进行了大量审计，以评估雇主对于《机会均等法》关于收入调查的较严格规定的遵守情况。机会均等监察员还推出了几个与审计有关的重大教育举措。</w:t>
      </w:r>
    </w:p>
    <w:p w:rsidR="00000000" w:rsidRDefault="00000000">
      <w:pPr>
        <w:pStyle w:val="Heading4"/>
        <w:rPr>
          <w:rFonts w:hint="eastAsia"/>
        </w:rPr>
      </w:pPr>
      <w:r>
        <w:rPr>
          <w:rFonts w:hint="eastAsia"/>
        </w:rPr>
        <w:t>公营和私营部门的收入差距</w:t>
      </w:r>
    </w:p>
    <w:p w:rsidR="00000000" w:rsidRDefault="00000000">
      <w:pPr>
        <w:rPr>
          <w:rFonts w:hint="eastAsia"/>
          <w:snapToGrid/>
        </w:rPr>
      </w:pPr>
      <w:r>
        <w:rPr>
          <w:rFonts w:hint="eastAsia"/>
          <w:snapToGrid/>
        </w:rPr>
        <w:tab/>
        <w:t xml:space="preserve">129.  </w:t>
      </w:r>
      <w:r>
        <w:rPr>
          <w:rFonts w:hint="eastAsia"/>
          <w:snapToGrid/>
        </w:rPr>
        <w:t>统计变化的影响表明，公营和私营部门的收入差距根据所调查研究的下属部门而各不相同。市政部门的收入差距较小，但是在省级部门，由于将医生和护士这些差异很大的职业群体相比较，差距是相当大的。省议会的许多男性雇员是薪酬优厚的医生，将他们的收入与差不多清一色是女性的实践护士的低工资相比。国家部门的收入差距与私营部门大致相同。公营部门的男女收入差距总的说来比在私营部门要大一点。经过标准加权之后，情况就倒过来了：私营部门的收入差距大于公营部门。</w:t>
      </w:r>
    </w:p>
    <w:p w:rsidR="00000000" w:rsidRDefault="00000000">
      <w:pPr>
        <w:spacing w:after="240"/>
        <w:rPr>
          <w:rFonts w:hint="eastAsia"/>
          <w:b/>
          <w:snapToGrid/>
        </w:rPr>
      </w:pPr>
      <w:r>
        <w:rPr>
          <w:rFonts w:hint="eastAsia"/>
          <w:snapToGrid/>
        </w:rPr>
        <w:tab/>
        <w:t xml:space="preserve">130.  </w:t>
      </w:r>
      <w:r>
        <w:rPr>
          <w:rFonts w:hint="eastAsia"/>
          <w:snapToGrid/>
        </w:rPr>
        <w:t>统计表明，经过调整影响工资的各种预定因素，整个劳工市场仍然有平均为</w:t>
      </w:r>
      <w:r>
        <w:rPr>
          <w:rFonts w:hint="eastAsia"/>
          <w:snapToGrid/>
        </w:rPr>
        <w:t>8%</w:t>
      </w:r>
      <w:r>
        <w:rPr>
          <w:rFonts w:hint="eastAsia"/>
          <w:snapToGrid/>
        </w:rPr>
        <w:t>的收入差距。但是，不能确定地声称余下的</w:t>
      </w:r>
      <w:r>
        <w:rPr>
          <w:rFonts w:hint="eastAsia"/>
          <w:snapToGrid/>
        </w:rPr>
        <w:t>8%</w:t>
      </w:r>
      <w:r>
        <w:rPr>
          <w:rFonts w:hint="eastAsia"/>
          <w:snapToGrid/>
        </w:rPr>
        <w:t>构成了收入歧视。这一点只能通过使用根据《机会均等法》所要求的调查研究加以确定。</w:t>
      </w:r>
    </w:p>
    <w:p w:rsidR="00000000" w:rsidRDefault="00000000">
      <w:pPr>
        <w:pStyle w:val="Heading4"/>
        <w:rPr>
          <w:rFonts w:hint="eastAsia"/>
        </w:rPr>
      </w:pPr>
      <w:r>
        <w:rPr>
          <w:rFonts w:hint="eastAsia"/>
        </w:rPr>
        <w:t>《机会均等法</w:t>
      </w:r>
      <w:r>
        <w:rPr>
          <w:rFonts w:hint="eastAsia"/>
          <w:u w:val="none"/>
        </w:rPr>
        <w:t>》</w:t>
      </w:r>
    </w:p>
    <w:p w:rsidR="00000000" w:rsidRDefault="00000000">
      <w:pPr>
        <w:rPr>
          <w:rFonts w:hint="eastAsia"/>
          <w:snapToGrid/>
        </w:rPr>
      </w:pPr>
      <w:r>
        <w:rPr>
          <w:rFonts w:hint="eastAsia"/>
          <w:snapToGrid/>
        </w:rPr>
        <w:tab/>
        <w:t>131.  2003</w:t>
      </w:r>
      <w:r>
        <w:rPr>
          <w:rFonts w:hint="eastAsia"/>
          <w:snapToGrid/>
        </w:rPr>
        <w:t>年，瑞典统计局应国家调解办公室的请求，研究立法修正案是否对于统计有什么可以察觉的影响。该项研究的目标是要了解从事同样价值的工作的男女之间的收入差距是不是由于《机会均等法》的更改而缩小。所研究的群体选自城市、省议会和少量国家机构内部。得出了下列结论：</w:t>
      </w:r>
    </w:p>
    <w:p w:rsidR="00000000" w:rsidRDefault="00000000">
      <w:pPr>
        <w:pStyle w:val="a"/>
        <w:ind w:left="1530"/>
        <w:rPr>
          <w:rFonts w:hint="eastAsia"/>
          <w:snapToGrid/>
          <w:spacing w:val="2"/>
        </w:rPr>
      </w:pPr>
      <w:r>
        <w:rPr>
          <w:rFonts w:hint="eastAsia"/>
          <w:snapToGrid/>
          <w:spacing w:val="2"/>
        </w:rPr>
        <w:t>总的来说，没有明显的迹象表明公营部门各种职业的</w:t>
      </w:r>
      <w:r>
        <w:rPr>
          <w:rFonts w:hint="eastAsia"/>
          <w:iCs/>
          <w:snapToGrid/>
          <w:spacing w:val="2"/>
          <w:u w:val="single"/>
        </w:rPr>
        <w:t>内部</w:t>
      </w:r>
      <w:r>
        <w:rPr>
          <w:rFonts w:hint="eastAsia"/>
          <w:snapToGrid/>
          <w:spacing w:val="2"/>
        </w:rPr>
        <w:t>存在收入歧视；</w:t>
      </w:r>
    </w:p>
    <w:p w:rsidR="00000000" w:rsidRDefault="00000000">
      <w:pPr>
        <w:pStyle w:val="a"/>
        <w:ind w:left="1530"/>
        <w:rPr>
          <w:rFonts w:hint="eastAsia"/>
          <w:snapToGrid/>
        </w:rPr>
      </w:pPr>
      <w:r>
        <w:rPr>
          <w:rFonts w:hint="eastAsia"/>
          <w:snapToGrid/>
        </w:rPr>
        <w:t>从事同一职业的男子和妇女获得基本相同的薪金</w:t>
      </w:r>
      <w:r>
        <w:rPr>
          <w:snapToGrid/>
        </w:rPr>
        <w:t>；</w:t>
      </w:r>
    </w:p>
    <w:p w:rsidR="00000000" w:rsidRDefault="00000000">
      <w:pPr>
        <w:pStyle w:val="a"/>
        <w:ind w:left="1530"/>
        <w:rPr>
          <w:rFonts w:hint="eastAsia"/>
          <w:snapToGrid/>
        </w:rPr>
      </w:pPr>
      <w:r>
        <w:rPr>
          <w:rFonts w:hint="eastAsia"/>
          <w:snapToGrid/>
        </w:rPr>
        <w:t>在公共辩论中所提出来的，往往被描述成收入歧视的收入差距主要存在于</w:t>
      </w:r>
      <w:r>
        <w:rPr>
          <w:rFonts w:hint="eastAsia"/>
          <w:iCs/>
          <w:snapToGrid/>
          <w:u w:val="single"/>
        </w:rPr>
        <w:t>不同</w:t>
      </w:r>
      <w:r>
        <w:rPr>
          <w:rFonts w:hint="eastAsia"/>
          <w:snapToGrid/>
        </w:rPr>
        <w:t>的职业</w:t>
      </w:r>
      <w:r>
        <w:rPr>
          <w:rFonts w:hint="eastAsia"/>
          <w:iCs/>
          <w:snapToGrid/>
          <w:u w:val="single"/>
        </w:rPr>
        <w:t>之间</w:t>
      </w:r>
      <w:r>
        <w:rPr>
          <w:rFonts w:hint="eastAsia"/>
          <w:snapToGrid/>
        </w:rPr>
        <w:t>。例如，将工资低，以女性为主的职业与工资高，以男性为主的职业相比。根据《机会均等法》，如果要将这类差别视为歧视，则必须认为工作具有同等价值，而且必须为同一位雇主履行；</w:t>
      </w:r>
    </w:p>
    <w:p w:rsidR="00000000" w:rsidRDefault="00000000">
      <w:pPr>
        <w:pStyle w:val="a"/>
        <w:spacing w:after="240"/>
        <w:ind w:left="1530"/>
        <w:rPr>
          <w:rFonts w:hint="eastAsia"/>
          <w:snapToGrid/>
        </w:rPr>
      </w:pPr>
      <w:r>
        <w:rPr>
          <w:rFonts w:hint="eastAsia"/>
          <w:snapToGrid/>
        </w:rPr>
        <w:t>统计在评估两件工作是否具有同等价值方面没有提供任何指导。</w:t>
      </w:r>
    </w:p>
    <w:p w:rsidR="00000000" w:rsidRDefault="00000000">
      <w:pPr>
        <w:pStyle w:val="Heading4"/>
        <w:rPr>
          <w:rFonts w:hint="eastAsia"/>
        </w:rPr>
      </w:pPr>
      <w:r>
        <w:rPr>
          <w:rFonts w:hint="eastAsia"/>
        </w:rPr>
        <w:t>国家调解办公室的作用</w:t>
      </w:r>
    </w:p>
    <w:p w:rsidR="00000000" w:rsidRDefault="00000000">
      <w:pPr>
        <w:spacing w:after="160"/>
        <w:rPr>
          <w:rFonts w:hint="eastAsia"/>
          <w:snapToGrid/>
        </w:rPr>
      </w:pPr>
      <w:r>
        <w:rPr>
          <w:rFonts w:hint="eastAsia"/>
          <w:snapToGrid/>
        </w:rPr>
        <w:tab/>
        <w:t xml:space="preserve">132.  </w:t>
      </w:r>
      <w:r>
        <w:rPr>
          <w:rFonts w:hint="eastAsia"/>
          <w:snapToGrid/>
        </w:rPr>
        <w:t>工资的形成过程是劳工市场谈判的各位社会伙伴</w:t>
      </w:r>
      <w:r>
        <w:rPr>
          <w:rFonts w:hint="eastAsia"/>
          <w:snapToGrid/>
        </w:rPr>
        <w:t>(</w:t>
      </w:r>
      <w:r>
        <w:rPr>
          <w:rFonts w:hint="eastAsia"/>
          <w:snapToGrid/>
        </w:rPr>
        <w:t>劳工</w:t>
      </w:r>
      <w:r>
        <w:rPr>
          <w:rFonts w:hint="eastAsia"/>
          <w:snapToGrid/>
        </w:rPr>
        <w:t>/</w:t>
      </w:r>
      <w:r>
        <w:rPr>
          <w:rFonts w:hint="eastAsia"/>
          <w:snapToGrid/>
        </w:rPr>
        <w:t>管理单位</w:t>
      </w:r>
      <w:r>
        <w:rPr>
          <w:rFonts w:hint="eastAsia"/>
          <w:snapToGrid/>
        </w:rPr>
        <w:t>)</w:t>
      </w:r>
      <w:r>
        <w:rPr>
          <w:rFonts w:hint="eastAsia"/>
          <w:snapToGrid/>
        </w:rPr>
        <w:t>所关切的事情。因此，国家调解办公室在其</w:t>
      </w:r>
      <w:r>
        <w:rPr>
          <w:rFonts w:hint="eastAsia"/>
          <w:snapToGrid/>
        </w:rPr>
        <w:t>2003</w:t>
      </w:r>
      <w:r>
        <w:rPr>
          <w:rFonts w:hint="eastAsia"/>
          <w:snapToGrid/>
        </w:rPr>
        <w:t>年和</w:t>
      </w:r>
      <w:r>
        <w:rPr>
          <w:rFonts w:hint="eastAsia"/>
          <w:snapToGrid/>
        </w:rPr>
        <w:t>2004</w:t>
      </w:r>
      <w:r>
        <w:rPr>
          <w:rFonts w:hint="eastAsia"/>
          <w:snapToGrid/>
        </w:rPr>
        <w:t>年的拨款指示中，被指示在与伙伴们接触时，要强调在起草中心协议时，必须采取这些协议能够促进地方劳工市场伙伴们达到男女收入平等的努力的方式。国家调解办公室还安排了主题为“工资形成和性别平等”的讨论会。劳工市场的各位社会伙伴是这次基本涉及整个劳工市场的讨论会的目标群体。</w:t>
      </w:r>
    </w:p>
    <w:p w:rsidR="00000000" w:rsidRDefault="00000000">
      <w:pPr>
        <w:pStyle w:val="Heading4"/>
        <w:rPr>
          <w:rFonts w:hint="eastAsia"/>
        </w:rPr>
      </w:pPr>
      <w:r>
        <w:rPr>
          <w:rFonts w:hint="eastAsia"/>
        </w:rPr>
        <w:t>取决社会结构的收入差距</w:t>
      </w:r>
    </w:p>
    <w:p w:rsidR="00000000" w:rsidRDefault="00000000">
      <w:pPr>
        <w:spacing w:after="160"/>
        <w:rPr>
          <w:rFonts w:hint="eastAsia"/>
          <w:snapToGrid/>
        </w:rPr>
      </w:pPr>
      <w:r>
        <w:rPr>
          <w:rFonts w:hint="eastAsia"/>
          <w:snapToGrid/>
        </w:rPr>
        <w:tab/>
        <w:t xml:space="preserve">133.  </w:t>
      </w:r>
      <w:r>
        <w:rPr>
          <w:rFonts w:hint="eastAsia"/>
          <w:snapToGrid/>
        </w:rPr>
        <w:t>应当给予公营部门妇女的工作较高的价值，以减少男女之间的结构性收入差距。因此，政府提议在</w:t>
      </w:r>
      <w:r>
        <w:rPr>
          <w:rFonts w:hint="eastAsia"/>
          <w:snapToGrid/>
        </w:rPr>
        <w:t>2006</w:t>
      </w:r>
      <w:r>
        <w:rPr>
          <w:rFonts w:hint="eastAsia"/>
          <w:snapToGrid/>
        </w:rPr>
        <w:t>年的预算中在今后数年里向市政部门分拨额外的资源。要在下一次集体协议谈判之前早得多的时间与瑞典地方部门和区域协会进行讨论，以便澄清包括减少男女收入差距在内的事务的条件。</w:t>
      </w:r>
    </w:p>
    <w:p w:rsidR="00000000" w:rsidRDefault="00000000">
      <w:pPr>
        <w:pStyle w:val="Heading4"/>
        <w:rPr>
          <w:rFonts w:hint="eastAsia"/>
        </w:rPr>
      </w:pPr>
      <w:r>
        <w:rPr>
          <w:rFonts w:hint="eastAsia"/>
        </w:rPr>
        <w:t>政府的收入平等行动计划</w:t>
      </w:r>
    </w:p>
    <w:p w:rsidR="00000000" w:rsidRDefault="00000000">
      <w:pPr>
        <w:rPr>
          <w:rFonts w:hint="eastAsia"/>
          <w:snapToGrid/>
        </w:rPr>
      </w:pPr>
      <w:r>
        <w:rPr>
          <w:rFonts w:hint="eastAsia"/>
          <w:snapToGrid/>
        </w:rPr>
        <w:tab/>
        <w:t xml:space="preserve">134.  </w:t>
      </w:r>
      <w:r>
        <w:rPr>
          <w:rFonts w:hint="eastAsia"/>
          <w:snapToGrid/>
        </w:rPr>
        <w:t>政府将在</w:t>
      </w:r>
      <w:r>
        <w:rPr>
          <w:rFonts w:hint="eastAsia"/>
          <w:snapToGrid/>
        </w:rPr>
        <w:t>2006</w:t>
      </w:r>
      <w:r>
        <w:rPr>
          <w:rFonts w:hint="eastAsia"/>
          <w:snapToGrid/>
        </w:rPr>
        <w:t>年春，与左翼党和绿党合作，提出一项反对性别歧视收入差距的国家行动计划。</w:t>
      </w:r>
    </w:p>
    <w:p w:rsidR="00000000" w:rsidRDefault="00000000">
      <w:pPr>
        <w:spacing w:after="320"/>
        <w:rPr>
          <w:snapToGrid/>
        </w:rPr>
      </w:pPr>
      <w:r>
        <w:rPr>
          <w:rFonts w:hint="eastAsia"/>
          <w:snapToGrid/>
        </w:rPr>
        <w:tab/>
        <w:t xml:space="preserve">135.  </w:t>
      </w:r>
      <w:r>
        <w:rPr>
          <w:rFonts w:hint="eastAsia"/>
          <w:snapToGrid/>
        </w:rPr>
        <w:t>这项基础广泛的计划将有统括直接间接影响个人工资的各个领域。这意味着，这项计划将在《机会均等法》以上，涉及包括就业形式、技能发展和有薪酬和无薪酬工作的分布在内的诸领域。</w:t>
      </w:r>
    </w:p>
    <w:p w:rsidR="00000000" w:rsidRDefault="00000000">
      <w:pPr>
        <w:pStyle w:val="Heading4"/>
        <w:rPr>
          <w:rFonts w:ascii="Time New Roman" w:eastAsia="SimHei" w:hAnsi="Time New Roman" w:hint="eastAsia"/>
          <w:u w:val="none"/>
        </w:rPr>
      </w:pPr>
      <w:r>
        <w:rPr>
          <w:u w:val="none"/>
        </w:rPr>
        <w:t>(d)</w:t>
      </w:r>
      <w:r>
        <w:rPr>
          <w:rFonts w:hint="eastAsia"/>
          <w:u w:val="none"/>
        </w:rPr>
        <w:tab/>
      </w:r>
      <w:r>
        <w:rPr>
          <w:u w:val="none"/>
        </w:rPr>
        <w:tab/>
      </w:r>
      <w:r>
        <w:rPr>
          <w:u w:val="none"/>
        </w:rPr>
        <w:tab/>
      </w:r>
      <w:r>
        <w:rPr>
          <w:u w:val="none"/>
        </w:rPr>
        <w:tab/>
      </w:r>
      <w:r>
        <w:rPr>
          <w:u w:val="none"/>
        </w:rPr>
        <w:tab/>
      </w:r>
      <w:r>
        <w:rPr>
          <w:u w:val="none"/>
        </w:rPr>
        <w:tab/>
      </w:r>
      <w:r>
        <w:rPr>
          <w:rFonts w:hint="eastAsia"/>
          <w:u w:val="none"/>
        </w:rPr>
        <w:tab/>
      </w:r>
      <w:r>
        <w:rPr>
          <w:rFonts w:hint="eastAsia"/>
          <w:u w:val="none"/>
        </w:rPr>
        <w:tab/>
        <w:t xml:space="preserve">  </w:t>
      </w:r>
      <w:r>
        <w:rPr>
          <w:rFonts w:ascii="Time New Roman" w:eastAsia="SimHei" w:hAnsi="Time New Roman" w:hint="eastAsia"/>
          <w:u w:val="none"/>
        </w:rPr>
        <w:t>表</w:t>
      </w:r>
      <w:r>
        <w:rPr>
          <w:rFonts w:ascii="Time New Roman" w:eastAsia="SimHei" w:hAnsi="Time New Roman" w:hint="eastAsia"/>
          <w:b/>
          <w:u w:val="none"/>
        </w:rPr>
        <w:t>7</w:t>
      </w:r>
      <w:r>
        <w:rPr>
          <w:rFonts w:ascii="Time New Roman" w:eastAsia="SimHei" w:hAnsi="Time New Roman" w:hint="eastAsia"/>
          <w:u w:val="none"/>
        </w:rPr>
        <w:t>：</w:t>
      </w:r>
      <w:r>
        <w:rPr>
          <w:rFonts w:ascii="Time New Roman" w:eastAsia="SimHei" w:hAnsi="Time New Roman" w:hint="eastAsia"/>
          <w:b/>
          <w:u w:val="none"/>
        </w:rPr>
        <w:t>2</w:t>
      </w:r>
    </w:p>
    <w:p w:rsidR="00000000" w:rsidRDefault="00000000">
      <w:pPr>
        <w:pStyle w:val="Heading3"/>
      </w:pPr>
      <w:r>
        <w:rPr>
          <w:rFonts w:ascii="Time New Roman" w:eastAsia="SimHei" w:hAnsi="Time New Roman" w:hint="eastAsia"/>
          <w:u w:val="none"/>
        </w:rPr>
        <w:t>过去某几年的月工资</w:t>
      </w:r>
    </w:p>
    <w:tbl>
      <w:tblPr>
        <w:tblW w:w="0" w:type="auto"/>
        <w:tblInd w:w="1708" w:type="dxa"/>
        <w:tblCellMar>
          <w:left w:w="28" w:type="dxa"/>
          <w:right w:w="28" w:type="dxa"/>
        </w:tblCellMar>
        <w:tblLook w:val="0000" w:firstRow="0" w:lastRow="0" w:firstColumn="0" w:lastColumn="0" w:noHBand="0" w:noVBand="0"/>
      </w:tblPr>
      <w:tblGrid>
        <w:gridCol w:w="2170"/>
        <w:gridCol w:w="2170"/>
        <w:gridCol w:w="2170"/>
      </w:tblGrid>
      <w:tr w:rsidR="00000000">
        <w:tblPrEx>
          <w:tblCellMar>
            <w:top w:w="0" w:type="dxa"/>
            <w:bottom w:w="0" w:type="dxa"/>
          </w:tblCellMar>
        </w:tblPrEx>
        <w:tc>
          <w:tcPr>
            <w:tcW w:w="217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p>
        </w:tc>
        <w:tc>
          <w:tcPr>
            <w:tcW w:w="217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子</w:t>
            </w:r>
          </w:p>
        </w:tc>
        <w:tc>
          <w:tcPr>
            <w:tcW w:w="2170" w:type="dxa"/>
            <w:tcBorders>
              <w:top w:val="single" w:sz="4" w:space="0" w:color="auto"/>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妇</w:t>
            </w:r>
            <w:r>
              <w:rPr>
                <w:rFonts w:ascii="Time New Roman" w:eastAsia="SimHei" w:hAnsi="Time New Roman" w:hint="eastAsia"/>
                <w:snapToGrid/>
              </w:rPr>
              <w:t xml:space="preserve">  </w:t>
            </w:r>
            <w:r>
              <w:rPr>
                <w:rFonts w:ascii="Time New Roman" w:eastAsia="SimHei" w:hAnsi="Time New Roman" w:hint="eastAsia"/>
                <w:snapToGrid/>
              </w:rPr>
              <w:t>女</w:t>
            </w:r>
          </w:p>
        </w:tc>
      </w:tr>
      <w:tr w:rsidR="00000000">
        <w:tblPrEx>
          <w:tblCellMar>
            <w:top w:w="0" w:type="dxa"/>
            <w:bottom w:w="0" w:type="dxa"/>
          </w:tblCellMar>
        </w:tblPrEx>
        <w:tc>
          <w:tcPr>
            <w:tcW w:w="2170" w:type="dxa"/>
            <w:tcBorders>
              <w:top w:val="single" w:sz="4" w:space="0" w:color="auto"/>
            </w:tcBorders>
          </w:tcPr>
          <w:p w:rsidR="00000000" w:rsidRDefault="00000000">
            <w:pPr>
              <w:pStyle w:val="ac"/>
              <w:spacing w:line="240" w:lineRule="exact"/>
              <w:ind w:left="284"/>
              <w:rPr>
                <w:rFonts w:ascii="Time New Roman" w:eastAsia="SimHei" w:hAnsi="Time New Roman"/>
                <w:bCs/>
              </w:rPr>
            </w:pPr>
            <w:r>
              <w:rPr>
                <w:rFonts w:ascii="Time New Roman" w:eastAsia="SimHei" w:hAnsi="Time New Roman" w:hint="eastAsia"/>
                <w:bCs/>
                <w:snapToGrid/>
              </w:rPr>
              <w:t>2001</w:t>
            </w:r>
          </w:p>
        </w:tc>
        <w:tc>
          <w:tcPr>
            <w:tcW w:w="2170" w:type="dxa"/>
            <w:tcBorders>
              <w:top w:val="single" w:sz="4" w:space="0" w:color="auto"/>
            </w:tcBorders>
          </w:tcPr>
          <w:p w:rsidR="00000000" w:rsidRDefault="00000000">
            <w:pPr>
              <w:pStyle w:val="ac"/>
              <w:spacing w:line="240" w:lineRule="exact"/>
              <w:jc w:val="center"/>
            </w:pPr>
          </w:p>
        </w:tc>
        <w:tc>
          <w:tcPr>
            <w:tcW w:w="2170" w:type="dxa"/>
            <w:tcBorders>
              <w:top w:val="single" w:sz="4" w:space="0" w:color="auto"/>
            </w:tcBorders>
          </w:tcPr>
          <w:p w:rsidR="00000000" w:rsidRDefault="00000000">
            <w:pPr>
              <w:pStyle w:val="ac"/>
              <w:spacing w:line="240" w:lineRule="exact"/>
              <w:jc w:val="center"/>
            </w:pPr>
          </w:p>
        </w:tc>
      </w:tr>
      <w:tr w:rsidR="00000000">
        <w:tblPrEx>
          <w:tblCellMar>
            <w:top w:w="0" w:type="dxa"/>
            <w:bottom w:w="0" w:type="dxa"/>
          </w:tblCellMar>
        </w:tblPrEx>
        <w:tc>
          <w:tcPr>
            <w:tcW w:w="2170" w:type="dxa"/>
          </w:tcPr>
          <w:p w:rsidR="00000000" w:rsidRDefault="00000000">
            <w:pPr>
              <w:pStyle w:val="ac"/>
              <w:spacing w:line="240" w:lineRule="exact"/>
              <w:jc w:val="center"/>
              <w:rPr>
                <w:rFonts w:hint="eastAsia"/>
              </w:rPr>
            </w:pPr>
            <w:r>
              <w:rPr>
                <w:rFonts w:hint="eastAsia"/>
              </w:rPr>
              <w:t>私营</w:t>
            </w:r>
          </w:p>
        </w:tc>
        <w:tc>
          <w:tcPr>
            <w:tcW w:w="2170" w:type="dxa"/>
          </w:tcPr>
          <w:p w:rsidR="00000000" w:rsidRDefault="00000000">
            <w:pPr>
              <w:pStyle w:val="ac"/>
              <w:tabs>
                <w:tab w:val="decimal" w:pos="1372"/>
              </w:tabs>
              <w:spacing w:line="240" w:lineRule="exact"/>
            </w:pPr>
            <w:r>
              <w:t>23,578</w:t>
            </w:r>
          </w:p>
        </w:tc>
        <w:tc>
          <w:tcPr>
            <w:tcW w:w="2170" w:type="dxa"/>
          </w:tcPr>
          <w:p w:rsidR="00000000" w:rsidRDefault="00000000">
            <w:pPr>
              <w:pStyle w:val="ac"/>
              <w:tabs>
                <w:tab w:val="decimal" w:pos="1372"/>
              </w:tabs>
              <w:spacing w:line="240" w:lineRule="exact"/>
            </w:pPr>
            <w:r>
              <w:t>19,785</w:t>
            </w:r>
          </w:p>
        </w:tc>
      </w:tr>
      <w:tr w:rsidR="00000000">
        <w:tblPrEx>
          <w:tblCellMar>
            <w:top w:w="0" w:type="dxa"/>
            <w:bottom w:w="0" w:type="dxa"/>
          </w:tblCellMar>
        </w:tblPrEx>
        <w:tc>
          <w:tcPr>
            <w:tcW w:w="2170" w:type="dxa"/>
          </w:tcPr>
          <w:p w:rsidR="00000000" w:rsidRDefault="00000000">
            <w:pPr>
              <w:pStyle w:val="ac"/>
              <w:spacing w:line="240" w:lineRule="exact"/>
              <w:jc w:val="center"/>
              <w:rPr>
                <w:rFonts w:hint="eastAsia"/>
                <w:snapToGrid/>
              </w:rPr>
            </w:pPr>
            <w:r>
              <w:rPr>
                <w:rFonts w:hint="eastAsia"/>
                <w:snapToGrid/>
              </w:rPr>
              <w:t>公营</w:t>
            </w:r>
          </w:p>
        </w:tc>
        <w:tc>
          <w:tcPr>
            <w:tcW w:w="2170" w:type="dxa"/>
          </w:tcPr>
          <w:p w:rsidR="00000000" w:rsidRDefault="00000000">
            <w:pPr>
              <w:pStyle w:val="ac"/>
              <w:tabs>
                <w:tab w:val="decimal" w:pos="1372"/>
              </w:tabs>
              <w:spacing w:line="240" w:lineRule="exact"/>
            </w:pPr>
            <w:r>
              <w:t>22,574</w:t>
            </w:r>
          </w:p>
        </w:tc>
        <w:tc>
          <w:tcPr>
            <w:tcW w:w="2170" w:type="dxa"/>
          </w:tcPr>
          <w:p w:rsidR="00000000" w:rsidRDefault="00000000">
            <w:pPr>
              <w:pStyle w:val="ac"/>
              <w:tabs>
                <w:tab w:val="decimal" w:pos="1372"/>
              </w:tabs>
              <w:spacing w:line="240" w:lineRule="exact"/>
            </w:pPr>
            <w:r>
              <w:t>18,602</w:t>
            </w:r>
          </w:p>
        </w:tc>
      </w:tr>
      <w:tr w:rsidR="00000000">
        <w:tblPrEx>
          <w:tblCellMar>
            <w:top w:w="0" w:type="dxa"/>
            <w:bottom w:w="0" w:type="dxa"/>
          </w:tblCellMar>
        </w:tblPrEx>
        <w:tc>
          <w:tcPr>
            <w:tcW w:w="2170" w:type="dxa"/>
          </w:tcPr>
          <w:p w:rsidR="00000000" w:rsidRDefault="00000000">
            <w:pPr>
              <w:pStyle w:val="ac"/>
              <w:spacing w:line="240" w:lineRule="exact"/>
              <w:ind w:left="284"/>
              <w:rPr>
                <w:rFonts w:ascii="Time New Roman" w:eastAsia="SimHei" w:hAnsi="Time New Roman"/>
                <w:bCs/>
              </w:rPr>
            </w:pPr>
            <w:r>
              <w:rPr>
                <w:rFonts w:ascii="Time New Roman" w:eastAsia="SimHei" w:hAnsi="Time New Roman" w:hint="eastAsia"/>
                <w:bCs/>
                <w:snapToGrid/>
              </w:rPr>
              <w:t>2002</w:t>
            </w:r>
          </w:p>
        </w:tc>
        <w:tc>
          <w:tcPr>
            <w:tcW w:w="2170" w:type="dxa"/>
          </w:tcPr>
          <w:p w:rsidR="00000000" w:rsidRDefault="00000000">
            <w:pPr>
              <w:pStyle w:val="ac"/>
              <w:tabs>
                <w:tab w:val="decimal" w:pos="1372"/>
              </w:tabs>
              <w:spacing w:line="240" w:lineRule="exact"/>
            </w:pPr>
          </w:p>
        </w:tc>
        <w:tc>
          <w:tcPr>
            <w:tcW w:w="2170" w:type="dxa"/>
          </w:tcPr>
          <w:p w:rsidR="00000000" w:rsidRDefault="00000000">
            <w:pPr>
              <w:pStyle w:val="ac"/>
              <w:tabs>
                <w:tab w:val="decimal" w:pos="1372"/>
              </w:tabs>
              <w:spacing w:line="240" w:lineRule="exact"/>
              <w:rPr>
                <w:rFonts w:hint="eastAsia"/>
                <w:snapToGrid/>
              </w:rPr>
            </w:pPr>
          </w:p>
        </w:tc>
      </w:tr>
      <w:tr w:rsidR="00000000">
        <w:tblPrEx>
          <w:tblCellMar>
            <w:top w:w="0" w:type="dxa"/>
            <w:bottom w:w="0" w:type="dxa"/>
          </w:tblCellMar>
        </w:tblPrEx>
        <w:tc>
          <w:tcPr>
            <w:tcW w:w="2170" w:type="dxa"/>
          </w:tcPr>
          <w:p w:rsidR="00000000" w:rsidRDefault="00000000">
            <w:pPr>
              <w:pStyle w:val="ac"/>
              <w:spacing w:line="240" w:lineRule="exact"/>
              <w:jc w:val="center"/>
              <w:rPr>
                <w:rFonts w:hint="eastAsia"/>
              </w:rPr>
            </w:pPr>
            <w:r>
              <w:rPr>
                <w:rFonts w:hint="eastAsia"/>
              </w:rPr>
              <w:t>私营</w:t>
            </w:r>
          </w:p>
        </w:tc>
        <w:tc>
          <w:tcPr>
            <w:tcW w:w="2170" w:type="dxa"/>
          </w:tcPr>
          <w:p w:rsidR="00000000" w:rsidRDefault="00000000">
            <w:pPr>
              <w:pStyle w:val="ac"/>
              <w:tabs>
                <w:tab w:val="decimal" w:pos="1372"/>
              </w:tabs>
              <w:spacing w:line="240" w:lineRule="exact"/>
            </w:pPr>
            <w:r>
              <w:t>24,265</w:t>
            </w:r>
          </w:p>
        </w:tc>
        <w:tc>
          <w:tcPr>
            <w:tcW w:w="2170" w:type="dxa"/>
          </w:tcPr>
          <w:p w:rsidR="00000000" w:rsidRDefault="00000000">
            <w:pPr>
              <w:pStyle w:val="ac"/>
              <w:tabs>
                <w:tab w:val="decimal" w:pos="1372"/>
              </w:tabs>
              <w:spacing w:line="240" w:lineRule="exact"/>
            </w:pPr>
            <w:r>
              <w:t>20,605</w:t>
            </w:r>
          </w:p>
        </w:tc>
      </w:tr>
      <w:tr w:rsidR="00000000">
        <w:tblPrEx>
          <w:tblCellMar>
            <w:top w:w="0" w:type="dxa"/>
            <w:bottom w:w="0" w:type="dxa"/>
          </w:tblCellMar>
        </w:tblPrEx>
        <w:tc>
          <w:tcPr>
            <w:tcW w:w="2170" w:type="dxa"/>
          </w:tcPr>
          <w:p w:rsidR="00000000" w:rsidRDefault="00000000">
            <w:pPr>
              <w:pStyle w:val="ac"/>
              <w:spacing w:line="240" w:lineRule="exact"/>
              <w:jc w:val="center"/>
              <w:rPr>
                <w:rFonts w:hint="eastAsia"/>
                <w:snapToGrid/>
              </w:rPr>
            </w:pPr>
            <w:r>
              <w:rPr>
                <w:rFonts w:hint="eastAsia"/>
                <w:snapToGrid/>
              </w:rPr>
              <w:t>公营</w:t>
            </w:r>
          </w:p>
        </w:tc>
        <w:tc>
          <w:tcPr>
            <w:tcW w:w="2170" w:type="dxa"/>
          </w:tcPr>
          <w:p w:rsidR="00000000" w:rsidRDefault="00000000">
            <w:pPr>
              <w:pStyle w:val="ac"/>
              <w:tabs>
                <w:tab w:val="decimal" w:pos="1372"/>
              </w:tabs>
              <w:spacing w:line="240" w:lineRule="exact"/>
            </w:pPr>
            <w:r>
              <w:t>23,520</w:t>
            </w:r>
          </w:p>
        </w:tc>
        <w:tc>
          <w:tcPr>
            <w:tcW w:w="2170" w:type="dxa"/>
          </w:tcPr>
          <w:p w:rsidR="00000000" w:rsidRDefault="00000000">
            <w:pPr>
              <w:pStyle w:val="ac"/>
              <w:tabs>
                <w:tab w:val="decimal" w:pos="1372"/>
              </w:tabs>
              <w:spacing w:line="240" w:lineRule="exact"/>
            </w:pPr>
            <w:r>
              <w:t>19,404</w:t>
            </w:r>
          </w:p>
        </w:tc>
      </w:tr>
      <w:tr w:rsidR="00000000">
        <w:tblPrEx>
          <w:tblCellMar>
            <w:top w:w="0" w:type="dxa"/>
            <w:bottom w:w="0" w:type="dxa"/>
          </w:tblCellMar>
        </w:tblPrEx>
        <w:tc>
          <w:tcPr>
            <w:tcW w:w="2170" w:type="dxa"/>
          </w:tcPr>
          <w:p w:rsidR="00000000" w:rsidRDefault="00000000">
            <w:pPr>
              <w:pStyle w:val="ac"/>
              <w:spacing w:line="240" w:lineRule="exact"/>
              <w:ind w:left="284"/>
              <w:rPr>
                <w:rFonts w:ascii="Time New Roman" w:eastAsia="SimHei" w:hAnsi="Time New Roman"/>
                <w:bCs/>
              </w:rPr>
            </w:pPr>
            <w:r>
              <w:rPr>
                <w:rFonts w:ascii="Time New Roman" w:eastAsia="SimHei" w:hAnsi="Time New Roman" w:hint="eastAsia"/>
                <w:bCs/>
                <w:snapToGrid/>
              </w:rPr>
              <w:t>2003</w:t>
            </w:r>
          </w:p>
        </w:tc>
        <w:tc>
          <w:tcPr>
            <w:tcW w:w="2170" w:type="dxa"/>
          </w:tcPr>
          <w:p w:rsidR="00000000" w:rsidRDefault="00000000">
            <w:pPr>
              <w:pStyle w:val="ac"/>
              <w:tabs>
                <w:tab w:val="decimal" w:pos="1372"/>
              </w:tabs>
              <w:spacing w:line="240" w:lineRule="exact"/>
            </w:pPr>
          </w:p>
        </w:tc>
        <w:tc>
          <w:tcPr>
            <w:tcW w:w="2170" w:type="dxa"/>
          </w:tcPr>
          <w:p w:rsidR="00000000" w:rsidRDefault="00000000">
            <w:pPr>
              <w:pStyle w:val="ac"/>
              <w:tabs>
                <w:tab w:val="decimal" w:pos="1372"/>
              </w:tabs>
              <w:spacing w:line="240" w:lineRule="exact"/>
            </w:pPr>
          </w:p>
        </w:tc>
      </w:tr>
      <w:tr w:rsidR="00000000">
        <w:tblPrEx>
          <w:tblCellMar>
            <w:top w:w="0" w:type="dxa"/>
            <w:bottom w:w="0" w:type="dxa"/>
          </w:tblCellMar>
        </w:tblPrEx>
        <w:tc>
          <w:tcPr>
            <w:tcW w:w="2170" w:type="dxa"/>
          </w:tcPr>
          <w:p w:rsidR="00000000" w:rsidRDefault="00000000">
            <w:pPr>
              <w:pStyle w:val="ac"/>
              <w:spacing w:line="240" w:lineRule="exact"/>
              <w:jc w:val="center"/>
              <w:rPr>
                <w:rFonts w:hint="eastAsia"/>
              </w:rPr>
            </w:pPr>
            <w:r>
              <w:rPr>
                <w:rFonts w:hint="eastAsia"/>
              </w:rPr>
              <w:t>私营</w:t>
            </w:r>
          </w:p>
        </w:tc>
        <w:tc>
          <w:tcPr>
            <w:tcW w:w="2170" w:type="dxa"/>
          </w:tcPr>
          <w:p w:rsidR="00000000" w:rsidRDefault="00000000">
            <w:pPr>
              <w:pStyle w:val="ac"/>
              <w:tabs>
                <w:tab w:val="decimal" w:pos="1372"/>
              </w:tabs>
              <w:spacing w:line="240" w:lineRule="exact"/>
            </w:pPr>
            <w:r>
              <w:t>24,980</w:t>
            </w:r>
          </w:p>
        </w:tc>
        <w:tc>
          <w:tcPr>
            <w:tcW w:w="2170" w:type="dxa"/>
          </w:tcPr>
          <w:p w:rsidR="00000000" w:rsidRDefault="00000000">
            <w:pPr>
              <w:pStyle w:val="ac"/>
              <w:tabs>
                <w:tab w:val="decimal" w:pos="1372"/>
              </w:tabs>
              <w:spacing w:line="240" w:lineRule="exact"/>
            </w:pPr>
            <w:r>
              <w:t>21,319</w:t>
            </w:r>
          </w:p>
        </w:tc>
      </w:tr>
      <w:tr w:rsidR="00000000">
        <w:tblPrEx>
          <w:tblCellMar>
            <w:top w:w="0" w:type="dxa"/>
            <w:bottom w:w="0" w:type="dxa"/>
          </w:tblCellMar>
        </w:tblPrEx>
        <w:tc>
          <w:tcPr>
            <w:tcW w:w="2170" w:type="dxa"/>
            <w:tcBorders>
              <w:bottom w:val="single" w:sz="4" w:space="0" w:color="auto"/>
            </w:tcBorders>
          </w:tcPr>
          <w:p w:rsidR="00000000" w:rsidRDefault="00000000">
            <w:pPr>
              <w:pStyle w:val="ac"/>
              <w:spacing w:line="240" w:lineRule="exact"/>
              <w:jc w:val="center"/>
              <w:rPr>
                <w:rFonts w:hint="eastAsia"/>
                <w:snapToGrid/>
              </w:rPr>
            </w:pPr>
            <w:r>
              <w:rPr>
                <w:rFonts w:hint="eastAsia"/>
                <w:snapToGrid/>
              </w:rPr>
              <w:t>公营</w:t>
            </w:r>
          </w:p>
        </w:tc>
        <w:tc>
          <w:tcPr>
            <w:tcW w:w="2170" w:type="dxa"/>
            <w:tcBorders>
              <w:bottom w:val="single" w:sz="4" w:space="0" w:color="auto"/>
            </w:tcBorders>
          </w:tcPr>
          <w:p w:rsidR="00000000" w:rsidRDefault="00000000">
            <w:pPr>
              <w:pStyle w:val="ac"/>
              <w:tabs>
                <w:tab w:val="decimal" w:pos="1372"/>
              </w:tabs>
              <w:spacing w:line="240" w:lineRule="exact"/>
            </w:pPr>
            <w:r>
              <w:t>24,404</w:t>
            </w:r>
          </w:p>
        </w:tc>
        <w:tc>
          <w:tcPr>
            <w:tcW w:w="2170" w:type="dxa"/>
            <w:tcBorders>
              <w:bottom w:val="single" w:sz="4" w:space="0" w:color="auto"/>
            </w:tcBorders>
          </w:tcPr>
          <w:p w:rsidR="00000000" w:rsidRDefault="00000000">
            <w:pPr>
              <w:pStyle w:val="ac"/>
              <w:tabs>
                <w:tab w:val="decimal" w:pos="1372"/>
              </w:tabs>
              <w:spacing w:line="240" w:lineRule="exact"/>
            </w:pPr>
            <w:r>
              <w:t>20,234</w:t>
            </w:r>
          </w:p>
        </w:tc>
      </w:tr>
    </w:tbl>
    <w:p w:rsidR="00000000" w:rsidRDefault="00000000">
      <w:pPr>
        <w:spacing w:before="180" w:line="240" w:lineRule="exact"/>
        <w:ind w:left="1780"/>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：瑞典统计局，工资和薪金结构统计</w:t>
      </w:r>
    </w:p>
    <w:p w:rsidR="00000000" w:rsidRDefault="00000000">
      <w:pPr>
        <w:spacing w:before="180" w:line="240" w:lineRule="exact"/>
        <w:ind w:left="1780"/>
        <w:rPr>
          <w:rFonts w:eastAsia="KaiTi_GB2312" w:hint="eastAsia"/>
          <w:snapToGrid/>
          <w:spacing w:val="0"/>
          <w:sz w:val="22"/>
        </w:rPr>
      </w:pP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w:t>
      </w:r>
    </w:p>
    <w:p w:rsidR="00000000" w:rsidRDefault="00000000">
      <w:pPr>
        <w:rPr>
          <w:rFonts w:hint="eastAsia"/>
          <w:snapToGrid/>
        </w:rPr>
      </w:pPr>
      <w:r>
        <w:rPr>
          <w:rFonts w:hint="eastAsia"/>
          <w:snapToGrid/>
        </w:rPr>
        <w:tab/>
        <w:t xml:space="preserve">136.  </w:t>
      </w:r>
      <w:r>
        <w:rPr>
          <w:rFonts w:hint="eastAsia"/>
          <w:snapToGrid/>
        </w:rPr>
        <w:t>瑞典的主要工作环境法律是《工作环境法》</w:t>
      </w:r>
      <w:r>
        <w:rPr>
          <w:rFonts w:hint="eastAsia"/>
          <w:snapToGrid/>
        </w:rPr>
        <w:t>(1977</w:t>
      </w:r>
      <w:r>
        <w:rPr>
          <w:rFonts w:hint="eastAsia"/>
          <w:snapToGrid/>
        </w:rPr>
        <w:t>：</w:t>
      </w:r>
      <w:r>
        <w:rPr>
          <w:rFonts w:hint="eastAsia"/>
          <w:snapToGrid/>
        </w:rPr>
        <w:t>1160)</w:t>
      </w:r>
      <w:r>
        <w:rPr>
          <w:rFonts w:hint="eastAsia"/>
          <w:snapToGrid/>
        </w:rPr>
        <w:t>，《工作环境条例》</w:t>
      </w:r>
      <w:r>
        <w:rPr>
          <w:rFonts w:hint="eastAsia"/>
          <w:snapToGrid/>
        </w:rPr>
        <w:t>(1977</w:t>
      </w:r>
      <w:r>
        <w:rPr>
          <w:rFonts w:hint="eastAsia"/>
          <w:snapToGrid/>
        </w:rPr>
        <w:t>：</w:t>
      </w:r>
      <w:r>
        <w:rPr>
          <w:rFonts w:hint="eastAsia"/>
          <w:snapToGrid/>
        </w:rPr>
        <w:t>1166)</w:t>
      </w:r>
      <w:r>
        <w:rPr>
          <w:rFonts w:hint="eastAsia"/>
          <w:snapToGrid/>
        </w:rPr>
        <w:t>，以及由工作环境署签发的大约</w:t>
      </w:r>
      <w:r>
        <w:rPr>
          <w:rFonts w:hint="eastAsia"/>
          <w:snapToGrid/>
        </w:rPr>
        <w:t>120</w:t>
      </w:r>
      <w:r>
        <w:rPr>
          <w:rFonts w:hint="eastAsia"/>
          <w:snapToGrid/>
        </w:rPr>
        <w:t>种规章。</w:t>
      </w:r>
    </w:p>
    <w:p w:rsidR="00000000" w:rsidRDefault="00000000">
      <w:pPr>
        <w:rPr>
          <w:rFonts w:hint="eastAsia"/>
          <w:snapToGrid/>
        </w:rPr>
      </w:pPr>
      <w:r>
        <w:rPr>
          <w:rFonts w:hint="eastAsia"/>
          <w:snapToGrid/>
        </w:rPr>
        <w:tab/>
        <w:t xml:space="preserve">137.  </w:t>
      </w:r>
      <w:r>
        <w:rPr>
          <w:rFonts w:hint="eastAsia"/>
          <w:snapToGrid/>
        </w:rPr>
        <w:t>工作环境署是监督部门。该署受权获取透露、文件和测试，以及指令进行实施监督所需要的调查。该署受权进入工作场所进行监督。工作环境署受权向负责工人安全的实体发出为了确保遵守法律或依照法律签发的规章所必要的禁令和禁律。可以就禁令和禁律征收罚金。政府可以裁令在《工作环境法》项下的案例中收取特别的费用。</w:t>
      </w:r>
    </w:p>
    <w:p w:rsidR="00000000" w:rsidRDefault="00000000">
      <w:pPr>
        <w:rPr>
          <w:rFonts w:hint="eastAsia"/>
          <w:snapToGrid/>
        </w:rPr>
      </w:pPr>
      <w:r>
        <w:rPr>
          <w:rFonts w:hint="eastAsia"/>
          <w:snapToGrid/>
        </w:rPr>
        <w:tab/>
        <w:t xml:space="preserve">138.  </w:t>
      </w:r>
      <w:r>
        <w:rPr>
          <w:rFonts w:hint="eastAsia"/>
          <w:snapToGrid/>
        </w:rPr>
        <w:t>对于有意违反禁令和禁律的人，可以判处罚金或直至一年的监禁。某些法律规定带有直接的刑事制裁。其他制裁包括没收财产或财产的价值和罚款。</w:t>
      </w:r>
    </w:p>
    <w:p w:rsidR="00000000" w:rsidRDefault="00000000">
      <w:pPr>
        <w:spacing w:line="312" w:lineRule="auto"/>
        <w:rPr>
          <w:rFonts w:hint="eastAsia"/>
          <w:snapToGrid/>
        </w:rPr>
      </w:pPr>
      <w:r>
        <w:rPr>
          <w:rFonts w:hint="eastAsia"/>
          <w:snapToGrid/>
        </w:rPr>
        <w:tab/>
        <w:t xml:space="preserve">139.  (a) </w:t>
      </w:r>
      <w:r>
        <w:rPr>
          <w:rFonts w:hint="eastAsia"/>
          <w:snapToGrid/>
        </w:rPr>
        <w:t>《工作环境法》适用于雇员为雇主做工作的一切活动，但在雇主家里干活的</w:t>
      </w:r>
      <w:r>
        <w:rPr>
          <w:rFonts w:hint="eastAsia"/>
          <w:snapToGrid/>
        </w:rPr>
        <w:t>18</w:t>
      </w:r>
      <w:r>
        <w:rPr>
          <w:rFonts w:hint="eastAsia"/>
          <w:snapToGrid/>
        </w:rPr>
        <w:t>岁以上</w:t>
      </w:r>
      <w:r>
        <w:rPr>
          <w:rFonts w:hint="eastAsia"/>
          <w:snapToGrid/>
        </w:rPr>
        <w:t>(</w:t>
      </w:r>
      <w:r>
        <w:rPr>
          <w:rFonts w:hint="eastAsia"/>
          <w:snapToGrid/>
        </w:rPr>
        <w:t>含</w:t>
      </w:r>
      <w:r>
        <w:rPr>
          <w:rFonts w:hint="eastAsia"/>
          <w:snapToGrid/>
        </w:rPr>
        <w:t>18</w:t>
      </w:r>
      <w:r>
        <w:rPr>
          <w:rFonts w:hint="eastAsia"/>
          <w:snapToGrid/>
        </w:rPr>
        <w:t>岁</w:t>
      </w:r>
      <w:r>
        <w:rPr>
          <w:rFonts w:hint="eastAsia"/>
          <w:snapToGrid/>
        </w:rPr>
        <w:t>)</w:t>
      </w:r>
      <w:r>
        <w:rPr>
          <w:rFonts w:hint="eastAsia"/>
          <w:snapToGrid/>
        </w:rPr>
        <w:t>雇员除外，后者另由《家庭雇佣</w:t>
      </w:r>
      <w:r>
        <w:rPr>
          <w:rFonts w:hint="eastAsia"/>
          <w:snapToGrid/>
        </w:rPr>
        <w:t>(</w:t>
      </w:r>
      <w:r>
        <w:rPr>
          <w:rFonts w:hint="eastAsia"/>
          <w:snapToGrid/>
        </w:rPr>
        <w:t>工作时间等</w:t>
      </w:r>
      <w:r>
        <w:rPr>
          <w:rFonts w:hint="eastAsia"/>
          <w:snapToGrid/>
        </w:rPr>
        <w:t>)</w:t>
      </w:r>
      <w:r>
        <w:rPr>
          <w:rFonts w:hint="eastAsia"/>
          <w:snapToGrid/>
        </w:rPr>
        <w:t>法》</w:t>
      </w:r>
      <w:r>
        <w:rPr>
          <w:rFonts w:hint="eastAsia"/>
          <w:snapToGrid/>
        </w:rPr>
        <w:t>(1970</w:t>
      </w:r>
      <w:r>
        <w:rPr>
          <w:rFonts w:hint="eastAsia"/>
          <w:snapToGrid/>
        </w:rPr>
        <w:t>：</w:t>
      </w:r>
      <w:r>
        <w:rPr>
          <w:rFonts w:hint="eastAsia"/>
          <w:snapToGrid/>
        </w:rPr>
        <w:t>943)</w:t>
      </w:r>
      <w:r>
        <w:rPr>
          <w:rFonts w:hint="eastAsia"/>
          <w:snapToGrid/>
        </w:rPr>
        <w:t>管辖。</w:t>
      </w:r>
    </w:p>
    <w:p w:rsidR="00000000" w:rsidRDefault="00000000">
      <w:pPr>
        <w:spacing w:line="312" w:lineRule="auto"/>
        <w:rPr>
          <w:rFonts w:hint="eastAsia"/>
          <w:snapToGrid/>
        </w:rPr>
      </w:pPr>
      <w:r>
        <w:rPr>
          <w:rFonts w:hint="eastAsia"/>
          <w:snapToGrid/>
        </w:rPr>
        <w:tab/>
        <w:t xml:space="preserve">140.  </w:t>
      </w:r>
      <w:r>
        <w:rPr>
          <w:rFonts w:hint="eastAsia"/>
          <w:snapToGrid/>
        </w:rPr>
        <w:t>为了《工作环境法》的中心规定的目的，下列人员等同于雇员：</w:t>
      </w:r>
      <w:r>
        <w:rPr>
          <w:rFonts w:hint="eastAsia"/>
          <w:snapToGrid/>
        </w:rPr>
        <w:t xml:space="preserve">1) </w:t>
      </w:r>
      <w:r>
        <w:rPr>
          <w:rFonts w:hint="eastAsia"/>
          <w:snapToGrid/>
        </w:rPr>
        <w:t>正在受教育的人，</w:t>
      </w:r>
      <w:r>
        <w:rPr>
          <w:rFonts w:hint="eastAsia"/>
          <w:snapToGrid/>
        </w:rPr>
        <w:t xml:space="preserve">2) </w:t>
      </w:r>
      <w:r>
        <w:rPr>
          <w:rFonts w:hint="eastAsia"/>
          <w:snapToGrid/>
        </w:rPr>
        <w:t>作为某个机构的被收容者做分配给他们的工作的人，以及</w:t>
      </w:r>
      <w:r>
        <w:rPr>
          <w:rFonts w:hint="eastAsia"/>
          <w:snapToGrid/>
        </w:rPr>
        <w:t xml:space="preserve">3) </w:t>
      </w:r>
      <w:r>
        <w:rPr>
          <w:rFonts w:hint="eastAsia"/>
          <w:snapToGrid/>
        </w:rPr>
        <w:t>根据《全民防卫职责法》</w:t>
      </w:r>
      <w:r>
        <w:rPr>
          <w:rFonts w:hint="eastAsia"/>
          <w:snapToGrid/>
        </w:rPr>
        <w:t>(1994</w:t>
      </w:r>
      <w:r>
        <w:rPr>
          <w:rFonts w:hint="eastAsia"/>
          <w:snapToGrid/>
        </w:rPr>
        <w:t>：</w:t>
      </w:r>
      <w:r>
        <w:rPr>
          <w:rFonts w:hint="eastAsia"/>
          <w:snapToGrid/>
        </w:rPr>
        <w:t>1809)</w:t>
      </w:r>
      <w:r>
        <w:rPr>
          <w:rFonts w:hint="eastAsia"/>
          <w:snapToGrid/>
        </w:rPr>
        <w:t>履行服务以及在全民防卫机构内部履行法定义务或参加自愿活动培训的人。</w:t>
      </w:r>
      <w:r>
        <w:rPr>
          <w:rFonts w:hint="eastAsia"/>
          <w:snapToGrid/>
          <w:vertAlign w:val="superscript"/>
        </w:rPr>
        <w:t>3</w:t>
      </w:r>
      <w:r>
        <w:rPr>
          <w:rFonts w:hint="eastAsia"/>
          <w:snapToGrid/>
        </w:rPr>
        <w:t xml:space="preserve"> </w:t>
      </w:r>
    </w:p>
    <w:p w:rsidR="00000000" w:rsidRDefault="00000000">
      <w:pPr>
        <w:spacing w:line="312" w:lineRule="auto"/>
        <w:rPr>
          <w:rFonts w:hint="eastAsia"/>
          <w:snapToGrid/>
        </w:rPr>
      </w:pPr>
      <w:r>
        <w:rPr>
          <w:rFonts w:hint="eastAsia"/>
          <w:snapToGrid/>
        </w:rPr>
        <w:tab/>
        <w:t xml:space="preserve">141.  </w:t>
      </w:r>
      <w:r>
        <w:rPr>
          <w:rFonts w:hint="eastAsia"/>
          <w:snapToGrid/>
        </w:rPr>
        <w:t>自从最后报告以来，对《工作环境法》的范围进行了扩大，并使其适用于船上工作。同一工作环境规章应在原则上如同适用于陆上工作一样适用于船上工作，除了航运的特殊情况使得无法或不适宜应用之外。瑞典海运局将同工作环境署合作，监督船上的工作环境。</w:t>
      </w:r>
    </w:p>
    <w:p w:rsidR="00000000" w:rsidRDefault="00000000">
      <w:pPr>
        <w:spacing w:line="312" w:lineRule="auto"/>
        <w:rPr>
          <w:rFonts w:hint="eastAsia"/>
          <w:snapToGrid/>
        </w:rPr>
      </w:pPr>
      <w:r>
        <w:rPr>
          <w:rFonts w:hint="eastAsia"/>
          <w:snapToGrid/>
        </w:rPr>
        <w:tab/>
        <w:t xml:space="preserve">142.  (b) </w:t>
      </w:r>
      <w:r>
        <w:rPr>
          <w:rFonts w:hint="eastAsia"/>
          <w:snapToGrid/>
        </w:rPr>
        <w:t>从</w:t>
      </w:r>
      <w:r>
        <w:rPr>
          <w:rFonts w:hint="eastAsia"/>
          <w:snapToGrid/>
        </w:rPr>
        <w:t>1990</w:t>
      </w:r>
      <w:r>
        <w:rPr>
          <w:rFonts w:hint="eastAsia"/>
          <w:snapToGrid/>
        </w:rPr>
        <w:t>年代后半期直到数年之前，所报告的由于旷工而造成的职业事故数量增多了。在</w:t>
      </w:r>
      <w:r>
        <w:rPr>
          <w:rFonts w:hint="eastAsia"/>
          <w:snapToGrid/>
        </w:rPr>
        <w:t>2003</w:t>
      </w:r>
      <w:r>
        <w:rPr>
          <w:rFonts w:hint="eastAsia"/>
          <w:snapToGrid/>
        </w:rPr>
        <w:t>年以后，报告的事故数量下降了</w:t>
      </w:r>
      <w:r>
        <w:rPr>
          <w:rFonts w:hint="eastAsia"/>
          <w:snapToGrid/>
        </w:rPr>
        <w:t>10%</w:t>
      </w:r>
      <w:r>
        <w:rPr>
          <w:rFonts w:hint="eastAsia"/>
          <w:snapToGrid/>
        </w:rPr>
        <w:t>稍多一些。目前的事故数量与</w:t>
      </w:r>
      <w:r>
        <w:rPr>
          <w:rFonts w:hint="eastAsia"/>
          <w:snapToGrid/>
        </w:rPr>
        <w:t>1990</w:t>
      </w:r>
      <w:r>
        <w:rPr>
          <w:rFonts w:hint="eastAsia"/>
          <w:snapToGrid/>
        </w:rPr>
        <w:t>年代中期的普遍的水平相当。</w:t>
      </w:r>
    </w:p>
    <w:p w:rsidR="00000000" w:rsidRDefault="00000000">
      <w:pPr>
        <w:spacing w:line="312" w:lineRule="auto"/>
        <w:rPr>
          <w:rFonts w:hint="eastAsia"/>
          <w:snapToGrid/>
        </w:rPr>
      </w:pPr>
      <w:r>
        <w:rPr>
          <w:rFonts w:hint="eastAsia"/>
          <w:snapToGrid/>
        </w:rPr>
        <w:tab/>
        <w:t xml:space="preserve">143.  </w:t>
      </w:r>
      <w:r>
        <w:rPr>
          <w:rFonts w:hint="eastAsia"/>
          <w:snapToGrid/>
        </w:rPr>
        <w:t>从</w:t>
      </w:r>
      <w:r>
        <w:rPr>
          <w:rFonts w:hint="eastAsia"/>
          <w:snapToGrid/>
        </w:rPr>
        <w:t>1990</w:t>
      </w:r>
      <w:r>
        <w:rPr>
          <w:rFonts w:hint="eastAsia"/>
          <w:snapToGrid/>
        </w:rPr>
        <w:t>年后期以来，雇员遭受的致命事故数量相对保持稳定在每年约</w:t>
      </w:r>
      <w:r>
        <w:rPr>
          <w:rFonts w:hint="eastAsia"/>
          <w:snapToGrid/>
        </w:rPr>
        <w:t>50</w:t>
      </w:r>
      <w:r>
        <w:rPr>
          <w:rFonts w:hint="eastAsia"/>
          <w:snapToGrid/>
        </w:rPr>
        <w:t>起。从较广阔的视野来看，致命事故的数量有了大幅度下降。</w:t>
      </w:r>
    </w:p>
    <w:p w:rsidR="00000000" w:rsidRDefault="00000000">
      <w:pPr>
        <w:spacing w:line="312" w:lineRule="auto"/>
        <w:rPr>
          <w:rFonts w:hint="eastAsia"/>
          <w:snapToGrid/>
        </w:rPr>
      </w:pPr>
      <w:r>
        <w:rPr>
          <w:rFonts w:hint="eastAsia"/>
          <w:snapToGrid/>
        </w:rPr>
        <w:tab/>
        <w:t xml:space="preserve">144.  </w:t>
      </w:r>
      <w:r>
        <w:rPr>
          <w:rFonts w:hint="eastAsia"/>
          <w:snapToGrid/>
        </w:rPr>
        <w:t>从</w:t>
      </w:r>
      <w:r>
        <w:rPr>
          <w:rFonts w:hint="eastAsia"/>
          <w:snapToGrid/>
        </w:rPr>
        <w:t>1990</w:t>
      </w:r>
      <w:r>
        <w:rPr>
          <w:rFonts w:hint="eastAsia"/>
          <w:snapToGrid/>
        </w:rPr>
        <w:t>年代下半期直到数年之前，所报告的职业病数量急剧上升。</w:t>
      </w:r>
      <w:r>
        <w:rPr>
          <w:rFonts w:hint="eastAsia"/>
          <w:snapToGrid/>
        </w:rPr>
        <w:t>2003</w:t>
      </w:r>
      <w:r>
        <w:rPr>
          <w:rFonts w:hint="eastAsia"/>
          <w:snapToGrid/>
        </w:rPr>
        <w:t>年以来的统计数字显示出急转直下。</w:t>
      </w:r>
      <w:r>
        <w:rPr>
          <w:rFonts w:hint="eastAsia"/>
          <w:snapToGrid/>
        </w:rPr>
        <w:t>2005</w:t>
      </w:r>
      <w:r>
        <w:rPr>
          <w:rFonts w:hint="eastAsia"/>
          <w:snapToGrid/>
        </w:rPr>
        <w:t>年所报告的职业病数量与</w:t>
      </w:r>
      <w:r>
        <w:rPr>
          <w:rFonts w:hint="eastAsia"/>
          <w:snapToGrid/>
        </w:rPr>
        <w:t>2003</w:t>
      </w:r>
      <w:r>
        <w:rPr>
          <w:rFonts w:hint="eastAsia"/>
          <w:snapToGrid/>
        </w:rPr>
        <w:t>年相比，下降了大约三分之一，但是这个水平仍然高于</w:t>
      </w:r>
      <w:r>
        <w:rPr>
          <w:rFonts w:hint="eastAsia"/>
          <w:snapToGrid/>
        </w:rPr>
        <w:t>1990</w:t>
      </w:r>
      <w:r>
        <w:rPr>
          <w:rFonts w:hint="eastAsia"/>
          <w:snapToGrid/>
        </w:rPr>
        <w:t>年代中期。</w:t>
      </w:r>
    </w:p>
    <w:p w:rsidR="00000000" w:rsidRDefault="00000000">
      <w:pPr>
        <w:spacing w:line="312" w:lineRule="auto"/>
        <w:rPr>
          <w:rFonts w:hint="eastAsia"/>
          <w:snapToGrid/>
        </w:rPr>
      </w:pPr>
      <w:r>
        <w:rPr>
          <w:rFonts w:hint="eastAsia"/>
          <w:snapToGrid/>
        </w:rPr>
        <w:tab/>
        <w:t xml:space="preserve">145.  </w:t>
      </w:r>
      <w:r>
        <w:rPr>
          <w:rFonts w:hint="eastAsia"/>
          <w:snapToGrid/>
        </w:rPr>
        <w:t>职业事故发病率相对来说最高的行业是钢铁金属生产业，以及食品、饮料和烟草制造业。妇女相对发病率最高的行业是木材制品制造业，其次就是钢铁金属生产业。矿产品制造业是每千名雇员报告职业病数量</w:t>
      </w:r>
      <w:r>
        <w:rPr>
          <w:rFonts w:hint="eastAsia"/>
          <w:snapToGrid/>
        </w:rPr>
        <w:t xml:space="preserve"> </w:t>
      </w:r>
      <w:r>
        <w:rPr>
          <w:rFonts w:hint="eastAsia"/>
          <w:snapToGrid/>
        </w:rPr>
        <w:t>最高的行业类别；对于妇女来说，报告发病数量最多的显然是车辆制造业</w:t>
      </w:r>
      <w:r>
        <w:rPr>
          <w:rFonts w:hint="eastAsia"/>
          <w:snapToGrid/>
        </w:rPr>
        <w:t>(</w:t>
      </w:r>
      <w:r>
        <w:rPr>
          <w:rFonts w:hint="eastAsia"/>
          <w:snapToGrid/>
        </w:rPr>
        <w:t>参看</w:t>
      </w:r>
      <w:r>
        <w:rPr>
          <w:rFonts w:hint="eastAsia"/>
          <w:snapToGrid/>
        </w:rPr>
        <w:t>2004</w:t>
      </w:r>
      <w:r>
        <w:rPr>
          <w:rFonts w:hint="eastAsia"/>
          <w:snapToGrid/>
        </w:rPr>
        <w:t>年数据</w:t>
      </w:r>
      <w:r>
        <w:rPr>
          <w:rFonts w:hint="eastAsia"/>
          <w:snapToGrid/>
        </w:rPr>
        <w:t>)</w:t>
      </w:r>
      <w:r>
        <w:rPr>
          <w:rFonts w:hint="eastAsia"/>
          <w:snapToGrid/>
        </w:rPr>
        <w:t>。</w:t>
      </w:r>
    </w:p>
    <w:p w:rsidR="00000000" w:rsidRDefault="00000000">
      <w:pPr>
        <w:spacing w:line="312" w:lineRule="auto"/>
        <w:rPr>
          <w:rFonts w:hint="eastAsia"/>
          <w:snapToGrid/>
        </w:rPr>
      </w:pPr>
      <w:r>
        <w:rPr>
          <w:rFonts w:hint="eastAsia"/>
          <w:snapToGrid/>
        </w:rPr>
        <w:tab/>
        <w:t xml:space="preserve">146.  </w:t>
      </w:r>
      <w:r>
        <w:rPr>
          <w:rFonts w:hint="eastAsia"/>
          <w:snapToGrid/>
        </w:rPr>
        <w:t>职业伤害报告从</w:t>
      </w:r>
      <w:r>
        <w:rPr>
          <w:rFonts w:hint="eastAsia"/>
          <w:snapToGrid/>
        </w:rPr>
        <w:t>2002</w:t>
      </w:r>
      <w:r>
        <w:rPr>
          <w:rFonts w:hint="eastAsia"/>
          <w:snapToGrid/>
        </w:rPr>
        <w:t>年以来根据新的程序管理，基于新的定义，并且按照新的欧盟协调归类法编号。在某些情况下，这样做妨碍了与早些年做比较。</w:t>
      </w:r>
    </w:p>
    <w:p w:rsidR="00000000" w:rsidRDefault="00000000">
      <w:pPr>
        <w:spacing w:line="312" w:lineRule="auto"/>
        <w:rPr>
          <w:snapToGrid/>
        </w:rPr>
      </w:pPr>
      <w:r>
        <w:rPr>
          <w:rFonts w:hint="eastAsia"/>
          <w:snapToGrid/>
        </w:rPr>
        <w:tab/>
        <w:t xml:space="preserve">147.  </w:t>
      </w:r>
      <w:r>
        <w:rPr>
          <w:rFonts w:hint="eastAsia"/>
          <w:snapToGrid/>
        </w:rPr>
        <w:t>关于</w:t>
      </w:r>
      <w:r>
        <w:rPr>
          <w:rFonts w:hint="eastAsia"/>
          <w:snapToGrid/>
        </w:rPr>
        <w:t>1996</w:t>
      </w:r>
      <w:r>
        <w:rPr>
          <w:rFonts w:hint="eastAsia"/>
          <w:snapToGrid/>
        </w:rPr>
        <w:t>年报告职业事故，参看上一份报告。</w:t>
      </w:r>
      <w:r>
        <w:rPr>
          <w:rFonts w:hint="eastAsia"/>
          <w:snapToGrid/>
        </w:rPr>
        <w:t>2001-2004</w:t>
      </w:r>
      <w:r>
        <w:rPr>
          <w:rFonts w:hint="eastAsia"/>
          <w:snapToGrid/>
        </w:rPr>
        <w:t>年的数字如下</w:t>
      </w:r>
      <w:r>
        <w:rPr>
          <w:rFonts w:hint="eastAsia"/>
          <w:snapToGrid/>
        </w:rPr>
        <w:t>(</w:t>
      </w:r>
      <w:r>
        <w:rPr>
          <w:rFonts w:hint="eastAsia"/>
          <w:snapToGrid/>
        </w:rPr>
        <w:t>数据包含所有雇员和自营职业人士</w:t>
      </w:r>
      <w:r>
        <w:rPr>
          <w:rFonts w:hint="eastAsia"/>
          <w:snapToGrid/>
        </w:rPr>
        <w:t>)</w:t>
      </w:r>
      <w:r>
        <w:rPr>
          <w:rFonts w:hint="eastAsia"/>
          <w:snapToGrid/>
        </w:rPr>
        <w:t>：</w:t>
      </w:r>
    </w:p>
    <w:tbl>
      <w:tblPr>
        <w:tblW w:w="4828"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2"/>
        <w:gridCol w:w="1617"/>
        <w:gridCol w:w="1416"/>
        <w:gridCol w:w="1617"/>
        <w:gridCol w:w="1449"/>
      </w:tblGrid>
      <w:tr w:rsidR="00000000">
        <w:tc>
          <w:tcPr>
            <w:tcW w:w="1700" w:type="pct"/>
          </w:tcPr>
          <w:p w:rsidR="00000000" w:rsidRDefault="00000000">
            <w:pPr>
              <w:pStyle w:val="ac"/>
              <w:jc w:val="center"/>
              <w:rPr>
                <w:rFonts w:ascii="Time New Roman" w:eastAsia="SimHei" w:hAnsi="Time New Roman" w:hint="eastAsia"/>
                <w:snapToGrid/>
              </w:rPr>
            </w:pPr>
          </w:p>
        </w:tc>
        <w:tc>
          <w:tcPr>
            <w:tcW w:w="875" w:type="pct"/>
          </w:tcPr>
          <w:p w:rsidR="00000000" w:rsidRDefault="00000000">
            <w:pPr>
              <w:pStyle w:val="ac"/>
              <w:jc w:val="center"/>
              <w:rPr>
                <w:rFonts w:ascii="Time New Roman" w:eastAsia="SimHei" w:hAnsi="Time New Roman" w:hint="eastAsia"/>
                <w:snapToGrid/>
              </w:rPr>
            </w:pPr>
            <w:r>
              <w:rPr>
                <w:rFonts w:ascii="Time New Roman" w:eastAsia="SimHei" w:hAnsi="Time New Roman" w:hint="eastAsia"/>
                <w:b/>
                <w:snapToGrid/>
              </w:rPr>
              <w:t>2001</w:t>
            </w:r>
          </w:p>
        </w:tc>
        <w:tc>
          <w:tcPr>
            <w:tcW w:w="766" w:type="pct"/>
          </w:tcPr>
          <w:p w:rsidR="00000000" w:rsidRDefault="00000000">
            <w:pPr>
              <w:pStyle w:val="ac"/>
              <w:jc w:val="center"/>
              <w:rPr>
                <w:rFonts w:ascii="Time New Roman" w:eastAsia="SimHei" w:hAnsi="Time New Roman" w:hint="eastAsia"/>
                <w:snapToGrid/>
              </w:rPr>
            </w:pPr>
            <w:r>
              <w:rPr>
                <w:rFonts w:ascii="Time New Roman" w:eastAsia="SimHei" w:hAnsi="Time New Roman" w:hint="eastAsia"/>
                <w:b/>
                <w:snapToGrid/>
              </w:rPr>
              <w:t>2002</w:t>
            </w:r>
          </w:p>
        </w:tc>
        <w:tc>
          <w:tcPr>
            <w:tcW w:w="875" w:type="pct"/>
          </w:tcPr>
          <w:p w:rsidR="00000000" w:rsidRDefault="00000000">
            <w:pPr>
              <w:pStyle w:val="ac"/>
              <w:jc w:val="center"/>
              <w:rPr>
                <w:rFonts w:ascii="Time New Roman" w:eastAsia="SimHei" w:hAnsi="Time New Roman" w:hint="eastAsia"/>
                <w:snapToGrid/>
              </w:rPr>
            </w:pPr>
            <w:r>
              <w:rPr>
                <w:rFonts w:ascii="Time New Roman" w:eastAsia="SimHei" w:hAnsi="Time New Roman" w:hint="eastAsia"/>
                <w:b/>
                <w:snapToGrid/>
              </w:rPr>
              <w:t>2003</w:t>
            </w:r>
          </w:p>
        </w:tc>
        <w:tc>
          <w:tcPr>
            <w:tcW w:w="784" w:type="pct"/>
          </w:tcPr>
          <w:p w:rsidR="00000000" w:rsidRDefault="00000000">
            <w:pPr>
              <w:pStyle w:val="ac"/>
              <w:jc w:val="center"/>
              <w:rPr>
                <w:rFonts w:ascii="Time New Roman" w:eastAsia="SimHei" w:hAnsi="Time New Roman" w:hint="eastAsia"/>
                <w:snapToGrid/>
              </w:rPr>
            </w:pPr>
            <w:r>
              <w:rPr>
                <w:rFonts w:ascii="Time New Roman" w:eastAsia="SimHei" w:hAnsi="Time New Roman" w:hint="eastAsia"/>
                <w:b/>
                <w:snapToGrid/>
              </w:rPr>
              <w:t>2004</w:t>
            </w:r>
          </w:p>
        </w:tc>
      </w:tr>
      <w:tr w:rsidR="00000000">
        <w:tc>
          <w:tcPr>
            <w:tcW w:w="1700" w:type="pct"/>
          </w:tcPr>
          <w:p w:rsidR="00000000" w:rsidRDefault="00000000">
            <w:pPr>
              <w:pStyle w:val="ac"/>
              <w:rPr>
                <w:rFonts w:hint="eastAsia"/>
                <w:snapToGrid/>
              </w:rPr>
            </w:pPr>
            <w:r>
              <w:rPr>
                <w:rFonts w:hint="eastAsia"/>
                <w:snapToGrid/>
              </w:rPr>
              <w:t>职业事故</w:t>
            </w:r>
          </w:p>
        </w:tc>
        <w:tc>
          <w:tcPr>
            <w:tcW w:w="875" w:type="pct"/>
          </w:tcPr>
          <w:p w:rsidR="00000000" w:rsidRDefault="00000000">
            <w:pPr>
              <w:pStyle w:val="ac"/>
              <w:tabs>
                <w:tab w:val="decimal" w:pos="1054"/>
              </w:tabs>
            </w:pPr>
            <w:r>
              <w:t>37,461</w:t>
            </w:r>
          </w:p>
        </w:tc>
        <w:tc>
          <w:tcPr>
            <w:tcW w:w="766" w:type="pct"/>
          </w:tcPr>
          <w:p w:rsidR="00000000" w:rsidRDefault="00000000">
            <w:pPr>
              <w:pStyle w:val="ac"/>
              <w:tabs>
                <w:tab w:val="decimal" w:pos="1054"/>
              </w:tabs>
            </w:pPr>
            <w:r>
              <w:t>37,688</w:t>
            </w:r>
          </w:p>
        </w:tc>
        <w:tc>
          <w:tcPr>
            <w:tcW w:w="875" w:type="pct"/>
          </w:tcPr>
          <w:p w:rsidR="00000000" w:rsidRDefault="00000000">
            <w:pPr>
              <w:pStyle w:val="ac"/>
              <w:tabs>
                <w:tab w:val="decimal" w:pos="1054"/>
              </w:tabs>
            </w:pPr>
            <w:r>
              <w:t>34,592</w:t>
            </w:r>
          </w:p>
        </w:tc>
        <w:tc>
          <w:tcPr>
            <w:tcW w:w="784" w:type="pct"/>
          </w:tcPr>
          <w:p w:rsidR="00000000" w:rsidRDefault="00000000">
            <w:pPr>
              <w:pStyle w:val="ac"/>
              <w:tabs>
                <w:tab w:val="decimal" w:pos="1054"/>
              </w:tabs>
            </w:pPr>
            <w:r>
              <w:t>32,705</w:t>
            </w:r>
          </w:p>
        </w:tc>
      </w:tr>
      <w:tr w:rsidR="00000000">
        <w:tc>
          <w:tcPr>
            <w:tcW w:w="1700" w:type="pct"/>
          </w:tcPr>
          <w:p w:rsidR="00000000" w:rsidRDefault="00000000">
            <w:pPr>
              <w:pStyle w:val="ac"/>
              <w:rPr>
                <w:rFonts w:hint="eastAsia"/>
                <w:snapToGrid/>
              </w:rPr>
            </w:pPr>
            <w:r>
              <w:rPr>
                <w:rFonts w:hint="eastAsia"/>
                <w:snapToGrid/>
              </w:rPr>
              <w:t>其中致命的</w:t>
            </w:r>
          </w:p>
        </w:tc>
        <w:tc>
          <w:tcPr>
            <w:tcW w:w="875" w:type="pct"/>
          </w:tcPr>
          <w:p w:rsidR="00000000" w:rsidRDefault="00000000">
            <w:pPr>
              <w:pStyle w:val="ac"/>
              <w:tabs>
                <w:tab w:val="decimal" w:pos="1054"/>
              </w:tabs>
            </w:pPr>
            <w:r>
              <w:t>56</w:t>
            </w:r>
          </w:p>
        </w:tc>
        <w:tc>
          <w:tcPr>
            <w:tcW w:w="766" w:type="pct"/>
          </w:tcPr>
          <w:p w:rsidR="00000000" w:rsidRDefault="00000000">
            <w:pPr>
              <w:pStyle w:val="ac"/>
              <w:tabs>
                <w:tab w:val="decimal" w:pos="1054"/>
              </w:tabs>
            </w:pPr>
            <w:r>
              <w:t>61</w:t>
            </w:r>
          </w:p>
        </w:tc>
        <w:tc>
          <w:tcPr>
            <w:tcW w:w="875" w:type="pct"/>
          </w:tcPr>
          <w:p w:rsidR="00000000" w:rsidRDefault="00000000">
            <w:pPr>
              <w:pStyle w:val="ac"/>
              <w:tabs>
                <w:tab w:val="decimal" w:pos="1054"/>
              </w:tabs>
            </w:pPr>
            <w:r>
              <w:t>56</w:t>
            </w:r>
          </w:p>
        </w:tc>
        <w:tc>
          <w:tcPr>
            <w:tcW w:w="784" w:type="pct"/>
          </w:tcPr>
          <w:p w:rsidR="00000000" w:rsidRDefault="00000000">
            <w:pPr>
              <w:pStyle w:val="ac"/>
              <w:tabs>
                <w:tab w:val="decimal" w:pos="1054"/>
              </w:tabs>
            </w:pPr>
            <w:r>
              <w:t>57</w:t>
            </w:r>
          </w:p>
        </w:tc>
      </w:tr>
      <w:tr w:rsidR="00000000">
        <w:trPr>
          <w:trHeight w:val="20"/>
        </w:trPr>
        <w:tc>
          <w:tcPr>
            <w:tcW w:w="1700" w:type="pct"/>
          </w:tcPr>
          <w:p w:rsidR="00000000" w:rsidRDefault="00000000">
            <w:pPr>
              <w:pStyle w:val="ac"/>
              <w:rPr>
                <w:rFonts w:hint="eastAsia"/>
                <w:snapToGrid/>
              </w:rPr>
            </w:pPr>
            <w:r>
              <w:rPr>
                <w:rFonts w:hint="eastAsia"/>
                <w:snapToGrid/>
              </w:rPr>
              <w:t>职业病</w:t>
            </w:r>
          </w:p>
        </w:tc>
        <w:tc>
          <w:tcPr>
            <w:tcW w:w="875" w:type="pct"/>
          </w:tcPr>
          <w:p w:rsidR="00000000" w:rsidRDefault="00000000">
            <w:pPr>
              <w:pStyle w:val="ac"/>
              <w:tabs>
                <w:tab w:val="decimal" w:pos="1054"/>
              </w:tabs>
            </w:pPr>
            <w:r>
              <w:t>26,440</w:t>
            </w:r>
          </w:p>
        </w:tc>
        <w:tc>
          <w:tcPr>
            <w:tcW w:w="766" w:type="pct"/>
          </w:tcPr>
          <w:p w:rsidR="00000000" w:rsidRDefault="00000000">
            <w:pPr>
              <w:pStyle w:val="ac"/>
              <w:tabs>
                <w:tab w:val="decimal" w:pos="1054"/>
              </w:tabs>
            </w:pPr>
            <w:r>
              <w:t>22,339</w:t>
            </w:r>
          </w:p>
        </w:tc>
        <w:tc>
          <w:tcPr>
            <w:tcW w:w="875" w:type="pct"/>
          </w:tcPr>
          <w:p w:rsidR="00000000" w:rsidRDefault="00000000">
            <w:pPr>
              <w:pStyle w:val="ac"/>
              <w:tabs>
                <w:tab w:val="decimal" w:pos="1054"/>
              </w:tabs>
            </w:pPr>
            <w:r>
              <w:t>25,565</w:t>
            </w:r>
          </w:p>
        </w:tc>
        <w:tc>
          <w:tcPr>
            <w:tcW w:w="784" w:type="pct"/>
          </w:tcPr>
          <w:p w:rsidR="00000000" w:rsidRDefault="00000000">
            <w:pPr>
              <w:pStyle w:val="ac"/>
              <w:tabs>
                <w:tab w:val="decimal" w:pos="1054"/>
              </w:tabs>
            </w:pPr>
            <w:r>
              <w:t>20,787</w:t>
            </w:r>
          </w:p>
        </w:tc>
      </w:tr>
      <w:tr w:rsidR="00000000">
        <w:tc>
          <w:tcPr>
            <w:tcW w:w="1700" w:type="pct"/>
          </w:tcPr>
          <w:p w:rsidR="00000000" w:rsidRDefault="00000000">
            <w:pPr>
              <w:pStyle w:val="ac"/>
              <w:rPr>
                <w:rFonts w:hint="eastAsia"/>
                <w:snapToGrid/>
              </w:rPr>
            </w:pPr>
            <w:r>
              <w:rPr>
                <w:rFonts w:hint="eastAsia"/>
                <w:snapToGrid/>
              </w:rPr>
              <w:t>雇员和自营职业人士人数</w:t>
            </w:r>
          </w:p>
        </w:tc>
        <w:tc>
          <w:tcPr>
            <w:tcW w:w="875" w:type="pct"/>
          </w:tcPr>
          <w:p w:rsidR="00000000" w:rsidRDefault="00000000">
            <w:pPr>
              <w:pStyle w:val="ac"/>
              <w:tabs>
                <w:tab w:val="decimal" w:pos="1054"/>
              </w:tabs>
            </w:pPr>
            <w:r>
              <w:t>4,101,867</w:t>
            </w:r>
          </w:p>
        </w:tc>
        <w:tc>
          <w:tcPr>
            <w:tcW w:w="766" w:type="pct"/>
          </w:tcPr>
          <w:p w:rsidR="00000000" w:rsidRDefault="00000000">
            <w:pPr>
              <w:pStyle w:val="ac"/>
              <w:tabs>
                <w:tab w:val="decimal" w:pos="1054"/>
              </w:tabs>
            </w:pPr>
            <w:r>
              <w:t>4,147,174</w:t>
            </w:r>
          </w:p>
        </w:tc>
        <w:tc>
          <w:tcPr>
            <w:tcW w:w="875" w:type="pct"/>
          </w:tcPr>
          <w:p w:rsidR="00000000" w:rsidRDefault="00000000">
            <w:pPr>
              <w:pStyle w:val="ac"/>
              <w:tabs>
                <w:tab w:val="decimal" w:pos="1054"/>
              </w:tabs>
            </w:pPr>
            <w:r>
              <w:t>4,169,566</w:t>
            </w:r>
          </w:p>
        </w:tc>
        <w:tc>
          <w:tcPr>
            <w:tcW w:w="784" w:type="pct"/>
          </w:tcPr>
          <w:p w:rsidR="00000000" w:rsidRDefault="00000000">
            <w:pPr>
              <w:pStyle w:val="ac"/>
              <w:tabs>
                <w:tab w:val="decimal" w:pos="1054"/>
              </w:tabs>
            </w:pPr>
            <w:r>
              <w:t>4,173,085</w:t>
            </w:r>
          </w:p>
        </w:tc>
      </w:tr>
    </w:tbl>
    <w:p w:rsidR="00000000" w:rsidRDefault="00000000">
      <w:pPr>
        <w:spacing w:after="240"/>
        <w:rPr>
          <w:rFonts w:hint="eastAsia"/>
          <w:snapToGrid/>
          <w:u w:val="single"/>
        </w:rPr>
      </w:pPr>
      <w:r>
        <w:rPr>
          <w:rFonts w:hint="eastAsia"/>
          <w:snapToGrid/>
        </w:rPr>
        <w:tab/>
        <w:t>148.  2005</w:t>
      </w:r>
      <w:r>
        <w:rPr>
          <w:snapToGrid/>
        </w:rPr>
        <w:t>年</w:t>
      </w:r>
      <w:r>
        <w:rPr>
          <w:rFonts w:hint="eastAsia"/>
          <w:snapToGrid/>
        </w:rPr>
        <w:t>的最后统计数字表明，</w:t>
      </w:r>
      <w:r>
        <w:rPr>
          <w:rFonts w:hint="eastAsia"/>
          <w:snapToGrid/>
        </w:rPr>
        <w:t>53</w:t>
      </w:r>
      <w:r>
        <w:rPr>
          <w:rFonts w:hint="eastAsia"/>
          <w:snapToGrid/>
        </w:rPr>
        <w:t>名雇员和</w:t>
      </w:r>
      <w:r>
        <w:rPr>
          <w:rFonts w:hint="eastAsia"/>
          <w:snapToGrid/>
        </w:rPr>
        <w:t>14</w:t>
      </w:r>
      <w:r>
        <w:rPr>
          <w:rFonts w:hint="eastAsia"/>
          <w:snapToGrid/>
        </w:rPr>
        <w:t>名自营职业人士死亡。截至</w:t>
      </w:r>
      <w:r>
        <w:rPr>
          <w:rFonts w:hint="eastAsia"/>
          <w:snapToGrid/>
        </w:rPr>
        <w:t>2006</w:t>
      </w:r>
      <w:r>
        <w:rPr>
          <w:rFonts w:hint="eastAsia"/>
          <w:snapToGrid/>
        </w:rPr>
        <w:t>年第一季度末，已报告了总数为</w:t>
      </w:r>
      <w:r>
        <w:rPr>
          <w:rFonts w:hint="eastAsia"/>
          <w:snapToGrid/>
        </w:rPr>
        <w:t>46,654</w:t>
      </w:r>
      <w:r>
        <w:rPr>
          <w:rFonts w:hint="eastAsia"/>
          <w:snapToGrid/>
        </w:rPr>
        <w:t>例</w:t>
      </w:r>
      <w:r>
        <w:rPr>
          <w:rFonts w:hint="eastAsia"/>
          <w:snapToGrid/>
        </w:rPr>
        <w:t>(</w:t>
      </w:r>
      <w:r>
        <w:rPr>
          <w:rFonts w:hint="eastAsia"/>
          <w:snapToGrid/>
        </w:rPr>
        <w:t>雇员和自营职业人士</w:t>
      </w:r>
      <w:r>
        <w:rPr>
          <w:rFonts w:hint="eastAsia"/>
          <w:snapToGrid/>
        </w:rPr>
        <w:t>)</w:t>
      </w:r>
      <w:r>
        <w:rPr>
          <w:rFonts w:hint="eastAsia"/>
          <w:snapToGrid/>
        </w:rPr>
        <w:t>职业事故和职业病。</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4</w:t>
      </w:r>
    </w:p>
    <w:p w:rsidR="00000000" w:rsidRDefault="00000000">
      <w:pPr>
        <w:rPr>
          <w:rFonts w:hint="eastAsia"/>
          <w:snapToGrid/>
        </w:rPr>
      </w:pPr>
      <w:r>
        <w:rPr>
          <w:rFonts w:hint="eastAsia"/>
          <w:snapToGrid/>
        </w:rPr>
        <w:tab/>
        <w:t xml:space="preserve">149.  </w:t>
      </w:r>
      <w:r>
        <w:rPr>
          <w:rFonts w:hint="eastAsia"/>
          <w:snapToGrid/>
        </w:rPr>
        <w:t>参见瑞典的上一次报告第</w:t>
      </w:r>
      <w:r>
        <w:rPr>
          <w:rFonts w:hint="eastAsia"/>
          <w:snapToGrid/>
        </w:rPr>
        <w:t>6</w:t>
      </w:r>
      <w:r>
        <w:rPr>
          <w:rFonts w:hint="eastAsia"/>
          <w:snapToGrid/>
        </w:rPr>
        <w:t>条准则的第</w:t>
      </w:r>
      <w:r>
        <w:rPr>
          <w:rFonts w:hint="eastAsia"/>
          <w:snapToGrid/>
        </w:rPr>
        <w:t xml:space="preserve">3 </w:t>
      </w:r>
      <w:r>
        <w:rPr>
          <w:rFonts w:hint="eastAsia"/>
          <w:snapToGrid/>
        </w:rPr>
        <w:t>段以及本报告。</w:t>
      </w:r>
      <w:r>
        <w:rPr>
          <w:rFonts w:hint="eastAsia"/>
          <w:snapToGrid/>
        </w:rPr>
        <w:t>2004</w:t>
      </w:r>
      <w:r>
        <w:rPr>
          <w:rFonts w:hint="eastAsia"/>
          <w:snapToGrid/>
        </w:rPr>
        <w:t>年</w:t>
      </w:r>
      <w:r>
        <w:rPr>
          <w:rFonts w:hint="eastAsia"/>
          <w:snapToGrid/>
        </w:rPr>
        <w:t>11</w:t>
      </w:r>
      <w:r>
        <w:rPr>
          <w:rFonts w:hint="eastAsia"/>
          <w:snapToGrid/>
        </w:rPr>
        <w:t>月关于劳工组织第</w:t>
      </w:r>
      <w:r>
        <w:rPr>
          <w:snapToGrid/>
        </w:rPr>
        <w:t>111</w:t>
      </w:r>
      <w:r>
        <w:rPr>
          <w:rFonts w:hint="eastAsia"/>
          <w:snapToGrid/>
        </w:rPr>
        <w:t>号公约的报告特别相关。</w:t>
      </w:r>
    </w:p>
    <w:p w:rsidR="00000000" w:rsidRDefault="00000000">
      <w:pPr>
        <w:rPr>
          <w:rFonts w:hint="eastAsia"/>
          <w:snapToGrid/>
        </w:rPr>
      </w:pPr>
      <w:r>
        <w:rPr>
          <w:rFonts w:hint="eastAsia"/>
          <w:snapToGrid/>
        </w:rPr>
        <w:tab/>
        <w:t xml:space="preserve">150.  </w:t>
      </w:r>
      <w:r>
        <w:rPr>
          <w:rFonts w:hint="eastAsia"/>
          <w:snapToGrid/>
        </w:rPr>
        <w:t>《工作环境法》</w:t>
      </w:r>
      <w:r>
        <w:rPr>
          <w:rFonts w:hint="eastAsia"/>
          <w:snapToGrid/>
        </w:rPr>
        <w:t>(1977</w:t>
      </w:r>
      <w:r>
        <w:rPr>
          <w:rFonts w:hint="eastAsia"/>
          <w:snapToGrid/>
        </w:rPr>
        <w:t>：</w:t>
      </w:r>
      <w:r>
        <w:rPr>
          <w:rFonts w:hint="eastAsia"/>
          <w:snapToGrid/>
        </w:rPr>
        <w:t>1160)</w:t>
      </w:r>
      <w:r>
        <w:rPr>
          <w:rFonts w:hint="eastAsia"/>
          <w:snapToGrid/>
        </w:rPr>
        <w:t>阐明雇主应负责使工作地点适合人们个人的身心状况。工作环境署对有关残疾和工作环境的问题承担全面责任，并且应协调、支持和促进有关这个领域其他各方的问题。该署的措施包括起草一览表以依照工作环境法监测残疾问题，如有关可利用性和改造工作地点的要求等。</w:t>
      </w:r>
    </w:p>
    <w:p w:rsidR="00000000" w:rsidRDefault="00000000">
      <w:pPr>
        <w:spacing w:after="240"/>
        <w:rPr>
          <w:rFonts w:hint="eastAsia"/>
          <w:snapToGrid/>
        </w:rPr>
      </w:pPr>
      <w:r>
        <w:rPr>
          <w:rFonts w:hint="eastAsia"/>
          <w:snapToGrid/>
        </w:rPr>
        <w:tab/>
        <w:t xml:space="preserve">151.  </w:t>
      </w:r>
      <w:r>
        <w:rPr>
          <w:rFonts w:hint="eastAsia"/>
          <w:snapToGrid/>
        </w:rPr>
        <w:t>另外值得注意的是，数量很多的政府机构正在参与一个旨在多样化和反歧视的区域发展项目。责成行政管理发展机构领导和协调这个项目、提供方法支助和知识转让，以及后续这个项目。公共管理机构将对这个项目做出评估。</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5</w:t>
      </w:r>
    </w:p>
    <w:p w:rsidR="00000000" w:rsidRDefault="00000000">
      <w:pPr>
        <w:rPr>
          <w:rFonts w:hint="eastAsia"/>
          <w:snapToGrid/>
        </w:rPr>
      </w:pPr>
      <w:r>
        <w:rPr>
          <w:rFonts w:hint="eastAsia"/>
          <w:snapToGrid/>
        </w:rPr>
        <w:tab/>
        <w:t xml:space="preserve">152.  </w:t>
      </w:r>
      <w:r>
        <w:rPr>
          <w:rFonts w:hint="eastAsia"/>
          <w:snapToGrid/>
        </w:rPr>
        <w:t>就休息和工作小时的合理限制问题，对《工时法》</w:t>
      </w:r>
      <w:r>
        <w:rPr>
          <w:rFonts w:hint="eastAsia"/>
          <w:snapToGrid/>
        </w:rPr>
        <w:t>(1982</w:t>
      </w:r>
      <w:r>
        <w:rPr>
          <w:rFonts w:hint="eastAsia"/>
          <w:snapToGrid/>
        </w:rPr>
        <w:t>：</w:t>
      </w:r>
      <w:r>
        <w:rPr>
          <w:rFonts w:hint="eastAsia"/>
          <w:snapToGrid/>
        </w:rPr>
        <w:t>673)</w:t>
      </w:r>
      <w:r>
        <w:rPr>
          <w:rFonts w:hint="eastAsia"/>
          <w:snapToGrid/>
        </w:rPr>
        <w:t>提出了某些修正案，以便将欧共体工作小时指令</w:t>
      </w:r>
      <w:r>
        <w:rPr>
          <w:rFonts w:hint="eastAsia"/>
          <w:snapToGrid/>
        </w:rPr>
        <w:t>(</w:t>
      </w:r>
      <w:r>
        <w:rPr>
          <w:rFonts w:hint="eastAsia"/>
          <w:snapToGrid/>
        </w:rPr>
        <w:t>欧洲议会和理事会关于组织工作时间某些方面的指令</w:t>
      </w:r>
      <w:r>
        <w:rPr>
          <w:rFonts w:hint="eastAsia"/>
          <w:snapToGrid/>
        </w:rPr>
        <w:t>2003/88/EC</w:t>
      </w:r>
      <w:r>
        <w:rPr>
          <w:rFonts w:hint="eastAsia"/>
          <w:snapToGrid/>
        </w:rPr>
        <w:t>号</w:t>
      </w:r>
      <w:r>
        <w:rPr>
          <w:rFonts w:hint="eastAsia"/>
          <w:snapToGrid/>
        </w:rPr>
        <w:t>)</w:t>
      </w:r>
      <w:r>
        <w:rPr>
          <w:rFonts w:hint="eastAsia"/>
          <w:snapToGrid/>
        </w:rPr>
        <w:t>更加清楚地纳入瑞典国家法律。</w:t>
      </w:r>
    </w:p>
    <w:p w:rsidR="00000000" w:rsidRDefault="00000000">
      <w:pPr>
        <w:rPr>
          <w:rFonts w:hint="eastAsia"/>
          <w:snapToGrid/>
        </w:rPr>
      </w:pPr>
      <w:r>
        <w:rPr>
          <w:rFonts w:hint="eastAsia"/>
          <w:snapToGrid/>
        </w:rPr>
        <w:tab/>
        <w:t xml:space="preserve">153.  </w:t>
      </w:r>
      <w:r>
        <w:rPr>
          <w:rFonts w:hint="eastAsia"/>
          <w:snapToGrid/>
        </w:rPr>
        <w:t>《工时法》</w:t>
      </w:r>
      <w:r>
        <w:rPr>
          <w:rFonts w:hint="eastAsia"/>
          <w:snapToGrid/>
        </w:rPr>
        <w:t>(1982</w:t>
      </w:r>
      <w:r>
        <w:rPr>
          <w:rFonts w:hint="eastAsia"/>
          <w:snapToGrid/>
        </w:rPr>
        <w:t>：</w:t>
      </w:r>
      <w:r>
        <w:rPr>
          <w:rFonts w:hint="eastAsia"/>
          <w:snapToGrid/>
        </w:rPr>
        <w:t>673)</w:t>
      </w:r>
      <w:r>
        <w:rPr>
          <w:rFonts w:hint="eastAsia"/>
          <w:snapToGrid/>
        </w:rPr>
        <w:t>的修正案于</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日产生法律效力</w:t>
      </w:r>
      <w:r>
        <w:rPr>
          <w:rFonts w:hint="eastAsia"/>
          <w:snapToGrid/>
        </w:rPr>
        <w:t>(</w:t>
      </w:r>
      <w:r>
        <w:rPr>
          <w:rFonts w:hint="eastAsia"/>
          <w:snapToGrid/>
        </w:rPr>
        <w:t>现有的集体协议适用延长到</w:t>
      </w:r>
      <w:r>
        <w:rPr>
          <w:rFonts w:hint="eastAsia"/>
          <w:snapToGrid/>
        </w:rPr>
        <w:t>2007</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日的过渡期</w:t>
      </w:r>
      <w:r>
        <w:rPr>
          <w:rFonts w:hint="eastAsia"/>
          <w:snapToGrid/>
        </w:rPr>
        <w:t>)</w:t>
      </w:r>
      <w:r>
        <w:rPr>
          <w:rFonts w:hint="eastAsia"/>
          <w:snapToGrid/>
        </w:rPr>
        <w:t>。修正案的范围如下：</w:t>
      </w:r>
    </w:p>
    <w:p w:rsidR="00000000" w:rsidRDefault="00000000">
      <w:pPr>
        <w:pStyle w:val="a"/>
        <w:ind w:left="1530"/>
        <w:rPr>
          <w:rFonts w:hint="eastAsia"/>
          <w:snapToGrid/>
        </w:rPr>
      </w:pPr>
      <w:r>
        <w:rPr>
          <w:rFonts w:hint="eastAsia"/>
          <w:snapToGrid/>
        </w:rPr>
        <w:t>经过澄清地实施该指令关于以四周期间平均计算的每周最多工作时间为</w:t>
      </w:r>
      <w:r>
        <w:rPr>
          <w:rFonts w:hint="eastAsia"/>
          <w:snapToGrid/>
        </w:rPr>
        <w:t>48</w:t>
      </w:r>
      <w:r>
        <w:rPr>
          <w:rFonts w:hint="eastAsia"/>
          <w:snapToGrid/>
        </w:rPr>
        <w:t>小时的要求</w:t>
      </w:r>
      <w:r>
        <w:rPr>
          <w:rFonts w:hint="eastAsia"/>
          <w:snapToGrid/>
        </w:rPr>
        <w:t>(</w:t>
      </w:r>
      <w:r>
        <w:rPr>
          <w:rFonts w:hint="eastAsia"/>
          <w:snapToGrid/>
        </w:rPr>
        <w:t>在此同时，瑞典法律的</w:t>
      </w:r>
      <w:r>
        <w:rPr>
          <w:rFonts w:hint="eastAsia"/>
          <w:snapToGrid/>
        </w:rPr>
        <w:t>40</w:t>
      </w:r>
      <w:r>
        <w:rPr>
          <w:rFonts w:hint="eastAsia"/>
          <w:snapToGrid/>
        </w:rPr>
        <w:t>小时标准保持不变</w:t>
      </w:r>
      <w:r>
        <w:rPr>
          <w:rFonts w:hint="eastAsia"/>
          <w:snapToGrid/>
        </w:rPr>
        <w:t>)</w:t>
      </w:r>
      <w:r>
        <w:rPr>
          <w:rFonts w:hint="eastAsia"/>
          <w:snapToGrid/>
        </w:rPr>
        <w:t>；</w:t>
      </w:r>
    </w:p>
    <w:p w:rsidR="00000000" w:rsidRDefault="00000000">
      <w:pPr>
        <w:pStyle w:val="a"/>
        <w:ind w:left="1530"/>
        <w:rPr>
          <w:rFonts w:hint="eastAsia"/>
          <w:snapToGrid/>
        </w:rPr>
      </w:pPr>
      <w:r>
        <w:rPr>
          <w:rFonts w:hint="eastAsia"/>
          <w:snapToGrid/>
        </w:rPr>
        <w:t>经过澄清地实施该指令关于夜间最多工作时间为</w:t>
      </w:r>
      <w:r>
        <w:rPr>
          <w:rFonts w:hint="eastAsia"/>
          <w:snapToGrid/>
        </w:rPr>
        <w:t>8</w:t>
      </w:r>
      <w:r>
        <w:rPr>
          <w:rFonts w:hint="eastAsia"/>
          <w:snapToGrid/>
        </w:rPr>
        <w:t>小时的规则，允许不涉及强体力或脑力紧张度的工作平均计算；</w:t>
      </w:r>
    </w:p>
    <w:p w:rsidR="00000000" w:rsidRDefault="00000000">
      <w:pPr>
        <w:pStyle w:val="a"/>
        <w:ind w:left="1530"/>
        <w:rPr>
          <w:rFonts w:hint="eastAsia"/>
          <w:snapToGrid/>
        </w:rPr>
      </w:pPr>
      <w:r>
        <w:rPr>
          <w:rFonts w:hint="eastAsia"/>
          <w:snapToGrid/>
        </w:rPr>
        <w:t>经过澄清地实施该指令关于必须确保全体雇员日时至少休息</w:t>
      </w:r>
      <w:r>
        <w:rPr>
          <w:rFonts w:hint="eastAsia"/>
          <w:snapToGrid/>
        </w:rPr>
        <w:t>11</w:t>
      </w:r>
      <w:r>
        <w:rPr>
          <w:rFonts w:hint="eastAsia"/>
          <w:snapToGrid/>
        </w:rPr>
        <w:t>小时的规则，允许在由于雇主无法预见的情况下无法确保这点，或给予雇员充足补休时间的情形下，作有限的变通；</w:t>
      </w:r>
    </w:p>
    <w:p w:rsidR="00000000" w:rsidRDefault="00000000">
      <w:pPr>
        <w:pStyle w:val="a"/>
        <w:ind w:left="1530"/>
        <w:rPr>
          <w:rFonts w:hint="eastAsia"/>
          <w:snapToGrid/>
        </w:rPr>
      </w:pPr>
      <w:r>
        <w:rPr>
          <w:rFonts w:hint="eastAsia"/>
          <w:snapToGrid/>
        </w:rPr>
        <w:t>原来本法律范围中有关在雇员家庭履行的工作的例外予以废止。因此，本法律适用于在雇员家庭履行的工作。</w:t>
      </w:r>
    </w:p>
    <w:p w:rsidR="00000000" w:rsidRDefault="00000000">
      <w:pPr>
        <w:spacing w:after="240"/>
        <w:rPr>
          <w:rFonts w:hint="eastAsia"/>
          <w:snapToGrid/>
        </w:rPr>
      </w:pPr>
      <w:r>
        <w:rPr>
          <w:rFonts w:hint="eastAsia"/>
          <w:snapToGrid/>
        </w:rPr>
        <w:tab/>
        <w:t xml:space="preserve">154.  </w:t>
      </w:r>
      <w:r>
        <w:rPr>
          <w:rFonts w:hint="eastAsia"/>
          <w:snapToGrid/>
        </w:rPr>
        <w:t>在集体协议中，关于夜间工作</w:t>
      </w:r>
      <w:r>
        <w:rPr>
          <w:rFonts w:hint="eastAsia"/>
          <w:snapToGrid/>
        </w:rPr>
        <w:t xml:space="preserve">8 </w:t>
      </w:r>
      <w:r>
        <w:rPr>
          <w:rFonts w:hint="eastAsia"/>
          <w:snapToGrid/>
        </w:rPr>
        <w:t>小时、日间休息</w:t>
      </w:r>
      <w:r>
        <w:rPr>
          <w:rFonts w:hint="eastAsia"/>
          <w:snapToGrid/>
        </w:rPr>
        <w:t>11</w:t>
      </w:r>
      <w:r>
        <w:rPr>
          <w:rFonts w:hint="eastAsia"/>
          <w:snapToGrid/>
        </w:rPr>
        <w:t>小时的新规则可以有所背离，只要这样做并不意味着雇员获得的待遇不如根据指令获得的待遇有利。其他方面参见前几份报告。</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6</w:t>
      </w:r>
    </w:p>
    <w:p w:rsidR="00000000" w:rsidRDefault="00000000">
      <w:pPr>
        <w:rPr>
          <w:rFonts w:hint="eastAsia"/>
          <w:snapToGrid/>
        </w:rPr>
      </w:pPr>
      <w:r>
        <w:rPr>
          <w:rFonts w:hint="eastAsia"/>
          <w:snapToGrid/>
        </w:rPr>
        <w:tab/>
        <w:t xml:space="preserve">155.  </w:t>
      </w:r>
      <w:r>
        <w:rPr>
          <w:rFonts w:hint="eastAsia"/>
          <w:snapToGrid/>
        </w:rPr>
        <w:t>在有关时期内，除了上面以及在</w:t>
      </w:r>
      <w:r>
        <w:rPr>
          <w:rFonts w:hint="eastAsia"/>
          <w:snapToGrid/>
        </w:rPr>
        <w:t>2004</w:t>
      </w:r>
      <w:r>
        <w:rPr>
          <w:rFonts w:hint="eastAsia"/>
          <w:snapToGrid/>
        </w:rPr>
        <w:t>年</w:t>
      </w:r>
      <w:r>
        <w:rPr>
          <w:rFonts w:hint="eastAsia"/>
          <w:snapToGrid/>
        </w:rPr>
        <w:t>11</w:t>
      </w:r>
      <w:r>
        <w:rPr>
          <w:rFonts w:hint="eastAsia"/>
          <w:snapToGrid/>
        </w:rPr>
        <w:t>月有关劳工组织第</w:t>
      </w:r>
      <w:r>
        <w:rPr>
          <w:rFonts w:hint="eastAsia"/>
          <w:snapToGrid/>
        </w:rPr>
        <w:t>111</w:t>
      </w:r>
      <w:r>
        <w:rPr>
          <w:rFonts w:hint="eastAsia"/>
          <w:snapToGrid/>
        </w:rPr>
        <w:t>号公约的报告中所提到的以外，没有作出过任何实质性的重要更改。</w:t>
      </w:r>
    </w:p>
    <w:p w:rsidR="00000000" w:rsidRDefault="00000000">
      <w:pPr>
        <w:rPr>
          <w:rFonts w:hint="eastAsia"/>
          <w:snapToGrid/>
        </w:rPr>
      </w:pPr>
      <w:r>
        <w:rPr>
          <w:rFonts w:hint="eastAsia"/>
          <w:snapToGrid/>
        </w:rPr>
        <w:tab/>
        <w:t xml:space="preserve">156.  </w:t>
      </w:r>
      <w:r>
        <w:rPr>
          <w:rFonts w:hint="eastAsia"/>
          <w:snapToGrid/>
        </w:rPr>
        <w:t>参见</w:t>
      </w:r>
      <w:r>
        <w:rPr>
          <w:rFonts w:hint="eastAsia"/>
          <w:snapToGrid/>
        </w:rPr>
        <w:t>2004</w:t>
      </w:r>
      <w:r>
        <w:rPr>
          <w:rFonts w:hint="eastAsia"/>
          <w:snapToGrid/>
        </w:rPr>
        <w:t>年</w:t>
      </w:r>
      <w:r>
        <w:rPr>
          <w:rFonts w:hint="eastAsia"/>
          <w:snapToGrid/>
        </w:rPr>
        <w:t>11</w:t>
      </w:r>
      <w:r>
        <w:rPr>
          <w:rFonts w:hint="eastAsia"/>
          <w:snapToGrid/>
        </w:rPr>
        <w:t>月有关劳工组织第</w:t>
      </w:r>
      <w:r>
        <w:rPr>
          <w:rFonts w:hint="eastAsia"/>
          <w:snapToGrid/>
        </w:rPr>
        <w:t>111</w:t>
      </w:r>
      <w:r>
        <w:rPr>
          <w:rFonts w:hint="eastAsia"/>
          <w:snapToGrid/>
        </w:rPr>
        <w:t>号公约的报告。</w:t>
      </w:r>
    </w:p>
    <w:p w:rsidR="00000000" w:rsidRDefault="00000000">
      <w:pPr>
        <w:rPr>
          <w:rFonts w:hint="eastAsia"/>
          <w:snapToGrid/>
        </w:rPr>
      </w:pPr>
      <w:r>
        <w:rPr>
          <w:rFonts w:hint="eastAsia"/>
          <w:snapToGrid/>
        </w:rPr>
        <w:tab/>
        <w:t xml:space="preserve">157.  </w:t>
      </w:r>
      <w:r>
        <w:rPr>
          <w:rFonts w:hint="eastAsia"/>
          <w:snapToGrid/>
        </w:rPr>
        <w:t>关于在雇主家中工作的人士的休息问题，《家庭雇佣</w:t>
      </w:r>
      <w:r>
        <w:rPr>
          <w:rFonts w:hint="eastAsia"/>
          <w:snapToGrid/>
        </w:rPr>
        <w:t>(</w:t>
      </w:r>
      <w:r>
        <w:rPr>
          <w:rFonts w:hint="eastAsia"/>
          <w:snapToGrid/>
        </w:rPr>
        <w:t>工时等</w:t>
      </w:r>
      <w:r>
        <w:rPr>
          <w:rFonts w:hint="eastAsia"/>
          <w:snapToGrid/>
        </w:rPr>
        <w:t>)</w:t>
      </w:r>
      <w:r>
        <w:rPr>
          <w:rFonts w:hint="eastAsia"/>
          <w:snapToGrid/>
        </w:rPr>
        <w:t>法》</w:t>
      </w:r>
      <w:r>
        <w:rPr>
          <w:rFonts w:hint="eastAsia"/>
          <w:snapToGrid/>
        </w:rPr>
        <w:t>(1970</w:t>
      </w:r>
      <w:r>
        <w:rPr>
          <w:rFonts w:hint="eastAsia"/>
          <w:snapToGrid/>
        </w:rPr>
        <w:t>：</w:t>
      </w:r>
      <w:r>
        <w:rPr>
          <w:rFonts w:hint="eastAsia"/>
          <w:snapToGrid/>
        </w:rPr>
        <w:t>943)</w:t>
      </w:r>
      <w:r>
        <w:rPr>
          <w:rFonts w:hint="eastAsia"/>
          <w:snapToGrid/>
        </w:rPr>
        <w:t>载明，每星期必须至少给予此种雇员连续</w:t>
      </w:r>
      <w:r>
        <w:rPr>
          <w:rFonts w:hint="eastAsia"/>
          <w:snapToGrid/>
        </w:rPr>
        <w:t>36</w:t>
      </w:r>
      <w:r>
        <w:rPr>
          <w:rFonts w:hint="eastAsia"/>
          <w:snapToGrid/>
        </w:rPr>
        <w:t>小时的休假。休假时间应当尽量安排在周末。这些人的工作时间通常最多为每周</w:t>
      </w:r>
      <w:r>
        <w:rPr>
          <w:rFonts w:hint="eastAsia"/>
          <w:snapToGrid/>
        </w:rPr>
        <w:t>40</w:t>
      </w:r>
      <w:r>
        <w:rPr>
          <w:rFonts w:hint="eastAsia"/>
          <w:snapToGrid/>
        </w:rPr>
        <w:t>小时。允许四个星期平均计算。日间休息应当是必要的限度，并且应当尽量安排在午夜和上午</w:t>
      </w:r>
      <w:r>
        <w:rPr>
          <w:rFonts w:hint="eastAsia"/>
          <w:snapToGrid/>
        </w:rPr>
        <w:t xml:space="preserve">5 </w:t>
      </w:r>
      <w:r>
        <w:rPr>
          <w:rFonts w:hint="eastAsia"/>
          <w:snapToGrid/>
        </w:rPr>
        <w:t>点之间。</w:t>
      </w:r>
      <w:r>
        <w:rPr>
          <w:rFonts w:hint="eastAsia"/>
          <w:snapToGrid/>
        </w:rPr>
        <w:t>(</w:t>
      </w:r>
      <w:r>
        <w:rPr>
          <w:rFonts w:hint="eastAsia"/>
          <w:snapToGrid/>
        </w:rPr>
        <w:t>见结论性意见第</w:t>
      </w:r>
      <w:r>
        <w:rPr>
          <w:snapToGrid/>
        </w:rPr>
        <w:t>2</w:t>
      </w:r>
      <w:r>
        <w:rPr>
          <w:rFonts w:hint="eastAsia"/>
          <w:snapToGrid/>
        </w:rPr>
        <w:t>0</w:t>
      </w:r>
      <w:r>
        <w:rPr>
          <w:rFonts w:hint="eastAsia"/>
          <w:snapToGrid/>
        </w:rPr>
        <w:t>项和第</w:t>
      </w:r>
      <w:r>
        <w:rPr>
          <w:rFonts w:hint="eastAsia"/>
          <w:snapToGrid/>
        </w:rPr>
        <w:t>31</w:t>
      </w:r>
      <w:r>
        <w:rPr>
          <w:rFonts w:hint="eastAsia"/>
          <w:snapToGrid/>
        </w:rPr>
        <w:t>项。</w:t>
      </w:r>
      <w:r>
        <w:rPr>
          <w:rFonts w:hint="eastAsia"/>
          <w:snapToGrid/>
        </w:rPr>
        <w:t>)</w:t>
      </w:r>
    </w:p>
    <w:p w:rsidR="00000000" w:rsidRDefault="00000000">
      <w:pPr>
        <w:rPr>
          <w:rFonts w:hint="eastAsia"/>
          <w:snapToGrid/>
        </w:rPr>
      </w:pPr>
      <w:r>
        <w:rPr>
          <w:rFonts w:hint="eastAsia"/>
          <w:snapToGrid/>
        </w:rPr>
        <w:tab/>
        <w:t xml:space="preserve">158.  </w:t>
      </w:r>
      <w:r>
        <w:rPr>
          <w:rFonts w:hint="eastAsia"/>
          <w:snapToGrid/>
        </w:rPr>
        <w:t>法律还要求雇主在工作中防止疾病和事故。雇主还应当遵守必要的关心或以其他方式为防止疾病和事故尽一分力。</w:t>
      </w:r>
    </w:p>
    <w:p w:rsidR="00000000" w:rsidRDefault="00000000">
      <w:pPr>
        <w:rPr>
          <w:rFonts w:hint="eastAsia"/>
          <w:snapToGrid/>
        </w:rPr>
      </w:pPr>
      <w:r>
        <w:rPr>
          <w:rFonts w:hint="eastAsia"/>
          <w:snapToGrid/>
        </w:rPr>
        <w:tab/>
        <w:t xml:space="preserve">159.  </w:t>
      </w:r>
      <w:r>
        <w:rPr>
          <w:rFonts w:hint="eastAsia"/>
          <w:snapToGrid/>
        </w:rPr>
        <w:t>从</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日起，《工时法》</w:t>
      </w:r>
      <w:r>
        <w:rPr>
          <w:rFonts w:hint="eastAsia"/>
          <w:snapToGrid/>
        </w:rPr>
        <w:t>(1982</w:t>
      </w:r>
      <w:r>
        <w:rPr>
          <w:rFonts w:hint="eastAsia"/>
          <w:snapToGrid/>
        </w:rPr>
        <w:t>：</w:t>
      </w:r>
      <w:r>
        <w:rPr>
          <w:rFonts w:hint="eastAsia"/>
          <w:snapToGrid/>
        </w:rPr>
        <w:t>673)</w:t>
      </w:r>
      <w:r>
        <w:rPr>
          <w:rFonts w:hint="eastAsia"/>
          <w:snapToGrid/>
        </w:rPr>
        <w:t>完全适用于在他们自己家庭履行工作的雇员。以前不适用这个类别的雇员的法律例外情况受到了废止。</w:t>
      </w:r>
    </w:p>
    <w:p w:rsidR="00000000" w:rsidRDefault="00000000">
      <w:pPr>
        <w:spacing w:after="320"/>
        <w:rPr>
          <w:rFonts w:hint="eastAsia"/>
          <w:snapToGrid/>
        </w:rPr>
      </w:pPr>
      <w:r>
        <w:rPr>
          <w:rFonts w:hint="eastAsia"/>
          <w:snapToGrid/>
        </w:rPr>
        <w:tab/>
        <w:t xml:space="preserve">160.  </w:t>
      </w:r>
      <w:r>
        <w:rPr>
          <w:rFonts w:hint="eastAsia"/>
          <w:snapToGrid/>
        </w:rPr>
        <w:t>对于关于公共假日薪酬权的第</w:t>
      </w:r>
      <w:r>
        <w:rPr>
          <w:rFonts w:hint="eastAsia"/>
          <w:snapToGrid/>
        </w:rPr>
        <w:t>7</w:t>
      </w:r>
      <w:r>
        <w:rPr>
          <w:rFonts w:hint="eastAsia"/>
          <w:snapToGrid/>
        </w:rPr>
        <w:t>条</w:t>
      </w:r>
      <w:r>
        <w:rPr>
          <w:rFonts w:hint="eastAsia"/>
          <w:snapToGrid/>
        </w:rPr>
        <w:t>(d)</w:t>
      </w:r>
      <w:r>
        <w:rPr>
          <w:rFonts w:hint="eastAsia"/>
          <w:snapToGrid/>
        </w:rPr>
        <w:t>项的保留是基于这样的事实，即《公约》规定管理在瑞典不是由于法律管辖的问题。这些事务改而由劳工和管理单位签订的集体协议所确定。由于这个原因，在某些案例中，解决办法可能与第</w:t>
      </w:r>
      <w:r>
        <w:rPr>
          <w:rFonts w:hint="eastAsia"/>
          <w:snapToGrid/>
        </w:rPr>
        <w:t>7</w:t>
      </w:r>
      <w:r>
        <w:rPr>
          <w:rFonts w:hint="eastAsia"/>
          <w:snapToGrid/>
        </w:rPr>
        <w:t>条</w:t>
      </w:r>
      <w:r>
        <w:rPr>
          <w:rFonts w:hint="eastAsia"/>
          <w:snapToGrid/>
        </w:rPr>
        <w:t>(d)</w:t>
      </w:r>
      <w:r>
        <w:rPr>
          <w:rFonts w:hint="eastAsia"/>
          <w:snapToGrid/>
        </w:rPr>
        <w:t>项目相冲突。</w:t>
      </w:r>
      <w:r>
        <w:rPr>
          <w:rFonts w:hint="eastAsia"/>
          <w:snapToGrid/>
        </w:rPr>
        <w:t>(</w:t>
      </w:r>
      <w:r>
        <w:rPr>
          <w:rFonts w:hint="eastAsia"/>
          <w:snapToGrid/>
        </w:rPr>
        <w:t>见结论性意见第</w:t>
      </w:r>
      <w:r>
        <w:rPr>
          <w:snapToGrid/>
        </w:rPr>
        <w:t>2</w:t>
      </w:r>
      <w:r>
        <w:rPr>
          <w:rFonts w:hint="eastAsia"/>
          <w:snapToGrid/>
        </w:rPr>
        <w:t>0</w:t>
      </w:r>
      <w:r>
        <w:rPr>
          <w:rFonts w:hint="eastAsia"/>
          <w:snapToGrid/>
        </w:rPr>
        <w:t>项和第</w:t>
      </w:r>
      <w:r>
        <w:rPr>
          <w:rFonts w:hint="eastAsia"/>
          <w:snapToGrid/>
        </w:rPr>
        <w:t>32</w:t>
      </w:r>
      <w:r>
        <w:rPr>
          <w:rFonts w:hint="eastAsia"/>
          <w:snapToGrid/>
        </w:rPr>
        <w:t>项。</w:t>
      </w:r>
      <w:r>
        <w:rPr>
          <w:rFonts w:hint="eastAsia"/>
          <w:snapToGrid/>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8</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1</w:t>
      </w:r>
    </w:p>
    <w:p w:rsidR="00000000" w:rsidRDefault="00000000">
      <w:pPr>
        <w:rPr>
          <w:rFonts w:hint="eastAsia"/>
          <w:snapToGrid/>
        </w:rPr>
      </w:pPr>
      <w:r>
        <w:rPr>
          <w:rFonts w:hint="eastAsia"/>
          <w:snapToGrid/>
        </w:rPr>
        <w:tab/>
        <w:t xml:space="preserve">161.  </w:t>
      </w:r>
      <w:r>
        <w:rPr>
          <w:rFonts w:hint="eastAsia"/>
          <w:snapToGrid/>
        </w:rPr>
        <w:t>瑞典是上下文所提到的联合国《公民权利和政治权利国际公约》的缔约国，并且批准了：</w:t>
      </w:r>
    </w:p>
    <w:p w:rsidR="00000000" w:rsidRDefault="00000000">
      <w:pPr>
        <w:ind w:left="1020"/>
        <w:rPr>
          <w:rFonts w:hint="eastAsia"/>
          <w:snapToGrid/>
        </w:rPr>
      </w:pPr>
      <w:r>
        <w:rPr>
          <w:rFonts w:hint="eastAsia"/>
          <w:snapToGrid/>
        </w:rPr>
        <w:t>劳工组织公约：</w:t>
      </w:r>
    </w:p>
    <w:p w:rsidR="00000000" w:rsidRDefault="00000000">
      <w:pPr>
        <w:pStyle w:val="a0"/>
        <w:ind w:left="2040"/>
        <w:rPr>
          <w:rFonts w:hint="eastAsia"/>
          <w:snapToGrid/>
        </w:rPr>
      </w:pPr>
      <w:r>
        <w:rPr>
          <w:rFonts w:hint="eastAsia"/>
          <w:snapToGrid/>
        </w:rPr>
        <w:t>1948</w:t>
      </w:r>
      <w:r>
        <w:rPr>
          <w:rFonts w:hint="eastAsia"/>
          <w:snapToGrid/>
        </w:rPr>
        <w:t>年的</w:t>
      </w:r>
      <w:r>
        <w:rPr>
          <w:rFonts w:hint="eastAsia"/>
          <w:snapToGrid/>
        </w:rPr>
        <w:t>C 87</w:t>
      </w:r>
      <w:r>
        <w:rPr>
          <w:rFonts w:hint="eastAsia"/>
          <w:snapToGrid/>
        </w:rPr>
        <w:t>《结社自由和保护组织权利公约》；</w:t>
      </w:r>
    </w:p>
    <w:p w:rsidR="00000000" w:rsidRDefault="00000000">
      <w:pPr>
        <w:pStyle w:val="a0"/>
        <w:ind w:left="2040"/>
        <w:rPr>
          <w:rFonts w:hint="eastAsia"/>
          <w:snapToGrid/>
        </w:rPr>
      </w:pPr>
      <w:r>
        <w:rPr>
          <w:rFonts w:hint="eastAsia"/>
          <w:snapToGrid/>
        </w:rPr>
        <w:t>1949</w:t>
      </w:r>
      <w:r>
        <w:rPr>
          <w:rFonts w:hint="eastAsia"/>
          <w:snapToGrid/>
        </w:rPr>
        <w:t>年的</w:t>
      </w:r>
      <w:r>
        <w:rPr>
          <w:rFonts w:hint="eastAsia"/>
          <w:snapToGrid/>
        </w:rPr>
        <w:t>C 98</w:t>
      </w:r>
      <w:r>
        <w:rPr>
          <w:rFonts w:hint="eastAsia"/>
          <w:snapToGrid/>
        </w:rPr>
        <w:t>《组织权利和集体谈判公约》；</w:t>
      </w:r>
    </w:p>
    <w:p w:rsidR="00000000" w:rsidRDefault="00000000">
      <w:pPr>
        <w:pStyle w:val="a0"/>
        <w:ind w:left="2040"/>
        <w:rPr>
          <w:rFonts w:hint="eastAsia"/>
          <w:snapToGrid/>
        </w:rPr>
      </w:pPr>
      <w:r>
        <w:rPr>
          <w:rFonts w:hint="eastAsia"/>
          <w:snapToGrid/>
        </w:rPr>
        <w:t>1978</w:t>
      </w:r>
      <w:r>
        <w:rPr>
          <w:rFonts w:hint="eastAsia"/>
          <w:snapToGrid/>
        </w:rPr>
        <w:t>年</w:t>
      </w:r>
      <w:r>
        <w:rPr>
          <w:rFonts w:hint="eastAsia"/>
          <w:snapToGrid/>
        </w:rPr>
        <w:t>C 151</w:t>
      </w:r>
      <w:r>
        <w:rPr>
          <w:rFonts w:hint="eastAsia"/>
          <w:snapToGrid/>
        </w:rPr>
        <w:t>《</w:t>
      </w:r>
      <w:r>
        <w:rPr>
          <w:rFonts w:hint="eastAsia"/>
          <w:snapToGrid/>
        </w:rPr>
        <w:t>(</w:t>
      </w:r>
      <w:r>
        <w:rPr>
          <w:rFonts w:hint="eastAsia"/>
          <w:snapToGrid/>
        </w:rPr>
        <w:t>公共部门</w:t>
      </w:r>
      <w:r>
        <w:rPr>
          <w:rFonts w:hint="eastAsia"/>
          <w:snapToGrid/>
        </w:rPr>
        <w:t>)</w:t>
      </w:r>
      <w:r>
        <w:rPr>
          <w:rFonts w:hint="eastAsia"/>
          <w:snapToGrid/>
        </w:rPr>
        <w:t>劳资关系公约》；</w:t>
      </w:r>
    </w:p>
    <w:p w:rsidR="00000000" w:rsidRDefault="00000000">
      <w:pPr>
        <w:rPr>
          <w:rFonts w:hint="eastAsia"/>
          <w:snapToGrid/>
        </w:rPr>
      </w:pPr>
      <w:r>
        <w:rPr>
          <w:rFonts w:hint="eastAsia"/>
          <w:snapToGrid/>
        </w:rPr>
        <w:t>瑞典还批准了</w:t>
      </w:r>
      <w:r>
        <w:rPr>
          <w:rFonts w:hint="eastAsia"/>
          <w:snapToGrid/>
        </w:rPr>
        <w:t>1981</w:t>
      </w:r>
      <w:r>
        <w:rPr>
          <w:rFonts w:hint="eastAsia"/>
          <w:snapToGrid/>
        </w:rPr>
        <w:t>年的</w:t>
      </w:r>
      <w:r>
        <w:rPr>
          <w:rFonts w:hint="eastAsia"/>
          <w:snapToGrid/>
        </w:rPr>
        <w:t>C 154</w:t>
      </w:r>
      <w:r>
        <w:rPr>
          <w:rFonts w:hint="eastAsia"/>
          <w:snapToGrid/>
        </w:rPr>
        <w:t>《集体谈判公约》。</w:t>
      </w:r>
    </w:p>
    <w:p w:rsidR="00000000" w:rsidRDefault="00000000">
      <w:pPr>
        <w:spacing w:after="240"/>
        <w:rPr>
          <w:rFonts w:hint="eastAsia"/>
          <w:snapToGrid/>
        </w:rPr>
      </w:pPr>
      <w:r>
        <w:rPr>
          <w:rFonts w:hint="eastAsia"/>
          <w:snapToGrid/>
        </w:rPr>
        <w:tab/>
        <w:t xml:space="preserve">162.  </w:t>
      </w:r>
      <w:r>
        <w:rPr>
          <w:rFonts w:hint="eastAsia"/>
          <w:snapToGrid/>
        </w:rPr>
        <w:t>在</w:t>
      </w:r>
      <w:r>
        <w:rPr>
          <w:rFonts w:hint="eastAsia"/>
          <w:snapToGrid/>
        </w:rPr>
        <w:t>2000-2006</w:t>
      </w:r>
      <w:r>
        <w:rPr>
          <w:rFonts w:hint="eastAsia"/>
          <w:snapToGrid/>
        </w:rPr>
        <w:t>年报告期间，有关法律并没有明显的改变。参见发生过此种改变的部分以及关系到瑞典的报告的某些有关上述劳工组织公约的判例法。又参见关于本条的以前几次报告。此外，下列各点值得注意：</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w:t>
      </w:r>
    </w:p>
    <w:p w:rsidR="00000000" w:rsidRDefault="00000000">
      <w:pPr>
        <w:rPr>
          <w:rFonts w:hint="eastAsia"/>
          <w:snapToGrid/>
        </w:rPr>
      </w:pPr>
      <w:r>
        <w:rPr>
          <w:rFonts w:hint="eastAsia"/>
          <w:snapToGrid/>
        </w:rPr>
        <w:tab/>
        <w:t xml:space="preserve">163.  </w:t>
      </w:r>
      <w:r>
        <w:rPr>
          <w:rFonts w:hint="eastAsia"/>
          <w:snapToGrid/>
        </w:rPr>
        <w:t>消极集会自由通过将《欧洲保护人权与基本自由公约》根据关于《欧洲保护人权与基本自由公约》的法令</w:t>
      </w:r>
      <w:r>
        <w:rPr>
          <w:rFonts w:hint="eastAsia"/>
          <w:snapToGrid/>
        </w:rPr>
        <w:t>(1994</w:t>
      </w:r>
      <w:r>
        <w:rPr>
          <w:rFonts w:hint="eastAsia"/>
          <w:snapToGrid/>
        </w:rPr>
        <w:t>：</w:t>
      </w:r>
      <w:r>
        <w:rPr>
          <w:rFonts w:hint="eastAsia"/>
          <w:snapToGrid/>
        </w:rPr>
        <w:t>1219)</w:t>
      </w:r>
      <w:r>
        <w:rPr>
          <w:rFonts w:hint="eastAsia"/>
          <w:snapToGrid/>
        </w:rPr>
        <w:t>作为一项国内法适用而在瑞典受到管辖。</w:t>
      </w:r>
    </w:p>
    <w:p w:rsidR="00000000" w:rsidRDefault="00000000">
      <w:pPr>
        <w:rPr>
          <w:rFonts w:hint="eastAsia"/>
          <w:snapToGrid/>
        </w:rPr>
      </w:pPr>
      <w:r>
        <w:rPr>
          <w:rFonts w:hint="eastAsia"/>
          <w:snapToGrid/>
        </w:rPr>
        <w:tab/>
        <w:t xml:space="preserve">164.  </w:t>
      </w:r>
      <w:r>
        <w:rPr>
          <w:rFonts w:hint="eastAsia"/>
          <w:snapToGrid/>
        </w:rPr>
        <w:t>消极集会自由的范围还通过斯特拉斯堡欧洲人权法院作出的裁决</w:t>
      </w:r>
      <w:r>
        <w:rPr>
          <w:rFonts w:hint="eastAsia"/>
          <w:snapToGrid/>
        </w:rPr>
        <w:t>(Sorensen</w:t>
      </w:r>
      <w:r>
        <w:rPr>
          <w:rFonts w:hint="eastAsia"/>
          <w:snapToGrid/>
        </w:rPr>
        <w:t>诉丹麦和</w:t>
      </w:r>
      <w:r>
        <w:rPr>
          <w:rFonts w:hint="eastAsia"/>
          <w:snapToGrid/>
        </w:rPr>
        <w:t>Rasmussen</w:t>
      </w:r>
      <w:r>
        <w:rPr>
          <w:rFonts w:hint="eastAsia"/>
          <w:snapToGrid/>
        </w:rPr>
        <w:t>诉丹麦，</w:t>
      </w:r>
      <w:r>
        <w:rPr>
          <w:rFonts w:hint="eastAsia"/>
          <w:snapToGrid/>
        </w:rPr>
        <w:t>2006</w:t>
      </w:r>
      <w:r>
        <w:rPr>
          <w:rFonts w:hint="eastAsia"/>
          <w:snapToGrid/>
        </w:rPr>
        <w:t>年</w:t>
      </w:r>
      <w:r>
        <w:rPr>
          <w:rFonts w:hint="eastAsia"/>
          <w:snapToGrid/>
        </w:rPr>
        <w:t>1</w:t>
      </w:r>
      <w:r>
        <w:rPr>
          <w:rFonts w:hint="eastAsia"/>
          <w:snapToGrid/>
        </w:rPr>
        <w:t>月</w:t>
      </w:r>
      <w:r>
        <w:rPr>
          <w:rFonts w:hint="eastAsia"/>
          <w:snapToGrid/>
        </w:rPr>
        <w:t>11</w:t>
      </w:r>
      <w:r>
        <w:rPr>
          <w:rFonts w:hint="eastAsia"/>
          <w:snapToGrid/>
        </w:rPr>
        <w:t>日判决</w:t>
      </w:r>
      <w:r>
        <w:rPr>
          <w:rFonts w:hint="eastAsia"/>
          <w:snapToGrid/>
        </w:rPr>
        <w:t>)</w:t>
      </w:r>
      <w:r>
        <w:rPr>
          <w:rFonts w:hint="eastAsia"/>
          <w:snapToGrid/>
        </w:rPr>
        <w:t>获得了澄清。</w:t>
      </w:r>
    </w:p>
    <w:p w:rsidR="00000000" w:rsidRDefault="00000000">
      <w:pPr>
        <w:rPr>
          <w:rFonts w:hint="eastAsia"/>
          <w:snapToGrid/>
        </w:rPr>
      </w:pPr>
      <w:r>
        <w:rPr>
          <w:rFonts w:hint="eastAsia"/>
          <w:snapToGrid/>
        </w:rPr>
        <w:tab/>
        <w:t xml:space="preserve">165.  </w:t>
      </w:r>
      <w:r>
        <w:rPr>
          <w:snapToGrid/>
        </w:rPr>
        <w:t>(d)</w:t>
      </w:r>
      <w:r>
        <w:rPr>
          <w:rFonts w:hint="eastAsia"/>
          <w:snapToGrid/>
        </w:rPr>
        <w:t xml:space="preserve">  </w:t>
      </w:r>
      <w:r>
        <w:rPr>
          <w:rFonts w:hint="eastAsia"/>
          <w:snapToGrid/>
        </w:rPr>
        <w:t>可以注意到，通过《工作共同决策法》</w:t>
      </w:r>
      <w:r>
        <w:rPr>
          <w:rFonts w:hint="eastAsia"/>
          <w:snapToGrid/>
        </w:rPr>
        <w:t>(1976</w:t>
      </w:r>
      <w:r>
        <w:rPr>
          <w:rFonts w:hint="eastAsia"/>
          <w:snapToGrid/>
        </w:rPr>
        <w:t>：</w:t>
      </w:r>
      <w:r>
        <w:rPr>
          <w:rFonts w:hint="eastAsia"/>
          <w:snapToGrid/>
        </w:rPr>
        <w:t>580)</w:t>
      </w:r>
      <w:r>
        <w:rPr>
          <w:rFonts w:hint="eastAsia"/>
          <w:snapToGrid/>
        </w:rPr>
        <w:t>的修正案将该法律与欧洲议会和理事会指令</w:t>
      </w:r>
      <w:r>
        <w:rPr>
          <w:rFonts w:hint="eastAsia"/>
          <w:snapToGrid/>
        </w:rPr>
        <w:t>2002/14/EC</w:t>
      </w:r>
      <w:r>
        <w:rPr>
          <w:rFonts w:hint="eastAsia"/>
          <w:snapToGrid/>
        </w:rPr>
        <w:t>相协调，建立起一个向欧洲共同体的雇员提供信息和咨询的框架，工会的地位得到了加强。新规章于</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日起实行。</w:t>
      </w:r>
    </w:p>
    <w:p w:rsidR="00000000" w:rsidRDefault="00000000">
      <w:pPr>
        <w:rPr>
          <w:rFonts w:hint="eastAsia"/>
          <w:snapToGrid/>
        </w:rPr>
      </w:pPr>
      <w:r>
        <w:rPr>
          <w:rFonts w:hint="eastAsia"/>
          <w:snapToGrid/>
        </w:rPr>
        <w:tab/>
        <w:t xml:space="preserve">166.  </w:t>
      </w:r>
      <w:r>
        <w:rPr>
          <w:rFonts w:hint="eastAsia"/>
          <w:snapToGrid/>
        </w:rPr>
        <w:t>已向《工作共同决策法》增添了一个新的强制性规定，根据这条规定，要求不受一项集体协议约束的雇主定期向雇员所属工会提供该企业在生产和财务方面以及有关人力资源政策的准则的发展情况。</w:t>
      </w:r>
    </w:p>
    <w:p w:rsidR="00000000" w:rsidRDefault="00000000">
      <w:pPr>
        <w:rPr>
          <w:rFonts w:hint="eastAsia"/>
          <w:snapToGrid/>
        </w:rPr>
      </w:pPr>
      <w:r>
        <w:rPr>
          <w:rFonts w:hint="eastAsia"/>
          <w:snapToGrid/>
        </w:rPr>
        <w:tab/>
        <w:t xml:space="preserve">167.  </w:t>
      </w:r>
      <w:r>
        <w:rPr>
          <w:rFonts w:hint="eastAsia"/>
          <w:snapToGrid/>
        </w:rPr>
        <w:t>提供情况的职责应当面向当地的工会履行，并且涉及《工作共同决策法》所涉的全体雇员而不论雇员人数多少。</w:t>
      </w:r>
    </w:p>
    <w:p w:rsidR="00000000" w:rsidRDefault="00000000">
      <w:pPr>
        <w:rPr>
          <w:rFonts w:hint="eastAsia"/>
          <w:snapToGrid/>
        </w:rPr>
      </w:pPr>
      <w:r>
        <w:rPr>
          <w:rFonts w:hint="eastAsia"/>
          <w:snapToGrid/>
        </w:rPr>
        <w:tab/>
        <w:t xml:space="preserve">168.  </w:t>
      </w:r>
      <w:r>
        <w:rPr>
          <w:rFonts w:hint="eastAsia"/>
          <w:snapToGrid/>
        </w:rPr>
        <w:t>按照新的规定向其提供信息的工会代表有权抽出合理的空闲收受信息。</w:t>
      </w:r>
    </w:p>
    <w:p w:rsidR="00000000" w:rsidRDefault="00000000">
      <w:pPr>
        <w:spacing w:after="240"/>
        <w:rPr>
          <w:rFonts w:hint="eastAsia"/>
          <w:snapToGrid/>
        </w:rPr>
      </w:pPr>
      <w:r>
        <w:rPr>
          <w:rFonts w:hint="eastAsia"/>
          <w:snapToGrid/>
        </w:rPr>
        <w:tab/>
        <w:t xml:space="preserve">169.  </w:t>
      </w:r>
      <w:r>
        <w:rPr>
          <w:rFonts w:hint="eastAsia"/>
          <w:snapToGrid/>
        </w:rPr>
        <w:t>新的规则见于《工作共同决策法》第</w:t>
      </w:r>
      <w:r>
        <w:rPr>
          <w:rFonts w:hint="eastAsia"/>
          <w:snapToGrid/>
        </w:rPr>
        <w:t>19</w:t>
      </w:r>
      <w:r>
        <w:rPr>
          <w:rFonts w:hint="eastAsia"/>
          <w:snapToGrid/>
        </w:rPr>
        <w:t>节、第</w:t>
      </w:r>
      <w:r>
        <w:rPr>
          <w:rFonts w:hint="eastAsia"/>
          <w:snapToGrid/>
        </w:rPr>
        <w:t>19a</w:t>
      </w:r>
      <w:r>
        <w:rPr>
          <w:rFonts w:hint="eastAsia"/>
          <w:snapToGrid/>
        </w:rPr>
        <w:t>节和第</w:t>
      </w:r>
      <w:r>
        <w:rPr>
          <w:rFonts w:hint="eastAsia"/>
          <w:snapToGrid/>
        </w:rPr>
        <w:t>20</w:t>
      </w:r>
      <w:r>
        <w:rPr>
          <w:rFonts w:hint="eastAsia"/>
          <w:snapToGrid/>
        </w:rPr>
        <w:t>节。</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w:t>
      </w:r>
    </w:p>
    <w:p w:rsidR="00000000" w:rsidRDefault="00000000">
      <w:pPr>
        <w:rPr>
          <w:rFonts w:hint="eastAsia"/>
          <w:snapToGrid/>
        </w:rPr>
      </w:pPr>
      <w:r>
        <w:rPr>
          <w:rFonts w:hint="eastAsia"/>
          <w:snapToGrid/>
        </w:rPr>
        <w:tab/>
        <w:t xml:space="preserve">170.  </w:t>
      </w:r>
      <w:r>
        <w:rPr>
          <w:rFonts w:hint="eastAsia"/>
          <w:snapToGrid/>
        </w:rPr>
        <w:t>按照《政府文书》</w:t>
      </w:r>
      <w:r>
        <w:rPr>
          <w:rFonts w:hint="eastAsia"/>
          <w:snapToGrid/>
        </w:rPr>
        <w:t>(</w:t>
      </w:r>
      <w:r>
        <w:rPr>
          <w:rFonts w:hint="eastAsia"/>
          <w:snapToGrid/>
        </w:rPr>
        <w:t>组成瑞典宪法的一项法律</w:t>
      </w:r>
      <w:r>
        <w:rPr>
          <w:rFonts w:hint="eastAsia"/>
          <w:snapToGrid/>
        </w:rPr>
        <w:t>)</w:t>
      </w:r>
      <w:r>
        <w:rPr>
          <w:rFonts w:hint="eastAsia"/>
          <w:snapToGrid/>
        </w:rPr>
        <w:t>第</w:t>
      </w:r>
      <w:r>
        <w:rPr>
          <w:rFonts w:hint="eastAsia"/>
          <w:snapToGrid/>
        </w:rPr>
        <w:t>2</w:t>
      </w:r>
      <w:r>
        <w:rPr>
          <w:rFonts w:hint="eastAsia"/>
          <w:snapToGrid/>
        </w:rPr>
        <w:t>章第</w:t>
      </w:r>
      <w:r>
        <w:rPr>
          <w:rFonts w:hint="eastAsia"/>
          <w:snapToGrid/>
        </w:rPr>
        <w:t>17</w:t>
      </w:r>
      <w:r>
        <w:rPr>
          <w:rFonts w:hint="eastAsia"/>
          <w:snapToGrid/>
        </w:rPr>
        <w:t>条，除非在一法律行为中或根据一项协议另有规定，任何工会或雇主或雇主协会均有权采取劳工行动。</w:t>
      </w:r>
    </w:p>
    <w:p w:rsidR="00000000" w:rsidRDefault="00000000">
      <w:pPr>
        <w:rPr>
          <w:rFonts w:hint="eastAsia"/>
          <w:snapToGrid/>
        </w:rPr>
      </w:pPr>
      <w:r>
        <w:rPr>
          <w:rFonts w:hint="eastAsia"/>
          <w:snapToGrid/>
        </w:rPr>
        <w:tab/>
        <w:t xml:space="preserve">171.  </w:t>
      </w:r>
      <w:r>
        <w:rPr>
          <w:snapToGrid/>
        </w:rPr>
        <w:t>(a)</w:t>
      </w:r>
      <w:r>
        <w:rPr>
          <w:rFonts w:hint="eastAsia"/>
          <w:snapToGrid/>
        </w:rPr>
        <w:t xml:space="preserve">  </w:t>
      </w:r>
      <w:r>
        <w:rPr>
          <w:rFonts w:hint="eastAsia"/>
          <w:snapToGrid/>
        </w:rPr>
        <w:t>根据《工作共同决策法》第</w:t>
      </w:r>
      <w:r>
        <w:rPr>
          <w:rFonts w:hint="eastAsia"/>
          <w:snapToGrid/>
        </w:rPr>
        <w:t>41</w:t>
      </w:r>
      <w:r>
        <w:rPr>
          <w:rFonts w:hint="eastAsia"/>
          <w:snapToGrid/>
        </w:rPr>
        <w:t>节，劳动稳定义务适用于一项集体协议的各方。和平义务</w:t>
      </w:r>
      <w:r>
        <w:rPr>
          <w:rFonts w:hint="eastAsia"/>
          <w:snapToGrid/>
        </w:rPr>
        <w:t>(</w:t>
      </w:r>
      <w:r>
        <w:rPr>
          <w:rFonts w:hint="eastAsia"/>
          <w:snapToGrid/>
        </w:rPr>
        <w:t>首先</w:t>
      </w:r>
      <w:r>
        <w:rPr>
          <w:rFonts w:hint="eastAsia"/>
          <w:snapToGrid/>
        </w:rPr>
        <w:t>)</w:t>
      </w:r>
      <w:r>
        <w:rPr>
          <w:rFonts w:hint="eastAsia"/>
          <w:snapToGrid/>
        </w:rPr>
        <w:t>要求雇主和希望通过采取劳工行动达到下列目的的雇主“暂停罢工”：</w:t>
      </w:r>
    </w:p>
    <w:p w:rsidR="00000000" w:rsidRDefault="00000000">
      <w:pPr>
        <w:ind w:left="1020"/>
        <w:rPr>
          <w:rFonts w:hint="eastAsia"/>
          <w:snapToGrid/>
        </w:rPr>
      </w:pPr>
      <w:r>
        <w:rPr>
          <w:rFonts w:hint="eastAsia"/>
          <w:snapToGrid/>
        </w:rPr>
        <w:tab/>
        <w:t>1.</w:t>
      </w:r>
      <w:r>
        <w:rPr>
          <w:rFonts w:hint="eastAsia"/>
          <w:snapToGrid/>
        </w:rPr>
        <w:tab/>
      </w:r>
      <w:r>
        <w:rPr>
          <w:rFonts w:hint="eastAsia"/>
          <w:snapToGrid/>
        </w:rPr>
        <w:t>在一场对于一项集体协议的效力、存在或正确解释的争议或法律争议中施加压力；</w:t>
      </w:r>
    </w:p>
    <w:p w:rsidR="00000000" w:rsidRDefault="00000000">
      <w:pPr>
        <w:ind w:left="1020"/>
        <w:rPr>
          <w:rFonts w:hint="eastAsia"/>
          <w:snapToGrid/>
        </w:rPr>
      </w:pPr>
      <w:r>
        <w:rPr>
          <w:rFonts w:hint="eastAsia"/>
          <w:snapToGrid/>
        </w:rPr>
        <w:tab/>
        <w:t>2.</w:t>
      </w:r>
      <w:r>
        <w:rPr>
          <w:rFonts w:hint="eastAsia"/>
          <w:snapToGrid/>
        </w:rPr>
        <w:tab/>
      </w:r>
      <w:r>
        <w:rPr>
          <w:rFonts w:hint="eastAsia"/>
          <w:snapToGrid/>
        </w:rPr>
        <w:t>产生一项已经生效的集体协议的修正案；</w:t>
      </w:r>
    </w:p>
    <w:p w:rsidR="00000000" w:rsidRDefault="00000000">
      <w:pPr>
        <w:ind w:left="1020"/>
        <w:rPr>
          <w:rFonts w:hint="eastAsia"/>
          <w:snapToGrid/>
        </w:rPr>
      </w:pPr>
      <w:r>
        <w:rPr>
          <w:rFonts w:hint="eastAsia"/>
          <w:snapToGrid/>
        </w:rPr>
        <w:tab/>
        <w:t>3.</w:t>
      </w:r>
      <w:r>
        <w:rPr>
          <w:rFonts w:hint="eastAsia"/>
          <w:snapToGrid/>
        </w:rPr>
        <w:tab/>
      </w:r>
      <w:r>
        <w:rPr>
          <w:rFonts w:hint="eastAsia"/>
          <w:snapToGrid/>
        </w:rPr>
        <w:t>实施一项意图在协议终止时生效的规定；或</w:t>
      </w:r>
    </w:p>
    <w:p w:rsidR="00000000" w:rsidRDefault="00000000">
      <w:pPr>
        <w:ind w:left="1020"/>
        <w:rPr>
          <w:rFonts w:hint="eastAsia"/>
          <w:snapToGrid/>
        </w:rPr>
      </w:pPr>
      <w:r>
        <w:rPr>
          <w:rFonts w:hint="eastAsia"/>
          <w:snapToGrid/>
        </w:rPr>
        <w:tab/>
        <w:t>4.</w:t>
      </w:r>
      <w:r>
        <w:rPr>
          <w:rFonts w:hint="eastAsia"/>
          <w:snapToGrid/>
        </w:rPr>
        <w:tab/>
      </w:r>
      <w:r>
        <w:rPr>
          <w:rFonts w:hint="eastAsia"/>
          <w:snapToGrid/>
        </w:rPr>
        <w:t>援助不被允许采取劳工行动的其他人。</w:t>
      </w:r>
    </w:p>
    <w:p w:rsidR="00000000" w:rsidRDefault="00000000">
      <w:pPr>
        <w:rPr>
          <w:rFonts w:hint="eastAsia"/>
          <w:snapToGrid/>
        </w:rPr>
      </w:pPr>
      <w:r>
        <w:rPr>
          <w:rFonts w:hint="eastAsia"/>
          <w:snapToGrid/>
        </w:rPr>
        <w:tab/>
        <w:t xml:space="preserve">172.  </w:t>
      </w:r>
      <w:r>
        <w:rPr>
          <w:rFonts w:hint="eastAsia"/>
          <w:snapToGrid/>
        </w:rPr>
        <w:t>根据《工作共同决策法》第</w:t>
      </w:r>
      <w:r>
        <w:rPr>
          <w:rFonts w:hint="eastAsia"/>
          <w:snapToGrid/>
        </w:rPr>
        <w:t>42</w:t>
      </w:r>
      <w:r>
        <w:rPr>
          <w:rFonts w:hint="eastAsia"/>
          <w:snapToGrid/>
        </w:rPr>
        <w:t>节第</w:t>
      </w:r>
      <w:r>
        <w:rPr>
          <w:rFonts w:hint="eastAsia"/>
          <w:snapToGrid/>
        </w:rPr>
        <w:t>1</w:t>
      </w:r>
      <w:r>
        <w:rPr>
          <w:rFonts w:hint="eastAsia"/>
          <w:snapToGrid/>
        </w:rPr>
        <w:t>款，雇主协会和工会不得安排或以其他方式发起一场非法的劳工行动。但是，根据同节第</w:t>
      </w:r>
      <w:r>
        <w:rPr>
          <w:rFonts w:hint="eastAsia"/>
          <w:snapToGrid/>
        </w:rPr>
        <w:t>3</w:t>
      </w:r>
      <w:r>
        <w:rPr>
          <w:rFonts w:hint="eastAsia"/>
          <w:snapToGrid/>
        </w:rPr>
        <w:t>款，和平义务只适用《工作共同决策法》直接适用的雇佣关系。</w:t>
      </w:r>
    </w:p>
    <w:p w:rsidR="00000000" w:rsidRDefault="00000000">
      <w:pPr>
        <w:rPr>
          <w:rFonts w:hint="eastAsia"/>
          <w:snapToGrid/>
        </w:rPr>
      </w:pPr>
      <w:r>
        <w:rPr>
          <w:rFonts w:hint="eastAsia"/>
          <w:snapToGrid/>
        </w:rPr>
        <w:tab/>
        <w:t xml:space="preserve">173.  </w:t>
      </w:r>
      <w:r>
        <w:rPr>
          <w:rFonts w:hint="eastAsia"/>
          <w:snapToGrid/>
        </w:rPr>
        <w:t>《工作共同决策法》第</w:t>
      </w:r>
      <w:r>
        <w:rPr>
          <w:rFonts w:hint="eastAsia"/>
          <w:snapToGrid/>
        </w:rPr>
        <w:t>25</w:t>
      </w:r>
      <w:r>
        <w:rPr>
          <w:rFonts w:hint="eastAsia"/>
          <w:snapToGrid/>
        </w:rPr>
        <w:t>节确定，根据外国法律由于是在一场劳工行动之后达成，因而无效的一项集体协议，尽管有这种情况，如果该劳工行动符合《工作共同决策法》，仍然有效。</w:t>
      </w:r>
    </w:p>
    <w:p w:rsidR="00000000" w:rsidRDefault="00000000">
      <w:pPr>
        <w:rPr>
          <w:rFonts w:hint="eastAsia"/>
          <w:snapToGrid/>
        </w:rPr>
      </w:pPr>
      <w:r>
        <w:rPr>
          <w:rFonts w:hint="eastAsia"/>
          <w:snapToGrid/>
        </w:rPr>
        <w:tab/>
        <w:t xml:space="preserve">174.  </w:t>
      </w:r>
      <w:r>
        <w:rPr>
          <w:rFonts w:hint="eastAsia"/>
          <w:snapToGrid/>
        </w:rPr>
        <w:t>《工作共同决策法》第</w:t>
      </w:r>
      <w:r>
        <w:rPr>
          <w:rFonts w:hint="eastAsia"/>
          <w:snapToGrid/>
        </w:rPr>
        <w:t>31</w:t>
      </w:r>
      <w:r>
        <w:rPr>
          <w:rFonts w:hint="eastAsia"/>
          <w:snapToGrid/>
        </w:rPr>
        <w:t>节确定，以后签订的集体协议优先于早先签订的《工作共同决策法》不直接适用的协议。</w:t>
      </w:r>
    </w:p>
    <w:p w:rsidR="00000000" w:rsidRDefault="00000000">
      <w:pPr>
        <w:rPr>
          <w:rFonts w:hint="eastAsia"/>
          <w:snapToGrid/>
        </w:rPr>
      </w:pPr>
      <w:r>
        <w:rPr>
          <w:rFonts w:hint="eastAsia"/>
          <w:snapToGrid/>
        </w:rPr>
        <w:tab/>
        <w:t xml:space="preserve">175.  </w:t>
      </w:r>
      <w:r>
        <w:rPr>
          <w:rFonts w:hint="eastAsia"/>
          <w:snapToGrid/>
        </w:rPr>
        <w:t>根据预备工作资料，《工作共同决策法》是否直接适用，取决于雇佣关系是否与瑞典有一种首要关联，即是否：</w:t>
      </w:r>
    </w:p>
    <w:p w:rsidR="00000000" w:rsidRDefault="00000000">
      <w:pPr>
        <w:pStyle w:val="a"/>
        <w:tabs>
          <w:tab w:val="clear" w:pos="510"/>
          <w:tab w:val="num" w:pos="1530"/>
        </w:tabs>
        <w:ind w:left="1530"/>
        <w:rPr>
          <w:rFonts w:hint="eastAsia"/>
          <w:snapToGrid/>
        </w:rPr>
      </w:pPr>
      <w:r>
        <w:rPr>
          <w:rFonts w:hint="eastAsia"/>
          <w:snapToGrid/>
        </w:rPr>
        <w:t>该工作永久性位于瑞典；</w:t>
      </w:r>
    </w:p>
    <w:p w:rsidR="00000000" w:rsidRDefault="00000000">
      <w:pPr>
        <w:pStyle w:val="a"/>
        <w:tabs>
          <w:tab w:val="clear" w:pos="510"/>
          <w:tab w:val="num" w:pos="1530"/>
        </w:tabs>
        <w:ind w:left="1530"/>
        <w:rPr>
          <w:rFonts w:hint="eastAsia"/>
          <w:snapToGrid/>
        </w:rPr>
      </w:pPr>
      <w:r>
        <w:rPr>
          <w:rFonts w:hint="eastAsia"/>
          <w:snapToGrid/>
        </w:rPr>
        <w:t>该工作位于国外，但雇主和雇员是瑞典人。</w:t>
      </w:r>
    </w:p>
    <w:p w:rsidR="00000000" w:rsidRDefault="00000000">
      <w:pPr>
        <w:rPr>
          <w:rFonts w:hint="eastAsia"/>
          <w:snapToGrid/>
        </w:rPr>
      </w:pPr>
      <w:r>
        <w:rPr>
          <w:rFonts w:hint="eastAsia"/>
          <w:snapToGrid/>
        </w:rPr>
        <w:tab/>
        <w:t xml:space="preserve">176.  </w:t>
      </w:r>
      <w:r>
        <w:rPr>
          <w:rFonts w:hint="eastAsia"/>
          <w:snapToGrid/>
        </w:rPr>
        <w:t>采取劳工行动的权利并不意味着雇主或雇员有权实施违反刑法或其他规章的行为。如打砸抢和侵犯人身行为等犯罪行为，即使是在一次罢工或封闭工厂的场合实施的，也是非法的。</w:t>
      </w:r>
    </w:p>
    <w:p w:rsidR="00000000" w:rsidRDefault="00000000">
      <w:pPr>
        <w:rPr>
          <w:rFonts w:hint="eastAsia"/>
          <w:snapToGrid/>
        </w:rPr>
      </w:pPr>
      <w:r>
        <w:rPr>
          <w:rFonts w:hint="eastAsia"/>
          <w:snapToGrid/>
        </w:rPr>
        <w:tab/>
        <w:t xml:space="preserve">177.  </w:t>
      </w:r>
      <w:r>
        <w:rPr>
          <w:rFonts w:hint="eastAsia"/>
          <w:snapToGrid/>
        </w:rPr>
        <w:t>因此，当各方处于一项和平义务之下，不得采取罢工或劳工行动。各方还根据分别的规则有义务对一项计划的劳工行动事先提出通知。</w:t>
      </w:r>
    </w:p>
    <w:p w:rsidR="00000000" w:rsidRDefault="00000000">
      <w:pPr>
        <w:rPr>
          <w:rFonts w:hint="eastAsia"/>
          <w:snapToGrid/>
        </w:rPr>
      </w:pPr>
      <w:r>
        <w:rPr>
          <w:rFonts w:hint="eastAsia"/>
          <w:snapToGrid/>
        </w:rPr>
        <w:tab/>
        <w:t xml:space="preserve">178.  </w:t>
      </w:r>
      <w:r>
        <w:rPr>
          <w:rFonts w:hint="eastAsia"/>
          <w:snapToGrid/>
        </w:rPr>
        <w:t>在政府法案</w:t>
      </w:r>
      <w:r>
        <w:rPr>
          <w:rFonts w:hint="eastAsia"/>
          <w:snapToGrid/>
        </w:rPr>
        <w:t>1999/2000</w:t>
      </w:r>
      <w:r>
        <w:rPr>
          <w:rFonts w:hint="eastAsia"/>
          <w:snapToGrid/>
        </w:rPr>
        <w:t>：</w:t>
      </w:r>
      <w:r>
        <w:rPr>
          <w:rFonts w:hint="eastAsia"/>
          <w:snapToGrid/>
        </w:rPr>
        <w:t>32</w:t>
      </w:r>
      <w:r>
        <w:rPr>
          <w:rFonts w:hint="eastAsia"/>
          <w:snapToGrid/>
        </w:rPr>
        <w:t>《全日就业的工资形成》，政府提议设立一个新的政府机构国家调解办公室，以及对于有关工资形成的规章作若干更改。该法案所载的提议已获实施，在下面加以概述。</w:t>
      </w:r>
    </w:p>
    <w:p w:rsidR="00000000" w:rsidRDefault="00000000">
      <w:pPr>
        <w:rPr>
          <w:rFonts w:hint="eastAsia"/>
          <w:snapToGrid/>
        </w:rPr>
      </w:pPr>
      <w:r>
        <w:rPr>
          <w:rFonts w:hint="eastAsia"/>
          <w:snapToGrid/>
        </w:rPr>
        <w:tab/>
        <w:t xml:space="preserve">179.  </w:t>
      </w:r>
      <w:r>
        <w:rPr>
          <w:rFonts w:hint="eastAsia"/>
          <w:snapToGrid/>
        </w:rPr>
        <w:t>国家调解办公室</w:t>
      </w:r>
      <w:r>
        <w:rPr>
          <w:rFonts w:hint="eastAsia"/>
          <w:snapToGrid/>
        </w:rPr>
        <w:t>(The N</w:t>
      </w:r>
      <w:r>
        <w:rPr>
          <w:snapToGrid/>
        </w:rPr>
        <w:t>ational</w:t>
      </w:r>
      <w:r>
        <w:rPr>
          <w:rFonts w:hint="eastAsia"/>
          <w:snapToGrid/>
        </w:rPr>
        <w:t xml:space="preserve"> Mediation Office)</w:t>
      </w:r>
      <w:r>
        <w:rPr>
          <w:rFonts w:hint="eastAsia"/>
          <w:snapToGrid/>
        </w:rPr>
        <w:t>于</w:t>
      </w:r>
      <w:r>
        <w:rPr>
          <w:rFonts w:hint="eastAsia"/>
          <w:snapToGrid/>
        </w:rPr>
        <w:t>2000</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日设立，被赋予比它的前身国家和解办公室</w:t>
      </w:r>
      <w:r>
        <w:rPr>
          <w:rFonts w:hint="eastAsia"/>
          <w:snapToGrid/>
        </w:rPr>
        <w:t>(The National Conciliator Office)</w:t>
      </w:r>
      <w:r>
        <w:rPr>
          <w:rFonts w:hint="eastAsia"/>
          <w:snapToGrid/>
        </w:rPr>
        <w:t>更加广泛的授权。国家调解办公室的主要任务是调解劳动争议及促进有效的工资形成过程。该机构的目标是维持劳工市场的经济平衡与和平的工资形成。该办公室的活动受到载有国家调解办公室准则的一项条例</w:t>
      </w:r>
      <w:r>
        <w:rPr>
          <w:rFonts w:hint="eastAsia"/>
          <w:snapToGrid/>
        </w:rPr>
        <w:t>(2000</w:t>
      </w:r>
      <w:r>
        <w:rPr>
          <w:rFonts w:hint="eastAsia"/>
          <w:snapToGrid/>
        </w:rPr>
        <w:t>：</w:t>
      </w:r>
      <w:r>
        <w:rPr>
          <w:rFonts w:hint="eastAsia"/>
          <w:snapToGrid/>
        </w:rPr>
        <w:t>258)</w:t>
      </w:r>
      <w:r>
        <w:rPr>
          <w:rFonts w:hint="eastAsia"/>
          <w:snapToGrid/>
        </w:rPr>
        <w:t>以及《工作共同决策法》</w:t>
      </w:r>
      <w:r>
        <w:rPr>
          <w:rFonts w:hint="eastAsia"/>
          <w:snapToGrid/>
        </w:rPr>
        <w:t>(1976</w:t>
      </w:r>
      <w:r>
        <w:rPr>
          <w:rFonts w:hint="eastAsia"/>
          <w:snapToGrid/>
        </w:rPr>
        <w:t>：</w:t>
      </w:r>
      <w:r>
        <w:rPr>
          <w:rFonts w:hint="eastAsia"/>
          <w:snapToGrid/>
        </w:rPr>
        <w:t>580)</w:t>
      </w:r>
      <w:r>
        <w:rPr>
          <w:rFonts w:hint="eastAsia"/>
          <w:snapToGrid/>
        </w:rPr>
        <w:t>第</w:t>
      </w:r>
      <w:r>
        <w:rPr>
          <w:rFonts w:hint="eastAsia"/>
          <w:snapToGrid/>
        </w:rPr>
        <w:t>46</w:t>
      </w:r>
      <w:r>
        <w:rPr>
          <w:snapToGrid/>
        </w:rPr>
        <w:t>-</w:t>
      </w:r>
      <w:r>
        <w:rPr>
          <w:rFonts w:hint="eastAsia"/>
          <w:snapToGrid/>
        </w:rPr>
        <w:t>49</w:t>
      </w:r>
      <w:r>
        <w:rPr>
          <w:rFonts w:hint="eastAsia"/>
          <w:snapToGrid/>
        </w:rPr>
        <w:t>节、</w:t>
      </w:r>
      <w:r>
        <w:rPr>
          <w:rFonts w:hint="eastAsia"/>
          <w:snapToGrid/>
        </w:rPr>
        <w:t>51</w:t>
      </w:r>
      <w:r>
        <w:rPr>
          <w:snapToGrid/>
        </w:rPr>
        <w:t>-</w:t>
      </w:r>
      <w:r>
        <w:rPr>
          <w:rFonts w:hint="eastAsia"/>
          <w:snapToGrid/>
        </w:rPr>
        <w:t>53</w:t>
      </w:r>
      <w:r>
        <w:rPr>
          <w:rFonts w:hint="eastAsia"/>
          <w:snapToGrid/>
        </w:rPr>
        <w:t>节和</w:t>
      </w:r>
      <w:r>
        <w:rPr>
          <w:rFonts w:hint="eastAsia"/>
          <w:snapToGrid/>
        </w:rPr>
        <w:t>62</w:t>
      </w:r>
      <w:r>
        <w:rPr>
          <w:rFonts w:hint="eastAsia"/>
          <w:snapToGrid/>
        </w:rPr>
        <w:t>节的管辖。早期的行动是促进有效工资形成过程任务的一部分。在其他的工作中，国家调解办公室将召开与各社会行动者的座谈会，或以其他方式搜集即将来临或正在进行的谈判的有关情况，或与各伙伴商讨谈判的国家经济状况。国家调解办公室的分析和信息工作的目的还在于向议会和政府提供工资形成趋势的情况及向公众发布消息。国家调解办公室负责提出工资形成年度报告，而国家经济研究所提出工资形成经济情况的年度报告。</w:t>
      </w:r>
    </w:p>
    <w:p w:rsidR="00000000" w:rsidRDefault="00000000">
      <w:pPr>
        <w:rPr>
          <w:rFonts w:hint="eastAsia"/>
          <w:snapToGrid/>
        </w:rPr>
      </w:pPr>
      <w:r>
        <w:rPr>
          <w:rFonts w:hint="eastAsia"/>
          <w:snapToGrid/>
        </w:rPr>
        <w:tab/>
        <w:t xml:space="preserve">180.  </w:t>
      </w:r>
      <w:r>
        <w:rPr>
          <w:rFonts w:hint="eastAsia"/>
          <w:snapToGrid/>
        </w:rPr>
        <w:t>发布官方工资统计资料的职责，自</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日起从瑞典统计署转交给国家调解办公室。通过了《工作共同决策法》</w:t>
      </w:r>
      <w:r>
        <w:rPr>
          <w:rFonts w:hint="eastAsia"/>
          <w:snapToGrid/>
        </w:rPr>
        <w:t>(1976</w:t>
      </w:r>
      <w:r>
        <w:rPr>
          <w:rFonts w:hint="eastAsia"/>
          <w:snapToGrid/>
        </w:rPr>
        <w:t>：</w:t>
      </w:r>
      <w:r>
        <w:rPr>
          <w:rFonts w:hint="eastAsia"/>
          <w:snapToGrid/>
        </w:rPr>
        <w:t>580)</w:t>
      </w:r>
      <w:r>
        <w:rPr>
          <w:rFonts w:hint="eastAsia"/>
          <w:snapToGrid/>
        </w:rPr>
        <w:t>和《秘密法》</w:t>
      </w:r>
      <w:r>
        <w:rPr>
          <w:rFonts w:hint="eastAsia"/>
          <w:snapToGrid/>
        </w:rPr>
        <w:t>(1980</w:t>
      </w:r>
      <w:r>
        <w:rPr>
          <w:rFonts w:hint="eastAsia"/>
          <w:snapToGrid/>
        </w:rPr>
        <w:t>：</w:t>
      </w:r>
      <w:r>
        <w:rPr>
          <w:rFonts w:hint="eastAsia"/>
          <w:snapToGrid/>
        </w:rPr>
        <w:t>100)</w:t>
      </w:r>
      <w:r>
        <w:rPr>
          <w:rFonts w:hint="eastAsia"/>
          <w:snapToGrid/>
        </w:rPr>
        <w:t>的有关集体谈判和劳工行动规定的某些修正案，自</w:t>
      </w:r>
      <w:r>
        <w:rPr>
          <w:rFonts w:hint="eastAsia"/>
          <w:snapToGrid/>
        </w:rPr>
        <w:t>2001</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起生效。授予国家调解办公室下列权力。经谈判一项集体协议的各方同意，国家调解办公室可以任命一位或数位谈判主导人或调解人。如果存在劳工行动的风险，或劳工行动已经开始，则授权该办公室不经各方同意任命调解人，除非各方受到一项在国家调解办公室登记的，载有调解规则等的指令文件协议的约束。</w:t>
      </w:r>
    </w:p>
    <w:p w:rsidR="00000000" w:rsidRDefault="00000000">
      <w:pPr>
        <w:rPr>
          <w:rFonts w:hint="eastAsia"/>
          <w:snapToGrid/>
        </w:rPr>
      </w:pPr>
      <w:r>
        <w:rPr>
          <w:rFonts w:hint="eastAsia"/>
          <w:snapToGrid/>
        </w:rPr>
        <w:tab/>
        <w:t xml:space="preserve">181.  </w:t>
      </w:r>
      <w:r>
        <w:rPr>
          <w:rFonts w:hint="eastAsia"/>
          <w:snapToGrid/>
        </w:rPr>
        <w:t>在采取一项劳工行动之前的制度性事先通知期从</w:t>
      </w:r>
      <w:r>
        <w:rPr>
          <w:rFonts w:hint="eastAsia"/>
          <w:snapToGrid/>
        </w:rPr>
        <w:t>7</w:t>
      </w:r>
      <w:r>
        <w:rPr>
          <w:rFonts w:hint="eastAsia"/>
          <w:snapToGrid/>
        </w:rPr>
        <w:t>天延长到</w:t>
      </w:r>
      <w:r>
        <w:rPr>
          <w:rFonts w:hint="eastAsia"/>
          <w:snapToGrid/>
        </w:rPr>
        <w:t>7</w:t>
      </w:r>
      <w:r>
        <w:rPr>
          <w:rFonts w:hint="eastAsia"/>
          <w:snapToGrid/>
        </w:rPr>
        <w:t>个工作日。不通知国家调解办公室的一方可能必须向国家支付最少</w:t>
      </w:r>
      <w:r>
        <w:rPr>
          <w:rFonts w:hint="eastAsia"/>
          <w:snapToGrid/>
        </w:rPr>
        <w:t>30,000</w:t>
      </w:r>
      <w:r>
        <w:rPr>
          <w:rFonts w:hint="eastAsia"/>
          <w:snapToGrid/>
        </w:rPr>
        <w:t>瑞典克朗、最多</w:t>
      </w:r>
      <w:r>
        <w:rPr>
          <w:rFonts w:hint="eastAsia"/>
          <w:snapToGrid/>
        </w:rPr>
        <w:t>100,000</w:t>
      </w:r>
      <w:r>
        <w:rPr>
          <w:rFonts w:hint="eastAsia"/>
          <w:snapToGrid/>
        </w:rPr>
        <w:t>瑞典克朗的罚金。如果这样做能促进有利解决一项争议，国家调解办公室可以应调解人的请求，将通知期最多推迟</w:t>
      </w:r>
      <w:r>
        <w:rPr>
          <w:rFonts w:hint="eastAsia"/>
          <w:snapToGrid/>
        </w:rPr>
        <w:t>14</w:t>
      </w:r>
      <w:r>
        <w:rPr>
          <w:rFonts w:hint="eastAsia"/>
          <w:snapToGrid/>
        </w:rPr>
        <w:t>天。对每件调解任务可以发出一次推迟指令。违反办公室指令采取劳工行动的一方可能必须向国家支付一笔最少</w:t>
      </w:r>
      <w:r>
        <w:rPr>
          <w:rFonts w:hint="eastAsia"/>
          <w:snapToGrid/>
        </w:rPr>
        <w:t>300,000</w:t>
      </w:r>
      <w:r>
        <w:rPr>
          <w:rFonts w:hint="eastAsia"/>
          <w:snapToGrid/>
        </w:rPr>
        <w:t>瑞典克朗、最多</w:t>
      </w:r>
      <w:r>
        <w:rPr>
          <w:rFonts w:hint="eastAsia"/>
          <w:snapToGrid/>
        </w:rPr>
        <w:t>1,000,000</w:t>
      </w:r>
      <w:r>
        <w:rPr>
          <w:rFonts w:hint="eastAsia"/>
          <w:snapToGrid/>
        </w:rPr>
        <w:t>瑞典克朗的提高了的罚金。这项更改的目的是为了促进工资形成过程，同时又维持经济平衡，这样使得较高的实际工资能与低就业率和稳定的物价相结合而不限制各社会行动者对于集体协议措词的选择和责任。通过改进了的工资统计法及对工资形成机制更加经常性的分析，劳工成本趋势和对于宏观经济发展的后果更加清楚地提到了显著地位。以这个方式改进投入信息缓和了这样的风险：即劳工市场的各个群体在互相竞争中，会以最终造成每个人收入减少的方式将工资越炒越高。</w:t>
      </w:r>
    </w:p>
    <w:p w:rsidR="00000000" w:rsidRDefault="00000000">
      <w:pPr>
        <w:rPr>
          <w:rFonts w:hint="eastAsia"/>
          <w:snapToGrid/>
        </w:rPr>
      </w:pPr>
      <w:r>
        <w:rPr>
          <w:rFonts w:hint="eastAsia"/>
          <w:snapToGrid/>
        </w:rPr>
        <w:tab/>
        <w:t xml:space="preserve">182.  </w:t>
      </w:r>
      <w:r>
        <w:rPr>
          <w:rFonts w:hint="eastAsia"/>
          <w:snapToGrid/>
        </w:rPr>
        <w:t>对于各社会行动者和国家的职责分工进行了明确。各社会行动者承担工资形成的主要责任，而国家在各社会行动者的工资形成责任之上对经济承担总的责任。这种经济的总责任包括捍卫一切公民在有效的工资形成中的正当利益。对社会行动者和国家的职责分工没有作出任何原则更改。强调了集体协议对指令文件和开始劳工行动进行管制的优点。当无法达成协议时，就以使得走向劳工行动的道路更加艰难以及提供一种更加强有力的冲突解决系统的办法来支援法律。</w:t>
      </w:r>
    </w:p>
    <w:p w:rsidR="00000000" w:rsidRDefault="00000000">
      <w:pPr>
        <w:rPr>
          <w:rFonts w:hint="eastAsia"/>
          <w:snapToGrid/>
        </w:rPr>
      </w:pPr>
      <w:r>
        <w:rPr>
          <w:rFonts w:hint="eastAsia"/>
          <w:snapToGrid/>
        </w:rPr>
        <w:tab/>
        <w:t xml:space="preserve">183.  </w:t>
      </w:r>
      <w:r>
        <w:rPr>
          <w:rFonts w:hint="eastAsia"/>
          <w:snapToGrid/>
        </w:rPr>
        <w:t>此外，制定了一条规则，即雇员不得采取或参加其目的是与一家无雇员或其仅有的雇员是该公司唯一的一名或数名业主或其家庭成员的公司达成一项集体协议的劳工行动。同样的规则适用于一次劳工行动是为了支持打算与一家此种公司达成一项集体协议的人的场合。这个做法并不阻止一名雇员参加以此种公司为目标而且已经由工会经过适当程序解决了的就业封锁。</w:t>
      </w:r>
    </w:p>
    <w:p w:rsidR="00000000" w:rsidRDefault="00000000">
      <w:pPr>
        <w:spacing w:after="240"/>
        <w:rPr>
          <w:rFonts w:hint="eastAsia"/>
          <w:snapToGrid/>
        </w:rPr>
      </w:pPr>
      <w:r>
        <w:rPr>
          <w:rFonts w:hint="eastAsia"/>
          <w:snapToGrid/>
        </w:rPr>
        <w:tab/>
        <w:t xml:space="preserve">184.  </w:t>
      </w:r>
      <w:r>
        <w:rPr>
          <w:rFonts w:hint="eastAsia"/>
          <w:snapToGrid/>
        </w:rPr>
        <w:t>《工作共同决策法》第</w:t>
      </w:r>
      <w:r>
        <w:rPr>
          <w:rFonts w:hint="eastAsia"/>
          <w:snapToGrid/>
        </w:rPr>
        <w:t>4</w:t>
      </w:r>
      <w:r>
        <w:rPr>
          <w:rFonts w:hint="eastAsia"/>
          <w:snapToGrid/>
        </w:rPr>
        <w:t>节进一步申明，集体协议可以规定比第</w:t>
      </w:r>
      <w:r>
        <w:rPr>
          <w:rFonts w:hint="eastAsia"/>
          <w:snapToGrid/>
        </w:rPr>
        <w:t>41</w:t>
      </w:r>
      <w:r>
        <w:rPr>
          <w:rFonts w:hint="eastAsia"/>
          <w:snapToGrid/>
        </w:rPr>
        <w:t>节、第</w:t>
      </w:r>
      <w:r>
        <w:rPr>
          <w:rFonts w:hint="eastAsia"/>
          <w:snapToGrid/>
        </w:rPr>
        <w:t>41a</w:t>
      </w:r>
      <w:r>
        <w:rPr>
          <w:rFonts w:hint="eastAsia"/>
          <w:snapToGrid/>
        </w:rPr>
        <w:t>节、第</w:t>
      </w:r>
      <w:r>
        <w:rPr>
          <w:rFonts w:hint="eastAsia"/>
          <w:snapToGrid/>
        </w:rPr>
        <w:t>41b</w:t>
      </w:r>
      <w:r>
        <w:rPr>
          <w:rFonts w:hint="eastAsia"/>
          <w:snapToGrid/>
        </w:rPr>
        <w:t>节和第</w:t>
      </w:r>
      <w:r>
        <w:rPr>
          <w:rFonts w:hint="eastAsia"/>
          <w:snapToGrid/>
        </w:rPr>
        <w:t>44</w:t>
      </w:r>
      <w:r>
        <w:rPr>
          <w:rFonts w:hint="eastAsia"/>
          <w:snapToGrid/>
        </w:rPr>
        <w:t>节所规定的更加广泛的劳工稳定义务，以及比该法令规定的更加广泛的赔偿义务。</w:t>
      </w:r>
    </w:p>
    <w:p w:rsidR="00000000" w:rsidRDefault="00000000">
      <w:pPr>
        <w:pStyle w:val="Heading4"/>
        <w:rPr>
          <w:rFonts w:hint="eastAsia"/>
        </w:rPr>
      </w:pPr>
      <w:r>
        <w:rPr>
          <w:rFonts w:hint="eastAsia"/>
        </w:rPr>
        <w:t>统计数字</w:t>
      </w:r>
    </w:p>
    <w:p w:rsidR="00000000" w:rsidRDefault="00000000">
      <w:pPr>
        <w:rPr>
          <w:rFonts w:hint="eastAsia"/>
          <w:snapToGrid/>
        </w:rPr>
      </w:pPr>
      <w:r>
        <w:rPr>
          <w:rFonts w:hint="eastAsia"/>
          <w:snapToGrid/>
        </w:rPr>
        <w:tab/>
      </w:r>
      <w:r>
        <w:rPr>
          <w:rFonts w:hint="eastAsia"/>
          <w:snapToGrid/>
        </w:rPr>
        <w:t>指令调解的争议数字见表格</w:t>
      </w:r>
      <w:r>
        <w:rPr>
          <w:rFonts w:hint="eastAsia"/>
          <w:snapToGrid/>
        </w:rPr>
        <w:t>8.1</w:t>
      </w:r>
      <w:r>
        <w:rPr>
          <w:rFonts w:hint="eastAsia"/>
          <w:snapToGrid/>
        </w:rPr>
        <w:t>。</w:t>
      </w:r>
    </w:p>
    <w:p w:rsidR="00000000" w:rsidRDefault="00000000">
      <w:pPr>
        <w:spacing w:after="320"/>
        <w:rPr>
          <w:rFonts w:hint="eastAsia"/>
          <w:snapToGrid/>
        </w:rPr>
      </w:pPr>
      <w:r>
        <w:rPr>
          <w:rFonts w:hint="eastAsia"/>
          <w:snapToGrid/>
        </w:rPr>
        <w:tab/>
        <w:t xml:space="preserve">185.  </w:t>
      </w:r>
      <w:r>
        <w:rPr>
          <w:rFonts w:hint="eastAsia"/>
          <w:snapToGrid/>
        </w:rPr>
        <w:t>表格</w:t>
      </w:r>
      <w:r>
        <w:rPr>
          <w:rFonts w:hint="eastAsia"/>
          <w:snapToGrid/>
        </w:rPr>
        <w:t>8.2</w:t>
      </w:r>
      <w:r>
        <w:rPr>
          <w:rFonts w:hint="eastAsia"/>
          <w:snapToGrid/>
        </w:rPr>
        <w:t>表明不经伙伴们同意而指令调解的争议数字，这种做法只发生在例外的情况。国家调解办公室从来不在评估阶段的任何时候任命一名谈判主导人。国家调解办公室认为，这是因为伙伴们没有要求谈判主导人，而只是要求调解人。这样做的一个原因自然可能是利用谈判主导人是一种实际上还没有试用过的工具，国家调解办公室还没有在任何明显程度上促进过任命谈判主导人。国家调解办公室决定只在两种场合推迟发出通知的劳工冲突，其一就是在评估期间。</w:t>
      </w:r>
    </w:p>
    <w:p w:rsidR="00000000" w:rsidRDefault="00000000">
      <w:pPr>
        <w:pStyle w:val="Heading3"/>
        <w:spacing w:after="240"/>
        <w:rPr>
          <w:rFonts w:ascii="Time New Roman" w:eastAsia="SimHei" w:hAnsi="Time New Roman"/>
          <w:u w:val="none"/>
        </w:rPr>
      </w:pPr>
      <w:r>
        <w:rPr>
          <w:rFonts w:ascii="Time New Roman" w:eastAsia="SimHei" w:hAnsi="Time New Roman" w:hint="eastAsia"/>
          <w:u w:val="none"/>
        </w:rPr>
        <w:t>表</w:t>
      </w:r>
      <w:r>
        <w:rPr>
          <w:rFonts w:ascii="Time New Roman" w:eastAsia="SimHei" w:hAnsi="Time New Roman" w:hint="eastAsia"/>
          <w:b/>
          <w:u w:val="none"/>
        </w:rPr>
        <w:t>8</w:t>
      </w:r>
      <w:r>
        <w:rPr>
          <w:rFonts w:ascii="Time New Roman" w:eastAsia="SimHei" w:hAnsi="Time New Roman" w:hint="eastAsia"/>
          <w:b/>
          <w:u w:val="none"/>
        </w:rPr>
        <w:t>：</w:t>
      </w:r>
      <w:r>
        <w:rPr>
          <w:rFonts w:ascii="Time New Roman" w:eastAsia="SimHei" w:hAnsi="Time New Roman" w:hint="eastAsia"/>
          <w:b/>
          <w:u w:val="none"/>
        </w:rPr>
        <w:t>1</w:t>
      </w:r>
    </w:p>
    <w:p w:rsidR="00000000" w:rsidRDefault="00000000">
      <w:pPr>
        <w:pStyle w:val="Heading3"/>
        <w:rPr>
          <w:rFonts w:hint="eastAsia"/>
        </w:rPr>
      </w:pPr>
      <w:r>
        <w:rPr>
          <w:rFonts w:ascii="Time New Roman" w:eastAsia="SimHei" w:hAnsi="Time New Roman" w:hint="eastAsia"/>
          <w:u w:val="none"/>
        </w:rPr>
        <w:t>指令调解的争议以及在这些争议中提交行动通知的数字</w:t>
      </w:r>
    </w:p>
    <w:tbl>
      <w:tblPr>
        <w:tblW w:w="5000" w:type="pct"/>
        <w:tblCellMar>
          <w:left w:w="28" w:type="dxa"/>
          <w:right w:w="28" w:type="dxa"/>
        </w:tblCellMar>
        <w:tblLook w:val="0000" w:firstRow="0" w:lastRow="0" w:firstColumn="0" w:lastColumn="0" w:noHBand="0" w:noVBand="0"/>
      </w:tblPr>
      <w:tblGrid>
        <w:gridCol w:w="868"/>
        <w:gridCol w:w="1786"/>
        <w:gridCol w:w="2467"/>
        <w:gridCol w:w="2467"/>
        <w:gridCol w:w="1822"/>
      </w:tblGrid>
      <w:tr w:rsidR="00000000">
        <w:tblPrEx>
          <w:tblCellMar>
            <w:top w:w="0" w:type="dxa"/>
            <w:bottom w:w="0" w:type="dxa"/>
          </w:tblCellMar>
        </w:tblPrEx>
        <w:tc>
          <w:tcPr>
            <w:tcW w:w="461" w:type="pct"/>
            <w:tcBorders>
              <w:top w:val="single" w:sz="4" w:space="0" w:color="auto"/>
              <w:bottom w:val="single" w:sz="4" w:space="0" w:color="auto"/>
            </w:tcBorders>
            <w:vAlign w:val="center"/>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年</w:t>
            </w:r>
            <w:r>
              <w:rPr>
                <w:rFonts w:ascii="Time New Roman" w:eastAsia="SimHei" w:hAnsi="Time New Roman" w:hint="eastAsia"/>
                <w:snapToGrid/>
              </w:rPr>
              <w:t xml:space="preserve"> </w:t>
            </w:r>
            <w:r>
              <w:rPr>
                <w:rFonts w:ascii="Time New Roman" w:eastAsia="SimHei" w:hAnsi="Time New Roman" w:hint="eastAsia"/>
                <w:snapToGrid/>
              </w:rPr>
              <w:t>份</w:t>
            </w:r>
          </w:p>
        </w:tc>
        <w:tc>
          <w:tcPr>
            <w:tcW w:w="949" w:type="pct"/>
            <w:tcBorders>
              <w:top w:val="single" w:sz="4" w:space="0" w:color="auto"/>
              <w:bottom w:val="single" w:sz="4" w:space="0" w:color="auto"/>
            </w:tcBorders>
            <w:vAlign w:val="center"/>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指令调解的争议数</w:t>
            </w:r>
          </w:p>
        </w:tc>
        <w:tc>
          <w:tcPr>
            <w:tcW w:w="1311" w:type="pct"/>
            <w:tcBorders>
              <w:top w:val="single" w:sz="4" w:space="0" w:color="auto"/>
              <w:bottom w:val="single" w:sz="4" w:space="0" w:color="auto"/>
            </w:tcBorders>
            <w:vAlign w:val="center"/>
          </w:tcPr>
          <w:p w:rsidR="00000000" w:rsidRDefault="00000000">
            <w:pPr>
              <w:pStyle w:val="ac"/>
              <w:spacing w:before="60" w:after="40" w:line="240" w:lineRule="auto"/>
              <w:jc w:val="center"/>
              <w:rPr>
                <w:rFonts w:ascii="Time New Roman" w:eastAsia="SimHei" w:hAnsi="Time New Roman" w:hint="eastAsia"/>
              </w:rPr>
            </w:pPr>
            <w:r>
              <w:rPr>
                <w:rFonts w:ascii="Time New Roman" w:eastAsia="SimHei" w:hAnsi="Time New Roman" w:hint="eastAsia"/>
                <w:snapToGrid/>
              </w:rPr>
              <w:t>在指令调解的争议中</w:t>
            </w:r>
            <w:r>
              <w:rPr>
                <w:rFonts w:ascii="Time New Roman" w:eastAsia="SimHei" w:hAnsi="Time New Roman"/>
                <w:snapToGrid/>
              </w:rPr>
              <w:br/>
            </w:r>
            <w:r>
              <w:rPr>
                <w:rFonts w:ascii="Time New Roman" w:eastAsia="SimHei" w:hAnsi="Time New Roman" w:hint="eastAsia"/>
                <w:snapToGrid/>
              </w:rPr>
              <w:t>提交的劳工行动通知数</w:t>
            </w:r>
          </w:p>
        </w:tc>
        <w:tc>
          <w:tcPr>
            <w:tcW w:w="1311" w:type="pct"/>
            <w:tcBorders>
              <w:top w:val="single" w:sz="4" w:space="0" w:color="auto"/>
              <w:bottom w:val="single" w:sz="4" w:space="0" w:color="auto"/>
            </w:tcBorders>
            <w:vAlign w:val="center"/>
          </w:tcPr>
          <w:p w:rsidR="00000000" w:rsidRDefault="00000000">
            <w:pPr>
              <w:pStyle w:val="ac"/>
              <w:spacing w:before="60" w:after="40" w:line="240" w:lineRule="auto"/>
              <w:jc w:val="center"/>
              <w:rPr>
                <w:rFonts w:ascii="Time New Roman" w:eastAsia="SimHei" w:hAnsi="Time New Roman" w:hint="eastAsia"/>
              </w:rPr>
            </w:pPr>
            <w:r>
              <w:rPr>
                <w:rFonts w:ascii="Time New Roman" w:eastAsia="SimHei" w:hAnsi="Time New Roman" w:hint="eastAsia"/>
                <w:snapToGrid/>
              </w:rPr>
              <w:t>在指令调解的争议中</w:t>
            </w:r>
            <w:r>
              <w:rPr>
                <w:rFonts w:ascii="Time New Roman" w:eastAsia="SimHei" w:hAnsi="Time New Roman"/>
                <w:snapToGrid/>
              </w:rPr>
              <w:br/>
            </w:r>
            <w:r>
              <w:rPr>
                <w:rFonts w:ascii="Time New Roman" w:eastAsia="SimHei" w:hAnsi="Time New Roman" w:hint="eastAsia"/>
                <w:snapToGrid/>
              </w:rPr>
              <w:t>实施的经通知的行动数</w:t>
            </w:r>
          </w:p>
        </w:tc>
        <w:tc>
          <w:tcPr>
            <w:tcW w:w="968" w:type="pct"/>
            <w:tcBorders>
              <w:top w:val="single" w:sz="4" w:space="0" w:color="auto"/>
              <w:bottom w:val="single" w:sz="4" w:space="0" w:color="auto"/>
            </w:tcBorders>
            <w:vAlign w:val="center"/>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损失的工作日</w:t>
            </w:r>
          </w:p>
        </w:tc>
      </w:tr>
      <w:tr w:rsidR="00000000">
        <w:tblPrEx>
          <w:tblCellMar>
            <w:top w:w="0" w:type="dxa"/>
            <w:bottom w:w="0" w:type="dxa"/>
          </w:tblCellMar>
        </w:tblPrEx>
        <w:tc>
          <w:tcPr>
            <w:tcW w:w="461" w:type="pct"/>
            <w:tcBorders>
              <w:top w:val="single" w:sz="4" w:space="0" w:color="auto"/>
            </w:tcBorders>
          </w:tcPr>
          <w:p w:rsidR="00000000" w:rsidRDefault="00000000">
            <w:pPr>
              <w:pStyle w:val="ac"/>
              <w:ind w:left="113"/>
              <w:rPr>
                <w:rFonts w:hint="eastAsia"/>
                <w:snapToGrid/>
              </w:rPr>
            </w:pPr>
            <w:r>
              <w:rPr>
                <w:rFonts w:hint="eastAsia"/>
                <w:snapToGrid/>
              </w:rPr>
              <w:t>2001</w:t>
            </w:r>
          </w:p>
        </w:tc>
        <w:tc>
          <w:tcPr>
            <w:tcW w:w="949" w:type="pct"/>
            <w:tcBorders>
              <w:top w:val="single" w:sz="4" w:space="0" w:color="auto"/>
            </w:tcBorders>
          </w:tcPr>
          <w:p w:rsidR="00000000" w:rsidRDefault="00000000">
            <w:pPr>
              <w:pStyle w:val="ac"/>
              <w:tabs>
                <w:tab w:val="decimal" w:pos="1127"/>
              </w:tabs>
              <w:rPr>
                <w:rFonts w:hint="eastAsia"/>
                <w:snapToGrid/>
              </w:rPr>
            </w:pPr>
            <w:r>
              <w:rPr>
                <w:rFonts w:hint="eastAsia"/>
                <w:snapToGrid/>
              </w:rPr>
              <w:t>20</w:t>
            </w:r>
          </w:p>
        </w:tc>
        <w:tc>
          <w:tcPr>
            <w:tcW w:w="1311" w:type="pct"/>
            <w:tcBorders>
              <w:top w:val="single" w:sz="4" w:space="0" w:color="auto"/>
            </w:tcBorders>
          </w:tcPr>
          <w:p w:rsidR="00000000" w:rsidRDefault="00000000">
            <w:pPr>
              <w:pStyle w:val="ac"/>
              <w:tabs>
                <w:tab w:val="decimal" w:pos="1127"/>
              </w:tabs>
              <w:rPr>
                <w:rFonts w:hint="eastAsia"/>
                <w:snapToGrid/>
              </w:rPr>
            </w:pPr>
            <w:r>
              <w:rPr>
                <w:rFonts w:hint="eastAsia"/>
                <w:snapToGrid/>
              </w:rPr>
              <w:t>14</w:t>
            </w:r>
          </w:p>
        </w:tc>
        <w:tc>
          <w:tcPr>
            <w:tcW w:w="1311" w:type="pct"/>
            <w:tcBorders>
              <w:top w:val="single" w:sz="4" w:space="0" w:color="auto"/>
            </w:tcBorders>
          </w:tcPr>
          <w:p w:rsidR="00000000" w:rsidRDefault="00000000">
            <w:pPr>
              <w:pStyle w:val="ac"/>
              <w:tabs>
                <w:tab w:val="decimal" w:pos="1127"/>
              </w:tabs>
              <w:rPr>
                <w:rFonts w:hint="eastAsia"/>
                <w:snapToGrid/>
              </w:rPr>
            </w:pPr>
            <w:r>
              <w:rPr>
                <w:rFonts w:hint="eastAsia"/>
                <w:snapToGrid/>
              </w:rPr>
              <w:t>5</w:t>
            </w:r>
          </w:p>
        </w:tc>
        <w:tc>
          <w:tcPr>
            <w:tcW w:w="968" w:type="pct"/>
            <w:tcBorders>
              <w:top w:val="single" w:sz="4" w:space="0" w:color="auto"/>
            </w:tcBorders>
          </w:tcPr>
          <w:p w:rsidR="00000000" w:rsidRDefault="00000000">
            <w:pPr>
              <w:pStyle w:val="ac"/>
              <w:tabs>
                <w:tab w:val="decimal" w:pos="1232"/>
              </w:tabs>
              <w:rPr>
                <w:rFonts w:hint="eastAsia"/>
                <w:snapToGrid/>
              </w:rPr>
            </w:pPr>
            <w:r>
              <w:rPr>
                <w:rFonts w:hint="eastAsia"/>
                <w:snapToGrid/>
              </w:rPr>
              <w:t>11,098</w:t>
            </w:r>
          </w:p>
        </w:tc>
      </w:tr>
      <w:tr w:rsidR="00000000">
        <w:tblPrEx>
          <w:tblCellMar>
            <w:top w:w="0" w:type="dxa"/>
            <w:bottom w:w="0" w:type="dxa"/>
          </w:tblCellMar>
        </w:tblPrEx>
        <w:tc>
          <w:tcPr>
            <w:tcW w:w="461" w:type="pct"/>
          </w:tcPr>
          <w:p w:rsidR="00000000" w:rsidRDefault="00000000">
            <w:pPr>
              <w:pStyle w:val="ac"/>
              <w:ind w:left="113"/>
              <w:rPr>
                <w:rFonts w:hint="eastAsia"/>
                <w:snapToGrid/>
              </w:rPr>
            </w:pPr>
            <w:r>
              <w:rPr>
                <w:rFonts w:hint="eastAsia"/>
                <w:snapToGrid/>
              </w:rPr>
              <w:t>2002</w:t>
            </w:r>
          </w:p>
        </w:tc>
        <w:tc>
          <w:tcPr>
            <w:tcW w:w="949" w:type="pct"/>
          </w:tcPr>
          <w:p w:rsidR="00000000" w:rsidRDefault="00000000">
            <w:pPr>
              <w:pStyle w:val="ac"/>
              <w:tabs>
                <w:tab w:val="decimal" w:pos="1127"/>
              </w:tabs>
              <w:rPr>
                <w:rFonts w:hint="eastAsia"/>
                <w:snapToGrid/>
              </w:rPr>
            </w:pPr>
            <w:r>
              <w:rPr>
                <w:rFonts w:hint="eastAsia"/>
                <w:snapToGrid/>
              </w:rPr>
              <w:t>6</w:t>
            </w:r>
          </w:p>
        </w:tc>
        <w:tc>
          <w:tcPr>
            <w:tcW w:w="1311" w:type="pct"/>
          </w:tcPr>
          <w:p w:rsidR="00000000" w:rsidRDefault="00000000">
            <w:pPr>
              <w:pStyle w:val="ac"/>
              <w:tabs>
                <w:tab w:val="decimal" w:pos="1127"/>
              </w:tabs>
              <w:rPr>
                <w:rFonts w:hint="eastAsia"/>
                <w:snapToGrid/>
              </w:rPr>
            </w:pPr>
            <w:r>
              <w:rPr>
                <w:rFonts w:hint="eastAsia"/>
                <w:snapToGrid/>
              </w:rPr>
              <w:t>6</w:t>
            </w:r>
          </w:p>
        </w:tc>
        <w:tc>
          <w:tcPr>
            <w:tcW w:w="1311" w:type="pct"/>
          </w:tcPr>
          <w:p w:rsidR="00000000" w:rsidRDefault="00000000">
            <w:pPr>
              <w:pStyle w:val="ac"/>
              <w:tabs>
                <w:tab w:val="decimal" w:pos="1127"/>
              </w:tabs>
              <w:rPr>
                <w:rFonts w:hint="eastAsia"/>
                <w:snapToGrid/>
              </w:rPr>
            </w:pPr>
            <w:r>
              <w:rPr>
                <w:rFonts w:hint="eastAsia"/>
                <w:snapToGrid/>
              </w:rPr>
              <w:t>2</w:t>
            </w:r>
          </w:p>
        </w:tc>
        <w:tc>
          <w:tcPr>
            <w:tcW w:w="968" w:type="pct"/>
          </w:tcPr>
          <w:p w:rsidR="00000000" w:rsidRDefault="00000000">
            <w:pPr>
              <w:pStyle w:val="ac"/>
              <w:tabs>
                <w:tab w:val="decimal" w:pos="1232"/>
              </w:tabs>
              <w:rPr>
                <w:rFonts w:hint="eastAsia"/>
                <w:snapToGrid/>
              </w:rPr>
            </w:pPr>
            <w:r>
              <w:rPr>
                <w:rFonts w:hint="eastAsia"/>
                <w:snapToGrid/>
              </w:rPr>
              <w:t>838</w:t>
            </w:r>
          </w:p>
        </w:tc>
      </w:tr>
      <w:tr w:rsidR="00000000">
        <w:tblPrEx>
          <w:tblCellMar>
            <w:top w:w="0" w:type="dxa"/>
            <w:bottom w:w="0" w:type="dxa"/>
          </w:tblCellMar>
        </w:tblPrEx>
        <w:tc>
          <w:tcPr>
            <w:tcW w:w="461" w:type="pct"/>
          </w:tcPr>
          <w:p w:rsidR="00000000" w:rsidRDefault="00000000">
            <w:pPr>
              <w:pStyle w:val="ac"/>
              <w:ind w:left="113"/>
              <w:rPr>
                <w:rFonts w:hint="eastAsia"/>
                <w:snapToGrid/>
              </w:rPr>
            </w:pPr>
            <w:r>
              <w:rPr>
                <w:rFonts w:hint="eastAsia"/>
                <w:snapToGrid/>
              </w:rPr>
              <w:t>2003</w:t>
            </w:r>
          </w:p>
        </w:tc>
        <w:tc>
          <w:tcPr>
            <w:tcW w:w="949" w:type="pct"/>
          </w:tcPr>
          <w:p w:rsidR="00000000" w:rsidRDefault="00000000">
            <w:pPr>
              <w:pStyle w:val="ac"/>
              <w:tabs>
                <w:tab w:val="decimal" w:pos="1127"/>
              </w:tabs>
              <w:rPr>
                <w:rFonts w:hint="eastAsia"/>
                <w:snapToGrid/>
              </w:rPr>
            </w:pPr>
            <w:r>
              <w:rPr>
                <w:rFonts w:hint="eastAsia"/>
                <w:snapToGrid/>
              </w:rPr>
              <w:t>6</w:t>
            </w:r>
          </w:p>
        </w:tc>
        <w:tc>
          <w:tcPr>
            <w:tcW w:w="1311" w:type="pct"/>
          </w:tcPr>
          <w:p w:rsidR="00000000" w:rsidRDefault="00000000">
            <w:pPr>
              <w:pStyle w:val="ac"/>
              <w:tabs>
                <w:tab w:val="decimal" w:pos="1127"/>
              </w:tabs>
              <w:rPr>
                <w:rFonts w:hint="eastAsia"/>
                <w:snapToGrid/>
              </w:rPr>
            </w:pPr>
            <w:r>
              <w:rPr>
                <w:rFonts w:hint="eastAsia"/>
                <w:snapToGrid/>
              </w:rPr>
              <w:t>3</w:t>
            </w:r>
          </w:p>
        </w:tc>
        <w:tc>
          <w:tcPr>
            <w:tcW w:w="1311" w:type="pct"/>
          </w:tcPr>
          <w:p w:rsidR="00000000" w:rsidRDefault="00000000">
            <w:pPr>
              <w:pStyle w:val="ac"/>
              <w:tabs>
                <w:tab w:val="decimal" w:pos="1127"/>
              </w:tabs>
              <w:rPr>
                <w:rFonts w:hint="eastAsia"/>
                <w:snapToGrid/>
              </w:rPr>
            </w:pPr>
            <w:r>
              <w:rPr>
                <w:rFonts w:hint="eastAsia"/>
                <w:snapToGrid/>
              </w:rPr>
              <w:t>1</w:t>
            </w:r>
          </w:p>
        </w:tc>
        <w:tc>
          <w:tcPr>
            <w:tcW w:w="968" w:type="pct"/>
          </w:tcPr>
          <w:p w:rsidR="00000000" w:rsidRDefault="00000000">
            <w:pPr>
              <w:pStyle w:val="ac"/>
              <w:tabs>
                <w:tab w:val="decimal" w:pos="1232"/>
              </w:tabs>
              <w:rPr>
                <w:rFonts w:hint="eastAsia"/>
                <w:snapToGrid/>
              </w:rPr>
            </w:pPr>
            <w:r>
              <w:rPr>
                <w:rFonts w:hint="eastAsia"/>
                <w:snapToGrid/>
              </w:rPr>
              <w:t>627,541</w:t>
            </w:r>
          </w:p>
        </w:tc>
      </w:tr>
      <w:tr w:rsidR="00000000">
        <w:tblPrEx>
          <w:tblCellMar>
            <w:top w:w="0" w:type="dxa"/>
            <w:bottom w:w="0" w:type="dxa"/>
          </w:tblCellMar>
        </w:tblPrEx>
        <w:tc>
          <w:tcPr>
            <w:tcW w:w="461" w:type="pct"/>
            <w:tcBorders>
              <w:bottom w:val="single" w:sz="4" w:space="0" w:color="auto"/>
            </w:tcBorders>
          </w:tcPr>
          <w:p w:rsidR="00000000" w:rsidRDefault="00000000">
            <w:pPr>
              <w:pStyle w:val="ac"/>
              <w:ind w:left="113"/>
              <w:rPr>
                <w:rFonts w:hint="eastAsia"/>
                <w:snapToGrid/>
              </w:rPr>
            </w:pPr>
            <w:r>
              <w:rPr>
                <w:rFonts w:hint="eastAsia"/>
                <w:snapToGrid/>
              </w:rPr>
              <w:t>2004</w:t>
            </w:r>
          </w:p>
        </w:tc>
        <w:tc>
          <w:tcPr>
            <w:tcW w:w="949" w:type="pct"/>
            <w:tcBorders>
              <w:bottom w:val="single" w:sz="4" w:space="0" w:color="auto"/>
            </w:tcBorders>
          </w:tcPr>
          <w:p w:rsidR="00000000" w:rsidRDefault="00000000">
            <w:pPr>
              <w:pStyle w:val="ac"/>
              <w:tabs>
                <w:tab w:val="decimal" w:pos="1127"/>
              </w:tabs>
              <w:rPr>
                <w:rFonts w:hint="eastAsia"/>
                <w:snapToGrid/>
              </w:rPr>
            </w:pPr>
            <w:r>
              <w:rPr>
                <w:rFonts w:hint="eastAsia"/>
                <w:snapToGrid/>
              </w:rPr>
              <w:t>24</w:t>
            </w:r>
          </w:p>
        </w:tc>
        <w:tc>
          <w:tcPr>
            <w:tcW w:w="1311" w:type="pct"/>
            <w:tcBorders>
              <w:bottom w:val="single" w:sz="4" w:space="0" w:color="auto"/>
            </w:tcBorders>
          </w:tcPr>
          <w:p w:rsidR="00000000" w:rsidRDefault="00000000">
            <w:pPr>
              <w:pStyle w:val="ac"/>
              <w:tabs>
                <w:tab w:val="decimal" w:pos="1127"/>
              </w:tabs>
              <w:rPr>
                <w:rFonts w:hint="eastAsia"/>
                <w:snapToGrid/>
              </w:rPr>
            </w:pPr>
            <w:r>
              <w:rPr>
                <w:rFonts w:hint="eastAsia"/>
                <w:snapToGrid/>
              </w:rPr>
              <w:t>15</w:t>
            </w:r>
          </w:p>
        </w:tc>
        <w:tc>
          <w:tcPr>
            <w:tcW w:w="1311" w:type="pct"/>
            <w:tcBorders>
              <w:bottom w:val="single" w:sz="4" w:space="0" w:color="auto"/>
            </w:tcBorders>
          </w:tcPr>
          <w:p w:rsidR="00000000" w:rsidRDefault="00000000">
            <w:pPr>
              <w:pStyle w:val="ac"/>
              <w:tabs>
                <w:tab w:val="decimal" w:pos="1127"/>
              </w:tabs>
              <w:rPr>
                <w:rFonts w:hint="eastAsia"/>
                <w:snapToGrid/>
              </w:rPr>
            </w:pPr>
            <w:r>
              <w:rPr>
                <w:rFonts w:hint="eastAsia"/>
                <w:snapToGrid/>
              </w:rPr>
              <w:t>4</w:t>
            </w:r>
          </w:p>
        </w:tc>
        <w:tc>
          <w:tcPr>
            <w:tcW w:w="968" w:type="pct"/>
            <w:tcBorders>
              <w:bottom w:val="single" w:sz="4" w:space="0" w:color="auto"/>
            </w:tcBorders>
          </w:tcPr>
          <w:p w:rsidR="00000000" w:rsidRDefault="00000000">
            <w:pPr>
              <w:pStyle w:val="ac"/>
              <w:tabs>
                <w:tab w:val="decimal" w:pos="1232"/>
              </w:tabs>
              <w:rPr>
                <w:rFonts w:hint="eastAsia"/>
                <w:snapToGrid/>
              </w:rPr>
            </w:pPr>
            <w:r>
              <w:rPr>
                <w:rFonts w:hint="eastAsia"/>
                <w:snapToGrid/>
              </w:rPr>
              <w:t>15,282</w:t>
            </w:r>
          </w:p>
        </w:tc>
      </w:tr>
      <w:tr w:rsidR="00000000">
        <w:tblPrEx>
          <w:tblCellMar>
            <w:top w:w="0" w:type="dxa"/>
            <w:bottom w:w="0" w:type="dxa"/>
          </w:tblCellMar>
        </w:tblPrEx>
        <w:trPr>
          <w:cantSplit/>
        </w:trPr>
        <w:tc>
          <w:tcPr>
            <w:tcW w:w="5000" w:type="pct"/>
            <w:gridSpan w:val="5"/>
            <w:tcBorders>
              <w:top w:val="single" w:sz="4" w:space="0" w:color="auto"/>
              <w:bottom w:val="single" w:sz="4" w:space="0" w:color="auto"/>
            </w:tcBorders>
          </w:tcPr>
          <w:p w:rsidR="00000000" w:rsidRDefault="00000000">
            <w:pPr>
              <w:pStyle w:val="ac"/>
              <w:spacing w:before="120" w:after="120"/>
              <w:ind w:left="113"/>
              <w:rPr>
                <w:rFonts w:hint="eastAsia"/>
                <w:snapToGrid/>
              </w:rPr>
            </w:pPr>
            <w:r>
              <w:rPr>
                <w:rFonts w:eastAsia="KaiTi_GB2312" w:hint="eastAsia"/>
                <w:snapToGrid/>
                <w:sz w:val="20"/>
                <w:u w:val="single"/>
              </w:rPr>
              <w:t>来源</w:t>
            </w:r>
            <w:r>
              <w:rPr>
                <w:rFonts w:eastAsia="KaiTi_GB2312" w:hint="eastAsia"/>
                <w:snapToGrid/>
                <w:sz w:val="20"/>
              </w:rPr>
              <w:t>：国家调解办公室</w:t>
            </w:r>
          </w:p>
        </w:tc>
      </w:tr>
    </w:tbl>
    <w:p w:rsidR="00000000" w:rsidRDefault="00000000">
      <w:pPr>
        <w:spacing w:after="240"/>
        <w:rPr>
          <w:rFonts w:hint="eastAsia"/>
        </w:rPr>
      </w:pPr>
    </w:p>
    <w:p w:rsidR="00000000" w:rsidRDefault="00000000">
      <w:pPr>
        <w:pStyle w:val="Heading3"/>
        <w:rPr>
          <w:rFonts w:ascii="Time New Roman" w:eastAsia="SimHei" w:hAnsi="Time New Roman"/>
          <w:u w:val="none"/>
        </w:rPr>
      </w:pPr>
      <w:r>
        <w:rPr>
          <w:rFonts w:ascii="Time New Roman" w:eastAsia="SimHei" w:hAnsi="Time New Roman" w:hint="eastAsia"/>
          <w:u w:val="none"/>
        </w:rPr>
        <w:t>表</w:t>
      </w:r>
      <w:r>
        <w:rPr>
          <w:rFonts w:ascii="Time New Roman" w:eastAsia="SimHei" w:hAnsi="Time New Roman" w:hint="eastAsia"/>
          <w:b/>
          <w:u w:val="none"/>
        </w:rPr>
        <w:t>8</w:t>
      </w:r>
      <w:r>
        <w:rPr>
          <w:rFonts w:ascii="Time New Roman" w:eastAsia="SimHei" w:hAnsi="Time New Roman" w:hint="eastAsia"/>
          <w:b/>
          <w:u w:val="none"/>
        </w:rPr>
        <w:t>：</w:t>
      </w:r>
      <w:r>
        <w:rPr>
          <w:rFonts w:ascii="Time New Roman" w:eastAsia="SimHei" w:hAnsi="Time New Roman" w:hint="eastAsia"/>
          <w:b/>
          <w:u w:val="none"/>
        </w:rPr>
        <w:t>2</w:t>
      </w:r>
    </w:p>
    <w:tbl>
      <w:tblPr>
        <w:tblW w:w="0" w:type="auto"/>
        <w:jc w:val="center"/>
        <w:tblInd w:w="-410" w:type="dxa"/>
        <w:tblCellMar>
          <w:left w:w="28" w:type="dxa"/>
          <w:right w:w="28" w:type="dxa"/>
        </w:tblCellMar>
        <w:tblLook w:val="0000" w:firstRow="0" w:lastRow="0" w:firstColumn="0" w:lastColumn="0" w:noHBand="0" w:noVBand="0"/>
      </w:tblPr>
      <w:tblGrid>
        <w:gridCol w:w="1278"/>
        <w:gridCol w:w="1877"/>
        <w:gridCol w:w="2638"/>
      </w:tblGrid>
      <w:tr w:rsidR="00000000">
        <w:tblPrEx>
          <w:tblCellMar>
            <w:top w:w="0" w:type="dxa"/>
            <w:bottom w:w="0" w:type="dxa"/>
          </w:tblCellMar>
        </w:tblPrEx>
        <w:trPr>
          <w:jc w:val="center"/>
        </w:trPr>
        <w:tc>
          <w:tcPr>
            <w:tcW w:w="1278" w:type="dxa"/>
            <w:tcBorders>
              <w:top w:val="single" w:sz="4" w:space="0" w:color="auto"/>
              <w:bottom w:val="single" w:sz="4" w:space="0" w:color="auto"/>
            </w:tcBorders>
            <w:vAlign w:val="center"/>
          </w:tcPr>
          <w:p w:rsidR="00000000" w:rsidRDefault="00000000">
            <w:pPr>
              <w:pStyle w:val="ac"/>
              <w:ind w:left="113"/>
              <w:rPr>
                <w:rFonts w:ascii="Time New Roman" w:eastAsia="SimHei" w:hAnsi="Time New Roman" w:hint="eastAsia"/>
              </w:rPr>
            </w:pPr>
            <w:r>
              <w:rPr>
                <w:rFonts w:ascii="Time New Roman" w:eastAsia="SimHei" w:hAnsi="Time New Roman" w:hint="eastAsia"/>
                <w:snapToGrid/>
              </w:rPr>
              <w:t>年</w:t>
            </w:r>
            <w:r>
              <w:rPr>
                <w:rFonts w:ascii="Time New Roman" w:eastAsia="SimHei" w:hAnsi="Time New Roman" w:hint="eastAsia"/>
                <w:snapToGrid/>
              </w:rPr>
              <w:t xml:space="preserve"> </w:t>
            </w:r>
            <w:r>
              <w:rPr>
                <w:rFonts w:ascii="Time New Roman" w:eastAsia="SimHei" w:hAnsi="Time New Roman" w:hint="eastAsia"/>
                <w:snapToGrid/>
              </w:rPr>
              <w:t>份</w:t>
            </w:r>
          </w:p>
        </w:tc>
        <w:tc>
          <w:tcPr>
            <w:tcW w:w="1877" w:type="dxa"/>
            <w:tcBorders>
              <w:top w:val="single" w:sz="4" w:space="0" w:color="auto"/>
              <w:bottom w:val="single" w:sz="4" w:space="0" w:color="auto"/>
            </w:tcBorders>
            <w:vAlign w:val="center"/>
          </w:tcPr>
          <w:p w:rsidR="00000000" w:rsidRDefault="00000000">
            <w:pPr>
              <w:pStyle w:val="ac"/>
              <w:jc w:val="center"/>
              <w:rPr>
                <w:rFonts w:ascii="Time New Roman" w:eastAsia="SimHei" w:hAnsi="Time New Roman" w:hint="eastAsia"/>
              </w:rPr>
            </w:pPr>
            <w:r>
              <w:rPr>
                <w:rFonts w:ascii="Time New Roman" w:eastAsia="SimHei" w:hAnsi="Time New Roman" w:hint="eastAsia"/>
                <w:snapToGrid/>
              </w:rPr>
              <w:t>指令调解的争议数</w:t>
            </w:r>
          </w:p>
        </w:tc>
        <w:tc>
          <w:tcPr>
            <w:tcW w:w="2638" w:type="dxa"/>
            <w:tcBorders>
              <w:top w:val="single" w:sz="4" w:space="0" w:color="auto"/>
              <w:bottom w:val="single" w:sz="4" w:space="0" w:color="auto"/>
            </w:tcBorders>
            <w:vAlign w:val="center"/>
          </w:tcPr>
          <w:p w:rsidR="00000000" w:rsidRDefault="00000000">
            <w:pPr>
              <w:pStyle w:val="ac"/>
              <w:spacing w:before="60" w:after="40" w:line="240" w:lineRule="auto"/>
              <w:jc w:val="center"/>
              <w:rPr>
                <w:rFonts w:ascii="Time New Roman" w:eastAsia="SimHei" w:hAnsi="Time New Roman" w:hint="eastAsia"/>
              </w:rPr>
            </w:pPr>
            <w:r>
              <w:rPr>
                <w:rFonts w:ascii="Time New Roman" w:eastAsia="SimHei" w:hAnsi="Time New Roman" w:hint="eastAsia"/>
                <w:snapToGrid/>
              </w:rPr>
              <w:t>不经同意指令调解的争议</w:t>
            </w:r>
          </w:p>
        </w:tc>
      </w:tr>
      <w:tr w:rsidR="00000000">
        <w:tblPrEx>
          <w:tblCellMar>
            <w:top w:w="0" w:type="dxa"/>
            <w:bottom w:w="0" w:type="dxa"/>
          </w:tblCellMar>
        </w:tblPrEx>
        <w:trPr>
          <w:jc w:val="center"/>
        </w:trPr>
        <w:tc>
          <w:tcPr>
            <w:tcW w:w="1278" w:type="dxa"/>
            <w:tcBorders>
              <w:top w:val="single" w:sz="4" w:space="0" w:color="auto"/>
            </w:tcBorders>
            <w:vAlign w:val="center"/>
          </w:tcPr>
          <w:p w:rsidR="00000000" w:rsidRDefault="00000000">
            <w:pPr>
              <w:pStyle w:val="ac"/>
              <w:ind w:left="113"/>
              <w:rPr>
                <w:rFonts w:ascii="Time New Roman" w:eastAsia="SimHei" w:hAnsi="Time New Roman"/>
                <w:snapToGrid/>
              </w:rPr>
            </w:pPr>
            <w:r>
              <w:rPr>
                <w:snapToGrid/>
              </w:rPr>
              <w:t>2000</w:t>
            </w:r>
          </w:p>
        </w:tc>
        <w:tc>
          <w:tcPr>
            <w:tcW w:w="1877" w:type="dxa"/>
            <w:tcBorders>
              <w:top w:val="single" w:sz="4" w:space="0" w:color="auto"/>
            </w:tcBorders>
            <w:vAlign w:val="center"/>
          </w:tcPr>
          <w:p w:rsidR="00000000" w:rsidRDefault="00000000">
            <w:pPr>
              <w:pStyle w:val="ac"/>
              <w:jc w:val="center"/>
              <w:rPr>
                <w:rFonts w:ascii="Time New Roman" w:eastAsia="SimHei" w:hAnsi="Time New Roman" w:hint="eastAsia"/>
                <w:snapToGrid/>
              </w:rPr>
            </w:pPr>
            <w:r>
              <w:rPr>
                <w:rFonts w:ascii="Time New Roman" w:eastAsia="SimHei" w:hAnsi="Time New Roman" w:hint="eastAsia"/>
                <w:snapToGrid/>
              </w:rPr>
              <w:t>12</w:t>
            </w:r>
          </w:p>
        </w:tc>
        <w:tc>
          <w:tcPr>
            <w:tcW w:w="2638" w:type="dxa"/>
            <w:tcBorders>
              <w:top w:val="single" w:sz="4" w:space="0" w:color="auto"/>
            </w:tcBorders>
            <w:vAlign w:val="center"/>
          </w:tcPr>
          <w:p w:rsidR="00000000" w:rsidRDefault="00000000">
            <w:pPr>
              <w:pStyle w:val="ac"/>
              <w:spacing w:before="60" w:after="40" w:line="240" w:lineRule="auto"/>
              <w:jc w:val="center"/>
              <w:rPr>
                <w:rFonts w:ascii="Time New Roman" w:eastAsia="SimHei" w:hAnsi="Time New Roman" w:hint="eastAsia"/>
                <w:snapToGrid/>
              </w:rPr>
            </w:pPr>
            <w:r>
              <w:rPr>
                <w:rFonts w:ascii="Time New Roman" w:eastAsia="SimHei" w:hAnsi="Time New Roman" w:hint="eastAsia"/>
                <w:snapToGrid/>
              </w:rPr>
              <w:t>0</w:t>
            </w:r>
          </w:p>
        </w:tc>
      </w:tr>
      <w:tr w:rsidR="00000000">
        <w:tblPrEx>
          <w:tblCellMar>
            <w:top w:w="0" w:type="dxa"/>
            <w:bottom w:w="0" w:type="dxa"/>
          </w:tblCellMar>
        </w:tblPrEx>
        <w:trPr>
          <w:jc w:val="center"/>
        </w:trPr>
        <w:tc>
          <w:tcPr>
            <w:tcW w:w="1278" w:type="dxa"/>
          </w:tcPr>
          <w:p w:rsidR="00000000" w:rsidRDefault="00000000">
            <w:pPr>
              <w:pStyle w:val="ac"/>
              <w:ind w:left="113"/>
              <w:rPr>
                <w:rFonts w:hint="eastAsia"/>
                <w:snapToGrid/>
              </w:rPr>
            </w:pPr>
            <w:r>
              <w:rPr>
                <w:rFonts w:hint="eastAsia"/>
                <w:snapToGrid/>
              </w:rPr>
              <w:t>2001</w:t>
            </w:r>
          </w:p>
        </w:tc>
        <w:tc>
          <w:tcPr>
            <w:tcW w:w="1877" w:type="dxa"/>
            <w:vAlign w:val="center"/>
          </w:tcPr>
          <w:p w:rsidR="00000000" w:rsidRDefault="00000000">
            <w:pPr>
              <w:pStyle w:val="ac"/>
              <w:jc w:val="center"/>
              <w:rPr>
                <w:rFonts w:ascii="Time New Roman" w:eastAsia="SimHei" w:hAnsi="Time New Roman" w:hint="eastAsia"/>
                <w:snapToGrid/>
              </w:rPr>
            </w:pPr>
            <w:r>
              <w:rPr>
                <w:rFonts w:ascii="Time New Roman" w:eastAsia="SimHei" w:hAnsi="Time New Roman" w:hint="eastAsia"/>
                <w:snapToGrid/>
              </w:rPr>
              <w:t>20</w:t>
            </w:r>
          </w:p>
        </w:tc>
        <w:tc>
          <w:tcPr>
            <w:tcW w:w="2638" w:type="dxa"/>
            <w:vAlign w:val="center"/>
          </w:tcPr>
          <w:p w:rsidR="00000000" w:rsidRDefault="00000000">
            <w:pPr>
              <w:pStyle w:val="ac"/>
              <w:spacing w:before="60" w:after="40" w:line="240" w:lineRule="auto"/>
              <w:jc w:val="center"/>
              <w:rPr>
                <w:rFonts w:ascii="Time New Roman" w:eastAsia="SimHei" w:hAnsi="Time New Roman" w:hint="eastAsia"/>
                <w:snapToGrid/>
              </w:rPr>
            </w:pPr>
            <w:r>
              <w:rPr>
                <w:rFonts w:ascii="Time New Roman" w:eastAsia="SimHei" w:hAnsi="Time New Roman" w:hint="eastAsia"/>
                <w:snapToGrid/>
              </w:rPr>
              <w:t>2</w:t>
            </w:r>
          </w:p>
        </w:tc>
      </w:tr>
      <w:tr w:rsidR="00000000">
        <w:tblPrEx>
          <w:tblCellMar>
            <w:top w:w="0" w:type="dxa"/>
            <w:bottom w:w="0" w:type="dxa"/>
          </w:tblCellMar>
        </w:tblPrEx>
        <w:trPr>
          <w:jc w:val="center"/>
        </w:trPr>
        <w:tc>
          <w:tcPr>
            <w:tcW w:w="1278" w:type="dxa"/>
          </w:tcPr>
          <w:p w:rsidR="00000000" w:rsidRDefault="00000000">
            <w:pPr>
              <w:pStyle w:val="ac"/>
              <w:ind w:left="113"/>
              <w:rPr>
                <w:rFonts w:hint="eastAsia"/>
                <w:snapToGrid/>
              </w:rPr>
            </w:pPr>
            <w:r>
              <w:rPr>
                <w:rFonts w:hint="eastAsia"/>
                <w:snapToGrid/>
              </w:rPr>
              <w:t>2002</w:t>
            </w:r>
          </w:p>
        </w:tc>
        <w:tc>
          <w:tcPr>
            <w:tcW w:w="1877" w:type="dxa"/>
            <w:vAlign w:val="center"/>
          </w:tcPr>
          <w:p w:rsidR="00000000" w:rsidRDefault="00000000">
            <w:pPr>
              <w:pStyle w:val="ac"/>
              <w:jc w:val="center"/>
              <w:rPr>
                <w:rFonts w:ascii="Time New Roman" w:eastAsia="SimHei" w:hAnsi="Time New Roman" w:hint="eastAsia"/>
                <w:snapToGrid/>
              </w:rPr>
            </w:pPr>
            <w:r>
              <w:rPr>
                <w:rFonts w:ascii="Time New Roman" w:eastAsia="SimHei" w:hAnsi="Time New Roman" w:hint="eastAsia"/>
                <w:snapToGrid/>
              </w:rPr>
              <w:t>6</w:t>
            </w:r>
          </w:p>
        </w:tc>
        <w:tc>
          <w:tcPr>
            <w:tcW w:w="2638" w:type="dxa"/>
            <w:vAlign w:val="center"/>
          </w:tcPr>
          <w:p w:rsidR="00000000" w:rsidRDefault="00000000">
            <w:pPr>
              <w:pStyle w:val="ac"/>
              <w:spacing w:before="60" w:after="40" w:line="240" w:lineRule="auto"/>
              <w:jc w:val="center"/>
              <w:rPr>
                <w:rFonts w:ascii="Time New Roman" w:eastAsia="SimHei" w:hAnsi="Time New Roman" w:hint="eastAsia"/>
                <w:snapToGrid/>
              </w:rPr>
            </w:pPr>
            <w:r>
              <w:rPr>
                <w:rFonts w:ascii="Time New Roman" w:eastAsia="SimHei" w:hAnsi="Time New Roman" w:hint="eastAsia"/>
                <w:snapToGrid/>
              </w:rPr>
              <w:t>1</w:t>
            </w:r>
          </w:p>
        </w:tc>
      </w:tr>
      <w:tr w:rsidR="00000000">
        <w:tblPrEx>
          <w:tblCellMar>
            <w:top w:w="0" w:type="dxa"/>
            <w:bottom w:w="0" w:type="dxa"/>
          </w:tblCellMar>
        </w:tblPrEx>
        <w:trPr>
          <w:jc w:val="center"/>
        </w:trPr>
        <w:tc>
          <w:tcPr>
            <w:tcW w:w="1278" w:type="dxa"/>
          </w:tcPr>
          <w:p w:rsidR="00000000" w:rsidRDefault="00000000">
            <w:pPr>
              <w:pStyle w:val="ac"/>
              <w:ind w:left="113"/>
              <w:rPr>
                <w:rFonts w:hint="eastAsia"/>
                <w:snapToGrid/>
              </w:rPr>
            </w:pPr>
            <w:r>
              <w:rPr>
                <w:rFonts w:hint="eastAsia"/>
                <w:snapToGrid/>
              </w:rPr>
              <w:t>2003</w:t>
            </w:r>
          </w:p>
        </w:tc>
        <w:tc>
          <w:tcPr>
            <w:tcW w:w="1877" w:type="dxa"/>
            <w:vAlign w:val="center"/>
          </w:tcPr>
          <w:p w:rsidR="00000000" w:rsidRDefault="00000000">
            <w:pPr>
              <w:pStyle w:val="ac"/>
              <w:jc w:val="center"/>
              <w:rPr>
                <w:rFonts w:ascii="Time New Roman" w:eastAsia="SimHei" w:hAnsi="Time New Roman" w:hint="eastAsia"/>
                <w:snapToGrid/>
              </w:rPr>
            </w:pPr>
            <w:r>
              <w:rPr>
                <w:rFonts w:ascii="Time New Roman" w:eastAsia="SimHei" w:hAnsi="Time New Roman" w:hint="eastAsia"/>
                <w:snapToGrid/>
              </w:rPr>
              <w:t>6</w:t>
            </w:r>
          </w:p>
        </w:tc>
        <w:tc>
          <w:tcPr>
            <w:tcW w:w="2638" w:type="dxa"/>
            <w:vAlign w:val="center"/>
          </w:tcPr>
          <w:p w:rsidR="00000000" w:rsidRDefault="00000000">
            <w:pPr>
              <w:pStyle w:val="ac"/>
              <w:spacing w:before="60" w:after="40" w:line="240" w:lineRule="auto"/>
              <w:jc w:val="center"/>
              <w:rPr>
                <w:rFonts w:ascii="Time New Roman" w:eastAsia="SimHei" w:hAnsi="Time New Roman" w:hint="eastAsia"/>
                <w:snapToGrid/>
              </w:rPr>
            </w:pPr>
            <w:r>
              <w:rPr>
                <w:rFonts w:ascii="Time New Roman" w:eastAsia="SimHei" w:hAnsi="Time New Roman" w:hint="eastAsia"/>
                <w:snapToGrid/>
              </w:rPr>
              <w:t>0</w:t>
            </w:r>
          </w:p>
        </w:tc>
      </w:tr>
      <w:tr w:rsidR="00000000">
        <w:tblPrEx>
          <w:tblCellMar>
            <w:top w:w="0" w:type="dxa"/>
            <w:bottom w:w="0" w:type="dxa"/>
          </w:tblCellMar>
        </w:tblPrEx>
        <w:trPr>
          <w:jc w:val="center"/>
        </w:trPr>
        <w:tc>
          <w:tcPr>
            <w:tcW w:w="1278" w:type="dxa"/>
            <w:tcBorders>
              <w:bottom w:val="single" w:sz="4" w:space="0" w:color="auto"/>
            </w:tcBorders>
          </w:tcPr>
          <w:p w:rsidR="00000000" w:rsidRDefault="00000000">
            <w:pPr>
              <w:pStyle w:val="ac"/>
              <w:ind w:left="113"/>
              <w:rPr>
                <w:rFonts w:hint="eastAsia"/>
                <w:snapToGrid/>
              </w:rPr>
            </w:pPr>
            <w:r>
              <w:rPr>
                <w:rFonts w:hint="eastAsia"/>
                <w:snapToGrid/>
              </w:rPr>
              <w:t>2004</w:t>
            </w:r>
          </w:p>
        </w:tc>
        <w:tc>
          <w:tcPr>
            <w:tcW w:w="1877" w:type="dxa"/>
            <w:tcBorders>
              <w:bottom w:val="single" w:sz="4" w:space="0" w:color="auto"/>
            </w:tcBorders>
            <w:vAlign w:val="center"/>
          </w:tcPr>
          <w:p w:rsidR="00000000" w:rsidRDefault="00000000">
            <w:pPr>
              <w:pStyle w:val="ac"/>
              <w:jc w:val="center"/>
              <w:rPr>
                <w:rFonts w:ascii="Time New Roman" w:eastAsia="SimHei" w:hAnsi="Time New Roman" w:hint="eastAsia"/>
                <w:snapToGrid/>
              </w:rPr>
            </w:pPr>
            <w:r>
              <w:rPr>
                <w:rFonts w:ascii="Time New Roman" w:eastAsia="SimHei" w:hAnsi="Time New Roman" w:hint="eastAsia"/>
                <w:snapToGrid/>
              </w:rPr>
              <w:t>24</w:t>
            </w:r>
          </w:p>
        </w:tc>
        <w:tc>
          <w:tcPr>
            <w:tcW w:w="2638" w:type="dxa"/>
            <w:tcBorders>
              <w:bottom w:val="single" w:sz="4" w:space="0" w:color="auto"/>
            </w:tcBorders>
            <w:vAlign w:val="center"/>
          </w:tcPr>
          <w:p w:rsidR="00000000" w:rsidRDefault="00000000">
            <w:pPr>
              <w:pStyle w:val="ac"/>
              <w:spacing w:before="60" w:after="40" w:line="240" w:lineRule="auto"/>
              <w:jc w:val="center"/>
              <w:rPr>
                <w:rFonts w:ascii="Time New Roman" w:eastAsia="SimHei" w:hAnsi="Time New Roman" w:hint="eastAsia"/>
                <w:snapToGrid/>
              </w:rPr>
            </w:pPr>
            <w:r>
              <w:rPr>
                <w:rFonts w:ascii="Time New Roman" w:eastAsia="SimHei" w:hAnsi="Time New Roman" w:hint="eastAsia"/>
                <w:snapToGrid/>
              </w:rPr>
              <w:t>0</w:t>
            </w:r>
          </w:p>
        </w:tc>
      </w:tr>
    </w:tbl>
    <w:p w:rsidR="00000000" w:rsidRDefault="00000000">
      <w:pPr>
        <w:spacing w:after="160"/>
        <w:rPr>
          <w:rFonts w:hint="eastAsia"/>
          <w:snapToGrid/>
        </w:rPr>
      </w:pPr>
    </w:p>
    <w:p w:rsidR="00000000" w:rsidRDefault="00000000">
      <w:pPr>
        <w:rPr>
          <w:rFonts w:hint="eastAsia"/>
          <w:snapToGrid/>
        </w:rPr>
      </w:pPr>
      <w:r>
        <w:rPr>
          <w:rFonts w:hint="eastAsia"/>
          <w:snapToGrid/>
        </w:rPr>
        <w:tab/>
        <w:t xml:space="preserve">186.  </w:t>
      </w:r>
      <w:r>
        <w:rPr>
          <w:snapToGrid/>
        </w:rPr>
        <w:t>(b)</w:t>
      </w:r>
      <w:r>
        <w:rPr>
          <w:rFonts w:hint="eastAsia"/>
          <w:snapToGrid/>
        </w:rPr>
        <w:t xml:space="preserve">  </w:t>
      </w:r>
      <w:r>
        <w:rPr>
          <w:rFonts w:hint="eastAsia"/>
          <w:snapToGrid/>
        </w:rPr>
        <w:t>《公营就业法》</w:t>
      </w:r>
      <w:r>
        <w:rPr>
          <w:rFonts w:hint="eastAsia"/>
          <w:snapToGrid/>
        </w:rPr>
        <w:t>(1994</w:t>
      </w:r>
      <w:r>
        <w:rPr>
          <w:rFonts w:hint="eastAsia"/>
          <w:snapToGrid/>
        </w:rPr>
        <w:t>：</w:t>
      </w:r>
      <w:r>
        <w:rPr>
          <w:rFonts w:hint="eastAsia"/>
          <w:snapToGrid/>
        </w:rPr>
        <w:t>260)</w:t>
      </w:r>
      <w:r>
        <w:rPr>
          <w:rFonts w:hint="eastAsia"/>
          <w:snapToGrid/>
        </w:rPr>
        <w:t>第</w:t>
      </w:r>
      <w:r>
        <w:rPr>
          <w:rFonts w:hint="eastAsia"/>
          <w:snapToGrid/>
        </w:rPr>
        <w:t>23-29</w:t>
      </w:r>
      <w:r>
        <w:rPr>
          <w:rFonts w:hint="eastAsia"/>
          <w:snapToGrid/>
        </w:rPr>
        <w:t>节管制公营部门的劳工行动。第</w:t>
      </w:r>
      <w:r>
        <w:rPr>
          <w:rFonts w:hint="eastAsia"/>
          <w:snapToGrid/>
        </w:rPr>
        <w:t>23-24</w:t>
      </w:r>
      <w:r>
        <w:rPr>
          <w:rFonts w:hint="eastAsia"/>
          <w:snapToGrid/>
        </w:rPr>
        <w:t>节载有对于</w:t>
      </w:r>
      <w:r>
        <w:rPr>
          <w:rFonts w:hint="eastAsia"/>
          <w:iCs/>
          <w:snapToGrid/>
          <w:u w:val="single"/>
        </w:rPr>
        <w:t>实施劳工行动</w:t>
      </w:r>
      <w:r>
        <w:rPr>
          <w:rFonts w:hint="eastAsia"/>
          <w:snapToGrid/>
        </w:rPr>
        <w:t>的权利的某些限制的特别规则。在报告期间这些文节的法律规则没有做过修订，但是请参看下文的“基本协议”和除外类别。</w:t>
      </w:r>
    </w:p>
    <w:p w:rsidR="00000000" w:rsidRDefault="00000000">
      <w:pPr>
        <w:rPr>
          <w:rFonts w:hint="eastAsia"/>
          <w:snapToGrid/>
        </w:rPr>
      </w:pPr>
      <w:r>
        <w:rPr>
          <w:rFonts w:hint="eastAsia"/>
          <w:snapToGrid/>
        </w:rPr>
        <w:tab/>
        <w:t xml:space="preserve">187.  </w:t>
      </w:r>
      <w:r>
        <w:rPr>
          <w:rFonts w:hint="eastAsia"/>
          <w:snapToGrid/>
        </w:rPr>
        <w:t>大约</w:t>
      </w:r>
      <w:r>
        <w:rPr>
          <w:rFonts w:hint="eastAsia"/>
          <w:snapToGrid/>
        </w:rPr>
        <w:t>240,000</w:t>
      </w:r>
      <w:r>
        <w:rPr>
          <w:rFonts w:hint="eastAsia"/>
          <w:snapToGrid/>
        </w:rPr>
        <w:t>人受雇于国家；来源：瑞典政府雇主机构。</w:t>
      </w:r>
    </w:p>
    <w:p w:rsidR="00000000" w:rsidRDefault="00000000">
      <w:pPr>
        <w:spacing w:after="240"/>
        <w:rPr>
          <w:rFonts w:hint="eastAsia"/>
          <w:snapToGrid/>
        </w:rPr>
      </w:pPr>
      <w:r>
        <w:rPr>
          <w:rFonts w:hint="eastAsia"/>
          <w:snapToGrid/>
        </w:rPr>
        <w:tab/>
        <w:t xml:space="preserve">188.  </w:t>
      </w:r>
      <w:r>
        <w:rPr>
          <w:rFonts w:hint="eastAsia"/>
          <w:snapToGrid/>
        </w:rPr>
        <w:t>大约</w:t>
      </w:r>
      <w:r>
        <w:rPr>
          <w:rFonts w:hint="eastAsia"/>
          <w:snapToGrid/>
        </w:rPr>
        <w:t>827,000</w:t>
      </w:r>
      <w:r>
        <w:rPr>
          <w:rFonts w:hint="eastAsia"/>
          <w:snapToGrid/>
        </w:rPr>
        <w:t>人受雇于市政区议会，约</w:t>
      </w:r>
      <w:r>
        <w:rPr>
          <w:rFonts w:hint="eastAsia"/>
          <w:snapToGrid/>
        </w:rPr>
        <w:t>250,000</w:t>
      </w:r>
      <w:r>
        <w:rPr>
          <w:rFonts w:hint="eastAsia"/>
          <w:snapToGrid/>
        </w:rPr>
        <w:t>人受雇于省议会</w:t>
      </w:r>
      <w:r>
        <w:rPr>
          <w:rFonts w:hint="eastAsia"/>
          <w:snapToGrid/>
        </w:rPr>
        <w:t>(</w:t>
      </w:r>
      <w:r>
        <w:rPr>
          <w:rFonts w:hint="eastAsia"/>
          <w:snapToGrid/>
        </w:rPr>
        <w:t>数字截至</w:t>
      </w:r>
      <w:r>
        <w:rPr>
          <w:rFonts w:hint="eastAsia"/>
          <w:snapToGrid/>
        </w:rPr>
        <w:t>2005</w:t>
      </w:r>
      <w:r>
        <w:rPr>
          <w:rFonts w:hint="eastAsia"/>
          <w:snapToGrid/>
        </w:rPr>
        <w:t>年</w:t>
      </w:r>
      <w:r>
        <w:rPr>
          <w:rFonts w:hint="eastAsia"/>
          <w:snapToGrid/>
        </w:rPr>
        <w:t>11</w:t>
      </w:r>
      <w:r>
        <w:rPr>
          <w:rFonts w:hint="eastAsia"/>
          <w:snapToGrid/>
        </w:rPr>
        <w:t>月</w:t>
      </w:r>
      <w:r>
        <w:rPr>
          <w:rFonts w:hint="eastAsia"/>
          <w:snapToGrid/>
        </w:rPr>
        <w:t>1</w:t>
      </w:r>
      <w:r>
        <w:rPr>
          <w:rFonts w:hint="eastAsia"/>
          <w:snapToGrid/>
        </w:rPr>
        <w:t>日</w:t>
      </w:r>
      <w:r>
        <w:rPr>
          <w:rFonts w:hint="eastAsia"/>
          <w:snapToGrid/>
        </w:rPr>
        <w:t>)</w:t>
      </w:r>
      <w:r>
        <w:rPr>
          <w:rFonts w:hint="eastAsia"/>
          <w:snapToGrid/>
        </w:rPr>
        <w:t>；来源：瑞典地方部门和区域协会。</w:t>
      </w:r>
    </w:p>
    <w:p w:rsidR="00000000" w:rsidRDefault="00000000">
      <w:pPr>
        <w:pStyle w:val="Heading4"/>
        <w:rPr>
          <w:rFonts w:eastAsia="KaiTi_GB2312" w:hint="eastAsia"/>
          <w:spacing w:val="0"/>
          <w:u w:val="none"/>
        </w:rPr>
      </w:pPr>
      <w:r>
        <w:rPr>
          <w:rFonts w:eastAsia="KaiTi_GB2312" w:hint="eastAsia"/>
          <w:spacing w:val="0"/>
          <w:u w:val="none"/>
        </w:rPr>
        <w:t>目前劳工法院受理的案件</w:t>
      </w:r>
      <w:r>
        <w:rPr>
          <w:rFonts w:eastAsia="KaiTi_GB2312"/>
          <w:spacing w:val="0"/>
          <w:u w:val="none"/>
        </w:rPr>
        <w:t>—</w:t>
      </w:r>
      <w:r>
        <w:rPr>
          <w:rFonts w:eastAsia="KaiTi_GB2312" w:hint="eastAsia"/>
          <w:spacing w:val="0"/>
          <w:u w:val="none"/>
        </w:rPr>
        <w:t xml:space="preserve"> </w:t>
      </w:r>
      <w:r>
        <w:rPr>
          <w:rFonts w:eastAsia="KaiTi_GB2312" w:hint="eastAsia"/>
          <w:spacing w:val="0"/>
          <w:u w:val="none"/>
        </w:rPr>
        <w:t>转交欧洲法院</w:t>
      </w:r>
    </w:p>
    <w:p w:rsidR="00000000" w:rsidRDefault="00000000">
      <w:pPr>
        <w:spacing w:after="240"/>
        <w:rPr>
          <w:rFonts w:hint="eastAsia"/>
          <w:snapToGrid/>
        </w:rPr>
      </w:pPr>
      <w:r>
        <w:rPr>
          <w:rFonts w:hint="eastAsia"/>
          <w:snapToGrid/>
        </w:rPr>
        <w:tab/>
        <w:t xml:space="preserve">189.  </w:t>
      </w:r>
      <w:r>
        <w:rPr>
          <w:rFonts w:hint="eastAsia"/>
          <w:snapToGrid/>
        </w:rPr>
        <w:t>劳工法院目前受理一项由一个瑞典工会诉一家拉脱维亚公司，目标在于签订一项瑞典集体协议的案件。另一个瑞典工会针对这家拉脱维亚公司采取了同情行动。该公司以中介身份将临时劳工安排到在瑞典经营的公司工作，并与一个拉脱维亚工会签有集体协议。劳工法院请求欧洲法院就法律事项作出初步裁决，其中包括瑞典的劳工行动规章是否符合欧共体的服务自由流动规定</w:t>
      </w:r>
      <w:r>
        <w:rPr>
          <w:rFonts w:hint="eastAsia"/>
          <w:snapToGrid/>
        </w:rPr>
        <w:t>(ECJ</w:t>
      </w:r>
      <w:r>
        <w:rPr>
          <w:rFonts w:hint="eastAsia"/>
          <w:snapToGrid/>
        </w:rPr>
        <w:t>案件</w:t>
      </w:r>
      <w:r>
        <w:rPr>
          <w:rFonts w:hint="eastAsia"/>
          <w:snapToGrid/>
        </w:rPr>
        <w:t>C-341/05)</w:t>
      </w:r>
      <w:r>
        <w:rPr>
          <w:rFonts w:hint="eastAsia"/>
          <w:snapToGrid/>
        </w:rPr>
        <w:t>。</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4</w:t>
      </w:r>
    </w:p>
    <w:p w:rsidR="00000000" w:rsidRDefault="00000000">
      <w:pPr>
        <w:rPr>
          <w:rFonts w:hint="eastAsia"/>
          <w:snapToGrid/>
        </w:rPr>
      </w:pPr>
      <w:r>
        <w:rPr>
          <w:rFonts w:hint="eastAsia"/>
          <w:snapToGrid/>
        </w:rPr>
        <w:tab/>
        <w:t xml:space="preserve">190.  </w:t>
      </w:r>
      <w:r>
        <w:rPr>
          <w:rFonts w:hint="eastAsia"/>
          <w:snapToGrid/>
        </w:rPr>
        <w:t>在</w:t>
      </w:r>
      <w:r>
        <w:rPr>
          <w:rFonts w:hint="eastAsia"/>
          <w:iCs/>
          <w:snapToGrid/>
          <w:u w:val="single"/>
        </w:rPr>
        <w:t>组织权利</w:t>
      </w:r>
      <w:r>
        <w:rPr>
          <w:rFonts w:hint="eastAsia"/>
          <w:snapToGrid/>
        </w:rPr>
        <w:t>方面没有对于武装部队、警察或国家行政人员的特别限制。</w:t>
      </w:r>
      <w:r>
        <w:rPr>
          <w:rFonts w:hint="eastAsia"/>
          <w:snapToGrid/>
        </w:rPr>
        <w:tab/>
        <w:t xml:space="preserve">191.  </w:t>
      </w:r>
      <w:r>
        <w:rPr>
          <w:rFonts w:hint="eastAsia"/>
          <w:snapToGrid/>
        </w:rPr>
        <w:t>上述《公营就业法》在</w:t>
      </w:r>
      <w:r>
        <w:rPr>
          <w:rFonts w:hint="eastAsia"/>
          <w:i/>
          <w:snapToGrid/>
        </w:rPr>
        <w:t>罢工权利</w:t>
      </w:r>
      <w:r>
        <w:rPr>
          <w:rFonts w:hint="eastAsia"/>
          <w:snapToGrid/>
        </w:rPr>
        <w:t>方面还适用于各特定类别。</w:t>
      </w:r>
    </w:p>
    <w:p w:rsidR="00000000" w:rsidRDefault="00000000">
      <w:pPr>
        <w:rPr>
          <w:rFonts w:hint="eastAsia"/>
          <w:snapToGrid/>
        </w:rPr>
      </w:pPr>
      <w:r>
        <w:rPr>
          <w:rFonts w:hint="eastAsia"/>
          <w:snapToGrid/>
        </w:rPr>
        <w:tab/>
        <w:t xml:space="preserve">192.  </w:t>
      </w:r>
      <w:r>
        <w:rPr>
          <w:rFonts w:hint="eastAsia"/>
          <w:snapToGrid/>
        </w:rPr>
        <w:t>在这方面值得注意的是，</w:t>
      </w:r>
      <w:r>
        <w:rPr>
          <w:rFonts w:hint="eastAsia"/>
          <w:snapToGrid/>
        </w:rPr>
        <w:t>2000</w:t>
      </w:r>
      <w:r>
        <w:rPr>
          <w:rFonts w:hint="eastAsia"/>
          <w:snapToGrid/>
        </w:rPr>
        <w:t>年</w:t>
      </w:r>
      <w:r>
        <w:rPr>
          <w:rFonts w:hint="eastAsia"/>
          <w:snapToGrid/>
        </w:rPr>
        <w:t>6</w:t>
      </w:r>
      <w:r>
        <w:rPr>
          <w:rFonts w:hint="eastAsia"/>
          <w:snapToGrid/>
        </w:rPr>
        <w:t>月</w:t>
      </w:r>
      <w:r>
        <w:rPr>
          <w:rFonts w:hint="eastAsia"/>
          <w:snapToGrid/>
        </w:rPr>
        <w:t>13</w:t>
      </w:r>
      <w:r>
        <w:rPr>
          <w:rFonts w:hint="eastAsia"/>
          <w:snapToGrid/>
        </w:rPr>
        <w:t>日，瑞典政府雇主机构</w:t>
      </w:r>
      <w:r>
        <w:rPr>
          <w:rFonts w:hint="eastAsia"/>
          <w:snapToGrid/>
        </w:rPr>
        <w:t>(</w:t>
      </w:r>
      <w:r>
        <w:rPr>
          <w:rFonts w:hint="eastAsia"/>
          <w:snapToGrid/>
        </w:rPr>
        <w:t>政府作为雇主的代表</w:t>
      </w:r>
      <w:r>
        <w:rPr>
          <w:rFonts w:hint="eastAsia"/>
          <w:snapToGrid/>
        </w:rPr>
        <w:t>)</w:t>
      </w:r>
      <w:r>
        <w:rPr>
          <w:rFonts w:hint="eastAsia"/>
          <w:snapToGrid/>
        </w:rPr>
        <w:t>与国家谈判部门内部各公营雇员谈判理事会的部门领域共同达成了一项“基本协议”，以及就</w:t>
      </w:r>
      <w:r>
        <w:rPr>
          <w:rFonts w:hint="eastAsia"/>
          <w:snapToGrid/>
        </w:rPr>
        <w:t>1993</w:t>
      </w:r>
      <w:r>
        <w:rPr>
          <w:rFonts w:hint="eastAsia"/>
          <w:snapToGrid/>
        </w:rPr>
        <w:t>年</w:t>
      </w:r>
      <w:r>
        <w:rPr>
          <w:rFonts w:hint="eastAsia"/>
          <w:snapToGrid/>
        </w:rPr>
        <w:t>6</w:t>
      </w:r>
      <w:r>
        <w:rPr>
          <w:rFonts w:hint="eastAsia"/>
          <w:snapToGrid/>
        </w:rPr>
        <w:t>月</w:t>
      </w:r>
      <w:r>
        <w:rPr>
          <w:rFonts w:hint="eastAsia"/>
          <w:snapToGrid/>
        </w:rPr>
        <w:t>24</w:t>
      </w:r>
      <w:r>
        <w:rPr>
          <w:rFonts w:hint="eastAsia"/>
          <w:snapToGrid/>
        </w:rPr>
        <w:t>日基本协议修订案与</w:t>
      </w:r>
      <w:r>
        <w:rPr>
          <w:rFonts w:hint="eastAsia"/>
          <w:snapToGrid/>
        </w:rPr>
        <w:t>SACO</w:t>
      </w:r>
      <w:r>
        <w:rPr>
          <w:rFonts w:hint="eastAsia"/>
          <w:snapToGrid/>
        </w:rPr>
        <w:t>和</w:t>
      </w:r>
      <w:r>
        <w:rPr>
          <w:rFonts w:hint="eastAsia"/>
          <w:snapToGrid/>
        </w:rPr>
        <w:t>SACO</w:t>
      </w:r>
      <w:r>
        <w:rPr>
          <w:rFonts w:hint="eastAsia"/>
          <w:snapToGrid/>
        </w:rPr>
        <w:t>诸下属工会共同达成协议。同一天，政府雇主机构与服务和通信雇员工会达成了一项新的基本协议。</w:t>
      </w:r>
    </w:p>
    <w:p w:rsidR="00000000" w:rsidRDefault="00000000">
      <w:pPr>
        <w:rPr>
          <w:rFonts w:hint="eastAsia"/>
          <w:snapToGrid/>
        </w:rPr>
      </w:pPr>
      <w:r>
        <w:rPr>
          <w:rFonts w:hint="eastAsia"/>
          <w:snapToGrid/>
        </w:rPr>
        <w:tab/>
        <w:t xml:space="preserve">193.  </w:t>
      </w:r>
      <w:r>
        <w:rPr>
          <w:rFonts w:hint="eastAsia"/>
          <w:snapToGrid/>
        </w:rPr>
        <w:t>这些协议是相同的。政府于</w:t>
      </w:r>
      <w:r>
        <w:rPr>
          <w:rFonts w:hint="eastAsia"/>
          <w:snapToGrid/>
        </w:rPr>
        <w:t>2001</w:t>
      </w:r>
      <w:r>
        <w:rPr>
          <w:rFonts w:hint="eastAsia"/>
          <w:snapToGrid/>
        </w:rPr>
        <w:t>年</w:t>
      </w:r>
      <w:r>
        <w:rPr>
          <w:rFonts w:hint="eastAsia"/>
          <w:snapToGrid/>
        </w:rPr>
        <w:t>8</w:t>
      </w:r>
      <w:r>
        <w:rPr>
          <w:rFonts w:hint="eastAsia"/>
          <w:snapToGrid/>
        </w:rPr>
        <w:t>月</w:t>
      </w:r>
      <w:r>
        <w:rPr>
          <w:rFonts w:hint="eastAsia"/>
          <w:snapToGrid/>
        </w:rPr>
        <w:t>31</w:t>
      </w:r>
      <w:r>
        <w:rPr>
          <w:rFonts w:hint="eastAsia"/>
          <w:snapToGrid/>
        </w:rPr>
        <w:t>日批准了这些协议和相关的会议记录。</w:t>
      </w:r>
    </w:p>
    <w:p w:rsidR="00000000" w:rsidRDefault="00000000">
      <w:pPr>
        <w:rPr>
          <w:rFonts w:hint="eastAsia"/>
          <w:snapToGrid/>
        </w:rPr>
      </w:pPr>
      <w:r>
        <w:rPr>
          <w:rFonts w:hint="eastAsia"/>
          <w:snapToGrid/>
        </w:rPr>
        <w:tab/>
        <w:t>194.  2001</w:t>
      </w:r>
      <w:r>
        <w:rPr>
          <w:rFonts w:hint="eastAsia"/>
          <w:snapToGrid/>
        </w:rPr>
        <w:t>年</w:t>
      </w:r>
      <w:r>
        <w:rPr>
          <w:rFonts w:hint="eastAsia"/>
          <w:snapToGrid/>
        </w:rPr>
        <w:t>2</w:t>
      </w:r>
      <w:r>
        <w:rPr>
          <w:rFonts w:hint="eastAsia"/>
          <w:snapToGrid/>
        </w:rPr>
        <w:t>月</w:t>
      </w:r>
      <w:r>
        <w:rPr>
          <w:rFonts w:hint="eastAsia"/>
          <w:snapToGrid/>
        </w:rPr>
        <w:t>22</w:t>
      </w:r>
      <w:r>
        <w:rPr>
          <w:rFonts w:hint="eastAsia"/>
          <w:snapToGrid/>
        </w:rPr>
        <w:t>日，达成了一项关于主要协议附件</w:t>
      </w:r>
      <w:r>
        <w:rPr>
          <w:rFonts w:hint="eastAsia"/>
          <w:snapToGrid/>
        </w:rPr>
        <w:t>4 (</w:t>
      </w:r>
      <w:r>
        <w:rPr>
          <w:rFonts w:hint="eastAsia"/>
          <w:snapToGrid/>
        </w:rPr>
        <w:t>即例外的类别</w:t>
      </w:r>
      <w:r>
        <w:rPr>
          <w:rFonts w:hint="eastAsia"/>
          <w:snapToGrid/>
        </w:rPr>
        <w:t>)</w:t>
      </w:r>
      <w:r>
        <w:rPr>
          <w:rFonts w:hint="eastAsia"/>
          <w:snapToGrid/>
        </w:rPr>
        <w:t>的新措词的协议。政府于</w:t>
      </w:r>
      <w:r>
        <w:rPr>
          <w:rFonts w:hint="eastAsia"/>
          <w:snapToGrid/>
        </w:rPr>
        <w:t>2001</w:t>
      </w:r>
      <w:r>
        <w:rPr>
          <w:rFonts w:hint="eastAsia"/>
          <w:snapToGrid/>
        </w:rPr>
        <w:t>年</w:t>
      </w:r>
      <w:r>
        <w:rPr>
          <w:rFonts w:hint="eastAsia"/>
          <w:snapToGrid/>
        </w:rPr>
        <w:t>3</w:t>
      </w:r>
      <w:r>
        <w:rPr>
          <w:rFonts w:hint="eastAsia"/>
          <w:snapToGrid/>
        </w:rPr>
        <w:t>月</w:t>
      </w:r>
      <w:r>
        <w:rPr>
          <w:rFonts w:hint="eastAsia"/>
          <w:snapToGrid/>
        </w:rPr>
        <w:t>29</w:t>
      </w:r>
      <w:r>
        <w:rPr>
          <w:rFonts w:hint="eastAsia"/>
          <w:snapToGrid/>
        </w:rPr>
        <w:t>日批准了这项协议。</w:t>
      </w:r>
    </w:p>
    <w:p w:rsidR="00000000" w:rsidRDefault="00000000">
      <w:pPr>
        <w:rPr>
          <w:rFonts w:hint="eastAsia"/>
          <w:snapToGrid/>
        </w:rPr>
      </w:pPr>
      <w:r>
        <w:rPr>
          <w:rFonts w:hint="eastAsia"/>
          <w:snapToGrid/>
        </w:rPr>
        <w:tab/>
        <w:t xml:space="preserve">195.  </w:t>
      </w:r>
      <w:r>
        <w:rPr>
          <w:rFonts w:hint="eastAsia"/>
          <w:snapToGrid/>
        </w:rPr>
        <w:t>基本协议包括一个有关劳工行动等问题的特别</w:t>
      </w:r>
      <w:r>
        <w:rPr>
          <w:rFonts w:hint="eastAsia"/>
          <w:snapToGrid/>
        </w:rPr>
        <w:t>C</w:t>
      </w:r>
      <w:r>
        <w:rPr>
          <w:rFonts w:hint="eastAsia"/>
          <w:snapToGrid/>
        </w:rPr>
        <w:t>节。这项协议除了其他之外规定，应当特别谨慎使用采取劳工行动权利的领域和职能可以事先予以订明。各方同意，国家安全、维护法律和秩序、照顾病人或受到社会照管的人以及穷人，以及个人经济保障所需的付款构成此种例子。各方还同意，避免采取可能预期造成严重扰乱经济或公共供应的劳工行动。各方又同意，避免采取由于人道主义理由令人反感的劳工行动，如在残疾人学校采取行动。</w:t>
      </w:r>
    </w:p>
    <w:p w:rsidR="00000000" w:rsidRDefault="00000000">
      <w:pPr>
        <w:rPr>
          <w:rFonts w:hint="eastAsia"/>
          <w:snapToGrid/>
        </w:rPr>
      </w:pPr>
      <w:r>
        <w:rPr>
          <w:rFonts w:hint="eastAsia"/>
          <w:snapToGrid/>
        </w:rPr>
        <w:tab/>
      </w:r>
      <w:r>
        <w:rPr>
          <w:rFonts w:hint="eastAsia"/>
          <w:snapToGrid/>
        </w:rPr>
        <w:t>第</w:t>
      </w:r>
      <w:r>
        <w:rPr>
          <w:rFonts w:hint="eastAsia"/>
          <w:snapToGrid/>
        </w:rPr>
        <w:t>3</w:t>
      </w:r>
      <w:r>
        <w:rPr>
          <w:rFonts w:hint="eastAsia"/>
          <w:snapToGrid/>
        </w:rPr>
        <w:t>章载有目标在于避免采取可能威胁公共利益的劳工行动的规则，根据这些规则，各方必须将这种问题提交一个特别委员会公共服务理事会。</w:t>
      </w:r>
    </w:p>
    <w:p w:rsidR="00000000" w:rsidRDefault="00000000">
      <w:pPr>
        <w:rPr>
          <w:rFonts w:hint="eastAsia"/>
          <w:snapToGrid/>
        </w:rPr>
      </w:pPr>
      <w:r>
        <w:rPr>
          <w:rFonts w:hint="eastAsia"/>
          <w:snapToGrid/>
        </w:rPr>
        <w:tab/>
        <w:t xml:space="preserve">196.  </w:t>
      </w:r>
      <w:r>
        <w:rPr>
          <w:rFonts w:hint="eastAsia"/>
          <w:snapToGrid/>
        </w:rPr>
        <w:t>如果一方认为，行动会不适当地扰乱社会职能，则各方应当应该方请求进行谈判，以便避免、限制或取消该行动。如果一方拒绝谈判，或谈判无法达成协议，该方应将该事项提交公共服务理事会确定该行动是否属于此种性质。</w:t>
      </w:r>
    </w:p>
    <w:p w:rsidR="00000000" w:rsidRDefault="00000000">
      <w:pPr>
        <w:rPr>
          <w:rFonts w:hint="eastAsia"/>
          <w:snapToGrid/>
        </w:rPr>
      </w:pPr>
      <w:r>
        <w:rPr>
          <w:rFonts w:hint="eastAsia"/>
          <w:snapToGrid/>
        </w:rPr>
        <w:tab/>
        <w:t xml:space="preserve">197.  </w:t>
      </w:r>
      <w:r>
        <w:rPr>
          <w:rFonts w:hint="eastAsia"/>
          <w:snapToGrid/>
        </w:rPr>
        <w:t>同一节第</w:t>
      </w:r>
      <w:r>
        <w:rPr>
          <w:rFonts w:hint="eastAsia"/>
          <w:snapToGrid/>
        </w:rPr>
        <w:t>4</w:t>
      </w:r>
      <w:r>
        <w:rPr>
          <w:rFonts w:hint="eastAsia"/>
          <w:snapToGrid/>
        </w:rPr>
        <w:t>章还载有关于“例外类别”的规则，根据所提供的信息，该类别包括大约</w:t>
      </w:r>
      <w:r>
        <w:rPr>
          <w:rFonts w:hint="eastAsia"/>
          <w:snapToGrid/>
        </w:rPr>
        <w:t>10,000</w:t>
      </w:r>
      <w:r>
        <w:rPr>
          <w:rFonts w:hint="eastAsia"/>
          <w:snapToGrid/>
        </w:rPr>
        <w:t>名雇员。劳工行动不得涉及其工作列于称为“例外类别”的特别附件的雇员。</w:t>
      </w:r>
      <w:r>
        <w:rPr>
          <w:rFonts w:hint="eastAsia"/>
          <w:snapToGrid/>
        </w:rPr>
        <w:t>(</w:t>
      </w:r>
      <w:r>
        <w:rPr>
          <w:rFonts w:hint="eastAsia"/>
          <w:snapToGrid/>
        </w:rPr>
        <w:t>但是该条不适用休假而在休假期间有一个在附件所列举以外的职位的雇员。</w:t>
      </w:r>
      <w:r>
        <w:rPr>
          <w:rFonts w:hint="eastAsia"/>
          <w:snapToGrid/>
        </w:rPr>
        <w:t>)</w:t>
      </w:r>
      <w:r>
        <w:rPr>
          <w:rFonts w:hint="eastAsia"/>
          <w:snapToGrid/>
        </w:rPr>
        <w:t>劳工行动也不得包括为属于例外类别的雇员履行其任务所必需的人员。</w:t>
      </w:r>
    </w:p>
    <w:p w:rsidR="00000000" w:rsidRDefault="00000000">
      <w:pPr>
        <w:spacing w:after="320"/>
        <w:rPr>
          <w:rFonts w:hint="eastAsia"/>
          <w:snapToGrid/>
        </w:rPr>
      </w:pPr>
      <w:r>
        <w:rPr>
          <w:rFonts w:hint="eastAsia"/>
          <w:snapToGrid/>
        </w:rPr>
        <w:tab/>
        <w:t xml:space="preserve">198.  </w:t>
      </w:r>
      <w:r>
        <w:rPr>
          <w:rFonts w:hint="eastAsia"/>
          <w:snapToGrid/>
        </w:rPr>
        <w:t>例外类别包括政府办公机构的雇员、某些高级法官、某些高级军官、某些国家援救服务机构、中央政府机构领导及其他人。</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9</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1</w:t>
      </w:r>
    </w:p>
    <w:p w:rsidR="00000000" w:rsidRDefault="00000000">
      <w:pPr>
        <w:spacing w:after="240"/>
        <w:rPr>
          <w:rFonts w:hint="eastAsia"/>
          <w:snapToGrid/>
        </w:rPr>
      </w:pPr>
      <w:r>
        <w:rPr>
          <w:rFonts w:hint="eastAsia"/>
          <w:snapToGrid/>
        </w:rPr>
        <w:tab/>
        <w:t xml:space="preserve">199.  </w:t>
      </w:r>
      <w:r>
        <w:rPr>
          <w:rFonts w:hint="eastAsia"/>
          <w:snapToGrid/>
        </w:rPr>
        <w:t>瑞典是第</w:t>
      </w:r>
      <w:r>
        <w:rPr>
          <w:rFonts w:hint="eastAsia"/>
          <w:snapToGrid/>
        </w:rPr>
        <w:t>9</w:t>
      </w:r>
      <w:r>
        <w:rPr>
          <w:rFonts w:hint="eastAsia"/>
          <w:snapToGrid/>
        </w:rPr>
        <w:t>条准则第</w:t>
      </w:r>
      <w:r>
        <w:rPr>
          <w:rFonts w:hint="eastAsia"/>
          <w:snapToGrid/>
        </w:rPr>
        <w:t>1</w:t>
      </w:r>
      <w:r>
        <w:rPr>
          <w:rFonts w:hint="eastAsia"/>
          <w:snapToGrid/>
        </w:rPr>
        <w:t>项所具体写明的国际劳工组织各项公约的缔约国。</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w:t>
      </w:r>
    </w:p>
    <w:p w:rsidR="00000000" w:rsidRDefault="00000000">
      <w:pPr>
        <w:spacing w:after="240"/>
        <w:rPr>
          <w:rFonts w:hint="eastAsia"/>
          <w:snapToGrid/>
        </w:rPr>
      </w:pPr>
      <w:r>
        <w:rPr>
          <w:rFonts w:hint="eastAsia"/>
          <w:snapToGrid/>
        </w:rPr>
        <w:tab/>
        <w:t xml:space="preserve">200.  </w:t>
      </w:r>
      <w:r>
        <w:rPr>
          <w:rFonts w:hint="eastAsia"/>
          <w:snapToGrid/>
        </w:rPr>
        <w:t>第</w:t>
      </w:r>
      <w:r>
        <w:rPr>
          <w:rFonts w:hint="eastAsia"/>
          <w:snapToGrid/>
        </w:rPr>
        <w:t>9</w:t>
      </w:r>
      <w:r>
        <w:rPr>
          <w:rFonts w:hint="eastAsia"/>
          <w:snapToGrid/>
        </w:rPr>
        <w:t>条准则第</w:t>
      </w:r>
      <w:r>
        <w:rPr>
          <w:rFonts w:hint="eastAsia"/>
          <w:snapToGrid/>
        </w:rPr>
        <w:t>1</w:t>
      </w:r>
      <w:r>
        <w:rPr>
          <w:rFonts w:hint="eastAsia"/>
          <w:snapToGrid/>
        </w:rPr>
        <w:t>项所列举的全部社会保障分支机构在瑞典都有。</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w:t>
      </w:r>
      <w:r>
        <w:rPr>
          <w:rFonts w:eastAsia="KaiTi_GB2312" w:hint="eastAsia"/>
          <w:b/>
          <w:bCs/>
          <w:spacing w:val="0"/>
          <w:u w:val="none"/>
        </w:rPr>
        <w:t>和</w:t>
      </w:r>
      <w:r>
        <w:rPr>
          <w:rFonts w:eastAsia="KaiTi_GB2312" w:hint="eastAsia"/>
          <w:b/>
          <w:bCs/>
          <w:spacing w:val="0"/>
          <w:u w:val="none"/>
        </w:rPr>
        <w:t>7</w:t>
      </w:r>
    </w:p>
    <w:p w:rsidR="00000000" w:rsidRDefault="00000000">
      <w:pPr>
        <w:rPr>
          <w:rFonts w:hint="eastAsia"/>
          <w:snapToGrid/>
        </w:rPr>
      </w:pPr>
      <w:r>
        <w:rPr>
          <w:rFonts w:hint="eastAsia"/>
          <w:snapToGrid/>
        </w:rPr>
        <w:tab/>
        <w:t xml:space="preserve">201.  </w:t>
      </w:r>
      <w:r>
        <w:rPr>
          <w:rFonts w:hint="eastAsia"/>
          <w:snapToGrid/>
        </w:rPr>
        <w:t>一切在瑞典社会和工作的人，无论国籍，都受到瑞典社会保险系统的涵盖。社会保险是普遍、义务的，根据住处和就业提供津贴。视为在瑞典居住的人获得保险，享受基于住处的津贴。为了符合住处的要求，人们必须在瑞典有实际住址，并被期望在这个国家居住一年以上。在瑞典工作的人也获享基于就业的社会保险津贴的保险。管理享受社会保险的资格的法律见于</w:t>
      </w:r>
      <w:r>
        <w:rPr>
          <w:rFonts w:hint="eastAsia"/>
          <w:snapToGrid/>
        </w:rPr>
        <w:t>2001</w:t>
      </w:r>
      <w:r>
        <w:rPr>
          <w:rFonts w:hint="eastAsia"/>
          <w:snapToGrid/>
        </w:rPr>
        <w:t>年生效的《社会保险法》</w:t>
      </w:r>
      <w:r>
        <w:rPr>
          <w:rFonts w:hint="eastAsia"/>
          <w:snapToGrid/>
        </w:rPr>
        <w:t>(1999</w:t>
      </w:r>
      <w:r>
        <w:rPr>
          <w:rFonts w:hint="eastAsia"/>
          <w:snapToGrid/>
        </w:rPr>
        <w:t>：</w:t>
      </w:r>
      <w:r>
        <w:rPr>
          <w:rFonts w:hint="eastAsia"/>
          <w:snapToGrid/>
        </w:rPr>
        <w:t>799)</w:t>
      </w:r>
      <w:r>
        <w:rPr>
          <w:rFonts w:hint="eastAsia"/>
          <w:snapToGrid/>
        </w:rPr>
        <w:t>。</w:t>
      </w:r>
    </w:p>
    <w:p w:rsidR="00000000" w:rsidRDefault="00000000">
      <w:pPr>
        <w:rPr>
          <w:rFonts w:hint="eastAsia"/>
          <w:snapToGrid/>
        </w:rPr>
      </w:pPr>
      <w:r>
        <w:rPr>
          <w:rFonts w:hint="eastAsia"/>
          <w:snapToGrid/>
        </w:rPr>
        <w:tab/>
        <w:t xml:space="preserve">202.  </w:t>
      </w:r>
      <w:r>
        <w:rPr>
          <w:rFonts w:hint="eastAsia"/>
          <w:snapToGrid/>
        </w:rPr>
        <w:t>从</w:t>
      </w:r>
      <w:r>
        <w:rPr>
          <w:rFonts w:hint="eastAsia"/>
          <w:snapToGrid/>
        </w:rPr>
        <w:t>2005</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日起，社会保险系统由一个国家机构社会保险管理局实施行政管理。这个国家机构替代前全国社会保险委员会和</w:t>
      </w:r>
      <w:r>
        <w:rPr>
          <w:rFonts w:hint="eastAsia"/>
          <w:snapToGrid/>
        </w:rPr>
        <w:t>21</w:t>
      </w:r>
      <w:r>
        <w:rPr>
          <w:rFonts w:hint="eastAsia"/>
          <w:snapToGrid/>
        </w:rPr>
        <w:t>个区域性社会保险办公室。实施这个改变，是为了促进效率更高、法律上更有保障的案例处理。</w:t>
      </w:r>
    </w:p>
    <w:p w:rsidR="00000000" w:rsidRDefault="00000000">
      <w:pPr>
        <w:spacing w:after="240"/>
        <w:rPr>
          <w:rFonts w:hint="eastAsia"/>
          <w:b/>
          <w:snapToGrid/>
        </w:rPr>
      </w:pPr>
      <w:r>
        <w:rPr>
          <w:rFonts w:hint="eastAsia"/>
          <w:snapToGrid/>
        </w:rPr>
        <w:tab/>
        <w:t xml:space="preserve">203.  </w:t>
      </w:r>
      <w:r>
        <w:rPr>
          <w:rFonts w:hint="eastAsia"/>
          <w:snapToGrid/>
        </w:rPr>
        <w:t>这个社会保险系统的资金通过所得税以及雇主和雇员的缴费来筹集。</w:t>
      </w:r>
    </w:p>
    <w:p w:rsidR="00000000" w:rsidRDefault="00000000">
      <w:pPr>
        <w:pStyle w:val="Heading4"/>
        <w:rPr>
          <w:rFonts w:hint="eastAsia"/>
        </w:rPr>
      </w:pPr>
      <w:r>
        <w:rPr>
          <w:rFonts w:hint="eastAsia"/>
        </w:rPr>
        <w:t>医</w:t>
      </w:r>
      <w:r>
        <w:rPr>
          <w:rFonts w:hint="eastAsia"/>
        </w:rPr>
        <w:t xml:space="preserve">  </w:t>
      </w:r>
      <w:r>
        <w:rPr>
          <w:rFonts w:hint="eastAsia"/>
        </w:rPr>
        <w:t>疗</w:t>
      </w:r>
    </w:p>
    <w:p w:rsidR="00000000" w:rsidRDefault="00000000">
      <w:pPr>
        <w:rPr>
          <w:rFonts w:hint="eastAsia"/>
          <w:snapToGrid/>
        </w:rPr>
      </w:pPr>
      <w:r>
        <w:rPr>
          <w:rFonts w:hint="eastAsia"/>
          <w:snapToGrid/>
        </w:rPr>
        <w:tab/>
        <w:t xml:space="preserve">204.  </w:t>
      </w:r>
      <w:r>
        <w:rPr>
          <w:rFonts w:hint="eastAsia"/>
          <w:snapToGrid/>
        </w:rPr>
        <w:t>请参看瑞典在劳工组织第</w:t>
      </w:r>
      <w:r>
        <w:rPr>
          <w:rFonts w:hint="eastAsia"/>
          <w:snapToGrid/>
        </w:rPr>
        <w:t>10</w:t>
      </w:r>
      <w:r>
        <w:rPr>
          <w:snapToGrid/>
        </w:rPr>
        <w:t>2</w:t>
      </w:r>
      <w:r>
        <w:rPr>
          <w:rFonts w:hint="eastAsia"/>
          <w:snapToGrid/>
        </w:rPr>
        <w:t>号公约</w:t>
      </w:r>
      <w:r>
        <w:rPr>
          <w:rFonts w:hint="eastAsia"/>
          <w:snapToGrid/>
        </w:rPr>
        <w:t>(</w:t>
      </w:r>
      <w:r>
        <w:rPr>
          <w:rFonts w:hint="eastAsia"/>
          <w:snapToGrid/>
        </w:rPr>
        <w:t>医疗药物实付费用限制</w:t>
      </w:r>
      <w:r>
        <w:rPr>
          <w:rFonts w:hint="eastAsia"/>
          <w:snapToGrid/>
        </w:rPr>
        <w:t>)</w:t>
      </w:r>
      <w:r>
        <w:rPr>
          <w:rFonts w:hint="eastAsia"/>
          <w:snapToGrid/>
        </w:rPr>
        <w:t>之下提交的最近的报告。</w:t>
      </w:r>
    </w:p>
    <w:p w:rsidR="00000000" w:rsidRDefault="00000000">
      <w:pPr>
        <w:spacing w:after="240"/>
        <w:rPr>
          <w:rFonts w:hint="eastAsia"/>
          <w:snapToGrid/>
        </w:rPr>
      </w:pPr>
      <w:r>
        <w:rPr>
          <w:rFonts w:hint="eastAsia"/>
          <w:snapToGrid/>
        </w:rPr>
        <w:tab/>
        <w:t xml:space="preserve">205.  </w:t>
      </w:r>
      <w:r>
        <w:rPr>
          <w:rFonts w:hint="eastAsia"/>
          <w:snapToGrid/>
        </w:rPr>
        <w:t>从</w:t>
      </w:r>
      <w:r>
        <w:rPr>
          <w:rFonts w:hint="eastAsia"/>
          <w:snapToGrid/>
        </w:rPr>
        <w:t>1997</w:t>
      </w:r>
      <w:r>
        <w:rPr>
          <w:rFonts w:hint="eastAsia"/>
          <w:snapToGrid/>
        </w:rPr>
        <w:t>年以来，有一种传统的预约保证制度，根据这种保证制度，提供最初保健护理的人应当在与其联系的同一天通过电话或预约提供协助。如果要求医生出诊，等待时间不应长于</w:t>
      </w:r>
      <w:r>
        <w:rPr>
          <w:rFonts w:hint="eastAsia"/>
          <w:snapToGrid/>
        </w:rPr>
        <w:t>7</w:t>
      </w:r>
      <w:r>
        <w:rPr>
          <w:rFonts w:hint="eastAsia"/>
          <w:snapToGrid/>
        </w:rPr>
        <w:t>天，应当在</w:t>
      </w:r>
      <w:r>
        <w:rPr>
          <w:rFonts w:hint="eastAsia"/>
          <w:snapToGrid/>
        </w:rPr>
        <w:t>90</w:t>
      </w:r>
      <w:r>
        <w:rPr>
          <w:rFonts w:hint="eastAsia"/>
          <w:snapToGrid/>
        </w:rPr>
        <w:t>天内向转诊专家医治的病人作出预约。国家和瑞典地方部门和区域协会同意扩大这种保证。经扩大了的新的医疗保证于</w:t>
      </w:r>
      <w:r>
        <w:rPr>
          <w:rFonts w:hint="eastAsia"/>
          <w:snapToGrid/>
        </w:rPr>
        <w:t>2005</w:t>
      </w:r>
      <w:r>
        <w:rPr>
          <w:rFonts w:hint="eastAsia"/>
          <w:snapToGrid/>
        </w:rPr>
        <w:t>年</w:t>
      </w:r>
      <w:r>
        <w:rPr>
          <w:rFonts w:hint="eastAsia"/>
          <w:snapToGrid/>
        </w:rPr>
        <w:t>11</w:t>
      </w:r>
      <w:r>
        <w:rPr>
          <w:rFonts w:hint="eastAsia"/>
          <w:snapToGrid/>
        </w:rPr>
        <w:t>月</w:t>
      </w:r>
      <w:r>
        <w:rPr>
          <w:rFonts w:hint="eastAsia"/>
          <w:snapToGrid/>
        </w:rPr>
        <w:t>1</w:t>
      </w:r>
      <w:r>
        <w:rPr>
          <w:rFonts w:hint="eastAsia"/>
          <w:snapToGrid/>
        </w:rPr>
        <w:t>日生效。新的保证还覆盖所有计划医疗，并且使省议会做到承诺在决定治疗计划之日起的</w:t>
      </w:r>
      <w:r>
        <w:rPr>
          <w:rFonts w:hint="eastAsia"/>
          <w:snapToGrid/>
        </w:rPr>
        <w:t>90</w:t>
      </w:r>
      <w:r>
        <w:rPr>
          <w:rFonts w:hint="eastAsia"/>
          <w:snapToGrid/>
        </w:rPr>
        <w:t>天内提供治疗。如果省议会无法遵守最后限期，就应当向病人提供协助，在保证的时间内向另一个省议会寻求医治。如果医治是由另一个省议会根据医疗保证提供的，不向病人额外收费。</w:t>
      </w:r>
    </w:p>
    <w:p w:rsidR="00000000" w:rsidRDefault="00000000">
      <w:pPr>
        <w:pStyle w:val="Heading4"/>
        <w:rPr>
          <w:rFonts w:hint="eastAsia"/>
        </w:rPr>
      </w:pPr>
      <w:r>
        <w:rPr>
          <w:rFonts w:hint="eastAsia"/>
        </w:rPr>
        <w:t>疾病现金津贴</w:t>
      </w:r>
    </w:p>
    <w:p w:rsidR="00000000" w:rsidRDefault="00000000">
      <w:pPr>
        <w:rPr>
          <w:rFonts w:hint="eastAsia"/>
          <w:snapToGrid/>
        </w:rPr>
      </w:pPr>
      <w:r>
        <w:rPr>
          <w:rFonts w:hint="eastAsia"/>
          <w:snapToGrid/>
        </w:rPr>
        <w:tab/>
        <w:t xml:space="preserve">206.  </w:t>
      </w:r>
      <w:r>
        <w:rPr>
          <w:rFonts w:hint="eastAsia"/>
          <w:snapToGrid/>
        </w:rPr>
        <w:t>请参看瑞典在劳工组织第</w:t>
      </w:r>
      <w:r>
        <w:rPr>
          <w:rFonts w:hint="eastAsia"/>
          <w:snapToGrid/>
        </w:rPr>
        <w:t>10</w:t>
      </w:r>
      <w:r>
        <w:rPr>
          <w:snapToGrid/>
        </w:rPr>
        <w:t>2</w:t>
      </w:r>
      <w:r>
        <w:rPr>
          <w:rFonts w:hint="eastAsia"/>
          <w:snapToGrid/>
        </w:rPr>
        <w:t>号公约之下提交的最近的报告和第</w:t>
      </w:r>
      <w:r>
        <w:rPr>
          <w:rFonts w:hint="eastAsia"/>
          <w:snapToGrid/>
        </w:rPr>
        <w:t>4</w:t>
      </w:r>
      <w:r>
        <w:rPr>
          <w:rFonts w:hint="eastAsia"/>
          <w:snapToGrid/>
        </w:rPr>
        <w:t>次定期报告。</w:t>
      </w:r>
    </w:p>
    <w:p w:rsidR="00000000" w:rsidRDefault="00000000">
      <w:pPr>
        <w:rPr>
          <w:rFonts w:hint="eastAsia"/>
          <w:snapToGrid/>
        </w:rPr>
      </w:pPr>
      <w:r>
        <w:rPr>
          <w:rFonts w:hint="eastAsia"/>
          <w:snapToGrid/>
        </w:rPr>
        <w:tab/>
        <w:t xml:space="preserve">207.  </w:t>
      </w:r>
      <w:r>
        <w:rPr>
          <w:rFonts w:hint="eastAsia"/>
          <w:snapToGrid/>
        </w:rPr>
        <w:t>从</w:t>
      </w:r>
      <w:r>
        <w:rPr>
          <w:rFonts w:hint="eastAsia"/>
          <w:snapToGrid/>
        </w:rPr>
        <w:t>2005</w:t>
      </w:r>
      <w:r>
        <w:rPr>
          <w:rFonts w:hint="eastAsia"/>
          <w:snapToGrid/>
        </w:rPr>
        <w:t>年</w:t>
      </w:r>
      <w:r>
        <w:rPr>
          <w:rFonts w:hint="eastAsia"/>
          <w:snapToGrid/>
        </w:rPr>
        <w:t>11</w:t>
      </w:r>
      <w:r>
        <w:rPr>
          <w:rFonts w:hint="eastAsia"/>
          <w:snapToGrid/>
        </w:rPr>
        <w:t>月</w:t>
      </w:r>
      <w:r>
        <w:rPr>
          <w:rFonts w:hint="eastAsia"/>
          <w:snapToGrid/>
        </w:rPr>
        <w:t>1</w:t>
      </w:r>
      <w:r>
        <w:rPr>
          <w:rFonts w:hint="eastAsia"/>
          <w:snapToGrid/>
        </w:rPr>
        <w:t>日起，疾病现金津贴从限制收入的</w:t>
      </w:r>
      <w:r>
        <w:rPr>
          <w:rFonts w:hint="eastAsia"/>
          <w:snapToGrid/>
        </w:rPr>
        <w:t>77.6%</w:t>
      </w:r>
      <w:r>
        <w:rPr>
          <w:rFonts w:hint="eastAsia"/>
          <w:snapToGrid/>
        </w:rPr>
        <w:t>增加到</w:t>
      </w:r>
      <w:r>
        <w:rPr>
          <w:rFonts w:hint="eastAsia"/>
          <w:snapToGrid/>
        </w:rPr>
        <w:t>80%</w:t>
      </w:r>
      <w:r>
        <w:rPr>
          <w:rFonts w:hint="eastAsia"/>
          <w:snapToGrid/>
        </w:rPr>
        <w:t>。同时雇主支付病假工资的期间从</w:t>
      </w:r>
      <w:r>
        <w:rPr>
          <w:rFonts w:hint="eastAsia"/>
          <w:snapToGrid/>
        </w:rPr>
        <w:t>21</w:t>
      </w:r>
      <w:r>
        <w:rPr>
          <w:rFonts w:hint="eastAsia"/>
          <w:snapToGrid/>
        </w:rPr>
        <w:t>天改为</w:t>
      </w:r>
      <w:r>
        <w:rPr>
          <w:rFonts w:hint="eastAsia"/>
          <w:snapToGrid/>
        </w:rPr>
        <w:t>14</w:t>
      </w:r>
      <w:r>
        <w:rPr>
          <w:rFonts w:hint="eastAsia"/>
          <w:snapToGrid/>
        </w:rPr>
        <w:t>天。社会保险办公室向无雇主的人们支付疾病现金津贴。</w:t>
      </w:r>
    </w:p>
    <w:p w:rsidR="00000000" w:rsidRDefault="00000000">
      <w:pPr>
        <w:rPr>
          <w:rFonts w:hint="eastAsia"/>
          <w:snapToGrid/>
        </w:rPr>
      </w:pPr>
      <w:r>
        <w:rPr>
          <w:rFonts w:hint="eastAsia"/>
          <w:snapToGrid/>
        </w:rPr>
        <w:tab/>
        <w:t xml:space="preserve">208.  </w:t>
      </w:r>
      <w:r>
        <w:rPr>
          <w:rFonts w:hint="eastAsia"/>
          <w:snapToGrid/>
        </w:rPr>
        <w:t>为了制造更强劲的经济激励及减少病假，雇主还通过一种病假保险费</w:t>
      </w:r>
      <w:r>
        <w:rPr>
          <w:rFonts w:hint="eastAsia"/>
          <w:snapToGrid/>
        </w:rPr>
        <w:t>(</w:t>
      </w:r>
      <w:r>
        <w:rPr>
          <w:rFonts w:hint="eastAsia"/>
          <w:snapToGrid/>
        </w:rPr>
        <w:t>疾病现金津贴的</w:t>
      </w:r>
      <w:r>
        <w:rPr>
          <w:rFonts w:hint="eastAsia"/>
          <w:snapToGrid/>
        </w:rPr>
        <w:t>15%)</w:t>
      </w:r>
      <w:r>
        <w:rPr>
          <w:rFonts w:hint="eastAsia"/>
          <w:snapToGrid/>
        </w:rPr>
        <w:t>来支付让雇员在领取病假工资期后从社会保险办公室获得</w:t>
      </w:r>
      <w:r>
        <w:rPr>
          <w:rFonts w:hint="eastAsia"/>
          <w:snapToGrid/>
        </w:rPr>
        <w:t>100%</w:t>
      </w:r>
      <w:r>
        <w:rPr>
          <w:rFonts w:hint="eastAsia"/>
          <w:snapToGrid/>
        </w:rPr>
        <w:t>疾病津贴的部分成本。这项规划的目的包括刺激预防性举措和康复。关于实付费用限制的规则也适用于某些群体。</w:t>
      </w:r>
    </w:p>
    <w:p w:rsidR="00000000" w:rsidRDefault="00000000">
      <w:pPr>
        <w:rPr>
          <w:rFonts w:hint="eastAsia"/>
          <w:snapToGrid/>
        </w:rPr>
      </w:pPr>
      <w:r>
        <w:rPr>
          <w:rFonts w:hint="eastAsia"/>
          <w:snapToGrid/>
        </w:rPr>
        <w:tab/>
        <w:t xml:space="preserve">209.  </w:t>
      </w:r>
      <w:r>
        <w:rPr>
          <w:rFonts w:hint="eastAsia"/>
          <w:snapToGrid/>
        </w:rPr>
        <w:t>对失业人员的疾病现金津贴进行了调整，使其与失业津贴相等。在</w:t>
      </w:r>
      <w:r>
        <w:rPr>
          <w:rFonts w:hint="eastAsia"/>
          <w:snapToGrid/>
        </w:rPr>
        <w:t>2003</w:t>
      </w:r>
      <w:r>
        <w:rPr>
          <w:rFonts w:hint="eastAsia"/>
          <w:snapToGrid/>
        </w:rPr>
        <w:t>年</w:t>
      </w:r>
      <w:r>
        <w:rPr>
          <w:rFonts w:hint="eastAsia"/>
          <w:snapToGrid/>
        </w:rPr>
        <w:t>7</w:t>
      </w:r>
      <w:r>
        <w:rPr>
          <w:rFonts w:hint="eastAsia"/>
          <w:snapToGrid/>
        </w:rPr>
        <w:t>月之前，投保的人可以从疾病保险获得比失业津贴高的津贴。</w:t>
      </w:r>
    </w:p>
    <w:p w:rsidR="00000000" w:rsidRDefault="00000000">
      <w:pPr>
        <w:spacing w:after="240"/>
        <w:rPr>
          <w:rFonts w:hint="eastAsia"/>
          <w:snapToGrid/>
        </w:rPr>
      </w:pPr>
      <w:r>
        <w:rPr>
          <w:rFonts w:hint="eastAsia"/>
          <w:snapToGrid/>
        </w:rPr>
        <w:tab/>
        <w:t xml:space="preserve">210.  </w:t>
      </w:r>
      <w:r>
        <w:rPr>
          <w:rFonts w:hint="eastAsia"/>
          <w:snapToGrid/>
        </w:rPr>
        <w:t>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日起，疾病保险的最高收入额将从</w:t>
      </w:r>
      <w:r>
        <w:rPr>
          <w:rFonts w:hint="eastAsia"/>
          <w:snapToGrid/>
        </w:rPr>
        <w:t>7.5</w:t>
      </w:r>
      <w:r>
        <w:rPr>
          <w:rFonts w:hint="eastAsia"/>
          <w:snapToGrid/>
        </w:rPr>
        <w:t>增加到</w:t>
      </w:r>
      <w:r>
        <w:rPr>
          <w:rFonts w:hint="eastAsia"/>
          <w:snapToGrid/>
        </w:rPr>
        <w:t>10</w:t>
      </w:r>
      <w:r>
        <w:rPr>
          <w:rFonts w:hint="eastAsia"/>
          <w:snapToGrid/>
        </w:rPr>
        <w:t>个物价基数。</w:t>
      </w:r>
      <w:r>
        <w:rPr>
          <w:rFonts w:hint="eastAsia"/>
          <w:snapToGrid/>
        </w:rPr>
        <w:t>2006</w:t>
      </w:r>
      <w:r>
        <w:rPr>
          <w:rFonts w:hint="eastAsia"/>
          <w:snapToGrid/>
        </w:rPr>
        <w:t>年的物价基数确定为</w:t>
      </w:r>
      <w:r>
        <w:rPr>
          <w:rFonts w:hint="eastAsia"/>
          <w:snapToGrid/>
        </w:rPr>
        <w:t>39,700</w:t>
      </w:r>
      <w:r>
        <w:rPr>
          <w:rFonts w:hint="eastAsia"/>
          <w:snapToGrid/>
        </w:rPr>
        <w:t>瑞典克朗。</w:t>
      </w:r>
    </w:p>
    <w:p w:rsidR="00000000" w:rsidRDefault="00000000">
      <w:pPr>
        <w:pStyle w:val="Heading4"/>
        <w:rPr>
          <w:rFonts w:hint="eastAsia"/>
        </w:rPr>
      </w:pPr>
      <w:r>
        <w:rPr>
          <w:rFonts w:hint="eastAsia"/>
        </w:rPr>
        <w:t>父母津贴</w:t>
      </w:r>
    </w:p>
    <w:p w:rsidR="00000000" w:rsidRDefault="00000000">
      <w:pPr>
        <w:rPr>
          <w:rFonts w:hint="eastAsia"/>
          <w:snapToGrid/>
        </w:rPr>
      </w:pPr>
      <w:r>
        <w:rPr>
          <w:rFonts w:hint="eastAsia"/>
          <w:snapToGrid/>
        </w:rPr>
        <w:tab/>
        <w:t xml:space="preserve">211.  </w:t>
      </w:r>
      <w:r>
        <w:rPr>
          <w:rFonts w:hint="eastAsia"/>
          <w:snapToGrid/>
        </w:rPr>
        <w:t>请参看瑞典在劳工组织第</w:t>
      </w:r>
      <w:r>
        <w:rPr>
          <w:rFonts w:hint="eastAsia"/>
          <w:snapToGrid/>
        </w:rPr>
        <w:t>10</w:t>
      </w:r>
      <w:r>
        <w:rPr>
          <w:snapToGrid/>
        </w:rPr>
        <w:t>2</w:t>
      </w:r>
      <w:r>
        <w:rPr>
          <w:rFonts w:hint="eastAsia"/>
          <w:snapToGrid/>
        </w:rPr>
        <w:t>号公约之下提交的最近的报告和第</w:t>
      </w:r>
      <w:r>
        <w:rPr>
          <w:rFonts w:hint="eastAsia"/>
          <w:snapToGrid/>
        </w:rPr>
        <w:t>4</w:t>
      </w:r>
      <w:r>
        <w:rPr>
          <w:rFonts w:hint="eastAsia"/>
          <w:snapToGrid/>
        </w:rPr>
        <w:t>次定期报告。</w:t>
      </w:r>
    </w:p>
    <w:p w:rsidR="00000000" w:rsidRDefault="00000000">
      <w:pPr>
        <w:rPr>
          <w:rFonts w:hint="eastAsia"/>
          <w:snapToGrid/>
        </w:rPr>
      </w:pPr>
      <w:r>
        <w:rPr>
          <w:rFonts w:hint="eastAsia"/>
          <w:snapToGrid/>
        </w:rPr>
        <w:tab/>
        <w:t xml:space="preserve">212.  </w:t>
      </w:r>
      <w:r>
        <w:rPr>
          <w:rFonts w:hint="eastAsia"/>
          <w:snapToGrid/>
        </w:rPr>
        <w:t>对于在</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日或其后出生的儿童，父母津贴的期效延长了</w:t>
      </w:r>
      <w:r>
        <w:rPr>
          <w:rFonts w:hint="eastAsia"/>
          <w:snapToGrid/>
        </w:rPr>
        <w:t>30</w:t>
      </w:r>
      <w:r>
        <w:rPr>
          <w:rFonts w:hint="eastAsia"/>
          <w:snapToGrid/>
        </w:rPr>
        <w:t>天，一共为</w:t>
      </w:r>
      <w:r>
        <w:rPr>
          <w:rFonts w:hint="eastAsia"/>
          <w:snapToGrid/>
        </w:rPr>
        <w:t>480</w:t>
      </w:r>
      <w:r>
        <w:rPr>
          <w:rFonts w:hint="eastAsia"/>
          <w:snapToGrid/>
        </w:rPr>
        <w:t>天，其中</w:t>
      </w:r>
      <w:r>
        <w:rPr>
          <w:rFonts w:hint="eastAsia"/>
          <w:snapToGrid/>
        </w:rPr>
        <w:t>60</w:t>
      </w:r>
      <w:r>
        <w:rPr>
          <w:rFonts w:hint="eastAsia"/>
          <w:snapToGrid/>
        </w:rPr>
        <w:t>天是当父母双方共同监护时为父母的每一方所保留的。父母也可以选择提取八分之一的父母津贴。在作出改变之前，父母只能提取完全的、四分之三、一半和四分之一的父母津贴来照管孩子。父母津贴的基本水平</w:t>
      </w:r>
      <w:r>
        <w:rPr>
          <w:rFonts w:hint="eastAsia"/>
          <w:snapToGrid/>
        </w:rPr>
        <w:t>(</w:t>
      </w:r>
      <w:r>
        <w:rPr>
          <w:rFonts w:hint="eastAsia"/>
          <w:snapToGrid/>
        </w:rPr>
        <w:t>以前称为保证水平</w:t>
      </w:r>
      <w:r>
        <w:rPr>
          <w:rFonts w:hint="eastAsia"/>
          <w:snapToGrid/>
        </w:rPr>
        <w:t>)</w:t>
      </w:r>
      <w:r>
        <w:rPr>
          <w:rFonts w:hint="eastAsia"/>
          <w:snapToGrid/>
        </w:rPr>
        <w:t>现在是每一津贴日</w:t>
      </w:r>
      <w:r>
        <w:rPr>
          <w:rFonts w:hint="eastAsia"/>
          <w:snapToGrid/>
        </w:rPr>
        <w:t>180</w:t>
      </w:r>
      <w:r>
        <w:rPr>
          <w:rFonts w:hint="eastAsia"/>
          <w:snapToGrid/>
        </w:rPr>
        <w:t>瑞典克朗。除这些日子以外，每增加</w:t>
      </w:r>
      <w:r>
        <w:rPr>
          <w:rFonts w:hint="eastAsia"/>
          <w:snapToGrid/>
        </w:rPr>
        <w:t>90</w:t>
      </w:r>
      <w:r>
        <w:rPr>
          <w:rFonts w:hint="eastAsia"/>
          <w:snapToGrid/>
        </w:rPr>
        <w:t>天每天付给</w:t>
      </w:r>
      <w:r>
        <w:rPr>
          <w:rFonts w:hint="eastAsia"/>
          <w:snapToGrid/>
        </w:rPr>
        <w:t>60</w:t>
      </w:r>
      <w:r>
        <w:rPr>
          <w:rFonts w:hint="eastAsia"/>
          <w:snapToGrid/>
        </w:rPr>
        <w:t>瑞典克朗的津贴</w:t>
      </w:r>
      <w:r>
        <w:rPr>
          <w:rFonts w:hint="eastAsia"/>
          <w:snapToGrid/>
        </w:rPr>
        <w:t>(</w:t>
      </w:r>
      <w:r>
        <w:rPr>
          <w:rFonts w:hint="eastAsia"/>
          <w:snapToGrid/>
        </w:rPr>
        <w:t>“最低水平”</w:t>
      </w:r>
      <w:r>
        <w:rPr>
          <w:rFonts w:hint="eastAsia"/>
          <w:snapToGrid/>
        </w:rPr>
        <w:t>)</w:t>
      </w:r>
      <w:r>
        <w:rPr>
          <w:rFonts w:hint="eastAsia"/>
          <w:snapToGrid/>
        </w:rPr>
        <w:t>。从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日起，这个最低水平将增加到每天</w:t>
      </w:r>
      <w:r>
        <w:rPr>
          <w:rFonts w:hint="eastAsia"/>
          <w:snapToGrid/>
        </w:rPr>
        <w:t>180</w:t>
      </w:r>
      <w:r>
        <w:rPr>
          <w:rFonts w:hint="eastAsia"/>
          <w:snapToGrid/>
        </w:rPr>
        <w:t>瑞典克朗。</w:t>
      </w:r>
    </w:p>
    <w:p w:rsidR="00000000" w:rsidRDefault="00000000">
      <w:pPr>
        <w:rPr>
          <w:rFonts w:hint="eastAsia"/>
          <w:snapToGrid/>
        </w:rPr>
      </w:pPr>
      <w:r>
        <w:rPr>
          <w:rFonts w:hint="eastAsia"/>
          <w:snapToGrid/>
        </w:rPr>
        <w:tab/>
        <w:t xml:space="preserve">213.  </w:t>
      </w:r>
      <w:r>
        <w:rPr>
          <w:rFonts w:hint="eastAsia"/>
          <w:snapToGrid/>
        </w:rPr>
        <w:t>将临时父母津贴的权利扩大到了有</w:t>
      </w:r>
      <w:r>
        <w:rPr>
          <w:rFonts w:hint="eastAsia"/>
          <w:snapToGrid/>
        </w:rPr>
        <w:t>18</w:t>
      </w:r>
      <w:r>
        <w:rPr>
          <w:rFonts w:hint="eastAsia"/>
          <w:snapToGrid/>
        </w:rPr>
        <w:t>岁以下重病子女的父母。</w:t>
      </w:r>
    </w:p>
    <w:p w:rsidR="00000000" w:rsidRDefault="00000000">
      <w:pPr>
        <w:rPr>
          <w:rFonts w:hint="eastAsia"/>
          <w:snapToGrid/>
        </w:rPr>
      </w:pPr>
      <w:r>
        <w:rPr>
          <w:rFonts w:hint="eastAsia"/>
          <w:snapToGrid/>
        </w:rPr>
        <w:tab/>
        <w:t xml:space="preserve">214.  </w:t>
      </w:r>
      <w:r>
        <w:rPr>
          <w:rFonts w:hint="eastAsia"/>
          <w:snapToGrid/>
        </w:rPr>
        <w:t>可以向新的父亲支付</w:t>
      </w:r>
      <w:r>
        <w:rPr>
          <w:rFonts w:hint="eastAsia"/>
          <w:snapToGrid/>
        </w:rPr>
        <w:t>10</w:t>
      </w:r>
      <w:r>
        <w:rPr>
          <w:rFonts w:hint="eastAsia"/>
          <w:snapToGrid/>
        </w:rPr>
        <w:t>天的临时父母津贴，现在在某些情况下可以向另一个人支付。</w:t>
      </w:r>
    </w:p>
    <w:p w:rsidR="00000000" w:rsidRDefault="00000000">
      <w:pPr>
        <w:rPr>
          <w:rFonts w:hint="eastAsia"/>
          <w:snapToGrid/>
        </w:rPr>
      </w:pPr>
      <w:r>
        <w:rPr>
          <w:rFonts w:hint="eastAsia"/>
          <w:snapToGrid/>
        </w:rPr>
        <w:tab/>
        <w:t xml:space="preserve">215.  </w:t>
      </w:r>
      <w:r>
        <w:rPr>
          <w:rFonts w:hint="eastAsia"/>
          <w:snapToGrid/>
        </w:rPr>
        <w:t>某些残疾子女的父母拥有每年与每名子女接触</w:t>
      </w:r>
      <w:r>
        <w:rPr>
          <w:rFonts w:hint="eastAsia"/>
          <w:snapToGrid/>
        </w:rPr>
        <w:t>10</w:t>
      </w:r>
      <w:r>
        <w:rPr>
          <w:rFonts w:hint="eastAsia"/>
          <w:snapToGrid/>
        </w:rPr>
        <w:t>天的权利，直到该子女达到</w:t>
      </w:r>
      <w:r>
        <w:rPr>
          <w:rFonts w:hint="eastAsia"/>
          <w:snapToGrid/>
        </w:rPr>
        <w:t>16</w:t>
      </w:r>
      <w:r>
        <w:rPr>
          <w:rFonts w:hint="eastAsia"/>
          <w:snapToGrid/>
        </w:rPr>
        <w:t>岁为止。</w:t>
      </w:r>
    </w:p>
    <w:p w:rsidR="00000000" w:rsidRDefault="00000000">
      <w:pPr>
        <w:spacing w:after="240"/>
        <w:rPr>
          <w:rFonts w:hint="eastAsia"/>
          <w:snapToGrid/>
        </w:rPr>
      </w:pPr>
      <w:r>
        <w:rPr>
          <w:rFonts w:hint="eastAsia"/>
          <w:snapToGrid/>
        </w:rPr>
        <w:tab/>
        <w:t xml:space="preserve">216.  </w:t>
      </w:r>
      <w:r>
        <w:rPr>
          <w:rFonts w:hint="eastAsia"/>
          <w:snapToGrid/>
        </w:rPr>
        <w:t>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日起，父母保险的收入最高额将从</w:t>
      </w:r>
      <w:r>
        <w:rPr>
          <w:rFonts w:hint="eastAsia"/>
          <w:snapToGrid/>
        </w:rPr>
        <w:t>7.5</w:t>
      </w:r>
      <w:r>
        <w:rPr>
          <w:rFonts w:hint="eastAsia"/>
          <w:snapToGrid/>
        </w:rPr>
        <w:t>个增加到</w:t>
      </w:r>
      <w:r>
        <w:rPr>
          <w:rFonts w:hint="eastAsia"/>
          <w:snapToGrid/>
        </w:rPr>
        <w:t>10</w:t>
      </w:r>
      <w:r>
        <w:rPr>
          <w:rFonts w:hint="eastAsia"/>
          <w:snapToGrid/>
        </w:rPr>
        <w:t>个物价基数。</w:t>
      </w:r>
    </w:p>
    <w:p w:rsidR="00000000" w:rsidRDefault="00000000">
      <w:pPr>
        <w:pStyle w:val="Heading4"/>
        <w:rPr>
          <w:rFonts w:hint="eastAsia"/>
        </w:rPr>
      </w:pPr>
      <w:r>
        <w:rPr>
          <w:rFonts w:hint="eastAsia"/>
        </w:rPr>
        <w:t>退休、无工作能力和遗属津贴</w:t>
      </w:r>
    </w:p>
    <w:p w:rsidR="00000000" w:rsidRDefault="00000000">
      <w:pPr>
        <w:rPr>
          <w:rFonts w:hint="eastAsia"/>
          <w:snapToGrid/>
        </w:rPr>
      </w:pPr>
      <w:r>
        <w:rPr>
          <w:rFonts w:hint="eastAsia"/>
          <w:snapToGrid/>
        </w:rPr>
        <w:tab/>
        <w:t xml:space="preserve">217.  </w:t>
      </w:r>
      <w:r>
        <w:rPr>
          <w:rFonts w:hint="eastAsia"/>
          <w:snapToGrid/>
        </w:rPr>
        <w:t>从</w:t>
      </w:r>
      <w:r>
        <w:rPr>
          <w:rFonts w:hint="eastAsia"/>
          <w:snapToGrid/>
        </w:rPr>
        <w:t>2003</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退休养老金、遗属养恤金和无工作能力养恤金方案有所更改。无工作能力养恤金和伤残津贴停止发放，代之以活动补偿和疾病补偿。方案有所更改。这个津贴现在属于社会保险规划，不再是养恤金系统的一部分。欲了解对这个方案更加详尽的描述，请参看瑞典在劳工组织第</w:t>
      </w:r>
      <w:r>
        <w:rPr>
          <w:rFonts w:hint="eastAsia"/>
          <w:snapToGrid/>
        </w:rPr>
        <w:t>1</w:t>
      </w:r>
      <w:r>
        <w:rPr>
          <w:snapToGrid/>
        </w:rPr>
        <w:t>2</w:t>
      </w:r>
      <w:r>
        <w:rPr>
          <w:rFonts w:hint="eastAsia"/>
          <w:snapToGrid/>
        </w:rPr>
        <w:t>8</w:t>
      </w:r>
      <w:r>
        <w:rPr>
          <w:rFonts w:hint="eastAsia"/>
          <w:snapToGrid/>
        </w:rPr>
        <w:t>号公约之下提交的最近的报告。</w:t>
      </w:r>
    </w:p>
    <w:p w:rsidR="00000000" w:rsidRDefault="00000000">
      <w:pPr>
        <w:rPr>
          <w:rFonts w:hint="eastAsia"/>
          <w:snapToGrid/>
        </w:rPr>
      </w:pPr>
      <w:r>
        <w:rPr>
          <w:rFonts w:hint="eastAsia"/>
          <w:snapToGrid/>
        </w:rPr>
        <w:tab/>
        <w:t xml:space="preserve">218.  </w:t>
      </w:r>
      <w:r>
        <w:rPr>
          <w:rFonts w:hint="eastAsia"/>
          <w:snapToGrid/>
        </w:rPr>
        <w:t>对于</w:t>
      </w:r>
      <w:r>
        <w:rPr>
          <w:rFonts w:hint="eastAsia"/>
          <w:snapToGrid/>
        </w:rPr>
        <w:t>1938</w:t>
      </w:r>
      <w:r>
        <w:rPr>
          <w:rFonts w:hint="eastAsia"/>
          <w:snapToGrid/>
        </w:rPr>
        <w:t>年或其后出生的人，取消了领取养恤金的最低年龄为</w:t>
      </w:r>
      <w:r>
        <w:rPr>
          <w:rFonts w:hint="eastAsia"/>
          <w:snapToGrid/>
        </w:rPr>
        <w:t>16</w:t>
      </w:r>
      <w:r>
        <w:rPr>
          <w:rFonts w:hint="eastAsia"/>
          <w:snapToGrid/>
        </w:rPr>
        <w:t>岁的规定。为之挣得领取养恤金权利的整个一生的收入，现在给予领取养恤金的资格。</w:t>
      </w:r>
    </w:p>
    <w:p w:rsidR="00000000" w:rsidRDefault="00000000">
      <w:pPr>
        <w:rPr>
          <w:rFonts w:hint="eastAsia"/>
          <w:snapToGrid/>
        </w:rPr>
      </w:pPr>
      <w:r>
        <w:rPr>
          <w:rFonts w:hint="eastAsia"/>
          <w:snapToGrid/>
        </w:rPr>
        <w:tab/>
        <w:t xml:space="preserve">219.  </w:t>
      </w:r>
      <w:r>
        <w:rPr>
          <w:rFonts w:hint="eastAsia"/>
          <w:snapToGrid/>
        </w:rPr>
        <w:t>使得领养父母可以计算童年早期可领养恤金金额的规则已经有了改进。</w:t>
      </w:r>
    </w:p>
    <w:p w:rsidR="00000000" w:rsidRDefault="00000000">
      <w:pPr>
        <w:rPr>
          <w:rFonts w:hint="eastAsia"/>
          <w:snapToGrid/>
        </w:rPr>
      </w:pPr>
      <w:r>
        <w:rPr>
          <w:rFonts w:hint="eastAsia"/>
          <w:snapToGrid/>
        </w:rPr>
        <w:tab/>
        <w:t xml:space="preserve">220.  </w:t>
      </w:r>
      <w:r>
        <w:rPr>
          <w:rFonts w:hint="eastAsia"/>
          <w:snapToGrid/>
        </w:rPr>
        <w:t>向在</w:t>
      </w:r>
      <w:r>
        <w:rPr>
          <w:rFonts w:hint="eastAsia"/>
          <w:snapToGrid/>
        </w:rPr>
        <w:t>2005</w:t>
      </w:r>
      <w:r>
        <w:rPr>
          <w:rFonts w:hint="eastAsia"/>
          <w:snapToGrid/>
        </w:rPr>
        <w:t>年以后去世的人的遗属发放的转换养恤金和保证养恤金从过去可发</w:t>
      </w:r>
      <w:r>
        <w:rPr>
          <w:rFonts w:hint="eastAsia"/>
          <w:snapToGrid/>
        </w:rPr>
        <w:t>10</w:t>
      </w:r>
      <w:r>
        <w:rPr>
          <w:rFonts w:hint="eastAsia"/>
          <w:snapToGrid/>
        </w:rPr>
        <w:t>个月延长到现在可发</w:t>
      </w:r>
      <w:r>
        <w:rPr>
          <w:rFonts w:hint="eastAsia"/>
          <w:snapToGrid/>
        </w:rPr>
        <w:t>12</w:t>
      </w:r>
      <w:r>
        <w:rPr>
          <w:rFonts w:hint="eastAsia"/>
          <w:snapToGrid/>
        </w:rPr>
        <w:t>个月。与从前一样，如果遗属与一名不满</w:t>
      </w:r>
      <w:r>
        <w:rPr>
          <w:rFonts w:hint="eastAsia"/>
          <w:snapToGrid/>
        </w:rPr>
        <w:t>12</w:t>
      </w:r>
      <w:r>
        <w:rPr>
          <w:rFonts w:hint="eastAsia"/>
          <w:snapToGrid/>
        </w:rPr>
        <w:t>岁的儿童一起生活，该津贴可以发给更长的时限。</w:t>
      </w:r>
    </w:p>
    <w:p w:rsidR="00000000" w:rsidRDefault="00000000">
      <w:pPr>
        <w:rPr>
          <w:rFonts w:hint="eastAsia"/>
          <w:snapToGrid/>
        </w:rPr>
      </w:pPr>
      <w:r>
        <w:rPr>
          <w:rFonts w:hint="eastAsia"/>
          <w:snapToGrid/>
        </w:rPr>
        <w:tab/>
        <w:t xml:space="preserve">221.  </w:t>
      </w:r>
      <w:r>
        <w:rPr>
          <w:rFonts w:hint="eastAsia"/>
          <w:snapToGrid/>
        </w:rPr>
        <w:t>向老人和其他人发给住房补助的规则进行了改革。住房补助发给在瑞典居住的，领取下列养恤金的投保人员：全份退休养老金、疾病补偿或活动补偿、寡妇恤金、特别遗属养恤金或妻子养恤金。津贴的数额取决于申请人的住房费用和收入。对于超过</w:t>
      </w:r>
      <w:r>
        <w:rPr>
          <w:rFonts w:hint="eastAsia"/>
          <w:snapToGrid/>
        </w:rPr>
        <w:t>65</w:t>
      </w:r>
      <w:r>
        <w:rPr>
          <w:rFonts w:hint="eastAsia"/>
          <w:snapToGrid/>
        </w:rPr>
        <w:t>岁的人，住房补助的最高额是该部分每月住房费用的</w:t>
      </w:r>
      <w:r>
        <w:rPr>
          <w:rFonts w:hint="eastAsia"/>
          <w:snapToGrid/>
        </w:rPr>
        <w:t>91%</w:t>
      </w:r>
      <w:r>
        <w:rPr>
          <w:rFonts w:hint="eastAsia"/>
          <w:snapToGrid/>
        </w:rPr>
        <w:t>，单身人士不超过</w:t>
      </w:r>
      <w:r>
        <w:rPr>
          <w:rFonts w:hint="eastAsia"/>
          <w:snapToGrid/>
        </w:rPr>
        <w:t>4,850</w:t>
      </w:r>
      <w:r>
        <w:rPr>
          <w:rFonts w:hint="eastAsia"/>
          <w:snapToGrid/>
        </w:rPr>
        <w:t>瑞典克朗，已婚人士不超过</w:t>
      </w:r>
      <w:r>
        <w:rPr>
          <w:rFonts w:hint="eastAsia"/>
          <w:snapToGrid/>
        </w:rPr>
        <w:t>2,425</w:t>
      </w:r>
      <w:r>
        <w:rPr>
          <w:rFonts w:hint="eastAsia"/>
          <w:snapToGrid/>
        </w:rPr>
        <w:t>瑞典克朗。有资格领取住房补助的其他人的相应数额分别是</w:t>
      </w:r>
      <w:r>
        <w:rPr>
          <w:rFonts w:hint="eastAsia"/>
          <w:snapToGrid/>
        </w:rPr>
        <w:t>4,500</w:t>
      </w:r>
      <w:r>
        <w:rPr>
          <w:rFonts w:hint="eastAsia"/>
          <w:snapToGrid/>
        </w:rPr>
        <w:t>瑞典克朗和</w:t>
      </w:r>
      <w:r>
        <w:rPr>
          <w:rFonts w:hint="eastAsia"/>
          <w:snapToGrid/>
        </w:rPr>
        <w:t>2,250</w:t>
      </w:r>
      <w:r>
        <w:rPr>
          <w:rFonts w:hint="eastAsia"/>
          <w:snapToGrid/>
        </w:rPr>
        <w:t>瑞典克朗。每名配偶的住房费用以共同住房费用的一半计算。最高额的住房补助根据申请人的住房费用而确定。从这笔金额中扣去申请人收入的一定部分，余额作为住房补助支付。</w:t>
      </w:r>
    </w:p>
    <w:p w:rsidR="00000000" w:rsidRDefault="00000000">
      <w:pPr>
        <w:spacing w:after="240"/>
        <w:rPr>
          <w:rFonts w:hint="eastAsia"/>
          <w:snapToGrid/>
        </w:rPr>
      </w:pPr>
      <w:r>
        <w:rPr>
          <w:rFonts w:hint="eastAsia"/>
          <w:snapToGrid/>
        </w:rPr>
        <w:tab/>
        <w:t xml:space="preserve">222.  </w:t>
      </w:r>
      <w:r>
        <w:rPr>
          <w:rFonts w:hint="eastAsia"/>
          <w:snapToGrid/>
        </w:rPr>
        <w:t>发给老人的赡养资助是在</w:t>
      </w:r>
      <w:r>
        <w:rPr>
          <w:rFonts w:hint="eastAsia"/>
          <w:snapToGrid/>
        </w:rPr>
        <w:t>2003</w:t>
      </w:r>
      <w:r>
        <w:rPr>
          <w:rFonts w:hint="eastAsia"/>
          <w:snapToGrid/>
        </w:rPr>
        <w:t>年提出的一种新型的社会保险，以使得其基本赡养需求未获国家养恤金制度的其他津贴或以其他方式满足的人们维持合理的生活水准。该资助的发放对象是在瑞典居住的</w:t>
      </w:r>
      <w:r>
        <w:rPr>
          <w:rFonts w:hint="eastAsia"/>
          <w:snapToGrid/>
        </w:rPr>
        <w:t>65</w:t>
      </w:r>
      <w:r>
        <w:rPr>
          <w:rFonts w:hint="eastAsia"/>
          <w:snapToGrid/>
        </w:rPr>
        <w:t>岁的</w:t>
      </w:r>
      <w:r>
        <w:rPr>
          <w:rFonts w:hint="eastAsia"/>
          <w:snapToGrid/>
        </w:rPr>
        <w:t>(</w:t>
      </w:r>
      <w:r>
        <w:rPr>
          <w:rFonts w:hint="eastAsia"/>
          <w:snapToGrid/>
        </w:rPr>
        <w:t>含</w:t>
      </w:r>
      <w:r>
        <w:rPr>
          <w:rFonts w:hint="eastAsia"/>
          <w:snapToGrid/>
        </w:rPr>
        <w:t>65</w:t>
      </w:r>
      <w:r>
        <w:rPr>
          <w:rFonts w:hint="eastAsia"/>
          <w:snapToGrid/>
        </w:rPr>
        <w:t>岁</w:t>
      </w:r>
      <w:r>
        <w:rPr>
          <w:rFonts w:hint="eastAsia"/>
          <w:snapToGrid/>
        </w:rPr>
        <w:t>)</w:t>
      </w:r>
      <w:r>
        <w:rPr>
          <w:rFonts w:hint="eastAsia"/>
          <w:snapToGrid/>
        </w:rPr>
        <w:t>以上的人。发给老人的赡养资助完全经过经济情况调查，按照申请人的收入计算。提供的赡养资助达到一个合理的生活水准，据认为，对单身人士相当于</w:t>
      </w:r>
      <w:r>
        <w:rPr>
          <w:rFonts w:hint="eastAsia"/>
          <w:snapToGrid/>
        </w:rPr>
        <w:t>1.294</w:t>
      </w:r>
      <w:r>
        <w:rPr>
          <w:rFonts w:hint="eastAsia"/>
          <w:snapToGrid/>
        </w:rPr>
        <w:t>个物价基数，已婚人士或同居人士相当于</w:t>
      </w:r>
      <w:r>
        <w:rPr>
          <w:rFonts w:hint="eastAsia"/>
          <w:snapToGrid/>
        </w:rPr>
        <w:t>1,084</w:t>
      </w:r>
      <w:r>
        <w:rPr>
          <w:rFonts w:hint="eastAsia"/>
          <w:snapToGrid/>
        </w:rPr>
        <w:t>个物价基数。向合理的住房费用提供补助。被认为合理的住房费用是单身人士每月最高数额</w:t>
      </w:r>
      <w:r>
        <w:rPr>
          <w:rFonts w:hint="eastAsia"/>
          <w:snapToGrid/>
        </w:rPr>
        <w:t>6,050</w:t>
      </w:r>
      <w:r>
        <w:rPr>
          <w:rFonts w:hint="eastAsia"/>
          <w:snapToGrid/>
        </w:rPr>
        <w:t>瑞典克朗，已婚人士或同居人士每月最高数额</w:t>
      </w:r>
      <w:r>
        <w:rPr>
          <w:rFonts w:hint="eastAsia"/>
          <w:snapToGrid/>
        </w:rPr>
        <w:t>3,025</w:t>
      </w:r>
      <w:r>
        <w:rPr>
          <w:rFonts w:hint="eastAsia"/>
          <w:snapToGrid/>
        </w:rPr>
        <w:t>瑞典克朗。每名配偶的住房费用以共同住房费用的一半计算。</w:t>
      </w:r>
      <w:r>
        <w:rPr>
          <w:rFonts w:hint="eastAsia"/>
          <w:snapToGrid/>
        </w:rPr>
        <w:t>2006</w:t>
      </w:r>
      <w:r>
        <w:rPr>
          <w:rFonts w:hint="eastAsia"/>
          <w:snapToGrid/>
        </w:rPr>
        <w:t>年的物价基数确定为</w:t>
      </w:r>
      <w:r>
        <w:rPr>
          <w:rFonts w:hint="eastAsia"/>
          <w:snapToGrid/>
        </w:rPr>
        <w:t>39,700</w:t>
      </w:r>
      <w:r>
        <w:rPr>
          <w:rFonts w:hint="eastAsia"/>
          <w:snapToGrid/>
        </w:rPr>
        <w:t>瑞典克朗。</w:t>
      </w:r>
    </w:p>
    <w:p w:rsidR="00000000" w:rsidRDefault="00000000">
      <w:pPr>
        <w:pStyle w:val="Heading4"/>
        <w:rPr>
          <w:rFonts w:hint="eastAsia"/>
        </w:rPr>
      </w:pPr>
      <w:r>
        <w:rPr>
          <w:rFonts w:hint="eastAsia"/>
        </w:rPr>
        <w:t>残疾人士的其他津贴</w:t>
      </w:r>
    </w:p>
    <w:p w:rsidR="00000000" w:rsidRDefault="00000000">
      <w:pPr>
        <w:rPr>
          <w:rFonts w:hint="eastAsia"/>
          <w:snapToGrid/>
        </w:rPr>
      </w:pPr>
      <w:r>
        <w:rPr>
          <w:rFonts w:hint="eastAsia"/>
          <w:snapToGrid/>
        </w:rPr>
        <w:tab/>
        <w:t xml:space="preserve">223.  </w:t>
      </w:r>
      <w:r>
        <w:rPr>
          <w:rFonts w:hint="eastAsia"/>
          <w:snapToGrid/>
        </w:rPr>
        <w:t>请参看瑞典在劳工组织第</w:t>
      </w:r>
      <w:r>
        <w:rPr>
          <w:rFonts w:hint="eastAsia"/>
          <w:snapToGrid/>
        </w:rPr>
        <w:t>10</w:t>
      </w:r>
      <w:r>
        <w:rPr>
          <w:snapToGrid/>
        </w:rPr>
        <w:t>2</w:t>
      </w:r>
      <w:r>
        <w:rPr>
          <w:rFonts w:hint="eastAsia"/>
          <w:snapToGrid/>
        </w:rPr>
        <w:t>号公约之下提交的最近的报告和第</w:t>
      </w:r>
      <w:r>
        <w:rPr>
          <w:rFonts w:hint="eastAsia"/>
          <w:snapToGrid/>
        </w:rPr>
        <w:t>4</w:t>
      </w:r>
      <w:r>
        <w:rPr>
          <w:rFonts w:hint="eastAsia"/>
          <w:snapToGrid/>
        </w:rPr>
        <w:t>次定期报告。</w:t>
      </w:r>
    </w:p>
    <w:p w:rsidR="00000000" w:rsidRDefault="00000000">
      <w:pPr>
        <w:spacing w:after="240"/>
        <w:rPr>
          <w:rFonts w:hint="eastAsia"/>
          <w:snapToGrid/>
        </w:rPr>
      </w:pPr>
      <w:r>
        <w:rPr>
          <w:rFonts w:hint="eastAsia"/>
          <w:snapToGrid/>
        </w:rPr>
        <w:tab/>
        <w:t xml:space="preserve">224.  </w:t>
      </w:r>
      <w:r>
        <w:rPr>
          <w:rFonts w:hint="eastAsia"/>
          <w:snapToGrid/>
        </w:rPr>
        <w:t>伤残津贴从投保人员满</w:t>
      </w:r>
      <w:r>
        <w:rPr>
          <w:rFonts w:hint="eastAsia"/>
          <w:snapToGrid/>
        </w:rPr>
        <w:t>19</w:t>
      </w:r>
      <w:r>
        <w:rPr>
          <w:rFonts w:hint="eastAsia"/>
          <w:snapToGrid/>
        </w:rPr>
        <w:t>岁那年的</w:t>
      </w:r>
      <w:r>
        <w:rPr>
          <w:rFonts w:hint="eastAsia"/>
          <w:snapToGrid/>
        </w:rPr>
        <w:t>7</w:t>
      </w:r>
      <w:r>
        <w:rPr>
          <w:rFonts w:hint="eastAsia"/>
          <w:snapToGrid/>
        </w:rPr>
        <w:t>月份开始发放。以前，该津贴是从人员满</w:t>
      </w:r>
      <w:r>
        <w:rPr>
          <w:rFonts w:hint="eastAsia"/>
          <w:snapToGrid/>
        </w:rPr>
        <w:t>16</w:t>
      </w:r>
      <w:r>
        <w:rPr>
          <w:rFonts w:hint="eastAsia"/>
          <w:snapToGrid/>
        </w:rPr>
        <w:t>岁开始发放的。更改的主要原因是让残疾青年人利用教育方案和面向就业的方案，防止很年轻就被排除在社会之外。</w:t>
      </w:r>
    </w:p>
    <w:p w:rsidR="00000000" w:rsidRDefault="00000000">
      <w:pPr>
        <w:pStyle w:val="Heading4"/>
        <w:rPr>
          <w:rFonts w:hint="eastAsia"/>
        </w:rPr>
      </w:pPr>
      <w:r>
        <w:rPr>
          <w:rFonts w:hint="eastAsia"/>
        </w:rPr>
        <w:t>职业伤害津贴</w:t>
      </w:r>
    </w:p>
    <w:p w:rsidR="00000000" w:rsidRDefault="00000000">
      <w:pPr>
        <w:rPr>
          <w:rFonts w:hint="eastAsia"/>
          <w:snapToGrid/>
        </w:rPr>
      </w:pPr>
      <w:r>
        <w:rPr>
          <w:rFonts w:hint="eastAsia"/>
          <w:snapToGrid/>
        </w:rPr>
        <w:tab/>
        <w:t xml:space="preserve">225.  </w:t>
      </w:r>
      <w:r>
        <w:rPr>
          <w:rFonts w:hint="eastAsia"/>
          <w:snapToGrid/>
        </w:rPr>
        <w:t>请参看瑞典在劳工组织第</w:t>
      </w:r>
      <w:r>
        <w:rPr>
          <w:rFonts w:hint="eastAsia"/>
          <w:snapToGrid/>
        </w:rPr>
        <w:t>1</w:t>
      </w:r>
      <w:r>
        <w:rPr>
          <w:snapToGrid/>
        </w:rPr>
        <w:t>2</w:t>
      </w:r>
      <w:r>
        <w:rPr>
          <w:rFonts w:hint="eastAsia"/>
          <w:snapToGrid/>
        </w:rPr>
        <w:t>1</w:t>
      </w:r>
      <w:r>
        <w:rPr>
          <w:rFonts w:hint="eastAsia"/>
          <w:snapToGrid/>
        </w:rPr>
        <w:t>号公约之下提交的最近的报告和第</w:t>
      </w:r>
      <w:r>
        <w:rPr>
          <w:rFonts w:hint="eastAsia"/>
          <w:snapToGrid/>
        </w:rPr>
        <w:t>4</w:t>
      </w:r>
      <w:r>
        <w:rPr>
          <w:rFonts w:hint="eastAsia"/>
          <w:snapToGrid/>
        </w:rPr>
        <w:t>次定期报告。</w:t>
      </w:r>
    </w:p>
    <w:p w:rsidR="00000000" w:rsidRDefault="00000000">
      <w:pPr>
        <w:rPr>
          <w:rFonts w:hint="eastAsia"/>
          <w:snapToGrid/>
        </w:rPr>
      </w:pPr>
      <w:r>
        <w:rPr>
          <w:rFonts w:hint="eastAsia"/>
          <w:snapToGrid/>
        </w:rPr>
        <w:tab/>
        <w:t xml:space="preserve">226.  </w:t>
      </w:r>
      <w:r>
        <w:rPr>
          <w:rFonts w:hint="eastAsia"/>
          <w:snapToGrid/>
        </w:rPr>
        <w:t>职业伤害保险的举证责任规则在</w:t>
      </w:r>
      <w:r>
        <w:rPr>
          <w:rFonts w:hint="eastAsia"/>
          <w:snapToGrid/>
        </w:rPr>
        <w:t>2002</w:t>
      </w:r>
      <w:r>
        <w:rPr>
          <w:rFonts w:hint="eastAsia"/>
          <w:snapToGrid/>
        </w:rPr>
        <w:t>年有了更改，将适用于</w:t>
      </w:r>
      <w:r>
        <w:rPr>
          <w:rFonts w:hint="eastAsia"/>
          <w:snapToGrid/>
        </w:rPr>
        <w:t>2002</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以后所提交的伤害案。目前，进行评估有统一的举证要求。如果有显著的原因表明，职业伤害应视为是由于事故或其他有害影响所产生的。在对职业伤害进行评估时，应当对各种独立的条件进行全面评估。在过去，评估分两个阶段：伤害程度和关联作用。</w:t>
      </w:r>
    </w:p>
    <w:p w:rsidR="00000000" w:rsidRDefault="00000000">
      <w:pPr>
        <w:spacing w:after="240"/>
        <w:rPr>
          <w:rFonts w:hint="eastAsia"/>
          <w:snapToGrid/>
        </w:rPr>
      </w:pPr>
      <w:r>
        <w:rPr>
          <w:rFonts w:hint="eastAsia"/>
          <w:snapToGrid/>
        </w:rPr>
        <w:tab/>
        <w:t xml:space="preserve">227.  </w:t>
      </w:r>
      <w:r>
        <w:rPr>
          <w:rFonts w:hint="eastAsia"/>
          <w:snapToGrid/>
        </w:rPr>
        <w:t>实施了目的在于补偿人们在疾病保险制度中的等候期的特别职业伤害补偿。这是发放给由于职业伤害处成收入损失而获许补偿的人的，并且用意是补偿两天等候期的收入损失。如果投保人的等候期不止两天，则可以为额外的天数支付特别职业伤害补偿。所支付的特别职业伤害补偿金额，是作出决定日期实行的年金数额的</w:t>
      </w:r>
      <w:r>
        <w:rPr>
          <w:rFonts w:hint="eastAsia"/>
          <w:snapToGrid/>
        </w:rPr>
        <w:t>80%</w:t>
      </w:r>
      <w:r>
        <w:rPr>
          <w:rFonts w:hint="eastAsia"/>
          <w:snapToGrid/>
        </w:rPr>
        <w:t>除以</w:t>
      </w:r>
      <w:r>
        <w:rPr>
          <w:rFonts w:hint="eastAsia"/>
          <w:snapToGrid/>
        </w:rPr>
        <w:t>365</w:t>
      </w:r>
      <w:r>
        <w:rPr>
          <w:rFonts w:hint="eastAsia"/>
          <w:snapToGrid/>
        </w:rPr>
        <w:t>。重新计算职业伤害补偿年金的规则已经更改。年金目前与指数挂钩，以便考虑到总的收入趋势。</w:t>
      </w:r>
    </w:p>
    <w:p w:rsidR="00000000" w:rsidRDefault="00000000">
      <w:pPr>
        <w:pStyle w:val="Heading4"/>
        <w:rPr>
          <w:rFonts w:hint="eastAsia"/>
        </w:rPr>
      </w:pPr>
      <w:r>
        <w:rPr>
          <w:rFonts w:hint="eastAsia"/>
        </w:rPr>
        <w:t>失业津贴</w:t>
      </w:r>
    </w:p>
    <w:p w:rsidR="00000000" w:rsidRDefault="00000000">
      <w:pPr>
        <w:rPr>
          <w:rFonts w:hint="eastAsia"/>
          <w:snapToGrid/>
        </w:rPr>
      </w:pPr>
      <w:r>
        <w:rPr>
          <w:rFonts w:hint="eastAsia"/>
          <w:snapToGrid/>
        </w:rPr>
        <w:tab/>
        <w:t xml:space="preserve">228.  </w:t>
      </w:r>
      <w:r>
        <w:rPr>
          <w:rFonts w:hint="eastAsia"/>
          <w:snapToGrid/>
        </w:rPr>
        <w:t>失业保险目前由</w:t>
      </w:r>
      <w:r>
        <w:rPr>
          <w:rFonts w:hint="eastAsia"/>
          <w:snapToGrid/>
        </w:rPr>
        <w:t>37</w:t>
      </w:r>
      <w:r>
        <w:rPr>
          <w:rFonts w:hint="eastAsia"/>
          <w:snapToGrid/>
        </w:rPr>
        <w:t>个失业保险基金管理，其中</w:t>
      </w:r>
      <w:r>
        <w:rPr>
          <w:rFonts w:hint="eastAsia"/>
          <w:snapToGrid/>
        </w:rPr>
        <w:t>36</w:t>
      </w:r>
      <w:r>
        <w:rPr>
          <w:rFonts w:hint="eastAsia"/>
          <w:snapToGrid/>
        </w:rPr>
        <w:t>个与劳工市场的一个具体部门挂钩，向在这个部门工作的任何人开放。</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日开始的一个失业保险基金的涉及面较大，向劳工市场的所有部门的每一个人开放。这个新的失业保险基金还管理不属于一个失业保险基金成员的人的基本津贴。失业保险包括与收入有关的补偿和基本津贴。</w:t>
      </w:r>
    </w:p>
    <w:p w:rsidR="00000000" w:rsidRDefault="00000000">
      <w:pPr>
        <w:rPr>
          <w:rFonts w:hint="eastAsia"/>
          <w:snapToGrid/>
        </w:rPr>
      </w:pPr>
      <w:r>
        <w:rPr>
          <w:rFonts w:hint="eastAsia"/>
          <w:snapToGrid/>
        </w:rPr>
        <w:tab/>
        <w:t xml:space="preserve">229.  </w:t>
      </w:r>
      <w:r>
        <w:rPr>
          <w:rFonts w:hint="eastAsia"/>
          <w:snapToGrid/>
        </w:rPr>
        <w:t>为了有资格获得与收入有关的补偿，人们必须至少在</w:t>
      </w:r>
      <w:r>
        <w:rPr>
          <w:rFonts w:hint="eastAsia"/>
          <w:snapToGrid/>
        </w:rPr>
        <w:t>12</w:t>
      </w:r>
      <w:r>
        <w:rPr>
          <w:rFonts w:hint="eastAsia"/>
          <w:snapToGrid/>
        </w:rPr>
        <w:t>个月里是一个失业保险基金的成员以及符合一般条件</w:t>
      </w:r>
      <w:r>
        <w:rPr>
          <w:rFonts w:hint="eastAsia"/>
          <w:snapToGrid/>
        </w:rPr>
        <w:t>(</w:t>
      </w:r>
      <w:r>
        <w:rPr>
          <w:rFonts w:hint="eastAsia"/>
          <w:snapToGrid/>
        </w:rPr>
        <w:t>例如在就业服务署登记为一名求职者、失业、正在积极寻找工作并且愿意接受如给予的合适工作</w:t>
      </w:r>
      <w:r>
        <w:rPr>
          <w:rFonts w:hint="eastAsia"/>
          <w:snapToGrid/>
        </w:rPr>
        <w:t>)</w:t>
      </w:r>
      <w:r>
        <w:rPr>
          <w:rFonts w:hint="eastAsia"/>
          <w:snapToGrid/>
        </w:rPr>
        <w:t>和符合一个就业条件。如果该人在过去</w:t>
      </w:r>
      <w:r>
        <w:rPr>
          <w:rFonts w:hint="eastAsia"/>
          <w:snapToGrid/>
        </w:rPr>
        <w:t>12</w:t>
      </w:r>
      <w:r>
        <w:rPr>
          <w:rFonts w:hint="eastAsia"/>
          <w:snapToGrid/>
        </w:rPr>
        <w:t>个月里曾经有薪酬地被雇佣至少</w:t>
      </w:r>
      <w:r>
        <w:rPr>
          <w:rFonts w:hint="eastAsia"/>
          <w:snapToGrid/>
        </w:rPr>
        <w:t>6</w:t>
      </w:r>
      <w:r>
        <w:rPr>
          <w:rFonts w:hint="eastAsia"/>
          <w:snapToGrid/>
        </w:rPr>
        <w:t>个月，每月至少工作</w:t>
      </w:r>
      <w:r>
        <w:rPr>
          <w:rFonts w:hint="eastAsia"/>
          <w:snapToGrid/>
        </w:rPr>
        <w:t>70</w:t>
      </w:r>
      <w:r>
        <w:rPr>
          <w:rFonts w:hint="eastAsia"/>
          <w:snapToGrid/>
        </w:rPr>
        <w:t>小时，或曾经在连续</w:t>
      </w:r>
      <w:r>
        <w:rPr>
          <w:rFonts w:hint="eastAsia"/>
          <w:snapToGrid/>
        </w:rPr>
        <w:t>6</w:t>
      </w:r>
      <w:r>
        <w:rPr>
          <w:rFonts w:hint="eastAsia"/>
          <w:snapToGrid/>
        </w:rPr>
        <w:t>个月至少工作</w:t>
      </w:r>
      <w:r>
        <w:rPr>
          <w:rFonts w:hint="eastAsia"/>
          <w:snapToGrid/>
        </w:rPr>
        <w:t>450</w:t>
      </w:r>
      <w:r>
        <w:rPr>
          <w:rFonts w:hint="eastAsia"/>
          <w:snapToGrid/>
        </w:rPr>
        <w:t>小时，每月至少工作</w:t>
      </w:r>
      <w:r>
        <w:rPr>
          <w:rFonts w:hint="eastAsia"/>
          <w:snapToGrid/>
        </w:rPr>
        <w:t>45</w:t>
      </w:r>
      <w:r>
        <w:rPr>
          <w:rFonts w:hint="eastAsia"/>
          <w:snapToGrid/>
        </w:rPr>
        <w:t>小时，就符合这个就业条件。与收入有关的补偿是发给投保人在失业之前的正常收入的</w:t>
      </w:r>
      <w:r>
        <w:rPr>
          <w:rFonts w:hint="eastAsia"/>
          <w:snapToGrid/>
        </w:rPr>
        <w:t>80%</w:t>
      </w:r>
      <w:r>
        <w:rPr>
          <w:rFonts w:hint="eastAsia"/>
          <w:snapToGrid/>
        </w:rPr>
        <w:t>。最高金额是第一个</w:t>
      </w:r>
      <w:r>
        <w:rPr>
          <w:rFonts w:hint="eastAsia"/>
          <w:snapToGrid/>
        </w:rPr>
        <w:t>100</w:t>
      </w:r>
      <w:r>
        <w:rPr>
          <w:rFonts w:hint="eastAsia"/>
          <w:snapToGrid/>
        </w:rPr>
        <w:t>天每天</w:t>
      </w:r>
      <w:r>
        <w:rPr>
          <w:rFonts w:hint="eastAsia"/>
          <w:snapToGrid/>
        </w:rPr>
        <w:t>730</w:t>
      </w:r>
      <w:r>
        <w:rPr>
          <w:rFonts w:hint="eastAsia"/>
          <w:snapToGrid/>
        </w:rPr>
        <w:t>瑞典克朗，其后期间</w:t>
      </w:r>
      <w:r>
        <w:rPr>
          <w:rFonts w:hint="eastAsia"/>
          <w:snapToGrid/>
        </w:rPr>
        <w:t>(</w:t>
      </w:r>
      <w:r>
        <w:rPr>
          <w:rFonts w:hint="eastAsia"/>
          <w:snapToGrid/>
        </w:rPr>
        <w:t>从第</w:t>
      </w:r>
      <w:r>
        <w:rPr>
          <w:rFonts w:hint="eastAsia"/>
          <w:snapToGrid/>
        </w:rPr>
        <w:t>101</w:t>
      </w:r>
      <w:r>
        <w:rPr>
          <w:rFonts w:hint="eastAsia"/>
          <w:snapToGrid/>
        </w:rPr>
        <w:t>天至第</w:t>
      </w:r>
      <w:r>
        <w:rPr>
          <w:rFonts w:hint="eastAsia"/>
          <w:snapToGrid/>
        </w:rPr>
        <w:t>300</w:t>
      </w:r>
      <w:r>
        <w:rPr>
          <w:rFonts w:hint="eastAsia"/>
          <w:snapToGrid/>
        </w:rPr>
        <w:t>天</w:t>
      </w:r>
      <w:r>
        <w:rPr>
          <w:rFonts w:hint="eastAsia"/>
          <w:snapToGrid/>
        </w:rPr>
        <w:t>)</w:t>
      </w:r>
      <w:r>
        <w:rPr>
          <w:rFonts w:hint="eastAsia"/>
          <w:snapToGrid/>
        </w:rPr>
        <w:t>每天</w:t>
      </w:r>
      <w:r>
        <w:rPr>
          <w:rFonts w:hint="eastAsia"/>
          <w:snapToGrid/>
        </w:rPr>
        <w:t>680</w:t>
      </w:r>
      <w:r>
        <w:rPr>
          <w:rFonts w:hint="eastAsia"/>
          <w:snapToGrid/>
        </w:rPr>
        <w:t>瑞典克朗。</w:t>
      </w:r>
    </w:p>
    <w:p w:rsidR="00000000" w:rsidRDefault="00000000">
      <w:pPr>
        <w:rPr>
          <w:rFonts w:hint="eastAsia"/>
          <w:snapToGrid/>
        </w:rPr>
      </w:pPr>
      <w:r>
        <w:rPr>
          <w:rFonts w:hint="eastAsia"/>
          <w:snapToGrid/>
        </w:rPr>
        <w:tab/>
        <w:t xml:space="preserve">230.  </w:t>
      </w:r>
      <w:r>
        <w:rPr>
          <w:rFonts w:hint="eastAsia"/>
          <w:snapToGrid/>
        </w:rPr>
        <w:t>基本津贴不是以从前的收入为基础，发放给符合一般条件、一个就业条件，或者完成某一具体程度的学业但不符合成员条件，亦即不属于一个失业保险基金的成员的人，或成为成员的时间还够长的人。基本津贴是每天</w:t>
      </w:r>
      <w:r>
        <w:rPr>
          <w:rFonts w:hint="eastAsia"/>
          <w:snapToGrid/>
        </w:rPr>
        <w:t>320</w:t>
      </w:r>
      <w:r>
        <w:rPr>
          <w:rFonts w:hint="eastAsia"/>
          <w:snapToGrid/>
        </w:rPr>
        <w:t>瑞典克朗，如果该补偿所根据的工作是非全日制的，则按比例降低。</w:t>
      </w:r>
    </w:p>
    <w:p w:rsidR="00000000" w:rsidRDefault="00000000">
      <w:pPr>
        <w:rPr>
          <w:rFonts w:hint="eastAsia"/>
          <w:snapToGrid/>
        </w:rPr>
      </w:pPr>
      <w:r>
        <w:rPr>
          <w:rFonts w:hint="eastAsia"/>
          <w:snapToGrid/>
        </w:rPr>
        <w:tab/>
        <w:t xml:space="preserve">231.  </w:t>
      </w:r>
      <w:r>
        <w:rPr>
          <w:rFonts w:hint="eastAsia"/>
          <w:snapToGrid/>
        </w:rPr>
        <w:t>活动保证从</w:t>
      </w:r>
      <w:r>
        <w:rPr>
          <w:rFonts w:hint="eastAsia"/>
          <w:snapToGrid/>
        </w:rPr>
        <w:t>2000</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起在全国生效。活动保证是为具有长期失业风险的人们设立的一个劳工市场政策方案。失业人员参加组织起来的，有较短或较长的就业期和其他劳工市场政策方案的活动支持的全日制活动。活动保证的授予直到这个人在劳工市场上重新安置下来为止。该津贴的数额与失业津贴相同，为那些已经用完他们的失业津贴的人提供了一张经济安全网。</w:t>
      </w:r>
    </w:p>
    <w:p w:rsidR="00000000" w:rsidRDefault="00000000">
      <w:pPr>
        <w:rPr>
          <w:rFonts w:hint="eastAsia"/>
          <w:snapToGrid/>
        </w:rPr>
      </w:pPr>
      <w:r>
        <w:rPr>
          <w:rFonts w:hint="eastAsia"/>
          <w:snapToGrid/>
        </w:rPr>
        <w:tab/>
        <w:t xml:space="preserve">232.  </w:t>
      </w:r>
      <w:r>
        <w:rPr>
          <w:rFonts w:hint="eastAsia"/>
          <w:snapToGrid/>
        </w:rPr>
        <w:t>从</w:t>
      </w:r>
      <w:r>
        <w:rPr>
          <w:rFonts w:hint="eastAsia"/>
          <w:snapToGrid/>
        </w:rPr>
        <w:t>2001</w:t>
      </w:r>
      <w:r>
        <w:rPr>
          <w:rFonts w:hint="eastAsia"/>
          <w:snapToGrid/>
        </w:rPr>
        <w:t>年</w:t>
      </w:r>
      <w:r>
        <w:rPr>
          <w:rFonts w:hint="eastAsia"/>
          <w:snapToGrid/>
        </w:rPr>
        <w:t>2</w:t>
      </w:r>
      <w:r>
        <w:rPr>
          <w:rFonts w:hint="eastAsia"/>
          <w:snapToGrid/>
        </w:rPr>
        <w:t>月以来，失业保险方案发生了下列重大变化：</w:t>
      </w:r>
    </w:p>
    <w:p w:rsidR="00000000" w:rsidRDefault="00000000">
      <w:pPr>
        <w:pStyle w:val="a"/>
        <w:ind w:left="1530"/>
        <w:rPr>
          <w:rFonts w:hint="eastAsia"/>
          <w:snapToGrid/>
        </w:rPr>
      </w:pPr>
      <w:r>
        <w:rPr>
          <w:rFonts w:hint="eastAsia"/>
          <w:snapToGrid/>
        </w:rPr>
        <w:t>废除了重新获得资格的要求。参加劳工市场政策方案不再使人们有权获得一段新的时期的失业津贴；见上文有关活动保证部分；</w:t>
      </w:r>
    </w:p>
    <w:p w:rsidR="00000000" w:rsidRDefault="00000000">
      <w:pPr>
        <w:pStyle w:val="a"/>
        <w:ind w:left="1530"/>
        <w:rPr>
          <w:rFonts w:hint="eastAsia"/>
          <w:snapToGrid/>
        </w:rPr>
      </w:pPr>
      <w:r>
        <w:rPr>
          <w:rFonts w:hint="eastAsia"/>
          <w:snapToGrid/>
        </w:rPr>
        <w:t>最长津贴期限不论年龄，每个人都是</w:t>
      </w:r>
      <w:r>
        <w:rPr>
          <w:rFonts w:hint="eastAsia"/>
          <w:snapToGrid/>
        </w:rPr>
        <w:t>300</w:t>
      </w:r>
      <w:r>
        <w:rPr>
          <w:rFonts w:hint="eastAsia"/>
          <w:snapToGrid/>
        </w:rPr>
        <w:t>个津贴日；</w:t>
      </w:r>
    </w:p>
    <w:p w:rsidR="00000000" w:rsidRDefault="00000000">
      <w:pPr>
        <w:pStyle w:val="a"/>
        <w:ind w:left="1530"/>
        <w:rPr>
          <w:rFonts w:hint="eastAsia"/>
          <w:snapToGrid/>
        </w:rPr>
      </w:pPr>
      <w:r>
        <w:rPr>
          <w:rFonts w:hint="eastAsia"/>
          <w:snapToGrid/>
        </w:rPr>
        <w:t>推行了一段可能延长的，最长期限为</w:t>
      </w:r>
      <w:r>
        <w:rPr>
          <w:rFonts w:hint="eastAsia"/>
          <w:snapToGrid/>
        </w:rPr>
        <w:t>300</w:t>
      </w:r>
      <w:r>
        <w:rPr>
          <w:rFonts w:hint="eastAsia"/>
          <w:snapToGrid/>
        </w:rPr>
        <w:t>个津贴日的津贴期，</w:t>
      </w:r>
      <w:r>
        <w:rPr>
          <w:rFonts w:hint="eastAsia"/>
          <w:snapToGrid/>
          <w:u w:val="single"/>
        </w:rPr>
        <w:t>无需</w:t>
      </w:r>
      <w:r>
        <w:rPr>
          <w:rFonts w:hint="eastAsia"/>
          <w:snapToGrid/>
        </w:rPr>
        <w:t>符合新的就业条件。如果不将申请人转至活动保证，则允许延长；</w:t>
      </w:r>
    </w:p>
    <w:p w:rsidR="00000000" w:rsidRDefault="00000000">
      <w:pPr>
        <w:pStyle w:val="a"/>
        <w:ind w:left="1530"/>
        <w:rPr>
          <w:rFonts w:hint="eastAsia"/>
          <w:snapToGrid/>
        </w:rPr>
      </w:pPr>
      <w:r>
        <w:rPr>
          <w:rFonts w:hint="eastAsia"/>
          <w:snapToGrid/>
        </w:rPr>
        <w:t>头</w:t>
      </w:r>
      <w:r>
        <w:rPr>
          <w:rFonts w:hint="eastAsia"/>
          <w:snapToGrid/>
        </w:rPr>
        <w:t>100</w:t>
      </w:r>
      <w:r>
        <w:rPr>
          <w:rFonts w:hint="eastAsia"/>
          <w:snapToGrid/>
        </w:rPr>
        <w:t>天的最高津贴金额上调。；</w:t>
      </w:r>
    </w:p>
    <w:p w:rsidR="00000000" w:rsidRDefault="00000000">
      <w:pPr>
        <w:pStyle w:val="a"/>
        <w:spacing w:after="240"/>
        <w:ind w:left="1530"/>
        <w:rPr>
          <w:rFonts w:hint="eastAsia"/>
          <w:snapToGrid/>
        </w:rPr>
      </w:pPr>
      <w:r>
        <w:rPr>
          <w:rFonts w:hint="eastAsia"/>
          <w:snapToGrid/>
        </w:rPr>
        <w:t>拒绝所提出的一份合适的工作或拒绝参加一个劳工市场政策方案的后果是，第一次：减少</w:t>
      </w:r>
      <w:r>
        <w:rPr>
          <w:rFonts w:hint="eastAsia"/>
          <w:snapToGrid/>
        </w:rPr>
        <w:t>25%</w:t>
      </w:r>
      <w:r>
        <w:rPr>
          <w:rFonts w:hint="eastAsia"/>
          <w:snapToGrid/>
        </w:rPr>
        <w:t>津贴；第二次：减少</w:t>
      </w:r>
      <w:r>
        <w:rPr>
          <w:rFonts w:hint="eastAsia"/>
          <w:snapToGrid/>
        </w:rPr>
        <w:t>50%</w:t>
      </w:r>
      <w:r>
        <w:rPr>
          <w:rFonts w:hint="eastAsia"/>
          <w:snapToGrid/>
        </w:rPr>
        <w:t>津贴。第三次拒绝时，津贴全部撤销。</w:t>
      </w:r>
    </w:p>
    <w:p w:rsidR="00000000" w:rsidRDefault="00000000">
      <w:pPr>
        <w:pStyle w:val="Heading4"/>
        <w:rPr>
          <w:rFonts w:hint="eastAsia"/>
        </w:rPr>
      </w:pPr>
      <w:r>
        <w:rPr>
          <w:rFonts w:hint="eastAsia"/>
        </w:rPr>
        <w:t>家庭津贴</w:t>
      </w:r>
    </w:p>
    <w:p w:rsidR="00000000" w:rsidRDefault="00000000">
      <w:pPr>
        <w:rPr>
          <w:rFonts w:hint="eastAsia"/>
          <w:snapToGrid/>
        </w:rPr>
      </w:pPr>
      <w:r>
        <w:rPr>
          <w:rFonts w:hint="eastAsia"/>
          <w:snapToGrid/>
        </w:rPr>
        <w:tab/>
        <w:t xml:space="preserve">233.  </w:t>
      </w:r>
      <w:r>
        <w:rPr>
          <w:rFonts w:hint="eastAsia"/>
          <w:snapToGrid/>
        </w:rPr>
        <w:t>请参看瑞典在劳工组织第</w:t>
      </w:r>
      <w:r>
        <w:rPr>
          <w:rFonts w:hint="eastAsia"/>
          <w:snapToGrid/>
        </w:rPr>
        <w:t>10</w:t>
      </w:r>
      <w:r>
        <w:rPr>
          <w:snapToGrid/>
        </w:rPr>
        <w:t>2</w:t>
      </w:r>
      <w:r>
        <w:rPr>
          <w:rFonts w:hint="eastAsia"/>
          <w:snapToGrid/>
        </w:rPr>
        <w:t>号公约之下提交的最近的报告和第</w:t>
      </w:r>
      <w:r>
        <w:rPr>
          <w:rFonts w:hint="eastAsia"/>
          <w:snapToGrid/>
        </w:rPr>
        <w:t>4</w:t>
      </w:r>
      <w:r>
        <w:rPr>
          <w:rFonts w:hint="eastAsia"/>
          <w:snapToGrid/>
        </w:rPr>
        <w:t>次定期报告。并请参看所附的有关瑞典家庭政策的实况报告。</w:t>
      </w:r>
    </w:p>
    <w:p w:rsidR="00000000" w:rsidRDefault="00000000">
      <w:pPr>
        <w:rPr>
          <w:rFonts w:hint="eastAsia"/>
          <w:snapToGrid/>
        </w:rPr>
      </w:pPr>
      <w:r>
        <w:rPr>
          <w:rFonts w:hint="eastAsia"/>
          <w:snapToGrid/>
        </w:rPr>
        <w:tab/>
        <w:t xml:space="preserve">234.  </w:t>
      </w:r>
      <w:r>
        <w:rPr>
          <w:rFonts w:hint="eastAsia"/>
          <w:snapToGrid/>
        </w:rPr>
        <w:t>普遍的育儿津贴目前是每一子女每年</w:t>
      </w:r>
      <w:r>
        <w:rPr>
          <w:rFonts w:hint="eastAsia"/>
          <w:snapToGrid/>
        </w:rPr>
        <w:t>12,600</w:t>
      </w:r>
      <w:r>
        <w:rPr>
          <w:rFonts w:hint="eastAsia"/>
          <w:snapToGrid/>
        </w:rPr>
        <w:t>瑞典克朗，外加向更多的子女付给补助津贴：第二个子女每年</w:t>
      </w:r>
      <w:r>
        <w:rPr>
          <w:rFonts w:hint="eastAsia"/>
          <w:snapToGrid/>
        </w:rPr>
        <w:t>1,200</w:t>
      </w:r>
      <w:r>
        <w:rPr>
          <w:rFonts w:hint="eastAsia"/>
          <w:snapToGrid/>
        </w:rPr>
        <w:t>瑞典克朗，第三个子女每年</w:t>
      </w:r>
      <w:r>
        <w:rPr>
          <w:rFonts w:hint="eastAsia"/>
          <w:snapToGrid/>
        </w:rPr>
        <w:t>4,248</w:t>
      </w:r>
      <w:r>
        <w:rPr>
          <w:rFonts w:hint="eastAsia"/>
          <w:snapToGrid/>
        </w:rPr>
        <w:t>瑞典克朗，第四个子女每年</w:t>
      </w:r>
      <w:r>
        <w:rPr>
          <w:rFonts w:hint="eastAsia"/>
          <w:snapToGrid/>
        </w:rPr>
        <w:t>10,320</w:t>
      </w:r>
      <w:r>
        <w:rPr>
          <w:rFonts w:hint="eastAsia"/>
          <w:snapToGrid/>
        </w:rPr>
        <w:t>瑞典克朗，第五个子女以及五个以上的每一个子女每年</w:t>
      </w:r>
      <w:r>
        <w:rPr>
          <w:rFonts w:hint="eastAsia"/>
          <w:snapToGrid/>
        </w:rPr>
        <w:t>12,600</w:t>
      </w:r>
      <w:r>
        <w:rPr>
          <w:rFonts w:hint="eastAsia"/>
          <w:snapToGrid/>
        </w:rPr>
        <w:t>瑞典克朗。</w:t>
      </w:r>
    </w:p>
    <w:p w:rsidR="00000000" w:rsidRDefault="00000000">
      <w:pPr>
        <w:rPr>
          <w:rFonts w:hint="eastAsia"/>
          <w:snapToGrid/>
        </w:rPr>
      </w:pPr>
      <w:r>
        <w:rPr>
          <w:rFonts w:hint="eastAsia"/>
          <w:snapToGrid/>
        </w:rPr>
        <w:tab/>
        <w:t xml:space="preserve">235.  </w:t>
      </w:r>
      <w:r>
        <w:rPr>
          <w:rFonts w:hint="eastAsia"/>
          <w:snapToGrid/>
        </w:rPr>
        <w:t>赡养资助的数额是每月</w:t>
      </w:r>
      <w:r>
        <w:rPr>
          <w:rFonts w:hint="eastAsia"/>
          <w:snapToGrid/>
        </w:rPr>
        <w:t>1,273</w:t>
      </w:r>
      <w:r>
        <w:rPr>
          <w:rFonts w:hint="eastAsia"/>
          <w:snapToGrid/>
        </w:rPr>
        <w:t>瑞典克朗。根据《瑞典子女和父母法规》的一项修正案，父母有资格就</w:t>
      </w:r>
      <w:r>
        <w:rPr>
          <w:rFonts w:hint="eastAsia"/>
          <w:snapToGrid/>
        </w:rPr>
        <w:t>18</w:t>
      </w:r>
      <w:r>
        <w:rPr>
          <w:rFonts w:hint="eastAsia"/>
          <w:snapToGrid/>
        </w:rPr>
        <w:t>至</w:t>
      </w:r>
      <w:r>
        <w:rPr>
          <w:rFonts w:hint="eastAsia"/>
          <w:snapToGrid/>
        </w:rPr>
        <w:t>21</w:t>
      </w:r>
      <w:r>
        <w:rPr>
          <w:rFonts w:hint="eastAsia"/>
          <w:snapToGrid/>
        </w:rPr>
        <w:t>岁仍然在上学的子女获得延长的赡养资助。</w:t>
      </w:r>
    </w:p>
    <w:p w:rsidR="00000000" w:rsidRDefault="00000000">
      <w:pPr>
        <w:rPr>
          <w:rFonts w:hint="eastAsia"/>
          <w:snapToGrid/>
        </w:rPr>
      </w:pPr>
      <w:r>
        <w:rPr>
          <w:rFonts w:hint="eastAsia"/>
          <w:snapToGrid/>
        </w:rPr>
        <w:tab/>
        <w:t xml:space="preserve">236.  </w:t>
      </w:r>
      <w:r>
        <w:rPr>
          <w:rFonts w:hint="eastAsia"/>
          <w:snapToGrid/>
        </w:rPr>
        <w:t>父母之一在有些情况下，有资格领取残疾子女照顾津贴，至该子女满</w:t>
      </w:r>
      <w:r>
        <w:rPr>
          <w:rFonts w:hint="eastAsia"/>
          <w:snapToGrid/>
        </w:rPr>
        <w:t>19</w:t>
      </w:r>
      <w:r>
        <w:rPr>
          <w:rFonts w:hint="eastAsia"/>
          <w:snapToGrid/>
        </w:rPr>
        <w:t>岁那年的</w:t>
      </w:r>
      <w:r>
        <w:rPr>
          <w:rFonts w:hint="eastAsia"/>
          <w:snapToGrid/>
        </w:rPr>
        <w:t>6</w:t>
      </w:r>
      <w:r>
        <w:rPr>
          <w:rFonts w:hint="eastAsia"/>
          <w:snapToGrid/>
        </w:rPr>
        <w:t>月份为止。停发年龄以前是</w:t>
      </w:r>
      <w:r>
        <w:rPr>
          <w:rFonts w:hint="eastAsia"/>
          <w:snapToGrid/>
        </w:rPr>
        <w:t>16</w:t>
      </w:r>
      <w:r>
        <w:rPr>
          <w:rFonts w:hint="eastAsia"/>
          <w:snapToGrid/>
        </w:rPr>
        <w:t>岁。这个更改是与残疾津贴的更改同时作出的。</w:t>
      </w:r>
    </w:p>
    <w:p w:rsidR="00000000" w:rsidRDefault="00000000">
      <w:pPr>
        <w:spacing w:after="240"/>
        <w:rPr>
          <w:rFonts w:hint="eastAsia"/>
          <w:snapToGrid/>
        </w:rPr>
      </w:pPr>
      <w:r>
        <w:rPr>
          <w:rFonts w:hint="eastAsia"/>
          <w:snapToGrid/>
        </w:rPr>
        <w:tab/>
        <w:t xml:space="preserve">237.  </w:t>
      </w:r>
      <w:r>
        <w:rPr>
          <w:rFonts w:hint="eastAsia"/>
          <w:snapToGrid/>
        </w:rPr>
        <w:t>为了其子女由于监护或接触安排而定期在他们家居住的父母推出一种称为“接触津贴”的新形式住房津贴。该津贴每个月向一名子女支付</w:t>
      </w:r>
      <w:r>
        <w:rPr>
          <w:rFonts w:hint="eastAsia"/>
          <w:snapToGrid/>
        </w:rPr>
        <w:t>300</w:t>
      </w:r>
      <w:r>
        <w:rPr>
          <w:rFonts w:hint="eastAsia"/>
          <w:snapToGrid/>
        </w:rPr>
        <w:t>瑞典克朗、两名子女支付</w:t>
      </w:r>
      <w:r>
        <w:rPr>
          <w:rFonts w:hint="eastAsia"/>
          <w:snapToGrid/>
        </w:rPr>
        <w:t>375</w:t>
      </w:r>
      <w:r>
        <w:rPr>
          <w:rFonts w:hint="eastAsia"/>
          <w:snapToGrid/>
        </w:rPr>
        <w:t>瑞典克朗、三名或更多的子女支付</w:t>
      </w:r>
      <w:r>
        <w:rPr>
          <w:rFonts w:hint="eastAsia"/>
          <w:snapToGrid/>
        </w:rPr>
        <w:t>450</w:t>
      </w:r>
      <w:r>
        <w:rPr>
          <w:rFonts w:hint="eastAsia"/>
          <w:snapToGrid/>
        </w:rPr>
        <w:t>瑞典克朗。给予在家居住的子女的特别津贴现在是一名子女每月</w:t>
      </w:r>
      <w:r>
        <w:rPr>
          <w:rFonts w:hint="eastAsia"/>
          <w:snapToGrid/>
        </w:rPr>
        <w:t>950</w:t>
      </w:r>
      <w:r>
        <w:rPr>
          <w:rFonts w:hint="eastAsia"/>
          <w:snapToGrid/>
        </w:rPr>
        <w:t>瑞典克朗、两名子女</w:t>
      </w:r>
      <w:r>
        <w:rPr>
          <w:rFonts w:hint="eastAsia"/>
          <w:snapToGrid/>
        </w:rPr>
        <w:t>1,325</w:t>
      </w:r>
      <w:r>
        <w:rPr>
          <w:rFonts w:hint="eastAsia"/>
          <w:snapToGrid/>
        </w:rPr>
        <w:t>瑞典克朗、三名或更多的子女</w:t>
      </w:r>
      <w:r>
        <w:rPr>
          <w:rFonts w:hint="eastAsia"/>
          <w:snapToGrid/>
        </w:rPr>
        <w:t>1,750</w:t>
      </w:r>
      <w:r>
        <w:rPr>
          <w:rFonts w:hint="eastAsia"/>
          <w:snapToGrid/>
        </w:rPr>
        <w:t>瑞典克朗。</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4</w:t>
      </w:r>
    </w:p>
    <w:p w:rsidR="00000000" w:rsidRDefault="00000000">
      <w:pPr>
        <w:rPr>
          <w:rFonts w:hint="eastAsia"/>
          <w:snapToGrid/>
        </w:rPr>
      </w:pPr>
      <w:r>
        <w:rPr>
          <w:rFonts w:hint="eastAsia"/>
          <w:snapToGrid/>
        </w:rPr>
        <w:tab/>
        <w:t xml:space="preserve">238.  </w:t>
      </w:r>
      <w:r>
        <w:rPr>
          <w:rFonts w:hint="eastAsia"/>
          <w:snapToGrid/>
        </w:rPr>
        <w:t>瑞典从此间的</w:t>
      </w:r>
      <w:r>
        <w:rPr>
          <w:rFonts w:hint="eastAsia"/>
          <w:snapToGrid/>
        </w:rPr>
        <w:t>ESSPROS</w:t>
      </w:r>
      <w:r>
        <w:rPr>
          <w:rFonts w:hint="eastAsia"/>
          <w:snapToGrid/>
        </w:rPr>
        <w:t>报告统计数字。根据这些统计数字，</w:t>
      </w:r>
      <w:r>
        <w:rPr>
          <w:rFonts w:hint="eastAsia"/>
          <w:snapToGrid/>
        </w:rPr>
        <w:t>2004</w:t>
      </w:r>
      <w:r>
        <w:rPr>
          <w:rFonts w:hint="eastAsia"/>
          <w:snapToGrid/>
        </w:rPr>
        <w:t>年瑞典的社会保障费用是</w:t>
      </w:r>
      <w:r>
        <w:rPr>
          <w:rFonts w:hint="eastAsia"/>
          <w:snapToGrid/>
        </w:rPr>
        <w:t>8,157</w:t>
      </w:r>
      <w:r>
        <w:rPr>
          <w:rFonts w:hint="eastAsia"/>
          <w:snapToGrid/>
        </w:rPr>
        <w:t>亿瑞典克朗，相当于</w:t>
      </w:r>
      <w:r>
        <w:rPr>
          <w:rFonts w:hint="eastAsia"/>
          <w:snapToGrid/>
        </w:rPr>
        <w:t>32%</w:t>
      </w:r>
      <w:r>
        <w:rPr>
          <w:rFonts w:hint="eastAsia"/>
          <w:snapToGrid/>
        </w:rPr>
        <w:t>的国民生产总值。</w:t>
      </w:r>
      <w:r>
        <w:rPr>
          <w:rFonts w:hint="eastAsia"/>
          <w:snapToGrid/>
        </w:rPr>
        <w:t>1994</w:t>
      </w:r>
      <w:r>
        <w:rPr>
          <w:rFonts w:hint="eastAsia"/>
          <w:snapToGrid/>
        </w:rPr>
        <w:t>年的社会保障费用是</w:t>
      </w:r>
      <w:r>
        <w:rPr>
          <w:rFonts w:hint="eastAsia"/>
          <w:snapToGrid/>
        </w:rPr>
        <w:t>5,974</w:t>
      </w:r>
      <w:r>
        <w:rPr>
          <w:rFonts w:hint="eastAsia"/>
          <w:snapToGrid/>
        </w:rPr>
        <w:t>亿瑞典克朗，相当于</w:t>
      </w:r>
      <w:r>
        <w:rPr>
          <w:rFonts w:hint="eastAsia"/>
          <w:snapToGrid/>
        </w:rPr>
        <w:t>36%</w:t>
      </w:r>
      <w:r>
        <w:rPr>
          <w:rFonts w:hint="eastAsia"/>
          <w:snapToGrid/>
        </w:rPr>
        <w:t>的国民生产总值。截至瑞典的上一次报告，</w:t>
      </w:r>
      <w:r>
        <w:rPr>
          <w:rFonts w:hint="eastAsia"/>
          <w:snapToGrid/>
        </w:rPr>
        <w:t>(1996</w:t>
      </w:r>
      <w:r>
        <w:rPr>
          <w:rFonts w:hint="eastAsia"/>
          <w:snapToGrid/>
        </w:rPr>
        <w:t>年的</w:t>
      </w:r>
      <w:r>
        <w:rPr>
          <w:rFonts w:hint="eastAsia"/>
          <w:snapToGrid/>
        </w:rPr>
        <w:t>)</w:t>
      </w:r>
      <w:r>
        <w:rPr>
          <w:rFonts w:hint="eastAsia"/>
          <w:snapToGrid/>
        </w:rPr>
        <w:t>相应数字是</w:t>
      </w:r>
      <w:r>
        <w:rPr>
          <w:rFonts w:hint="eastAsia"/>
          <w:snapToGrid/>
        </w:rPr>
        <w:t>6,067</w:t>
      </w:r>
      <w:r>
        <w:rPr>
          <w:rFonts w:hint="eastAsia"/>
          <w:snapToGrid/>
        </w:rPr>
        <w:t>亿瑞典克朗，相当于</w:t>
      </w:r>
      <w:r>
        <w:rPr>
          <w:rFonts w:hint="eastAsia"/>
          <w:snapToGrid/>
        </w:rPr>
        <w:t>33%</w:t>
      </w:r>
      <w:r>
        <w:rPr>
          <w:rFonts w:hint="eastAsia"/>
          <w:snapToGrid/>
        </w:rPr>
        <w:t>的国民生产总值。</w:t>
      </w:r>
    </w:p>
    <w:p w:rsidR="00000000" w:rsidRDefault="00000000">
      <w:pPr>
        <w:rPr>
          <w:rFonts w:hint="eastAsia"/>
          <w:snapToGrid/>
        </w:rPr>
      </w:pPr>
      <w:r>
        <w:rPr>
          <w:rFonts w:hint="eastAsia"/>
          <w:snapToGrid/>
        </w:rPr>
        <w:tab/>
        <w:t xml:space="preserve">239.  </w:t>
      </w:r>
      <w:r>
        <w:rPr>
          <w:rFonts w:hint="eastAsia"/>
          <w:snapToGrid/>
        </w:rPr>
        <w:t>以</w:t>
      </w:r>
      <w:r>
        <w:rPr>
          <w:rFonts w:hint="eastAsia"/>
          <w:snapToGrid/>
        </w:rPr>
        <w:t>2004</w:t>
      </w:r>
      <w:r>
        <w:rPr>
          <w:rFonts w:hint="eastAsia"/>
          <w:snapToGrid/>
        </w:rPr>
        <w:t>年的价格表达的社会保障开支水平，在</w:t>
      </w:r>
      <w:r>
        <w:rPr>
          <w:rFonts w:hint="eastAsia"/>
          <w:snapToGrid/>
        </w:rPr>
        <w:t>1994</w:t>
      </w:r>
      <w:r>
        <w:rPr>
          <w:rFonts w:hint="eastAsia"/>
          <w:snapToGrid/>
        </w:rPr>
        <w:t>年到</w:t>
      </w:r>
      <w:r>
        <w:rPr>
          <w:rFonts w:hint="eastAsia"/>
          <w:snapToGrid/>
        </w:rPr>
        <w:t>2004</w:t>
      </w:r>
      <w:r>
        <w:rPr>
          <w:rFonts w:hint="eastAsia"/>
          <w:snapToGrid/>
        </w:rPr>
        <w:t>年期间增加了</w:t>
      </w:r>
      <w:r>
        <w:rPr>
          <w:rFonts w:hint="eastAsia"/>
          <w:snapToGrid/>
        </w:rPr>
        <w:t>1,460</w:t>
      </w:r>
      <w:r>
        <w:rPr>
          <w:rFonts w:hint="eastAsia"/>
          <w:snapToGrid/>
        </w:rPr>
        <w:t>亿瑞典克朗。相当于实际增长</w:t>
      </w:r>
      <w:r>
        <w:rPr>
          <w:rFonts w:hint="eastAsia"/>
          <w:snapToGrid/>
        </w:rPr>
        <w:t>22%</w:t>
      </w:r>
      <w:r>
        <w:rPr>
          <w:rFonts w:hint="eastAsia"/>
          <w:snapToGrid/>
        </w:rPr>
        <w:t>。由于国民生产总值的增长率比较大，用于社会保障方面的比例下降了。</w:t>
      </w:r>
    </w:p>
    <w:p w:rsidR="00000000" w:rsidRDefault="00000000">
      <w:pPr>
        <w:spacing w:after="240"/>
        <w:rPr>
          <w:rFonts w:hint="eastAsia"/>
          <w:snapToGrid/>
        </w:rPr>
      </w:pPr>
      <w:r>
        <w:rPr>
          <w:rFonts w:hint="eastAsia"/>
          <w:snapToGrid/>
        </w:rPr>
        <w:tab/>
        <w:t xml:space="preserve">240.  </w:t>
      </w:r>
      <w:r>
        <w:rPr>
          <w:rFonts w:hint="eastAsia"/>
          <w:snapToGrid/>
        </w:rPr>
        <w:t>费用的增长，主要是由于同</w:t>
      </w:r>
      <w:r>
        <w:rPr>
          <w:rFonts w:hint="eastAsia"/>
          <w:snapToGrid/>
        </w:rPr>
        <w:t>1994</w:t>
      </w:r>
      <w:r>
        <w:rPr>
          <w:rFonts w:hint="eastAsia"/>
          <w:snapToGrid/>
        </w:rPr>
        <w:t>年相比，</w:t>
      </w:r>
      <w:r>
        <w:rPr>
          <w:rFonts w:hint="eastAsia"/>
          <w:snapToGrid/>
        </w:rPr>
        <w:t>2004</w:t>
      </w:r>
      <w:r>
        <w:rPr>
          <w:rFonts w:hint="eastAsia"/>
          <w:snapToGrid/>
        </w:rPr>
        <w:t>领取疾病补偿和活动补偿</w:t>
      </w:r>
      <w:r>
        <w:rPr>
          <w:rFonts w:hint="eastAsia"/>
          <w:snapToGrid/>
        </w:rPr>
        <w:t>(</w:t>
      </w:r>
      <w:r>
        <w:rPr>
          <w:rFonts w:hint="eastAsia"/>
          <w:snapToGrid/>
        </w:rPr>
        <w:t>前称伤残养恤金</w:t>
      </w:r>
      <w:r>
        <w:rPr>
          <w:rFonts w:hint="eastAsia"/>
          <w:snapToGrid/>
        </w:rPr>
        <w:t>)</w:t>
      </w:r>
      <w:r>
        <w:rPr>
          <w:rFonts w:hint="eastAsia"/>
          <w:snapToGrid/>
        </w:rPr>
        <w:t>的人数增多了。疾病现金津贴的费用也同样增加了。此外，退休养老金的开支增加了，这是因为在这十年里，享受超过基本水平</w:t>
      </w:r>
      <w:r>
        <w:rPr>
          <w:rFonts w:hint="eastAsia"/>
          <w:snapToGrid/>
        </w:rPr>
        <w:t>(</w:t>
      </w:r>
      <w:r>
        <w:rPr>
          <w:rFonts w:hint="eastAsia"/>
          <w:snapToGrid/>
        </w:rPr>
        <w:t>即基于收入的养老金</w:t>
      </w:r>
      <w:r>
        <w:rPr>
          <w:rFonts w:hint="eastAsia"/>
          <w:snapToGrid/>
        </w:rPr>
        <w:t>)</w:t>
      </w:r>
      <w:r>
        <w:rPr>
          <w:rFonts w:hint="eastAsia"/>
          <w:snapToGrid/>
        </w:rPr>
        <w:t>的养老金的人数增多了。扩大对于残疾人的支助也产生了巨大费用。药物和技术费用的提高以及人口日益老化可以被认为是推动医疗费用增多的因素。然而，失业率的下降造成了参加劳工市场政策方案和失业补偿的费用的减少。</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5</w:t>
      </w:r>
    </w:p>
    <w:p w:rsidR="00000000" w:rsidRDefault="00000000">
      <w:pPr>
        <w:spacing w:after="240"/>
        <w:rPr>
          <w:rFonts w:hint="eastAsia"/>
          <w:snapToGrid/>
        </w:rPr>
      </w:pPr>
      <w:r>
        <w:rPr>
          <w:rFonts w:hint="eastAsia"/>
          <w:snapToGrid/>
        </w:rPr>
        <w:tab/>
        <w:t xml:space="preserve">241.  </w:t>
      </w:r>
      <w:r>
        <w:rPr>
          <w:rFonts w:hint="eastAsia"/>
          <w:snapToGrid/>
        </w:rPr>
        <w:t>请参看瑞典的第</w:t>
      </w:r>
      <w:r>
        <w:rPr>
          <w:rFonts w:hint="eastAsia"/>
          <w:snapToGrid/>
        </w:rPr>
        <w:t>4</w:t>
      </w:r>
      <w:r>
        <w:rPr>
          <w:rFonts w:hint="eastAsia"/>
          <w:snapToGrid/>
        </w:rPr>
        <w:t>次定期报告。</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6</w:t>
      </w:r>
    </w:p>
    <w:p w:rsidR="00000000" w:rsidRDefault="00000000">
      <w:pPr>
        <w:spacing w:after="240"/>
        <w:rPr>
          <w:rFonts w:hint="eastAsia"/>
          <w:snapToGrid/>
        </w:rPr>
      </w:pPr>
      <w:r>
        <w:rPr>
          <w:rFonts w:hint="eastAsia"/>
          <w:snapToGrid/>
        </w:rPr>
        <w:tab/>
        <w:t xml:space="preserve">242.  </w:t>
      </w:r>
      <w:r>
        <w:rPr>
          <w:rFonts w:hint="eastAsia"/>
          <w:snapToGrid/>
        </w:rPr>
        <w:t>一个人要为了社会保障的目的被视为一名居民，通常要求有一张永久居留许可证。按照《接收寻求庇护者及其他法》</w:t>
      </w:r>
      <w:r>
        <w:rPr>
          <w:rFonts w:hint="eastAsia"/>
          <w:snapToGrid/>
        </w:rPr>
        <w:t>(1994</w:t>
      </w:r>
      <w:r>
        <w:rPr>
          <w:rFonts w:hint="eastAsia"/>
          <w:snapToGrid/>
        </w:rPr>
        <w:t>：</w:t>
      </w:r>
      <w:r>
        <w:rPr>
          <w:rFonts w:hint="eastAsia"/>
          <w:snapToGrid/>
        </w:rPr>
        <w:t>137)</w:t>
      </w:r>
      <w:r>
        <w:rPr>
          <w:rFonts w:hint="eastAsia"/>
          <w:snapToGrid/>
        </w:rPr>
        <w:t>，有给予等待领取居留许可证的人的特别津贴。在别的方面，请参看瑞典的第</w:t>
      </w:r>
      <w:r>
        <w:rPr>
          <w:rFonts w:hint="eastAsia"/>
          <w:snapToGrid/>
        </w:rPr>
        <w:t>4</w:t>
      </w:r>
      <w:r>
        <w:rPr>
          <w:rFonts w:hint="eastAsia"/>
          <w:snapToGrid/>
        </w:rPr>
        <w:t>次定期报告。</w:t>
      </w:r>
    </w:p>
    <w:p w:rsidR="00000000" w:rsidRDefault="00000000">
      <w:pPr>
        <w:pStyle w:val="Heading4"/>
        <w:rPr>
          <w:rFonts w:hint="eastAsia"/>
        </w:rPr>
      </w:pPr>
      <w:r>
        <w:rPr>
          <w:rFonts w:hint="eastAsia"/>
        </w:rPr>
        <w:t>经济援助</w:t>
      </w:r>
    </w:p>
    <w:p w:rsidR="00000000" w:rsidRDefault="00000000">
      <w:pPr>
        <w:rPr>
          <w:rFonts w:hint="eastAsia"/>
          <w:snapToGrid/>
        </w:rPr>
      </w:pPr>
      <w:r>
        <w:rPr>
          <w:rFonts w:hint="eastAsia"/>
          <w:snapToGrid/>
        </w:rPr>
        <w:tab/>
        <w:t xml:space="preserve">243.  </w:t>
      </w:r>
      <w:r>
        <w:rPr>
          <w:rFonts w:hint="eastAsia"/>
          <w:snapToGrid/>
        </w:rPr>
        <w:t>经济援助是社会福利制度的最终安全网，承担减少个人和家庭受到经济排斥的重要职能。它的用意是为了补充社会保险方案，并且在一般形式的社会保险不充分或无法给予的时候提供援助。其目的是当一名个人无法通过诸如就业或一般社会政策系统等其他方式自谋生计时，提供临时、短期的支助。经济援助是这个制度中唯一与个别家庭的支助需求相关的组成部分。经济援助受到《社会服务法》</w:t>
      </w:r>
      <w:r>
        <w:rPr>
          <w:rFonts w:hint="eastAsia"/>
          <w:snapToGrid/>
        </w:rPr>
        <w:t>(2001</w:t>
      </w:r>
      <w:r>
        <w:rPr>
          <w:rFonts w:hint="eastAsia"/>
          <w:snapToGrid/>
        </w:rPr>
        <w:t>：</w:t>
      </w:r>
      <w:r>
        <w:rPr>
          <w:rFonts w:hint="eastAsia"/>
          <w:snapToGrid/>
        </w:rPr>
        <w:t>453)</w:t>
      </w:r>
      <w:r>
        <w:rPr>
          <w:rFonts w:hint="eastAsia"/>
          <w:snapToGrid/>
        </w:rPr>
        <w:t>的管理，各城市的社会服务办公室则负责执行和供资于这项方案。国家健康和福利委员会起草案例管理的支助文件和准则。经济援助补贴的数额根据由政府确定的一项国家标准。除了基本补贴之外，各城市可以在对于其他合理的费用及其他方面的生活需求作出的个别评估的基础上提供援助。</w:t>
      </w:r>
    </w:p>
    <w:p w:rsidR="00000000" w:rsidRDefault="00000000">
      <w:pPr>
        <w:rPr>
          <w:rFonts w:hint="eastAsia"/>
          <w:snapToGrid/>
        </w:rPr>
      </w:pPr>
      <w:r>
        <w:rPr>
          <w:rFonts w:hint="eastAsia"/>
          <w:snapToGrid/>
        </w:rPr>
        <w:tab/>
        <w:t xml:space="preserve">244.  </w:t>
      </w:r>
      <w:r>
        <w:rPr>
          <w:snapToGrid/>
        </w:rPr>
        <w:t>(a)</w:t>
      </w:r>
      <w:r>
        <w:rPr>
          <w:rFonts w:hint="eastAsia"/>
          <w:snapToGrid/>
        </w:rPr>
        <w:t xml:space="preserve"> </w:t>
      </w:r>
      <w:r>
        <w:rPr>
          <w:rFonts w:hint="eastAsia"/>
          <w:snapToGrid/>
        </w:rPr>
        <w:t>根据《保健和医疗服务法》</w:t>
      </w:r>
      <w:r>
        <w:rPr>
          <w:rFonts w:hint="eastAsia"/>
          <w:snapToGrid/>
        </w:rPr>
        <w:t>(1982</w:t>
      </w:r>
      <w:r>
        <w:rPr>
          <w:rFonts w:hint="eastAsia"/>
          <w:snapToGrid/>
        </w:rPr>
        <w:t>：</w:t>
      </w:r>
      <w:r>
        <w:rPr>
          <w:rFonts w:hint="eastAsia"/>
          <w:snapToGrid/>
        </w:rPr>
        <w:t>763)</w:t>
      </w:r>
      <w:r>
        <w:rPr>
          <w:rFonts w:hint="eastAsia"/>
          <w:snapToGrid/>
        </w:rPr>
        <w:t>，每个省议会应当向居住在它的边界之内的人提供良好的保健和医疗服务。省议会还应当向居住在该省但并不是在那里永久居住的人提供即时但不是计划性的保健和医疗服务。这种义务延伸到由于各种原因无居留许可证居住在这个国家的寻求庇护者和其他外国人。向寻求庇护者和其他人提供保健和医疗服务受到国家与瑞典地方部门和区域协会所签订的一项特别协议的管制。国家向省议会提供补助。</w:t>
      </w:r>
    </w:p>
    <w:p w:rsidR="00000000" w:rsidRDefault="00000000">
      <w:pPr>
        <w:rPr>
          <w:rFonts w:hint="eastAsia"/>
          <w:snapToGrid/>
        </w:rPr>
      </w:pPr>
      <w:r>
        <w:rPr>
          <w:rFonts w:hint="eastAsia"/>
          <w:snapToGrid/>
        </w:rPr>
        <w:tab/>
        <w:t xml:space="preserve">245.  </w:t>
      </w:r>
      <w:r>
        <w:rPr>
          <w:snapToGrid/>
        </w:rPr>
        <w:t>(b)</w:t>
      </w:r>
      <w:r>
        <w:rPr>
          <w:rFonts w:hint="eastAsia"/>
          <w:snapToGrid/>
        </w:rPr>
        <w:t xml:space="preserve"> </w:t>
      </w:r>
      <w:r>
        <w:rPr>
          <w:rFonts w:hint="eastAsia"/>
          <w:snapToGrid/>
        </w:rPr>
        <w:t>根据上述协议，向寻求庇护的未成年人，以及被隐匿以避免执行一项驱逐出境令或迁移令的未成年人</w:t>
      </w:r>
      <w:r>
        <w:rPr>
          <w:rFonts w:hint="eastAsia"/>
          <w:snapToGrid/>
        </w:rPr>
        <w:t>(</w:t>
      </w:r>
      <w:r>
        <w:rPr>
          <w:rFonts w:hint="eastAsia"/>
          <w:snapToGrid/>
        </w:rPr>
        <w:t>“隐匿儿童”</w:t>
      </w:r>
      <w:r>
        <w:rPr>
          <w:rFonts w:hint="eastAsia"/>
          <w:snapToGrid/>
        </w:rPr>
        <w:t>)</w:t>
      </w:r>
      <w:r>
        <w:rPr>
          <w:rFonts w:hint="eastAsia"/>
          <w:snapToGrid/>
        </w:rPr>
        <w:t>提供与在瑞典居住的未成年人相同的保健、医疗和牙医服务。</w:t>
      </w:r>
    </w:p>
    <w:p w:rsidR="00000000" w:rsidRDefault="00000000">
      <w:pPr>
        <w:rPr>
          <w:rFonts w:hint="eastAsia"/>
          <w:snapToGrid/>
        </w:rPr>
      </w:pPr>
      <w:r>
        <w:rPr>
          <w:rFonts w:hint="eastAsia"/>
          <w:snapToGrid/>
        </w:rPr>
        <w:tab/>
        <w:t xml:space="preserve">246.  </w:t>
      </w:r>
      <w:r>
        <w:rPr>
          <w:rFonts w:hint="eastAsia"/>
          <w:snapToGrid/>
        </w:rPr>
        <w:t>在经济援助需求和就业率趋势之间存在着密切的联系。</w:t>
      </w:r>
      <w:r>
        <w:rPr>
          <w:rFonts w:hint="eastAsia"/>
          <w:snapToGrid/>
        </w:rPr>
        <w:t>2005</w:t>
      </w:r>
      <w:r>
        <w:rPr>
          <w:rFonts w:hint="eastAsia"/>
          <w:snapToGrid/>
        </w:rPr>
        <w:t>年</w:t>
      </w:r>
      <w:r>
        <w:rPr>
          <w:rFonts w:hint="eastAsia"/>
          <w:snapToGrid/>
        </w:rPr>
        <w:t>2</w:t>
      </w:r>
      <w:r>
        <w:rPr>
          <w:rFonts w:hint="eastAsia"/>
          <w:snapToGrid/>
        </w:rPr>
        <w:t>月，政府任命了从社会援助到工作委员会</w:t>
      </w:r>
      <w:r>
        <w:rPr>
          <w:rFonts w:hint="eastAsia"/>
          <w:snapToGrid/>
        </w:rPr>
        <w:t>(S 2005</w:t>
      </w:r>
      <w:r>
        <w:rPr>
          <w:rFonts w:hint="eastAsia"/>
          <w:snapToGrid/>
        </w:rPr>
        <w:t>：</w:t>
      </w:r>
      <w:r>
        <w:rPr>
          <w:rFonts w:hint="eastAsia"/>
          <w:snapToGrid/>
        </w:rPr>
        <w:t>10)</w:t>
      </w:r>
      <w:r>
        <w:rPr>
          <w:rFonts w:hint="eastAsia"/>
          <w:snapToGrid/>
        </w:rPr>
        <w:t>。该委员会将提交有关促进从社会援助到通过就业达到自给的过渡的措施的建议。这个委员会总的出发点是公共资源应当予以有效利用，并且向个人和社会提供明确的激励，以便无迟延地在劳工市场立足。该委员会将于</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1</w:t>
      </w:r>
      <w:r>
        <w:rPr>
          <w:rFonts w:hint="eastAsia"/>
          <w:snapToGrid/>
        </w:rPr>
        <w:t>日前递交其最后报告</w:t>
      </w:r>
      <w:r>
        <w:rPr>
          <w:rFonts w:hint="eastAsia"/>
          <w:snapToGrid/>
        </w:rPr>
        <w:t>(ToR 2005</w:t>
      </w:r>
      <w:r>
        <w:rPr>
          <w:rFonts w:hint="eastAsia"/>
          <w:snapToGrid/>
        </w:rPr>
        <w:t>：</w:t>
      </w:r>
      <w:r>
        <w:rPr>
          <w:rFonts w:hint="eastAsia"/>
          <w:snapToGrid/>
        </w:rPr>
        <w:t>10)</w:t>
      </w:r>
      <w:r>
        <w:rPr>
          <w:rFonts w:hint="eastAsia"/>
          <w:snapToGrid/>
        </w:rPr>
        <w:t>。</w:t>
      </w:r>
    </w:p>
    <w:p w:rsidR="00000000" w:rsidRDefault="00000000">
      <w:pPr>
        <w:spacing w:after="240"/>
        <w:rPr>
          <w:rFonts w:hint="eastAsia"/>
          <w:snapToGrid/>
        </w:rPr>
      </w:pPr>
      <w:r>
        <w:rPr>
          <w:rFonts w:hint="eastAsia"/>
          <w:snapToGrid/>
        </w:rPr>
        <w:tab/>
        <w:t xml:space="preserve">247.  </w:t>
      </w:r>
      <w:r>
        <w:rPr>
          <w:rFonts w:hint="eastAsia"/>
          <w:snapToGrid/>
        </w:rPr>
        <w:t>有子女家庭被驱逐和无家可归问题委员会于</w:t>
      </w:r>
      <w:r>
        <w:rPr>
          <w:rFonts w:hint="eastAsia"/>
          <w:snapToGrid/>
        </w:rPr>
        <w:t>2005</w:t>
      </w:r>
      <w:r>
        <w:rPr>
          <w:rFonts w:hint="eastAsia"/>
          <w:snapToGrid/>
        </w:rPr>
        <w:t>年</w:t>
      </w:r>
      <w:r>
        <w:rPr>
          <w:rFonts w:hint="eastAsia"/>
          <w:snapToGrid/>
        </w:rPr>
        <w:t>10</w:t>
      </w:r>
      <w:r>
        <w:rPr>
          <w:rFonts w:hint="eastAsia"/>
          <w:snapToGrid/>
        </w:rPr>
        <w:t>月日提交了其报告</w:t>
      </w:r>
      <w:r>
        <w:rPr>
          <w:rFonts w:hint="eastAsia"/>
          <w:snapToGrid/>
        </w:rPr>
        <w:t>(SOU 2005</w:t>
      </w:r>
      <w:r>
        <w:rPr>
          <w:rFonts w:hint="eastAsia"/>
          <w:snapToGrid/>
        </w:rPr>
        <w:t>：</w:t>
      </w:r>
      <w:r>
        <w:rPr>
          <w:rFonts w:hint="eastAsia"/>
          <w:snapToGrid/>
        </w:rPr>
        <w:t>10)</w:t>
      </w:r>
      <w:r>
        <w:rPr>
          <w:rFonts w:hint="eastAsia"/>
          <w:snapToGrid/>
        </w:rPr>
        <w:t>。该委员会评估，</w:t>
      </w:r>
      <w:r>
        <w:rPr>
          <w:rFonts w:hint="eastAsia"/>
          <w:snapToGrid/>
        </w:rPr>
        <w:t>2004</w:t>
      </w:r>
      <w:r>
        <w:rPr>
          <w:rFonts w:hint="eastAsia"/>
          <w:snapToGrid/>
        </w:rPr>
        <w:t>年一共至少有</w:t>
      </w:r>
      <w:r>
        <w:rPr>
          <w:rFonts w:hint="eastAsia"/>
          <w:snapToGrid/>
        </w:rPr>
        <w:t>1,000</w:t>
      </w:r>
      <w:r>
        <w:rPr>
          <w:rFonts w:hint="eastAsia"/>
          <w:snapToGrid/>
        </w:rPr>
        <w:t>名儿童被从他们的家里驱逐出来。报告申明，这个问题包括多个侧面，因此不仅需要一项改进了的住房政策，还需要社会服务举措。政府各办公机构目前正在编写报告，以便进一步采取行动。</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8</w:t>
      </w:r>
    </w:p>
    <w:p w:rsidR="00000000" w:rsidRDefault="00000000">
      <w:pPr>
        <w:spacing w:after="320"/>
        <w:rPr>
          <w:rFonts w:hint="eastAsia"/>
          <w:snapToGrid/>
        </w:rPr>
      </w:pPr>
      <w:r>
        <w:rPr>
          <w:rFonts w:hint="eastAsia"/>
          <w:snapToGrid/>
        </w:rPr>
        <w:tab/>
        <w:t xml:space="preserve">248.  </w:t>
      </w:r>
      <w:r>
        <w:rPr>
          <w:rFonts w:hint="eastAsia"/>
          <w:snapToGrid/>
        </w:rPr>
        <w:t>双边或多边社会保障立法对于到其他国家工作和</w:t>
      </w:r>
      <w:r>
        <w:rPr>
          <w:rFonts w:hint="eastAsia"/>
          <w:snapToGrid/>
        </w:rPr>
        <w:t>/</w:t>
      </w:r>
      <w:r>
        <w:rPr>
          <w:rFonts w:hint="eastAsia"/>
          <w:snapToGrid/>
        </w:rPr>
        <w:t>或居住的人十分重要。从瑞典的角度看，欧共体在这方面的立法对于最大数量的人们具有最重大的意义。瑞典也与大约</w:t>
      </w:r>
      <w:r>
        <w:rPr>
          <w:rFonts w:hint="eastAsia"/>
          <w:snapToGrid/>
        </w:rPr>
        <w:t>20</w:t>
      </w:r>
      <w:r>
        <w:rPr>
          <w:rFonts w:hint="eastAsia"/>
          <w:snapToGrid/>
        </w:rPr>
        <w:t>个国家签订了社会保障专约。自从瑞典的第</w:t>
      </w:r>
      <w:r>
        <w:rPr>
          <w:rFonts w:hint="eastAsia"/>
          <w:snapToGrid/>
        </w:rPr>
        <w:t>4</w:t>
      </w:r>
      <w:r>
        <w:rPr>
          <w:rFonts w:hint="eastAsia"/>
          <w:snapToGrid/>
        </w:rPr>
        <w:t>次定期报告以来，由于国内法的改变，与智利、加拿大、北欧诸国、土耳其和美国的专约都已重新谈判。瑞典与塞尔维亚和黑山国已经约定，瑞典与南斯拉夫先前所签订的专约在这些国家之间适用。</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10</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1</w:t>
      </w:r>
    </w:p>
    <w:p w:rsidR="00000000" w:rsidRDefault="00000000">
      <w:pPr>
        <w:spacing w:after="240"/>
        <w:rPr>
          <w:rFonts w:hint="eastAsia"/>
          <w:snapToGrid/>
        </w:rPr>
      </w:pPr>
      <w:r>
        <w:rPr>
          <w:rFonts w:hint="eastAsia"/>
          <w:snapToGrid/>
        </w:rPr>
        <w:tab/>
        <w:t xml:space="preserve">249.  </w:t>
      </w:r>
      <w:r>
        <w:rPr>
          <w:rFonts w:hint="eastAsia"/>
          <w:snapToGrid/>
        </w:rPr>
        <w:t>请参看以前各份报告。瑞典没有批准劳工组织第</w:t>
      </w:r>
      <w:r>
        <w:rPr>
          <w:snapToGrid/>
        </w:rPr>
        <w:t>1</w:t>
      </w:r>
      <w:r>
        <w:rPr>
          <w:rFonts w:hint="eastAsia"/>
          <w:snapToGrid/>
        </w:rPr>
        <w:t>03</w:t>
      </w:r>
      <w:r>
        <w:rPr>
          <w:rFonts w:hint="eastAsia"/>
          <w:snapToGrid/>
        </w:rPr>
        <w:t>号保护生育公约。</w:t>
      </w:r>
    </w:p>
    <w:p w:rsidR="00000000" w:rsidRDefault="00000000">
      <w:pPr>
        <w:spacing w:after="320"/>
        <w:rPr>
          <w:rFonts w:hint="eastAsia"/>
          <w:snapToGrid/>
        </w:rPr>
      </w:pPr>
      <w:r>
        <w:rPr>
          <w:rFonts w:hint="eastAsia"/>
          <w:snapToGrid/>
        </w:rPr>
        <w:tab/>
      </w:r>
      <w:r>
        <w:rPr>
          <w:rFonts w:hint="eastAsia"/>
          <w:snapToGrid/>
        </w:rPr>
        <w:t>瑞典向联合国儿童权利委员会提交的第</w:t>
      </w:r>
      <w:r>
        <w:rPr>
          <w:rFonts w:hint="eastAsia"/>
          <w:snapToGrid/>
        </w:rPr>
        <w:t>4</w:t>
      </w:r>
      <w:r>
        <w:rPr>
          <w:rFonts w:hint="eastAsia"/>
          <w:snapToGrid/>
        </w:rPr>
        <w:t>次报告将在</w:t>
      </w:r>
      <w:r>
        <w:rPr>
          <w:rFonts w:hint="eastAsia"/>
          <w:snapToGrid/>
        </w:rPr>
        <w:t>2007</w:t>
      </w:r>
      <w:r>
        <w:rPr>
          <w:rFonts w:hint="eastAsia"/>
          <w:snapToGrid/>
        </w:rPr>
        <w:t>年初提交。</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w:t>
      </w:r>
    </w:p>
    <w:p w:rsidR="00000000" w:rsidRDefault="00000000">
      <w:pPr>
        <w:spacing w:after="240"/>
        <w:rPr>
          <w:rFonts w:hint="eastAsia"/>
          <w:snapToGrid/>
        </w:rPr>
      </w:pPr>
      <w:r>
        <w:rPr>
          <w:rFonts w:hint="eastAsia"/>
          <w:snapToGrid/>
        </w:rPr>
        <w:tab/>
        <w:t xml:space="preserve">250.  </w:t>
      </w:r>
      <w:r>
        <w:rPr>
          <w:rFonts w:hint="eastAsia"/>
          <w:snapToGrid/>
        </w:rPr>
        <w:t>请参看第</w:t>
      </w:r>
      <w:r>
        <w:rPr>
          <w:rFonts w:hint="eastAsia"/>
          <w:snapToGrid/>
        </w:rPr>
        <w:t>4</w:t>
      </w:r>
      <w:r>
        <w:rPr>
          <w:rFonts w:hint="eastAsia"/>
          <w:snapToGrid/>
        </w:rPr>
        <w:t>次报告第</w:t>
      </w:r>
      <w:r>
        <w:rPr>
          <w:rFonts w:hint="eastAsia"/>
          <w:snapToGrid/>
        </w:rPr>
        <w:t>152</w:t>
      </w:r>
      <w:r>
        <w:rPr>
          <w:rFonts w:hint="eastAsia"/>
          <w:snapToGrid/>
        </w:rPr>
        <w:t>项。</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w:t>
      </w:r>
    </w:p>
    <w:p w:rsidR="00000000" w:rsidRDefault="00000000">
      <w:pPr>
        <w:spacing w:after="240"/>
        <w:rPr>
          <w:rFonts w:hint="eastAsia"/>
          <w:snapToGrid/>
        </w:rPr>
      </w:pPr>
      <w:r>
        <w:rPr>
          <w:rFonts w:hint="eastAsia"/>
          <w:snapToGrid/>
        </w:rPr>
        <w:tab/>
        <w:t xml:space="preserve">251.  </w:t>
      </w:r>
      <w:r>
        <w:rPr>
          <w:rFonts w:hint="eastAsia"/>
          <w:snapToGrid/>
        </w:rPr>
        <w:t>请参看第</w:t>
      </w:r>
      <w:r>
        <w:rPr>
          <w:rFonts w:hint="eastAsia"/>
          <w:snapToGrid/>
        </w:rPr>
        <w:t>4</w:t>
      </w:r>
      <w:r>
        <w:rPr>
          <w:rFonts w:hint="eastAsia"/>
          <w:snapToGrid/>
        </w:rPr>
        <w:t>次报告第</w:t>
      </w:r>
      <w:r>
        <w:rPr>
          <w:rFonts w:hint="eastAsia"/>
          <w:snapToGrid/>
        </w:rPr>
        <w:t>153</w:t>
      </w:r>
      <w:r>
        <w:rPr>
          <w:rFonts w:hint="eastAsia"/>
          <w:snapToGrid/>
        </w:rPr>
        <w:t>项。</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4</w:t>
      </w:r>
    </w:p>
    <w:p w:rsidR="00000000" w:rsidRDefault="00000000">
      <w:pPr>
        <w:rPr>
          <w:rFonts w:hint="eastAsia"/>
          <w:snapToGrid/>
        </w:rPr>
      </w:pPr>
      <w:r>
        <w:rPr>
          <w:rFonts w:hint="eastAsia"/>
          <w:snapToGrid/>
        </w:rPr>
        <w:tab/>
        <w:t xml:space="preserve">252.  </w:t>
      </w:r>
      <w:r>
        <w:rPr>
          <w:snapToGrid/>
        </w:rPr>
        <w:t>(a)</w:t>
      </w:r>
      <w:r>
        <w:rPr>
          <w:rFonts w:hint="eastAsia"/>
          <w:snapToGrid/>
        </w:rPr>
        <w:t xml:space="preserve"> </w:t>
      </w:r>
      <w:r>
        <w:rPr>
          <w:rFonts w:hint="eastAsia"/>
          <w:snapToGrid/>
        </w:rPr>
        <w:t>请参看第</w:t>
      </w:r>
      <w:r>
        <w:rPr>
          <w:rFonts w:hint="eastAsia"/>
          <w:snapToGrid/>
        </w:rPr>
        <w:t>4</w:t>
      </w:r>
      <w:r>
        <w:rPr>
          <w:rFonts w:hint="eastAsia"/>
          <w:snapToGrid/>
        </w:rPr>
        <w:t>次报告第</w:t>
      </w:r>
      <w:r>
        <w:rPr>
          <w:rFonts w:hint="eastAsia"/>
          <w:snapToGrid/>
        </w:rPr>
        <w:t>154</w:t>
      </w:r>
      <w:r>
        <w:rPr>
          <w:snapToGrid/>
        </w:rPr>
        <w:t>-</w:t>
      </w:r>
      <w:r>
        <w:rPr>
          <w:rFonts w:hint="eastAsia"/>
          <w:snapToGrid/>
        </w:rPr>
        <w:t>158</w:t>
      </w:r>
      <w:r>
        <w:rPr>
          <w:rFonts w:hint="eastAsia"/>
          <w:snapToGrid/>
        </w:rPr>
        <w:t>项。</w:t>
      </w:r>
    </w:p>
    <w:p w:rsidR="00000000" w:rsidRDefault="00000000">
      <w:pPr>
        <w:spacing w:after="240"/>
        <w:rPr>
          <w:rFonts w:hint="eastAsia"/>
          <w:snapToGrid/>
        </w:rPr>
      </w:pPr>
      <w:r>
        <w:rPr>
          <w:rFonts w:hint="eastAsia"/>
          <w:snapToGrid/>
        </w:rPr>
        <w:tab/>
        <w:t xml:space="preserve">253.  </w:t>
      </w:r>
      <w:r>
        <w:rPr>
          <w:snapToGrid/>
        </w:rPr>
        <w:t>(b)</w:t>
      </w:r>
      <w:r>
        <w:rPr>
          <w:rFonts w:hint="eastAsia"/>
          <w:snapToGrid/>
        </w:rPr>
        <w:t xml:space="preserve"> </w:t>
      </w:r>
      <w:r>
        <w:rPr>
          <w:rFonts w:hint="eastAsia"/>
          <w:snapToGrid/>
        </w:rPr>
        <w:t>请参看瑞典的第</w:t>
      </w:r>
      <w:r>
        <w:rPr>
          <w:rFonts w:hint="eastAsia"/>
          <w:snapToGrid/>
        </w:rPr>
        <w:t>4</w:t>
      </w:r>
      <w:r>
        <w:rPr>
          <w:rFonts w:hint="eastAsia"/>
          <w:snapToGrid/>
        </w:rPr>
        <w:t>次报告以及上面第</w:t>
      </w:r>
      <w:r>
        <w:rPr>
          <w:rFonts w:hint="eastAsia"/>
          <w:snapToGrid/>
        </w:rPr>
        <w:t>9</w:t>
      </w:r>
      <w:r>
        <w:rPr>
          <w:rFonts w:hint="eastAsia"/>
          <w:snapToGrid/>
        </w:rPr>
        <w:t>条准则下的内容。</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5</w:t>
      </w:r>
    </w:p>
    <w:p w:rsidR="00000000" w:rsidRDefault="00000000">
      <w:pPr>
        <w:spacing w:after="240"/>
        <w:rPr>
          <w:rFonts w:hint="eastAsia"/>
          <w:snapToGrid/>
        </w:rPr>
      </w:pPr>
      <w:r>
        <w:rPr>
          <w:rFonts w:hint="eastAsia"/>
          <w:snapToGrid/>
        </w:rPr>
        <w:tab/>
        <w:t xml:space="preserve">254.  </w:t>
      </w:r>
      <w:r>
        <w:rPr>
          <w:rFonts w:hint="eastAsia"/>
          <w:snapToGrid/>
        </w:rPr>
        <w:t>请参看瑞典的第</w:t>
      </w:r>
      <w:r>
        <w:rPr>
          <w:rFonts w:hint="eastAsia"/>
          <w:snapToGrid/>
        </w:rPr>
        <w:t>4</w:t>
      </w:r>
      <w:r>
        <w:rPr>
          <w:rFonts w:hint="eastAsia"/>
          <w:snapToGrid/>
        </w:rPr>
        <w:t>次定期报告以及上面第</w:t>
      </w:r>
      <w:r>
        <w:rPr>
          <w:rFonts w:hint="eastAsia"/>
          <w:snapToGrid/>
        </w:rPr>
        <w:t>9</w:t>
      </w:r>
      <w:r>
        <w:rPr>
          <w:rFonts w:hint="eastAsia"/>
          <w:snapToGrid/>
        </w:rPr>
        <w:t>条准则下的内容。</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6</w:t>
      </w:r>
    </w:p>
    <w:p w:rsidR="00000000" w:rsidRDefault="00000000">
      <w:pPr>
        <w:spacing w:after="240"/>
        <w:rPr>
          <w:rFonts w:hint="eastAsia"/>
          <w:snapToGrid/>
        </w:rPr>
      </w:pPr>
      <w:r>
        <w:rPr>
          <w:rFonts w:hint="eastAsia"/>
          <w:snapToGrid/>
        </w:rPr>
        <w:tab/>
        <w:t xml:space="preserve">255.  </w:t>
      </w:r>
      <w:r>
        <w:rPr>
          <w:rFonts w:hint="eastAsia"/>
          <w:snapToGrid/>
        </w:rPr>
        <w:t>请参看以前各份报告和瑞典就第</w:t>
      </w:r>
      <w:r>
        <w:rPr>
          <w:rFonts w:hint="eastAsia"/>
          <w:snapToGrid/>
        </w:rPr>
        <w:t>6</w:t>
      </w:r>
      <w:r>
        <w:rPr>
          <w:rFonts w:hint="eastAsia"/>
          <w:snapToGrid/>
        </w:rPr>
        <w:t>项之下的所有各点向联合国儿童权利委员会提交的报告。瑞典正在不断努力加强对于易受伤害和弱势儿童的保护。这件工作部分是在社会服务系统内部，部分在法律系统内部开展的。上次报告以来所发生的变化在这里予以简单重述。</w:t>
      </w:r>
    </w:p>
    <w:p w:rsidR="00000000" w:rsidRDefault="00000000">
      <w:pPr>
        <w:pStyle w:val="Heading4"/>
        <w:rPr>
          <w:rFonts w:hint="eastAsia"/>
        </w:rPr>
      </w:pPr>
      <w:r>
        <w:rPr>
          <w:rFonts w:hint="eastAsia"/>
        </w:rPr>
        <w:t>残疾儿童</w:t>
      </w:r>
    </w:p>
    <w:p w:rsidR="00000000" w:rsidRDefault="00000000">
      <w:pPr>
        <w:spacing w:after="240"/>
        <w:rPr>
          <w:rFonts w:hint="eastAsia"/>
          <w:snapToGrid/>
        </w:rPr>
      </w:pPr>
      <w:r>
        <w:rPr>
          <w:rFonts w:hint="eastAsia"/>
          <w:snapToGrid/>
        </w:rPr>
        <w:tab/>
        <w:t xml:space="preserve">256.  </w:t>
      </w:r>
      <w:r>
        <w:rPr>
          <w:rFonts w:hint="eastAsia"/>
          <w:snapToGrid/>
        </w:rPr>
        <w:t>瑞典残疾政策的基础是，残疾儿童应当首先拥有做儿童的权利。残疾儿童还有补偿其残疾的特殊需求。应当给予残疾儿童和残疾青年在他们亲属的家庭里成长的机会。父母和儿童</w:t>
      </w:r>
      <w:r>
        <w:rPr>
          <w:rFonts w:hint="eastAsia"/>
          <w:snapToGrid/>
        </w:rPr>
        <w:t>/</w:t>
      </w:r>
      <w:r>
        <w:rPr>
          <w:rFonts w:hint="eastAsia"/>
          <w:snapToGrid/>
        </w:rPr>
        <w:t>青年可以获得例如以暂息服务、同伴服务、个人协助和离家短期外住等方式提供的支助。这些方案使得父母们得以暂时休息，并且让残疾儿童有更多机会离开父母轻松一下。支助是根据《社会服务法》所提供的，如果儿童属于《向具有某些功能损害的人士提供支持和服务法令》</w:t>
      </w:r>
      <w:r>
        <w:rPr>
          <w:rFonts w:hint="eastAsia"/>
          <w:snapToGrid/>
        </w:rPr>
        <w:t>(</w:t>
      </w:r>
      <w:r>
        <w:rPr>
          <w:rFonts w:hint="eastAsia"/>
          <w:snapToGrid/>
        </w:rPr>
        <w:t>下文称《支持服务法》</w:t>
      </w:r>
      <w:r>
        <w:rPr>
          <w:rFonts w:hint="eastAsia"/>
          <w:snapToGrid/>
        </w:rPr>
        <w:t>)</w:t>
      </w:r>
      <w:r>
        <w:rPr>
          <w:rFonts w:hint="eastAsia"/>
          <w:snapToGrid/>
        </w:rPr>
        <w:t>的管辖范围，也可以在这项法令项下进行申请。如欲了解更多的情况，请参看瑞典向儿童权利委员会提交的报告。</w:t>
      </w:r>
    </w:p>
    <w:p w:rsidR="00000000" w:rsidRDefault="00000000">
      <w:pPr>
        <w:pStyle w:val="Heading4"/>
        <w:rPr>
          <w:rFonts w:hint="eastAsia"/>
        </w:rPr>
      </w:pPr>
      <w:r>
        <w:rPr>
          <w:rFonts w:hint="eastAsia"/>
        </w:rPr>
        <w:t>社会服务</w:t>
      </w:r>
    </w:p>
    <w:p w:rsidR="00000000" w:rsidRDefault="00000000">
      <w:pPr>
        <w:rPr>
          <w:rFonts w:hint="eastAsia"/>
          <w:snapToGrid/>
        </w:rPr>
      </w:pPr>
      <w:r>
        <w:rPr>
          <w:rFonts w:hint="eastAsia"/>
          <w:snapToGrid/>
        </w:rPr>
        <w:tab/>
        <w:t xml:space="preserve">257.  </w:t>
      </w:r>
      <w:r>
        <w:rPr>
          <w:rFonts w:hint="eastAsia"/>
          <w:snapToGrid/>
        </w:rPr>
        <w:t>旨在加强处于风险中儿童的社会保险的新规定于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生效。其活动有关儿童的政府机构和政府机构雇员的职责扩大到也包括监狱和缓刑部门内部的机构和国家法医委员会内部的法医精神病部门。为了增加对于向社会服务部门提交的强制性报告的了解以及提高一切有关人士对于这项职责的认识，在管理与儿童有定期接触的机构和活动的法律中插入提及了强制性报告的提交。</w:t>
      </w:r>
    </w:p>
    <w:p w:rsidR="00000000" w:rsidRDefault="00000000">
      <w:pPr>
        <w:rPr>
          <w:rFonts w:hint="eastAsia"/>
          <w:snapToGrid/>
        </w:rPr>
      </w:pPr>
      <w:r>
        <w:rPr>
          <w:rFonts w:hint="eastAsia"/>
          <w:snapToGrid/>
        </w:rPr>
        <w:tab/>
        <w:t xml:space="preserve">258.  </w:t>
      </w:r>
      <w:r>
        <w:rPr>
          <w:rFonts w:hint="eastAsia"/>
          <w:snapToGrid/>
        </w:rPr>
        <w:t>同时，在有关警方、保健和医疗提供机构、幼儿园、学校和学龄儿童照顾中心的法律中，分别插入了有关应社会服务部门之请求，就处于风险中儿童和青年问题进行合作的规定。</w:t>
      </w:r>
    </w:p>
    <w:p w:rsidR="00000000" w:rsidRDefault="00000000">
      <w:pPr>
        <w:rPr>
          <w:rFonts w:hint="eastAsia"/>
          <w:snapToGrid/>
        </w:rPr>
      </w:pPr>
      <w:r>
        <w:rPr>
          <w:rFonts w:hint="eastAsia"/>
          <w:snapToGrid/>
        </w:rPr>
        <w:tab/>
        <w:t xml:space="preserve">259.  </w:t>
      </w:r>
      <w:r>
        <w:rPr>
          <w:rFonts w:hint="eastAsia"/>
          <w:snapToGrid/>
        </w:rPr>
        <w:t>《关心青少年法》</w:t>
      </w:r>
      <w:r>
        <w:rPr>
          <w:rFonts w:hint="eastAsia"/>
          <w:snapToGrid/>
        </w:rPr>
        <w:t>(1990</w:t>
      </w:r>
      <w:r>
        <w:rPr>
          <w:rFonts w:hint="eastAsia"/>
          <w:snapToGrid/>
        </w:rPr>
        <w:t>：</w:t>
      </w:r>
      <w:r>
        <w:rPr>
          <w:rFonts w:hint="eastAsia"/>
          <w:snapToGrid/>
        </w:rPr>
        <w:t>52)</w:t>
      </w:r>
      <w:r>
        <w:rPr>
          <w:rFonts w:hint="eastAsia"/>
          <w:snapToGrid/>
        </w:rPr>
        <w:t>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进行了修订，以加强该项法律的儿童观点。其中插入了一条规定，申明在该法令项下作出的决定必须极为关切青少年的利益，必须在适当考虑到青少年的年龄和成熟程度的情况下重视青少年的意愿。同时明确了身体虐待和精神虐待都会损害儿童的健康和发展。</w:t>
      </w:r>
    </w:p>
    <w:p w:rsidR="00000000" w:rsidRDefault="00000000">
      <w:pPr>
        <w:spacing w:after="240"/>
        <w:rPr>
          <w:rFonts w:hint="eastAsia"/>
          <w:snapToGrid/>
        </w:rPr>
      </w:pPr>
      <w:r>
        <w:rPr>
          <w:rFonts w:hint="eastAsia"/>
          <w:snapToGrid/>
        </w:rPr>
        <w:tab/>
        <w:t xml:space="preserve">260.  </w:t>
      </w:r>
      <w:r>
        <w:rPr>
          <w:rFonts w:hint="eastAsia"/>
          <w:snapToGrid/>
        </w:rPr>
        <w:t>一个议会委员会受到政府授权，起草一份社会关心儿童和青年的全国行动计划的提议。该委员会在</w:t>
      </w:r>
      <w:r>
        <w:rPr>
          <w:rFonts w:hint="eastAsia"/>
          <w:snapToGrid/>
        </w:rPr>
        <w:t>2005</w:t>
      </w:r>
      <w:r>
        <w:rPr>
          <w:rFonts w:hint="eastAsia"/>
          <w:snapToGrid/>
        </w:rPr>
        <w:t>年</w:t>
      </w:r>
      <w:r>
        <w:rPr>
          <w:rFonts w:hint="eastAsia"/>
          <w:snapToGrid/>
        </w:rPr>
        <w:t>10</w:t>
      </w:r>
      <w:r>
        <w:rPr>
          <w:rFonts w:hint="eastAsia"/>
          <w:snapToGrid/>
        </w:rPr>
        <w:t>月向政府提出了其提议</w:t>
      </w:r>
      <w:r>
        <w:rPr>
          <w:rFonts w:hint="eastAsia"/>
          <w:snapToGrid/>
        </w:rPr>
        <w:t>(SOU 2005</w:t>
      </w:r>
      <w:r>
        <w:rPr>
          <w:rFonts w:hint="eastAsia"/>
          <w:snapToGrid/>
        </w:rPr>
        <w:t>：</w:t>
      </w:r>
      <w:r>
        <w:rPr>
          <w:rFonts w:hint="eastAsia"/>
          <w:snapToGrid/>
        </w:rPr>
        <w:t>81)</w:t>
      </w:r>
      <w:r>
        <w:rPr>
          <w:rFonts w:hint="eastAsia"/>
          <w:snapToGrid/>
        </w:rPr>
        <w:t>。政府打算在</w:t>
      </w:r>
      <w:r>
        <w:rPr>
          <w:rFonts w:hint="eastAsia"/>
          <w:snapToGrid/>
        </w:rPr>
        <w:t>2006</w:t>
      </w:r>
      <w:r>
        <w:rPr>
          <w:rFonts w:hint="eastAsia"/>
          <w:snapToGrid/>
        </w:rPr>
        <w:t>年年底前向议会提出一项议案。</w:t>
      </w:r>
    </w:p>
    <w:p w:rsidR="00000000" w:rsidRDefault="00000000">
      <w:pPr>
        <w:pStyle w:val="Heading4"/>
        <w:rPr>
          <w:rFonts w:hint="eastAsia"/>
        </w:rPr>
      </w:pPr>
      <w:r>
        <w:rPr>
          <w:rFonts w:hint="eastAsia"/>
        </w:rPr>
        <w:t>法律制度</w:t>
      </w:r>
    </w:p>
    <w:p w:rsidR="00000000" w:rsidRDefault="00000000">
      <w:pPr>
        <w:pStyle w:val="Heading4"/>
        <w:rPr>
          <w:rFonts w:eastAsia="KaiTi_GB2312" w:hint="eastAsia"/>
          <w:spacing w:val="0"/>
          <w:u w:val="none"/>
        </w:rPr>
      </w:pPr>
      <w:r>
        <w:rPr>
          <w:rFonts w:eastAsia="KaiTi_GB2312" w:hint="eastAsia"/>
          <w:spacing w:val="0"/>
          <w:u w:val="none"/>
        </w:rPr>
        <w:t>虐待儿童</w:t>
      </w:r>
    </w:p>
    <w:p w:rsidR="00000000" w:rsidRDefault="00000000">
      <w:pPr>
        <w:rPr>
          <w:rFonts w:hint="eastAsia"/>
          <w:snapToGrid/>
        </w:rPr>
      </w:pPr>
      <w:r>
        <w:rPr>
          <w:rFonts w:hint="eastAsia"/>
          <w:snapToGrid/>
        </w:rPr>
        <w:tab/>
        <w:t>261.  2003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日，纳入了提高刑事处罚严厉度的特别理由。根据这些理由，如果一项罪行可能损害一名儿童的安全感和对与他</w:t>
      </w:r>
      <w:r>
        <w:rPr>
          <w:rFonts w:hint="eastAsia"/>
          <w:snapToGrid/>
        </w:rPr>
        <w:t>/</w:t>
      </w:r>
      <w:r>
        <w:rPr>
          <w:rFonts w:hint="eastAsia"/>
          <w:snapToGrid/>
        </w:rPr>
        <w:t>她亲近的一个人的关系的信任感，则在作出应受惩处的判决时，应将该项罪行视为</w:t>
      </w:r>
      <w:r>
        <w:rPr>
          <w:rFonts w:hint="eastAsia"/>
          <w:snapToGrid/>
        </w:rPr>
        <w:t xml:space="preserve"> </w:t>
      </w:r>
      <w:r>
        <w:rPr>
          <w:rFonts w:hint="eastAsia"/>
          <w:snapToGrid/>
        </w:rPr>
        <w:t>一种加剧情势。</w:t>
      </w:r>
    </w:p>
    <w:p w:rsidR="00000000" w:rsidRDefault="00000000">
      <w:pPr>
        <w:spacing w:after="240"/>
        <w:rPr>
          <w:rFonts w:hint="eastAsia"/>
          <w:snapToGrid/>
        </w:rPr>
      </w:pPr>
      <w:r>
        <w:rPr>
          <w:rFonts w:hint="eastAsia"/>
          <w:snapToGrid/>
        </w:rPr>
        <w:tab/>
        <w:t xml:space="preserve">262.  </w:t>
      </w:r>
      <w:r>
        <w:rPr>
          <w:rFonts w:hint="eastAsia"/>
          <w:snapToGrid/>
        </w:rPr>
        <w:t>关于严重侵犯身心健康的新法律已经实施了一段时间。政府计划在</w:t>
      </w:r>
      <w:r>
        <w:rPr>
          <w:rFonts w:hint="eastAsia"/>
          <w:snapToGrid/>
        </w:rPr>
        <w:t>2006</w:t>
      </w:r>
      <w:r>
        <w:rPr>
          <w:rFonts w:hint="eastAsia"/>
          <w:snapToGrid/>
        </w:rPr>
        <w:t>年开始复审这项法律。这样一次复审的详细情况司法部正在研究之中。</w:t>
      </w:r>
    </w:p>
    <w:p w:rsidR="00000000" w:rsidRDefault="00000000">
      <w:pPr>
        <w:pStyle w:val="Heading4"/>
        <w:rPr>
          <w:rFonts w:eastAsia="KaiTi_GB2312" w:hint="eastAsia"/>
          <w:spacing w:val="0"/>
          <w:u w:val="none"/>
        </w:rPr>
      </w:pPr>
      <w:r>
        <w:rPr>
          <w:rFonts w:eastAsia="KaiTi_GB2312" w:hint="eastAsia"/>
          <w:spacing w:val="0"/>
          <w:u w:val="none"/>
        </w:rPr>
        <w:t>性罪行的改革</w:t>
      </w:r>
    </w:p>
    <w:p w:rsidR="00000000" w:rsidRDefault="00000000">
      <w:pPr>
        <w:rPr>
          <w:rFonts w:hint="eastAsia"/>
          <w:snapToGrid/>
        </w:rPr>
      </w:pPr>
      <w:r>
        <w:rPr>
          <w:rFonts w:hint="eastAsia"/>
          <w:snapToGrid/>
        </w:rPr>
        <w:tab/>
        <w:t>263.  2005</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日生效的新的《性罪行法》的内容已经在上文第</w:t>
      </w:r>
      <w:r>
        <w:rPr>
          <w:rFonts w:hint="eastAsia"/>
          <w:snapToGrid/>
        </w:rPr>
        <w:t>3</w:t>
      </w:r>
      <w:r>
        <w:rPr>
          <w:rFonts w:hint="eastAsia"/>
          <w:snapToGrid/>
        </w:rPr>
        <w:t>条之下作了报告。下列几个方面特别值得注意。</w:t>
      </w:r>
    </w:p>
    <w:p w:rsidR="00000000" w:rsidRDefault="00000000">
      <w:pPr>
        <w:rPr>
          <w:rFonts w:hint="eastAsia"/>
          <w:snapToGrid/>
        </w:rPr>
      </w:pPr>
      <w:r>
        <w:rPr>
          <w:rFonts w:hint="eastAsia"/>
          <w:snapToGrid/>
        </w:rPr>
        <w:tab/>
        <w:t xml:space="preserve">264.  </w:t>
      </w:r>
      <w:r>
        <w:rPr>
          <w:rFonts w:hint="eastAsia"/>
          <w:snapToGrid/>
        </w:rPr>
        <w:t>改革的目的之一，是进一步加强保护未成年人不受性剥削。为了强调对未成年人所犯的性罪行的严重性，该项法律纳入了特别的刑罚规定，包括在强奸儿童和对儿童进行性骚扰方面。废除了胁迫的要求，从而扩大了这种罪行的范围。</w:t>
      </w:r>
    </w:p>
    <w:p w:rsidR="00000000" w:rsidRDefault="00000000">
      <w:pPr>
        <w:rPr>
          <w:rFonts w:hint="eastAsia"/>
          <w:snapToGrid/>
        </w:rPr>
      </w:pPr>
      <w:r>
        <w:rPr>
          <w:rFonts w:hint="eastAsia"/>
          <w:snapToGrid/>
        </w:rPr>
        <w:tab/>
        <w:t xml:space="preserve">265.  </w:t>
      </w:r>
      <w:r>
        <w:rPr>
          <w:rFonts w:hint="eastAsia"/>
          <w:snapToGrid/>
        </w:rPr>
        <w:t>禁止向儿童购买性行为的规定得到了加强，通过扩大其范围，将在不构成明确的卖淫案在情况下向儿童购买性行为也包括在内。将对令未成年人摆出色情姿势进行剥削的特别刑罚规定纳入了该项法律，通过这条规定，保护未成年人不受为了此种目的的性剥削得到进一步加强。通常的刑罚是罚款或最高为两年的监禁。对于严重的罪行，刑罚是</w:t>
      </w:r>
      <w:r>
        <w:rPr>
          <w:rFonts w:hint="eastAsia"/>
          <w:snapToGrid/>
        </w:rPr>
        <w:t>6</w:t>
      </w:r>
      <w:r>
        <w:rPr>
          <w:rFonts w:hint="eastAsia"/>
          <w:snapToGrid/>
        </w:rPr>
        <w:t>个月到</w:t>
      </w:r>
      <w:r>
        <w:rPr>
          <w:rFonts w:hint="eastAsia"/>
          <w:snapToGrid/>
        </w:rPr>
        <w:t>6</w:t>
      </w:r>
      <w:r>
        <w:rPr>
          <w:rFonts w:hint="eastAsia"/>
          <w:snapToGrid/>
        </w:rPr>
        <w:t>年监禁。</w:t>
      </w:r>
    </w:p>
    <w:p w:rsidR="00000000" w:rsidRDefault="00000000">
      <w:pPr>
        <w:spacing w:after="240"/>
        <w:rPr>
          <w:rFonts w:hint="eastAsia"/>
          <w:snapToGrid/>
        </w:rPr>
      </w:pPr>
      <w:r>
        <w:rPr>
          <w:rFonts w:hint="eastAsia"/>
          <w:snapToGrid/>
        </w:rPr>
        <w:tab/>
        <w:t xml:space="preserve">266.  </w:t>
      </w:r>
      <w:r>
        <w:rPr>
          <w:rFonts w:hint="eastAsia"/>
          <w:snapToGrid/>
        </w:rPr>
        <w:t>为了进一步加强儿童获得赔偿的机会，对未成年人所犯的某些性罪行的限制法规延长了，即收费要到该儿童满</w:t>
      </w:r>
      <w:r>
        <w:rPr>
          <w:rFonts w:hint="eastAsia"/>
          <w:snapToGrid/>
        </w:rPr>
        <w:t>18</w:t>
      </w:r>
      <w:r>
        <w:rPr>
          <w:rFonts w:hint="eastAsia"/>
          <w:snapToGrid/>
        </w:rPr>
        <w:t>岁或本来会满</w:t>
      </w:r>
      <w:r>
        <w:rPr>
          <w:rFonts w:hint="eastAsia"/>
          <w:snapToGrid/>
        </w:rPr>
        <w:t>18</w:t>
      </w:r>
      <w:r>
        <w:rPr>
          <w:rFonts w:hint="eastAsia"/>
          <w:snapToGrid/>
        </w:rPr>
        <w:t>岁那年才开始。</w:t>
      </w:r>
    </w:p>
    <w:p w:rsidR="00000000" w:rsidRDefault="00000000">
      <w:pPr>
        <w:pStyle w:val="Heading4"/>
        <w:rPr>
          <w:rFonts w:eastAsia="KaiTi_GB2312" w:hint="eastAsia"/>
          <w:spacing w:val="0"/>
          <w:u w:val="none"/>
        </w:rPr>
      </w:pPr>
      <w:r>
        <w:rPr>
          <w:rFonts w:eastAsia="KaiTi_GB2312" w:hint="eastAsia"/>
          <w:spacing w:val="0"/>
          <w:u w:val="none"/>
        </w:rPr>
        <w:t>贩运人口</w:t>
      </w:r>
    </w:p>
    <w:p w:rsidR="00000000" w:rsidRDefault="00000000">
      <w:pPr>
        <w:rPr>
          <w:rFonts w:hint="eastAsia"/>
          <w:snapToGrid/>
        </w:rPr>
      </w:pPr>
      <w:r>
        <w:rPr>
          <w:rFonts w:hint="eastAsia"/>
          <w:snapToGrid/>
        </w:rPr>
        <w:tab/>
        <w:t xml:space="preserve">267.  </w:t>
      </w:r>
      <w:r>
        <w:rPr>
          <w:rFonts w:hint="eastAsia"/>
          <w:snapToGrid/>
        </w:rPr>
        <w:t>如上文第</w:t>
      </w:r>
      <w:r>
        <w:rPr>
          <w:rFonts w:hint="eastAsia"/>
          <w:snapToGrid/>
        </w:rPr>
        <w:t>3</w:t>
      </w:r>
      <w:r>
        <w:rPr>
          <w:rFonts w:hint="eastAsia"/>
          <w:snapToGrid/>
        </w:rPr>
        <w:t>条之下所讨论的，关于为了性目的贩运人口的规定于</w:t>
      </w:r>
      <w:r>
        <w:rPr>
          <w:rFonts w:hint="eastAsia"/>
          <w:snapToGrid/>
        </w:rPr>
        <w:t>2002</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日起实施。瑞典</w:t>
      </w:r>
      <w:r>
        <w:rPr>
          <w:rFonts w:hint="eastAsia"/>
          <w:snapToGrid/>
        </w:rPr>
        <w:t>2002</w:t>
      </w:r>
      <w:r>
        <w:rPr>
          <w:rFonts w:hint="eastAsia"/>
          <w:snapToGrid/>
        </w:rPr>
        <w:t>年向联合国儿童权利委员会提交的第</w:t>
      </w:r>
      <w:r>
        <w:rPr>
          <w:rFonts w:hint="eastAsia"/>
          <w:snapToGrid/>
        </w:rPr>
        <w:t>3</w:t>
      </w:r>
      <w:r>
        <w:rPr>
          <w:rFonts w:hint="eastAsia"/>
          <w:snapToGrid/>
        </w:rPr>
        <w:t>次报告</w:t>
      </w:r>
      <w:r>
        <w:rPr>
          <w:rFonts w:hint="eastAsia"/>
          <w:snapToGrid/>
        </w:rPr>
        <w:t>(</w:t>
      </w:r>
      <w:r>
        <w:rPr>
          <w:rFonts w:hint="eastAsia"/>
          <w:snapToGrid/>
        </w:rPr>
        <w:t>第</w:t>
      </w:r>
      <w:r>
        <w:rPr>
          <w:rFonts w:hint="eastAsia"/>
          <w:snapToGrid/>
        </w:rPr>
        <w:t>9.3.3-4</w:t>
      </w:r>
      <w:r>
        <w:rPr>
          <w:rFonts w:hint="eastAsia"/>
          <w:snapToGrid/>
        </w:rPr>
        <w:t>项</w:t>
      </w:r>
      <w:r>
        <w:rPr>
          <w:rFonts w:hint="eastAsia"/>
          <w:snapToGrid/>
        </w:rPr>
        <w:t>)</w:t>
      </w:r>
      <w:r>
        <w:rPr>
          <w:rFonts w:hint="eastAsia"/>
          <w:snapToGrid/>
        </w:rPr>
        <w:t>中还提供了一份关于立法的报告。</w:t>
      </w:r>
    </w:p>
    <w:p w:rsidR="00000000" w:rsidRDefault="00000000">
      <w:pPr>
        <w:spacing w:after="240"/>
        <w:rPr>
          <w:rFonts w:hint="eastAsia"/>
          <w:snapToGrid/>
        </w:rPr>
      </w:pPr>
      <w:r>
        <w:rPr>
          <w:rFonts w:hint="eastAsia"/>
          <w:snapToGrid/>
        </w:rPr>
        <w:tab/>
        <w:t xml:space="preserve">268.  </w:t>
      </w:r>
      <w:r>
        <w:rPr>
          <w:rFonts w:hint="eastAsia"/>
          <w:snapToGrid/>
        </w:rPr>
        <w:t>政府还指示一个委员会编写一份的贩运人口罪行概观，评估这种罪行的范围，分析瑞典为了成为欧洲理事会《打击贩运人口行动公约》的缔约国可能需要的立法改动，以及分析瑞典的刑事立法是否为取缔不足法定年龄婚姻和强迫婚姻提供了令人满意的保护。</w:t>
      </w:r>
    </w:p>
    <w:p w:rsidR="00000000" w:rsidRDefault="00000000">
      <w:pPr>
        <w:pStyle w:val="Heading4"/>
        <w:rPr>
          <w:rFonts w:eastAsia="KaiTi_GB2312" w:hint="eastAsia"/>
          <w:spacing w:val="0"/>
          <w:u w:val="none"/>
        </w:rPr>
      </w:pPr>
      <w:r>
        <w:rPr>
          <w:rFonts w:eastAsia="KaiTi_GB2312" w:hint="eastAsia"/>
          <w:spacing w:val="0"/>
          <w:u w:val="none"/>
        </w:rPr>
        <w:t>儿童色情资料</w:t>
      </w:r>
    </w:p>
    <w:p w:rsidR="00000000" w:rsidRDefault="00000000">
      <w:pPr>
        <w:spacing w:after="240"/>
        <w:rPr>
          <w:rFonts w:hint="eastAsia"/>
          <w:snapToGrid/>
        </w:rPr>
      </w:pPr>
      <w:r>
        <w:rPr>
          <w:rFonts w:hint="eastAsia"/>
          <w:snapToGrid/>
        </w:rPr>
        <w:tab/>
        <w:t>269.  2005</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日生效的新的《性罪行法》将对于情节严重的儿童色情资料的最高刑罚从</w:t>
      </w:r>
      <w:r>
        <w:rPr>
          <w:rFonts w:hint="eastAsia"/>
          <w:snapToGrid/>
        </w:rPr>
        <w:t>4</w:t>
      </w:r>
      <w:r>
        <w:rPr>
          <w:rFonts w:hint="eastAsia"/>
          <w:snapToGrid/>
        </w:rPr>
        <w:t>年监禁增加到</w:t>
      </w:r>
      <w:r>
        <w:rPr>
          <w:rFonts w:hint="eastAsia"/>
          <w:snapToGrid/>
        </w:rPr>
        <w:t>6</w:t>
      </w:r>
      <w:r>
        <w:rPr>
          <w:rFonts w:hint="eastAsia"/>
          <w:snapToGrid/>
        </w:rPr>
        <w:t>年监禁。</w:t>
      </w:r>
      <w:r>
        <w:rPr>
          <w:rFonts w:hint="eastAsia"/>
          <w:snapToGrid/>
        </w:rPr>
        <w:t>2005</w:t>
      </w:r>
      <w:r>
        <w:rPr>
          <w:rFonts w:hint="eastAsia"/>
          <w:snapToGrid/>
        </w:rPr>
        <w:t>年</w:t>
      </w:r>
      <w:r>
        <w:rPr>
          <w:rFonts w:hint="eastAsia"/>
          <w:snapToGrid/>
        </w:rPr>
        <w:t>8</w:t>
      </w:r>
      <w:r>
        <w:rPr>
          <w:rFonts w:hint="eastAsia"/>
          <w:snapToGrid/>
        </w:rPr>
        <w:t>月，政府决定对于“用色情图像来描绘未成年人”的规定及有关立法进行审议。该审议的目的是使得能够更有效地打击儿童色情资料，并且除其他之外，在下列各方面加强与儿童色情资料犯罪有关的儿童的地位。该审议将包括考虑对“儿童”的定义施加一个</w:t>
      </w:r>
      <w:r>
        <w:rPr>
          <w:rFonts w:hint="eastAsia"/>
          <w:snapToGrid/>
        </w:rPr>
        <w:t>18</w:t>
      </w:r>
      <w:r>
        <w:rPr>
          <w:rFonts w:hint="eastAsia"/>
          <w:snapToGrid/>
        </w:rPr>
        <w:t>岁的明确限制。政府还将审议是否要使这项罪行适合规定刑罚的罪行形式，以及该刑事责任的承担是否要延伸到其他儿童色情资料做法。是否需要更改，将在有关罪行分类和儿童色情资料罪行的刑罚的既定做法的基础上进行考虑。被用儿童色情资料描绘的儿童是否可以视为儿童色情资料犯罪方面的受害方，因而有权获得经济赔偿的问题也将予以明确。</w:t>
      </w:r>
    </w:p>
    <w:p w:rsidR="00000000" w:rsidRDefault="00000000">
      <w:pPr>
        <w:pStyle w:val="Heading4"/>
        <w:rPr>
          <w:rFonts w:eastAsia="KaiTi_GB2312" w:hint="eastAsia"/>
          <w:spacing w:val="0"/>
          <w:u w:val="none"/>
        </w:rPr>
      </w:pPr>
      <w:r>
        <w:rPr>
          <w:rFonts w:eastAsia="KaiTi_GB2312" w:hint="eastAsia"/>
          <w:spacing w:val="0"/>
          <w:u w:val="none"/>
        </w:rPr>
        <w:t>为了性的目的训练儿童</w:t>
      </w:r>
    </w:p>
    <w:p w:rsidR="00000000" w:rsidRDefault="00000000">
      <w:pPr>
        <w:rPr>
          <w:rFonts w:hint="eastAsia"/>
          <w:snapToGrid/>
        </w:rPr>
      </w:pPr>
      <w:r>
        <w:rPr>
          <w:rFonts w:hint="eastAsia"/>
          <w:snapToGrid/>
        </w:rPr>
        <w:tab/>
        <w:t xml:space="preserve">270.  </w:t>
      </w:r>
      <w:r>
        <w:rPr>
          <w:rFonts w:hint="eastAsia"/>
          <w:snapToGrid/>
        </w:rPr>
        <w:t>技术进步也给儿童和青年人带来了更多的风险。成年人和达到承担刑事责任的其他人为了性的目的企图接触</w:t>
      </w:r>
      <w:r>
        <w:rPr>
          <w:rFonts w:hint="eastAsia"/>
          <w:snapToGrid/>
        </w:rPr>
        <w:t>(</w:t>
      </w:r>
      <w:r>
        <w:rPr>
          <w:rFonts w:hint="eastAsia"/>
          <w:snapToGrid/>
        </w:rPr>
        <w:t>训练</w:t>
      </w:r>
      <w:r>
        <w:rPr>
          <w:rFonts w:hint="eastAsia"/>
          <w:snapToGrid/>
        </w:rPr>
        <w:t>)</w:t>
      </w:r>
      <w:r>
        <w:rPr>
          <w:rFonts w:hint="eastAsia"/>
          <w:snapToGrid/>
        </w:rPr>
        <w:t>儿童，常常是通过互联网这样做。作为回应，政府最近决定向全国防止犯罪委员会和总检察长下达任务。指令全国防止犯罪委员会编制一份详细描述这种现象的性质和范围，以及过去和现在与打击这种现象的措施的研究概述。全国防止犯罪委员会还将考虑防止训练的其他措施。总检察长将在全国防止犯罪委员会的研究概述和评议的基础上，分析刑法对于这种现象的适用性，以及反犯罪机构对付训练的可用工具。总检察长还将审议目前的立法是否足以保护儿童不受训练，如果认为情况并非这样，则提议必要的立法修正案以及提出法规草案。</w:t>
      </w:r>
    </w:p>
    <w:p w:rsidR="00000000" w:rsidRDefault="00000000">
      <w:pPr>
        <w:rPr>
          <w:rFonts w:hint="eastAsia"/>
          <w:snapToGrid/>
        </w:rPr>
      </w:pPr>
      <w:r>
        <w:rPr>
          <w:rFonts w:hint="eastAsia"/>
          <w:snapToGrid/>
        </w:rPr>
        <w:tab/>
        <w:t xml:space="preserve">271.  </w:t>
      </w:r>
      <w:r>
        <w:rPr>
          <w:snapToGrid/>
        </w:rPr>
        <w:t>(a)</w:t>
      </w:r>
      <w:r>
        <w:rPr>
          <w:rFonts w:hint="eastAsia"/>
          <w:snapToGrid/>
        </w:rPr>
        <w:t xml:space="preserve"> </w:t>
      </w:r>
      <w:r>
        <w:rPr>
          <w:rFonts w:hint="eastAsia"/>
          <w:snapToGrid/>
        </w:rPr>
        <w:t>参看瑞典向联合国儿童权利委员会提交的第</w:t>
      </w:r>
      <w:r>
        <w:rPr>
          <w:rFonts w:hint="eastAsia"/>
          <w:snapToGrid/>
        </w:rPr>
        <w:t>1</w:t>
      </w:r>
      <w:r>
        <w:rPr>
          <w:rFonts w:hint="eastAsia"/>
          <w:snapToGrid/>
        </w:rPr>
        <w:t>次和第</w:t>
      </w:r>
      <w:r>
        <w:rPr>
          <w:rFonts w:hint="eastAsia"/>
          <w:snapToGrid/>
        </w:rPr>
        <w:t>2</w:t>
      </w:r>
      <w:r>
        <w:rPr>
          <w:rFonts w:hint="eastAsia"/>
          <w:snapToGrid/>
        </w:rPr>
        <w:t>次报告第</w:t>
      </w:r>
      <w:r>
        <w:rPr>
          <w:rFonts w:hint="eastAsia"/>
          <w:snapToGrid/>
        </w:rPr>
        <w:t>585-592</w:t>
      </w:r>
      <w:r>
        <w:rPr>
          <w:rFonts w:hint="eastAsia"/>
          <w:snapToGrid/>
        </w:rPr>
        <w:t>段。</w:t>
      </w:r>
    </w:p>
    <w:p w:rsidR="00000000" w:rsidRDefault="00000000">
      <w:pPr>
        <w:rPr>
          <w:rFonts w:hint="eastAsia"/>
          <w:snapToGrid/>
        </w:rPr>
      </w:pPr>
      <w:r>
        <w:rPr>
          <w:rFonts w:hint="eastAsia"/>
          <w:snapToGrid/>
        </w:rPr>
        <w:tab/>
        <w:t xml:space="preserve">272.  </w:t>
      </w:r>
      <w:r>
        <w:rPr>
          <w:snapToGrid/>
        </w:rPr>
        <w:t>(b)</w:t>
      </w:r>
      <w:r>
        <w:rPr>
          <w:rFonts w:hint="eastAsia"/>
          <w:snapToGrid/>
        </w:rPr>
        <w:t xml:space="preserve"> </w:t>
      </w:r>
      <w:r>
        <w:rPr>
          <w:rFonts w:hint="eastAsia"/>
          <w:snapToGrid/>
        </w:rPr>
        <w:t>有</w:t>
      </w:r>
      <w:r>
        <w:rPr>
          <w:rFonts w:hint="eastAsia"/>
          <w:snapToGrid/>
        </w:rPr>
        <w:t>16-19</w:t>
      </w:r>
      <w:r>
        <w:rPr>
          <w:rFonts w:hint="eastAsia"/>
          <w:snapToGrid/>
        </w:rPr>
        <w:t>岁的儿童的统计数字。去年，这个年龄组中大约有</w:t>
      </w:r>
      <w:r>
        <w:rPr>
          <w:rFonts w:hint="eastAsia"/>
          <w:snapToGrid/>
        </w:rPr>
        <w:t>22,000</w:t>
      </w:r>
      <w:r>
        <w:rPr>
          <w:rFonts w:hint="eastAsia"/>
          <w:snapToGrid/>
        </w:rPr>
        <w:t>名儿童工作。大多数人在学校暑假期间工作。没有</w:t>
      </w:r>
      <w:r>
        <w:rPr>
          <w:rFonts w:hint="eastAsia"/>
          <w:snapToGrid/>
        </w:rPr>
        <w:t>16</w:t>
      </w:r>
      <w:r>
        <w:rPr>
          <w:rFonts w:hint="eastAsia"/>
          <w:snapToGrid/>
        </w:rPr>
        <w:t>岁以下儿童的统计数字。在</w:t>
      </w:r>
      <w:r>
        <w:rPr>
          <w:rFonts w:hint="eastAsia"/>
          <w:snapToGrid/>
        </w:rPr>
        <w:t>13-16</w:t>
      </w:r>
      <w:r>
        <w:rPr>
          <w:rFonts w:hint="eastAsia"/>
          <w:snapToGrid/>
        </w:rPr>
        <w:t>岁从事有薪酬的工作方面，这些人完全是在学校假期工作的，因为对这个年龄段的儿童来说，上学是强制性的。</w:t>
      </w:r>
    </w:p>
    <w:p w:rsidR="00000000" w:rsidRDefault="00000000">
      <w:pPr>
        <w:rPr>
          <w:rFonts w:hint="eastAsia"/>
          <w:snapToGrid/>
        </w:rPr>
      </w:pPr>
      <w:r>
        <w:rPr>
          <w:rFonts w:hint="eastAsia"/>
          <w:snapToGrid/>
        </w:rPr>
        <w:tab/>
        <w:t xml:space="preserve">273.  </w:t>
      </w:r>
      <w:r>
        <w:rPr>
          <w:snapToGrid/>
        </w:rPr>
        <w:t>(c)</w:t>
      </w:r>
      <w:r>
        <w:rPr>
          <w:rFonts w:hint="eastAsia"/>
          <w:snapToGrid/>
        </w:rPr>
        <w:t xml:space="preserve"> </w:t>
      </w:r>
      <w:r>
        <w:rPr>
          <w:rFonts w:hint="eastAsia"/>
          <w:snapToGrid/>
        </w:rPr>
        <w:t>没有统计数字。</w:t>
      </w:r>
    </w:p>
    <w:p w:rsidR="00000000" w:rsidRDefault="00000000">
      <w:pPr>
        <w:rPr>
          <w:rFonts w:hint="eastAsia"/>
          <w:snapToGrid/>
        </w:rPr>
      </w:pPr>
      <w:r>
        <w:rPr>
          <w:rFonts w:hint="eastAsia"/>
          <w:snapToGrid/>
        </w:rPr>
        <w:tab/>
        <w:t xml:space="preserve">274.  </w:t>
      </w:r>
      <w:r>
        <w:rPr>
          <w:snapToGrid/>
        </w:rPr>
        <w:t>(d)</w:t>
      </w:r>
      <w:r>
        <w:rPr>
          <w:rFonts w:hint="eastAsia"/>
          <w:snapToGrid/>
        </w:rPr>
        <w:t xml:space="preserve"> </w:t>
      </w:r>
      <w:r>
        <w:rPr>
          <w:rFonts w:hint="eastAsia"/>
          <w:snapToGrid/>
        </w:rPr>
        <w:t>寻求庇护的未成年人拥有与在瑞典永久居留的儿童同样条件的获得教育、幼儿园和学龄儿童照顾的权利。</w:t>
      </w:r>
    </w:p>
    <w:p w:rsidR="00000000" w:rsidRDefault="00000000">
      <w:pPr>
        <w:rPr>
          <w:rFonts w:hint="eastAsia"/>
          <w:snapToGrid/>
        </w:rPr>
      </w:pPr>
      <w:r>
        <w:rPr>
          <w:rFonts w:hint="eastAsia"/>
          <w:snapToGrid/>
        </w:rPr>
        <w:tab/>
        <w:t xml:space="preserve">275.  </w:t>
      </w:r>
      <w:r>
        <w:rPr>
          <w:rFonts w:hint="eastAsia"/>
          <w:snapToGrid/>
        </w:rPr>
        <w:t>在对于</w:t>
      </w:r>
      <w:r>
        <w:rPr>
          <w:rFonts w:hint="eastAsia"/>
          <w:snapToGrid/>
        </w:rPr>
        <w:t>2002</w:t>
      </w:r>
      <w:r>
        <w:rPr>
          <w:rFonts w:hint="eastAsia"/>
          <w:snapToGrid/>
        </w:rPr>
        <w:t>年瑞典提交的第</w:t>
      </w:r>
      <w:r>
        <w:rPr>
          <w:rFonts w:hint="eastAsia"/>
          <w:snapToGrid/>
        </w:rPr>
        <w:t xml:space="preserve">3 </w:t>
      </w:r>
      <w:r>
        <w:rPr>
          <w:rFonts w:hint="eastAsia"/>
          <w:snapToGrid/>
        </w:rPr>
        <w:t>次报告的结论性意见中，联合国儿童权利委员会建议瑞典确保所有儿童享有教育权，其中包括那些没有居留许可的儿童和“隐匿儿童”，亦即被隐匿起来以避免执行一项驱逐出境令或迁移令的儿童和青年人。</w:t>
      </w:r>
    </w:p>
    <w:p w:rsidR="00000000" w:rsidRDefault="00000000">
      <w:pPr>
        <w:spacing w:after="240"/>
        <w:rPr>
          <w:rFonts w:hint="eastAsia"/>
          <w:snapToGrid/>
        </w:rPr>
      </w:pPr>
      <w:r>
        <w:rPr>
          <w:rFonts w:hint="eastAsia"/>
          <w:snapToGrid/>
        </w:rPr>
        <w:tab/>
        <w:t xml:space="preserve">276.  </w:t>
      </w:r>
      <w:r>
        <w:rPr>
          <w:rFonts w:hint="eastAsia"/>
          <w:snapToGrid/>
        </w:rPr>
        <w:t>根据现行规章，瑞典市政区议会可以接受其庇护申请被拒的儿童和被隐匿起来以避免执行一项驱逐出境令或迁移令的儿童至义务教育学校和中学就读。政府在</w:t>
      </w:r>
      <w:r>
        <w:rPr>
          <w:rFonts w:hint="eastAsia"/>
          <w:snapToGrid/>
        </w:rPr>
        <w:t>2006</w:t>
      </w:r>
      <w:r>
        <w:rPr>
          <w:rFonts w:hint="eastAsia"/>
          <w:snapToGrid/>
        </w:rPr>
        <w:t>年初任命了一个委员会，该委员会将研究管理这些“隐匿儿童”的教育、幼儿园和学龄儿童照顾权利的各项条件。在到委员会递交其调研结果为止的这段临时期间，向市政区议会拨付额外的资金，以使得这些儿童被学校接受。</w:t>
      </w:r>
    </w:p>
    <w:p w:rsidR="00000000" w:rsidRDefault="00000000">
      <w:pPr>
        <w:pStyle w:val="Heading4"/>
        <w:spacing w:after="160"/>
        <w:rPr>
          <w:rFonts w:hint="eastAsia"/>
        </w:rPr>
      </w:pPr>
      <w:r>
        <w:rPr>
          <w:rFonts w:hint="eastAsia"/>
        </w:rPr>
        <w:t>提高国家官员和司法界的人权意识</w:t>
      </w:r>
    </w:p>
    <w:p w:rsidR="00000000" w:rsidRDefault="00000000">
      <w:pPr>
        <w:pStyle w:val="Heading4"/>
        <w:rPr>
          <w:rFonts w:hint="eastAsia"/>
          <w:u w:val="none"/>
        </w:rPr>
      </w:pPr>
      <w:r>
        <w:rPr>
          <w:rFonts w:hint="eastAsia"/>
          <w:u w:val="none"/>
        </w:rPr>
        <w:t>(</w:t>
      </w:r>
      <w:r>
        <w:rPr>
          <w:rFonts w:eastAsia="KaiTi_GB2312" w:hint="eastAsia"/>
          <w:spacing w:val="0"/>
          <w:u w:val="none"/>
        </w:rPr>
        <w:t>参见结论性意见第</w:t>
      </w:r>
      <w:r>
        <w:rPr>
          <w:rFonts w:eastAsia="KaiTi_GB2312" w:hint="eastAsia"/>
          <w:spacing w:val="0"/>
          <w:u w:val="none"/>
        </w:rPr>
        <w:t>35</w:t>
      </w:r>
      <w:r>
        <w:rPr>
          <w:rFonts w:eastAsia="KaiTi_GB2312" w:hint="eastAsia"/>
          <w:spacing w:val="0"/>
          <w:u w:val="none"/>
        </w:rPr>
        <w:t>项</w:t>
      </w:r>
      <w:r>
        <w:rPr>
          <w:rFonts w:hint="eastAsia"/>
          <w:u w:val="none"/>
        </w:rPr>
        <w:t>)</w:t>
      </w:r>
    </w:p>
    <w:p w:rsidR="00000000" w:rsidRDefault="00000000">
      <w:pPr>
        <w:pStyle w:val="Heading4"/>
        <w:rPr>
          <w:rFonts w:eastAsia="KaiTi_GB2312" w:hint="eastAsia"/>
          <w:spacing w:val="0"/>
          <w:u w:val="none"/>
        </w:rPr>
      </w:pPr>
      <w:r>
        <w:rPr>
          <w:rFonts w:eastAsia="KaiTi_GB2312" w:hint="eastAsia"/>
          <w:spacing w:val="0"/>
          <w:u w:val="none"/>
        </w:rPr>
        <w:t>儿童政策实现了儿童的权利</w:t>
      </w:r>
    </w:p>
    <w:p w:rsidR="00000000" w:rsidRDefault="00000000">
      <w:pPr>
        <w:rPr>
          <w:rFonts w:hint="eastAsia"/>
          <w:snapToGrid/>
        </w:rPr>
      </w:pPr>
      <w:r>
        <w:rPr>
          <w:rFonts w:hint="eastAsia"/>
          <w:snapToGrid/>
        </w:rPr>
        <w:tab/>
        <w:t xml:space="preserve">277.  </w:t>
      </w:r>
      <w:r>
        <w:rPr>
          <w:rFonts w:hint="eastAsia"/>
          <w:snapToGrid/>
        </w:rPr>
        <w:t>在儿童方面，瑞典执行《经济、社会、文化权利国际公约》的努力与按照</w:t>
      </w:r>
      <w:r>
        <w:rPr>
          <w:rFonts w:hint="eastAsia"/>
          <w:snapToGrid/>
          <w:lang w:val="fr-CH"/>
        </w:rPr>
        <w:t>《联合国儿童权利公约》</w:t>
      </w:r>
      <w:r>
        <w:rPr>
          <w:rFonts w:hint="eastAsia"/>
          <w:snapToGrid/>
        </w:rPr>
        <w:t>实现儿童的权利的努力有着内在的联系。管理这些努力的，是由按照</w:t>
      </w:r>
      <w:r>
        <w:rPr>
          <w:rFonts w:hint="eastAsia"/>
          <w:snapToGrid/>
        </w:rPr>
        <w:t>1998</w:t>
      </w:r>
      <w:r>
        <w:rPr>
          <w:rFonts w:hint="eastAsia"/>
          <w:snapToGrid/>
        </w:rPr>
        <w:t>年向议会提出，由议会在</w:t>
      </w:r>
      <w:r>
        <w:rPr>
          <w:rFonts w:hint="eastAsia"/>
          <w:snapToGrid/>
        </w:rPr>
        <w:t>1999</w:t>
      </w:r>
      <w:r>
        <w:rPr>
          <w:rFonts w:hint="eastAsia"/>
          <w:snapToGrid/>
        </w:rPr>
        <w:t>年</w:t>
      </w:r>
      <w:r>
        <w:rPr>
          <w:rFonts w:hint="eastAsia"/>
          <w:snapToGrid/>
        </w:rPr>
        <w:t>3</w:t>
      </w:r>
      <w:r>
        <w:rPr>
          <w:rFonts w:hint="eastAsia"/>
          <w:snapToGrid/>
        </w:rPr>
        <w:t>月一致通过的实现</w:t>
      </w:r>
      <w:r>
        <w:rPr>
          <w:rFonts w:hint="eastAsia"/>
          <w:snapToGrid/>
          <w:lang w:val="fr-CH"/>
        </w:rPr>
        <w:t>《联合国儿童权利公约》的政府法案制定的国家战略。</w:t>
      </w:r>
    </w:p>
    <w:p w:rsidR="00000000" w:rsidRDefault="00000000">
      <w:pPr>
        <w:rPr>
          <w:rFonts w:hint="eastAsia"/>
          <w:snapToGrid/>
        </w:rPr>
      </w:pPr>
      <w:r>
        <w:rPr>
          <w:rFonts w:hint="eastAsia"/>
          <w:snapToGrid/>
        </w:rPr>
        <w:tab/>
        <w:t xml:space="preserve">278.  </w:t>
      </w:r>
      <w:r>
        <w:rPr>
          <w:rFonts w:hint="eastAsia"/>
          <w:snapToGrid/>
        </w:rPr>
        <w:t>在普遍社会福利政策的框架内提出的各项举措，是能够实现儿童权利的基础。其目标在于保证男女儿童在性别平等的基础上享有平等童年时代条件的福利政策举措，包括能够利用高质量的幼儿园方案、学校、学童照顾和妇幼照顾。父母对于子女的抚养和发展分担主要的责任。公众的任务是支助和补充父母，以能保证每一名儿童都享受良好、安全的童年时代的条件。这一点延伸到提供各种方案，以使得父母参与子女的童年时代并承担责任。</w:t>
      </w:r>
    </w:p>
    <w:p w:rsidR="00000000" w:rsidRDefault="00000000">
      <w:pPr>
        <w:rPr>
          <w:rFonts w:hint="eastAsia"/>
          <w:snapToGrid/>
        </w:rPr>
      </w:pPr>
      <w:r>
        <w:rPr>
          <w:rFonts w:hint="eastAsia"/>
          <w:snapToGrid/>
        </w:rPr>
        <w:tab/>
        <w:t xml:space="preserve">279.  </w:t>
      </w:r>
      <w:r>
        <w:rPr>
          <w:rFonts w:hint="eastAsia"/>
          <w:snapToGrid/>
        </w:rPr>
        <w:t>除了普遍社会福利政策以外，在诸如社会和交通规划、食品和消费者政策、环境政策、公共卫生政策及文化和媒体政策等对于发展儿童和青年人的社会状况具有重大意义的领域里采取了举措。由于儿童政策的跨部门性质，为儿童和青年人所采取的举措是在范围广阔的政策领域所采取的。所有的举措都是为了促进达到儿童政策的目标。为了创建瑞典所采取的在各方面实现儿童权利、改善儿童和青年人生活状况的举措的结构和明确性，已查明了六个目标领域：</w:t>
      </w:r>
    </w:p>
    <w:p w:rsidR="00000000" w:rsidRDefault="00000000">
      <w:pPr>
        <w:pStyle w:val="a0"/>
        <w:tabs>
          <w:tab w:val="clear" w:pos="510"/>
          <w:tab w:val="num" w:pos="1020"/>
        </w:tabs>
        <w:ind w:left="1530"/>
        <w:rPr>
          <w:rFonts w:hint="eastAsia"/>
          <w:snapToGrid/>
        </w:rPr>
      </w:pPr>
      <w:r>
        <w:rPr>
          <w:rFonts w:hint="eastAsia"/>
          <w:snapToGrid/>
        </w:rPr>
        <w:t>儿童获得良好生活水准的权利；</w:t>
      </w:r>
    </w:p>
    <w:p w:rsidR="00000000" w:rsidRDefault="00000000">
      <w:pPr>
        <w:pStyle w:val="a0"/>
        <w:tabs>
          <w:tab w:val="clear" w:pos="510"/>
          <w:tab w:val="num" w:pos="1020"/>
        </w:tabs>
        <w:ind w:left="1530"/>
        <w:rPr>
          <w:rFonts w:hint="eastAsia"/>
          <w:snapToGrid/>
        </w:rPr>
      </w:pPr>
      <w:r>
        <w:rPr>
          <w:rFonts w:hint="eastAsia"/>
          <w:snapToGrid/>
        </w:rPr>
        <w:t>儿童有安全的童年时代的权利；</w:t>
      </w:r>
    </w:p>
    <w:p w:rsidR="00000000" w:rsidRDefault="00000000">
      <w:pPr>
        <w:pStyle w:val="a0"/>
        <w:tabs>
          <w:tab w:val="clear" w:pos="510"/>
          <w:tab w:val="num" w:pos="1020"/>
        </w:tabs>
        <w:ind w:left="1530"/>
        <w:rPr>
          <w:rFonts w:hint="eastAsia"/>
          <w:snapToGrid/>
        </w:rPr>
      </w:pPr>
      <w:r>
        <w:rPr>
          <w:rFonts w:hint="eastAsia"/>
          <w:snapToGrid/>
        </w:rPr>
        <w:t>儿童的健康权利；</w:t>
      </w:r>
    </w:p>
    <w:p w:rsidR="00000000" w:rsidRDefault="00000000">
      <w:pPr>
        <w:pStyle w:val="a0"/>
        <w:tabs>
          <w:tab w:val="clear" w:pos="510"/>
          <w:tab w:val="num" w:pos="1020"/>
        </w:tabs>
        <w:ind w:left="1530"/>
        <w:rPr>
          <w:rFonts w:hint="eastAsia"/>
          <w:snapToGrid/>
        </w:rPr>
      </w:pPr>
      <w:r>
        <w:rPr>
          <w:rFonts w:hint="eastAsia"/>
          <w:snapToGrid/>
        </w:rPr>
        <w:t>儿童的教育权利；</w:t>
      </w:r>
    </w:p>
    <w:p w:rsidR="00000000" w:rsidRDefault="00000000">
      <w:pPr>
        <w:pStyle w:val="a0"/>
        <w:tabs>
          <w:tab w:val="clear" w:pos="510"/>
          <w:tab w:val="num" w:pos="1020"/>
        </w:tabs>
        <w:ind w:left="1530"/>
        <w:rPr>
          <w:rFonts w:hint="eastAsia"/>
          <w:snapToGrid/>
        </w:rPr>
      </w:pPr>
      <w:r>
        <w:rPr>
          <w:rFonts w:hint="eastAsia"/>
          <w:snapToGrid/>
        </w:rPr>
        <w:t>儿童的参与和影响的权利；</w:t>
      </w:r>
    </w:p>
    <w:p w:rsidR="00000000" w:rsidRDefault="00000000">
      <w:pPr>
        <w:pStyle w:val="a0"/>
        <w:tabs>
          <w:tab w:val="clear" w:pos="510"/>
          <w:tab w:val="num" w:pos="1020"/>
        </w:tabs>
        <w:spacing w:after="240"/>
        <w:ind w:left="1530"/>
        <w:rPr>
          <w:rFonts w:hint="eastAsia"/>
          <w:snapToGrid/>
        </w:rPr>
      </w:pPr>
      <w:r>
        <w:rPr>
          <w:rFonts w:hint="eastAsia"/>
          <w:snapToGrid/>
        </w:rPr>
        <w:t>儿童获得社会保护和支助的权利。</w:t>
      </w:r>
    </w:p>
    <w:p w:rsidR="00000000" w:rsidRDefault="00000000">
      <w:pPr>
        <w:pStyle w:val="Heading4"/>
        <w:rPr>
          <w:rFonts w:eastAsia="KaiTi_GB2312" w:hint="eastAsia"/>
          <w:spacing w:val="0"/>
          <w:u w:val="none"/>
        </w:rPr>
      </w:pPr>
      <w:r>
        <w:rPr>
          <w:rFonts w:eastAsia="KaiTi_GB2312" w:hint="eastAsia"/>
          <w:spacing w:val="0"/>
          <w:u w:val="none"/>
        </w:rPr>
        <w:t>政府办公机构的儿童权利专门知识</w:t>
      </w:r>
    </w:p>
    <w:p w:rsidR="00000000" w:rsidRDefault="00000000">
      <w:pPr>
        <w:spacing w:after="240"/>
        <w:rPr>
          <w:rFonts w:hint="eastAsia"/>
          <w:snapToGrid/>
          <w:lang w:val="fr-CH"/>
        </w:rPr>
      </w:pPr>
      <w:r>
        <w:rPr>
          <w:rFonts w:hint="eastAsia"/>
          <w:snapToGrid/>
        </w:rPr>
        <w:tab/>
        <w:t xml:space="preserve">280.  </w:t>
      </w:r>
      <w:r>
        <w:rPr>
          <w:rFonts w:hint="eastAsia"/>
          <w:snapToGrid/>
        </w:rPr>
        <w:t>各政府办公机构内部有协调职能，其任务包括协调、监测和进行把儿童的看法纳入影响到儿童和青年人权利和利益的一切政府决定中的努力。在所有的部都已经任命了</w:t>
      </w:r>
      <w:r>
        <w:rPr>
          <w:rFonts w:hint="eastAsia"/>
          <w:snapToGrid/>
          <w:lang w:val="fr-CH"/>
        </w:rPr>
        <w:t>《联合国儿童权利公约》问题的联系人，作为在</w:t>
      </w:r>
      <w:r>
        <w:rPr>
          <w:rFonts w:hint="eastAsia"/>
          <w:snapToGrid/>
        </w:rPr>
        <w:t>各政府办公机构内部发展</w:t>
      </w:r>
      <w:r>
        <w:rPr>
          <w:rFonts w:hint="eastAsia"/>
          <w:snapToGrid/>
          <w:lang w:val="fr-CH"/>
        </w:rPr>
        <w:t>《联合国儿童权利公约》的努力的一个方面。</w:t>
      </w:r>
    </w:p>
    <w:p w:rsidR="00000000" w:rsidRDefault="00000000">
      <w:pPr>
        <w:pStyle w:val="Heading4"/>
        <w:rPr>
          <w:rFonts w:eastAsia="KaiTi_GB2312" w:hint="eastAsia"/>
          <w:spacing w:val="0"/>
          <w:u w:val="none"/>
        </w:rPr>
      </w:pPr>
      <w:r>
        <w:rPr>
          <w:rFonts w:eastAsia="KaiTi_GB2312" w:hint="eastAsia"/>
          <w:spacing w:val="0"/>
          <w:u w:val="none"/>
          <w:lang w:val="fr-CH"/>
        </w:rPr>
        <w:t>儿童监察员</w:t>
      </w:r>
      <w:r>
        <w:rPr>
          <w:rFonts w:eastAsia="KaiTi_GB2312" w:hint="eastAsia"/>
          <w:spacing w:val="0"/>
          <w:u w:val="none"/>
        </w:rPr>
        <w:t>提高儿童权利意识的任务</w:t>
      </w:r>
    </w:p>
    <w:p w:rsidR="00000000" w:rsidRDefault="00000000">
      <w:pPr>
        <w:spacing w:after="240"/>
        <w:rPr>
          <w:rFonts w:hint="eastAsia"/>
          <w:snapToGrid/>
          <w:lang w:val="fr-CH"/>
        </w:rPr>
      </w:pPr>
      <w:r>
        <w:rPr>
          <w:rFonts w:hint="eastAsia"/>
          <w:snapToGrid/>
          <w:lang w:val="fr-CH"/>
        </w:rPr>
        <w:tab/>
        <w:t xml:space="preserve">281.  </w:t>
      </w:r>
      <w:r>
        <w:rPr>
          <w:rFonts w:hint="eastAsia"/>
          <w:snapToGrid/>
          <w:lang w:val="fr-CH"/>
        </w:rPr>
        <w:t>儿童监察员的作用包括形成有关</w:t>
      </w:r>
      <w:r>
        <w:rPr>
          <w:rFonts w:hint="eastAsia"/>
          <w:snapToGrid/>
        </w:rPr>
        <w:t>儿童权利的意见以及参与社会论述。</w:t>
      </w:r>
      <w:r>
        <w:rPr>
          <w:rFonts w:hint="eastAsia"/>
          <w:snapToGrid/>
          <w:lang w:val="fr-CH"/>
        </w:rPr>
        <w:t>儿童监察员已经做了积极的工作，在各城市、省议会和政府机构促进《联合国儿童权利公约》的努力，并在进行这种努力的期间提供理论支助、显示良好例子、促进知识转让和不断后续、分析和评估实施《联合国儿童权利公约》的情况。</w:t>
      </w:r>
    </w:p>
    <w:p w:rsidR="00000000" w:rsidRDefault="00000000">
      <w:pPr>
        <w:pStyle w:val="Heading4"/>
        <w:rPr>
          <w:rFonts w:eastAsia="KaiTi_GB2312" w:hint="eastAsia"/>
          <w:spacing w:val="0"/>
          <w:u w:val="none"/>
          <w:lang w:val="fr-CH"/>
        </w:rPr>
      </w:pPr>
      <w:r>
        <w:rPr>
          <w:rFonts w:eastAsia="KaiTi_GB2312" w:hint="eastAsia"/>
          <w:spacing w:val="0"/>
          <w:u w:val="none"/>
          <w:lang w:val="fr-CH"/>
        </w:rPr>
        <w:t>儿童评估中心</w:t>
      </w:r>
    </w:p>
    <w:p w:rsidR="00000000" w:rsidRDefault="00000000">
      <w:pPr>
        <w:rPr>
          <w:rFonts w:hint="eastAsia"/>
          <w:snapToGrid/>
        </w:rPr>
      </w:pPr>
      <w:r>
        <w:rPr>
          <w:rFonts w:hint="eastAsia"/>
          <w:snapToGrid/>
          <w:lang w:val="fr-CH"/>
        </w:rPr>
        <w:tab/>
      </w:r>
      <w:r>
        <w:rPr>
          <w:rFonts w:hint="eastAsia"/>
          <w:snapToGrid/>
        </w:rPr>
        <w:t>282.  2005</w:t>
      </w:r>
      <w:r>
        <w:rPr>
          <w:rFonts w:hint="eastAsia"/>
          <w:snapToGrid/>
        </w:rPr>
        <w:t>年</w:t>
      </w:r>
      <w:r>
        <w:rPr>
          <w:rFonts w:hint="eastAsia"/>
          <w:snapToGrid/>
        </w:rPr>
        <w:t>2</w:t>
      </w:r>
      <w:r>
        <w:rPr>
          <w:rFonts w:hint="eastAsia"/>
          <w:snapToGrid/>
        </w:rPr>
        <w:t>月</w:t>
      </w:r>
      <w:r>
        <w:rPr>
          <w:rFonts w:hint="eastAsia"/>
          <w:snapToGrid/>
        </w:rPr>
        <w:t>3</w:t>
      </w:r>
      <w:r>
        <w:rPr>
          <w:rFonts w:hint="eastAsia"/>
          <w:snapToGrid/>
        </w:rPr>
        <w:t>日，政府指令各区公诉处与国家警察委员会、国家健康和福利委员会及国家法医委员会合作建立儿童评估中心。“儿童评估中心”是各个机构在同一办公地点办公，对于有关可能是诸如强奸和身体虐待等严重罪行受害者的儿童进行调查的运作的总的名称。</w:t>
      </w:r>
    </w:p>
    <w:p w:rsidR="00000000" w:rsidRDefault="00000000">
      <w:pPr>
        <w:rPr>
          <w:rFonts w:hint="eastAsia"/>
          <w:snapToGrid/>
        </w:rPr>
      </w:pPr>
      <w:r>
        <w:rPr>
          <w:rFonts w:hint="eastAsia"/>
          <w:snapToGrid/>
        </w:rPr>
        <w:tab/>
        <w:t xml:space="preserve">283.  </w:t>
      </w:r>
      <w:r>
        <w:rPr>
          <w:rFonts w:hint="eastAsia"/>
          <w:snapToGrid/>
        </w:rPr>
        <w:t>其目的是确保所开展的有关这种犯罪嫌疑的调查适合儿童的具体情况。儿童不必跑到不同的地方，受到不同的人为了不同的目的重复讯问。第二个目标是为了改进调查的质量。</w:t>
      </w:r>
    </w:p>
    <w:p w:rsidR="00000000" w:rsidRDefault="00000000">
      <w:pPr>
        <w:rPr>
          <w:rFonts w:hint="eastAsia"/>
          <w:snapToGrid/>
        </w:rPr>
      </w:pPr>
      <w:r>
        <w:rPr>
          <w:rFonts w:hint="eastAsia"/>
          <w:snapToGrid/>
        </w:rPr>
        <w:tab/>
        <w:t xml:space="preserve">284.  </w:t>
      </w:r>
      <w:r>
        <w:rPr>
          <w:rFonts w:hint="eastAsia"/>
          <w:snapToGrid/>
        </w:rPr>
        <w:t>试行儿童评估中心项目从</w:t>
      </w:r>
      <w:r>
        <w:rPr>
          <w:rFonts w:hint="eastAsia"/>
          <w:snapToGrid/>
        </w:rPr>
        <w:t>2004</w:t>
      </w:r>
      <w:r>
        <w:rPr>
          <w:rFonts w:hint="eastAsia"/>
          <w:snapToGrid/>
        </w:rPr>
        <w:t>年起在斯德哥尔摩、哥德堡、马尔默、林雪平、于默奥和松兹瓦尔实施。关于该项任务的最后报告将在</w:t>
      </w:r>
      <w:r>
        <w:rPr>
          <w:rFonts w:hint="eastAsia"/>
          <w:snapToGrid/>
        </w:rPr>
        <w:t>2008</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日递交，在</w:t>
      </w:r>
      <w:r>
        <w:rPr>
          <w:rFonts w:hint="eastAsia"/>
          <w:snapToGrid/>
        </w:rPr>
        <w:t>2006</w:t>
      </w:r>
      <w:r>
        <w:rPr>
          <w:rFonts w:hint="eastAsia"/>
          <w:snapToGrid/>
        </w:rPr>
        <w:t>年</w:t>
      </w:r>
      <w:r>
        <w:rPr>
          <w:rFonts w:hint="eastAsia"/>
          <w:snapToGrid/>
        </w:rPr>
        <w:t>6</w:t>
      </w:r>
      <w:r>
        <w:rPr>
          <w:rFonts w:hint="eastAsia"/>
          <w:snapToGrid/>
        </w:rPr>
        <w:t>月</w:t>
      </w:r>
      <w:r>
        <w:rPr>
          <w:rFonts w:hint="eastAsia"/>
          <w:snapToGrid/>
        </w:rPr>
        <w:t>15</w:t>
      </w:r>
      <w:r>
        <w:rPr>
          <w:rFonts w:hint="eastAsia"/>
          <w:snapToGrid/>
        </w:rPr>
        <w:t>日将递交一项临时报告。</w:t>
      </w:r>
    </w:p>
    <w:p w:rsidR="00000000" w:rsidRDefault="00000000">
      <w:pPr>
        <w:spacing w:after="240"/>
        <w:rPr>
          <w:rFonts w:hint="eastAsia"/>
          <w:snapToGrid/>
        </w:rPr>
      </w:pPr>
      <w:r>
        <w:rPr>
          <w:rFonts w:hint="eastAsia"/>
          <w:snapToGrid/>
        </w:rPr>
        <w:tab/>
        <w:t xml:space="preserve">285.  </w:t>
      </w:r>
      <w:r>
        <w:rPr>
          <w:rFonts w:hint="eastAsia"/>
          <w:snapToGrid/>
        </w:rPr>
        <w:t>隆德大学的法律社会系将在</w:t>
      </w:r>
      <w:r>
        <w:rPr>
          <w:rFonts w:hint="eastAsia"/>
          <w:snapToGrid/>
        </w:rPr>
        <w:t>Karsten Astrom</w:t>
      </w:r>
      <w:r>
        <w:rPr>
          <w:rFonts w:hint="eastAsia"/>
          <w:snapToGrid/>
        </w:rPr>
        <w:t>教授的指导下对这个方案进行评估。</w:t>
      </w:r>
    </w:p>
    <w:p w:rsidR="00000000" w:rsidRDefault="00000000">
      <w:pPr>
        <w:pStyle w:val="Heading4"/>
        <w:rPr>
          <w:rFonts w:eastAsia="KaiTi_GB2312" w:hint="eastAsia"/>
          <w:spacing w:val="0"/>
          <w:u w:val="none"/>
        </w:rPr>
      </w:pPr>
      <w:r>
        <w:rPr>
          <w:rFonts w:eastAsia="KaiTi_GB2312" w:hint="eastAsia"/>
          <w:spacing w:val="0"/>
          <w:u w:val="none"/>
        </w:rPr>
        <w:t>儿童权利中心</w:t>
      </w:r>
    </w:p>
    <w:p w:rsidR="00000000" w:rsidRDefault="00000000">
      <w:pPr>
        <w:spacing w:after="240"/>
        <w:rPr>
          <w:rFonts w:hint="eastAsia"/>
          <w:snapToGrid/>
        </w:rPr>
      </w:pPr>
      <w:r>
        <w:rPr>
          <w:rFonts w:hint="eastAsia"/>
          <w:snapToGrid/>
        </w:rPr>
        <w:tab/>
        <w:t xml:space="preserve">286.  </w:t>
      </w:r>
      <w:r>
        <w:rPr>
          <w:rFonts w:hint="eastAsia"/>
          <w:snapToGrid/>
        </w:rPr>
        <w:t>政府在</w:t>
      </w:r>
      <w:r>
        <w:rPr>
          <w:rFonts w:hint="eastAsia"/>
          <w:snapToGrid/>
        </w:rPr>
        <w:t>2006</w:t>
      </w:r>
      <w:r>
        <w:rPr>
          <w:rFonts w:hint="eastAsia"/>
          <w:snapToGrid/>
        </w:rPr>
        <w:t>年</w:t>
      </w:r>
      <w:r>
        <w:rPr>
          <w:rFonts w:hint="eastAsia"/>
          <w:snapToGrid/>
        </w:rPr>
        <w:t>3</w:t>
      </w:r>
      <w:r>
        <w:rPr>
          <w:rFonts w:hint="eastAsia"/>
          <w:snapToGrid/>
        </w:rPr>
        <w:t>月指令厄勒布鲁大学提出一项有关建立一个实施儿童权利努力的方法和技能发展及知识转让中心及该中心的活动的具体建议。计划该中心在</w:t>
      </w:r>
      <w:r>
        <w:rPr>
          <w:rFonts w:hint="eastAsia"/>
          <w:snapToGrid/>
        </w:rPr>
        <w:t>2006</w:t>
      </w:r>
      <w:r>
        <w:rPr>
          <w:rFonts w:hint="eastAsia"/>
          <w:snapToGrid/>
        </w:rPr>
        <w:t>年秋季开放。</w:t>
      </w:r>
    </w:p>
    <w:p w:rsidR="00000000" w:rsidRDefault="00000000">
      <w:pPr>
        <w:pStyle w:val="Heading4"/>
        <w:rPr>
          <w:rFonts w:eastAsia="KaiTi_GB2312" w:hint="eastAsia"/>
          <w:spacing w:val="0"/>
          <w:u w:val="none"/>
          <w:lang w:val="fr-CH"/>
        </w:rPr>
      </w:pPr>
      <w:r>
        <w:rPr>
          <w:rFonts w:eastAsia="KaiTi_GB2312" w:hint="eastAsia"/>
          <w:spacing w:val="0"/>
          <w:u w:val="none"/>
          <w:lang w:val="fr-CH"/>
        </w:rPr>
        <w:t>执行《联合国儿童权利公约》手册</w:t>
      </w:r>
    </w:p>
    <w:p w:rsidR="00000000" w:rsidRDefault="00000000">
      <w:pPr>
        <w:spacing w:after="240"/>
        <w:rPr>
          <w:rFonts w:hint="eastAsia"/>
          <w:snapToGrid/>
          <w:lang w:val="fr-CH"/>
        </w:rPr>
      </w:pPr>
      <w:r>
        <w:rPr>
          <w:rFonts w:hint="eastAsia"/>
          <w:snapToGrid/>
        </w:rPr>
        <w:tab/>
        <w:t xml:space="preserve">287.  </w:t>
      </w:r>
      <w:r>
        <w:rPr>
          <w:rFonts w:hint="eastAsia"/>
          <w:snapToGrid/>
        </w:rPr>
        <w:t>政府在</w:t>
      </w:r>
      <w:r>
        <w:rPr>
          <w:rFonts w:hint="eastAsia"/>
          <w:snapToGrid/>
        </w:rPr>
        <w:t>2005</w:t>
      </w:r>
      <w:r>
        <w:rPr>
          <w:rFonts w:hint="eastAsia"/>
          <w:snapToGrid/>
        </w:rPr>
        <w:t>年</w:t>
      </w:r>
      <w:r>
        <w:rPr>
          <w:rFonts w:hint="eastAsia"/>
          <w:snapToGrid/>
        </w:rPr>
        <w:t>12</w:t>
      </w:r>
      <w:r>
        <w:rPr>
          <w:rFonts w:hint="eastAsia"/>
          <w:snapToGrid/>
        </w:rPr>
        <w:t>月决定向联合国儿童基金会瑞典分会拨款</w:t>
      </w:r>
      <w:r>
        <w:rPr>
          <w:rFonts w:hint="eastAsia"/>
          <w:snapToGrid/>
        </w:rPr>
        <w:t>100</w:t>
      </w:r>
      <w:r>
        <w:rPr>
          <w:rFonts w:hint="eastAsia"/>
          <w:snapToGrid/>
        </w:rPr>
        <w:t>万瑞典克朗，用于制作瑞典</w:t>
      </w:r>
      <w:r>
        <w:rPr>
          <w:rFonts w:hint="eastAsia"/>
          <w:snapToGrid/>
          <w:lang w:val="fr-CH"/>
        </w:rPr>
        <w:t>执行《联合国儿童权利公约》手册。</w:t>
      </w:r>
    </w:p>
    <w:p w:rsidR="00000000" w:rsidRDefault="00000000">
      <w:pPr>
        <w:pStyle w:val="Heading4"/>
        <w:rPr>
          <w:rFonts w:eastAsia="KaiTi_GB2312" w:hint="eastAsia"/>
          <w:spacing w:val="0"/>
          <w:u w:val="none"/>
        </w:rPr>
      </w:pPr>
      <w:r>
        <w:rPr>
          <w:rFonts w:eastAsia="KaiTi_GB2312" w:hint="eastAsia"/>
          <w:spacing w:val="0"/>
          <w:u w:val="none"/>
        </w:rPr>
        <w:t>地方政府机构及其他人的儿童权利意识</w:t>
      </w:r>
    </w:p>
    <w:p w:rsidR="00000000" w:rsidRDefault="00000000">
      <w:pPr>
        <w:spacing w:after="240"/>
        <w:rPr>
          <w:rFonts w:hint="eastAsia"/>
          <w:snapToGrid/>
        </w:rPr>
      </w:pPr>
      <w:r>
        <w:rPr>
          <w:rFonts w:hint="eastAsia"/>
          <w:snapToGrid/>
        </w:rPr>
        <w:tab/>
        <w:t xml:space="preserve">288.  </w:t>
      </w:r>
      <w:r>
        <w:rPr>
          <w:rFonts w:hint="eastAsia"/>
          <w:snapToGrid/>
        </w:rPr>
        <w:t>为了使人们集中注意</w:t>
      </w:r>
      <w:r>
        <w:rPr>
          <w:rFonts w:hint="eastAsia"/>
          <w:snapToGrid/>
          <w:lang w:val="fr-CH"/>
        </w:rPr>
        <w:t>执行《联合国儿童权利公约》的努力及支持地方发展努力，政府创办了一个称为“为儿童的瑞典”的项目，这个项目从</w:t>
      </w:r>
      <w:r>
        <w:rPr>
          <w:rFonts w:hint="eastAsia"/>
          <w:snapToGrid/>
          <w:lang w:val="fr-CH"/>
        </w:rPr>
        <w:t>2006</w:t>
      </w:r>
      <w:r>
        <w:rPr>
          <w:rFonts w:hint="eastAsia"/>
          <w:snapToGrid/>
          <w:lang w:val="fr-CH"/>
        </w:rPr>
        <w:t>年以来一直在进展。目标群体是城市政策制定者和官员，以便增加对于《联合国儿童权利公约》的认识和了解，以及传播在城市活动中确保儿童权利的成功方法。</w:t>
      </w:r>
    </w:p>
    <w:p w:rsidR="00000000" w:rsidRDefault="00000000">
      <w:pPr>
        <w:pStyle w:val="Heading4"/>
        <w:rPr>
          <w:rFonts w:eastAsia="KaiTi_GB2312" w:hint="eastAsia"/>
          <w:spacing w:val="0"/>
          <w:u w:val="none"/>
        </w:rPr>
      </w:pPr>
      <w:r>
        <w:rPr>
          <w:rFonts w:eastAsia="KaiTi_GB2312" w:hint="eastAsia"/>
          <w:spacing w:val="0"/>
          <w:u w:val="none"/>
        </w:rPr>
        <w:t>高等教育中的儿童权利</w:t>
      </w:r>
    </w:p>
    <w:p w:rsidR="00000000" w:rsidRDefault="00000000">
      <w:pPr>
        <w:spacing w:after="240"/>
        <w:rPr>
          <w:rFonts w:hint="eastAsia"/>
          <w:snapToGrid/>
        </w:rPr>
      </w:pPr>
      <w:r>
        <w:rPr>
          <w:rFonts w:hint="eastAsia"/>
          <w:snapToGrid/>
        </w:rPr>
        <w:tab/>
        <w:t>289.  2004</w:t>
      </w:r>
      <w:r>
        <w:rPr>
          <w:rFonts w:hint="eastAsia"/>
          <w:snapToGrid/>
        </w:rPr>
        <w:t>年，指令瑞典所有高教机构提供一份有关将对于</w:t>
      </w:r>
      <w:r>
        <w:rPr>
          <w:rFonts w:hint="eastAsia"/>
          <w:snapToGrid/>
          <w:lang w:val="fr-CH"/>
        </w:rPr>
        <w:t>《联合国儿童权利公约》的了解纳入据认为与这种了解相关的学习方案中的努力的报告。政府计划在</w:t>
      </w:r>
      <w:r>
        <w:rPr>
          <w:rFonts w:hint="eastAsia"/>
          <w:snapToGrid/>
        </w:rPr>
        <w:t>2006</w:t>
      </w:r>
      <w:r>
        <w:rPr>
          <w:rFonts w:hint="eastAsia"/>
          <w:snapToGrid/>
        </w:rPr>
        <w:t>年举行数个地区性会议，由学术机构来支持</w:t>
      </w:r>
      <w:r>
        <w:rPr>
          <w:rFonts w:hint="eastAsia"/>
          <w:snapToGrid/>
          <w:lang w:val="fr-CH"/>
        </w:rPr>
        <w:t>于《联合国儿童权利公约》的努力，以及促进高等院校的知识转让。</w:t>
      </w:r>
    </w:p>
    <w:p w:rsidR="00000000" w:rsidRDefault="00000000">
      <w:pPr>
        <w:pStyle w:val="Heading4"/>
        <w:rPr>
          <w:rFonts w:eastAsia="KaiTi_GB2312" w:hint="eastAsia"/>
          <w:spacing w:val="0"/>
          <w:u w:val="none"/>
        </w:rPr>
      </w:pPr>
      <w:r>
        <w:rPr>
          <w:rFonts w:eastAsia="KaiTi_GB2312" w:hint="eastAsia"/>
          <w:spacing w:val="0"/>
          <w:u w:val="none"/>
        </w:rPr>
        <w:t>儿童权利和预算过程</w:t>
      </w:r>
    </w:p>
    <w:p w:rsidR="00000000" w:rsidRDefault="00000000">
      <w:pPr>
        <w:spacing w:after="240"/>
        <w:rPr>
          <w:rFonts w:hint="eastAsia"/>
          <w:snapToGrid/>
        </w:rPr>
      </w:pPr>
      <w:r>
        <w:rPr>
          <w:rFonts w:hint="eastAsia"/>
          <w:snapToGrid/>
        </w:rPr>
        <w:tab/>
        <w:t xml:space="preserve">290.  </w:t>
      </w:r>
      <w:r>
        <w:rPr>
          <w:rFonts w:hint="eastAsia"/>
          <w:snapToGrid/>
        </w:rPr>
        <w:t>将儿童的看法纳入国家预算的主流是表现出政治决定对于男女儿童的后果的一个重要组成部分。政府通过向议会提出并由议会处理的两份政府发文来提高国家预算所报告的有关儿童和青年人的举措的认识。</w:t>
      </w:r>
    </w:p>
    <w:p w:rsidR="00000000" w:rsidRDefault="00000000">
      <w:pPr>
        <w:pStyle w:val="Heading4"/>
        <w:rPr>
          <w:rFonts w:hint="eastAsia"/>
        </w:rPr>
      </w:pPr>
      <w:r>
        <w:rPr>
          <w:rFonts w:hint="eastAsia"/>
        </w:rPr>
        <w:t>瑞典的青年政策</w:t>
      </w:r>
    </w:p>
    <w:p w:rsidR="00000000" w:rsidRDefault="00000000">
      <w:pPr>
        <w:spacing w:after="320"/>
        <w:rPr>
          <w:rFonts w:hint="eastAsia"/>
          <w:snapToGrid/>
        </w:rPr>
      </w:pPr>
      <w:r>
        <w:rPr>
          <w:rFonts w:hint="eastAsia"/>
          <w:snapToGrid/>
        </w:rPr>
        <w:tab/>
        <w:t xml:space="preserve">291.  </w:t>
      </w:r>
      <w:r>
        <w:rPr>
          <w:rFonts w:hint="eastAsia"/>
          <w:snapToGrid/>
        </w:rPr>
        <w:t>瑞典青年政策的基础包括一种权利观点：即青年拥有与所有其他公民一样的获得良好生活状况的权利。“良好生活状况”是指青年人的人权应当受到保护和促进，应当确保青年人的社会安全和经济安全、良好健康状况以及发展机会。并非最不重要的是，良好生活状况关系到赋予权力，以影响他们自己的生活、他们的社区和总的社会发展的权利。</w:t>
      </w:r>
      <w:r>
        <w:rPr>
          <w:rFonts w:hint="eastAsia"/>
          <w:snapToGrid/>
          <w:lang w:val="fr-CH"/>
        </w:rPr>
        <w:t>《联合国儿童权利公约》是影响到</w:t>
      </w:r>
      <w:r>
        <w:rPr>
          <w:rFonts w:hint="eastAsia"/>
          <w:snapToGrid/>
          <w:lang w:val="fr-CH"/>
        </w:rPr>
        <w:t>18</w:t>
      </w:r>
      <w:r>
        <w:rPr>
          <w:rFonts w:hint="eastAsia"/>
          <w:snapToGrid/>
          <w:lang w:val="fr-CH"/>
        </w:rPr>
        <w:t>岁以下的</w:t>
      </w:r>
      <w:r>
        <w:rPr>
          <w:rFonts w:hint="eastAsia"/>
          <w:snapToGrid/>
        </w:rPr>
        <w:t>儿童和青年人的一切公共事业的一个关键出发点</w:t>
      </w:r>
      <w:r>
        <w:rPr>
          <w:rFonts w:hint="eastAsia"/>
          <w:snapToGrid/>
          <w:lang w:val="fr-CH"/>
        </w:rPr>
        <w:t>，因而也是国家青年政策的一个</w:t>
      </w:r>
      <w:r>
        <w:rPr>
          <w:rFonts w:hint="eastAsia"/>
          <w:snapToGrid/>
        </w:rPr>
        <w:t>关键出发点。</w:t>
      </w:r>
      <w:r>
        <w:rPr>
          <w:rFonts w:hint="eastAsia"/>
          <w:snapToGrid/>
        </w:rPr>
        <w:t>2006</w:t>
      </w:r>
      <w:r>
        <w:rPr>
          <w:rFonts w:hint="eastAsia"/>
          <w:snapToGrid/>
        </w:rPr>
        <w:t>年的春季预算方案的包括了对于青年人的大量投资，其中包括对于</w:t>
      </w:r>
      <w:r>
        <w:rPr>
          <w:rFonts w:hint="eastAsia"/>
          <w:snapToGrid/>
        </w:rPr>
        <w:t>2006-2008</w:t>
      </w:r>
      <w:r>
        <w:rPr>
          <w:rFonts w:hint="eastAsia"/>
          <w:snapToGrid/>
        </w:rPr>
        <w:t>年的青年举措的</w:t>
      </w:r>
      <w:r>
        <w:rPr>
          <w:rFonts w:hint="eastAsia"/>
          <w:snapToGrid/>
        </w:rPr>
        <w:t>65.7</w:t>
      </w:r>
      <w:r>
        <w:rPr>
          <w:rFonts w:hint="eastAsia"/>
          <w:snapToGrid/>
        </w:rPr>
        <w:t>亿瑞典克朗拨款。瑞典正在对于将从就业、教育、住房、保健和安全、影响和赋权以及文化和休闲等方面改善青年人生活的各种方案进行投资。</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11</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1</w:t>
      </w:r>
    </w:p>
    <w:p w:rsidR="00000000" w:rsidRDefault="00000000">
      <w:pPr>
        <w:rPr>
          <w:rFonts w:hint="eastAsia"/>
          <w:snapToGrid/>
        </w:rPr>
      </w:pPr>
      <w:r>
        <w:rPr>
          <w:rFonts w:hint="eastAsia"/>
          <w:snapToGrid/>
        </w:rPr>
        <w:tab/>
        <w:t>292.  20</w:t>
      </w:r>
      <w:r>
        <w:rPr>
          <w:rFonts w:hint="eastAsia"/>
          <w:snapToGrid/>
        </w:rPr>
        <w:t>世纪</w:t>
      </w:r>
      <w:r>
        <w:rPr>
          <w:rFonts w:hint="eastAsia"/>
          <w:snapToGrid/>
        </w:rPr>
        <w:t>90</w:t>
      </w:r>
      <w:r>
        <w:rPr>
          <w:rFonts w:hint="eastAsia"/>
          <w:snapToGrid/>
        </w:rPr>
        <w:t>年代上半期的严重经济衰退给瑞典的好几个人口群体带来了经济困境。</w:t>
      </w:r>
      <w:r>
        <w:rPr>
          <w:rFonts w:hint="eastAsia"/>
          <w:snapToGrid/>
        </w:rPr>
        <w:t>1997</w:t>
      </w:r>
      <w:r>
        <w:rPr>
          <w:rFonts w:hint="eastAsia"/>
          <w:snapToGrid/>
        </w:rPr>
        <w:t>年以后，大多数人的家庭经济状况有了改善。在经济危机之后，瑞典穷人的百分比</w:t>
      </w:r>
      <w:r>
        <w:rPr>
          <w:rFonts w:hint="eastAsia"/>
          <w:snapToGrid/>
        </w:rPr>
        <w:t>(</w:t>
      </w:r>
      <w:r>
        <w:rPr>
          <w:rFonts w:hint="eastAsia"/>
          <w:snapToGrid/>
        </w:rPr>
        <w:t>与绝对贫困线相比</w:t>
      </w:r>
      <w:r>
        <w:rPr>
          <w:rFonts w:hint="eastAsia"/>
          <w:snapToGrid/>
        </w:rPr>
        <w:t>)</w:t>
      </w:r>
      <w:r>
        <w:rPr>
          <w:rFonts w:hint="eastAsia"/>
          <w:snapToGrid/>
        </w:rPr>
        <w:t>从</w:t>
      </w:r>
      <w:r>
        <w:rPr>
          <w:rFonts w:hint="eastAsia"/>
          <w:snapToGrid/>
        </w:rPr>
        <w:t>1991</w:t>
      </w:r>
      <w:r>
        <w:rPr>
          <w:rFonts w:hint="eastAsia"/>
          <w:snapToGrid/>
        </w:rPr>
        <w:t>年的</w:t>
      </w:r>
      <w:r>
        <w:rPr>
          <w:rFonts w:hint="eastAsia"/>
          <w:snapToGrid/>
        </w:rPr>
        <w:t>5%</w:t>
      </w:r>
      <w:r>
        <w:rPr>
          <w:rFonts w:hint="eastAsia"/>
          <w:snapToGrid/>
        </w:rPr>
        <w:t>增加到</w:t>
      </w:r>
      <w:r>
        <w:rPr>
          <w:rFonts w:hint="eastAsia"/>
          <w:snapToGrid/>
        </w:rPr>
        <w:t>1996-1997</w:t>
      </w:r>
      <w:r>
        <w:rPr>
          <w:rFonts w:hint="eastAsia"/>
          <w:snapToGrid/>
        </w:rPr>
        <w:t>年三年期中的</w:t>
      </w:r>
      <w:r>
        <w:rPr>
          <w:rFonts w:hint="eastAsia"/>
          <w:snapToGrid/>
        </w:rPr>
        <w:t>11%</w:t>
      </w:r>
      <w:r>
        <w:rPr>
          <w:rFonts w:hint="eastAsia"/>
          <w:snapToGrid/>
        </w:rPr>
        <w:t>，但是其后在</w:t>
      </w:r>
      <w:r>
        <w:rPr>
          <w:rFonts w:hint="eastAsia"/>
          <w:snapToGrid/>
        </w:rPr>
        <w:t>2003</w:t>
      </w:r>
      <w:r>
        <w:rPr>
          <w:rFonts w:hint="eastAsia"/>
          <w:snapToGrid/>
        </w:rPr>
        <w:t>年下降到</w:t>
      </w:r>
      <w:r>
        <w:rPr>
          <w:rFonts w:hint="eastAsia"/>
          <w:snapToGrid/>
        </w:rPr>
        <w:t>6%</w:t>
      </w:r>
      <w:r>
        <w:rPr>
          <w:rFonts w:hint="eastAsia"/>
          <w:snapToGrid/>
        </w:rPr>
        <w:t>。非常贫困的人占</w:t>
      </w:r>
      <w:r>
        <w:rPr>
          <w:rFonts w:hint="eastAsia"/>
          <w:snapToGrid/>
        </w:rPr>
        <w:t>2%</w:t>
      </w:r>
      <w:r>
        <w:rPr>
          <w:rFonts w:hint="eastAsia"/>
          <w:snapToGrid/>
        </w:rPr>
        <w:t>，这个百分比很低，而且多年来一直保持基本稳定。收入的分配表明了低收入与高收入家庭的差别悬殊，在</w:t>
      </w:r>
      <w:r>
        <w:rPr>
          <w:rFonts w:hint="eastAsia"/>
          <w:snapToGrid/>
        </w:rPr>
        <w:t>20</w:t>
      </w:r>
      <w:r>
        <w:rPr>
          <w:rFonts w:hint="eastAsia"/>
          <w:snapToGrid/>
        </w:rPr>
        <w:t>世纪</w:t>
      </w:r>
      <w:r>
        <w:rPr>
          <w:rFonts w:hint="eastAsia"/>
          <w:snapToGrid/>
        </w:rPr>
        <w:t>90</w:t>
      </w:r>
      <w:r>
        <w:rPr>
          <w:rFonts w:hint="eastAsia"/>
          <w:snapToGrid/>
        </w:rPr>
        <w:t>年代有了增加。最大的收入差距是在</w:t>
      </w:r>
      <w:r>
        <w:rPr>
          <w:rFonts w:hint="eastAsia"/>
          <w:snapToGrid/>
        </w:rPr>
        <w:t>2000</w:t>
      </w:r>
      <w:r>
        <w:rPr>
          <w:rFonts w:hint="eastAsia"/>
          <w:snapToGrid/>
        </w:rPr>
        <w:t>年测定的，其后直到</w:t>
      </w:r>
      <w:r>
        <w:rPr>
          <w:rFonts w:hint="eastAsia"/>
          <w:snapToGrid/>
        </w:rPr>
        <w:t>2003</w:t>
      </w:r>
      <w:r>
        <w:rPr>
          <w:rFonts w:hint="eastAsia"/>
          <w:snapToGrid/>
        </w:rPr>
        <w:t>年有了下降。</w:t>
      </w:r>
    </w:p>
    <w:p w:rsidR="00000000" w:rsidRDefault="00000000">
      <w:pPr>
        <w:rPr>
          <w:rFonts w:hint="eastAsia"/>
          <w:snapToGrid/>
        </w:rPr>
      </w:pPr>
      <w:r>
        <w:rPr>
          <w:rFonts w:hint="eastAsia"/>
          <w:snapToGrid/>
        </w:rPr>
        <w:tab/>
        <w:t xml:space="preserve">293.  </w:t>
      </w:r>
      <w:r>
        <w:rPr>
          <w:rFonts w:hint="eastAsia"/>
          <w:snapToGrid/>
        </w:rPr>
        <w:t>从</w:t>
      </w:r>
      <w:r>
        <w:rPr>
          <w:rFonts w:hint="eastAsia"/>
          <w:snapToGrid/>
        </w:rPr>
        <w:t>1991</w:t>
      </w:r>
      <w:r>
        <w:rPr>
          <w:rFonts w:hint="eastAsia"/>
          <w:snapToGrid/>
        </w:rPr>
        <w:t>年到</w:t>
      </w:r>
      <w:r>
        <w:rPr>
          <w:rFonts w:hint="eastAsia"/>
          <w:snapToGrid/>
        </w:rPr>
        <w:t>2002</w:t>
      </w:r>
      <w:r>
        <w:rPr>
          <w:rFonts w:hint="eastAsia"/>
          <w:snapToGrid/>
        </w:rPr>
        <w:t>年，男女之间的收入差距下降了。除了其他原因之外，这部分是由于妇女较之</w:t>
      </w:r>
      <w:r>
        <w:rPr>
          <w:rFonts w:hint="eastAsia"/>
          <w:snapToGrid/>
        </w:rPr>
        <w:t>20</w:t>
      </w:r>
      <w:r>
        <w:rPr>
          <w:rFonts w:hint="eastAsia"/>
          <w:snapToGrid/>
        </w:rPr>
        <w:t>世纪</w:t>
      </w:r>
      <w:r>
        <w:rPr>
          <w:rFonts w:hint="eastAsia"/>
          <w:snapToGrid/>
        </w:rPr>
        <w:t>90</w:t>
      </w:r>
      <w:r>
        <w:rPr>
          <w:rFonts w:hint="eastAsia"/>
          <w:snapToGrid/>
        </w:rPr>
        <w:t>年代初，更多地从事有薪酬的职业，男子和妇女的工作模式更加相似，男女都从事全日制工作的家庭的比例增加了。</w:t>
      </w:r>
      <w:r>
        <w:rPr>
          <w:rFonts w:hint="eastAsia"/>
          <w:snapToGrid/>
        </w:rPr>
        <w:t>1991</w:t>
      </w:r>
      <w:r>
        <w:rPr>
          <w:rFonts w:hint="eastAsia"/>
          <w:snapToGrid/>
        </w:rPr>
        <w:t>年到</w:t>
      </w:r>
      <w:r>
        <w:rPr>
          <w:rFonts w:hint="eastAsia"/>
          <w:snapToGrid/>
        </w:rPr>
        <w:t>2002</w:t>
      </w:r>
      <w:r>
        <w:rPr>
          <w:rFonts w:hint="eastAsia"/>
          <w:snapToGrid/>
        </w:rPr>
        <w:t>年妇女的有薪酬职业中位收入从男子的有薪酬职业中位收入的</w:t>
      </w:r>
      <w:r>
        <w:rPr>
          <w:rFonts w:hint="eastAsia"/>
          <w:snapToGrid/>
        </w:rPr>
        <w:t>64%</w:t>
      </w:r>
      <w:r>
        <w:rPr>
          <w:rFonts w:hint="eastAsia"/>
          <w:snapToGrid/>
        </w:rPr>
        <w:t>增加到</w:t>
      </w:r>
      <w:r>
        <w:rPr>
          <w:rFonts w:hint="eastAsia"/>
          <w:snapToGrid/>
        </w:rPr>
        <w:t>68%</w:t>
      </w:r>
      <w:r>
        <w:rPr>
          <w:rFonts w:hint="eastAsia"/>
          <w:snapToGrid/>
        </w:rPr>
        <w:t>。限于全日制工作者，妇女的中位收入从略高于男子中位收入的</w:t>
      </w:r>
      <w:r>
        <w:rPr>
          <w:rFonts w:hint="eastAsia"/>
          <w:snapToGrid/>
        </w:rPr>
        <w:t>81%</w:t>
      </w:r>
      <w:r>
        <w:rPr>
          <w:rFonts w:hint="eastAsia"/>
          <w:snapToGrid/>
        </w:rPr>
        <w:t>增加到略高于</w:t>
      </w:r>
      <w:r>
        <w:rPr>
          <w:rFonts w:hint="eastAsia"/>
          <w:snapToGrid/>
        </w:rPr>
        <w:t>84%</w:t>
      </w:r>
      <w:r>
        <w:rPr>
          <w:rFonts w:hint="eastAsia"/>
          <w:snapToGrid/>
        </w:rPr>
        <w:t>。</w:t>
      </w:r>
    </w:p>
    <w:p w:rsidR="00000000" w:rsidRDefault="00000000">
      <w:pPr>
        <w:rPr>
          <w:rFonts w:hint="eastAsia"/>
          <w:snapToGrid/>
        </w:rPr>
      </w:pPr>
      <w:r>
        <w:rPr>
          <w:rFonts w:hint="eastAsia"/>
          <w:snapToGrid/>
        </w:rPr>
        <w:tab/>
        <w:t xml:space="preserve">294.  </w:t>
      </w:r>
      <w:r>
        <w:rPr>
          <w:rFonts w:hint="eastAsia"/>
          <w:snapToGrid/>
        </w:rPr>
        <w:t>资本收入，基本上是出售股权和股权资金所得，在</w:t>
      </w:r>
      <w:r>
        <w:rPr>
          <w:rFonts w:hint="eastAsia"/>
          <w:snapToGrid/>
        </w:rPr>
        <w:t>20</w:t>
      </w:r>
      <w:r>
        <w:rPr>
          <w:rFonts w:hint="eastAsia"/>
          <w:snapToGrid/>
        </w:rPr>
        <w:t>世纪</w:t>
      </w:r>
      <w:r>
        <w:rPr>
          <w:rFonts w:hint="eastAsia"/>
          <w:snapToGrid/>
        </w:rPr>
        <w:t>90</w:t>
      </w:r>
      <w:r>
        <w:rPr>
          <w:rFonts w:hint="eastAsia"/>
          <w:snapToGrid/>
        </w:rPr>
        <w:t>年代和</w:t>
      </w:r>
      <w:r>
        <w:rPr>
          <w:rFonts w:hint="eastAsia"/>
          <w:snapToGrid/>
        </w:rPr>
        <w:t>21</w:t>
      </w:r>
      <w:r>
        <w:rPr>
          <w:rFonts w:hint="eastAsia"/>
          <w:snapToGrid/>
        </w:rPr>
        <w:t>世纪之初对于家庭的分配有过巨大的影响。</w:t>
      </w:r>
      <w:r>
        <w:rPr>
          <w:rFonts w:hint="eastAsia"/>
          <w:snapToGrid/>
        </w:rPr>
        <w:t>20</w:t>
      </w:r>
      <w:r>
        <w:rPr>
          <w:rFonts w:hint="eastAsia"/>
          <w:snapToGrid/>
        </w:rPr>
        <w:t>世纪</w:t>
      </w:r>
      <w:r>
        <w:rPr>
          <w:rFonts w:hint="eastAsia"/>
          <w:snapToGrid/>
        </w:rPr>
        <w:t>90</w:t>
      </w:r>
      <w:r>
        <w:rPr>
          <w:rFonts w:hint="eastAsia"/>
          <w:snapToGrid/>
        </w:rPr>
        <w:t>年代初期以来的发展情况表明，资本收入一有增长，收入差距也随之扩大。这个现象的原因是，金融资产在各家庭中分配得非常不平均，主要影响到那些有最高收入的家庭。</w:t>
      </w:r>
    </w:p>
    <w:p w:rsidR="00000000" w:rsidRDefault="00000000">
      <w:pPr>
        <w:spacing w:after="240"/>
        <w:rPr>
          <w:rFonts w:hint="eastAsia"/>
          <w:snapToGrid/>
        </w:rPr>
      </w:pPr>
      <w:r>
        <w:rPr>
          <w:rFonts w:hint="eastAsia"/>
          <w:snapToGrid/>
        </w:rPr>
        <w:tab/>
        <w:t xml:space="preserve">295.  </w:t>
      </w:r>
      <w:r>
        <w:rPr>
          <w:rFonts w:hint="eastAsia"/>
          <w:snapToGrid/>
        </w:rPr>
        <w:t>现代瑞典的贫困现象十之八九不象其他国家那样严重。瑞典的贫穷的定义性特点，在个人一级是与这个人在劳工市场的立足点有关。正处于工作年龄的人们，如果没有来自有薪酬职业的明显收入，又基本上没有来自养恤金、失业津贴或疾病保险的收入，具有长期贫困的风险。欧盟统计办公室</w:t>
      </w:r>
      <w:r>
        <w:rPr>
          <w:rFonts w:hint="eastAsia"/>
          <w:snapToGrid/>
        </w:rPr>
        <w:t>Eurostat</w:t>
      </w:r>
      <w:r>
        <w:rPr>
          <w:rFonts w:hint="eastAsia"/>
          <w:snapToGrid/>
        </w:rPr>
        <w:t>的数据表明，与</w:t>
      </w:r>
      <w:r>
        <w:rPr>
          <w:rFonts w:hint="eastAsia"/>
          <w:snapToGrid/>
        </w:rPr>
        <w:t>2001</w:t>
      </w:r>
      <w:r>
        <w:rPr>
          <w:rFonts w:hint="eastAsia"/>
          <w:snapToGrid/>
        </w:rPr>
        <w:t>年存在的</w:t>
      </w:r>
      <w:r>
        <w:rPr>
          <w:rFonts w:hint="eastAsia"/>
          <w:snapToGrid/>
        </w:rPr>
        <w:t>15</w:t>
      </w:r>
      <w:r>
        <w:rPr>
          <w:rFonts w:hint="eastAsia"/>
          <w:snapToGrid/>
        </w:rPr>
        <w:t>名成员国相比，瑞典的平均收入低于欧盟的平均数。希腊的平均收入最低，而卢森堡处于遥遥领先的最高位。但是瑞典的收入差距跻身于最低之列。收入差距最小的斯洛文尼亚、接着是瑞典和匈牙利以及丹麦和捷克共和国。收入差距最大的国家是葡萄牙。</w:t>
      </w:r>
    </w:p>
    <w:p w:rsidR="00000000" w:rsidRDefault="00000000">
      <w:pPr>
        <w:pStyle w:val="Heading4"/>
        <w:rPr>
          <w:rFonts w:hint="eastAsia"/>
        </w:rPr>
      </w:pPr>
      <w:r>
        <w:rPr>
          <w:u w:val="none"/>
        </w:rPr>
        <w:t>(a)</w:t>
      </w:r>
      <w:r>
        <w:rPr>
          <w:rFonts w:hint="eastAsia"/>
          <w:u w:val="none"/>
        </w:rPr>
        <w:tab/>
      </w:r>
      <w:r>
        <w:rPr>
          <w:rFonts w:hint="eastAsia"/>
        </w:rPr>
        <w:t>整个人口的生活水准和生活状况</w:t>
      </w:r>
    </w:p>
    <w:p w:rsidR="00000000" w:rsidRDefault="00000000">
      <w:pPr>
        <w:rPr>
          <w:rFonts w:hint="eastAsia"/>
          <w:snapToGrid/>
        </w:rPr>
      </w:pPr>
      <w:r>
        <w:rPr>
          <w:rFonts w:hint="eastAsia"/>
          <w:snapToGrid/>
        </w:rPr>
        <w:tab/>
        <w:t xml:space="preserve">296.  </w:t>
      </w:r>
      <w:r>
        <w:rPr>
          <w:rFonts w:hint="eastAsia"/>
          <w:snapToGrid/>
        </w:rPr>
        <w:t>在</w:t>
      </w:r>
      <w:r>
        <w:rPr>
          <w:rFonts w:hint="eastAsia"/>
          <w:snapToGrid/>
        </w:rPr>
        <w:t>1995</w:t>
      </w:r>
      <w:r>
        <w:rPr>
          <w:rFonts w:hint="eastAsia"/>
          <w:snapToGrid/>
        </w:rPr>
        <w:t>年到</w:t>
      </w:r>
      <w:r>
        <w:rPr>
          <w:rFonts w:hint="eastAsia"/>
          <w:snapToGrid/>
        </w:rPr>
        <w:t>2004</w:t>
      </w:r>
      <w:r>
        <w:rPr>
          <w:rFonts w:hint="eastAsia"/>
          <w:snapToGrid/>
        </w:rPr>
        <w:t>年之间，家庭经济水准提高了</w:t>
      </w:r>
      <w:r>
        <w:rPr>
          <w:rFonts w:hint="eastAsia"/>
          <w:snapToGrid/>
        </w:rPr>
        <w:t>26%</w:t>
      </w:r>
      <w:r>
        <w:rPr>
          <w:rFonts w:hint="eastAsia"/>
          <w:snapToGrid/>
        </w:rPr>
        <w:t>，而在</w:t>
      </w:r>
      <w:r>
        <w:rPr>
          <w:rFonts w:hint="eastAsia"/>
          <w:snapToGrid/>
        </w:rPr>
        <w:t>1991</w:t>
      </w:r>
      <w:r>
        <w:rPr>
          <w:rFonts w:hint="eastAsia"/>
          <w:snapToGrid/>
        </w:rPr>
        <w:t>年到</w:t>
      </w:r>
      <w:r>
        <w:rPr>
          <w:rFonts w:hint="eastAsia"/>
          <w:snapToGrid/>
        </w:rPr>
        <w:t>2004</w:t>
      </w:r>
      <w:r>
        <w:rPr>
          <w:rFonts w:hint="eastAsia"/>
          <w:snapToGrid/>
        </w:rPr>
        <w:t>年之间则提高了</w:t>
      </w:r>
      <w:r>
        <w:rPr>
          <w:rFonts w:hint="eastAsia"/>
          <w:snapToGrid/>
        </w:rPr>
        <w:t>15%</w:t>
      </w:r>
      <w:r>
        <w:rPr>
          <w:rFonts w:hint="eastAsia"/>
          <w:snapToGrid/>
        </w:rPr>
        <w:t>。这个趋势对于住在一起的有子女夫妻最为有利，他们在</w:t>
      </w:r>
      <w:r>
        <w:rPr>
          <w:rFonts w:hint="eastAsia"/>
          <w:snapToGrid/>
        </w:rPr>
        <w:t>1995</w:t>
      </w:r>
      <w:r>
        <w:rPr>
          <w:rFonts w:hint="eastAsia"/>
          <w:snapToGrid/>
        </w:rPr>
        <w:t>年到</w:t>
      </w:r>
      <w:r>
        <w:rPr>
          <w:rFonts w:hint="eastAsia"/>
          <w:snapToGrid/>
        </w:rPr>
        <w:t>2004</w:t>
      </w:r>
      <w:r>
        <w:rPr>
          <w:rFonts w:hint="eastAsia"/>
          <w:snapToGrid/>
        </w:rPr>
        <w:t>年之间经过赡养负担调整的可支配收入增加了</w:t>
      </w:r>
      <w:r>
        <w:rPr>
          <w:rFonts w:hint="eastAsia"/>
          <w:snapToGrid/>
        </w:rPr>
        <w:t>30%</w:t>
      </w:r>
      <w:r>
        <w:rPr>
          <w:rFonts w:hint="eastAsia"/>
          <w:snapToGrid/>
        </w:rPr>
        <w:t>。住在一起的家中无子女的</w:t>
      </w:r>
      <w:r>
        <w:rPr>
          <w:rFonts w:hint="eastAsia"/>
          <w:snapToGrid/>
        </w:rPr>
        <w:t>45</w:t>
      </w:r>
      <w:r>
        <w:rPr>
          <w:snapToGrid/>
        </w:rPr>
        <w:t>-</w:t>
      </w:r>
      <w:r>
        <w:rPr>
          <w:rFonts w:hint="eastAsia"/>
          <w:snapToGrid/>
        </w:rPr>
        <w:t>64</w:t>
      </w:r>
      <w:r>
        <w:rPr>
          <w:rFonts w:hint="eastAsia"/>
          <w:snapToGrid/>
        </w:rPr>
        <w:t>岁的夫妻享受最高的经济水准。由比较老的退休人士和有子女的单身妇女组成的家庭的经济水准最低。经济上处于弱势地位的家庭，即其收入低于中位数的</w:t>
      </w:r>
      <w:r>
        <w:rPr>
          <w:rFonts w:hint="eastAsia"/>
          <w:snapToGrid/>
        </w:rPr>
        <w:t>60%</w:t>
      </w:r>
      <w:r>
        <w:rPr>
          <w:rFonts w:hint="eastAsia"/>
          <w:snapToGrid/>
        </w:rPr>
        <w:t>的家庭的比例约为</w:t>
      </w:r>
      <w:r>
        <w:rPr>
          <w:rFonts w:hint="eastAsia"/>
          <w:snapToGrid/>
        </w:rPr>
        <w:t>9%</w:t>
      </w:r>
      <w:r>
        <w:rPr>
          <w:rFonts w:hint="eastAsia"/>
          <w:snapToGrid/>
        </w:rPr>
        <w:t>。走向更加广泛分配收入的趋势已经打断，目前的收入差距略低于收入差距最大的</w:t>
      </w:r>
      <w:r>
        <w:rPr>
          <w:rFonts w:hint="eastAsia"/>
          <w:snapToGrid/>
        </w:rPr>
        <w:t>2000</w:t>
      </w:r>
      <w:r>
        <w:rPr>
          <w:rFonts w:hint="eastAsia"/>
          <w:snapToGrid/>
        </w:rPr>
        <w:t>年。</w:t>
      </w:r>
    </w:p>
    <w:p w:rsidR="00000000" w:rsidRDefault="00000000">
      <w:pPr>
        <w:rPr>
          <w:rFonts w:hint="eastAsia"/>
          <w:snapToGrid/>
        </w:rPr>
      </w:pPr>
      <w:r>
        <w:rPr>
          <w:rFonts w:hint="eastAsia"/>
          <w:snapToGrid/>
        </w:rPr>
        <w:tab/>
        <w:t xml:space="preserve">297.  </w:t>
      </w:r>
      <w:r>
        <w:rPr>
          <w:rFonts w:hint="eastAsia"/>
          <w:snapToGrid/>
        </w:rPr>
        <w:t>在</w:t>
      </w:r>
      <w:r>
        <w:rPr>
          <w:rFonts w:hint="eastAsia"/>
          <w:snapToGrid/>
        </w:rPr>
        <w:t>1991</w:t>
      </w:r>
      <w:r>
        <w:rPr>
          <w:rFonts w:hint="eastAsia"/>
          <w:snapToGrid/>
        </w:rPr>
        <w:t>年到</w:t>
      </w:r>
      <w:r>
        <w:rPr>
          <w:rFonts w:hint="eastAsia"/>
          <w:snapToGrid/>
        </w:rPr>
        <w:t>2004</w:t>
      </w:r>
      <w:r>
        <w:rPr>
          <w:rFonts w:hint="eastAsia"/>
          <w:snapToGrid/>
        </w:rPr>
        <w:t>年之间，基尼系数提高了</w:t>
      </w:r>
      <w:r>
        <w:rPr>
          <w:rFonts w:hint="eastAsia"/>
          <w:snapToGrid/>
        </w:rPr>
        <w:t>13%</w:t>
      </w:r>
      <w:r>
        <w:rPr>
          <w:rFonts w:hint="eastAsia"/>
          <w:snapToGrid/>
        </w:rPr>
        <w:t>。收入差距主要是在</w:t>
      </w:r>
      <w:r>
        <w:rPr>
          <w:rFonts w:hint="eastAsia"/>
          <w:snapToGrid/>
        </w:rPr>
        <w:t>20</w:t>
      </w:r>
      <w:r>
        <w:rPr>
          <w:rFonts w:hint="eastAsia"/>
          <w:snapToGrid/>
        </w:rPr>
        <w:t>世纪</w:t>
      </w:r>
      <w:r>
        <w:rPr>
          <w:rFonts w:hint="eastAsia"/>
          <w:snapToGrid/>
        </w:rPr>
        <w:t>90</w:t>
      </w:r>
      <w:r>
        <w:rPr>
          <w:rFonts w:hint="eastAsia"/>
          <w:snapToGrid/>
        </w:rPr>
        <w:t>年代下半期扩大的。从那时起，收入的分配保持相对稳定。收入差距的扩大主要由于富裕家庭和个人的收入的增加。从</w:t>
      </w:r>
      <w:r>
        <w:rPr>
          <w:rFonts w:hint="eastAsia"/>
          <w:snapToGrid/>
        </w:rPr>
        <w:t>1991</w:t>
      </w:r>
      <w:r>
        <w:rPr>
          <w:rFonts w:hint="eastAsia"/>
          <w:snapToGrid/>
        </w:rPr>
        <w:t>年以来，经济水准最高的人的收入比例有所提高。人口中最富裕的</w:t>
      </w:r>
      <w:r>
        <w:rPr>
          <w:rFonts w:hint="eastAsia"/>
          <w:snapToGrid/>
        </w:rPr>
        <w:t>10%</w:t>
      </w:r>
      <w:r>
        <w:rPr>
          <w:rFonts w:hint="eastAsia"/>
          <w:snapToGrid/>
        </w:rPr>
        <w:t>的部分的全部收入的百分比从</w:t>
      </w:r>
      <w:r>
        <w:rPr>
          <w:rFonts w:hint="eastAsia"/>
          <w:snapToGrid/>
        </w:rPr>
        <w:t>1991</w:t>
      </w:r>
      <w:r>
        <w:rPr>
          <w:rFonts w:hint="eastAsia"/>
          <w:snapToGrid/>
        </w:rPr>
        <w:t>年的</w:t>
      </w:r>
      <w:r>
        <w:rPr>
          <w:rFonts w:hint="eastAsia"/>
          <w:snapToGrid/>
        </w:rPr>
        <w:t>20%</w:t>
      </w:r>
      <w:r>
        <w:rPr>
          <w:rFonts w:hint="eastAsia"/>
          <w:snapToGrid/>
        </w:rPr>
        <w:t>增加到</w:t>
      </w:r>
      <w:r>
        <w:rPr>
          <w:rFonts w:hint="eastAsia"/>
          <w:snapToGrid/>
        </w:rPr>
        <w:t>2004</w:t>
      </w:r>
      <w:r>
        <w:rPr>
          <w:rFonts w:hint="eastAsia"/>
          <w:snapToGrid/>
        </w:rPr>
        <w:t>年的</w:t>
      </w:r>
      <w:r>
        <w:rPr>
          <w:rFonts w:hint="eastAsia"/>
          <w:snapToGrid/>
        </w:rPr>
        <w:t>22%</w:t>
      </w:r>
      <w:r>
        <w:rPr>
          <w:rFonts w:hint="eastAsia"/>
          <w:snapToGrid/>
        </w:rPr>
        <w:t>。</w:t>
      </w:r>
    </w:p>
    <w:p w:rsidR="00000000" w:rsidRDefault="00000000">
      <w:pPr>
        <w:spacing w:after="320"/>
        <w:rPr>
          <w:rFonts w:hint="eastAsia"/>
          <w:snapToGrid/>
        </w:rPr>
      </w:pPr>
      <w:r>
        <w:rPr>
          <w:rFonts w:hint="eastAsia"/>
          <w:snapToGrid/>
        </w:rPr>
        <w:tab/>
        <w:t xml:space="preserve">298.  </w:t>
      </w:r>
      <w:r>
        <w:rPr>
          <w:rFonts w:hint="eastAsia"/>
          <w:snapToGrid/>
        </w:rPr>
        <w:t>下面的表格表明</w:t>
      </w:r>
      <w:r>
        <w:rPr>
          <w:rFonts w:hint="eastAsia"/>
          <w:snapToGrid/>
        </w:rPr>
        <w:t>1991</w:t>
      </w:r>
      <w:r>
        <w:rPr>
          <w:rFonts w:hint="eastAsia"/>
          <w:snapToGrid/>
        </w:rPr>
        <w:t>年到</w:t>
      </w:r>
      <w:r>
        <w:rPr>
          <w:rFonts w:hint="eastAsia"/>
          <w:snapToGrid/>
        </w:rPr>
        <w:t>2003</w:t>
      </w:r>
      <w:r>
        <w:rPr>
          <w:rFonts w:hint="eastAsia"/>
          <w:snapToGrid/>
        </w:rPr>
        <w:t>年期间瑞典家庭的可支配收入和基尼系数。第一张表表明包括资本收入在内的趋势，而第二张表不包括资本收入。</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11</w:t>
      </w:r>
      <w:r>
        <w:rPr>
          <w:rFonts w:ascii="Time New Roman" w:eastAsia="SimHei" w:hAnsi="Time New Roman" w:hint="eastAsia"/>
          <w:u w:val="none"/>
        </w:rPr>
        <w:t>：</w:t>
      </w:r>
      <w:r>
        <w:rPr>
          <w:rFonts w:ascii="Time New Roman" w:eastAsia="SimHei" w:hAnsi="Time New Roman" w:hint="eastAsia"/>
          <w:b/>
          <w:u w:val="none"/>
        </w:rPr>
        <w:t>1</w:t>
      </w:r>
    </w:p>
    <w:p w:rsidR="00000000" w:rsidRDefault="00000000">
      <w:pPr>
        <w:pStyle w:val="Heading3"/>
        <w:rPr>
          <w:rFonts w:hint="eastAsia"/>
        </w:rPr>
      </w:pPr>
      <w:r>
        <w:rPr>
          <w:rFonts w:ascii="Time New Roman" w:eastAsia="SimHei" w:hAnsi="Time New Roman" w:hint="eastAsia"/>
          <w:b/>
          <w:u w:val="none"/>
        </w:rPr>
        <w:t>1991</w:t>
      </w:r>
      <w:r>
        <w:rPr>
          <w:rFonts w:ascii="Time New Roman" w:eastAsia="SimHei" w:hAnsi="Time New Roman" w:hint="eastAsia"/>
          <w:u w:val="none"/>
        </w:rPr>
        <w:t>年和</w:t>
      </w:r>
      <w:r>
        <w:rPr>
          <w:rFonts w:ascii="Time New Roman" w:eastAsia="SimHei" w:hAnsi="Time New Roman" w:hint="eastAsia"/>
          <w:b/>
          <w:u w:val="none"/>
        </w:rPr>
        <w:t>1996</w:t>
      </w:r>
      <w:r>
        <w:rPr>
          <w:rFonts w:ascii="Time New Roman" w:eastAsia="SimHei" w:hAnsi="Time New Roman"/>
          <w:u w:val="none"/>
        </w:rPr>
        <w:t>-</w:t>
      </w:r>
      <w:r>
        <w:rPr>
          <w:rFonts w:ascii="Time New Roman" w:eastAsia="SimHei" w:hAnsi="Time New Roman" w:hint="eastAsia"/>
          <w:b/>
          <w:u w:val="none"/>
        </w:rPr>
        <w:t>2003</w:t>
      </w:r>
      <w:r>
        <w:rPr>
          <w:rFonts w:ascii="Time New Roman" w:eastAsia="SimHei" w:hAnsi="Time New Roman" w:hint="eastAsia"/>
          <w:u w:val="none"/>
        </w:rPr>
        <w:t>年每消费单位包括资本收入在内的可支配收入，</w:t>
      </w:r>
      <w:r>
        <w:rPr>
          <w:rFonts w:ascii="Time New Roman" w:eastAsia="SimHei" w:hAnsi="Time New Roman"/>
          <w:u w:val="none"/>
        </w:rPr>
        <w:br/>
      </w:r>
      <w:r>
        <w:rPr>
          <w:rFonts w:ascii="Time New Roman" w:eastAsia="SimHei" w:hAnsi="Time New Roman" w:hint="eastAsia"/>
          <w:u w:val="none"/>
        </w:rPr>
        <w:t>均为个人。中位数额为按</w:t>
      </w:r>
      <w:r>
        <w:rPr>
          <w:rFonts w:ascii="Time New Roman" w:eastAsia="SimHei" w:hAnsi="Time New Roman" w:hint="eastAsia"/>
          <w:b/>
          <w:u w:val="none"/>
        </w:rPr>
        <w:t>2003</w:t>
      </w:r>
      <w:r>
        <w:rPr>
          <w:rFonts w:ascii="Time New Roman" w:eastAsia="SimHei" w:hAnsi="Time New Roman" w:hint="eastAsia"/>
          <w:u w:val="none"/>
        </w:rPr>
        <w:t>年价格计算的每消费单位千瑞典克朗</w:t>
      </w:r>
    </w:p>
    <w:tbl>
      <w:tblPr>
        <w:tblW w:w="4828"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0"/>
        <w:gridCol w:w="2687"/>
        <w:gridCol w:w="2687"/>
        <w:gridCol w:w="2567"/>
      </w:tblGrid>
      <w:tr w:rsidR="00000000">
        <w:tblPrEx>
          <w:tblCellMar>
            <w:top w:w="0" w:type="dxa"/>
            <w:bottom w:w="0" w:type="dxa"/>
          </w:tblCellMar>
        </w:tblPrEx>
        <w:tc>
          <w:tcPr>
            <w:tcW w:w="703" w:type="pct"/>
            <w:tcBorders>
              <w:top w:val="single" w:sz="4" w:space="0" w:color="auto"/>
              <w:bottom w:val="single" w:sz="4" w:space="0" w:color="auto"/>
            </w:tcBorders>
          </w:tcPr>
          <w:p w:rsidR="00000000" w:rsidRDefault="00000000">
            <w:pPr>
              <w:pStyle w:val="ac"/>
              <w:spacing w:before="60" w:after="40"/>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454" w:type="pct"/>
            <w:tcBorders>
              <w:top w:val="single" w:sz="4" w:space="0" w:color="auto"/>
              <w:bottom w:val="single" w:sz="4" w:space="0" w:color="auto"/>
            </w:tcBorders>
          </w:tcPr>
          <w:p w:rsidR="00000000" w:rsidRDefault="00000000">
            <w:pPr>
              <w:pStyle w:val="ac"/>
              <w:spacing w:before="60" w:after="40"/>
              <w:jc w:val="center"/>
              <w:rPr>
                <w:rFonts w:ascii="Time New Roman" w:eastAsia="SimHei" w:hAnsi="Time New Roman" w:hint="eastAsia"/>
              </w:rPr>
            </w:pPr>
            <w:r>
              <w:rPr>
                <w:rFonts w:ascii="Time New Roman" w:eastAsia="SimHei" w:hAnsi="Time New Roman" w:hint="eastAsia"/>
              </w:rPr>
              <w:t>中位数额</w:t>
            </w:r>
          </w:p>
        </w:tc>
        <w:tc>
          <w:tcPr>
            <w:tcW w:w="1454" w:type="pct"/>
            <w:tcBorders>
              <w:top w:val="single" w:sz="4" w:space="0" w:color="auto"/>
              <w:bottom w:val="single" w:sz="4" w:space="0" w:color="auto"/>
            </w:tcBorders>
          </w:tcPr>
          <w:p w:rsidR="00000000" w:rsidRDefault="00000000">
            <w:pPr>
              <w:pStyle w:val="ac"/>
              <w:spacing w:before="60" w:after="40"/>
              <w:jc w:val="center"/>
              <w:rPr>
                <w:rFonts w:ascii="Time New Roman" w:eastAsia="SimHei" w:hAnsi="Time New Roman" w:hint="eastAsia"/>
              </w:rPr>
            </w:pPr>
            <w:r>
              <w:rPr>
                <w:rFonts w:ascii="Time New Roman" w:eastAsia="SimHei" w:hAnsi="Time New Roman" w:hint="eastAsia"/>
              </w:rPr>
              <w:t>基尼系数</w:t>
            </w:r>
          </w:p>
        </w:tc>
        <w:tc>
          <w:tcPr>
            <w:tcW w:w="1389" w:type="pct"/>
            <w:tcBorders>
              <w:top w:val="single" w:sz="4" w:space="0" w:color="auto"/>
              <w:bottom w:val="single" w:sz="4" w:space="0" w:color="auto"/>
            </w:tcBorders>
          </w:tcPr>
          <w:p w:rsidR="00000000" w:rsidRDefault="00000000">
            <w:pPr>
              <w:pStyle w:val="ac"/>
              <w:spacing w:before="60" w:after="40"/>
              <w:jc w:val="center"/>
              <w:rPr>
                <w:rFonts w:ascii="Time New Roman" w:eastAsia="SimHei" w:hAnsi="Time New Roman"/>
              </w:rPr>
            </w:pPr>
            <w:r>
              <w:rPr>
                <w:rFonts w:ascii="Time New Roman" w:eastAsia="SimHei" w:hAnsi="Time New Roman" w:hint="eastAsia"/>
              </w:rPr>
              <w:t>最高</w:t>
            </w:r>
            <w:r>
              <w:rPr>
                <w:rFonts w:ascii="Time New Roman" w:eastAsia="SimHei" w:hAnsi="Time New Roman"/>
                <w:b/>
              </w:rPr>
              <w:t>5</w:t>
            </w:r>
            <w:r>
              <w:rPr>
                <w:rFonts w:ascii="Time New Roman" w:eastAsia="SimHei" w:hAnsi="Time New Roman"/>
              </w:rPr>
              <w:t>%</w:t>
            </w:r>
          </w:p>
        </w:tc>
      </w:tr>
      <w:tr w:rsidR="00000000">
        <w:tblPrEx>
          <w:tblCellMar>
            <w:top w:w="0" w:type="dxa"/>
            <w:bottom w:w="0" w:type="dxa"/>
          </w:tblCellMar>
        </w:tblPrEx>
        <w:tc>
          <w:tcPr>
            <w:tcW w:w="703" w:type="pct"/>
            <w:tcBorders>
              <w:bottom w:val="nil"/>
            </w:tcBorders>
          </w:tcPr>
          <w:p w:rsidR="00000000" w:rsidRDefault="00000000">
            <w:pPr>
              <w:pStyle w:val="ac"/>
            </w:pPr>
            <w:r>
              <w:t>1991</w:t>
            </w:r>
          </w:p>
        </w:tc>
        <w:tc>
          <w:tcPr>
            <w:tcW w:w="1454" w:type="pct"/>
            <w:tcBorders>
              <w:bottom w:val="nil"/>
            </w:tcBorders>
          </w:tcPr>
          <w:p w:rsidR="00000000" w:rsidRDefault="00000000">
            <w:pPr>
              <w:pStyle w:val="ac"/>
              <w:tabs>
                <w:tab w:val="decimal" w:pos="1219"/>
              </w:tabs>
            </w:pPr>
            <w:r>
              <w:t>143.9</w:t>
            </w:r>
          </w:p>
        </w:tc>
        <w:tc>
          <w:tcPr>
            <w:tcW w:w="1454" w:type="pct"/>
            <w:tcBorders>
              <w:bottom w:val="nil"/>
            </w:tcBorders>
          </w:tcPr>
          <w:p w:rsidR="00000000" w:rsidRDefault="00000000">
            <w:pPr>
              <w:pStyle w:val="ac"/>
              <w:tabs>
                <w:tab w:val="decimal" w:pos="1219"/>
              </w:tabs>
            </w:pPr>
            <w:r>
              <w:t>0.230</w:t>
            </w:r>
          </w:p>
        </w:tc>
        <w:tc>
          <w:tcPr>
            <w:tcW w:w="1389" w:type="pct"/>
            <w:tcBorders>
              <w:bottom w:val="nil"/>
            </w:tcBorders>
          </w:tcPr>
          <w:p w:rsidR="00000000" w:rsidRDefault="00000000">
            <w:pPr>
              <w:pStyle w:val="ac"/>
              <w:tabs>
                <w:tab w:val="decimal" w:pos="1219"/>
              </w:tabs>
            </w:pPr>
            <w:r>
              <w:t>355.4</w:t>
            </w:r>
          </w:p>
        </w:tc>
      </w:tr>
      <w:tr w:rsidR="00000000">
        <w:tblPrEx>
          <w:tblCellMar>
            <w:top w:w="0" w:type="dxa"/>
            <w:bottom w:w="0" w:type="dxa"/>
          </w:tblCellMar>
        </w:tblPrEx>
        <w:tc>
          <w:tcPr>
            <w:tcW w:w="703" w:type="pct"/>
            <w:tcBorders>
              <w:top w:val="nil"/>
              <w:bottom w:val="nil"/>
            </w:tcBorders>
          </w:tcPr>
          <w:p w:rsidR="00000000" w:rsidRDefault="00000000">
            <w:pPr>
              <w:pStyle w:val="ac"/>
            </w:pPr>
            <w:r>
              <w:t>1996</w:t>
            </w:r>
          </w:p>
        </w:tc>
        <w:tc>
          <w:tcPr>
            <w:tcW w:w="1454" w:type="pct"/>
            <w:tcBorders>
              <w:top w:val="nil"/>
              <w:bottom w:val="nil"/>
            </w:tcBorders>
          </w:tcPr>
          <w:p w:rsidR="00000000" w:rsidRDefault="00000000">
            <w:pPr>
              <w:pStyle w:val="ac"/>
              <w:tabs>
                <w:tab w:val="decimal" w:pos="1219"/>
              </w:tabs>
            </w:pPr>
            <w:r>
              <w:t>132.9</w:t>
            </w:r>
          </w:p>
        </w:tc>
        <w:tc>
          <w:tcPr>
            <w:tcW w:w="1454" w:type="pct"/>
            <w:tcBorders>
              <w:top w:val="nil"/>
              <w:bottom w:val="nil"/>
            </w:tcBorders>
          </w:tcPr>
          <w:p w:rsidR="00000000" w:rsidRDefault="00000000">
            <w:pPr>
              <w:pStyle w:val="ac"/>
              <w:tabs>
                <w:tab w:val="decimal" w:pos="1219"/>
              </w:tabs>
            </w:pPr>
            <w:r>
              <w:t>0.238</w:t>
            </w:r>
          </w:p>
        </w:tc>
        <w:tc>
          <w:tcPr>
            <w:tcW w:w="1389" w:type="pct"/>
            <w:tcBorders>
              <w:top w:val="nil"/>
              <w:bottom w:val="nil"/>
            </w:tcBorders>
          </w:tcPr>
          <w:p w:rsidR="00000000" w:rsidRDefault="00000000">
            <w:pPr>
              <w:pStyle w:val="ac"/>
              <w:tabs>
                <w:tab w:val="decimal" w:pos="1219"/>
              </w:tabs>
            </w:pPr>
            <w:r>
              <w:t>334.5</w:t>
            </w:r>
          </w:p>
        </w:tc>
      </w:tr>
      <w:tr w:rsidR="00000000">
        <w:tblPrEx>
          <w:tblCellMar>
            <w:top w:w="0" w:type="dxa"/>
            <w:bottom w:w="0" w:type="dxa"/>
          </w:tblCellMar>
        </w:tblPrEx>
        <w:tc>
          <w:tcPr>
            <w:tcW w:w="703" w:type="pct"/>
            <w:tcBorders>
              <w:top w:val="nil"/>
              <w:bottom w:val="nil"/>
            </w:tcBorders>
          </w:tcPr>
          <w:p w:rsidR="00000000" w:rsidRDefault="00000000">
            <w:pPr>
              <w:pStyle w:val="ac"/>
            </w:pPr>
            <w:r>
              <w:t>1997</w:t>
            </w:r>
          </w:p>
        </w:tc>
        <w:tc>
          <w:tcPr>
            <w:tcW w:w="1454" w:type="pct"/>
            <w:tcBorders>
              <w:top w:val="nil"/>
              <w:bottom w:val="nil"/>
            </w:tcBorders>
          </w:tcPr>
          <w:p w:rsidR="00000000" w:rsidRDefault="00000000">
            <w:pPr>
              <w:pStyle w:val="ac"/>
              <w:tabs>
                <w:tab w:val="decimal" w:pos="1219"/>
              </w:tabs>
            </w:pPr>
            <w:r>
              <w:t>139.4</w:t>
            </w:r>
          </w:p>
        </w:tc>
        <w:tc>
          <w:tcPr>
            <w:tcW w:w="1454" w:type="pct"/>
            <w:tcBorders>
              <w:top w:val="nil"/>
              <w:bottom w:val="nil"/>
            </w:tcBorders>
          </w:tcPr>
          <w:p w:rsidR="00000000" w:rsidRDefault="00000000">
            <w:pPr>
              <w:pStyle w:val="ac"/>
              <w:tabs>
                <w:tab w:val="decimal" w:pos="1219"/>
              </w:tabs>
            </w:pPr>
            <w:r>
              <w:t>0.254</w:t>
            </w:r>
          </w:p>
        </w:tc>
        <w:tc>
          <w:tcPr>
            <w:tcW w:w="1389" w:type="pct"/>
            <w:tcBorders>
              <w:top w:val="nil"/>
              <w:bottom w:val="nil"/>
            </w:tcBorders>
          </w:tcPr>
          <w:p w:rsidR="00000000" w:rsidRDefault="00000000">
            <w:pPr>
              <w:pStyle w:val="ac"/>
              <w:tabs>
                <w:tab w:val="decimal" w:pos="1219"/>
              </w:tabs>
            </w:pPr>
            <w:r>
              <w:t>400.1</w:t>
            </w:r>
          </w:p>
        </w:tc>
      </w:tr>
      <w:tr w:rsidR="00000000">
        <w:tblPrEx>
          <w:tblCellMar>
            <w:top w:w="0" w:type="dxa"/>
            <w:bottom w:w="0" w:type="dxa"/>
          </w:tblCellMar>
        </w:tblPrEx>
        <w:tc>
          <w:tcPr>
            <w:tcW w:w="703" w:type="pct"/>
            <w:tcBorders>
              <w:top w:val="nil"/>
              <w:bottom w:val="nil"/>
            </w:tcBorders>
          </w:tcPr>
          <w:p w:rsidR="00000000" w:rsidRDefault="00000000">
            <w:pPr>
              <w:pStyle w:val="ac"/>
            </w:pPr>
            <w:r>
              <w:t>1998</w:t>
            </w:r>
          </w:p>
        </w:tc>
        <w:tc>
          <w:tcPr>
            <w:tcW w:w="1454" w:type="pct"/>
            <w:tcBorders>
              <w:top w:val="nil"/>
              <w:bottom w:val="nil"/>
            </w:tcBorders>
          </w:tcPr>
          <w:p w:rsidR="00000000" w:rsidRDefault="00000000">
            <w:pPr>
              <w:pStyle w:val="ac"/>
              <w:tabs>
                <w:tab w:val="decimal" w:pos="1219"/>
              </w:tabs>
            </w:pPr>
            <w:r>
              <w:t>140.8</w:t>
            </w:r>
          </w:p>
        </w:tc>
        <w:tc>
          <w:tcPr>
            <w:tcW w:w="1454" w:type="pct"/>
            <w:tcBorders>
              <w:top w:val="nil"/>
              <w:bottom w:val="nil"/>
            </w:tcBorders>
          </w:tcPr>
          <w:p w:rsidR="00000000" w:rsidRDefault="00000000">
            <w:pPr>
              <w:pStyle w:val="ac"/>
              <w:tabs>
                <w:tab w:val="decimal" w:pos="1219"/>
              </w:tabs>
            </w:pPr>
            <w:r>
              <w:t>0.242</w:t>
            </w:r>
          </w:p>
        </w:tc>
        <w:tc>
          <w:tcPr>
            <w:tcW w:w="1389" w:type="pct"/>
            <w:tcBorders>
              <w:top w:val="nil"/>
              <w:bottom w:val="nil"/>
            </w:tcBorders>
          </w:tcPr>
          <w:p w:rsidR="00000000" w:rsidRDefault="00000000">
            <w:pPr>
              <w:pStyle w:val="ac"/>
              <w:tabs>
                <w:tab w:val="decimal" w:pos="1219"/>
              </w:tabs>
            </w:pPr>
            <w:r>
              <w:t>366.5</w:t>
            </w:r>
          </w:p>
        </w:tc>
      </w:tr>
      <w:tr w:rsidR="00000000">
        <w:tblPrEx>
          <w:tblCellMar>
            <w:top w:w="0" w:type="dxa"/>
            <w:bottom w:w="0" w:type="dxa"/>
          </w:tblCellMar>
        </w:tblPrEx>
        <w:tc>
          <w:tcPr>
            <w:tcW w:w="703" w:type="pct"/>
            <w:tcBorders>
              <w:top w:val="nil"/>
              <w:bottom w:val="nil"/>
            </w:tcBorders>
          </w:tcPr>
          <w:p w:rsidR="00000000" w:rsidRDefault="00000000">
            <w:pPr>
              <w:pStyle w:val="ac"/>
            </w:pPr>
            <w:r>
              <w:t>1999</w:t>
            </w:r>
          </w:p>
        </w:tc>
        <w:tc>
          <w:tcPr>
            <w:tcW w:w="1454" w:type="pct"/>
            <w:tcBorders>
              <w:top w:val="nil"/>
              <w:bottom w:val="nil"/>
            </w:tcBorders>
          </w:tcPr>
          <w:p w:rsidR="00000000" w:rsidRDefault="00000000">
            <w:pPr>
              <w:pStyle w:val="ac"/>
              <w:tabs>
                <w:tab w:val="decimal" w:pos="1219"/>
              </w:tabs>
            </w:pPr>
            <w:r>
              <w:t>149.9</w:t>
            </w:r>
          </w:p>
        </w:tc>
        <w:tc>
          <w:tcPr>
            <w:tcW w:w="1454" w:type="pct"/>
            <w:tcBorders>
              <w:top w:val="nil"/>
              <w:bottom w:val="nil"/>
            </w:tcBorders>
          </w:tcPr>
          <w:p w:rsidR="00000000" w:rsidRDefault="00000000">
            <w:pPr>
              <w:pStyle w:val="ac"/>
              <w:tabs>
                <w:tab w:val="decimal" w:pos="1219"/>
              </w:tabs>
            </w:pPr>
            <w:r>
              <w:t>0.261</w:t>
            </w:r>
          </w:p>
        </w:tc>
        <w:tc>
          <w:tcPr>
            <w:tcW w:w="1389" w:type="pct"/>
            <w:tcBorders>
              <w:top w:val="nil"/>
              <w:bottom w:val="nil"/>
            </w:tcBorders>
          </w:tcPr>
          <w:p w:rsidR="00000000" w:rsidRDefault="00000000">
            <w:pPr>
              <w:pStyle w:val="ac"/>
              <w:tabs>
                <w:tab w:val="decimal" w:pos="1219"/>
              </w:tabs>
            </w:pPr>
            <w:r>
              <w:t>431.2</w:t>
            </w:r>
          </w:p>
        </w:tc>
      </w:tr>
      <w:tr w:rsidR="00000000">
        <w:tblPrEx>
          <w:tblCellMar>
            <w:top w:w="0" w:type="dxa"/>
            <w:bottom w:w="0" w:type="dxa"/>
          </w:tblCellMar>
        </w:tblPrEx>
        <w:tc>
          <w:tcPr>
            <w:tcW w:w="703" w:type="pct"/>
            <w:tcBorders>
              <w:top w:val="nil"/>
              <w:bottom w:val="nil"/>
            </w:tcBorders>
          </w:tcPr>
          <w:p w:rsidR="00000000" w:rsidRDefault="00000000">
            <w:pPr>
              <w:pStyle w:val="ac"/>
            </w:pPr>
            <w:r>
              <w:t>2000</w:t>
            </w:r>
          </w:p>
        </w:tc>
        <w:tc>
          <w:tcPr>
            <w:tcW w:w="1454" w:type="pct"/>
            <w:tcBorders>
              <w:top w:val="nil"/>
              <w:bottom w:val="nil"/>
            </w:tcBorders>
          </w:tcPr>
          <w:p w:rsidR="00000000" w:rsidRDefault="00000000">
            <w:pPr>
              <w:pStyle w:val="ac"/>
              <w:tabs>
                <w:tab w:val="decimal" w:pos="1219"/>
              </w:tabs>
            </w:pPr>
            <w:r>
              <w:t>165.3</w:t>
            </w:r>
          </w:p>
        </w:tc>
        <w:tc>
          <w:tcPr>
            <w:tcW w:w="1454" w:type="pct"/>
            <w:tcBorders>
              <w:top w:val="nil"/>
              <w:bottom w:val="nil"/>
            </w:tcBorders>
          </w:tcPr>
          <w:p w:rsidR="00000000" w:rsidRDefault="00000000">
            <w:pPr>
              <w:pStyle w:val="ac"/>
              <w:tabs>
                <w:tab w:val="decimal" w:pos="1219"/>
              </w:tabs>
            </w:pPr>
            <w:r>
              <w:t>0.295</w:t>
            </w:r>
          </w:p>
        </w:tc>
        <w:tc>
          <w:tcPr>
            <w:tcW w:w="1389" w:type="pct"/>
            <w:tcBorders>
              <w:top w:val="nil"/>
              <w:bottom w:val="nil"/>
            </w:tcBorders>
          </w:tcPr>
          <w:p w:rsidR="00000000" w:rsidRDefault="00000000">
            <w:pPr>
              <w:pStyle w:val="ac"/>
              <w:tabs>
                <w:tab w:val="decimal" w:pos="1219"/>
              </w:tabs>
            </w:pPr>
            <w:r>
              <w:t>586.1</w:t>
            </w:r>
          </w:p>
        </w:tc>
      </w:tr>
      <w:tr w:rsidR="00000000">
        <w:tblPrEx>
          <w:tblCellMar>
            <w:top w:w="0" w:type="dxa"/>
            <w:bottom w:w="0" w:type="dxa"/>
          </w:tblCellMar>
        </w:tblPrEx>
        <w:tc>
          <w:tcPr>
            <w:tcW w:w="703" w:type="pct"/>
            <w:tcBorders>
              <w:top w:val="nil"/>
              <w:bottom w:val="nil"/>
            </w:tcBorders>
          </w:tcPr>
          <w:p w:rsidR="00000000" w:rsidRDefault="00000000">
            <w:pPr>
              <w:pStyle w:val="ac"/>
            </w:pPr>
            <w:r>
              <w:t>2001</w:t>
            </w:r>
          </w:p>
        </w:tc>
        <w:tc>
          <w:tcPr>
            <w:tcW w:w="1454" w:type="pct"/>
            <w:tcBorders>
              <w:top w:val="nil"/>
              <w:bottom w:val="nil"/>
            </w:tcBorders>
          </w:tcPr>
          <w:p w:rsidR="00000000" w:rsidRDefault="00000000">
            <w:pPr>
              <w:pStyle w:val="ac"/>
              <w:tabs>
                <w:tab w:val="decimal" w:pos="1219"/>
              </w:tabs>
            </w:pPr>
            <w:r>
              <w:t>162.4</w:t>
            </w:r>
          </w:p>
        </w:tc>
        <w:tc>
          <w:tcPr>
            <w:tcW w:w="1454" w:type="pct"/>
            <w:tcBorders>
              <w:top w:val="nil"/>
              <w:bottom w:val="nil"/>
            </w:tcBorders>
          </w:tcPr>
          <w:p w:rsidR="00000000" w:rsidRDefault="00000000">
            <w:pPr>
              <w:pStyle w:val="ac"/>
              <w:tabs>
                <w:tab w:val="decimal" w:pos="1219"/>
              </w:tabs>
            </w:pPr>
            <w:r>
              <w:t>0.263</w:t>
            </w:r>
          </w:p>
        </w:tc>
        <w:tc>
          <w:tcPr>
            <w:tcW w:w="1389" w:type="pct"/>
            <w:tcBorders>
              <w:top w:val="nil"/>
              <w:bottom w:val="nil"/>
            </w:tcBorders>
          </w:tcPr>
          <w:p w:rsidR="00000000" w:rsidRDefault="00000000">
            <w:pPr>
              <w:pStyle w:val="ac"/>
              <w:tabs>
                <w:tab w:val="decimal" w:pos="1219"/>
              </w:tabs>
            </w:pPr>
            <w:r>
              <w:t>475.3</w:t>
            </w:r>
          </w:p>
        </w:tc>
      </w:tr>
      <w:tr w:rsidR="00000000">
        <w:tblPrEx>
          <w:tblCellMar>
            <w:top w:w="0" w:type="dxa"/>
            <w:bottom w:w="0" w:type="dxa"/>
          </w:tblCellMar>
        </w:tblPrEx>
        <w:tc>
          <w:tcPr>
            <w:tcW w:w="703" w:type="pct"/>
            <w:tcBorders>
              <w:top w:val="nil"/>
              <w:bottom w:val="nil"/>
            </w:tcBorders>
          </w:tcPr>
          <w:p w:rsidR="00000000" w:rsidRDefault="00000000">
            <w:pPr>
              <w:pStyle w:val="ac"/>
            </w:pPr>
            <w:r>
              <w:t>2002</w:t>
            </w:r>
          </w:p>
        </w:tc>
        <w:tc>
          <w:tcPr>
            <w:tcW w:w="1454" w:type="pct"/>
            <w:tcBorders>
              <w:top w:val="nil"/>
              <w:bottom w:val="nil"/>
            </w:tcBorders>
          </w:tcPr>
          <w:p w:rsidR="00000000" w:rsidRDefault="00000000">
            <w:pPr>
              <w:pStyle w:val="ac"/>
              <w:tabs>
                <w:tab w:val="decimal" w:pos="1219"/>
              </w:tabs>
            </w:pPr>
            <w:r>
              <w:t>165.5</w:t>
            </w:r>
          </w:p>
        </w:tc>
        <w:tc>
          <w:tcPr>
            <w:tcW w:w="1454" w:type="pct"/>
            <w:tcBorders>
              <w:top w:val="nil"/>
              <w:bottom w:val="nil"/>
            </w:tcBorders>
          </w:tcPr>
          <w:p w:rsidR="00000000" w:rsidRDefault="00000000">
            <w:pPr>
              <w:pStyle w:val="ac"/>
              <w:tabs>
                <w:tab w:val="decimal" w:pos="1219"/>
              </w:tabs>
            </w:pPr>
            <w:r>
              <w:t>0.258</w:t>
            </w:r>
          </w:p>
        </w:tc>
        <w:tc>
          <w:tcPr>
            <w:tcW w:w="1389" w:type="pct"/>
            <w:tcBorders>
              <w:top w:val="nil"/>
              <w:bottom w:val="nil"/>
            </w:tcBorders>
          </w:tcPr>
          <w:p w:rsidR="00000000" w:rsidRDefault="00000000">
            <w:pPr>
              <w:pStyle w:val="ac"/>
              <w:tabs>
                <w:tab w:val="decimal" w:pos="1219"/>
              </w:tabs>
            </w:pPr>
            <w:r>
              <w:t>460.3</w:t>
            </w:r>
          </w:p>
        </w:tc>
      </w:tr>
      <w:tr w:rsidR="00000000">
        <w:tblPrEx>
          <w:tblCellMar>
            <w:top w:w="0" w:type="dxa"/>
            <w:bottom w:w="0" w:type="dxa"/>
          </w:tblCellMar>
        </w:tblPrEx>
        <w:tc>
          <w:tcPr>
            <w:tcW w:w="703" w:type="pct"/>
            <w:tcBorders>
              <w:top w:val="nil"/>
            </w:tcBorders>
          </w:tcPr>
          <w:p w:rsidR="00000000" w:rsidRDefault="00000000">
            <w:pPr>
              <w:pStyle w:val="ac"/>
            </w:pPr>
            <w:r>
              <w:t>2003</w:t>
            </w:r>
          </w:p>
        </w:tc>
        <w:tc>
          <w:tcPr>
            <w:tcW w:w="1454" w:type="pct"/>
            <w:tcBorders>
              <w:top w:val="nil"/>
            </w:tcBorders>
          </w:tcPr>
          <w:p w:rsidR="00000000" w:rsidRDefault="00000000">
            <w:pPr>
              <w:pStyle w:val="ac"/>
              <w:tabs>
                <w:tab w:val="decimal" w:pos="1219"/>
              </w:tabs>
            </w:pPr>
            <w:r>
              <w:t>165.5</w:t>
            </w:r>
          </w:p>
        </w:tc>
        <w:tc>
          <w:tcPr>
            <w:tcW w:w="1454" w:type="pct"/>
            <w:tcBorders>
              <w:top w:val="nil"/>
            </w:tcBorders>
          </w:tcPr>
          <w:p w:rsidR="00000000" w:rsidRDefault="00000000">
            <w:pPr>
              <w:pStyle w:val="ac"/>
              <w:tabs>
                <w:tab w:val="decimal" w:pos="1219"/>
              </w:tabs>
            </w:pPr>
            <w:r>
              <w:t>0.254</w:t>
            </w:r>
          </w:p>
        </w:tc>
        <w:tc>
          <w:tcPr>
            <w:tcW w:w="1389" w:type="pct"/>
            <w:tcBorders>
              <w:top w:val="nil"/>
            </w:tcBorders>
          </w:tcPr>
          <w:p w:rsidR="00000000" w:rsidRDefault="00000000">
            <w:pPr>
              <w:pStyle w:val="ac"/>
              <w:tabs>
                <w:tab w:val="decimal" w:pos="1219"/>
              </w:tabs>
            </w:pPr>
            <w:r>
              <w:t>450.7</w:t>
            </w:r>
          </w:p>
        </w:tc>
      </w:tr>
    </w:tbl>
    <w:p w:rsidR="00000000" w:rsidRDefault="00000000">
      <w:pPr>
        <w:spacing w:before="180"/>
        <w:ind w:left="510"/>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：瑞典统计局</w:t>
      </w:r>
    </w:p>
    <w:p w:rsidR="00000000" w:rsidRDefault="00000000">
      <w:pPr>
        <w:rPr>
          <w:rFonts w:hint="eastAsia"/>
          <w:snapToGrid/>
        </w:rPr>
      </w:pPr>
    </w:p>
    <w:p w:rsidR="00000000" w:rsidRDefault="00000000">
      <w:pPr>
        <w:pStyle w:val="Heading3"/>
        <w:spacing w:after="240"/>
        <w:rPr>
          <w:rFonts w:ascii="Time New Roman" w:eastAsia="SimHei" w:hAnsi="Time New Roman" w:hint="eastAsia"/>
          <w:kern w:val="0"/>
          <w:u w:val="none"/>
        </w:rPr>
      </w:pPr>
      <w:r>
        <w:rPr>
          <w:rFonts w:ascii="Time New Roman" w:eastAsia="SimHei" w:hAnsi="Time New Roman" w:hint="eastAsia"/>
          <w:kern w:val="0"/>
          <w:u w:val="none"/>
        </w:rPr>
        <w:t>表</w:t>
      </w:r>
      <w:r>
        <w:rPr>
          <w:rFonts w:ascii="Time New Roman" w:eastAsia="SimHei" w:hAnsi="Time New Roman" w:hint="eastAsia"/>
          <w:b/>
          <w:u w:val="none"/>
        </w:rPr>
        <w:t>11</w:t>
      </w:r>
      <w:r>
        <w:rPr>
          <w:rFonts w:ascii="Time New Roman" w:eastAsia="SimHei" w:hAnsi="Time New Roman" w:hint="eastAsia"/>
          <w:u w:val="none"/>
        </w:rPr>
        <w:t>：</w:t>
      </w:r>
      <w:r>
        <w:rPr>
          <w:rFonts w:ascii="Time New Roman" w:eastAsia="SimHei" w:hAnsi="Time New Roman" w:hint="eastAsia"/>
          <w:b/>
          <w:u w:val="none"/>
        </w:rPr>
        <w:t>2</w:t>
      </w:r>
    </w:p>
    <w:p w:rsidR="00000000" w:rsidRDefault="00000000">
      <w:pPr>
        <w:pStyle w:val="Heading3"/>
        <w:rPr>
          <w:rFonts w:hint="eastAsia"/>
        </w:rPr>
      </w:pPr>
      <w:r>
        <w:rPr>
          <w:rFonts w:ascii="Time New Roman" w:eastAsia="SimHei" w:hAnsi="Time New Roman" w:hint="eastAsia"/>
          <w:b/>
          <w:u w:val="none"/>
        </w:rPr>
        <w:t>1991</w:t>
      </w:r>
      <w:r>
        <w:rPr>
          <w:rFonts w:ascii="Time New Roman" w:eastAsia="SimHei" w:hAnsi="Time New Roman" w:hint="eastAsia"/>
          <w:u w:val="none"/>
        </w:rPr>
        <w:t>年和</w:t>
      </w:r>
      <w:r>
        <w:rPr>
          <w:rFonts w:ascii="Time New Roman" w:eastAsia="SimHei" w:hAnsi="Time New Roman" w:hint="eastAsia"/>
          <w:b/>
          <w:u w:val="none"/>
        </w:rPr>
        <w:t>1996</w:t>
      </w:r>
      <w:r>
        <w:rPr>
          <w:rFonts w:ascii="Time New Roman" w:eastAsia="SimHei" w:hAnsi="Time New Roman"/>
          <w:u w:val="none"/>
        </w:rPr>
        <w:t>-</w:t>
      </w:r>
      <w:r>
        <w:rPr>
          <w:rFonts w:ascii="Time New Roman" w:eastAsia="SimHei" w:hAnsi="Time New Roman" w:hint="eastAsia"/>
          <w:b/>
          <w:u w:val="none"/>
        </w:rPr>
        <w:t>2003</w:t>
      </w:r>
      <w:r>
        <w:rPr>
          <w:rFonts w:ascii="Time New Roman" w:eastAsia="SimHei" w:hAnsi="Time New Roman" w:hint="eastAsia"/>
          <w:u w:val="none"/>
        </w:rPr>
        <w:t>年每消费单位不包括资本收入在内的可支配收入，</w:t>
      </w:r>
      <w:r>
        <w:rPr>
          <w:rFonts w:ascii="Time New Roman" w:eastAsia="SimHei" w:hAnsi="Time New Roman"/>
          <w:u w:val="none"/>
        </w:rPr>
        <w:br/>
      </w:r>
      <w:r>
        <w:rPr>
          <w:rFonts w:ascii="Time New Roman" w:eastAsia="SimHei" w:hAnsi="Time New Roman" w:hint="eastAsia"/>
          <w:u w:val="none"/>
        </w:rPr>
        <w:t>均为个人。中位数额为按</w:t>
      </w:r>
      <w:r>
        <w:rPr>
          <w:rFonts w:ascii="Time New Roman" w:eastAsia="SimHei" w:hAnsi="Time New Roman" w:hint="eastAsia"/>
          <w:b/>
          <w:u w:val="none"/>
        </w:rPr>
        <w:t>2003</w:t>
      </w:r>
      <w:r>
        <w:rPr>
          <w:rFonts w:ascii="Time New Roman" w:eastAsia="SimHei" w:hAnsi="Time New Roman" w:hint="eastAsia"/>
          <w:u w:val="none"/>
        </w:rPr>
        <w:t>年价格计算的每消费单位千瑞典克朗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1"/>
        <w:gridCol w:w="2687"/>
        <w:gridCol w:w="2687"/>
        <w:gridCol w:w="2685"/>
      </w:tblGrid>
      <w:tr w:rsidR="00000000">
        <w:tblPrEx>
          <w:tblCellMar>
            <w:top w:w="0" w:type="dxa"/>
            <w:bottom w:w="0" w:type="dxa"/>
          </w:tblCellMar>
        </w:tblPrEx>
        <w:tc>
          <w:tcPr>
            <w:tcW w:w="789" w:type="pct"/>
            <w:tcBorders>
              <w:top w:val="single" w:sz="4" w:space="0" w:color="auto"/>
              <w:bottom w:val="single" w:sz="4" w:space="0" w:color="auto"/>
            </w:tcBorders>
          </w:tcPr>
          <w:p w:rsidR="00000000" w:rsidRDefault="00000000">
            <w:pPr>
              <w:pStyle w:val="ac"/>
              <w:spacing w:before="60" w:after="40"/>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404" w:type="pct"/>
            <w:tcBorders>
              <w:top w:val="single" w:sz="4" w:space="0" w:color="auto"/>
              <w:bottom w:val="single" w:sz="4" w:space="0" w:color="auto"/>
            </w:tcBorders>
          </w:tcPr>
          <w:p w:rsidR="00000000" w:rsidRDefault="00000000">
            <w:pPr>
              <w:pStyle w:val="ac"/>
              <w:spacing w:before="60" w:after="40"/>
              <w:jc w:val="center"/>
              <w:rPr>
                <w:rFonts w:ascii="Time New Roman" w:eastAsia="SimHei" w:hAnsi="Time New Roman" w:hint="eastAsia"/>
              </w:rPr>
            </w:pPr>
            <w:r>
              <w:rPr>
                <w:rFonts w:ascii="Time New Roman" w:eastAsia="SimHei" w:hAnsi="Time New Roman" w:hint="eastAsia"/>
              </w:rPr>
              <w:t>中位数额</w:t>
            </w:r>
          </w:p>
        </w:tc>
        <w:tc>
          <w:tcPr>
            <w:tcW w:w="1404" w:type="pct"/>
            <w:tcBorders>
              <w:top w:val="single" w:sz="4" w:space="0" w:color="auto"/>
              <w:bottom w:val="single" w:sz="4" w:space="0" w:color="auto"/>
            </w:tcBorders>
          </w:tcPr>
          <w:p w:rsidR="00000000" w:rsidRDefault="00000000">
            <w:pPr>
              <w:pStyle w:val="ac"/>
              <w:spacing w:before="60" w:after="40"/>
              <w:jc w:val="center"/>
              <w:rPr>
                <w:rFonts w:ascii="Time New Roman" w:eastAsia="SimHei" w:hAnsi="Time New Roman" w:hint="eastAsia"/>
              </w:rPr>
            </w:pPr>
            <w:r>
              <w:rPr>
                <w:rFonts w:ascii="Time New Roman" w:eastAsia="SimHei" w:hAnsi="Time New Roman" w:hint="eastAsia"/>
              </w:rPr>
              <w:t>基尼系数</w:t>
            </w:r>
          </w:p>
        </w:tc>
        <w:tc>
          <w:tcPr>
            <w:tcW w:w="1403" w:type="pct"/>
            <w:tcBorders>
              <w:top w:val="single" w:sz="4" w:space="0" w:color="auto"/>
              <w:bottom w:val="single" w:sz="4" w:space="0" w:color="auto"/>
            </w:tcBorders>
          </w:tcPr>
          <w:p w:rsidR="00000000" w:rsidRDefault="00000000">
            <w:pPr>
              <w:pStyle w:val="ac"/>
              <w:spacing w:before="60" w:after="40"/>
              <w:jc w:val="center"/>
              <w:rPr>
                <w:rFonts w:ascii="Time New Roman" w:eastAsia="SimHei" w:hAnsi="Time New Roman"/>
              </w:rPr>
            </w:pPr>
            <w:r>
              <w:rPr>
                <w:rFonts w:ascii="Time New Roman" w:eastAsia="SimHei" w:hAnsi="Time New Roman" w:hint="eastAsia"/>
              </w:rPr>
              <w:t>最高</w:t>
            </w:r>
            <w:r>
              <w:rPr>
                <w:rFonts w:ascii="Time New Roman" w:eastAsia="SimHei" w:hAnsi="Time New Roman"/>
                <w:b/>
              </w:rPr>
              <w:t>5</w:t>
            </w:r>
            <w:r>
              <w:rPr>
                <w:rFonts w:ascii="Time New Roman" w:eastAsia="SimHei" w:hAnsi="Time New Roman"/>
              </w:rPr>
              <w:t>%</w:t>
            </w:r>
          </w:p>
        </w:tc>
      </w:tr>
      <w:tr w:rsidR="00000000">
        <w:tblPrEx>
          <w:tblCellMar>
            <w:top w:w="0" w:type="dxa"/>
            <w:bottom w:w="0" w:type="dxa"/>
          </w:tblCellMar>
        </w:tblPrEx>
        <w:tc>
          <w:tcPr>
            <w:tcW w:w="789" w:type="pct"/>
            <w:tcBorders>
              <w:bottom w:val="nil"/>
            </w:tcBorders>
          </w:tcPr>
          <w:p w:rsidR="00000000" w:rsidRDefault="00000000">
            <w:pPr>
              <w:pStyle w:val="ac"/>
            </w:pPr>
            <w:r>
              <w:t>1991</w:t>
            </w:r>
          </w:p>
        </w:tc>
        <w:tc>
          <w:tcPr>
            <w:tcW w:w="1404" w:type="pct"/>
            <w:tcBorders>
              <w:bottom w:val="nil"/>
            </w:tcBorders>
          </w:tcPr>
          <w:p w:rsidR="00000000" w:rsidRDefault="00000000">
            <w:pPr>
              <w:pStyle w:val="ac"/>
              <w:tabs>
                <w:tab w:val="decimal" w:pos="1324"/>
              </w:tabs>
            </w:pPr>
            <w:r>
              <w:t>139.2</w:t>
            </w:r>
          </w:p>
        </w:tc>
        <w:tc>
          <w:tcPr>
            <w:tcW w:w="1404" w:type="pct"/>
            <w:tcBorders>
              <w:bottom w:val="nil"/>
            </w:tcBorders>
          </w:tcPr>
          <w:p w:rsidR="00000000" w:rsidRDefault="00000000">
            <w:pPr>
              <w:pStyle w:val="ac"/>
              <w:tabs>
                <w:tab w:val="decimal" w:pos="1324"/>
              </w:tabs>
            </w:pPr>
            <w:r>
              <w:t>0.213</w:t>
            </w:r>
          </w:p>
        </w:tc>
        <w:tc>
          <w:tcPr>
            <w:tcW w:w="1403" w:type="pct"/>
            <w:tcBorders>
              <w:bottom w:val="nil"/>
            </w:tcBorders>
          </w:tcPr>
          <w:p w:rsidR="00000000" w:rsidRDefault="00000000">
            <w:pPr>
              <w:pStyle w:val="ac"/>
              <w:tabs>
                <w:tab w:val="decimal" w:pos="1324"/>
              </w:tabs>
            </w:pPr>
            <w:r>
              <w:t>297.2</w:t>
            </w:r>
          </w:p>
        </w:tc>
      </w:tr>
      <w:tr w:rsidR="00000000">
        <w:tblPrEx>
          <w:tblCellMar>
            <w:top w:w="0" w:type="dxa"/>
            <w:bottom w:w="0" w:type="dxa"/>
          </w:tblCellMar>
        </w:tblPrEx>
        <w:tc>
          <w:tcPr>
            <w:tcW w:w="789" w:type="pct"/>
            <w:tcBorders>
              <w:top w:val="nil"/>
              <w:bottom w:val="nil"/>
            </w:tcBorders>
          </w:tcPr>
          <w:p w:rsidR="00000000" w:rsidRDefault="00000000">
            <w:pPr>
              <w:pStyle w:val="ac"/>
            </w:pPr>
            <w:r>
              <w:t>1996</w:t>
            </w:r>
          </w:p>
        </w:tc>
        <w:tc>
          <w:tcPr>
            <w:tcW w:w="1404" w:type="pct"/>
            <w:tcBorders>
              <w:top w:val="nil"/>
              <w:bottom w:val="nil"/>
            </w:tcBorders>
          </w:tcPr>
          <w:p w:rsidR="00000000" w:rsidRDefault="00000000">
            <w:pPr>
              <w:pStyle w:val="ac"/>
              <w:tabs>
                <w:tab w:val="decimal" w:pos="1324"/>
              </w:tabs>
            </w:pPr>
            <w:r>
              <w:t>127.9</w:t>
            </w:r>
          </w:p>
        </w:tc>
        <w:tc>
          <w:tcPr>
            <w:tcW w:w="1404" w:type="pct"/>
            <w:tcBorders>
              <w:top w:val="nil"/>
              <w:bottom w:val="nil"/>
            </w:tcBorders>
          </w:tcPr>
          <w:p w:rsidR="00000000" w:rsidRDefault="00000000">
            <w:pPr>
              <w:pStyle w:val="ac"/>
              <w:tabs>
                <w:tab w:val="decimal" w:pos="1324"/>
              </w:tabs>
            </w:pPr>
            <w:r>
              <w:t>0.221</w:t>
            </w:r>
          </w:p>
        </w:tc>
        <w:tc>
          <w:tcPr>
            <w:tcW w:w="1403" w:type="pct"/>
            <w:tcBorders>
              <w:top w:val="nil"/>
              <w:bottom w:val="nil"/>
            </w:tcBorders>
          </w:tcPr>
          <w:p w:rsidR="00000000" w:rsidRDefault="00000000">
            <w:pPr>
              <w:pStyle w:val="ac"/>
              <w:tabs>
                <w:tab w:val="decimal" w:pos="1324"/>
              </w:tabs>
            </w:pPr>
            <w:r>
              <w:t>280.7</w:t>
            </w:r>
          </w:p>
        </w:tc>
      </w:tr>
      <w:tr w:rsidR="00000000">
        <w:tblPrEx>
          <w:tblCellMar>
            <w:top w:w="0" w:type="dxa"/>
            <w:bottom w:w="0" w:type="dxa"/>
          </w:tblCellMar>
        </w:tblPrEx>
        <w:tc>
          <w:tcPr>
            <w:tcW w:w="789" w:type="pct"/>
            <w:tcBorders>
              <w:top w:val="nil"/>
              <w:bottom w:val="nil"/>
            </w:tcBorders>
          </w:tcPr>
          <w:p w:rsidR="00000000" w:rsidRDefault="00000000">
            <w:pPr>
              <w:pStyle w:val="ac"/>
            </w:pPr>
            <w:r>
              <w:t>1997</w:t>
            </w:r>
          </w:p>
        </w:tc>
        <w:tc>
          <w:tcPr>
            <w:tcW w:w="1404" w:type="pct"/>
            <w:tcBorders>
              <w:top w:val="nil"/>
              <w:bottom w:val="nil"/>
            </w:tcBorders>
          </w:tcPr>
          <w:p w:rsidR="00000000" w:rsidRDefault="00000000">
            <w:pPr>
              <w:pStyle w:val="ac"/>
              <w:tabs>
                <w:tab w:val="decimal" w:pos="1324"/>
              </w:tabs>
            </w:pPr>
            <w:r>
              <w:t>131.8</w:t>
            </w:r>
          </w:p>
        </w:tc>
        <w:tc>
          <w:tcPr>
            <w:tcW w:w="1404" w:type="pct"/>
            <w:tcBorders>
              <w:top w:val="nil"/>
              <w:bottom w:val="nil"/>
            </w:tcBorders>
          </w:tcPr>
          <w:p w:rsidR="00000000" w:rsidRDefault="00000000">
            <w:pPr>
              <w:pStyle w:val="ac"/>
              <w:tabs>
                <w:tab w:val="decimal" w:pos="1324"/>
              </w:tabs>
            </w:pPr>
            <w:r>
              <w:t>0.225</w:t>
            </w:r>
          </w:p>
        </w:tc>
        <w:tc>
          <w:tcPr>
            <w:tcW w:w="1403" w:type="pct"/>
            <w:tcBorders>
              <w:top w:val="nil"/>
              <w:bottom w:val="nil"/>
            </w:tcBorders>
          </w:tcPr>
          <w:p w:rsidR="00000000" w:rsidRDefault="00000000">
            <w:pPr>
              <w:pStyle w:val="ac"/>
              <w:tabs>
                <w:tab w:val="decimal" w:pos="1324"/>
              </w:tabs>
            </w:pPr>
            <w:r>
              <w:t>300.8</w:t>
            </w:r>
          </w:p>
        </w:tc>
      </w:tr>
      <w:tr w:rsidR="00000000">
        <w:tblPrEx>
          <w:tblCellMar>
            <w:top w:w="0" w:type="dxa"/>
            <w:bottom w:w="0" w:type="dxa"/>
          </w:tblCellMar>
        </w:tblPrEx>
        <w:tc>
          <w:tcPr>
            <w:tcW w:w="789" w:type="pct"/>
            <w:tcBorders>
              <w:top w:val="nil"/>
              <w:bottom w:val="nil"/>
            </w:tcBorders>
          </w:tcPr>
          <w:p w:rsidR="00000000" w:rsidRDefault="00000000">
            <w:pPr>
              <w:pStyle w:val="ac"/>
            </w:pPr>
            <w:r>
              <w:t>1998</w:t>
            </w:r>
          </w:p>
        </w:tc>
        <w:tc>
          <w:tcPr>
            <w:tcW w:w="1404" w:type="pct"/>
            <w:tcBorders>
              <w:top w:val="nil"/>
              <w:bottom w:val="nil"/>
            </w:tcBorders>
          </w:tcPr>
          <w:p w:rsidR="00000000" w:rsidRDefault="00000000">
            <w:pPr>
              <w:pStyle w:val="ac"/>
              <w:tabs>
                <w:tab w:val="decimal" w:pos="1324"/>
              </w:tabs>
            </w:pPr>
            <w:r>
              <w:t>135.4</w:t>
            </w:r>
          </w:p>
        </w:tc>
        <w:tc>
          <w:tcPr>
            <w:tcW w:w="1404" w:type="pct"/>
            <w:tcBorders>
              <w:top w:val="nil"/>
              <w:bottom w:val="nil"/>
            </w:tcBorders>
          </w:tcPr>
          <w:p w:rsidR="00000000" w:rsidRDefault="00000000">
            <w:pPr>
              <w:pStyle w:val="ac"/>
              <w:tabs>
                <w:tab w:val="decimal" w:pos="1324"/>
              </w:tabs>
            </w:pPr>
            <w:r>
              <w:t>0.227</w:t>
            </w:r>
          </w:p>
        </w:tc>
        <w:tc>
          <w:tcPr>
            <w:tcW w:w="1403" w:type="pct"/>
            <w:tcBorders>
              <w:top w:val="nil"/>
              <w:bottom w:val="nil"/>
            </w:tcBorders>
          </w:tcPr>
          <w:p w:rsidR="00000000" w:rsidRDefault="00000000">
            <w:pPr>
              <w:pStyle w:val="ac"/>
              <w:tabs>
                <w:tab w:val="decimal" w:pos="1324"/>
              </w:tabs>
            </w:pPr>
            <w:r>
              <w:t>315.6</w:t>
            </w:r>
          </w:p>
        </w:tc>
      </w:tr>
      <w:tr w:rsidR="00000000">
        <w:tblPrEx>
          <w:tblCellMar>
            <w:top w:w="0" w:type="dxa"/>
            <w:bottom w:w="0" w:type="dxa"/>
          </w:tblCellMar>
        </w:tblPrEx>
        <w:tc>
          <w:tcPr>
            <w:tcW w:w="789" w:type="pct"/>
            <w:tcBorders>
              <w:top w:val="nil"/>
              <w:bottom w:val="nil"/>
            </w:tcBorders>
          </w:tcPr>
          <w:p w:rsidR="00000000" w:rsidRDefault="00000000">
            <w:pPr>
              <w:pStyle w:val="ac"/>
            </w:pPr>
            <w:r>
              <w:t>1999</w:t>
            </w:r>
          </w:p>
        </w:tc>
        <w:tc>
          <w:tcPr>
            <w:tcW w:w="1404" w:type="pct"/>
            <w:tcBorders>
              <w:top w:val="nil"/>
              <w:bottom w:val="nil"/>
            </w:tcBorders>
          </w:tcPr>
          <w:p w:rsidR="00000000" w:rsidRDefault="00000000">
            <w:pPr>
              <w:pStyle w:val="ac"/>
              <w:tabs>
                <w:tab w:val="decimal" w:pos="1324"/>
              </w:tabs>
            </w:pPr>
            <w:r>
              <w:t>140.2</w:t>
            </w:r>
          </w:p>
        </w:tc>
        <w:tc>
          <w:tcPr>
            <w:tcW w:w="1404" w:type="pct"/>
            <w:tcBorders>
              <w:top w:val="nil"/>
              <w:bottom w:val="nil"/>
            </w:tcBorders>
          </w:tcPr>
          <w:p w:rsidR="00000000" w:rsidRDefault="00000000">
            <w:pPr>
              <w:pStyle w:val="ac"/>
              <w:tabs>
                <w:tab w:val="decimal" w:pos="1324"/>
              </w:tabs>
            </w:pPr>
            <w:r>
              <w:t>0.230</w:t>
            </w:r>
          </w:p>
        </w:tc>
        <w:tc>
          <w:tcPr>
            <w:tcW w:w="1403" w:type="pct"/>
            <w:tcBorders>
              <w:top w:val="nil"/>
              <w:bottom w:val="nil"/>
            </w:tcBorders>
          </w:tcPr>
          <w:p w:rsidR="00000000" w:rsidRDefault="00000000">
            <w:pPr>
              <w:pStyle w:val="ac"/>
              <w:tabs>
                <w:tab w:val="decimal" w:pos="1324"/>
              </w:tabs>
            </w:pPr>
            <w:r>
              <w:t>325.1</w:t>
            </w:r>
          </w:p>
        </w:tc>
      </w:tr>
      <w:tr w:rsidR="00000000">
        <w:tblPrEx>
          <w:tblCellMar>
            <w:top w:w="0" w:type="dxa"/>
            <w:bottom w:w="0" w:type="dxa"/>
          </w:tblCellMar>
        </w:tblPrEx>
        <w:tc>
          <w:tcPr>
            <w:tcW w:w="789" w:type="pct"/>
            <w:tcBorders>
              <w:top w:val="nil"/>
              <w:bottom w:val="nil"/>
            </w:tcBorders>
          </w:tcPr>
          <w:p w:rsidR="00000000" w:rsidRDefault="00000000">
            <w:pPr>
              <w:pStyle w:val="ac"/>
            </w:pPr>
            <w:r>
              <w:t>2000</w:t>
            </w:r>
          </w:p>
        </w:tc>
        <w:tc>
          <w:tcPr>
            <w:tcW w:w="1404" w:type="pct"/>
            <w:tcBorders>
              <w:top w:val="nil"/>
              <w:bottom w:val="nil"/>
            </w:tcBorders>
          </w:tcPr>
          <w:p w:rsidR="00000000" w:rsidRDefault="00000000">
            <w:pPr>
              <w:pStyle w:val="ac"/>
              <w:tabs>
                <w:tab w:val="decimal" w:pos="1324"/>
              </w:tabs>
            </w:pPr>
            <w:r>
              <w:t>149.9</w:t>
            </w:r>
          </w:p>
        </w:tc>
        <w:tc>
          <w:tcPr>
            <w:tcW w:w="1404" w:type="pct"/>
            <w:tcBorders>
              <w:top w:val="nil"/>
              <w:bottom w:val="nil"/>
            </w:tcBorders>
          </w:tcPr>
          <w:p w:rsidR="00000000" w:rsidRDefault="00000000">
            <w:pPr>
              <w:pStyle w:val="ac"/>
              <w:tabs>
                <w:tab w:val="decimal" w:pos="1324"/>
              </w:tabs>
            </w:pPr>
            <w:r>
              <w:t>0.244</w:t>
            </w:r>
          </w:p>
        </w:tc>
        <w:tc>
          <w:tcPr>
            <w:tcW w:w="1403" w:type="pct"/>
            <w:tcBorders>
              <w:top w:val="nil"/>
              <w:bottom w:val="nil"/>
            </w:tcBorders>
          </w:tcPr>
          <w:p w:rsidR="00000000" w:rsidRDefault="00000000">
            <w:pPr>
              <w:pStyle w:val="ac"/>
              <w:tabs>
                <w:tab w:val="decimal" w:pos="1324"/>
              </w:tabs>
            </w:pPr>
            <w:r>
              <w:t>381.0</w:t>
            </w:r>
          </w:p>
        </w:tc>
      </w:tr>
      <w:tr w:rsidR="00000000">
        <w:tblPrEx>
          <w:tblCellMar>
            <w:top w:w="0" w:type="dxa"/>
            <w:bottom w:w="0" w:type="dxa"/>
          </w:tblCellMar>
        </w:tblPrEx>
        <w:tc>
          <w:tcPr>
            <w:tcW w:w="789" w:type="pct"/>
            <w:tcBorders>
              <w:top w:val="nil"/>
              <w:bottom w:val="nil"/>
            </w:tcBorders>
          </w:tcPr>
          <w:p w:rsidR="00000000" w:rsidRDefault="00000000">
            <w:pPr>
              <w:pStyle w:val="ac"/>
            </w:pPr>
            <w:r>
              <w:t>2001</w:t>
            </w:r>
          </w:p>
        </w:tc>
        <w:tc>
          <w:tcPr>
            <w:tcW w:w="1404" w:type="pct"/>
            <w:tcBorders>
              <w:top w:val="nil"/>
              <w:bottom w:val="nil"/>
            </w:tcBorders>
          </w:tcPr>
          <w:p w:rsidR="00000000" w:rsidRDefault="00000000">
            <w:pPr>
              <w:pStyle w:val="ac"/>
              <w:tabs>
                <w:tab w:val="decimal" w:pos="1324"/>
              </w:tabs>
            </w:pPr>
            <w:r>
              <w:t>154.7</w:t>
            </w:r>
          </w:p>
        </w:tc>
        <w:tc>
          <w:tcPr>
            <w:tcW w:w="1404" w:type="pct"/>
            <w:tcBorders>
              <w:top w:val="nil"/>
              <w:bottom w:val="nil"/>
            </w:tcBorders>
          </w:tcPr>
          <w:p w:rsidR="00000000" w:rsidRDefault="00000000">
            <w:pPr>
              <w:pStyle w:val="ac"/>
              <w:tabs>
                <w:tab w:val="decimal" w:pos="1324"/>
              </w:tabs>
            </w:pPr>
            <w:r>
              <w:t>0.239</w:t>
            </w:r>
          </w:p>
        </w:tc>
        <w:tc>
          <w:tcPr>
            <w:tcW w:w="1403" w:type="pct"/>
            <w:tcBorders>
              <w:top w:val="nil"/>
              <w:bottom w:val="nil"/>
            </w:tcBorders>
          </w:tcPr>
          <w:p w:rsidR="00000000" w:rsidRDefault="00000000">
            <w:pPr>
              <w:pStyle w:val="ac"/>
              <w:tabs>
                <w:tab w:val="decimal" w:pos="1324"/>
              </w:tabs>
            </w:pPr>
            <w:r>
              <w:t>375.8</w:t>
            </w:r>
          </w:p>
        </w:tc>
      </w:tr>
      <w:tr w:rsidR="00000000">
        <w:tblPrEx>
          <w:tblCellMar>
            <w:top w:w="0" w:type="dxa"/>
            <w:bottom w:w="0" w:type="dxa"/>
          </w:tblCellMar>
        </w:tblPrEx>
        <w:tc>
          <w:tcPr>
            <w:tcW w:w="789" w:type="pct"/>
            <w:tcBorders>
              <w:top w:val="nil"/>
              <w:bottom w:val="nil"/>
            </w:tcBorders>
          </w:tcPr>
          <w:p w:rsidR="00000000" w:rsidRDefault="00000000">
            <w:pPr>
              <w:pStyle w:val="ac"/>
            </w:pPr>
            <w:r>
              <w:t>2002</w:t>
            </w:r>
          </w:p>
        </w:tc>
        <w:tc>
          <w:tcPr>
            <w:tcW w:w="1404" w:type="pct"/>
            <w:tcBorders>
              <w:top w:val="nil"/>
              <w:bottom w:val="nil"/>
            </w:tcBorders>
          </w:tcPr>
          <w:p w:rsidR="00000000" w:rsidRDefault="00000000">
            <w:pPr>
              <w:pStyle w:val="ac"/>
              <w:tabs>
                <w:tab w:val="decimal" w:pos="1324"/>
              </w:tabs>
            </w:pPr>
            <w:r>
              <w:t>158.3</w:t>
            </w:r>
          </w:p>
        </w:tc>
        <w:tc>
          <w:tcPr>
            <w:tcW w:w="1404" w:type="pct"/>
            <w:tcBorders>
              <w:top w:val="nil"/>
              <w:bottom w:val="nil"/>
            </w:tcBorders>
          </w:tcPr>
          <w:p w:rsidR="00000000" w:rsidRDefault="00000000">
            <w:pPr>
              <w:pStyle w:val="ac"/>
              <w:tabs>
                <w:tab w:val="decimal" w:pos="1324"/>
              </w:tabs>
            </w:pPr>
            <w:r>
              <w:t>0.239</w:t>
            </w:r>
          </w:p>
        </w:tc>
        <w:tc>
          <w:tcPr>
            <w:tcW w:w="1403" w:type="pct"/>
            <w:tcBorders>
              <w:top w:val="nil"/>
              <w:bottom w:val="nil"/>
            </w:tcBorders>
          </w:tcPr>
          <w:p w:rsidR="00000000" w:rsidRDefault="00000000">
            <w:pPr>
              <w:pStyle w:val="ac"/>
              <w:tabs>
                <w:tab w:val="decimal" w:pos="1324"/>
              </w:tabs>
            </w:pPr>
            <w:r>
              <w:t>376.1</w:t>
            </w:r>
          </w:p>
        </w:tc>
      </w:tr>
      <w:tr w:rsidR="00000000">
        <w:tblPrEx>
          <w:tblCellMar>
            <w:top w:w="0" w:type="dxa"/>
            <w:bottom w:w="0" w:type="dxa"/>
          </w:tblCellMar>
        </w:tblPrEx>
        <w:tc>
          <w:tcPr>
            <w:tcW w:w="789" w:type="pct"/>
            <w:tcBorders>
              <w:top w:val="nil"/>
            </w:tcBorders>
          </w:tcPr>
          <w:p w:rsidR="00000000" w:rsidRDefault="00000000">
            <w:pPr>
              <w:pStyle w:val="ac"/>
            </w:pPr>
            <w:r>
              <w:t>2003</w:t>
            </w:r>
          </w:p>
        </w:tc>
        <w:tc>
          <w:tcPr>
            <w:tcW w:w="1404" w:type="pct"/>
            <w:tcBorders>
              <w:top w:val="nil"/>
            </w:tcBorders>
          </w:tcPr>
          <w:p w:rsidR="00000000" w:rsidRDefault="00000000">
            <w:pPr>
              <w:pStyle w:val="ac"/>
              <w:tabs>
                <w:tab w:val="decimal" w:pos="1324"/>
              </w:tabs>
            </w:pPr>
            <w:r>
              <w:t>158.6</w:t>
            </w:r>
          </w:p>
        </w:tc>
        <w:tc>
          <w:tcPr>
            <w:tcW w:w="1404" w:type="pct"/>
            <w:tcBorders>
              <w:top w:val="nil"/>
            </w:tcBorders>
          </w:tcPr>
          <w:p w:rsidR="00000000" w:rsidRDefault="00000000">
            <w:pPr>
              <w:pStyle w:val="ac"/>
              <w:tabs>
                <w:tab w:val="decimal" w:pos="1324"/>
              </w:tabs>
            </w:pPr>
            <w:r>
              <w:t>0.234</w:t>
            </w:r>
          </w:p>
        </w:tc>
        <w:tc>
          <w:tcPr>
            <w:tcW w:w="1403" w:type="pct"/>
            <w:tcBorders>
              <w:top w:val="nil"/>
            </w:tcBorders>
          </w:tcPr>
          <w:p w:rsidR="00000000" w:rsidRDefault="00000000">
            <w:pPr>
              <w:pStyle w:val="ac"/>
              <w:tabs>
                <w:tab w:val="decimal" w:pos="1324"/>
              </w:tabs>
            </w:pPr>
            <w:r>
              <w:t>368.2</w:t>
            </w:r>
          </w:p>
        </w:tc>
      </w:tr>
    </w:tbl>
    <w:p w:rsidR="00000000" w:rsidRDefault="00000000">
      <w:pPr>
        <w:spacing w:before="180"/>
        <w:ind w:left="510"/>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：瑞典统计局</w:t>
      </w:r>
    </w:p>
    <w:p w:rsidR="00000000" w:rsidRDefault="00000000">
      <w:pPr>
        <w:rPr>
          <w:rFonts w:hint="eastAsia"/>
          <w:snapToGrid/>
        </w:rPr>
      </w:pPr>
    </w:p>
    <w:p w:rsidR="00000000" w:rsidRDefault="00000000">
      <w:pPr>
        <w:rPr>
          <w:rFonts w:hint="eastAsia"/>
          <w:snapToGrid/>
        </w:rPr>
      </w:pPr>
      <w:r>
        <w:rPr>
          <w:rFonts w:hint="eastAsia"/>
          <w:snapToGrid/>
        </w:rPr>
        <w:tab/>
        <w:t xml:space="preserve">299.  </w:t>
      </w:r>
      <w:r>
        <w:rPr>
          <w:rFonts w:hint="eastAsia"/>
          <w:snapToGrid/>
        </w:rPr>
        <w:t>在有子女的家庭中，贫困的情况减少了。按照国家保健和福利委员会构建的绝对贫困线</w:t>
      </w:r>
      <w:r>
        <w:rPr>
          <w:rFonts w:hint="eastAsia"/>
          <w:snapToGrid/>
        </w:rPr>
        <w:t>(</w:t>
      </w:r>
      <w:r>
        <w:rPr>
          <w:rFonts w:hint="eastAsia"/>
          <w:snapToGrid/>
        </w:rPr>
        <w:t>恒常购买力</w:t>
      </w:r>
      <w:r>
        <w:rPr>
          <w:rFonts w:hint="eastAsia"/>
          <w:snapToGrid/>
        </w:rPr>
        <w:t>)</w:t>
      </w:r>
      <w:r>
        <w:rPr>
          <w:rFonts w:hint="eastAsia"/>
          <w:snapToGrid/>
        </w:rPr>
        <w:t>，在</w:t>
      </w:r>
      <w:r>
        <w:rPr>
          <w:rFonts w:hint="eastAsia"/>
          <w:snapToGrid/>
        </w:rPr>
        <w:t>1997</w:t>
      </w:r>
      <w:r>
        <w:rPr>
          <w:rFonts w:hint="eastAsia"/>
          <w:snapToGrid/>
        </w:rPr>
        <w:t>年，全部有子女的家庭中贫困家庭的数量是</w:t>
      </w:r>
      <w:r>
        <w:rPr>
          <w:rFonts w:hint="eastAsia"/>
          <w:snapToGrid/>
        </w:rPr>
        <w:t>15%</w:t>
      </w:r>
      <w:r>
        <w:rPr>
          <w:rFonts w:hint="eastAsia"/>
          <w:snapToGrid/>
        </w:rPr>
        <w:t>略多一点。</w:t>
      </w:r>
      <w:r>
        <w:rPr>
          <w:rFonts w:hint="eastAsia"/>
          <w:snapToGrid/>
        </w:rPr>
        <w:t>(</w:t>
      </w:r>
      <w:r>
        <w:rPr>
          <w:rFonts w:hint="eastAsia"/>
          <w:snapToGrid/>
        </w:rPr>
        <w:t>参见下文《瑞典的贫困统计》项下</w:t>
      </w:r>
      <w:r>
        <w:rPr>
          <w:rFonts w:hint="eastAsia"/>
          <w:snapToGrid/>
        </w:rPr>
        <w:t>)</w:t>
      </w:r>
      <w:r>
        <w:rPr>
          <w:rFonts w:hint="eastAsia"/>
          <w:snapToGrid/>
        </w:rPr>
        <w:t>。自兹之后，百分比减少了一半；充其量全部儿童中只有</w:t>
      </w:r>
      <w:r>
        <w:rPr>
          <w:rFonts w:hint="eastAsia"/>
          <w:snapToGrid/>
        </w:rPr>
        <w:t>7%</w:t>
      </w:r>
      <w:r>
        <w:rPr>
          <w:rFonts w:hint="eastAsia"/>
          <w:snapToGrid/>
        </w:rPr>
        <w:t>生活在贫困家庭。儿童和有子女的家庭受到</w:t>
      </w:r>
      <w:r>
        <w:rPr>
          <w:rFonts w:hint="eastAsia"/>
          <w:snapToGrid/>
        </w:rPr>
        <w:t>20</w:t>
      </w:r>
      <w:r>
        <w:rPr>
          <w:rFonts w:hint="eastAsia"/>
          <w:snapToGrid/>
        </w:rPr>
        <w:t>世纪</w:t>
      </w:r>
      <w:r>
        <w:rPr>
          <w:rFonts w:hint="eastAsia"/>
          <w:snapToGrid/>
        </w:rPr>
        <w:t>90</w:t>
      </w:r>
      <w:r>
        <w:rPr>
          <w:rFonts w:hint="eastAsia"/>
          <w:snapToGrid/>
        </w:rPr>
        <w:t>年代经济危机的打击较之其他群体沉重。尾随着经济的复苏，出台了一系列改革以改善儿童及其家庭的境况。单亲儿童、多子女家庭中的儿童、父母是外国出生的儿童以及其父母只有义务教育学历的儿童具有生活在经济弱势地位的家庭的巨大风险。</w:t>
      </w:r>
    </w:p>
    <w:p w:rsidR="00000000" w:rsidRDefault="00000000">
      <w:pPr>
        <w:rPr>
          <w:rFonts w:hint="eastAsia"/>
          <w:snapToGrid/>
        </w:rPr>
      </w:pPr>
      <w:r>
        <w:rPr>
          <w:rFonts w:hint="eastAsia"/>
          <w:snapToGrid/>
        </w:rPr>
        <w:tab/>
        <w:t>300.  2002</w:t>
      </w:r>
      <w:r>
        <w:rPr>
          <w:rFonts w:hint="eastAsia"/>
          <w:snapToGrid/>
        </w:rPr>
        <w:t>年，实施了最高育儿费用的规定，使得有两名子女的家庭的学前费用平均每年减少</w:t>
      </w:r>
      <w:r>
        <w:rPr>
          <w:rFonts w:hint="eastAsia"/>
          <w:snapToGrid/>
        </w:rPr>
        <w:t>12,000</w:t>
      </w:r>
      <w:r>
        <w:rPr>
          <w:rFonts w:hint="eastAsia"/>
          <w:snapToGrid/>
        </w:rPr>
        <w:t>瑞典克朗。</w:t>
      </w:r>
    </w:p>
    <w:p w:rsidR="00000000" w:rsidRDefault="00000000">
      <w:pPr>
        <w:rPr>
          <w:rFonts w:hint="eastAsia"/>
          <w:snapToGrid/>
        </w:rPr>
      </w:pPr>
      <w:r>
        <w:rPr>
          <w:rFonts w:hint="eastAsia"/>
          <w:snapToGrid/>
        </w:rPr>
        <w:tab/>
        <w:t xml:space="preserve">301.  </w:t>
      </w:r>
      <w:r>
        <w:rPr>
          <w:rFonts w:hint="eastAsia"/>
          <w:snapToGrid/>
        </w:rPr>
        <w:t>育儿津贴从</w:t>
      </w:r>
      <w:r>
        <w:rPr>
          <w:rFonts w:hint="eastAsia"/>
          <w:snapToGrid/>
        </w:rPr>
        <w:t>1994</w:t>
      </w:r>
      <w:r>
        <w:rPr>
          <w:rFonts w:hint="eastAsia"/>
          <w:snapToGrid/>
        </w:rPr>
        <w:t>年的</w:t>
      </w:r>
      <w:r>
        <w:rPr>
          <w:rFonts w:hint="eastAsia"/>
          <w:snapToGrid/>
        </w:rPr>
        <w:t>750</w:t>
      </w:r>
      <w:r>
        <w:rPr>
          <w:rFonts w:hint="eastAsia"/>
          <w:snapToGrid/>
        </w:rPr>
        <w:t>瑞典克朗逐步提高到</w:t>
      </w:r>
      <w:r>
        <w:rPr>
          <w:rFonts w:hint="eastAsia"/>
          <w:snapToGrid/>
        </w:rPr>
        <w:t>1,050</w:t>
      </w:r>
      <w:r>
        <w:rPr>
          <w:rFonts w:hint="eastAsia"/>
          <w:snapToGrid/>
        </w:rPr>
        <w:t>瑞典克朗。目前的育儿津贴处于开始以来最高的名义水平和实际水平。发给更多的子女的补充津贴的数额也增加了。从</w:t>
      </w:r>
      <w:r>
        <w:rPr>
          <w:rFonts w:hint="eastAsia"/>
          <w:snapToGrid/>
        </w:rPr>
        <w:t>2005</w:t>
      </w:r>
      <w:r>
        <w:rPr>
          <w:rFonts w:hint="eastAsia"/>
          <w:snapToGrid/>
        </w:rPr>
        <w:t>年</w:t>
      </w:r>
      <w:r>
        <w:rPr>
          <w:rFonts w:hint="eastAsia"/>
          <w:snapToGrid/>
        </w:rPr>
        <w:t>10</w:t>
      </w:r>
      <w:r>
        <w:rPr>
          <w:rFonts w:hint="eastAsia"/>
          <w:snapToGrid/>
        </w:rPr>
        <w:t>月</w:t>
      </w:r>
      <w:r>
        <w:rPr>
          <w:rFonts w:hint="eastAsia"/>
          <w:snapToGrid/>
        </w:rPr>
        <w:t>1</w:t>
      </w:r>
      <w:r>
        <w:rPr>
          <w:rFonts w:hint="eastAsia"/>
          <w:snapToGrid/>
        </w:rPr>
        <w:t>日起，执行发给一个家庭的第二名子女的补充津贴，从</w:t>
      </w:r>
      <w:r>
        <w:rPr>
          <w:rFonts w:hint="eastAsia"/>
          <w:snapToGrid/>
        </w:rPr>
        <w:t>2006</w:t>
      </w:r>
      <w:r>
        <w:rPr>
          <w:rFonts w:hint="eastAsia"/>
          <w:snapToGrid/>
        </w:rPr>
        <w:t>年起，赡养津贴也增加了。</w:t>
      </w:r>
    </w:p>
    <w:p w:rsidR="00000000" w:rsidRDefault="00000000">
      <w:pPr>
        <w:rPr>
          <w:rFonts w:hint="eastAsia"/>
          <w:snapToGrid/>
        </w:rPr>
      </w:pPr>
      <w:r>
        <w:rPr>
          <w:rFonts w:hint="eastAsia"/>
          <w:snapToGrid/>
        </w:rPr>
        <w:tab/>
        <w:t xml:space="preserve">302.  </w:t>
      </w:r>
      <w:r>
        <w:rPr>
          <w:rFonts w:hint="eastAsia"/>
          <w:snapToGrid/>
        </w:rPr>
        <w:t>父母假期保险期在</w:t>
      </w:r>
      <w:r>
        <w:rPr>
          <w:rFonts w:hint="eastAsia"/>
          <w:snapToGrid/>
        </w:rPr>
        <w:t>2002</w:t>
      </w:r>
      <w:r>
        <w:rPr>
          <w:rFonts w:hint="eastAsia"/>
          <w:snapToGrid/>
        </w:rPr>
        <w:t>年延长到</w:t>
      </w:r>
      <w:r>
        <w:rPr>
          <w:rFonts w:hint="eastAsia"/>
          <w:snapToGrid/>
        </w:rPr>
        <w:t>480</w:t>
      </w:r>
      <w:r>
        <w:rPr>
          <w:rFonts w:hint="eastAsia"/>
          <w:snapToGrid/>
        </w:rPr>
        <w:t>天。在这些假期中，为父母每一方保留了</w:t>
      </w:r>
      <w:r>
        <w:rPr>
          <w:snapToGrid/>
        </w:rPr>
        <w:t>60</w:t>
      </w:r>
      <w:r>
        <w:rPr>
          <w:rFonts w:hint="eastAsia"/>
          <w:snapToGrid/>
        </w:rPr>
        <w:t>天，不得转让给他人。从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日起，父母津贴的最高数额提高到</w:t>
      </w:r>
      <w:r>
        <w:rPr>
          <w:rFonts w:hint="eastAsia"/>
          <w:snapToGrid/>
        </w:rPr>
        <w:t>10</w:t>
      </w:r>
      <w:r>
        <w:rPr>
          <w:rFonts w:hint="eastAsia"/>
          <w:snapToGrid/>
        </w:rPr>
        <w:t>个物价基数，相当于每月大约</w:t>
      </w:r>
      <w:r>
        <w:rPr>
          <w:rFonts w:hint="eastAsia"/>
          <w:snapToGrid/>
        </w:rPr>
        <w:t>33,000</w:t>
      </w:r>
      <w:r>
        <w:rPr>
          <w:rFonts w:hint="eastAsia"/>
          <w:snapToGrid/>
        </w:rPr>
        <w:t>瑞典克朗。这次增加也适用于临时父母津贴和现金怀孕津贴。在此同时，父母津贴的最低数额也从每天</w:t>
      </w:r>
      <w:r>
        <w:rPr>
          <w:rFonts w:hint="eastAsia"/>
          <w:snapToGrid/>
        </w:rPr>
        <w:t>60</w:t>
      </w:r>
      <w:r>
        <w:rPr>
          <w:rFonts w:hint="eastAsia"/>
          <w:snapToGrid/>
        </w:rPr>
        <w:t>瑞典克朗增加到</w:t>
      </w:r>
      <w:r>
        <w:rPr>
          <w:rFonts w:hint="eastAsia"/>
          <w:snapToGrid/>
        </w:rPr>
        <w:t>180</w:t>
      </w:r>
      <w:r>
        <w:rPr>
          <w:rFonts w:hint="eastAsia"/>
          <w:snapToGrid/>
        </w:rPr>
        <w:t>瑞典克朗。为了照顾病儿的目的可以支付无限日子的临时父母津贴的选择也扩大了。</w:t>
      </w:r>
    </w:p>
    <w:p w:rsidR="00000000" w:rsidRDefault="00000000">
      <w:pPr>
        <w:spacing w:after="240"/>
        <w:rPr>
          <w:rFonts w:hint="eastAsia"/>
          <w:snapToGrid/>
        </w:rPr>
      </w:pPr>
      <w:r>
        <w:rPr>
          <w:rFonts w:hint="eastAsia"/>
          <w:snapToGrid/>
        </w:rPr>
        <w:tab/>
        <w:t xml:space="preserve">303.  </w:t>
      </w:r>
      <w:r>
        <w:rPr>
          <w:rFonts w:hint="eastAsia"/>
          <w:snapToGrid/>
        </w:rPr>
        <w:t>这些改革改善了有子女家庭的经济状况。</w:t>
      </w:r>
      <w:r>
        <w:rPr>
          <w:rFonts w:hint="eastAsia"/>
          <w:snapToGrid/>
        </w:rPr>
        <w:t>1995</w:t>
      </w:r>
      <w:r>
        <w:rPr>
          <w:rFonts w:hint="eastAsia"/>
          <w:snapToGrid/>
        </w:rPr>
        <w:t>年以来，与子女一起住在家里的夫妻的经济水准改善了</w:t>
      </w:r>
      <w:r>
        <w:rPr>
          <w:rFonts w:hint="eastAsia"/>
          <w:snapToGrid/>
        </w:rPr>
        <w:t>30%</w:t>
      </w:r>
      <w:r>
        <w:rPr>
          <w:rFonts w:hint="eastAsia"/>
          <w:snapToGrid/>
        </w:rPr>
        <w:t>。</w:t>
      </w:r>
    </w:p>
    <w:p w:rsidR="00000000" w:rsidRDefault="00000000">
      <w:pPr>
        <w:pStyle w:val="Heading4"/>
        <w:rPr>
          <w:rFonts w:hint="eastAsia"/>
        </w:rPr>
      </w:pPr>
      <w:r>
        <w:rPr>
          <w:rFonts w:hint="eastAsia"/>
        </w:rPr>
        <w:t>老年人的生活水准和生活状况</w:t>
      </w:r>
    </w:p>
    <w:p w:rsidR="00000000" w:rsidRDefault="00000000">
      <w:pPr>
        <w:rPr>
          <w:rFonts w:hint="eastAsia"/>
          <w:snapToGrid/>
        </w:rPr>
      </w:pPr>
      <w:r>
        <w:rPr>
          <w:rFonts w:hint="eastAsia"/>
          <w:snapToGrid/>
        </w:rPr>
        <w:tab/>
        <w:t>304.  2003</w:t>
      </w:r>
      <w:r>
        <w:rPr>
          <w:rFonts w:hint="eastAsia"/>
          <w:snapToGrid/>
        </w:rPr>
        <w:t>年，在老年人中间贫困蔓延的现象少于</w:t>
      </w:r>
      <w:r>
        <w:rPr>
          <w:rFonts w:hint="eastAsia"/>
          <w:snapToGrid/>
        </w:rPr>
        <w:t>20</w:t>
      </w:r>
      <w:r>
        <w:rPr>
          <w:rFonts w:hint="eastAsia"/>
          <w:snapToGrid/>
        </w:rPr>
        <w:t>世纪</w:t>
      </w:r>
      <w:r>
        <w:rPr>
          <w:rFonts w:hint="eastAsia"/>
          <w:snapToGrid/>
        </w:rPr>
        <w:t>90</w:t>
      </w:r>
      <w:r>
        <w:rPr>
          <w:rFonts w:hint="eastAsia"/>
          <w:snapToGrid/>
        </w:rPr>
        <w:t>年代，不过许多老年人的经济来源有限。然而，</w:t>
      </w:r>
      <w:r>
        <w:rPr>
          <w:rFonts w:hint="eastAsia"/>
          <w:snapToGrid/>
        </w:rPr>
        <w:t>65</w:t>
      </w:r>
      <w:r>
        <w:rPr>
          <w:rFonts w:hint="eastAsia"/>
          <w:snapToGrid/>
        </w:rPr>
        <w:t>岁以上的年龄段的人与许多青年人不同，是属于那些在养老金不敷使用时常常有可支配的金融资产的人之列的。但是应当记住，老年人的净资产在很大程度上是由住房权益所组成。</w:t>
      </w:r>
    </w:p>
    <w:p w:rsidR="00000000" w:rsidRDefault="00000000">
      <w:pPr>
        <w:rPr>
          <w:rFonts w:hint="eastAsia"/>
          <w:snapToGrid/>
        </w:rPr>
      </w:pPr>
      <w:r>
        <w:rPr>
          <w:rFonts w:hint="eastAsia"/>
          <w:snapToGrid/>
        </w:rPr>
        <w:tab/>
        <w:t xml:space="preserve">305.  </w:t>
      </w:r>
      <w:r>
        <w:rPr>
          <w:rFonts w:hint="eastAsia"/>
          <w:snapToGrid/>
        </w:rPr>
        <w:t>瑞典统计局</w:t>
      </w:r>
      <w:r>
        <w:rPr>
          <w:rFonts w:hint="eastAsia"/>
          <w:snapToGrid/>
        </w:rPr>
        <w:t>2002</w:t>
      </w:r>
      <w:r>
        <w:rPr>
          <w:rFonts w:hint="eastAsia"/>
          <w:snapToGrid/>
        </w:rPr>
        <w:t>年的</w:t>
      </w:r>
      <w:r>
        <w:rPr>
          <w:rFonts w:hint="eastAsia"/>
          <w:snapToGrid/>
        </w:rPr>
        <w:t>(</w:t>
      </w:r>
      <w:r>
        <w:rPr>
          <w:rFonts w:hint="eastAsia"/>
          <w:snapToGrid/>
        </w:rPr>
        <w:t>家庭财务</w:t>
      </w:r>
      <w:r>
        <w:rPr>
          <w:rFonts w:hint="eastAsia"/>
          <w:snapToGrid/>
        </w:rPr>
        <w:t>)</w:t>
      </w:r>
      <w:r>
        <w:rPr>
          <w:rFonts w:hint="eastAsia"/>
          <w:snapToGrid/>
        </w:rPr>
        <w:t>统计数字表明，</w:t>
      </w:r>
      <w:r>
        <w:rPr>
          <w:rFonts w:hint="eastAsia"/>
          <w:snapToGrid/>
        </w:rPr>
        <w:t>65</w:t>
      </w:r>
      <w:r>
        <w:rPr>
          <w:rFonts w:hint="eastAsia"/>
          <w:snapToGrid/>
        </w:rPr>
        <w:t>岁以上的妇女的可支配收入的中位数，单身妇女约为</w:t>
      </w:r>
      <w:r>
        <w:rPr>
          <w:rFonts w:hint="eastAsia"/>
          <w:snapToGrid/>
        </w:rPr>
        <w:t>104,000</w:t>
      </w:r>
      <w:r>
        <w:rPr>
          <w:rFonts w:hint="eastAsia"/>
          <w:snapToGrid/>
        </w:rPr>
        <w:t>瑞典克朗，同居妇女约为</w:t>
      </w:r>
      <w:r>
        <w:rPr>
          <w:rFonts w:hint="eastAsia"/>
          <w:snapToGrid/>
        </w:rPr>
        <w:t>78,000</w:t>
      </w:r>
      <w:r>
        <w:rPr>
          <w:rFonts w:hint="eastAsia"/>
          <w:snapToGrid/>
        </w:rPr>
        <w:t>瑞典克朗。单身妇女拥有全部年龄段中最高的收入。同居妇女与单身妇女相比可支配收入的数额低的一种解释是单身妇女有较高的基于收入的养老金。但是，单身男子的可支配收入的数额低于同居男子。其中位数单身男子是每月</w:t>
      </w:r>
      <w:r>
        <w:rPr>
          <w:rFonts w:hint="eastAsia"/>
          <w:snapToGrid/>
        </w:rPr>
        <w:t>114,000</w:t>
      </w:r>
      <w:r>
        <w:rPr>
          <w:rFonts w:hint="eastAsia"/>
          <w:snapToGrid/>
        </w:rPr>
        <w:t>瑞典克朗，同居男子是</w:t>
      </w:r>
      <w:r>
        <w:rPr>
          <w:rFonts w:hint="eastAsia"/>
          <w:snapToGrid/>
        </w:rPr>
        <w:t>125,000</w:t>
      </w:r>
      <w:r>
        <w:rPr>
          <w:rFonts w:hint="eastAsia"/>
          <w:snapToGrid/>
        </w:rPr>
        <w:t>瑞典克朗。因此，同居</w:t>
      </w:r>
      <w:r>
        <w:rPr>
          <w:rFonts w:hint="eastAsia"/>
          <w:snapToGrid/>
        </w:rPr>
        <w:t>/</w:t>
      </w:r>
      <w:r>
        <w:rPr>
          <w:rFonts w:hint="eastAsia"/>
          <w:snapToGrid/>
        </w:rPr>
        <w:t>已婚妇女和男子的收入之间的差别大于单身男女之间的差别。</w:t>
      </w:r>
    </w:p>
    <w:p w:rsidR="00000000" w:rsidRDefault="00000000">
      <w:pPr>
        <w:rPr>
          <w:rFonts w:hint="eastAsia"/>
          <w:snapToGrid/>
        </w:rPr>
      </w:pPr>
      <w:r>
        <w:rPr>
          <w:rFonts w:hint="eastAsia"/>
          <w:snapToGrid/>
        </w:rPr>
        <w:tab/>
        <w:t xml:space="preserve">306.  </w:t>
      </w:r>
      <w:r>
        <w:rPr>
          <w:rFonts w:hint="eastAsia"/>
          <w:snapToGrid/>
        </w:rPr>
        <w:t>已经实施了若干项措施使瑞典成为对于老年人来说是个较好的国家。从</w:t>
      </w:r>
      <w:r>
        <w:rPr>
          <w:rFonts w:hint="eastAsia"/>
          <w:snapToGrid/>
        </w:rPr>
        <w:t>2002</w:t>
      </w:r>
      <w:r>
        <w:rPr>
          <w:rFonts w:hint="eastAsia"/>
          <w:snapToGrid/>
        </w:rPr>
        <w:t>年起，与收入挂钩的养老金一直与指数挂钩。从那时起，与收入挂钩的养老金增加了高于通货膨胀</w:t>
      </w:r>
      <w:r>
        <w:rPr>
          <w:rFonts w:hint="eastAsia"/>
          <w:snapToGrid/>
        </w:rPr>
        <w:t>3.5%</w:t>
      </w:r>
      <w:r>
        <w:rPr>
          <w:rFonts w:hint="eastAsia"/>
          <w:snapToGrid/>
        </w:rPr>
        <w:t>。退休人员的住房补助提高了</w:t>
      </w:r>
      <w:r>
        <w:rPr>
          <w:rFonts w:hint="eastAsia"/>
          <w:snapToGrid/>
        </w:rPr>
        <w:t>7</w:t>
      </w:r>
      <w:r>
        <w:rPr>
          <w:rFonts w:hint="eastAsia"/>
          <w:snapToGrid/>
        </w:rPr>
        <w:t>次。津贴从</w:t>
      </w:r>
      <w:r>
        <w:rPr>
          <w:rFonts w:hint="eastAsia"/>
          <w:snapToGrid/>
        </w:rPr>
        <w:t>1995</w:t>
      </w:r>
      <w:r>
        <w:rPr>
          <w:rFonts w:hint="eastAsia"/>
          <w:snapToGrid/>
        </w:rPr>
        <w:t>年住房费用的</w:t>
      </w:r>
      <w:r>
        <w:rPr>
          <w:rFonts w:hint="eastAsia"/>
          <w:snapToGrid/>
        </w:rPr>
        <w:t>85%</w:t>
      </w:r>
      <w:r>
        <w:rPr>
          <w:rFonts w:hint="eastAsia"/>
          <w:snapToGrid/>
        </w:rPr>
        <w:t>提高到</w:t>
      </w:r>
      <w:r>
        <w:rPr>
          <w:rFonts w:hint="eastAsia"/>
          <w:snapToGrid/>
        </w:rPr>
        <w:t>2005</w:t>
      </w:r>
      <w:r>
        <w:rPr>
          <w:rFonts w:hint="eastAsia"/>
          <w:snapToGrid/>
        </w:rPr>
        <w:t>年的</w:t>
      </w:r>
      <w:r>
        <w:rPr>
          <w:rFonts w:hint="eastAsia"/>
          <w:snapToGrid/>
        </w:rPr>
        <w:t>93%</w:t>
      </w:r>
      <w:r>
        <w:rPr>
          <w:rFonts w:hint="eastAsia"/>
          <w:snapToGrid/>
        </w:rPr>
        <w:t>。</w:t>
      </w:r>
      <w:r>
        <w:rPr>
          <w:rFonts w:hint="eastAsia"/>
          <w:snapToGrid/>
        </w:rPr>
        <w:t>2004</w:t>
      </w:r>
      <w:r>
        <w:rPr>
          <w:rFonts w:hint="eastAsia"/>
          <w:snapToGrid/>
        </w:rPr>
        <w:t>年出台了发给无养老金或其养老金不敷赡养的老年人的维修资助。</w:t>
      </w:r>
      <w:r>
        <w:rPr>
          <w:rFonts w:hint="eastAsia"/>
          <w:snapToGrid/>
        </w:rPr>
        <w:t>2003</w:t>
      </w:r>
      <w:r>
        <w:rPr>
          <w:rFonts w:hint="eastAsia"/>
          <w:snapToGrid/>
        </w:rPr>
        <w:t>年，废除了对于寡妇恤金进行的经济状况调查。</w:t>
      </w:r>
    </w:p>
    <w:p w:rsidR="00000000" w:rsidRDefault="00000000">
      <w:pPr>
        <w:rPr>
          <w:rFonts w:hint="eastAsia"/>
          <w:snapToGrid/>
        </w:rPr>
      </w:pPr>
      <w:r>
        <w:rPr>
          <w:rFonts w:hint="eastAsia"/>
          <w:snapToGrid/>
        </w:rPr>
        <w:tab/>
        <w:t>307.  2002</w:t>
      </w:r>
      <w:r>
        <w:rPr>
          <w:rFonts w:hint="eastAsia"/>
          <w:snapToGrid/>
        </w:rPr>
        <w:t>年，对老年人牙科保健实付费用实行了限额。这项规划在病人满</w:t>
      </w:r>
      <w:r>
        <w:rPr>
          <w:rFonts w:hint="eastAsia"/>
          <w:snapToGrid/>
        </w:rPr>
        <w:t>65</w:t>
      </w:r>
      <w:r>
        <w:rPr>
          <w:rFonts w:hint="eastAsia"/>
          <w:snapToGrid/>
        </w:rPr>
        <w:t>岁的日历年生效。在一次治疗周期中，病人做诸如牙冠、牙桥、移植和可取下义齿的实付费用限制为</w:t>
      </w:r>
      <w:r>
        <w:rPr>
          <w:rFonts w:hint="eastAsia"/>
          <w:snapToGrid/>
        </w:rPr>
        <w:t>7,700</w:t>
      </w:r>
      <w:r>
        <w:rPr>
          <w:rFonts w:hint="eastAsia"/>
          <w:snapToGrid/>
        </w:rPr>
        <w:t>瑞典克朗。</w:t>
      </w:r>
    </w:p>
    <w:p w:rsidR="00000000" w:rsidRDefault="00000000">
      <w:pPr>
        <w:rPr>
          <w:rFonts w:hint="eastAsia"/>
          <w:snapToGrid/>
        </w:rPr>
      </w:pPr>
      <w:r>
        <w:rPr>
          <w:rFonts w:hint="eastAsia"/>
          <w:snapToGrid/>
        </w:rPr>
        <w:tab/>
        <w:t>308.  2002</w:t>
      </w:r>
      <w:r>
        <w:rPr>
          <w:rFonts w:hint="eastAsia"/>
          <w:snapToGrid/>
        </w:rPr>
        <w:t>年，实行看护老年人和残疾人的最高收费，以降低老年人看护系统的费用。</w:t>
      </w:r>
    </w:p>
    <w:p w:rsidR="00000000" w:rsidRDefault="00000000">
      <w:pPr>
        <w:spacing w:after="240"/>
        <w:rPr>
          <w:rFonts w:hint="eastAsia"/>
          <w:snapToGrid/>
        </w:rPr>
      </w:pPr>
      <w:r>
        <w:rPr>
          <w:rFonts w:hint="eastAsia"/>
          <w:snapToGrid/>
        </w:rPr>
        <w:tab/>
        <w:t>309.  1995</w:t>
      </w:r>
      <w:r>
        <w:rPr>
          <w:rFonts w:hint="eastAsia"/>
          <w:snapToGrid/>
        </w:rPr>
        <w:t>年以来，退休人员的经济水准提高了</w:t>
      </w:r>
      <w:r>
        <w:rPr>
          <w:rFonts w:hint="eastAsia"/>
          <w:snapToGrid/>
        </w:rPr>
        <w:t>18%</w:t>
      </w:r>
      <w:r>
        <w:rPr>
          <w:rFonts w:hint="eastAsia"/>
          <w:snapToGrid/>
        </w:rPr>
        <w:t>。</w:t>
      </w:r>
    </w:p>
    <w:p w:rsidR="00000000" w:rsidRDefault="00000000">
      <w:pPr>
        <w:pStyle w:val="Heading4"/>
        <w:rPr>
          <w:rFonts w:hint="eastAsia"/>
        </w:rPr>
      </w:pPr>
      <w:r>
        <w:rPr>
          <w:rFonts w:hint="eastAsia"/>
        </w:rPr>
        <w:t>残疾人</w:t>
      </w:r>
    </w:p>
    <w:p w:rsidR="00000000" w:rsidRDefault="00000000">
      <w:pPr>
        <w:spacing w:after="320"/>
        <w:rPr>
          <w:rFonts w:hint="eastAsia"/>
          <w:snapToGrid/>
        </w:rPr>
      </w:pPr>
      <w:r>
        <w:rPr>
          <w:rFonts w:hint="eastAsia"/>
          <w:snapToGrid/>
        </w:rPr>
        <w:tab/>
        <w:t>310.  1999-2004</w:t>
      </w:r>
      <w:r>
        <w:rPr>
          <w:rFonts w:hint="eastAsia"/>
          <w:snapToGrid/>
        </w:rPr>
        <w:t>年期间，根据《向有功能障碍者提供支助和服务法》</w:t>
      </w:r>
      <w:r>
        <w:rPr>
          <w:snapToGrid/>
        </w:rPr>
        <w:t>(1993</w:t>
      </w:r>
      <w:r>
        <w:rPr>
          <w:rFonts w:hint="eastAsia"/>
          <w:snapToGrid/>
        </w:rPr>
        <w:t>：</w:t>
      </w:r>
      <w:r>
        <w:rPr>
          <w:rFonts w:hint="eastAsia"/>
          <w:snapToGrid/>
        </w:rPr>
        <w:t xml:space="preserve"> </w:t>
      </w:r>
      <w:r>
        <w:rPr>
          <w:snapToGrid/>
        </w:rPr>
        <w:t>387</w:t>
      </w:r>
      <w:r>
        <w:rPr>
          <w:rFonts w:hint="eastAsia"/>
          <w:snapToGrid/>
        </w:rPr>
        <w:t>)</w:t>
      </w:r>
      <w:r>
        <w:rPr>
          <w:snapToGrid/>
        </w:rPr>
        <w:t>，</w:t>
      </w:r>
      <w:r>
        <w:rPr>
          <w:rFonts w:hint="eastAsia"/>
          <w:snapToGrid/>
        </w:rPr>
        <w:t>以一项个别计划或个人代表的方式获得协助的人数见下表。</w:t>
      </w:r>
    </w:p>
    <w:p w:rsidR="00000000" w:rsidRDefault="00000000">
      <w:pPr>
        <w:pStyle w:val="Heading3"/>
        <w:spacing w:after="240"/>
        <w:rPr>
          <w:rFonts w:ascii="Time New Roman" w:eastAsia="SimHei" w:hAnsi="Time New Roman" w:hint="eastAsia"/>
          <w:kern w:val="0"/>
          <w:u w:val="none"/>
        </w:rPr>
      </w:pPr>
      <w:r>
        <w:rPr>
          <w:rFonts w:ascii="Time New Roman" w:eastAsia="SimHei" w:hAnsi="Time New Roman" w:hint="eastAsia"/>
          <w:kern w:val="0"/>
          <w:u w:val="none"/>
        </w:rPr>
        <w:br w:type="page"/>
      </w:r>
      <w:r>
        <w:rPr>
          <w:rFonts w:ascii="Time New Roman" w:eastAsia="SimHei" w:hAnsi="Time New Roman" w:hint="eastAsia"/>
          <w:kern w:val="0"/>
          <w:u w:val="none"/>
        </w:rPr>
        <w:t>表</w:t>
      </w:r>
      <w:r>
        <w:rPr>
          <w:rFonts w:ascii="Time New Roman" w:eastAsia="SimHei" w:hAnsi="Time New Roman" w:hint="eastAsia"/>
          <w:b/>
          <w:kern w:val="0"/>
          <w:u w:val="none"/>
        </w:rPr>
        <w:t>11</w:t>
      </w:r>
      <w:r>
        <w:rPr>
          <w:rFonts w:eastAsia="SimHei"/>
          <w:kern w:val="0"/>
          <w:u w:val="none"/>
        </w:rPr>
        <w:t>：</w:t>
      </w:r>
      <w:r>
        <w:rPr>
          <w:rFonts w:ascii="Time New Roman" w:eastAsia="SimHei" w:hAnsi="Time New Roman" w:hint="eastAsia"/>
          <w:b/>
          <w:kern w:val="0"/>
          <w:u w:val="none"/>
        </w:rPr>
        <w:t>3</w:t>
      </w:r>
    </w:p>
    <w:p w:rsidR="00000000" w:rsidRDefault="00000000">
      <w:pPr>
        <w:pStyle w:val="Heading3"/>
        <w:rPr>
          <w:rFonts w:hint="eastAsia"/>
        </w:rPr>
      </w:pPr>
      <w:r>
        <w:rPr>
          <w:rFonts w:ascii="Time New Roman" w:eastAsia="SimHei" w:hAnsi="Time New Roman" w:hint="eastAsia"/>
          <w:u w:val="none"/>
        </w:rPr>
        <w:t>根据《向有功能障碍者提供支助和服务法》的协助，人数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4"/>
        <w:gridCol w:w="1410"/>
        <w:gridCol w:w="1411"/>
        <w:gridCol w:w="1411"/>
        <w:gridCol w:w="1411"/>
        <w:gridCol w:w="1640"/>
      </w:tblGrid>
      <w:tr w:rsidR="00000000">
        <w:tblPrEx>
          <w:tblCellMar>
            <w:top w:w="0" w:type="dxa"/>
            <w:bottom w:w="0" w:type="dxa"/>
          </w:tblCellMar>
        </w:tblPrEx>
        <w:trPr>
          <w:jc w:val="center"/>
        </w:trPr>
        <w:tc>
          <w:tcPr>
            <w:tcW w:w="1154" w:type="pct"/>
            <w:tcBorders>
              <w:bottom w:val="single" w:sz="4" w:space="0" w:color="auto"/>
            </w:tcBorders>
          </w:tcPr>
          <w:p w:rsidR="00000000" w:rsidRDefault="00000000">
            <w:pPr>
              <w:pStyle w:val="ac"/>
              <w:spacing w:before="60" w:after="40"/>
              <w:rPr>
                <w:rFonts w:ascii="Time New Roman" w:eastAsia="SimHei" w:hAnsi="Time New Roman"/>
              </w:rPr>
            </w:pPr>
            <w:r>
              <w:rPr>
                <w:rFonts w:ascii="Time New Roman" w:eastAsia="SimHei" w:hAnsi="Time New Roman" w:hint="eastAsia"/>
                <w:snapToGrid/>
              </w:rPr>
              <w:t>协助类型</w:t>
            </w:r>
          </w:p>
        </w:tc>
        <w:tc>
          <w:tcPr>
            <w:tcW w:w="745" w:type="pct"/>
            <w:tcBorders>
              <w:bottom w:val="single" w:sz="4" w:space="0" w:color="auto"/>
            </w:tcBorders>
          </w:tcPr>
          <w:p w:rsidR="00000000" w:rsidRDefault="00000000">
            <w:pPr>
              <w:pStyle w:val="ac"/>
              <w:spacing w:before="60" w:after="40"/>
              <w:jc w:val="center"/>
              <w:rPr>
                <w:rFonts w:ascii="Time New Roman" w:eastAsia="SimHei" w:hAnsi="Time New Roman"/>
              </w:rPr>
            </w:pPr>
            <w:r>
              <w:rPr>
                <w:rFonts w:ascii="Time New Roman" w:eastAsia="SimHei" w:hAnsi="Time New Roman"/>
                <w:b/>
              </w:rPr>
              <w:t>1999</w:t>
            </w:r>
          </w:p>
        </w:tc>
        <w:tc>
          <w:tcPr>
            <w:tcW w:w="745" w:type="pct"/>
            <w:tcBorders>
              <w:bottom w:val="single" w:sz="4" w:space="0" w:color="auto"/>
            </w:tcBorders>
          </w:tcPr>
          <w:p w:rsidR="00000000" w:rsidRDefault="00000000">
            <w:pPr>
              <w:pStyle w:val="ac"/>
              <w:spacing w:before="60" w:after="40"/>
              <w:jc w:val="center"/>
              <w:rPr>
                <w:rFonts w:ascii="Time New Roman" w:eastAsia="SimHei" w:hAnsi="Time New Roman"/>
              </w:rPr>
            </w:pPr>
            <w:r>
              <w:rPr>
                <w:rFonts w:ascii="Time New Roman" w:eastAsia="SimHei" w:hAnsi="Time New Roman"/>
                <w:b/>
              </w:rPr>
              <w:t>2002</w:t>
            </w:r>
          </w:p>
        </w:tc>
        <w:tc>
          <w:tcPr>
            <w:tcW w:w="745" w:type="pct"/>
            <w:tcBorders>
              <w:bottom w:val="single" w:sz="4" w:space="0" w:color="auto"/>
            </w:tcBorders>
          </w:tcPr>
          <w:p w:rsidR="00000000" w:rsidRDefault="00000000">
            <w:pPr>
              <w:pStyle w:val="ac"/>
              <w:spacing w:before="60" w:after="40"/>
              <w:jc w:val="center"/>
              <w:rPr>
                <w:rFonts w:ascii="Time New Roman" w:eastAsia="SimHei" w:hAnsi="Time New Roman"/>
              </w:rPr>
            </w:pPr>
            <w:r>
              <w:rPr>
                <w:rFonts w:ascii="Time New Roman" w:eastAsia="SimHei" w:hAnsi="Time New Roman"/>
                <w:b/>
              </w:rPr>
              <w:t>2003</w:t>
            </w:r>
          </w:p>
        </w:tc>
        <w:tc>
          <w:tcPr>
            <w:tcW w:w="745" w:type="pct"/>
            <w:tcBorders>
              <w:bottom w:val="single" w:sz="4" w:space="0" w:color="auto"/>
            </w:tcBorders>
          </w:tcPr>
          <w:p w:rsidR="00000000" w:rsidRDefault="00000000">
            <w:pPr>
              <w:pStyle w:val="ac"/>
              <w:spacing w:before="60" w:after="40"/>
              <w:jc w:val="center"/>
              <w:rPr>
                <w:rFonts w:ascii="Time New Roman" w:eastAsia="SimHei" w:hAnsi="Time New Roman"/>
              </w:rPr>
            </w:pPr>
            <w:r>
              <w:rPr>
                <w:rFonts w:ascii="Time New Roman" w:eastAsia="SimHei" w:hAnsi="Time New Roman"/>
                <w:b/>
              </w:rPr>
              <w:t>2004</w:t>
            </w:r>
          </w:p>
        </w:tc>
        <w:tc>
          <w:tcPr>
            <w:tcW w:w="866" w:type="pct"/>
            <w:tcBorders>
              <w:bottom w:val="single" w:sz="4" w:space="0" w:color="auto"/>
            </w:tcBorders>
            <w:tcMar>
              <w:left w:w="0" w:type="dxa"/>
              <w:right w:w="0" w:type="dxa"/>
            </w:tcMar>
          </w:tcPr>
          <w:p w:rsidR="00000000" w:rsidRDefault="00000000">
            <w:pPr>
              <w:pStyle w:val="ac"/>
              <w:spacing w:before="60" w:after="40"/>
              <w:jc w:val="center"/>
              <w:rPr>
                <w:rFonts w:ascii="Time New Roman" w:eastAsia="SimHei" w:hAnsi="Time New Roman"/>
              </w:rPr>
            </w:pPr>
            <w:r>
              <w:rPr>
                <w:rFonts w:ascii="Time New Roman" w:eastAsia="SimHei" w:hAnsi="Time New Roman" w:hint="eastAsia"/>
              </w:rPr>
              <w:t>变化</w:t>
            </w:r>
            <w:r>
              <w:rPr>
                <w:rFonts w:ascii="Time New Roman" w:eastAsia="SimHei" w:hAnsi="Time New Roman"/>
                <w:b/>
              </w:rPr>
              <w:t>1999</w:t>
            </w:r>
            <w:r>
              <w:rPr>
                <w:rFonts w:ascii="Time New Roman" w:eastAsia="SimHei" w:hAnsi="Time New Roman"/>
              </w:rPr>
              <w:t>-</w:t>
            </w:r>
            <w:r>
              <w:rPr>
                <w:rFonts w:ascii="Time New Roman" w:eastAsia="SimHei" w:hAnsi="Time New Roman"/>
                <w:b/>
              </w:rPr>
              <w:t>2004</w:t>
            </w:r>
          </w:p>
        </w:tc>
      </w:tr>
      <w:tr w:rsidR="00000000">
        <w:tblPrEx>
          <w:tblCellMar>
            <w:top w:w="0" w:type="dxa"/>
            <w:bottom w:w="0" w:type="dxa"/>
          </w:tblCellMar>
        </w:tblPrEx>
        <w:trPr>
          <w:jc w:val="center"/>
        </w:trPr>
        <w:tc>
          <w:tcPr>
            <w:tcW w:w="1154" w:type="pct"/>
            <w:tcBorders>
              <w:bottom w:val="nil"/>
            </w:tcBorders>
          </w:tcPr>
          <w:p w:rsidR="00000000" w:rsidRDefault="00000000">
            <w:pPr>
              <w:pStyle w:val="ac"/>
            </w:pPr>
            <w:r>
              <w:rPr>
                <w:rFonts w:hint="eastAsia"/>
                <w:snapToGrid/>
              </w:rPr>
              <w:t>日间活动</w:t>
            </w:r>
          </w:p>
        </w:tc>
        <w:tc>
          <w:tcPr>
            <w:tcW w:w="745" w:type="pct"/>
            <w:tcBorders>
              <w:bottom w:val="nil"/>
            </w:tcBorders>
          </w:tcPr>
          <w:p w:rsidR="00000000" w:rsidRDefault="00000000">
            <w:pPr>
              <w:pStyle w:val="ac"/>
              <w:tabs>
                <w:tab w:val="decimal" w:pos="809"/>
              </w:tabs>
            </w:pPr>
            <w:r>
              <w:t>19,800</w:t>
            </w:r>
          </w:p>
        </w:tc>
        <w:tc>
          <w:tcPr>
            <w:tcW w:w="745" w:type="pct"/>
            <w:tcBorders>
              <w:bottom w:val="nil"/>
            </w:tcBorders>
          </w:tcPr>
          <w:p w:rsidR="00000000" w:rsidRDefault="00000000">
            <w:pPr>
              <w:pStyle w:val="ac"/>
              <w:tabs>
                <w:tab w:val="decimal" w:pos="809"/>
              </w:tabs>
            </w:pPr>
            <w:r>
              <w:t>21,700</w:t>
            </w:r>
          </w:p>
        </w:tc>
        <w:tc>
          <w:tcPr>
            <w:tcW w:w="745" w:type="pct"/>
            <w:tcBorders>
              <w:bottom w:val="nil"/>
            </w:tcBorders>
          </w:tcPr>
          <w:p w:rsidR="00000000" w:rsidRDefault="00000000">
            <w:pPr>
              <w:pStyle w:val="ac"/>
              <w:tabs>
                <w:tab w:val="decimal" w:pos="809"/>
              </w:tabs>
            </w:pPr>
            <w:r>
              <w:t>23,200</w:t>
            </w:r>
          </w:p>
        </w:tc>
        <w:tc>
          <w:tcPr>
            <w:tcW w:w="745" w:type="pct"/>
            <w:tcBorders>
              <w:bottom w:val="nil"/>
            </w:tcBorders>
          </w:tcPr>
          <w:p w:rsidR="00000000" w:rsidRDefault="00000000">
            <w:pPr>
              <w:pStyle w:val="ac"/>
              <w:tabs>
                <w:tab w:val="decimal" w:pos="809"/>
              </w:tabs>
            </w:pPr>
            <w:r>
              <w:t>24,100</w:t>
            </w:r>
          </w:p>
        </w:tc>
        <w:tc>
          <w:tcPr>
            <w:tcW w:w="866" w:type="pct"/>
            <w:tcBorders>
              <w:bottom w:val="nil"/>
            </w:tcBorders>
          </w:tcPr>
          <w:p w:rsidR="00000000" w:rsidRDefault="00000000">
            <w:pPr>
              <w:pStyle w:val="ac"/>
              <w:ind w:right="377"/>
              <w:jc w:val="right"/>
            </w:pPr>
            <w:r>
              <w:t>+22%</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住房，成人</w:t>
            </w:r>
          </w:p>
        </w:tc>
        <w:tc>
          <w:tcPr>
            <w:tcW w:w="745" w:type="pct"/>
            <w:tcBorders>
              <w:top w:val="nil"/>
              <w:bottom w:val="nil"/>
            </w:tcBorders>
          </w:tcPr>
          <w:p w:rsidR="00000000" w:rsidRDefault="00000000">
            <w:pPr>
              <w:pStyle w:val="ac"/>
              <w:tabs>
                <w:tab w:val="decimal" w:pos="809"/>
              </w:tabs>
            </w:pPr>
            <w:r>
              <w:t>16,500</w:t>
            </w:r>
          </w:p>
        </w:tc>
        <w:tc>
          <w:tcPr>
            <w:tcW w:w="745" w:type="pct"/>
            <w:tcBorders>
              <w:top w:val="nil"/>
              <w:bottom w:val="nil"/>
            </w:tcBorders>
          </w:tcPr>
          <w:p w:rsidR="00000000" w:rsidRDefault="00000000">
            <w:pPr>
              <w:pStyle w:val="ac"/>
              <w:tabs>
                <w:tab w:val="decimal" w:pos="809"/>
              </w:tabs>
            </w:pPr>
            <w:r>
              <w:t>18,000</w:t>
            </w:r>
          </w:p>
        </w:tc>
        <w:tc>
          <w:tcPr>
            <w:tcW w:w="745" w:type="pct"/>
            <w:tcBorders>
              <w:top w:val="nil"/>
              <w:bottom w:val="nil"/>
            </w:tcBorders>
          </w:tcPr>
          <w:p w:rsidR="00000000" w:rsidRDefault="00000000">
            <w:pPr>
              <w:pStyle w:val="ac"/>
              <w:tabs>
                <w:tab w:val="decimal" w:pos="809"/>
              </w:tabs>
            </w:pPr>
            <w:r>
              <w:t>19,000</w:t>
            </w:r>
          </w:p>
        </w:tc>
        <w:tc>
          <w:tcPr>
            <w:tcW w:w="745" w:type="pct"/>
            <w:tcBorders>
              <w:top w:val="nil"/>
              <w:bottom w:val="nil"/>
            </w:tcBorders>
          </w:tcPr>
          <w:p w:rsidR="00000000" w:rsidRDefault="00000000">
            <w:pPr>
              <w:pStyle w:val="ac"/>
              <w:tabs>
                <w:tab w:val="decimal" w:pos="809"/>
              </w:tabs>
            </w:pPr>
            <w:r>
              <w:t>19,800</w:t>
            </w:r>
          </w:p>
        </w:tc>
        <w:tc>
          <w:tcPr>
            <w:tcW w:w="866" w:type="pct"/>
            <w:tcBorders>
              <w:top w:val="nil"/>
              <w:bottom w:val="nil"/>
            </w:tcBorders>
          </w:tcPr>
          <w:p w:rsidR="00000000" w:rsidRDefault="00000000">
            <w:pPr>
              <w:pStyle w:val="ac"/>
              <w:ind w:right="377"/>
              <w:jc w:val="right"/>
            </w:pPr>
            <w:r>
              <w:t>+20%</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联系人</w:t>
            </w:r>
          </w:p>
        </w:tc>
        <w:tc>
          <w:tcPr>
            <w:tcW w:w="745" w:type="pct"/>
            <w:tcBorders>
              <w:top w:val="nil"/>
              <w:bottom w:val="nil"/>
            </w:tcBorders>
          </w:tcPr>
          <w:p w:rsidR="00000000" w:rsidRDefault="00000000">
            <w:pPr>
              <w:pStyle w:val="ac"/>
              <w:tabs>
                <w:tab w:val="decimal" w:pos="809"/>
              </w:tabs>
            </w:pPr>
            <w:r>
              <w:t>13,400</w:t>
            </w:r>
          </w:p>
        </w:tc>
        <w:tc>
          <w:tcPr>
            <w:tcW w:w="745" w:type="pct"/>
            <w:tcBorders>
              <w:top w:val="nil"/>
              <w:bottom w:val="nil"/>
            </w:tcBorders>
          </w:tcPr>
          <w:p w:rsidR="00000000" w:rsidRDefault="00000000">
            <w:pPr>
              <w:pStyle w:val="ac"/>
              <w:tabs>
                <w:tab w:val="decimal" w:pos="809"/>
              </w:tabs>
            </w:pPr>
            <w:r>
              <w:t>14,500</w:t>
            </w:r>
          </w:p>
        </w:tc>
        <w:tc>
          <w:tcPr>
            <w:tcW w:w="745" w:type="pct"/>
            <w:tcBorders>
              <w:top w:val="nil"/>
              <w:bottom w:val="nil"/>
            </w:tcBorders>
          </w:tcPr>
          <w:p w:rsidR="00000000" w:rsidRDefault="00000000">
            <w:pPr>
              <w:pStyle w:val="ac"/>
              <w:tabs>
                <w:tab w:val="decimal" w:pos="809"/>
              </w:tabs>
            </w:pPr>
            <w:r>
              <w:t>15,200</w:t>
            </w:r>
          </w:p>
        </w:tc>
        <w:tc>
          <w:tcPr>
            <w:tcW w:w="745" w:type="pct"/>
            <w:tcBorders>
              <w:top w:val="nil"/>
              <w:bottom w:val="nil"/>
            </w:tcBorders>
          </w:tcPr>
          <w:p w:rsidR="00000000" w:rsidRDefault="00000000">
            <w:pPr>
              <w:pStyle w:val="ac"/>
              <w:tabs>
                <w:tab w:val="decimal" w:pos="809"/>
              </w:tabs>
            </w:pPr>
            <w:r>
              <w:t>16,100</w:t>
            </w:r>
          </w:p>
        </w:tc>
        <w:tc>
          <w:tcPr>
            <w:tcW w:w="866" w:type="pct"/>
            <w:tcBorders>
              <w:top w:val="nil"/>
              <w:bottom w:val="nil"/>
            </w:tcBorders>
          </w:tcPr>
          <w:p w:rsidR="00000000" w:rsidRDefault="00000000">
            <w:pPr>
              <w:pStyle w:val="ac"/>
              <w:ind w:right="377"/>
              <w:jc w:val="right"/>
            </w:pPr>
            <w:r>
              <w:t>+20%</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短期居留</w:t>
            </w:r>
          </w:p>
        </w:tc>
        <w:tc>
          <w:tcPr>
            <w:tcW w:w="745" w:type="pct"/>
            <w:tcBorders>
              <w:top w:val="nil"/>
              <w:bottom w:val="nil"/>
            </w:tcBorders>
          </w:tcPr>
          <w:p w:rsidR="00000000" w:rsidRDefault="00000000">
            <w:pPr>
              <w:pStyle w:val="ac"/>
              <w:tabs>
                <w:tab w:val="decimal" w:pos="809"/>
              </w:tabs>
            </w:pPr>
            <w:r>
              <w:t>9,400</w:t>
            </w:r>
          </w:p>
        </w:tc>
        <w:tc>
          <w:tcPr>
            <w:tcW w:w="745" w:type="pct"/>
            <w:tcBorders>
              <w:top w:val="nil"/>
              <w:bottom w:val="nil"/>
            </w:tcBorders>
          </w:tcPr>
          <w:p w:rsidR="00000000" w:rsidRDefault="00000000">
            <w:pPr>
              <w:pStyle w:val="ac"/>
              <w:tabs>
                <w:tab w:val="decimal" w:pos="809"/>
              </w:tabs>
            </w:pPr>
            <w:r>
              <w:t>9,900</w:t>
            </w:r>
          </w:p>
        </w:tc>
        <w:tc>
          <w:tcPr>
            <w:tcW w:w="745" w:type="pct"/>
            <w:tcBorders>
              <w:top w:val="nil"/>
              <w:bottom w:val="nil"/>
            </w:tcBorders>
          </w:tcPr>
          <w:p w:rsidR="00000000" w:rsidRDefault="00000000">
            <w:pPr>
              <w:pStyle w:val="ac"/>
              <w:tabs>
                <w:tab w:val="decimal" w:pos="809"/>
              </w:tabs>
            </w:pPr>
            <w:r>
              <w:t>10,400</w:t>
            </w:r>
          </w:p>
        </w:tc>
        <w:tc>
          <w:tcPr>
            <w:tcW w:w="745" w:type="pct"/>
            <w:tcBorders>
              <w:top w:val="nil"/>
              <w:bottom w:val="nil"/>
            </w:tcBorders>
          </w:tcPr>
          <w:p w:rsidR="00000000" w:rsidRDefault="00000000">
            <w:pPr>
              <w:pStyle w:val="ac"/>
              <w:tabs>
                <w:tab w:val="decimal" w:pos="809"/>
              </w:tabs>
            </w:pPr>
            <w:r>
              <w:t>10,500</w:t>
            </w:r>
          </w:p>
        </w:tc>
        <w:tc>
          <w:tcPr>
            <w:tcW w:w="866" w:type="pct"/>
            <w:tcBorders>
              <w:top w:val="nil"/>
              <w:bottom w:val="nil"/>
            </w:tcBorders>
          </w:tcPr>
          <w:p w:rsidR="00000000" w:rsidRDefault="00000000">
            <w:pPr>
              <w:pStyle w:val="ac"/>
              <w:ind w:right="377"/>
              <w:jc w:val="right"/>
            </w:pPr>
            <w:r>
              <w:t>+12%</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咨询和支助</w:t>
            </w:r>
          </w:p>
        </w:tc>
        <w:tc>
          <w:tcPr>
            <w:tcW w:w="745" w:type="pct"/>
            <w:tcBorders>
              <w:top w:val="nil"/>
              <w:bottom w:val="nil"/>
            </w:tcBorders>
          </w:tcPr>
          <w:p w:rsidR="00000000" w:rsidRDefault="00000000">
            <w:pPr>
              <w:pStyle w:val="ac"/>
              <w:tabs>
                <w:tab w:val="decimal" w:pos="809"/>
              </w:tabs>
            </w:pPr>
            <w:r>
              <w:t>18,600</w:t>
            </w:r>
          </w:p>
        </w:tc>
        <w:tc>
          <w:tcPr>
            <w:tcW w:w="745" w:type="pct"/>
            <w:tcBorders>
              <w:top w:val="nil"/>
              <w:bottom w:val="nil"/>
            </w:tcBorders>
          </w:tcPr>
          <w:p w:rsidR="00000000" w:rsidRDefault="00000000">
            <w:pPr>
              <w:pStyle w:val="ac"/>
              <w:tabs>
                <w:tab w:val="decimal" w:pos="809"/>
              </w:tabs>
            </w:pPr>
            <w:r>
              <w:t>11,900</w:t>
            </w:r>
          </w:p>
        </w:tc>
        <w:tc>
          <w:tcPr>
            <w:tcW w:w="745" w:type="pct"/>
            <w:tcBorders>
              <w:top w:val="nil"/>
              <w:bottom w:val="nil"/>
            </w:tcBorders>
          </w:tcPr>
          <w:p w:rsidR="00000000" w:rsidRDefault="00000000">
            <w:pPr>
              <w:pStyle w:val="ac"/>
              <w:tabs>
                <w:tab w:val="decimal" w:pos="809"/>
              </w:tabs>
            </w:pPr>
            <w:r>
              <w:t>11,700</w:t>
            </w:r>
          </w:p>
        </w:tc>
        <w:tc>
          <w:tcPr>
            <w:tcW w:w="745" w:type="pct"/>
            <w:tcBorders>
              <w:top w:val="nil"/>
              <w:bottom w:val="nil"/>
            </w:tcBorders>
          </w:tcPr>
          <w:p w:rsidR="00000000" w:rsidRDefault="00000000">
            <w:pPr>
              <w:pStyle w:val="ac"/>
              <w:tabs>
                <w:tab w:val="decimal" w:pos="809"/>
              </w:tabs>
            </w:pPr>
            <w:r>
              <w:t>10,400</w:t>
            </w:r>
          </w:p>
        </w:tc>
        <w:tc>
          <w:tcPr>
            <w:tcW w:w="866" w:type="pct"/>
            <w:tcBorders>
              <w:top w:val="nil"/>
              <w:bottom w:val="nil"/>
            </w:tcBorders>
          </w:tcPr>
          <w:p w:rsidR="00000000" w:rsidRDefault="00000000">
            <w:pPr>
              <w:pStyle w:val="ac"/>
              <w:ind w:right="377"/>
              <w:jc w:val="right"/>
            </w:pPr>
            <w:r>
              <w:t>-44%</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同伴服务</w:t>
            </w:r>
          </w:p>
        </w:tc>
        <w:tc>
          <w:tcPr>
            <w:tcW w:w="745" w:type="pct"/>
            <w:tcBorders>
              <w:top w:val="nil"/>
              <w:bottom w:val="nil"/>
            </w:tcBorders>
          </w:tcPr>
          <w:p w:rsidR="00000000" w:rsidRDefault="00000000">
            <w:pPr>
              <w:pStyle w:val="ac"/>
              <w:tabs>
                <w:tab w:val="decimal" w:pos="809"/>
              </w:tabs>
            </w:pPr>
            <w:r>
              <w:t>7,400</w:t>
            </w:r>
          </w:p>
        </w:tc>
        <w:tc>
          <w:tcPr>
            <w:tcW w:w="745" w:type="pct"/>
            <w:tcBorders>
              <w:top w:val="nil"/>
              <w:bottom w:val="nil"/>
            </w:tcBorders>
          </w:tcPr>
          <w:p w:rsidR="00000000" w:rsidRDefault="00000000">
            <w:pPr>
              <w:pStyle w:val="ac"/>
              <w:tabs>
                <w:tab w:val="decimal" w:pos="809"/>
              </w:tabs>
            </w:pPr>
            <w:r>
              <w:t>8,500</w:t>
            </w:r>
          </w:p>
        </w:tc>
        <w:tc>
          <w:tcPr>
            <w:tcW w:w="745" w:type="pct"/>
            <w:tcBorders>
              <w:top w:val="nil"/>
              <w:bottom w:val="nil"/>
            </w:tcBorders>
          </w:tcPr>
          <w:p w:rsidR="00000000" w:rsidRDefault="00000000">
            <w:pPr>
              <w:pStyle w:val="ac"/>
              <w:tabs>
                <w:tab w:val="decimal" w:pos="809"/>
              </w:tabs>
            </w:pPr>
            <w:r>
              <w:t>9,200</w:t>
            </w:r>
          </w:p>
        </w:tc>
        <w:tc>
          <w:tcPr>
            <w:tcW w:w="745" w:type="pct"/>
            <w:tcBorders>
              <w:top w:val="nil"/>
              <w:bottom w:val="nil"/>
            </w:tcBorders>
          </w:tcPr>
          <w:p w:rsidR="00000000" w:rsidRDefault="00000000">
            <w:pPr>
              <w:pStyle w:val="ac"/>
              <w:tabs>
                <w:tab w:val="decimal" w:pos="809"/>
              </w:tabs>
            </w:pPr>
            <w:r>
              <w:t>9,400</w:t>
            </w:r>
          </w:p>
        </w:tc>
        <w:tc>
          <w:tcPr>
            <w:tcW w:w="866" w:type="pct"/>
            <w:tcBorders>
              <w:top w:val="nil"/>
              <w:bottom w:val="nil"/>
            </w:tcBorders>
          </w:tcPr>
          <w:p w:rsidR="00000000" w:rsidRDefault="00000000">
            <w:pPr>
              <w:pStyle w:val="ac"/>
              <w:ind w:right="377"/>
              <w:jc w:val="right"/>
            </w:pPr>
            <w:r>
              <w:t>+27%</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个人助手</w:t>
            </w:r>
          </w:p>
        </w:tc>
        <w:tc>
          <w:tcPr>
            <w:tcW w:w="745" w:type="pct"/>
            <w:tcBorders>
              <w:top w:val="nil"/>
              <w:bottom w:val="nil"/>
            </w:tcBorders>
          </w:tcPr>
          <w:p w:rsidR="00000000" w:rsidRDefault="00000000">
            <w:pPr>
              <w:pStyle w:val="ac"/>
              <w:tabs>
                <w:tab w:val="decimal" w:pos="809"/>
              </w:tabs>
            </w:pPr>
            <w:r>
              <w:t>4,500</w:t>
            </w:r>
          </w:p>
        </w:tc>
        <w:tc>
          <w:tcPr>
            <w:tcW w:w="745" w:type="pct"/>
            <w:tcBorders>
              <w:top w:val="nil"/>
              <w:bottom w:val="nil"/>
            </w:tcBorders>
          </w:tcPr>
          <w:p w:rsidR="00000000" w:rsidRDefault="00000000">
            <w:pPr>
              <w:pStyle w:val="ac"/>
              <w:tabs>
                <w:tab w:val="decimal" w:pos="809"/>
              </w:tabs>
            </w:pPr>
            <w:r>
              <w:t>4,300</w:t>
            </w:r>
          </w:p>
        </w:tc>
        <w:tc>
          <w:tcPr>
            <w:tcW w:w="745" w:type="pct"/>
            <w:tcBorders>
              <w:top w:val="nil"/>
              <w:bottom w:val="nil"/>
            </w:tcBorders>
          </w:tcPr>
          <w:p w:rsidR="00000000" w:rsidRDefault="00000000">
            <w:pPr>
              <w:pStyle w:val="ac"/>
              <w:tabs>
                <w:tab w:val="decimal" w:pos="809"/>
              </w:tabs>
            </w:pPr>
            <w:r>
              <w:t>4,300</w:t>
            </w:r>
          </w:p>
        </w:tc>
        <w:tc>
          <w:tcPr>
            <w:tcW w:w="745" w:type="pct"/>
            <w:tcBorders>
              <w:top w:val="nil"/>
              <w:bottom w:val="nil"/>
            </w:tcBorders>
          </w:tcPr>
          <w:p w:rsidR="00000000" w:rsidRDefault="00000000">
            <w:pPr>
              <w:pStyle w:val="ac"/>
              <w:tabs>
                <w:tab w:val="decimal" w:pos="809"/>
              </w:tabs>
            </w:pPr>
            <w:r>
              <w:t>3,900</w:t>
            </w:r>
          </w:p>
        </w:tc>
        <w:tc>
          <w:tcPr>
            <w:tcW w:w="866" w:type="pct"/>
            <w:tcBorders>
              <w:top w:val="nil"/>
              <w:bottom w:val="nil"/>
            </w:tcBorders>
          </w:tcPr>
          <w:p w:rsidR="00000000" w:rsidRDefault="00000000">
            <w:pPr>
              <w:pStyle w:val="ac"/>
              <w:ind w:right="377"/>
              <w:jc w:val="right"/>
            </w:pPr>
            <w:r>
              <w:t>-13%</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暂息服务</w:t>
            </w:r>
          </w:p>
        </w:tc>
        <w:tc>
          <w:tcPr>
            <w:tcW w:w="745" w:type="pct"/>
            <w:tcBorders>
              <w:top w:val="nil"/>
              <w:bottom w:val="nil"/>
            </w:tcBorders>
          </w:tcPr>
          <w:p w:rsidR="00000000" w:rsidRDefault="00000000">
            <w:pPr>
              <w:pStyle w:val="ac"/>
              <w:tabs>
                <w:tab w:val="decimal" w:pos="809"/>
              </w:tabs>
            </w:pPr>
            <w:r>
              <w:t>3,600</w:t>
            </w:r>
          </w:p>
        </w:tc>
        <w:tc>
          <w:tcPr>
            <w:tcW w:w="745" w:type="pct"/>
            <w:tcBorders>
              <w:top w:val="nil"/>
              <w:bottom w:val="nil"/>
            </w:tcBorders>
          </w:tcPr>
          <w:p w:rsidR="00000000" w:rsidRDefault="00000000">
            <w:pPr>
              <w:pStyle w:val="ac"/>
              <w:tabs>
                <w:tab w:val="decimal" w:pos="809"/>
              </w:tabs>
            </w:pPr>
            <w:r>
              <w:t>3,500</w:t>
            </w:r>
          </w:p>
        </w:tc>
        <w:tc>
          <w:tcPr>
            <w:tcW w:w="745" w:type="pct"/>
            <w:tcBorders>
              <w:top w:val="nil"/>
              <w:bottom w:val="nil"/>
            </w:tcBorders>
          </w:tcPr>
          <w:p w:rsidR="00000000" w:rsidRDefault="00000000">
            <w:pPr>
              <w:pStyle w:val="ac"/>
              <w:tabs>
                <w:tab w:val="decimal" w:pos="809"/>
              </w:tabs>
            </w:pPr>
            <w:r>
              <w:t>3,600</w:t>
            </w:r>
          </w:p>
        </w:tc>
        <w:tc>
          <w:tcPr>
            <w:tcW w:w="745" w:type="pct"/>
            <w:tcBorders>
              <w:top w:val="nil"/>
              <w:bottom w:val="nil"/>
            </w:tcBorders>
          </w:tcPr>
          <w:p w:rsidR="00000000" w:rsidRDefault="00000000">
            <w:pPr>
              <w:pStyle w:val="ac"/>
              <w:tabs>
                <w:tab w:val="decimal" w:pos="809"/>
              </w:tabs>
            </w:pPr>
            <w:r>
              <w:t>3,700</w:t>
            </w:r>
          </w:p>
        </w:tc>
        <w:tc>
          <w:tcPr>
            <w:tcW w:w="866" w:type="pct"/>
            <w:tcBorders>
              <w:top w:val="nil"/>
              <w:bottom w:val="nil"/>
            </w:tcBorders>
          </w:tcPr>
          <w:p w:rsidR="00000000" w:rsidRDefault="00000000">
            <w:pPr>
              <w:pStyle w:val="ac"/>
              <w:ind w:right="377"/>
              <w:jc w:val="right"/>
            </w:pPr>
            <w:r>
              <w:t>+3%</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短期监督</w:t>
            </w:r>
          </w:p>
        </w:tc>
        <w:tc>
          <w:tcPr>
            <w:tcW w:w="745" w:type="pct"/>
            <w:tcBorders>
              <w:top w:val="nil"/>
              <w:bottom w:val="nil"/>
            </w:tcBorders>
          </w:tcPr>
          <w:p w:rsidR="00000000" w:rsidRDefault="00000000">
            <w:pPr>
              <w:pStyle w:val="ac"/>
              <w:tabs>
                <w:tab w:val="decimal" w:pos="809"/>
              </w:tabs>
            </w:pPr>
            <w:r>
              <w:t>2,800</w:t>
            </w:r>
          </w:p>
        </w:tc>
        <w:tc>
          <w:tcPr>
            <w:tcW w:w="745" w:type="pct"/>
            <w:tcBorders>
              <w:top w:val="nil"/>
              <w:bottom w:val="nil"/>
            </w:tcBorders>
          </w:tcPr>
          <w:p w:rsidR="00000000" w:rsidRDefault="00000000">
            <w:pPr>
              <w:pStyle w:val="ac"/>
              <w:tabs>
                <w:tab w:val="decimal" w:pos="809"/>
              </w:tabs>
            </w:pPr>
            <w:r>
              <w:t>3,400</w:t>
            </w:r>
          </w:p>
        </w:tc>
        <w:tc>
          <w:tcPr>
            <w:tcW w:w="745" w:type="pct"/>
            <w:tcBorders>
              <w:top w:val="nil"/>
              <w:bottom w:val="nil"/>
            </w:tcBorders>
          </w:tcPr>
          <w:p w:rsidR="00000000" w:rsidRDefault="00000000">
            <w:pPr>
              <w:pStyle w:val="ac"/>
              <w:tabs>
                <w:tab w:val="decimal" w:pos="809"/>
              </w:tabs>
            </w:pPr>
            <w:r>
              <w:t>4,000</w:t>
            </w:r>
          </w:p>
        </w:tc>
        <w:tc>
          <w:tcPr>
            <w:tcW w:w="745" w:type="pct"/>
            <w:tcBorders>
              <w:top w:val="nil"/>
              <w:bottom w:val="nil"/>
            </w:tcBorders>
          </w:tcPr>
          <w:p w:rsidR="00000000" w:rsidRDefault="00000000">
            <w:pPr>
              <w:pStyle w:val="ac"/>
              <w:tabs>
                <w:tab w:val="decimal" w:pos="809"/>
              </w:tabs>
            </w:pPr>
            <w:r>
              <w:t>4,400</w:t>
            </w:r>
          </w:p>
        </w:tc>
        <w:tc>
          <w:tcPr>
            <w:tcW w:w="866" w:type="pct"/>
            <w:tcBorders>
              <w:top w:val="nil"/>
              <w:bottom w:val="nil"/>
            </w:tcBorders>
          </w:tcPr>
          <w:p w:rsidR="00000000" w:rsidRDefault="00000000">
            <w:pPr>
              <w:pStyle w:val="ac"/>
              <w:ind w:right="377"/>
              <w:jc w:val="right"/>
            </w:pPr>
            <w:r>
              <w:t>+57%</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住房，儿童</w:t>
            </w:r>
          </w:p>
        </w:tc>
        <w:tc>
          <w:tcPr>
            <w:tcW w:w="745" w:type="pct"/>
            <w:tcBorders>
              <w:top w:val="nil"/>
              <w:bottom w:val="nil"/>
            </w:tcBorders>
          </w:tcPr>
          <w:p w:rsidR="00000000" w:rsidRDefault="00000000">
            <w:pPr>
              <w:pStyle w:val="ac"/>
              <w:tabs>
                <w:tab w:val="decimal" w:pos="809"/>
              </w:tabs>
            </w:pPr>
            <w:r>
              <w:t>1,200</w:t>
            </w:r>
          </w:p>
        </w:tc>
        <w:tc>
          <w:tcPr>
            <w:tcW w:w="745" w:type="pct"/>
            <w:tcBorders>
              <w:top w:val="nil"/>
              <w:bottom w:val="nil"/>
            </w:tcBorders>
          </w:tcPr>
          <w:p w:rsidR="00000000" w:rsidRDefault="00000000">
            <w:pPr>
              <w:pStyle w:val="ac"/>
              <w:tabs>
                <w:tab w:val="decimal" w:pos="809"/>
              </w:tabs>
            </w:pPr>
            <w:r>
              <w:t>1,200</w:t>
            </w:r>
          </w:p>
        </w:tc>
        <w:tc>
          <w:tcPr>
            <w:tcW w:w="745" w:type="pct"/>
            <w:tcBorders>
              <w:top w:val="nil"/>
              <w:bottom w:val="nil"/>
            </w:tcBorders>
          </w:tcPr>
          <w:p w:rsidR="00000000" w:rsidRDefault="00000000">
            <w:pPr>
              <w:pStyle w:val="ac"/>
              <w:tabs>
                <w:tab w:val="decimal" w:pos="809"/>
              </w:tabs>
            </w:pPr>
            <w:r>
              <w:t>1,300</w:t>
            </w:r>
          </w:p>
        </w:tc>
        <w:tc>
          <w:tcPr>
            <w:tcW w:w="745" w:type="pct"/>
            <w:tcBorders>
              <w:top w:val="nil"/>
              <w:bottom w:val="nil"/>
            </w:tcBorders>
          </w:tcPr>
          <w:p w:rsidR="00000000" w:rsidRDefault="00000000">
            <w:pPr>
              <w:pStyle w:val="ac"/>
              <w:tabs>
                <w:tab w:val="decimal" w:pos="809"/>
              </w:tabs>
            </w:pPr>
            <w:r>
              <w:t>1,300</w:t>
            </w:r>
          </w:p>
        </w:tc>
        <w:tc>
          <w:tcPr>
            <w:tcW w:w="866" w:type="pct"/>
            <w:tcBorders>
              <w:top w:val="nil"/>
              <w:bottom w:val="nil"/>
            </w:tcBorders>
          </w:tcPr>
          <w:p w:rsidR="00000000" w:rsidRDefault="00000000">
            <w:pPr>
              <w:pStyle w:val="ac"/>
              <w:ind w:right="377"/>
              <w:jc w:val="right"/>
            </w:pPr>
            <w:r>
              <w:t>+9%</w:t>
            </w:r>
          </w:p>
        </w:tc>
      </w:tr>
      <w:tr w:rsidR="00000000">
        <w:tblPrEx>
          <w:tblCellMar>
            <w:top w:w="0" w:type="dxa"/>
            <w:bottom w:w="0" w:type="dxa"/>
          </w:tblCellMar>
        </w:tblPrEx>
        <w:trPr>
          <w:jc w:val="center"/>
        </w:trPr>
        <w:tc>
          <w:tcPr>
            <w:tcW w:w="1154" w:type="pct"/>
            <w:tcBorders>
              <w:top w:val="nil"/>
              <w:bottom w:val="nil"/>
            </w:tcBorders>
          </w:tcPr>
          <w:p w:rsidR="00000000" w:rsidRDefault="00000000">
            <w:pPr>
              <w:pStyle w:val="ac"/>
            </w:pPr>
            <w:r>
              <w:rPr>
                <w:rFonts w:hint="eastAsia"/>
                <w:snapToGrid/>
              </w:rPr>
              <w:t>个人计划</w:t>
            </w:r>
          </w:p>
        </w:tc>
        <w:tc>
          <w:tcPr>
            <w:tcW w:w="745" w:type="pct"/>
            <w:tcBorders>
              <w:top w:val="nil"/>
              <w:bottom w:val="nil"/>
            </w:tcBorders>
          </w:tcPr>
          <w:p w:rsidR="00000000" w:rsidRDefault="00000000">
            <w:pPr>
              <w:pStyle w:val="ac"/>
              <w:tabs>
                <w:tab w:val="decimal" w:pos="809"/>
              </w:tabs>
            </w:pPr>
            <w:r>
              <w:t>-</w:t>
            </w:r>
          </w:p>
        </w:tc>
        <w:tc>
          <w:tcPr>
            <w:tcW w:w="745" w:type="pct"/>
            <w:tcBorders>
              <w:top w:val="nil"/>
              <w:bottom w:val="nil"/>
            </w:tcBorders>
          </w:tcPr>
          <w:p w:rsidR="00000000" w:rsidRDefault="00000000">
            <w:pPr>
              <w:pStyle w:val="ac"/>
              <w:tabs>
                <w:tab w:val="decimal" w:pos="809"/>
              </w:tabs>
            </w:pPr>
            <w:r>
              <w:t>-</w:t>
            </w:r>
          </w:p>
        </w:tc>
        <w:tc>
          <w:tcPr>
            <w:tcW w:w="745" w:type="pct"/>
            <w:tcBorders>
              <w:top w:val="nil"/>
              <w:bottom w:val="nil"/>
            </w:tcBorders>
          </w:tcPr>
          <w:p w:rsidR="00000000" w:rsidRDefault="00000000">
            <w:pPr>
              <w:pStyle w:val="ac"/>
              <w:tabs>
                <w:tab w:val="decimal" w:pos="809"/>
              </w:tabs>
            </w:pPr>
            <w:r>
              <w:t>3,200</w:t>
            </w:r>
          </w:p>
        </w:tc>
        <w:tc>
          <w:tcPr>
            <w:tcW w:w="745" w:type="pct"/>
            <w:tcBorders>
              <w:top w:val="nil"/>
              <w:bottom w:val="nil"/>
            </w:tcBorders>
          </w:tcPr>
          <w:p w:rsidR="00000000" w:rsidRDefault="00000000">
            <w:pPr>
              <w:pStyle w:val="ac"/>
              <w:tabs>
                <w:tab w:val="decimal" w:pos="809"/>
              </w:tabs>
            </w:pPr>
            <w:r>
              <w:t>-</w:t>
            </w:r>
          </w:p>
        </w:tc>
        <w:tc>
          <w:tcPr>
            <w:tcW w:w="866" w:type="pct"/>
            <w:tcBorders>
              <w:top w:val="nil"/>
              <w:bottom w:val="nil"/>
            </w:tcBorders>
          </w:tcPr>
          <w:p w:rsidR="00000000" w:rsidRDefault="00000000">
            <w:pPr>
              <w:pStyle w:val="ac"/>
              <w:ind w:right="377"/>
              <w:jc w:val="right"/>
            </w:pPr>
            <w:r>
              <w:t>-</w:t>
            </w:r>
          </w:p>
        </w:tc>
      </w:tr>
      <w:tr w:rsidR="00000000">
        <w:tblPrEx>
          <w:tblCellMar>
            <w:top w:w="0" w:type="dxa"/>
            <w:bottom w:w="0" w:type="dxa"/>
          </w:tblCellMar>
        </w:tblPrEx>
        <w:trPr>
          <w:jc w:val="center"/>
        </w:trPr>
        <w:tc>
          <w:tcPr>
            <w:tcW w:w="1154" w:type="pct"/>
            <w:tcBorders>
              <w:top w:val="nil"/>
            </w:tcBorders>
          </w:tcPr>
          <w:p w:rsidR="00000000" w:rsidRDefault="00000000">
            <w:pPr>
              <w:pStyle w:val="ac"/>
            </w:pPr>
            <w:r>
              <w:rPr>
                <w:rFonts w:hint="eastAsia"/>
                <w:snapToGrid/>
              </w:rPr>
              <w:t>个人代表</w:t>
            </w:r>
          </w:p>
        </w:tc>
        <w:tc>
          <w:tcPr>
            <w:tcW w:w="745" w:type="pct"/>
            <w:tcBorders>
              <w:top w:val="nil"/>
            </w:tcBorders>
          </w:tcPr>
          <w:p w:rsidR="00000000" w:rsidRDefault="00000000">
            <w:pPr>
              <w:pStyle w:val="ac"/>
              <w:tabs>
                <w:tab w:val="decimal" w:pos="809"/>
              </w:tabs>
            </w:pPr>
            <w:r>
              <w:t>-</w:t>
            </w:r>
          </w:p>
        </w:tc>
        <w:tc>
          <w:tcPr>
            <w:tcW w:w="745" w:type="pct"/>
            <w:tcBorders>
              <w:top w:val="nil"/>
            </w:tcBorders>
          </w:tcPr>
          <w:p w:rsidR="00000000" w:rsidRDefault="00000000">
            <w:pPr>
              <w:pStyle w:val="ac"/>
              <w:tabs>
                <w:tab w:val="decimal" w:pos="809"/>
              </w:tabs>
            </w:pPr>
            <w:r>
              <w:t>1,200</w:t>
            </w:r>
          </w:p>
        </w:tc>
        <w:tc>
          <w:tcPr>
            <w:tcW w:w="745" w:type="pct"/>
            <w:tcBorders>
              <w:top w:val="nil"/>
            </w:tcBorders>
          </w:tcPr>
          <w:p w:rsidR="00000000" w:rsidRDefault="00000000">
            <w:pPr>
              <w:pStyle w:val="ac"/>
              <w:tabs>
                <w:tab w:val="decimal" w:pos="809"/>
              </w:tabs>
            </w:pPr>
            <w:r>
              <w:t>2,600</w:t>
            </w:r>
          </w:p>
        </w:tc>
        <w:tc>
          <w:tcPr>
            <w:tcW w:w="745" w:type="pct"/>
            <w:tcBorders>
              <w:top w:val="nil"/>
            </w:tcBorders>
          </w:tcPr>
          <w:p w:rsidR="00000000" w:rsidRDefault="00000000">
            <w:pPr>
              <w:pStyle w:val="ac"/>
              <w:tabs>
                <w:tab w:val="decimal" w:pos="809"/>
              </w:tabs>
            </w:pPr>
            <w:r>
              <w:t>3,200</w:t>
            </w:r>
          </w:p>
        </w:tc>
        <w:tc>
          <w:tcPr>
            <w:tcW w:w="866" w:type="pct"/>
            <w:tcBorders>
              <w:top w:val="nil"/>
            </w:tcBorders>
          </w:tcPr>
          <w:p w:rsidR="00000000" w:rsidRDefault="00000000">
            <w:pPr>
              <w:pStyle w:val="ac"/>
              <w:ind w:right="377"/>
              <w:jc w:val="right"/>
            </w:pPr>
            <w:r>
              <w:t>+167%</w:t>
            </w:r>
          </w:p>
        </w:tc>
      </w:tr>
    </w:tbl>
    <w:p w:rsidR="00000000" w:rsidRDefault="00000000">
      <w:pPr>
        <w:spacing w:after="240"/>
        <w:rPr>
          <w:rFonts w:hint="eastAsia"/>
          <w:snapToGrid/>
        </w:rPr>
      </w:pPr>
    </w:p>
    <w:p w:rsidR="00000000" w:rsidRDefault="00000000">
      <w:pPr>
        <w:rPr>
          <w:rFonts w:hint="eastAsia"/>
          <w:snapToGrid/>
        </w:rPr>
      </w:pPr>
      <w:r>
        <w:rPr>
          <w:rFonts w:hint="eastAsia"/>
          <w:snapToGrid/>
        </w:rPr>
        <w:tab/>
        <w:t>311.  2004</w:t>
      </w:r>
      <w:r>
        <w:rPr>
          <w:rFonts w:hint="eastAsia"/>
          <w:snapToGrid/>
        </w:rPr>
        <w:t>年，大约有</w:t>
      </w:r>
      <w:r>
        <w:rPr>
          <w:rFonts w:hint="eastAsia"/>
          <w:snapToGrid/>
        </w:rPr>
        <w:t>52,900</w:t>
      </w:r>
      <w:r>
        <w:rPr>
          <w:rFonts w:hint="eastAsia"/>
          <w:snapToGrid/>
        </w:rPr>
        <w:t>人根据《向有功能障碍者提供支助和服务法》获得协助，其中不包括获得咨询和其他个人支助的人。这比</w:t>
      </w:r>
      <w:r>
        <w:rPr>
          <w:snapToGrid/>
        </w:rPr>
        <w:t>199</w:t>
      </w:r>
      <w:r>
        <w:rPr>
          <w:rFonts w:hint="eastAsia"/>
          <w:snapToGrid/>
        </w:rPr>
        <w:t>9</w:t>
      </w:r>
      <w:r>
        <w:rPr>
          <w:rFonts w:hint="eastAsia"/>
          <w:snapToGrid/>
        </w:rPr>
        <w:t>年以来大约增加了</w:t>
      </w:r>
      <w:r>
        <w:rPr>
          <w:rFonts w:hint="eastAsia"/>
          <w:snapToGrid/>
        </w:rPr>
        <w:t>20%</w:t>
      </w:r>
      <w:r>
        <w:rPr>
          <w:rFonts w:hint="eastAsia"/>
          <w:snapToGrid/>
        </w:rPr>
        <w:t>。咨询和支助协助通常是省议会的职责领域，因此在统计中是分别报告的。</w:t>
      </w:r>
      <w:r>
        <w:rPr>
          <w:rFonts w:hint="eastAsia"/>
          <w:snapToGrid/>
        </w:rPr>
        <w:t>2004</w:t>
      </w:r>
      <w:r>
        <w:rPr>
          <w:rFonts w:hint="eastAsia"/>
          <w:snapToGrid/>
        </w:rPr>
        <w:t>年，根据《向有功能障碍者提供支助和服务法》向大约向</w:t>
      </w:r>
      <w:r>
        <w:rPr>
          <w:rFonts w:hint="eastAsia"/>
          <w:snapToGrid/>
        </w:rPr>
        <w:t>10,400</w:t>
      </w:r>
      <w:r>
        <w:rPr>
          <w:rFonts w:hint="eastAsia"/>
          <w:snapToGrid/>
        </w:rPr>
        <w:t>人提供咨询和支助协助，这样，人数就进一步减少了。在另外方面，</w:t>
      </w:r>
      <w:r>
        <w:rPr>
          <w:snapToGrid/>
        </w:rPr>
        <w:t>199</w:t>
      </w:r>
      <w:r>
        <w:rPr>
          <w:rFonts w:hint="eastAsia"/>
          <w:snapToGrid/>
        </w:rPr>
        <w:t>9</w:t>
      </w:r>
      <w:r>
        <w:rPr>
          <w:rFonts w:hint="eastAsia"/>
          <w:snapToGrid/>
        </w:rPr>
        <w:t>年以来根据《向有功能障碍者提供支助和服务法》获得协助的群体人数中唯一减少的是配备个人助手的人。</w:t>
      </w:r>
      <w:r>
        <w:rPr>
          <w:snapToGrid/>
        </w:rPr>
        <w:t>199</w:t>
      </w:r>
      <w:r>
        <w:rPr>
          <w:rFonts w:hint="eastAsia"/>
          <w:snapToGrid/>
        </w:rPr>
        <w:t>9</w:t>
      </w:r>
      <w:r>
        <w:rPr>
          <w:rFonts w:hint="eastAsia"/>
          <w:snapToGrid/>
        </w:rPr>
        <w:t>年以来</w:t>
      </w:r>
      <w:r>
        <w:rPr>
          <w:rFonts w:hint="eastAsia"/>
          <w:snapToGrid/>
        </w:rPr>
        <w:t>80%</w:t>
      </w:r>
      <w:r>
        <w:rPr>
          <w:rFonts w:hint="eastAsia"/>
          <w:snapToGrid/>
        </w:rPr>
        <w:t>的瑞典城市中根据《向有功能障碍者提供支助和服务法》获得协助的人数增加了。</w:t>
      </w:r>
    </w:p>
    <w:p w:rsidR="00000000" w:rsidRDefault="00000000">
      <w:pPr>
        <w:rPr>
          <w:rFonts w:hint="eastAsia"/>
          <w:snapToGrid/>
        </w:rPr>
      </w:pPr>
      <w:r>
        <w:rPr>
          <w:rFonts w:hint="eastAsia"/>
          <w:snapToGrid/>
        </w:rPr>
        <w:tab/>
        <w:t xml:space="preserve">312.  </w:t>
      </w:r>
      <w:r>
        <w:rPr>
          <w:rFonts w:hint="eastAsia"/>
          <w:snapToGrid/>
        </w:rPr>
        <w:t>除了这些人之外，根据《瑞典个人协助法》</w:t>
      </w:r>
      <w:r>
        <w:rPr>
          <w:rFonts w:hint="eastAsia"/>
          <w:snapToGrid/>
        </w:rPr>
        <w:t>(1993</w:t>
      </w:r>
      <w:r>
        <w:rPr>
          <w:rFonts w:hint="eastAsia"/>
          <w:snapToGrid/>
        </w:rPr>
        <w:t>：</w:t>
      </w:r>
      <w:r>
        <w:rPr>
          <w:rFonts w:hint="eastAsia"/>
          <w:snapToGrid/>
        </w:rPr>
        <w:t>389)</w:t>
      </w:r>
      <w:r>
        <w:rPr>
          <w:rFonts w:hint="eastAsia"/>
          <w:snapToGrid/>
        </w:rPr>
        <w:t>向大约</w:t>
      </w:r>
      <w:r>
        <w:rPr>
          <w:rFonts w:hint="eastAsia"/>
          <w:snapToGrid/>
        </w:rPr>
        <w:t>12,700</w:t>
      </w:r>
      <w:r>
        <w:rPr>
          <w:rFonts w:hint="eastAsia"/>
          <w:snapToGrid/>
        </w:rPr>
        <w:t>人发放国家协助津贴，因为这些人每星期有获得</w:t>
      </w:r>
      <w:r>
        <w:rPr>
          <w:rFonts w:hint="eastAsia"/>
          <w:snapToGrid/>
        </w:rPr>
        <w:t>20</w:t>
      </w:r>
      <w:r>
        <w:rPr>
          <w:rFonts w:hint="eastAsia"/>
          <w:snapToGrid/>
        </w:rPr>
        <w:t>个或更多小时的协助的基本需要。有权获得协助的人数从</w:t>
      </w:r>
      <w:r>
        <w:rPr>
          <w:rFonts w:hint="eastAsia"/>
          <w:snapToGrid/>
        </w:rPr>
        <w:t>1998</w:t>
      </w:r>
      <w:r>
        <w:rPr>
          <w:rFonts w:hint="eastAsia"/>
          <w:snapToGrid/>
        </w:rPr>
        <w:t>年的</w:t>
      </w:r>
      <w:r>
        <w:rPr>
          <w:rFonts w:hint="eastAsia"/>
          <w:snapToGrid/>
        </w:rPr>
        <w:t>7,600</w:t>
      </w:r>
      <w:r>
        <w:rPr>
          <w:rFonts w:hint="eastAsia"/>
          <w:snapToGrid/>
        </w:rPr>
        <w:t>人起不断增加。每人和每星期的小时数也增加了。</w:t>
      </w:r>
    </w:p>
    <w:p w:rsidR="00000000" w:rsidRDefault="00000000">
      <w:pPr>
        <w:spacing w:after="240"/>
        <w:rPr>
          <w:rFonts w:hint="eastAsia"/>
          <w:snapToGrid/>
        </w:rPr>
      </w:pPr>
      <w:r>
        <w:rPr>
          <w:rFonts w:hint="eastAsia"/>
          <w:snapToGrid/>
        </w:rPr>
        <w:tab/>
        <w:t>313.  2004</w:t>
      </w:r>
      <w:r>
        <w:rPr>
          <w:rFonts w:hint="eastAsia"/>
          <w:snapToGrid/>
        </w:rPr>
        <w:t>年，在只获得由城市提供的个人协助的人中间，妇女的比例比较高，而在获得协助津贴的人中间，男子占多数。</w:t>
      </w:r>
    </w:p>
    <w:p w:rsidR="00000000" w:rsidRDefault="00000000">
      <w:pPr>
        <w:pStyle w:val="Heading4"/>
        <w:rPr>
          <w:rFonts w:hint="eastAsia"/>
        </w:rPr>
      </w:pPr>
      <w:r>
        <w:rPr>
          <w:rFonts w:hint="eastAsia"/>
        </w:rPr>
        <w:t>《社会服务法》之下的举措</w:t>
      </w:r>
    </w:p>
    <w:p w:rsidR="00000000" w:rsidRDefault="00000000">
      <w:pPr>
        <w:rPr>
          <w:rFonts w:hint="eastAsia"/>
          <w:snapToGrid/>
        </w:rPr>
      </w:pPr>
      <w:r>
        <w:rPr>
          <w:rFonts w:hint="eastAsia"/>
          <w:snapToGrid/>
        </w:rPr>
        <w:tab/>
        <w:t xml:space="preserve">314.  </w:t>
      </w:r>
      <w:r>
        <w:rPr>
          <w:rFonts w:hint="eastAsia"/>
          <w:snapToGrid/>
        </w:rPr>
        <w:t>上面的统计数字只表示为严重残疾人士提供的服务。在社会服务统计中，残疾人只是几个群体中的一种，包括由于社会原因或由于精神残疾或年龄而根据《社会服务法》</w:t>
      </w:r>
      <w:r>
        <w:rPr>
          <w:rFonts w:hint="eastAsia"/>
          <w:snapToGrid/>
        </w:rPr>
        <w:t>(2001</w:t>
      </w:r>
      <w:r>
        <w:rPr>
          <w:rFonts w:hint="eastAsia"/>
          <w:snapToGrid/>
        </w:rPr>
        <w:t>：</w:t>
      </w:r>
      <w:r>
        <w:rPr>
          <w:rFonts w:hint="eastAsia"/>
          <w:snapToGrid/>
        </w:rPr>
        <w:t>453)</w:t>
      </w:r>
      <w:r>
        <w:rPr>
          <w:rFonts w:hint="eastAsia"/>
          <w:snapToGrid/>
        </w:rPr>
        <w:t>需要支助的人。</w:t>
      </w:r>
    </w:p>
    <w:p w:rsidR="00000000" w:rsidRDefault="00000000">
      <w:pPr>
        <w:rPr>
          <w:rFonts w:hint="eastAsia"/>
          <w:snapToGrid/>
        </w:rPr>
      </w:pPr>
      <w:r>
        <w:rPr>
          <w:rFonts w:hint="eastAsia"/>
          <w:snapToGrid/>
        </w:rPr>
        <w:tab/>
        <w:t>315.  2004</w:t>
      </w:r>
      <w:r>
        <w:rPr>
          <w:rFonts w:hint="eastAsia"/>
          <w:snapToGrid/>
        </w:rPr>
        <w:t>年，根据《社会服务法》向</w:t>
      </w:r>
      <w:r>
        <w:rPr>
          <w:rFonts w:hint="eastAsia"/>
          <w:snapToGrid/>
        </w:rPr>
        <w:t>16,400</w:t>
      </w:r>
      <w:r>
        <w:rPr>
          <w:rFonts w:hint="eastAsia"/>
          <w:snapToGrid/>
        </w:rPr>
        <w:t>名</w:t>
      </w:r>
      <w:r>
        <w:rPr>
          <w:rFonts w:hint="eastAsia"/>
          <w:snapToGrid/>
        </w:rPr>
        <w:t>0</w:t>
      </w:r>
      <w:r>
        <w:rPr>
          <w:snapToGrid/>
        </w:rPr>
        <w:t>-</w:t>
      </w:r>
      <w:r>
        <w:rPr>
          <w:rFonts w:hint="eastAsia"/>
          <w:snapToGrid/>
        </w:rPr>
        <w:t>64</w:t>
      </w:r>
      <w:r>
        <w:rPr>
          <w:rFonts w:hint="eastAsia"/>
          <w:snapToGrid/>
        </w:rPr>
        <w:t>岁的人提供家庭支助服务，另外根据《社会服务法》向同一年龄群的人提供特殊住房。</w:t>
      </w:r>
      <w:r>
        <w:rPr>
          <w:snapToGrid/>
        </w:rPr>
        <w:t>199</w:t>
      </w:r>
      <w:r>
        <w:rPr>
          <w:rFonts w:hint="eastAsia"/>
          <w:snapToGrid/>
        </w:rPr>
        <w:t>9</w:t>
      </w:r>
      <w:r>
        <w:rPr>
          <w:rFonts w:hint="eastAsia"/>
          <w:snapToGrid/>
        </w:rPr>
        <w:t>年以来，在略超过半数的瑞典城市里，根据《社会服务法》向</w:t>
      </w:r>
      <w:r>
        <w:rPr>
          <w:rFonts w:hint="eastAsia"/>
          <w:snapToGrid/>
        </w:rPr>
        <w:t>65</w:t>
      </w:r>
      <w:r>
        <w:rPr>
          <w:rFonts w:hint="eastAsia"/>
          <w:snapToGrid/>
        </w:rPr>
        <w:t>岁以下的人提供的服务增加了。</w:t>
      </w:r>
      <w:r>
        <w:rPr>
          <w:snapToGrid/>
        </w:rPr>
        <w:t>199</w:t>
      </w:r>
      <w:r>
        <w:rPr>
          <w:rFonts w:hint="eastAsia"/>
          <w:snapToGrid/>
        </w:rPr>
        <w:t>9</w:t>
      </w:r>
      <w:r>
        <w:rPr>
          <w:rFonts w:hint="eastAsia"/>
          <w:snapToGrid/>
        </w:rPr>
        <w:t>年以来，在大约十分之一的城市里，根据《瑞典个人协助法》或《社会服务法》获得服务的</w:t>
      </w:r>
      <w:r>
        <w:rPr>
          <w:rFonts w:hint="eastAsia"/>
          <w:snapToGrid/>
        </w:rPr>
        <w:t>(0</w:t>
      </w:r>
      <w:r>
        <w:rPr>
          <w:snapToGrid/>
        </w:rPr>
        <w:t>-</w:t>
      </w:r>
      <w:r>
        <w:rPr>
          <w:rFonts w:hint="eastAsia"/>
          <w:snapToGrid/>
        </w:rPr>
        <w:t>65</w:t>
      </w:r>
      <w:r>
        <w:rPr>
          <w:rFonts w:hint="eastAsia"/>
          <w:snapToGrid/>
        </w:rPr>
        <w:t>岁的</w:t>
      </w:r>
      <w:r>
        <w:rPr>
          <w:rFonts w:hint="eastAsia"/>
          <w:snapToGrid/>
        </w:rPr>
        <w:t>)</w:t>
      </w:r>
      <w:r>
        <w:rPr>
          <w:rFonts w:hint="eastAsia"/>
          <w:snapToGrid/>
        </w:rPr>
        <w:t>人数减少了。</w:t>
      </w:r>
    </w:p>
    <w:p w:rsidR="00000000" w:rsidRDefault="00000000">
      <w:pPr>
        <w:spacing w:after="240"/>
        <w:rPr>
          <w:rFonts w:hint="eastAsia"/>
          <w:snapToGrid/>
        </w:rPr>
      </w:pPr>
      <w:r>
        <w:rPr>
          <w:rFonts w:hint="eastAsia"/>
          <w:snapToGrid/>
        </w:rPr>
        <w:tab/>
        <w:t xml:space="preserve">316.  </w:t>
      </w:r>
      <w:r>
        <w:rPr>
          <w:rFonts w:hint="eastAsia"/>
          <w:snapToGrid/>
        </w:rPr>
        <w:t>政府在</w:t>
      </w:r>
      <w:r>
        <w:rPr>
          <w:rFonts w:hint="eastAsia"/>
          <w:snapToGrid/>
        </w:rPr>
        <w:t>2003</w:t>
      </w:r>
      <w:r>
        <w:rPr>
          <w:rFonts w:hint="eastAsia"/>
          <w:snapToGrid/>
        </w:rPr>
        <w:t>年</w:t>
      </w:r>
      <w:r>
        <w:rPr>
          <w:rFonts w:hint="eastAsia"/>
          <w:snapToGrid/>
        </w:rPr>
        <w:t>10</w:t>
      </w:r>
      <w:r>
        <w:rPr>
          <w:rFonts w:hint="eastAsia"/>
          <w:snapToGrid/>
        </w:rPr>
        <w:t>月任命了一名全国精神病护理协调人，他的职责是总管精神病护理、社会服务和严重心智疾病和</w:t>
      </w:r>
      <w:r>
        <w:rPr>
          <w:rFonts w:hint="eastAsia"/>
          <w:snapToGrid/>
        </w:rPr>
        <w:t>/</w:t>
      </w:r>
      <w:r>
        <w:rPr>
          <w:rFonts w:hint="eastAsia"/>
          <w:snapToGrid/>
        </w:rPr>
        <w:t>或智力残疾人士康复的方法、合作、资源、人员和专门知识的问题</w:t>
      </w:r>
      <w:r>
        <w:rPr>
          <w:rFonts w:hint="eastAsia"/>
          <w:snapToGrid/>
        </w:rPr>
        <w:t>(ToR 2003</w:t>
      </w:r>
      <w:r>
        <w:rPr>
          <w:rFonts w:hint="eastAsia"/>
          <w:snapToGrid/>
        </w:rPr>
        <w:t>：</w:t>
      </w:r>
      <w:r>
        <w:rPr>
          <w:rFonts w:hint="eastAsia"/>
          <w:snapToGrid/>
        </w:rPr>
        <w:t>133)</w:t>
      </w:r>
      <w:r>
        <w:rPr>
          <w:rFonts w:hint="eastAsia"/>
          <w:snapToGrid/>
        </w:rPr>
        <w:t>。其任务包括与所有有关的行动者合伙工作，以促进这个目标群体的护理和服务工作的改进。这位协调人将就其受委事项提出的各种问题以及在工作过程中出现的问题定期提供有关建议。该委任将在</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1</w:t>
      </w:r>
      <w:r>
        <w:rPr>
          <w:rFonts w:hint="eastAsia"/>
          <w:snapToGrid/>
        </w:rPr>
        <w:t>日到期。</w:t>
      </w:r>
    </w:p>
    <w:p w:rsidR="00000000" w:rsidRDefault="00000000">
      <w:pPr>
        <w:pStyle w:val="Heading4"/>
        <w:rPr>
          <w:rFonts w:hint="eastAsia"/>
        </w:rPr>
      </w:pPr>
      <w:r>
        <w:rPr>
          <w:rFonts w:hint="eastAsia"/>
        </w:rPr>
        <w:t>瑞典的贫困统计</w:t>
      </w:r>
    </w:p>
    <w:p w:rsidR="00000000" w:rsidRDefault="00000000">
      <w:pPr>
        <w:rPr>
          <w:rFonts w:hint="eastAsia"/>
          <w:snapToGrid/>
        </w:rPr>
      </w:pPr>
      <w:r>
        <w:rPr>
          <w:rFonts w:hint="eastAsia"/>
          <w:snapToGrid/>
        </w:rPr>
        <w:tab/>
        <w:t xml:space="preserve">317.  </w:t>
      </w:r>
      <w:r>
        <w:rPr>
          <w:rFonts w:hint="eastAsia"/>
          <w:snapToGrid/>
        </w:rPr>
        <w:t>虽然没有保存关于瑞典贫困状况的任何官方统计材料，但是做过几项对于贫困问题进行测定的研究。瑞典没有官方的贫困线。</w:t>
      </w:r>
    </w:p>
    <w:p w:rsidR="00000000" w:rsidRDefault="00000000">
      <w:pPr>
        <w:rPr>
          <w:rFonts w:hint="eastAsia"/>
          <w:snapToGrid/>
        </w:rPr>
      </w:pPr>
      <w:r>
        <w:rPr>
          <w:rFonts w:hint="eastAsia"/>
          <w:snapToGrid/>
        </w:rPr>
        <w:tab/>
        <w:t xml:space="preserve">318.  </w:t>
      </w:r>
      <w:r>
        <w:rPr>
          <w:rFonts w:hint="eastAsia"/>
          <w:snapToGrid/>
        </w:rPr>
        <w:t>尽管在</w:t>
      </w:r>
      <w:r>
        <w:rPr>
          <w:rFonts w:hint="eastAsia"/>
          <w:snapToGrid/>
        </w:rPr>
        <w:t>1997</w:t>
      </w:r>
      <w:r>
        <w:rPr>
          <w:rFonts w:hint="eastAsia"/>
          <w:snapToGrid/>
        </w:rPr>
        <w:t>年到</w:t>
      </w:r>
      <w:r>
        <w:rPr>
          <w:rFonts w:hint="eastAsia"/>
          <w:snapToGrid/>
        </w:rPr>
        <w:t>2003</w:t>
      </w:r>
      <w:r>
        <w:rPr>
          <w:rFonts w:hint="eastAsia"/>
          <w:snapToGrid/>
        </w:rPr>
        <w:t>年之间，青年人的贫困风险减少了，但是这种风险比</w:t>
      </w:r>
      <w:r>
        <w:rPr>
          <w:rFonts w:hint="eastAsia"/>
          <w:snapToGrid/>
        </w:rPr>
        <w:t>1991</w:t>
      </w:r>
      <w:r>
        <w:rPr>
          <w:rFonts w:hint="eastAsia"/>
          <w:snapToGrid/>
        </w:rPr>
        <w:t>年要大得多。青年人需要越来越长的时间才能在劳工市场站住脚跟和建立家庭，这意味着当代的青年人面临着比上几代人更大的挑战。学校学习的时间延长和高失业率增加了贫困的风险。</w:t>
      </w:r>
    </w:p>
    <w:p w:rsidR="00000000" w:rsidRDefault="00000000">
      <w:pPr>
        <w:spacing w:after="320"/>
        <w:rPr>
          <w:rFonts w:hint="eastAsia"/>
          <w:snapToGrid/>
        </w:rPr>
      </w:pPr>
      <w:r>
        <w:rPr>
          <w:rFonts w:hint="eastAsia"/>
          <w:snapToGrid/>
        </w:rPr>
        <w:tab/>
        <w:t xml:space="preserve">319.  </w:t>
      </w:r>
      <w:r>
        <w:rPr>
          <w:rFonts w:hint="eastAsia"/>
          <w:snapToGrid/>
        </w:rPr>
        <w:t>下面的表格表明</w:t>
      </w:r>
      <w:r>
        <w:rPr>
          <w:rFonts w:hint="eastAsia"/>
          <w:snapToGrid/>
        </w:rPr>
        <w:t>20</w:t>
      </w:r>
      <w:r>
        <w:rPr>
          <w:rFonts w:hint="eastAsia"/>
          <w:snapToGrid/>
        </w:rPr>
        <w:t>世纪</w:t>
      </w:r>
      <w:r>
        <w:rPr>
          <w:rFonts w:hint="eastAsia"/>
          <w:snapToGrid/>
        </w:rPr>
        <w:t>90</w:t>
      </w:r>
      <w:r>
        <w:rPr>
          <w:rFonts w:hint="eastAsia"/>
          <w:snapToGrid/>
        </w:rPr>
        <w:t>年代所发生的实际收入下降把越来越多的人推下以测定年份内可支配收入中位数的百分比</w:t>
      </w:r>
      <w:r>
        <w:rPr>
          <w:rFonts w:hint="eastAsia"/>
          <w:snapToGrid/>
        </w:rPr>
        <w:t>(40%</w:t>
      </w:r>
      <w:r>
        <w:rPr>
          <w:rFonts w:hint="eastAsia"/>
          <w:snapToGrid/>
        </w:rPr>
        <w:t>、</w:t>
      </w:r>
      <w:r>
        <w:rPr>
          <w:rFonts w:hint="eastAsia"/>
          <w:snapToGrid/>
        </w:rPr>
        <w:t>50%</w:t>
      </w:r>
      <w:r>
        <w:rPr>
          <w:rFonts w:hint="eastAsia"/>
          <w:snapToGrid/>
        </w:rPr>
        <w:t>、</w:t>
      </w:r>
      <w:r>
        <w:rPr>
          <w:rFonts w:hint="eastAsia"/>
          <w:snapToGrid/>
        </w:rPr>
        <w:t>60%</w:t>
      </w:r>
      <w:r>
        <w:rPr>
          <w:rFonts w:hint="eastAsia"/>
          <w:snapToGrid/>
        </w:rPr>
        <w:t>或</w:t>
      </w:r>
      <w:r>
        <w:rPr>
          <w:rFonts w:hint="eastAsia"/>
          <w:snapToGrid/>
        </w:rPr>
        <w:t>70%)</w:t>
      </w:r>
      <w:r>
        <w:rPr>
          <w:rFonts w:hint="eastAsia"/>
          <w:snapToGrid/>
        </w:rPr>
        <w:t>来定义的贫困线。</w:t>
      </w:r>
    </w:p>
    <w:p w:rsidR="00000000" w:rsidRDefault="00000000">
      <w:pPr>
        <w:pStyle w:val="Heading3"/>
        <w:spacing w:after="240"/>
        <w:rPr>
          <w:rFonts w:ascii="Time New Roman" w:eastAsia="SimHei" w:hAnsi="Time New Roman" w:hint="eastAsia"/>
          <w:kern w:val="0"/>
          <w:u w:val="none"/>
        </w:rPr>
      </w:pPr>
      <w:r>
        <w:rPr>
          <w:rFonts w:ascii="Time New Roman" w:eastAsia="SimHei" w:hAnsi="Time New Roman" w:hint="eastAsia"/>
          <w:kern w:val="0"/>
          <w:u w:val="none"/>
        </w:rPr>
        <w:t>表</w:t>
      </w:r>
      <w:r>
        <w:rPr>
          <w:rFonts w:ascii="Time New Roman" w:eastAsia="SimHei" w:hAnsi="Time New Roman" w:hint="eastAsia"/>
          <w:b/>
          <w:kern w:val="0"/>
          <w:u w:val="none"/>
        </w:rPr>
        <w:t>11</w:t>
      </w:r>
      <w:r>
        <w:rPr>
          <w:rFonts w:ascii="Time New Roman" w:eastAsia="SimHei" w:hAnsi="Time New Roman" w:hint="eastAsia"/>
          <w:kern w:val="0"/>
          <w:u w:val="none"/>
        </w:rPr>
        <w:t>：</w:t>
      </w:r>
      <w:r>
        <w:rPr>
          <w:rFonts w:ascii="Time New Roman" w:eastAsia="SimHei" w:hAnsi="Time New Roman" w:hint="eastAsia"/>
          <w:b/>
          <w:kern w:val="0"/>
          <w:u w:val="none"/>
        </w:rPr>
        <w:t>4</w:t>
      </w:r>
    </w:p>
    <w:p w:rsidR="00000000" w:rsidRDefault="00000000">
      <w:pPr>
        <w:pStyle w:val="Heading3"/>
        <w:rPr>
          <w:rFonts w:ascii="Time New Roman" w:eastAsia="SimHei" w:hAnsi="Time New Roman" w:hint="eastAsia"/>
        </w:rPr>
      </w:pPr>
      <w:r>
        <w:rPr>
          <w:rFonts w:ascii="Time New Roman" w:eastAsia="SimHei" w:hAnsi="Time New Roman" w:hint="eastAsia"/>
          <w:b/>
          <w:kern w:val="0"/>
          <w:u w:val="none"/>
        </w:rPr>
        <w:t>1991</w:t>
      </w:r>
      <w:r>
        <w:rPr>
          <w:rFonts w:ascii="Time New Roman" w:eastAsia="SimHei" w:hAnsi="Time New Roman" w:hint="eastAsia"/>
          <w:kern w:val="0"/>
          <w:u w:val="none"/>
        </w:rPr>
        <w:t>年和</w:t>
      </w:r>
      <w:r>
        <w:rPr>
          <w:rFonts w:ascii="Time New Roman" w:eastAsia="SimHei" w:hAnsi="Time New Roman" w:hint="eastAsia"/>
          <w:b/>
          <w:kern w:val="0"/>
          <w:u w:val="none"/>
        </w:rPr>
        <w:t>1995</w:t>
      </w:r>
      <w:r>
        <w:rPr>
          <w:rFonts w:ascii="Time New Roman" w:eastAsia="SimHei" w:hAnsi="Time New Roman"/>
          <w:kern w:val="0"/>
          <w:u w:val="none"/>
        </w:rPr>
        <w:t>-</w:t>
      </w:r>
      <w:r>
        <w:rPr>
          <w:rFonts w:ascii="Time New Roman" w:eastAsia="SimHei" w:hAnsi="Time New Roman" w:hint="eastAsia"/>
          <w:b/>
          <w:kern w:val="0"/>
          <w:u w:val="none"/>
        </w:rPr>
        <w:t>2003</w:t>
      </w:r>
      <w:r>
        <w:rPr>
          <w:rFonts w:ascii="Time New Roman" w:eastAsia="SimHei" w:hAnsi="Time New Roman" w:hint="eastAsia"/>
          <w:kern w:val="0"/>
          <w:u w:val="none"/>
        </w:rPr>
        <w:t>年全部人口中穷人的百分比</w:t>
      </w:r>
    </w:p>
    <w:p w:rsidR="00000000" w:rsidRDefault="00000000">
      <w:pPr>
        <w:spacing w:after="240"/>
        <w:rPr>
          <w:rFonts w:hint="eastAsia"/>
          <w:snapToGrid/>
        </w:rPr>
      </w:pPr>
      <w:r>
        <w:rPr>
          <w:rFonts w:hint="eastAsia"/>
          <w:snapToGrid/>
        </w:rPr>
        <w:tab/>
      </w:r>
      <w:r>
        <w:rPr>
          <w:rFonts w:hint="eastAsia"/>
          <w:snapToGrid/>
        </w:rPr>
        <w:t>以测定年份内可支配收入中位数的百分比确定相对贫困线。</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2043"/>
        <w:gridCol w:w="2043"/>
        <w:gridCol w:w="2043"/>
        <w:gridCol w:w="1919"/>
      </w:tblGrid>
      <w:tr w:rsidR="00000000">
        <w:tblPrEx>
          <w:tblCellMar>
            <w:top w:w="0" w:type="dxa"/>
            <w:bottom w:w="0" w:type="dxa"/>
          </w:tblCellMar>
        </w:tblPrEx>
        <w:tc>
          <w:tcPr>
            <w:tcW w:w="694" w:type="pct"/>
            <w:tcBorders>
              <w:bottom w:val="single" w:sz="4" w:space="0" w:color="auto"/>
            </w:tcBorders>
          </w:tcPr>
          <w:p w:rsidR="00000000" w:rsidRDefault="00000000">
            <w:pPr>
              <w:pStyle w:val="ac"/>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093"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rPr>
              <w:t>&lt;</w:t>
            </w:r>
            <w:r>
              <w:rPr>
                <w:rFonts w:ascii="Time New Roman" w:eastAsia="SimHei" w:hAnsi="Time New Roman"/>
                <w:b/>
              </w:rPr>
              <w:t>40</w:t>
            </w:r>
            <w:r>
              <w:rPr>
                <w:rFonts w:ascii="Time New Roman" w:eastAsia="SimHei" w:hAnsi="Time New Roman"/>
              </w:rPr>
              <w:t>%</w:t>
            </w:r>
          </w:p>
        </w:tc>
        <w:tc>
          <w:tcPr>
            <w:tcW w:w="1093"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rPr>
              <w:t>&lt;</w:t>
            </w:r>
            <w:r>
              <w:rPr>
                <w:rFonts w:ascii="Time New Roman" w:eastAsia="SimHei" w:hAnsi="Time New Roman"/>
                <w:b/>
              </w:rPr>
              <w:t>50</w:t>
            </w:r>
            <w:r>
              <w:rPr>
                <w:rFonts w:ascii="Time New Roman" w:eastAsia="SimHei" w:hAnsi="Time New Roman"/>
              </w:rPr>
              <w:t>%</w:t>
            </w:r>
          </w:p>
        </w:tc>
        <w:tc>
          <w:tcPr>
            <w:tcW w:w="1093"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rPr>
              <w:t>&lt;</w:t>
            </w:r>
            <w:r>
              <w:rPr>
                <w:rFonts w:ascii="Time New Roman" w:eastAsia="SimHei" w:hAnsi="Time New Roman"/>
                <w:b/>
              </w:rPr>
              <w:t>60</w:t>
            </w:r>
            <w:r>
              <w:rPr>
                <w:rFonts w:ascii="Time New Roman" w:eastAsia="SimHei" w:hAnsi="Time New Roman"/>
              </w:rPr>
              <w:t>%</w:t>
            </w:r>
          </w:p>
        </w:tc>
        <w:tc>
          <w:tcPr>
            <w:tcW w:w="1028"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rPr>
              <w:t>&lt;</w:t>
            </w:r>
            <w:r>
              <w:rPr>
                <w:rFonts w:ascii="Time New Roman" w:eastAsia="SimHei" w:hAnsi="Time New Roman"/>
                <w:b/>
              </w:rPr>
              <w:t>70</w:t>
            </w:r>
            <w:r>
              <w:rPr>
                <w:rFonts w:ascii="Time New Roman" w:eastAsia="SimHei" w:hAnsi="Time New Roman"/>
              </w:rPr>
              <w:t>%</w:t>
            </w:r>
          </w:p>
        </w:tc>
      </w:tr>
      <w:tr w:rsidR="00000000">
        <w:tblPrEx>
          <w:tblCellMar>
            <w:top w:w="0" w:type="dxa"/>
            <w:bottom w:w="0" w:type="dxa"/>
          </w:tblCellMar>
        </w:tblPrEx>
        <w:tc>
          <w:tcPr>
            <w:tcW w:w="694" w:type="pct"/>
            <w:tcBorders>
              <w:bottom w:val="nil"/>
            </w:tcBorders>
          </w:tcPr>
          <w:p w:rsidR="00000000" w:rsidRDefault="00000000">
            <w:pPr>
              <w:pStyle w:val="ac"/>
            </w:pPr>
            <w:r>
              <w:t>1991</w:t>
            </w:r>
          </w:p>
        </w:tc>
        <w:tc>
          <w:tcPr>
            <w:tcW w:w="1093" w:type="pct"/>
            <w:tcBorders>
              <w:bottom w:val="nil"/>
            </w:tcBorders>
          </w:tcPr>
          <w:p w:rsidR="00000000" w:rsidRDefault="00000000">
            <w:pPr>
              <w:pStyle w:val="ac"/>
              <w:tabs>
                <w:tab w:val="decimal" w:pos="906"/>
              </w:tabs>
            </w:pPr>
            <w:r>
              <w:t>2.1</w:t>
            </w:r>
          </w:p>
        </w:tc>
        <w:tc>
          <w:tcPr>
            <w:tcW w:w="1093" w:type="pct"/>
            <w:tcBorders>
              <w:bottom w:val="nil"/>
            </w:tcBorders>
          </w:tcPr>
          <w:p w:rsidR="00000000" w:rsidRDefault="00000000">
            <w:pPr>
              <w:pStyle w:val="ac"/>
              <w:tabs>
                <w:tab w:val="decimal" w:pos="906"/>
              </w:tabs>
            </w:pPr>
            <w:r>
              <w:t>4.1</w:t>
            </w:r>
          </w:p>
        </w:tc>
        <w:tc>
          <w:tcPr>
            <w:tcW w:w="1093" w:type="pct"/>
            <w:tcBorders>
              <w:bottom w:val="nil"/>
            </w:tcBorders>
          </w:tcPr>
          <w:p w:rsidR="00000000" w:rsidRDefault="00000000">
            <w:pPr>
              <w:pStyle w:val="ac"/>
              <w:tabs>
                <w:tab w:val="decimal" w:pos="906"/>
              </w:tabs>
            </w:pPr>
            <w:r>
              <w:t>8.3</w:t>
            </w:r>
          </w:p>
        </w:tc>
        <w:tc>
          <w:tcPr>
            <w:tcW w:w="1028" w:type="pct"/>
            <w:tcBorders>
              <w:bottom w:val="nil"/>
            </w:tcBorders>
          </w:tcPr>
          <w:p w:rsidR="00000000" w:rsidRDefault="00000000">
            <w:pPr>
              <w:pStyle w:val="ac"/>
              <w:tabs>
                <w:tab w:val="decimal" w:pos="906"/>
              </w:tabs>
            </w:pPr>
            <w:r>
              <w:t>16.0</w:t>
            </w:r>
          </w:p>
        </w:tc>
      </w:tr>
      <w:tr w:rsidR="00000000">
        <w:tblPrEx>
          <w:tblCellMar>
            <w:top w:w="0" w:type="dxa"/>
            <w:bottom w:w="0" w:type="dxa"/>
          </w:tblCellMar>
        </w:tblPrEx>
        <w:tc>
          <w:tcPr>
            <w:tcW w:w="694" w:type="pct"/>
            <w:tcBorders>
              <w:top w:val="nil"/>
              <w:bottom w:val="nil"/>
            </w:tcBorders>
          </w:tcPr>
          <w:p w:rsidR="00000000" w:rsidRDefault="00000000">
            <w:pPr>
              <w:pStyle w:val="ac"/>
            </w:pPr>
            <w:r>
              <w:t>1995</w:t>
            </w:r>
          </w:p>
        </w:tc>
        <w:tc>
          <w:tcPr>
            <w:tcW w:w="1093" w:type="pct"/>
            <w:tcBorders>
              <w:top w:val="nil"/>
              <w:bottom w:val="nil"/>
            </w:tcBorders>
          </w:tcPr>
          <w:p w:rsidR="00000000" w:rsidRDefault="00000000">
            <w:pPr>
              <w:pStyle w:val="ac"/>
              <w:tabs>
                <w:tab w:val="decimal" w:pos="906"/>
              </w:tabs>
            </w:pPr>
            <w:r>
              <w:t>2.0</w:t>
            </w:r>
          </w:p>
        </w:tc>
        <w:tc>
          <w:tcPr>
            <w:tcW w:w="1093" w:type="pct"/>
            <w:tcBorders>
              <w:top w:val="nil"/>
              <w:bottom w:val="nil"/>
            </w:tcBorders>
          </w:tcPr>
          <w:p w:rsidR="00000000" w:rsidRDefault="00000000">
            <w:pPr>
              <w:pStyle w:val="ac"/>
              <w:tabs>
                <w:tab w:val="decimal" w:pos="906"/>
              </w:tabs>
            </w:pPr>
            <w:r>
              <w:t>3.4</w:t>
            </w:r>
          </w:p>
        </w:tc>
        <w:tc>
          <w:tcPr>
            <w:tcW w:w="1093" w:type="pct"/>
            <w:tcBorders>
              <w:top w:val="nil"/>
              <w:bottom w:val="nil"/>
            </w:tcBorders>
          </w:tcPr>
          <w:p w:rsidR="00000000" w:rsidRDefault="00000000">
            <w:pPr>
              <w:pStyle w:val="ac"/>
              <w:tabs>
                <w:tab w:val="decimal" w:pos="906"/>
              </w:tabs>
            </w:pPr>
            <w:r>
              <w:t>6.5</w:t>
            </w:r>
          </w:p>
        </w:tc>
        <w:tc>
          <w:tcPr>
            <w:tcW w:w="1028" w:type="pct"/>
            <w:tcBorders>
              <w:top w:val="nil"/>
              <w:bottom w:val="nil"/>
            </w:tcBorders>
          </w:tcPr>
          <w:p w:rsidR="00000000" w:rsidRDefault="00000000">
            <w:pPr>
              <w:pStyle w:val="ac"/>
              <w:tabs>
                <w:tab w:val="decimal" w:pos="906"/>
              </w:tabs>
            </w:pPr>
            <w:r>
              <w:t>13.8</w:t>
            </w:r>
          </w:p>
        </w:tc>
      </w:tr>
      <w:tr w:rsidR="00000000">
        <w:tblPrEx>
          <w:tblCellMar>
            <w:top w:w="0" w:type="dxa"/>
            <w:bottom w:w="0" w:type="dxa"/>
          </w:tblCellMar>
        </w:tblPrEx>
        <w:tc>
          <w:tcPr>
            <w:tcW w:w="694" w:type="pct"/>
            <w:tcBorders>
              <w:top w:val="nil"/>
              <w:bottom w:val="nil"/>
            </w:tcBorders>
          </w:tcPr>
          <w:p w:rsidR="00000000" w:rsidRDefault="00000000">
            <w:pPr>
              <w:pStyle w:val="ac"/>
            </w:pPr>
            <w:r>
              <w:t>1996</w:t>
            </w:r>
          </w:p>
        </w:tc>
        <w:tc>
          <w:tcPr>
            <w:tcW w:w="1093" w:type="pct"/>
            <w:tcBorders>
              <w:top w:val="nil"/>
              <w:bottom w:val="nil"/>
            </w:tcBorders>
          </w:tcPr>
          <w:p w:rsidR="00000000" w:rsidRDefault="00000000">
            <w:pPr>
              <w:pStyle w:val="ac"/>
              <w:tabs>
                <w:tab w:val="decimal" w:pos="906"/>
              </w:tabs>
            </w:pPr>
            <w:r>
              <w:t>2.1</w:t>
            </w:r>
          </w:p>
        </w:tc>
        <w:tc>
          <w:tcPr>
            <w:tcW w:w="1093" w:type="pct"/>
            <w:tcBorders>
              <w:top w:val="nil"/>
              <w:bottom w:val="nil"/>
            </w:tcBorders>
          </w:tcPr>
          <w:p w:rsidR="00000000" w:rsidRDefault="00000000">
            <w:pPr>
              <w:pStyle w:val="ac"/>
              <w:tabs>
                <w:tab w:val="decimal" w:pos="906"/>
              </w:tabs>
            </w:pPr>
            <w:r>
              <w:t>3.5</w:t>
            </w:r>
          </w:p>
        </w:tc>
        <w:tc>
          <w:tcPr>
            <w:tcW w:w="1093" w:type="pct"/>
            <w:tcBorders>
              <w:top w:val="nil"/>
              <w:bottom w:val="nil"/>
            </w:tcBorders>
          </w:tcPr>
          <w:p w:rsidR="00000000" w:rsidRDefault="00000000">
            <w:pPr>
              <w:pStyle w:val="ac"/>
              <w:tabs>
                <w:tab w:val="decimal" w:pos="906"/>
              </w:tabs>
            </w:pPr>
            <w:r>
              <w:t>7.5</w:t>
            </w:r>
          </w:p>
        </w:tc>
        <w:tc>
          <w:tcPr>
            <w:tcW w:w="1028" w:type="pct"/>
            <w:tcBorders>
              <w:top w:val="nil"/>
              <w:bottom w:val="nil"/>
            </w:tcBorders>
          </w:tcPr>
          <w:p w:rsidR="00000000" w:rsidRDefault="00000000">
            <w:pPr>
              <w:pStyle w:val="ac"/>
              <w:tabs>
                <w:tab w:val="decimal" w:pos="906"/>
              </w:tabs>
            </w:pPr>
            <w:r>
              <w:t>15.3</w:t>
            </w:r>
          </w:p>
        </w:tc>
      </w:tr>
      <w:tr w:rsidR="00000000">
        <w:tblPrEx>
          <w:tblCellMar>
            <w:top w:w="0" w:type="dxa"/>
            <w:bottom w:w="0" w:type="dxa"/>
          </w:tblCellMar>
        </w:tblPrEx>
        <w:tc>
          <w:tcPr>
            <w:tcW w:w="694" w:type="pct"/>
            <w:tcBorders>
              <w:top w:val="nil"/>
              <w:bottom w:val="nil"/>
            </w:tcBorders>
          </w:tcPr>
          <w:p w:rsidR="00000000" w:rsidRDefault="00000000">
            <w:pPr>
              <w:pStyle w:val="ac"/>
            </w:pPr>
            <w:r>
              <w:t>1997</w:t>
            </w:r>
          </w:p>
        </w:tc>
        <w:tc>
          <w:tcPr>
            <w:tcW w:w="1093" w:type="pct"/>
            <w:tcBorders>
              <w:top w:val="nil"/>
              <w:bottom w:val="nil"/>
            </w:tcBorders>
          </w:tcPr>
          <w:p w:rsidR="00000000" w:rsidRDefault="00000000">
            <w:pPr>
              <w:pStyle w:val="ac"/>
              <w:tabs>
                <w:tab w:val="decimal" w:pos="906"/>
              </w:tabs>
            </w:pPr>
            <w:r>
              <w:t>1.8</w:t>
            </w:r>
          </w:p>
        </w:tc>
        <w:tc>
          <w:tcPr>
            <w:tcW w:w="1093" w:type="pct"/>
            <w:tcBorders>
              <w:top w:val="nil"/>
              <w:bottom w:val="nil"/>
            </w:tcBorders>
          </w:tcPr>
          <w:p w:rsidR="00000000" w:rsidRDefault="00000000">
            <w:pPr>
              <w:pStyle w:val="ac"/>
              <w:tabs>
                <w:tab w:val="decimal" w:pos="906"/>
              </w:tabs>
            </w:pPr>
            <w:r>
              <w:t>3.5</w:t>
            </w:r>
          </w:p>
        </w:tc>
        <w:tc>
          <w:tcPr>
            <w:tcW w:w="1093" w:type="pct"/>
            <w:tcBorders>
              <w:top w:val="nil"/>
              <w:bottom w:val="nil"/>
            </w:tcBorders>
          </w:tcPr>
          <w:p w:rsidR="00000000" w:rsidRDefault="00000000">
            <w:pPr>
              <w:pStyle w:val="ac"/>
              <w:tabs>
                <w:tab w:val="decimal" w:pos="906"/>
              </w:tabs>
            </w:pPr>
            <w:r>
              <w:t>7.4</w:t>
            </w:r>
          </w:p>
        </w:tc>
        <w:tc>
          <w:tcPr>
            <w:tcW w:w="1028" w:type="pct"/>
            <w:tcBorders>
              <w:top w:val="nil"/>
              <w:bottom w:val="nil"/>
            </w:tcBorders>
          </w:tcPr>
          <w:p w:rsidR="00000000" w:rsidRDefault="00000000">
            <w:pPr>
              <w:pStyle w:val="ac"/>
              <w:tabs>
                <w:tab w:val="decimal" w:pos="906"/>
              </w:tabs>
            </w:pPr>
            <w:r>
              <w:t>15.4</w:t>
            </w:r>
          </w:p>
        </w:tc>
      </w:tr>
      <w:tr w:rsidR="00000000">
        <w:tblPrEx>
          <w:tblCellMar>
            <w:top w:w="0" w:type="dxa"/>
            <w:bottom w:w="0" w:type="dxa"/>
          </w:tblCellMar>
        </w:tblPrEx>
        <w:tc>
          <w:tcPr>
            <w:tcW w:w="694" w:type="pct"/>
            <w:tcBorders>
              <w:top w:val="nil"/>
              <w:bottom w:val="nil"/>
            </w:tcBorders>
          </w:tcPr>
          <w:p w:rsidR="00000000" w:rsidRDefault="00000000">
            <w:pPr>
              <w:pStyle w:val="ac"/>
            </w:pPr>
            <w:r>
              <w:t>1998</w:t>
            </w:r>
          </w:p>
        </w:tc>
        <w:tc>
          <w:tcPr>
            <w:tcW w:w="1093" w:type="pct"/>
            <w:tcBorders>
              <w:top w:val="nil"/>
              <w:bottom w:val="nil"/>
            </w:tcBorders>
          </w:tcPr>
          <w:p w:rsidR="00000000" w:rsidRDefault="00000000">
            <w:pPr>
              <w:pStyle w:val="ac"/>
              <w:tabs>
                <w:tab w:val="decimal" w:pos="906"/>
              </w:tabs>
            </w:pPr>
            <w:r>
              <w:t>2.1</w:t>
            </w:r>
          </w:p>
        </w:tc>
        <w:tc>
          <w:tcPr>
            <w:tcW w:w="1093" w:type="pct"/>
            <w:tcBorders>
              <w:top w:val="nil"/>
              <w:bottom w:val="nil"/>
            </w:tcBorders>
          </w:tcPr>
          <w:p w:rsidR="00000000" w:rsidRDefault="00000000">
            <w:pPr>
              <w:pStyle w:val="ac"/>
              <w:tabs>
                <w:tab w:val="decimal" w:pos="906"/>
              </w:tabs>
            </w:pPr>
            <w:r>
              <w:t>3.8</w:t>
            </w:r>
          </w:p>
        </w:tc>
        <w:tc>
          <w:tcPr>
            <w:tcW w:w="1093" w:type="pct"/>
            <w:tcBorders>
              <w:top w:val="nil"/>
              <w:bottom w:val="nil"/>
            </w:tcBorders>
          </w:tcPr>
          <w:p w:rsidR="00000000" w:rsidRDefault="00000000">
            <w:pPr>
              <w:pStyle w:val="ac"/>
              <w:tabs>
                <w:tab w:val="decimal" w:pos="906"/>
              </w:tabs>
            </w:pPr>
            <w:r>
              <w:t>7.9</w:t>
            </w:r>
          </w:p>
        </w:tc>
        <w:tc>
          <w:tcPr>
            <w:tcW w:w="1028" w:type="pct"/>
            <w:tcBorders>
              <w:top w:val="nil"/>
              <w:bottom w:val="nil"/>
            </w:tcBorders>
          </w:tcPr>
          <w:p w:rsidR="00000000" w:rsidRDefault="00000000">
            <w:pPr>
              <w:pStyle w:val="ac"/>
              <w:tabs>
                <w:tab w:val="decimal" w:pos="906"/>
              </w:tabs>
            </w:pPr>
            <w:r>
              <w:t>16.0</w:t>
            </w:r>
          </w:p>
        </w:tc>
      </w:tr>
      <w:tr w:rsidR="00000000">
        <w:tblPrEx>
          <w:tblCellMar>
            <w:top w:w="0" w:type="dxa"/>
            <w:bottom w:w="0" w:type="dxa"/>
          </w:tblCellMar>
        </w:tblPrEx>
        <w:tc>
          <w:tcPr>
            <w:tcW w:w="694" w:type="pct"/>
            <w:tcBorders>
              <w:top w:val="nil"/>
              <w:bottom w:val="nil"/>
            </w:tcBorders>
          </w:tcPr>
          <w:p w:rsidR="00000000" w:rsidRDefault="00000000">
            <w:pPr>
              <w:pStyle w:val="ac"/>
            </w:pPr>
            <w:r>
              <w:t>1999</w:t>
            </w:r>
          </w:p>
        </w:tc>
        <w:tc>
          <w:tcPr>
            <w:tcW w:w="1093" w:type="pct"/>
            <w:tcBorders>
              <w:top w:val="nil"/>
              <w:bottom w:val="nil"/>
            </w:tcBorders>
          </w:tcPr>
          <w:p w:rsidR="00000000" w:rsidRDefault="00000000">
            <w:pPr>
              <w:pStyle w:val="ac"/>
              <w:tabs>
                <w:tab w:val="decimal" w:pos="906"/>
              </w:tabs>
            </w:pPr>
            <w:r>
              <w:t>2.1</w:t>
            </w:r>
          </w:p>
        </w:tc>
        <w:tc>
          <w:tcPr>
            <w:tcW w:w="1093" w:type="pct"/>
            <w:tcBorders>
              <w:top w:val="nil"/>
              <w:bottom w:val="nil"/>
            </w:tcBorders>
          </w:tcPr>
          <w:p w:rsidR="00000000" w:rsidRDefault="00000000">
            <w:pPr>
              <w:pStyle w:val="ac"/>
              <w:tabs>
                <w:tab w:val="decimal" w:pos="906"/>
              </w:tabs>
            </w:pPr>
            <w:r>
              <w:t>4.1</w:t>
            </w:r>
          </w:p>
        </w:tc>
        <w:tc>
          <w:tcPr>
            <w:tcW w:w="1093" w:type="pct"/>
            <w:tcBorders>
              <w:top w:val="nil"/>
              <w:bottom w:val="nil"/>
            </w:tcBorders>
          </w:tcPr>
          <w:p w:rsidR="00000000" w:rsidRDefault="00000000">
            <w:pPr>
              <w:pStyle w:val="ac"/>
              <w:tabs>
                <w:tab w:val="decimal" w:pos="906"/>
              </w:tabs>
            </w:pPr>
            <w:r>
              <w:t>8.3</w:t>
            </w:r>
          </w:p>
        </w:tc>
        <w:tc>
          <w:tcPr>
            <w:tcW w:w="1028" w:type="pct"/>
            <w:tcBorders>
              <w:top w:val="nil"/>
              <w:bottom w:val="nil"/>
            </w:tcBorders>
          </w:tcPr>
          <w:p w:rsidR="00000000" w:rsidRDefault="00000000">
            <w:pPr>
              <w:pStyle w:val="ac"/>
              <w:tabs>
                <w:tab w:val="decimal" w:pos="906"/>
              </w:tabs>
            </w:pPr>
            <w:r>
              <w:t>16.0</w:t>
            </w:r>
          </w:p>
        </w:tc>
      </w:tr>
      <w:tr w:rsidR="00000000">
        <w:tblPrEx>
          <w:tblCellMar>
            <w:top w:w="0" w:type="dxa"/>
            <w:bottom w:w="0" w:type="dxa"/>
          </w:tblCellMar>
        </w:tblPrEx>
        <w:tc>
          <w:tcPr>
            <w:tcW w:w="694" w:type="pct"/>
            <w:tcBorders>
              <w:top w:val="nil"/>
              <w:bottom w:val="nil"/>
            </w:tcBorders>
          </w:tcPr>
          <w:p w:rsidR="00000000" w:rsidRDefault="00000000">
            <w:pPr>
              <w:pStyle w:val="ac"/>
            </w:pPr>
            <w:r>
              <w:t>2000</w:t>
            </w:r>
          </w:p>
        </w:tc>
        <w:tc>
          <w:tcPr>
            <w:tcW w:w="1093" w:type="pct"/>
            <w:tcBorders>
              <w:top w:val="nil"/>
              <w:bottom w:val="nil"/>
            </w:tcBorders>
          </w:tcPr>
          <w:p w:rsidR="00000000" w:rsidRDefault="00000000">
            <w:pPr>
              <w:pStyle w:val="ac"/>
              <w:tabs>
                <w:tab w:val="decimal" w:pos="906"/>
              </w:tabs>
            </w:pPr>
            <w:r>
              <w:t>2.2</w:t>
            </w:r>
          </w:p>
        </w:tc>
        <w:tc>
          <w:tcPr>
            <w:tcW w:w="1093" w:type="pct"/>
            <w:tcBorders>
              <w:top w:val="nil"/>
              <w:bottom w:val="nil"/>
            </w:tcBorders>
          </w:tcPr>
          <w:p w:rsidR="00000000" w:rsidRDefault="00000000">
            <w:pPr>
              <w:pStyle w:val="ac"/>
              <w:tabs>
                <w:tab w:val="decimal" w:pos="906"/>
              </w:tabs>
            </w:pPr>
            <w:r>
              <w:t>4.6</w:t>
            </w:r>
          </w:p>
        </w:tc>
        <w:tc>
          <w:tcPr>
            <w:tcW w:w="1093" w:type="pct"/>
            <w:tcBorders>
              <w:top w:val="nil"/>
              <w:bottom w:val="nil"/>
            </w:tcBorders>
          </w:tcPr>
          <w:p w:rsidR="00000000" w:rsidRDefault="00000000">
            <w:pPr>
              <w:pStyle w:val="ac"/>
              <w:tabs>
                <w:tab w:val="decimal" w:pos="906"/>
              </w:tabs>
            </w:pPr>
            <w:r>
              <w:t>9.4</w:t>
            </w:r>
          </w:p>
        </w:tc>
        <w:tc>
          <w:tcPr>
            <w:tcW w:w="1028" w:type="pct"/>
            <w:tcBorders>
              <w:top w:val="nil"/>
              <w:bottom w:val="nil"/>
            </w:tcBorders>
          </w:tcPr>
          <w:p w:rsidR="00000000" w:rsidRDefault="00000000">
            <w:pPr>
              <w:pStyle w:val="ac"/>
              <w:tabs>
                <w:tab w:val="decimal" w:pos="906"/>
              </w:tabs>
            </w:pPr>
            <w:r>
              <w:t>17.3</w:t>
            </w:r>
          </w:p>
        </w:tc>
      </w:tr>
      <w:tr w:rsidR="00000000">
        <w:tblPrEx>
          <w:tblCellMar>
            <w:top w:w="0" w:type="dxa"/>
            <w:bottom w:w="0" w:type="dxa"/>
          </w:tblCellMar>
        </w:tblPrEx>
        <w:tc>
          <w:tcPr>
            <w:tcW w:w="694" w:type="pct"/>
            <w:tcBorders>
              <w:top w:val="nil"/>
              <w:bottom w:val="nil"/>
            </w:tcBorders>
          </w:tcPr>
          <w:p w:rsidR="00000000" w:rsidRDefault="00000000">
            <w:pPr>
              <w:pStyle w:val="ac"/>
            </w:pPr>
            <w:r>
              <w:t>2001</w:t>
            </w:r>
          </w:p>
        </w:tc>
        <w:tc>
          <w:tcPr>
            <w:tcW w:w="1093" w:type="pct"/>
            <w:tcBorders>
              <w:top w:val="nil"/>
              <w:bottom w:val="nil"/>
            </w:tcBorders>
          </w:tcPr>
          <w:p w:rsidR="00000000" w:rsidRDefault="00000000">
            <w:pPr>
              <w:pStyle w:val="ac"/>
              <w:tabs>
                <w:tab w:val="decimal" w:pos="906"/>
              </w:tabs>
            </w:pPr>
            <w:r>
              <w:t>2.1</w:t>
            </w:r>
          </w:p>
        </w:tc>
        <w:tc>
          <w:tcPr>
            <w:tcW w:w="1093" w:type="pct"/>
            <w:tcBorders>
              <w:top w:val="nil"/>
              <w:bottom w:val="nil"/>
            </w:tcBorders>
          </w:tcPr>
          <w:p w:rsidR="00000000" w:rsidRDefault="00000000">
            <w:pPr>
              <w:pStyle w:val="ac"/>
              <w:tabs>
                <w:tab w:val="decimal" w:pos="906"/>
              </w:tabs>
            </w:pPr>
            <w:r>
              <w:t>4.4</w:t>
            </w:r>
          </w:p>
        </w:tc>
        <w:tc>
          <w:tcPr>
            <w:tcW w:w="1093" w:type="pct"/>
            <w:tcBorders>
              <w:top w:val="nil"/>
              <w:bottom w:val="nil"/>
            </w:tcBorders>
          </w:tcPr>
          <w:p w:rsidR="00000000" w:rsidRDefault="00000000">
            <w:pPr>
              <w:pStyle w:val="ac"/>
              <w:tabs>
                <w:tab w:val="decimal" w:pos="906"/>
              </w:tabs>
            </w:pPr>
            <w:r>
              <w:t>10.0</w:t>
            </w:r>
          </w:p>
        </w:tc>
        <w:tc>
          <w:tcPr>
            <w:tcW w:w="1028" w:type="pct"/>
            <w:tcBorders>
              <w:top w:val="nil"/>
              <w:bottom w:val="nil"/>
            </w:tcBorders>
          </w:tcPr>
          <w:p w:rsidR="00000000" w:rsidRDefault="00000000">
            <w:pPr>
              <w:pStyle w:val="ac"/>
              <w:tabs>
                <w:tab w:val="decimal" w:pos="906"/>
              </w:tabs>
            </w:pPr>
            <w:r>
              <w:t>18.3</w:t>
            </w:r>
          </w:p>
        </w:tc>
      </w:tr>
      <w:tr w:rsidR="00000000">
        <w:tblPrEx>
          <w:tblCellMar>
            <w:top w:w="0" w:type="dxa"/>
            <w:bottom w:w="0" w:type="dxa"/>
          </w:tblCellMar>
        </w:tblPrEx>
        <w:tc>
          <w:tcPr>
            <w:tcW w:w="694" w:type="pct"/>
            <w:tcBorders>
              <w:top w:val="nil"/>
              <w:bottom w:val="nil"/>
            </w:tcBorders>
          </w:tcPr>
          <w:p w:rsidR="00000000" w:rsidRDefault="00000000">
            <w:pPr>
              <w:pStyle w:val="ac"/>
            </w:pPr>
            <w:r>
              <w:t>2002</w:t>
            </w:r>
          </w:p>
        </w:tc>
        <w:tc>
          <w:tcPr>
            <w:tcW w:w="1093" w:type="pct"/>
            <w:tcBorders>
              <w:top w:val="nil"/>
              <w:bottom w:val="nil"/>
            </w:tcBorders>
          </w:tcPr>
          <w:p w:rsidR="00000000" w:rsidRDefault="00000000">
            <w:pPr>
              <w:pStyle w:val="ac"/>
              <w:tabs>
                <w:tab w:val="decimal" w:pos="906"/>
              </w:tabs>
            </w:pPr>
            <w:r>
              <w:t>2.4</w:t>
            </w:r>
          </w:p>
        </w:tc>
        <w:tc>
          <w:tcPr>
            <w:tcW w:w="1093" w:type="pct"/>
            <w:tcBorders>
              <w:top w:val="nil"/>
              <w:bottom w:val="nil"/>
            </w:tcBorders>
          </w:tcPr>
          <w:p w:rsidR="00000000" w:rsidRDefault="00000000">
            <w:pPr>
              <w:pStyle w:val="ac"/>
              <w:tabs>
                <w:tab w:val="decimal" w:pos="906"/>
              </w:tabs>
            </w:pPr>
            <w:r>
              <w:t>4.7</w:t>
            </w:r>
          </w:p>
        </w:tc>
        <w:tc>
          <w:tcPr>
            <w:tcW w:w="1093" w:type="pct"/>
            <w:tcBorders>
              <w:top w:val="nil"/>
              <w:bottom w:val="nil"/>
            </w:tcBorders>
          </w:tcPr>
          <w:p w:rsidR="00000000" w:rsidRDefault="00000000">
            <w:pPr>
              <w:pStyle w:val="ac"/>
              <w:tabs>
                <w:tab w:val="decimal" w:pos="906"/>
              </w:tabs>
            </w:pPr>
            <w:r>
              <w:t>10.2</w:t>
            </w:r>
          </w:p>
        </w:tc>
        <w:tc>
          <w:tcPr>
            <w:tcW w:w="1028" w:type="pct"/>
            <w:tcBorders>
              <w:top w:val="nil"/>
              <w:bottom w:val="nil"/>
            </w:tcBorders>
          </w:tcPr>
          <w:p w:rsidR="00000000" w:rsidRDefault="00000000">
            <w:pPr>
              <w:pStyle w:val="ac"/>
              <w:tabs>
                <w:tab w:val="decimal" w:pos="906"/>
              </w:tabs>
            </w:pPr>
            <w:r>
              <w:t>19.1</w:t>
            </w:r>
          </w:p>
        </w:tc>
      </w:tr>
      <w:tr w:rsidR="00000000">
        <w:tblPrEx>
          <w:tblCellMar>
            <w:top w:w="0" w:type="dxa"/>
            <w:bottom w:w="0" w:type="dxa"/>
          </w:tblCellMar>
        </w:tblPrEx>
        <w:tc>
          <w:tcPr>
            <w:tcW w:w="694" w:type="pct"/>
            <w:tcBorders>
              <w:top w:val="nil"/>
              <w:bottom w:val="single" w:sz="4" w:space="0" w:color="auto"/>
            </w:tcBorders>
          </w:tcPr>
          <w:p w:rsidR="00000000" w:rsidRDefault="00000000">
            <w:pPr>
              <w:pStyle w:val="ac"/>
            </w:pPr>
            <w:r>
              <w:t>2003</w:t>
            </w:r>
          </w:p>
        </w:tc>
        <w:tc>
          <w:tcPr>
            <w:tcW w:w="1093" w:type="pct"/>
            <w:tcBorders>
              <w:top w:val="nil"/>
              <w:bottom w:val="single" w:sz="4" w:space="0" w:color="auto"/>
            </w:tcBorders>
          </w:tcPr>
          <w:p w:rsidR="00000000" w:rsidRDefault="00000000">
            <w:pPr>
              <w:pStyle w:val="ac"/>
              <w:tabs>
                <w:tab w:val="decimal" w:pos="906"/>
              </w:tabs>
            </w:pPr>
            <w:r>
              <w:t>2.3</w:t>
            </w:r>
          </w:p>
        </w:tc>
        <w:tc>
          <w:tcPr>
            <w:tcW w:w="1093" w:type="pct"/>
            <w:tcBorders>
              <w:top w:val="nil"/>
              <w:bottom w:val="single" w:sz="4" w:space="0" w:color="auto"/>
            </w:tcBorders>
          </w:tcPr>
          <w:p w:rsidR="00000000" w:rsidRDefault="00000000">
            <w:pPr>
              <w:pStyle w:val="ac"/>
              <w:tabs>
                <w:tab w:val="decimal" w:pos="906"/>
              </w:tabs>
            </w:pPr>
            <w:r>
              <w:t>4.4</w:t>
            </w:r>
          </w:p>
        </w:tc>
        <w:tc>
          <w:tcPr>
            <w:tcW w:w="1093" w:type="pct"/>
            <w:tcBorders>
              <w:top w:val="nil"/>
              <w:bottom w:val="single" w:sz="4" w:space="0" w:color="auto"/>
            </w:tcBorders>
          </w:tcPr>
          <w:p w:rsidR="00000000" w:rsidRDefault="00000000">
            <w:pPr>
              <w:pStyle w:val="ac"/>
              <w:tabs>
                <w:tab w:val="decimal" w:pos="906"/>
              </w:tabs>
            </w:pPr>
            <w:r>
              <w:t>9.1</w:t>
            </w:r>
          </w:p>
        </w:tc>
        <w:tc>
          <w:tcPr>
            <w:tcW w:w="1028" w:type="pct"/>
            <w:tcBorders>
              <w:top w:val="nil"/>
              <w:bottom w:val="single" w:sz="4" w:space="0" w:color="auto"/>
            </w:tcBorders>
          </w:tcPr>
          <w:p w:rsidR="00000000" w:rsidRDefault="00000000">
            <w:pPr>
              <w:pStyle w:val="ac"/>
              <w:tabs>
                <w:tab w:val="decimal" w:pos="906"/>
              </w:tabs>
            </w:pPr>
            <w:r>
              <w:t>18.1</w:t>
            </w:r>
          </w:p>
        </w:tc>
      </w:tr>
    </w:tbl>
    <w:p w:rsidR="00000000" w:rsidRDefault="00000000">
      <w:pPr>
        <w:spacing w:before="180"/>
        <w:ind w:left="510"/>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：瑞典统计局制作的家庭财务情况统计的处理数据。</w:t>
      </w:r>
    </w:p>
    <w:p w:rsidR="00000000" w:rsidRDefault="00000000">
      <w:pPr>
        <w:rPr>
          <w:rFonts w:hint="eastAsia"/>
          <w:snapToGrid/>
        </w:rPr>
      </w:pPr>
    </w:p>
    <w:p w:rsidR="00000000" w:rsidRDefault="00000000">
      <w:pPr>
        <w:rPr>
          <w:rFonts w:hint="eastAsia"/>
          <w:snapToGrid/>
        </w:rPr>
      </w:pPr>
      <w:r>
        <w:rPr>
          <w:rFonts w:hint="eastAsia"/>
          <w:snapToGrid/>
        </w:rPr>
        <w:tab/>
        <w:t xml:space="preserve">320.  </w:t>
      </w:r>
      <w:r>
        <w:rPr>
          <w:rFonts w:hint="eastAsia"/>
          <w:snapToGrid/>
        </w:rPr>
        <w:t>因此，在</w:t>
      </w:r>
      <w:r>
        <w:rPr>
          <w:rFonts w:hint="eastAsia"/>
          <w:snapToGrid/>
        </w:rPr>
        <w:t>2003</w:t>
      </w:r>
      <w:r>
        <w:rPr>
          <w:rFonts w:hint="eastAsia"/>
          <w:snapToGrid/>
        </w:rPr>
        <w:t>年，人口中的</w:t>
      </w:r>
      <w:r>
        <w:rPr>
          <w:rFonts w:hint="eastAsia"/>
          <w:snapToGrid/>
        </w:rPr>
        <w:t>2%</w:t>
      </w:r>
      <w:r>
        <w:rPr>
          <w:rFonts w:hint="eastAsia"/>
          <w:snapToGrid/>
        </w:rPr>
        <w:t>生活在收入为中位数</w:t>
      </w:r>
      <w:r>
        <w:rPr>
          <w:rFonts w:hint="eastAsia"/>
          <w:snapToGrid/>
        </w:rPr>
        <w:t>40%</w:t>
      </w:r>
      <w:r>
        <w:rPr>
          <w:rFonts w:hint="eastAsia"/>
          <w:snapToGrid/>
        </w:rPr>
        <w:t>以下的家庭里，</w:t>
      </w:r>
      <w:r>
        <w:rPr>
          <w:rFonts w:hint="eastAsia"/>
          <w:snapToGrid/>
        </w:rPr>
        <w:t>9%</w:t>
      </w:r>
      <w:r>
        <w:rPr>
          <w:rFonts w:hint="eastAsia"/>
          <w:snapToGrid/>
        </w:rPr>
        <w:t>生活在收入为中位数</w:t>
      </w:r>
      <w:r>
        <w:rPr>
          <w:rFonts w:hint="eastAsia"/>
          <w:snapToGrid/>
        </w:rPr>
        <w:t>60%</w:t>
      </w:r>
      <w:r>
        <w:rPr>
          <w:rFonts w:hint="eastAsia"/>
          <w:snapToGrid/>
        </w:rPr>
        <w:t>以下的家庭里。收入为中位数</w:t>
      </w:r>
      <w:r>
        <w:rPr>
          <w:rFonts w:hint="eastAsia"/>
          <w:snapToGrid/>
        </w:rPr>
        <w:t>60%</w:t>
      </w:r>
      <w:r>
        <w:rPr>
          <w:rFonts w:hint="eastAsia"/>
          <w:snapToGrid/>
        </w:rPr>
        <w:t>以下的家庭可以称为处于经济弱势地位。当设立一条贫困线来表明恒常购买力</w:t>
      </w:r>
      <w:r>
        <w:rPr>
          <w:rFonts w:hint="eastAsia"/>
          <w:snapToGrid/>
        </w:rPr>
        <w:t>(</w:t>
      </w:r>
      <w:r>
        <w:rPr>
          <w:rFonts w:hint="eastAsia"/>
          <w:snapToGrid/>
        </w:rPr>
        <w:t>绝对贫困线</w:t>
      </w:r>
      <w:r>
        <w:rPr>
          <w:rFonts w:hint="eastAsia"/>
          <w:snapToGrid/>
        </w:rPr>
        <w:t>)</w:t>
      </w:r>
      <w:r>
        <w:rPr>
          <w:rFonts w:hint="eastAsia"/>
          <w:snapToGrid/>
        </w:rPr>
        <w:t>时，国家健康和福利委员会发现</w:t>
      </w:r>
      <w:r>
        <w:rPr>
          <w:rFonts w:hint="eastAsia"/>
          <w:snapToGrid/>
        </w:rPr>
        <w:t>2003</w:t>
      </w:r>
      <w:r>
        <w:rPr>
          <w:rFonts w:hint="eastAsia"/>
          <w:snapToGrid/>
        </w:rPr>
        <w:t>年</w:t>
      </w:r>
      <w:r>
        <w:rPr>
          <w:rFonts w:hint="eastAsia"/>
          <w:snapToGrid/>
        </w:rPr>
        <w:t>6%</w:t>
      </w:r>
      <w:r>
        <w:rPr>
          <w:rFonts w:hint="eastAsia"/>
          <w:snapToGrid/>
        </w:rPr>
        <w:t>的瑞典人生活在处于贫困线以下的家庭里。</w:t>
      </w:r>
      <w:r>
        <w:rPr>
          <w:rFonts w:hint="eastAsia"/>
          <w:snapToGrid/>
        </w:rPr>
        <w:t>1991</w:t>
      </w:r>
      <w:r>
        <w:rPr>
          <w:rFonts w:hint="eastAsia"/>
          <w:snapToGrid/>
        </w:rPr>
        <w:t>年的相应数字是</w:t>
      </w:r>
      <w:r>
        <w:rPr>
          <w:rFonts w:hint="eastAsia"/>
          <w:snapToGrid/>
        </w:rPr>
        <w:t>5%</w:t>
      </w:r>
      <w:r>
        <w:rPr>
          <w:rFonts w:hint="eastAsia"/>
          <w:snapToGrid/>
        </w:rPr>
        <w:t>。这段时期最高的百分比是在</w:t>
      </w:r>
      <w:r>
        <w:rPr>
          <w:rFonts w:hint="eastAsia"/>
          <w:snapToGrid/>
        </w:rPr>
        <w:t>1996/97</w:t>
      </w:r>
      <w:r>
        <w:rPr>
          <w:rFonts w:hint="eastAsia"/>
          <w:snapToGrid/>
        </w:rPr>
        <w:t>年。国家健康和福利委员会又发现，非常贫困的人的百分比很低，大约为</w:t>
      </w:r>
      <w:r>
        <w:rPr>
          <w:rFonts w:hint="eastAsia"/>
          <w:snapToGrid/>
        </w:rPr>
        <w:t>2%</w:t>
      </w:r>
      <w:r>
        <w:rPr>
          <w:rFonts w:hint="eastAsia"/>
          <w:snapToGrid/>
        </w:rPr>
        <w:t>，而且长期以来保持相对稳定。</w:t>
      </w:r>
    </w:p>
    <w:p w:rsidR="00000000" w:rsidRDefault="00000000">
      <w:pPr>
        <w:rPr>
          <w:rFonts w:hint="eastAsia"/>
          <w:snapToGrid/>
        </w:rPr>
      </w:pPr>
      <w:r>
        <w:rPr>
          <w:rFonts w:hint="eastAsia"/>
          <w:snapToGrid/>
        </w:rPr>
        <w:tab/>
        <w:t xml:space="preserve">321.  </w:t>
      </w:r>
      <w:r>
        <w:rPr>
          <w:rFonts w:hint="eastAsia"/>
          <w:snapToGrid/>
        </w:rPr>
        <w:t>政府确定了一个目标，即在</w:t>
      </w:r>
      <w:r>
        <w:rPr>
          <w:rFonts w:hint="eastAsia"/>
          <w:snapToGrid/>
        </w:rPr>
        <w:t>1999</w:t>
      </w:r>
      <w:r>
        <w:rPr>
          <w:rFonts w:hint="eastAsia"/>
          <w:snapToGrid/>
        </w:rPr>
        <w:t>年与</w:t>
      </w:r>
      <w:r>
        <w:rPr>
          <w:rFonts w:hint="eastAsia"/>
          <w:snapToGrid/>
        </w:rPr>
        <w:t>2004</w:t>
      </w:r>
      <w:r>
        <w:rPr>
          <w:rFonts w:hint="eastAsia"/>
          <w:snapToGrid/>
        </w:rPr>
        <w:t>年之间将以整年的等量数字测定的领取经济援助的人数减少一半。这个目标还未达到，但仍然在积极运作。</w:t>
      </w:r>
      <w:r>
        <w:rPr>
          <w:rFonts w:hint="eastAsia"/>
          <w:snapToGrid/>
        </w:rPr>
        <w:t>1999</w:t>
      </w:r>
      <w:r>
        <w:rPr>
          <w:rFonts w:hint="eastAsia"/>
          <w:snapToGrid/>
        </w:rPr>
        <w:t>年与</w:t>
      </w:r>
      <w:r>
        <w:rPr>
          <w:rFonts w:hint="eastAsia"/>
          <w:snapToGrid/>
        </w:rPr>
        <w:t>2004</w:t>
      </w:r>
      <w:r>
        <w:rPr>
          <w:rFonts w:hint="eastAsia"/>
          <w:snapToGrid/>
        </w:rPr>
        <w:t>年之间，整年的等量数字下降了</w:t>
      </w:r>
      <w:r>
        <w:rPr>
          <w:rFonts w:hint="eastAsia"/>
          <w:snapToGrid/>
        </w:rPr>
        <w:t>26%</w:t>
      </w:r>
      <w:r>
        <w:rPr>
          <w:rFonts w:hint="eastAsia"/>
          <w:snapToGrid/>
        </w:rPr>
        <w:t>。</w:t>
      </w:r>
    </w:p>
    <w:p w:rsidR="00000000" w:rsidRDefault="00000000">
      <w:pPr>
        <w:rPr>
          <w:rFonts w:hint="eastAsia"/>
          <w:snapToGrid/>
        </w:rPr>
      </w:pPr>
      <w:r>
        <w:rPr>
          <w:rFonts w:hint="eastAsia"/>
          <w:snapToGrid/>
        </w:rPr>
        <w:tab/>
        <w:t xml:space="preserve">322.  </w:t>
      </w:r>
      <w:r>
        <w:rPr>
          <w:rFonts w:hint="eastAsia"/>
          <w:snapToGrid/>
        </w:rPr>
        <w:t>关于领取经济援助的人数只有到</w:t>
      </w:r>
      <w:r>
        <w:rPr>
          <w:rFonts w:hint="eastAsia"/>
          <w:snapToGrid/>
        </w:rPr>
        <w:t>2004</w:t>
      </w:r>
      <w:r>
        <w:rPr>
          <w:rFonts w:hint="eastAsia"/>
          <w:snapToGrid/>
        </w:rPr>
        <w:t>年的数据。</w:t>
      </w:r>
      <w:r>
        <w:rPr>
          <w:rFonts w:hint="eastAsia"/>
          <w:snapToGrid/>
        </w:rPr>
        <w:t>2004</w:t>
      </w:r>
      <w:r>
        <w:rPr>
          <w:rFonts w:hint="eastAsia"/>
          <w:snapToGrid/>
        </w:rPr>
        <w:t>年，领取长期经济援助的人数增加了</w:t>
      </w:r>
      <w:r>
        <w:rPr>
          <w:rFonts w:hint="eastAsia"/>
          <w:snapToGrid/>
        </w:rPr>
        <w:t>10%</w:t>
      </w:r>
      <w:r>
        <w:rPr>
          <w:rFonts w:hint="eastAsia"/>
          <w:snapToGrid/>
        </w:rPr>
        <w:t>。领取经济援助的人往往十分年轻。</w:t>
      </w:r>
      <w:r>
        <w:rPr>
          <w:rFonts w:hint="eastAsia"/>
          <w:snapToGrid/>
        </w:rPr>
        <w:t>2004</w:t>
      </w:r>
      <w:r>
        <w:rPr>
          <w:rFonts w:hint="eastAsia"/>
          <w:snapToGrid/>
        </w:rPr>
        <w:t>年，将近</w:t>
      </w:r>
      <w:r>
        <w:rPr>
          <w:rFonts w:hint="eastAsia"/>
          <w:snapToGrid/>
        </w:rPr>
        <w:t>40%</w:t>
      </w:r>
      <w:r>
        <w:rPr>
          <w:rFonts w:hint="eastAsia"/>
          <w:snapToGrid/>
        </w:rPr>
        <w:t>的领取者属于</w:t>
      </w:r>
      <w:r>
        <w:rPr>
          <w:rFonts w:hint="eastAsia"/>
          <w:snapToGrid/>
        </w:rPr>
        <w:t>18-29</w:t>
      </w:r>
      <w:r>
        <w:rPr>
          <w:rFonts w:hint="eastAsia"/>
          <w:snapToGrid/>
        </w:rPr>
        <w:t>岁年龄段，与</w:t>
      </w:r>
      <w:r>
        <w:rPr>
          <w:rFonts w:hint="eastAsia"/>
          <w:snapToGrid/>
        </w:rPr>
        <w:t>2003</w:t>
      </w:r>
      <w:r>
        <w:rPr>
          <w:rFonts w:hint="eastAsia"/>
          <w:snapToGrid/>
        </w:rPr>
        <w:t>年相比了略有增加。外国出生的人也超过他们的比例。</w:t>
      </w:r>
      <w:r>
        <w:rPr>
          <w:rFonts w:hint="eastAsia"/>
          <w:snapToGrid/>
        </w:rPr>
        <w:t>42%</w:t>
      </w:r>
      <w:r>
        <w:rPr>
          <w:rFonts w:hint="eastAsia"/>
          <w:snapToGrid/>
        </w:rPr>
        <w:t>稍多一点的经济援助是支付给至少有一名成员是在瑞典境外出生的家庭的。</w:t>
      </w:r>
    </w:p>
    <w:p w:rsidR="00000000" w:rsidRDefault="00000000">
      <w:pPr>
        <w:rPr>
          <w:rFonts w:hint="eastAsia"/>
          <w:snapToGrid/>
        </w:rPr>
      </w:pPr>
      <w:r>
        <w:rPr>
          <w:rFonts w:hint="eastAsia"/>
          <w:snapToGrid/>
        </w:rPr>
        <w:tab/>
        <w:t xml:space="preserve">323.  </w:t>
      </w:r>
      <w:r>
        <w:rPr>
          <w:rFonts w:hint="eastAsia"/>
          <w:snapToGrid/>
        </w:rPr>
        <w:t>如果以长期经济援助为基础来测定贫困，所出现的画面与利用收入数据测定贫困几乎相同。就是说，</w:t>
      </w:r>
      <w:r>
        <w:rPr>
          <w:rFonts w:hint="eastAsia"/>
          <w:snapToGrid/>
        </w:rPr>
        <w:t>2003</w:t>
      </w:r>
      <w:r>
        <w:rPr>
          <w:rFonts w:hint="eastAsia"/>
          <w:snapToGrid/>
        </w:rPr>
        <w:t>年领取长期经济援助的人数比</w:t>
      </w:r>
      <w:r>
        <w:rPr>
          <w:rFonts w:hint="eastAsia"/>
          <w:snapToGrid/>
        </w:rPr>
        <w:t>1991</w:t>
      </w:r>
      <w:r>
        <w:rPr>
          <w:rFonts w:hint="eastAsia"/>
          <w:snapToGrid/>
        </w:rPr>
        <w:t>年多。尽管从经济衰退以来长期经济援助的人数减少了，但是从</w:t>
      </w:r>
      <w:r>
        <w:rPr>
          <w:rFonts w:hint="eastAsia"/>
          <w:snapToGrid/>
        </w:rPr>
        <w:t>1991</w:t>
      </w:r>
      <w:r>
        <w:rPr>
          <w:rFonts w:hint="eastAsia"/>
          <w:snapToGrid/>
        </w:rPr>
        <w:t>年以来却增加了</w:t>
      </w:r>
      <w:r>
        <w:rPr>
          <w:rFonts w:hint="eastAsia"/>
          <w:snapToGrid/>
        </w:rPr>
        <w:t>58%</w:t>
      </w:r>
      <w:r>
        <w:rPr>
          <w:rFonts w:hint="eastAsia"/>
          <w:snapToGrid/>
        </w:rPr>
        <w:t>。</w:t>
      </w:r>
    </w:p>
    <w:p w:rsidR="00000000" w:rsidRDefault="00000000">
      <w:pPr>
        <w:rPr>
          <w:rFonts w:hint="eastAsia"/>
          <w:snapToGrid/>
        </w:rPr>
      </w:pPr>
      <w:r>
        <w:rPr>
          <w:rFonts w:hint="eastAsia"/>
          <w:snapToGrid/>
        </w:rPr>
        <w:tab/>
        <w:t xml:space="preserve">324.  </w:t>
      </w:r>
      <w:r>
        <w:rPr>
          <w:rFonts w:hint="eastAsia"/>
          <w:snapToGrid/>
        </w:rPr>
        <w:t>在瑞典，经济水准最低的群体是由老年退休人员和有子女的单身妇女组成的家庭。</w:t>
      </w:r>
    </w:p>
    <w:p w:rsidR="00000000" w:rsidRDefault="00000000">
      <w:pPr>
        <w:spacing w:after="320"/>
        <w:rPr>
          <w:rFonts w:hint="eastAsia"/>
          <w:snapToGrid/>
        </w:rPr>
      </w:pPr>
      <w:r>
        <w:rPr>
          <w:rFonts w:hint="eastAsia"/>
          <w:snapToGrid/>
        </w:rPr>
        <w:tab/>
        <w:t xml:space="preserve">325.  </w:t>
      </w:r>
      <w:r>
        <w:rPr>
          <w:rFonts w:hint="eastAsia"/>
          <w:snapToGrid/>
        </w:rPr>
        <w:t>下表表明</w:t>
      </w:r>
      <w:r>
        <w:rPr>
          <w:rFonts w:hint="eastAsia"/>
          <w:snapToGrid/>
        </w:rPr>
        <w:t>1997</w:t>
      </w:r>
      <w:r>
        <w:rPr>
          <w:rFonts w:hint="eastAsia"/>
          <w:snapToGrid/>
        </w:rPr>
        <w:t>年和</w:t>
      </w:r>
      <w:r>
        <w:rPr>
          <w:rFonts w:hint="eastAsia"/>
          <w:snapToGrid/>
        </w:rPr>
        <w:t>2004</w:t>
      </w:r>
      <w:r>
        <w:rPr>
          <w:rFonts w:hint="eastAsia"/>
          <w:snapToGrid/>
        </w:rPr>
        <w:t>年可支配收入在中位数</w:t>
      </w:r>
      <w:r>
        <w:rPr>
          <w:rFonts w:hint="eastAsia"/>
          <w:snapToGrid/>
        </w:rPr>
        <w:t>60%</w:t>
      </w:r>
      <w:r>
        <w:rPr>
          <w:rFonts w:hint="eastAsia"/>
          <w:snapToGrid/>
        </w:rPr>
        <w:t>以下的男女的百分比。收入低于中位数</w:t>
      </w:r>
      <w:r>
        <w:rPr>
          <w:rFonts w:hint="eastAsia"/>
          <w:snapToGrid/>
        </w:rPr>
        <w:t>60%</w:t>
      </w:r>
      <w:r>
        <w:rPr>
          <w:rFonts w:hint="eastAsia"/>
          <w:snapToGrid/>
        </w:rPr>
        <w:t>的单身人士相对多的人数反映了其中很大一部分是学生。收入低于中位数</w:t>
      </w:r>
      <w:r>
        <w:rPr>
          <w:rFonts w:hint="eastAsia"/>
          <w:snapToGrid/>
        </w:rPr>
        <w:t>60%</w:t>
      </w:r>
      <w:r>
        <w:rPr>
          <w:rFonts w:hint="eastAsia"/>
          <w:snapToGrid/>
        </w:rPr>
        <w:t>的人士的百分比增加最大的是单身退休人员，尤其是</w:t>
      </w:r>
      <w:r>
        <w:rPr>
          <w:rFonts w:hint="eastAsia"/>
          <w:snapToGrid/>
        </w:rPr>
        <w:t>75</w:t>
      </w:r>
      <w:r>
        <w:rPr>
          <w:rFonts w:hint="eastAsia"/>
          <w:snapToGrid/>
        </w:rPr>
        <w:t>岁以上的，以及各种年龄的单身妇女。增加最小的是同居成人，尤其是与子女同居的。退休人员和其他易受伤害群体的趋势走弱，与制定了某些经济情况调查转移有关。</w:t>
      </w:r>
    </w:p>
    <w:p w:rsidR="00000000" w:rsidRDefault="00000000">
      <w:pPr>
        <w:pStyle w:val="Heading3"/>
        <w:spacing w:after="160"/>
        <w:rPr>
          <w:rFonts w:ascii="Time New Roman" w:eastAsia="SimHei" w:hAnsi="Time New Roman" w:hint="eastAsia"/>
          <w:kern w:val="0"/>
          <w:u w:val="none"/>
        </w:rPr>
      </w:pPr>
      <w:r>
        <w:rPr>
          <w:rFonts w:ascii="Time New Roman" w:eastAsia="SimHei" w:hAnsi="Time New Roman" w:hint="eastAsia"/>
          <w:kern w:val="0"/>
          <w:u w:val="none"/>
        </w:rPr>
        <w:t>表</w:t>
      </w:r>
      <w:r>
        <w:rPr>
          <w:rFonts w:ascii="Time New Roman" w:eastAsia="SimHei" w:hAnsi="Time New Roman" w:hint="eastAsia"/>
          <w:b/>
          <w:kern w:val="0"/>
          <w:u w:val="none"/>
        </w:rPr>
        <w:t>11</w:t>
      </w:r>
      <w:r>
        <w:rPr>
          <w:rFonts w:ascii="Time New Roman" w:eastAsia="SimHei" w:hAnsi="Time New Roman" w:hint="eastAsia"/>
          <w:kern w:val="0"/>
          <w:u w:val="none"/>
        </w:rPr>
        <w:t>：</w:t>
      </w:r>
      <w:r>
        <w:rPr>
          <w:rFonts w:ascii="Time New Roman" w:eastAsia="SimHei" w:hAnsi="Time New Roman" w:hint="eastAsia"/>
          <w:b/>
          <w:kern w:val="0"/>
          <w:u w:val="none"/>
        </w:rPr>
        <w:t>5</w:t>
      </w:r>
    </w:p>
    <w:p w:rsidR="00000000" w:rsidRDefault="00000000">
      <w:pPr>
        <w:pStyle w:val="Heading3"/>
        <w:spacing w:after="160"/>
        <w:rPr>
          <w:rFonts w:ascii="Time New Roman" w:eastAsia="SimHei" w:hAnsi="Time New Roman" w:hint="eastAsia"/>
        </w:rPr>
      </w:pPr>
      <w:r>
        <w:rPr>
          <w:rFonts w:ascii="Time New Roman" w:eastAsia="SimHei" w:hAnsi="Time New Roman" w:hint="eastAsia"/>
          <w:b/>
          <w:kern w:val="0"/>
          <w:u w:val="none"/>
        </w:rPr>
        <w:t>1997</w:t>
      </w:r>
      <w:r>
        <w:rPr>
          <w:rFonts w:ascii="Time New Roman" w:eastAsia="SimHei" w:hAnsi="Time New Roman" w:hint="eastAsia"/>
          <w:kern w:val="0"/>
          <w:u w:val="none"/>
        </w:rPr>
        <w:t>年和</w:t>
      </w:r>
      <w:r>
        <w:rPr>
          <w:rFonts w:ascii="Time New Roman" w:eastAsia="SimHei" w:hAnsi="Time New Roman" w:hint="eastAsia"/>
          <w:b/>
          <w:kern w:val="0"/>
          <w:u w:val="none"/>
        </w:rPr>
        <w:t>2004</w:t>
      </w:r>
      <w:r>
        <w:rPr>
          <w:rFonts w:ascii="Time New Roman" w:eastAsia="SimHei" w:hAnsi="Time New Roman" w:hint="eastAsia"/>
          <w:kern w:val="0"/>
          <w:u w:val="none"/>
        </w:rPr>
        <w:t>年经济水准低于中位收入数</w:t>
      </w:r>
      <w:r>
        <w:rPr>
          <w:rFonts w:ascii="Time New Roman" w:eastAsia="SimHei" w:hAnsi="Time New Roman" w:hint="eastAsia"/>
          <w:b/>
          <w:kern w:val="0"/>
          <w:u w:val="none"/>
        </w:rPr>
        <w:t>60</w:t>
      </w:r>
      <w:r>
        <w:rPr>
          <w:rFonts w:ascii="Time New Roman" w:eastAsia="SimHei" w:hAnsi="Time New Roman" w:hint="eastAsia"/>
          <w:kern w:val="0"/>
          <w:u w:val="none"/>
        </w:rPr>
        <w:t>%</w:t>
      </w:r>
      <w:r>
        <w:rPr>
          <w:rFonts w:ascii="Time New Roman" w:eastAsia="SimHei" w:hAnsi="Time New Roman" w:hint="eastAsia"/>
          <w:kern w:val="0"/>
          <w:u w:val="none"/>
        </w:rPr>
        <w:t>的人的百分比</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5"/>
        <w:gridCol w:w="1636"/>
        <w:gridCol w:w="1636"/>
        <w:gridCol w:w="1517"/>
      </w:tblGrid>
      <w:tr w:rsidR="00000000">
        <w:tblPrEx>
          <w:tblCellMar>
            <w:top w:w="0" w:type="dxa"/>
            <w:bottom w:w="0" w:type="dxa"/>
          </w:tblCellMar>
        </w:tblPrEx>
        <w:tc>
          <w:tcPr>
            <w:tcW w:w="2437" w:type="pct"/>
            <w:tcBorders>
              <w:bottom w:val="single" w:sz="4" w:space="0" w:color="auto"/>
            </w:tcBorders>
          </w:tcPr>
          <w:p w:rsidR="00000000" w:rsidRDefault="00000000">
            <w:pPr>
              <w:pStyle w:val="ac"/>
              <w:rPr>
                <w:rFonts w:ascii="Time New Roman" w:eastAsia="SimHei" w:hAnsi="Time New Roman"/>
              </w:rPr>
            </w:pPr>
            <w:r>
              <w:rPr>
                <w:rFonts w:ascii="Time New Roman" w:eastAsia="SimHei" w:hAnsi="Time New Roman" w:hint="eastAsia"/>
                <w:snapToGrid/>
              </w:rPr>
              <w:t>百分比</w:t>
            </w:r>
          </w:p>
        </w:tc>
        <w:tc>
          <w:tcPr>
            <w:tcW w:w="875"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1997</w:t>
            </w:r>
          </w:p>
        </w:tc>
        <w:tc>
          <w:tcPr>
            <w:tcW w:w="875"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2004</w:t>
            </w:r>
          </w:p>
        </w:tc>
        <w:tc>
          <w:tcPr>
            <w:tcW w:w="812" w:type="pct"/>
            <w:tcBorders>
              <w:bottom w:val="single" w:sz="4" w:space="0" w:color="auto"/>
            </w:tcBorders>
          </w:tcPr>
          <w:p w:rsidR="00000000" w:rsidRDefault="00000000">
            <w:pPr>
              <w:pStyle w:val="ac"/>
              <w:jc w:val="center"/>
              <w:rPr>
                <w:rFonts w:ascii="Time New Roman" w:eastAsia="SimHei" w:hAnsi="Time New Roman" w:hint="eastAsia"/>
              </w:rPr>
            </w:pPr>
            <w:r>
              <w:rPr>
                <w:rFonts w:ascii="Time New Roman" w:eastAsia="SimHei" w:hAnsi="Time New Roman" w:hint="eastAsia"/>
                <w:b/>
              </w:rPr>
              <w:t>变</w:t>
            </w:r>
            <w:r>
              <w:rPr>
                <w:rFonts w:ascii="Time New Roman" w:eastAsia="SimHei" w:hAnsi="Time New Roman" w:hint="eastAsia"/>
                <w:b/>
              </w:rPr>
              <w:t xml:space="preserve">  </w:t>
            </w:r>
            <w:r>
              <w:rPr>
                <w:rFonts w:ascii="Time New Roman" w:eastAsia="SimHei" w:hAnsi="Time New Roman" w:hint="eastAsia"/>
                <w:b/>
              </w:rPr>
              <w:t>化</w:t>
            </w:r>
          </w:p>
        </w:tc>
      </w:tr>
      <w:tr w:rsidR="00000000">
        <w:tblPrEx>
          <w:tblCellMar>
            <w:top w:w="0" w:type="dxa"/>
            <w:bottom w:w="0" w:type="dxa"/>
          </w:tblCellMar>
        </w:tblPrEx>
        <w:tc>
          <w:tcPr>
            <w:tcW w:w="2437" w:type="pct"/>
            <w:tcBorders>
              <w:bottom w:val="nil"/>
            </w:tcBorders>
          </w:tcPr>
          <w:p w:rsidR="00000000" w:rsidRDefault="00000000">
            <w:pPr>
              <w:pStyle w:val="ac"/>
              <w:spacing w:line="300" w:lineRule="exact"/>
            </w:pPr>
            <w:r>
              <w:rPr>
                <w:rFonts w:hint="eastAsia"/>
                <w:snapToGrid/>
              </w:rPr>
              <w:t>有子女的单身妇女</w:t>
            </w:r>
          </w:p>
        </w:tc>
        <w:tc>
          <w:tcPr>
            <w:tcW w:w="875" w:type="pct"/>
            <w:tcBorders>
              <w:bottom w:val="nil"/>
            </w:tcBorders>
          </w:tcPr>
          <w:p w:rsidR="00000000" w:rsidRDefault="00000000">
            <w:pPr>
              <w:pStyle w:val="ac"/>
              <w:tabs>
                <w:tab w:val="decimal" w:pos="692"/>
              </w:tabs>
              <w:spacing w:line="300" w:lineRule="exact"/>
            </w:pPr>
            <w:r>
              <w:t>15.0</w:t>
            </w:r>
          </w:p>
        </w:tc>
        <w:tc>
          <w:tcPr>
            <w:tcW w:w="875" w:type="pct"/>
            <w:tcBorders>
              <w:bottom w:val="nil"/>
            </w:tcBorders>
          </w:tcPr>
          <w:p w:rsidR="00000000" w:rsidRDefault="00000000">
            <w:pPr>
              <w:pStyle w:val="ac"/>
              <w:tabs>
                <w:tab w:val="decimal" w:pos="692"/>
              </w:tabs>
              <w:spacing w:line="300" w:lineRule="exact"/>
            </w:pPr>
            <w:r>
              <w:t>20.7</w:t>
            </w:r>
          </w:p>
        </w:tc>
        <w:tc>
          <w:tcPr>
            <w:tcW w:w="812" w:type="pct"/>
            <w:tcBorders>
              <w:bottom w:val="nil"/>
            </w:tcBorders>
          </w:tcPr>
          <w:p w:rsidR="00000000" w:rsidRDefault="00000000">
            <w:pPr>
              <w:pStyle w:val="ac"/>
              <w:tabs>
                <w:tab w:val="decimal" w:pos="692"/>
              </w:tabs>
              <w:spacing w:line="300" w:lineRule="exact"/>
            </w:pPr>
            <w:r>
              <w:t>+5.7</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snapToGrid/>
              </w:rPr>
              <w:t>单身妇女，</w:t>
            </w:r>
            <w:r>
              <w:rPr>
                <w:rFonts w:hint="eastAsia"/>
                <w:snapToGrid/>
              </w:rPr>
              <w:t>20</w:t>
            </w:r>
            <w:r>
              <w:rPr>
                <w:snapToGrid/>
              </w:rPr>
              <w:t>-</w:t>
            </w:r>
            <w:r>
              <w:rPr>
                <w:rFonts w:hint="eastAsia"/>
                <w:snapToGrid/>
              </w:rPr>
              <w:t>44</w:t>
            </w:r>
            <w:r>
              <w:rPr>
                <w:rFonts w:hint="eastAsia"/>
                <w:snapToGrid/>
              </w:rPr>
              <w:t>岁</w:t>
            </w:r>
          </w:p>
        </w:tc>
        <w:tc>
          <w:tcPr>
            <w:tcW w:w="875" w:type="pct"/>
            <w:tcBorders>
              <w:top w:val="nil"/>
              <w:bottom w:val="nil"/>
            </w:tcBorders>
          </w:tcPr>
          <w:p w:rsidR="00000000" w:rsidRDefault="00000000">
            <w:pPr>
              <w:pStyle w:val="ac"/>
              <w:tabs>
                <w:tab w:val="decimal" w:pos="692"/>
              </w:tabs>
              <w:spacing w:line="300" w:lineRule="exact"/>
            </w:pPr>
            <w:r>
              <w:t>15.0</w:t>
            </w:r>
          </w:p>
        </w:tc>
        <w:tc>
          <w:tcPr>
            <w:tcW w:w="875" w:type="pct"/>
            <w:tcBorders>
              <w:top w:val="nil"/>
              <w:bottom w:val="nil"/>
            </w:tcBorders>
          </w:tcPr>
          <w:p w:rsidR="00000000" w:rsidRDefault="00000000">
            <w:pPr>
              <w:pStyle w:val="ac"/>
              <w:tabs>
                <w:tab w:val="decimal" w:pos="692"/>
              </w:tabs>
              <w:spacing w:line="300" w:lineRule="exact"/>
            </w:pPr>
            <w:r>
              <w:t>19.6</w:t>
            </w:r>
          </w:p>
        </w:tc>
        <w:tc>
          <w:tcPr>
            <w:tcW w:w="812" w:type="pct"/>
            <w:tcBorders>
              <w:top w:val="nil"/>
              <w:bottom w:val="nil"/>
            </w:tcBorders>
          </w:tcPr>
          <w:p w:rsidR="00000000" w:rsidRDefault="00000000">
            <w:pPr>
              <w:pStyle w:val="ac"/>
              <w:tabs>
                <w:tab w:val="decimal" w:pos="692"/>
              </w:tabs>
              <w:spacing w:line="300" w:lineRule="exact"/>
            </w:pPr>
            <w:r>
              <w:t>+4.6</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单身妇女，</w:t>
            </w:r>
            <w:r>
              <w:rPr>
                <w:rFonts w:hint="eastAsia"/>
              </w:rPr>
              <w:t>45</w:t>
            </w:r>
            <w:r>
              <w:t>-</w:t>
            </w:r>
            <w:r>
              <w:rPr>
                <w:rFonts w:hint="eastAsia"/>
              </w:rPr>
              <w:t>64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3.1</w:t>
            </w:r>
          </w:p>
        </w:tc>
        <w:tc>
          <w:tcPr>
            <w:tcW w:w="875" w:type="pct"/>
            <w:tcBorders>
              <w:top w:val="nil"/>
              <w:bottom w:val="nil"/>
            </w:tcBorders>
          </w:tcPr>
          <w:p w:rsidR="00000000" w:rsidRDefault="00000000">
            <w:pPr>
              <w:pStyle w:val="ac"/>
              <w:tabs>
                <w:tab w:val="decimal" w:pos="692"/>
              </w:tabs>
              <w:spacing w:line="300" w:lineRule="exact"/>
            </w:pPr>
            <w:r>
              <w:t>6.8</w:t>
            </w:r>
          </w:p>
        </w:tc>
        <w:tc>
          <w:tcPr>
            <w:tcW w:w="812" w:type="pct"/>
            <w:tcBorders>
              <w:top w:val="nil"/>
              <w:bottom w:val="nil"/>
            </w:tcBorders>
          </w:tcPr>
          <w:p w:rsidR="00000000" w:rsidRDefault="00000000">
            <w:pPr>
              <w:pStyle w:val="ac"/>
              <w:tabs>
                <w:tab w:val="decimal" w:pos="692"/>
              </w:tabs>
              <w:spacing w:line="300" w:lineRule="exact"/>
            </w:pPr>
            <w:r>
              <w:t>+3.8</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单身妇女，</w:t>
            </w:r>
            <w:r>
              <w:rPr>
                <w:rFonts w:hint="eastAsia"/>
              </w:rPr>
              <w:t>65</w:t>
            </w:r>
            <w:r>
              <w:t>-</w:t>
            </w:r>
            <w:r>
              <w:rPr>
                <w:rFonts w:hint="eastAsia"/>
              </w:rPr>
              <w:t>74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6.4</w:t>
            </w:r>
          </w:p>
        </w:tc>
        <w:tc>
          <w:tcPr>
            <w:tcW w:w="875" w:type="pct"/>
            <w:tcBorders>
              <w:top w:val="nil"/>
              <w:bottom w:val="nil"/>
            </w:tcBorders>
          </w:tcPr>
          <w:p w:rsidR="00000000" w:rsidRDefault="00000000">
            <w:pPr>
              <w:pStyle w:val="ac"/>
              <w:tabs>
                <w:tab w:val="decimal" w:pos="692"/>
              </w:tabs>
              <w:spacing w:line="300" w:lineRule="exact"/>
            </w:pPr>
            <w:r>
              <w:t>9.9</w:t>
            </w:r>
          </w:p>
        </w:tc>
        <w:tc>
          <w:tcPr>
            <w:tcW w:w="812" w:type="pct"/>
            <w:tcBorders>
              <w:top w:val="nil"/>
              <w:bottom w:val="nil"/>
            </w:tcBorders>
          </w:tcPr>
          <w:p w:rsidR="00000000" w:rsidRDefault="00000000">
            <w:pPr>
              <w:pStyle w:val="ac"/>
              <w:tabs>
                <w:tab w:val="decimal" w:pos="692"/>
              </w:tabs>
              <w:spacing w:line="300" w:lineRule="exact"/>
            </w:pPr>
            <w:r>
              <w:t>+3.6</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单身妇女，</w:t>
            </w:r>
            <w:r>
              <w:rPr>
                <w:rFonts w:hint="eastAsia"/>
              </w:rPr>
              <w:t>75</w:t>
            </w:r>
            <w:r>
              <w:rPr>
                <w:rFonts w:hint="eastAsia"/>
              </w:rPr>
              <w:t>岁以上</w:t>
            </w:r>
          </w:p>
        </w:tc>
        <w:tc>
          <w:tcPr>
            <w:tcW w:w="875" w:type="pct"/>
            <w:tcBorders>
              <w:top w:val="nil"/>
              <w:bottom w:val="nil"/>
            </w:tcBorders>
          </w:tcPr>
          <w:p w:rsidR="00000000" w:rsidRDefault="00000000">
            <w:pPr>
              <w:pStyle w:val="ac"/>
              <w:tabs>
                <w:tab w:val="decimal" w:pos="692"/>
              </w:tabs>
              <w:spacing w:line="300" w:lineRule="exact"/>
            </w:pPr>
            <w:r>
              <w:t>15.4</w:t>
            </w:r>
          </w:p>
        </w:tc>
        <w:tc>
          <w:tcPr>
            <w:tcW w:w="875" w:type="pct"/>
            <w:tcBorders>
              <w:top w:val="nil"/>
              <w:bottom w:val="nil"/>
            </w:tcBorders>
          </w:tcPr>
          <w:p w:rsidR="00000000" w:rsidRDefault="00000000">
            <w:pPr>
              <w:pStyle w:val="ac"/>
              <w:tabs>
                <w:tab w:val="decimal" w:pos="692"/>
              </w:tabs>
              <w:spacing w:line="300" w:lineRule="exact"/>
            </w:pPr>
            <w:r>
              <w:t>21.6</w:t>
            </w:r>
          </w:p>
        </w:tc>
        <w:tc>
          <w:tcPr>
            <w:tcW w:w="812" w:type="pct"/>
            <w:tcBorders>
              <w:top w:val="nil"/>
              <w:bottom w:val="nil"/>
            </w:tcBorders>
          </w:tcPr>
          <w:p w:rsidR="00000000" w:rsidRDefault="00000000">
            <w:pPr>
              <w:pStyle w:val="ac"/>
              <w:tabs>
                <w:tab w:val="decimal" w:pos="692"/>
              </w:tabs>
              <w:spacing w:line="300" w:lineRule="exact"/>
            </w:pPr>
            <w:r>
              <w:t>+6.1</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有子女的单身男子</w:t>
            </w:r>
          </w:p>
        </w:tc>
        <w:tc>
          <w:tcPr>
            <w:tcW w:w="875" w:type="pct"/>
            <w:tcBorders>
              <w:top w:val="nil"/>
              <w:bottom w:val="nil"/>
            </w:tcBorders>
          </w:tcPr>
          <w:p w:rsidR="00000000" w:rsidRDefault="00000000">
            <w:pPr>
              <w:pStyle w:val="ac"/>
              <w:tabs>
                <w:tab w:val="decimal" w:pos="692"/>
              </w:tabs>
              <w:spacing w:line="300" w:lineRule="exact"/>
            </w:pPr>
            <w:r>
              <w:t>8.8</w:t>
            </w:r>
          </w:p>
        </w:tc>
        <w:tc>
          <w:tcPr>
            <w:tcW w:w="875" w:type="pct"/>
            <w:tcBorders>
              <w:top w:val="nil"/>
              <w:bottom w:val="nil"/>
            </w:tcBorders>
          </w:tcPr>
          <w:p w:rsidR="00000000" w:rsidRDefault="00000000">
            <w:pPr>
              <w:pStyle w:val="ac"/>
              <w:tabs>
                <w:tab w:val="decimal" w:pos="692"/>
              </w:tabs>
              <w:spacing w:line="300" w:lineRule="exact"/>
            </w:pPr>
            <w:r>
              <w:t>11.1</w:t>
            </w:r>
          </w:p>
        </w:tc>
        <w:tc>
          <w:tcPr>
            <w:tcW w:w="812" w:type="pct"/>
            <w:tcBorders>
              <w:top w:val="nil"/>
              <w:bottom w:val="nil"/>
            </w:tcBorders>
          </w:tcPr>
          <w:p w:rsidR="00000000" w:rsidRDefault="00000000">
            <w:pPr>
              <w:pStyle w:val="ac"/>
              <w:tabs>
                <w:tab w:val="decimal" w:pos="692"/>
              </w:tabs>
              <w:spacing w:line="300" w:lineRule="exact"/>
            </w:pPr>
            <w:r>
              <w:t>+2.3</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单身男子，</w:t>
            </w:r>
            <w:r>
              <w:rPr>
                <w:rFonts w:hint="eastAsia"/>
              </w:rPr>
              <w:t>20</w:t>
            </w:r>
            <w:r>
              <w:t>-</w:t>
            </w:r>
            <w:r>
              <w:rPr>
                <w:rFonts w:hint="eastAsia"/>
              </w:rPr>
              <w:t>44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13.2</w:t>
            </w:r>
          </w:p>
        </w:tc>
        <w:tc>
          <w:tcPr>
            <w:tcW w:w="875" w:type="pct"/>
            <w:tcBorders>
              <w:top w:val="nil"/>
              <w:bottom w:val="nil"/>
            </w:tcBorders>
          </w:tcPr>
          <w:p w:rsidR="00000000" w:rsidRDefault="00000000">
            <w:pPr>
              <w:pStyle w:val="ac"/>
              <w:tabs>
                <w:tab w:val="decimal" w:pos="692"/>
              </w:tabs>
              <w:spacing w:line="300" w:lineRule="exact"/>
            </w:pPr>
            <w:r>
              <w:t>16.3</w:t>
            </w:r>
          </w:p>
        </w:tc>
        <w:tc>
          <w:tcPr>
            <w:tcW w:w="812" w:type="pct"/>
            <w:tcBorders>
              <w:top w:val="nil"/>
              <w:bottom w:val="nil"/>
            </w:tcBorders>
          </w:tcPr>
          <w:p w:rsidR="00000000" w:rsidRDefault="00000000">
            <w:pPr>
              <w:pStyle w:val="ac"/>
              <w:tabs>
                <w:tab w:val="decimal" w:pos="692"/>
              </w:tabs>
              <w:spacing w:line="300" w:lineRule="exact"/>
            </w:pPr>
            <w:r>
              <w:t>+3.2</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单身男子，</w:t>
            </w:r>
            <w:r>
              <w:rPr>
                <w:rFonts w:hint="eastAsia"/>
              </w:rPr>
              <w:t>45</w:t>
            </w:r>
            <w:r>
              <w:t>-</w:t>
            </w:r>
            <w:r>
              <w:rPr>
                <w:rFonts w:hint="eastAsia"/>
              </w:rPr>
              <w:t>64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8.6</w:t>
            </w:r>
          </w:p>
        </w:tc>
        <w:tc>
          <w:tcPr>
            <w:tcW w:w="875" w:type="pct"/>
            <w:tcBorders>
              <w:top w:val="nil"/>
              <w:bottom w:val="nil"/>
            </w:tcBorders>
          </w:tcPr>
          <w:p w:rsidR="00000000" w:rsidRDefault="00000000">
            <w:pPr>
              <w:pStyle w:val="ac"/>
              <w:tabs>
                <w:tab w:val="decimal" w:pos="692"/>
              </w:tabs>
              <w:spacing w:line="300" w:lineRule="exact"/>
            </w:pPr>
            <w:r>
              <w:t>9.9</w:t>
            </w:r>
          </w:p>
        </w:tc>
        <w:tc>
          <w:tcPr>
            <w:tcW w:w="812" w:type="pct"/>
            <w:tcBorders>
              <w:top w:val="nil"/>
              <w:bottom w:val="nil"/>
            </w:tcBorders>
          </w:tcPr>
          <w:p w:rsidR="00000000" w:rsidRDefault="00000000">
            <w:pPr>
              <w:pStyle w:val="ac"/>
              <w:tabs>
                <w:tab w:val="decimal" w:pos="692"/>
              </w:tabs>
              <w:spacing w:line="300" w:lineRule="exact"/>
            </w:pPr>
            <w:r>
              <w:t>+1.3</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单身男子，</w:t>
            </w:r>
            <w:r>
              <w:rPr>
                <w:rFonts w:hint="eastAsia"/>
              </w:rPr>
              <w:t>65</w:t>
            </w:r>
            <w:r>
              <w:t>-</w:t>
            </w:r>
            <w:r>
              <w:rPr>
                <w:rFonts w:hint="eastAsia"/>
              </w:rPr>
              <w:t>74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7.6</w:t>
            </w:r>
          </w:p>
        </w:tc>
        <w:tc>
          <w:tcPr>
            <w:tcW w:w="875" w:type="pct"/>
            <w:tcBorders>
              <w:top w:val="nil"/>
              <w:bottom w:val="nil"/>
            </w:tcBorders>
          </w:tcPr>
          <w:p w:rsidR="00000000" w:rsidRDefault="00000000">
            <w:pPr>
              <w:pStyle w:val="ac"/>
              <w:tabs>
                <w:tab w:val="decimal" w:pos="692"/>
              </w:tabs>
              <w:spacing w:line="300" w:lineRule="exact"/>
            </w:pPr>
            <w:r>
              <w:t>14.2</w:t>
            </w:r>
          </w:p>
        </w:tc>
        <w:tc>
          <w:tcPr>
            <w:tcW w:w="812" w:type="pct"/>
            <w:tcBorders>
              <w:top w:val="nil"/>
              <w:bottom w:val="nil"/>
            </w:tcBorders>
          </w:tcPr>
          <w:p w:rsidR="00000000" w:rsidRDefault="00000000">
            <w:pPr>
              <w:pStyle w:val="ac"/>
              <w:tabs>
                <w:tab w:val="decimal" w:pos="692"/>
              </w:tabs>
              <w:spacing w:line="300" w:lineRule="exact"/>
            </w:pPr>
            <w:r>
              <w:t>+6.6</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单身男子，</w:t>
            </w:r>
            <w:r>
              <w:rPr>
                <w:rFonts w:hint="eastAsia"/>
              </w:rPr>
              <w:t>75</w:t>
            </w:r>
            <w:r>
              <w:rPr>
                <w:rFonts w:hint="eastAsia"/>
              </w:rPr>
              <w:t>岁以上</w:t>
            </w:r>
          </w:p>
        </w:tc>
        <w:tc>
          <w:tcPr>
            <w:tcW w:w="875" w:type="pct"/>
            <w:tcBorders>
              <w:top w:val="nil"/>
              <w:bottom w:val="nil"/>
            </w:tcBorders>
          </w:tcPr>
          <w:p w:rsidR="00000000" w:rsidRDefault="00000000">
            <w:pPr>
              <w:pStyle w:val="ac"/>
              <w:tabs>
                <w:tab w:val="decimal" w:pos="692"/>
              </w:tabs>
              <w:spacing w:line="300" w:lineRule="exact"/>
            </w:pPr>
            <w:r>
              <w:t>10.6</w:t>
            </w:r>
          </w:p>
        </w:tc>
        <w:tc>
          <w:tcPr>
            <w:tcW w:w="875" w:type="pct"/>
            <w:tcBorders>
              <w:top w:val="nil"/>
              <w:bottom w:val="nil"/>
            </w:tcBorders>
          </w:tcPr>
          <w:p w:rsidR="00000000" w:rsidRDefault="00000000">
            <w:pPr>
              <w:pStyle w:val="ac"/>
              <w:tabs>
                <w:tab w:val="decimal" w:pos="692"/>
              </w:tabs>
              <w:spacing w:line="300" w:lineRule="exact"/>
            </w:pPr>
            <w:r>
              <w:t>18.2</w:t>
            </w:r>
          </w:p>
        </w:tc>
        <w:tc>
          <w:tcPr>
            <w:tcW w:w="812" w:type="pct"/>
            <w:tcBorders>
              <w:top w:val="nil"/>
              <w:bottom w:val="nil"/>
            </w:tcBorders>
          </w:tcPr>
          <w:p w:rsidR="00000000" w:rsidRDefault="00000000">
            <w:pPr>
              <w:pStyle w:val="ac"/>
              <w:tabs>
                <w:tab w:val="decimal" w:pos="692"/>
              </w:tabs>
              <w:spacing w:line="300" w:lineRule="exact"/>
            </w:pPr>
            <w:r>
              <w:t>+7.5</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与子女同居</w:t>
            </w:r>
          </w:p>
        </w:tc>
        <w:tc>
          <w:tcPr>
            <w:tcW w:w="875" w:type="pct"/>
            <w:tcBorders>
              <w:top w:val="nil"/>
              <w:bottom w:val="nil"/>
            </w:tcBorders>
          </w:tcPr>
          <w:p w:rsidR="00000000" w:rsidRDefault="00000000">
            <w:pPr>
              <w:pStyle w:val="ac"/>
              <w:tabs>
                <w:tab w:val="decimal" w:pos="692"/>
              </w:tabs>
              <w:spacing w:line="300" w:lineRule="exact"/>
            </w:pPr>
            <w:r>
              <w:t>6.7</w:t>
            </w:r>
          </w:p>
        </w:tc>
        <w:tc>
          <w:tcPr>
            <w:tcW w:w="875" w:type="pct"/>
            <w:tcBorders>
              <w:top w:val="nil"/>
              <w:bottom w:val="nil"/>
            </w:tcBorders>
          </w:tcPr>
          <w:p w:rsidR="00000000" w:rsidRDefault="00000000">
            <w:pPr>
              <w:pStyle w:val="ac"/>
              <w:tabs>
                <w:tab w:val="decimal" w:pos="692"/>
              </w:tabs>
              <w:spacing w:line="300" w:lineRule="exact"/>
            </w:pPr>
            <w:r>
              <w:t>6.6</w:t>
            </w:r>
          </w:p>
        </w:tc>
        <w:tc>
          <w:tcPr>
            <w:tcW w:w="812" w:type="pct"/>
            <w:tcBorders>
              <w:top w:val="nil"/>
              <w:bottom w:val="nil"/>
            </w:tcBorders>
          </w:tcPr>
          <w:p w:rsidR="00000000" w:rsidRDefault="00000000">
            <w:pPr>
              <w:pStyle w:val="ac"/>
              <w:tabs>
                <w:tab w:val="decimal" w:pos="692"/>
              </w:tabs>
              <w:spacing w:line="300" w:lineRule="exact"/>
            </w:pPr>
            <w:r>
              <w:t>-0.1</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同居，</w:t>
            </w:r>
            <w:r>
              <w:rPr>
                <w:rFonts w:hint="eastAsia"/>
              </w:rPr>
              <w:t>20</w:t>
            </w:r>
            <w:r>
              <w:t>-</w:t>
            </w:r>
            <w:r>
              <w:rPr>
                <w:rFonts w:hint="eastAsia"/>
              </w:rPr>
              <w:t>44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4.2</w:t>
            </w:r>
          </w:p>
        </w:tc>
        <w:tc>
          <w:tcPr>
            <w:tcW w:w="875" w:type="pct"/>
            <w:tcBorders>
              <w:top w:val="nil"/>
              <w:bottom w:val="nil"/>
            </w:tcBorders>
          </w:tcPr>
          <w:p w:rsidR="00000000" w:rsidRDefault="00000000">
            <w:pPr>
              <w:pStyle w:val="ac"/>
              <w:tabs>
                <w:tab w:val="decimal" w:pos="692"/>
              </w:tabs>
              <w:spacing w:line="300" w:lineRule="exact"/>
            </w:pPr>
            <w:r>
              <w:t>5.1</w:t>
            </w:r>
          </w:p>
        </w:tc>
        <w:tc>
          <w:tcPr>
            <w:tcW w:w="812" w:type="pct"/>
            <w:tcBorders>
              <w:top w:val="nil"/>
              <w:bottom w:val="nil"/>
            </w:tcBorders>
          </w:tcPr>
          <w:p w:rsidR="00000000" w:rsidRDefault="00000000">
            <w:pPr>
              <w:pStyle w:val="ac"/>
              <w:tabs>
                <w:tab w:val="decimal" w:pos="692"/>
              </w:tabs>
              <w:spacing w:line="300" w:lineRule="exact"/>
            </w:pPr>
            <w:r>
              <w:t>+0.9</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rPr>
              <w:t>同居，</w:t>
            </w:r>
            <w:r>
              <w:rPr>
                <w:rFonts w:hint="eastAsia"/>
              </w:rPr>
              <w:t>45</w:t>
            </w:r>
            <w:r>
              <w:t>-</w:t>
            </w:r>
            <w:r>
              <w:rPr>
                <w:rFonts w:hint="eastAsia"/>
              </w:rPr>
              <w:t>64</w:t>
            </w:r>
            <w:r>
              <w:rPr>
                <w:rFonts w:hint="eastAsia"/>
              </w:rPr>
              <w:t>岁</w:t>
            </w:r>
          </w:p>
        </w:tc>
        <w:tc>
          <w:tcPr>
            <w:tcW w:w="875" w:type="pct"/>
            <w:tcBorders>
              <w:top w:val="nil"/>
              <w:bottom w:val="nil"/>
            </w:tcBorders>
          </w:tcPr>
          <w:p w:rsidR="00000000" w:rsidRDefault="00000000">
            <w:pPr>
              <w:pStyle w:val="ac"/>
              <w:tabs>
                <w:tab w:val="decimal" w:pos="692"/>
              </w:tabs>
              <w:spacing w:line="300" w:lineRule="exact"/>
            </w:pPr>
            <w:r>
              <w:t>2.6</w:t>
            </w:r>
          </w:p>
        </w:tc>
        <w:tc>
          <w:tcPr>
            <w:tcW w:w="875" w:type="pct"/>
            <w:tcBorders>
              <w:top w:val="nil"/>
              <w:bottom w:val="nil"/>
            </w:tcBorders>
          </w:tcPr>
          <w:p w:rsidR="00000000" w:rsidRDefault="00000000">
            <w:pPr>
              <w:pStyle w:val="ac"/>
              <w:tabs>
                <w:tab w:val="decimal" w:pos="692"/>
              </w:tabs>
              <w:spacing w:line="300" w:lineRule="exact"/>
            </w:pPr>
            <w:r>
              <w:t>2.5</w:t>
            </w:r>
          </w:p>
        </w:tc>
        <w:tc>
          <w:tcPr>
            <w:tcW w:w="812" w:type="pct"/>
            <w:tcBorders>
              <w:top w:val="nil"/>
              <w:bottom w:val="nil"/>
            </w:tcBorders>
          </w:tcPr>
          <w:p w:rsidR="00000000" w:rsidRDefault="00000000">
            <w:pPr>
              <w:pStyle w:val="ac"/>
              <w:tabs>
                <w:tab w:val="decimal" w:pos="692"/>
              </w:tabs>
              <w:spacing w:line="300" w:lineRule="exact"/>
            </w:pPr>
            <w:r>
              <w:t>-0.1</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snapToGrid/>
              </w:rPr>
              <w:t>同居，</w:t>
            </w:r>
            <w:r>
              <w:rPr>
                <w:rFonts w:hint="eastAsia"/>
                <w:snapToGrid/>
              </w:rPr>
              <w:t>65</w:t>
            </w:r>
            <w:r>
              <w:rPr>
                <w:snapToGrid/>
              </w:rPr>
              <w:t>-</w:t>
            </w:r>
            <w:r>
              <w:rPr>
                <w:rFonts w:hint="eastAsia"/>
                <w:snapToGrid/>
              </w:rPr>
              <w:t>74</w:t>
            </w:r>
            <w:r>
              <w:rPr>
                <w:rFonts w:hint="eastAsia"/>
                <w:snapToGrid/>
              </w:rPr>
              <w:t>岁</w:t>
            </w:r>
          </w:p>
        </w:tc>
        <w:tc>
          <w:tcPr>
            <w:tcW w:w="875" w:type="pct"/>
            <w:tcBorders>
              <w:top w:val="nil"/>
              <w:bottom w:val="nil"/>
            </w:tcBorders>
          </w:tcPr>
          <w:p w:rsidR="00000000" w:rsidRDefault="00000000">
            <w:pPr>
              <w:pStyle w:val="ac"/>
              <w:tabs>
                <w:tab w:val="decimal" w:pos="692"/>
              </w:tabs>
              <w:spacing w:line="300" w:lineRule="exact"/>
            </w:pPr>
            <w:r>
              <w:t>2.4</w:t>
            </w:r>
          </w:p>
        </w:tc>
        <w:tc>
          <w:tcPr>
            <w:tcW w:w="875" w:type="pct"/>
            <w:tcBorders>
              <w:top w:val="nil"/>
              <w:bottom w:val="nil"/>
            </w:tcBorders>
          </w:tcPr>
          <w:p w:rsidR="00000000" w:rsidRDefault="00000000">
            <w:pPr>
              <w:pStyle w:val="ac"/>
              <w:tabs>
                <w:tab w:val="decimal" w:pos="692"/>
              </w:tabs>
              <w:spacing w:line="300" w:lineRule="exact"/>
            </w:pPr>
            <w:r>
              <w:t>3.3</w:t>
            </w:r>
          </w:p>
        </w:tc>
        <w:tc>
          <w:tcPr>
            <w:tcW w:w="812" w:type="pct"/>
            <w:tcBorders>
              <w:top w:val="nil"/>
              <w:bottom w:val="nil"/>
            </w:tcBorders>
          </w:tcPr>
          <w:p w:rsidR="00000000" w:rsidRDefault="00000000">
            <w:pPr>
              <w:pStyle w:val="ac"/>
              <w:tabs>
                <w:tab w:val="decimal" w:pos="692"/>
              </w:tabs>
              <w:spacing w:line="300" w:lineRule="exact"/>
            </w:pPr>
            <w:r>
              <w:t>+0.9</w:t>
            </w:r>
          </w:p>
        </w:tc>
      </w:tr>
      <w:tr w:rsidR="00000000">
        <w:tblPrEx>
          <w:tblCellMar>
            <w:top w:w="0" w:type="dxa"/>
            <w:bottom w:w="0" w:type="dxa"/>
          </w:tblCellMar>
        </w:tblPrEx>
        <w:tc>
          <w:tcPr>
            <w:tcW w:w="2437" w:type="pct"/>
            <w:tcBorders>
              <w:top w:val="nil"/>
              <w:bottom w:val="nil"/>
            </w:tcBorders>
          </w:tcPr>
          <w:p w:rsidR="00000000" w:rsidRDefault="00000000">
            <w:pPr>
              <w:pStyle w:val="ac"/>
              <w:spacing w:line="300" w:lineRule="exact"/>
            </w:pPr>
            <w:r>
              <w:rPr>
                <w:rFonts w:hint="eastAsia"/>
                <w:snapToGrid/>
              </w:rPr>
              <w:t>同居，</w:t>
            </w:r>
            <w:r>
              <w:rPr>
                <w:rFonts w:hint="eastAsia"/>
                <w:snapToGrid/>
              </w:rPr>
              <w:t>75</w:t>
            </w:r>
            <w:r>
              <w:rPr>
                <w:rFonts w:hint="eastAsia"/>
                <w:snapToGrid/>
              </w:rPr>
              <w:t>岁以上</w:t>
            </w:r>
          </w:p>
        </w:tc>
        <w:tc>
          <w:tcPr>
            <w:tcW w:w="875" w:type="pct"/>
            <w:tcBorders>
              <w:top w:val="nil"/>
              <w:bottom w:val="nil"/>
            </w:tcBorders>
          </w:tcPr>
          <w:p w:rsidR="00000000" w:rsidRDefault="00000000">
            <w:pPr>
              <w:pStyle w:val="ac"/>
              <w:tabs>
                <w:tab w:val="decimal" w:pos="692"/>
              </w:tabs>
              <w:spacing w:line="300" w:lineRule="exact"/>
            </w:pPr>
            <w:r>
              <w:t>4.6</w:t>
            </w:r>
          </w:p>
        </w:tc>
        <w:tc>
          <w:tcPr>
            <w:tcW w:w="875" w:type="pct"/>
            <w:tcBorders>
              <w:top w:val="nil"/>
              <w:bottom w:val="nil"/>
            </w:tcBorders>
          </w:tcPr>
          <w:p w:rsidR="00000000" w:rsidRDefault="00000000">
            <w:pPr>
              <w:pStyle w:val="ac"/>
              <w:tabs>
                <w:tab w:val="decimal" w:pos="692"/>
              </w:tabs>
              <w:spacing w:line="300" w:lineRule="exact"/>
            </w:pPr>
            <w:r>
              <w:t>6.0</w:t>
            </w:r>
          </w:p>
        </w:tc>
        <w:tc>
          <w:tcPr>
            <w:tcW w:w="812" w:type="pct"/>
            <w:tcBorders>
              <w:top w:val="nil"/>
              <w:bottom w:val="nil"/>
            </w:tcBorders>
          </w:tcPr>
          <w:p w:rsidR="00000000" w:rsidRDefault="00000000">
            <w:pPr>
              <w:pStyle w:val="ac"/>
              <w:tabs>
                <w:tab w:val="decimal" w:pos="692"/>
              </w:tabs>
              <w:spacing w:line="300" w:lineRule="exact"/>
            </w:pPr>
            <w:r>
              <w:t>+1.4</w:t>
            </w:r>
          </w:p>
        </w:tc>
      </w:tr>
      <w:tr w:rsidR="00000000">
        <w:tblPrEx>
          <w:tblCellMar>
            <w:top w:w="0" w:type="dxa"/>
            <w:bottom w:w="0" w:type="dxa"/>
          </w:tblCellMar>
        </w:tblPrEx>
        <w:tc>
          <w:tcPr>
            <w:tcW w:w="2437" w:type="pct"/>
            <w:tcBorders>
              <w:top w:val="nil"/>
            </w:tcBorders>
          </w:tcPr>
          <w:p w:rsidR="00000000" w:rsidRDefault="00000000">
            <w:pPr>
              <w:pStyle w:val="ac"/>
              <w:spacing w:line="300" w:lineRule="exact"/>
              <w:rPr>
                <w:rFonts w:hint="eastAsia"/>
              </w:rPr>
            </w:pPr>
            <w:r>
              <w:rPr>
                <w:rFonts w:hint="eastAsia"/>
              </w:rPr>
              <w:t>全</w:t>
            </w:r>
            <w:r>
              <w:rPr>
                <w:rFonts w:hint="eastAsia"/>
              </w:rPr>
              <w:t xml:space="preserve">  </w:t>
            </w:r>
            <w:r>
              <w:rPr>
                <w:rFonts w:hint="eastAsia"/>
              </w:rPr>
              <w:t>部</w:t>
            </w:r>
          </w:p>
        </w:tc>
        <w:tc>
          <w:tcPr>
            <w:tcW w:w="875" w:type="pct"/>
            <w:tcBorders>
              <w:top w:val="nil"/>
            </w:tcBorders>
          </w:tcPr>
          <w:p w:rsidR="00000000" w:rsidRDefault="00000000">
            <w:pPr>
              <w:pStyle w:val="ac"/>
              <w:tabs>
                <w:tab w:val="decimal" w:pos="692"/>
              </w:tabs>
              <w:spacing w:line="300" w:lineRule="exact"/>
            </w:pPr>
            <w:r>
              <w:t>7.8</w:t>
            </w:r>
          </w:p>
        </w:tc>
        <w:tc>
          <w:tcPr>
            <w:tcW w:w="875" w:type="pct"/>
            <w:tcBorders>
              <w:top w:val="nil"/>
            </w:tcBorders>
          </w:tcPr>
          <w:p w:rsidR="00000000" w:rsidRDefault="00000000">
            <w:pPr>
              <w:pStyle w:val="ac"/>
              <w:tabs>
                <w:tab w:val="decimal" w:pos="692"/>
              </w:tabs>
              <w:spacing w:line="300" w:lineRule="exact"/>
            </w:pPr>
            <w:r>
              <w:t>9.1</w:t>
            </w:r>
          </w:p>
        </w:tc>
        <w:tc>
          <w:tcPr>
            <w:tcW w:w="812" w:type="pct"/>
            <w:tcBorders>
              <w:top w:val="nil"/>
            </w:tcBorders>
          </w:tcPr>
          <w:p w:rsidR="00000000" w:rsidRDefault="00000000">
            <w:pPr>
              <w:pStyle w:val="ac"/>
              <w:tabs>
                <w:tab w:val="decimal" w:pos="692"/>
              </w:tabs>
              <w:spacing w:line="300" w:lineRule="exact"/>
            </w:pPr>
            <w:r>
              <w:t>+1.3</w:t>
            </w:r>
          </w:p>
        </w:tc>
      </w:tr>
    </w:tbl>
    <w:p w:rsidR="00000000" w:rsidRDefault="00000000">
      <w:pPr>
        <w:spacing w:before="180" w:line="288" w:lineRule="auto"/>
        <w:ind w:left="510"/>
        <w:rPr>
          <w:rFonts w:eastAsia="KaiTi_GB2312" w:hint="eastAsia"/>
          <w:snapToGrid/>
          <w:spacing w:val="0"/>
          <w:sz w:val="22"/>
        </w:rPr>
      </w:pPr>
      <w:r>
        <w:rPr>
          <w:rFonts w:eastAsia="KaiTi_GB2312" w:hint="eastAsia"/>
          <w:snapToGrid/>
          <w:spacing w:val="0"/>
          <w:sz w:val="22"/>
          <w:u w:val="single"/>
        </w:rPr>
        <w:t>来源</w:t>
      </w:r>
      <w:r>
        <w:rPr>
          <w:rFonts w:eastAsia="KaiTi_GB2312" w:hint="eastAsia"/>
          <w:snapToGrid/>
          <w:spacing w:val="0"/>
          <w:sz w:val="22"/>
        </w:rPr>
        <w:t>：瑞典统计局家庭财务情况，由财政部计算。</w:t>
      </w:r>
    </w:p>
    <w:p w:rsidR="00000000" w:rsidRDefault="00000000">
      <w:pPr>
        <w:rPr>
          <w:rFonts w:hint="eastAsia"/>
          <w:snapToGrid/>
        </w:rPr>
      </w:pPr>
      <w:r>
        <w:rPr>
          <w:rFonts w:hint="eastAsia"/>
          <w:snapToGrid/>
        </w:rPr>
        <w:tab/>
        <w:t xml:space="preserve">326.  </w:t>
      </w:r>
      <w:r>
        <w:rPr>
          <w:rFonts w:hint="eastAsia"/>
          <w:snapToGrid/>
        </w:rPr>
        <w:t>瑞典</w:t>
      </w:r>
      <w:r>
        <w:rPr>
          <w:rFonts w:hint="eastAsia"/>
          <w:snapToGrid/>
        </w:rPr>
        <w:t>2003</w:t>
      </w:r>
      <w:r>
        <w:rPr>
          <w:rFonts w:hint="eastAsia"/>
          <w:snapToGrid/>
        </w:rPr>
        <w:t>年消除贫困和社会排斥国家行动计划的一个重要目标是，到</w:t>
      </w:r>
      <w:r>
        <w:rPr>
          <w:rFonts w:hint="eastAsia"/>
          <w:snapToGrid/>
        </w:rPr>
        <w:t>2010</w:t>
      </w:r>
      <w:r>
        <w:rPr>
          <w:rFonts w:hint="eastAsia"/>
          <w:snapToGrid/>
        </w:rPr>
        <w:t>显著减少有贫困和社会排斥风险的人数。要达到这个目标，就要降低其收入低于经济援助准则的男女的百分比以及降低其收入低于中位收入数</w:t>
      </w:r>
      <w:r>
        <w:rPr>
          <w:rFonts w:hint="eastAsia"/>
          <w:snapToGrid/>
        </w:rPr>
        <w:t>60%</w:t>
      </w:r>
      <w:r>
        <w:rPr>
          <w:rFonts w:hint="eastAsia"/>
          <w:snapToGrid/>
        </w:rPr>
        <w:t>的人数的百分比。居住在收入低于中位收入数</w:t>
      </w:r>
      <w:r>
        <w:rPr>
          <w:rFonts w:hint="eastAsia"/>
          <w:snapToGrid/>
        </w:rPr>
        <w:t>60%</w:t>
      </w:r>
      <w:r>
        <w:rPr>
          <w:rFonts w:hint="eastAsia"/>
          <w:snapToGrid/>
        </w:rPr>
        <w:t>的有子女家庭的人数的百分比也要降下来。</w:t>
      </w:r>
    </w:p>
    <w:p w:rsidR="00000000" w:rsidRDefault="00000000">
      <w:pPr>
        <w:spacing w:after="320"/>
        <w:rPr>
          <w:rFonts w:hint="eastAsia"/>
          <w:snapToGrid/>
        </w:rPr>
      </w:pPr>
      <w:r>
        <w:rPr>
          <w:rFonts w:hint="eastAsia"/>
        </w:rPr>
        <w:tab/>
      </w:r>
      <w:r>
        <w:rPr>
          <w:rFonts w:hint="eastAsia"/>
        </w:rPr>
        <w:t>下表表明</w:t>
      </w:r>
      <w:r>
        <w:rPr>
          <w:rFonts w:hint="eastAsia"/>
        </w:rPr>
        <w:t>2000</w:t>
      </w:r>
      <w:r>
        <w:rPr>
          <w:rFonts w:hint="eastAsia"/>
        </w:rPr>
        <w:t>、</w:t>
      </w:r>
      <w:r>
        <w:rPr>
          <w:rFonts w:hint="eastAsia"/>
        </w:rPr>
        <w:t>2001</w:t>
      </w:r>
      <w:r>
        <w:rPr>
          <w:rFonts w:hint="eastAsia"/>
        </w:rPr>
        <w:t>和</w:t>
      </w:r>
      <w:r>
        <w:rPr>
          <w:rFonts w:hint="eastAsia"/>
        </w:rPr>
        <w:t>2003</w:t>
      </w:r>
      <w:r>
        <w:rPr>
          <w:rFonts w:hint="eastAsia"/>
        </w:rPr>
        <w:t>年有关这个目标的统计数字。</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11</w:t>
      </w:r>
      <w:r>
        <w:rPr>
          <w:rFonts w:ascii="Time New Roman" w:eastAsia="SimHei" w:hAnsi="Time New Roman" w:hint="eastAsia"/>
          <w:bCs/>
          <w:u w:val="none"/>
        </w:rPr>
        <w:t>：</w:t>
      </w:r>
      <w:r>
        <w:rPr>
          <w:rFonts w:ascii="Time New Roman" w:eastAsia="SimHei" w:hAnsi="Time New Roman" w:hint="eastAsia"/>
          <w:b/>
          <w:u w:val="none"/>
        </w:rPr>
        <w:t>6</w:t>
      </w:r>
    </w:p>
    <w:p w:rsidR="00000000" w:rsidRDefault="00000000">
      <w:pPr>
        <w:pStyle w:val="Heading3"/>
        <w:spacing w:after="240"/>
        <w:rPr>
          <w:rFonts w:hint="eastAsia"/>
        </w:rPr>
      </w:pPr>
      <w:r>
        <w:rPr>
          <w:rFonts w:ascii="Time New Roman" w:eastAsia="SimHei" w:hAnsi="Time New Roman" w:hint="eastAsia"/>
          <w:u w:val="none"/>
        </w:rPr>
        <w:t>收入低于经济援助准则的男女人数</w:t>
      </w:r>
    </w:p>
    <w:tbl>
      <w:tblPr>
        <w:tblW w:w="3922" w:type="pct"/>
        <w:jc w:val="center"/>
        <w:tblInd w:w="1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1"/>
        <w:gridCol w:w="2233"/>
        <w:gridCol w:w="2233"/>
      </w:tblGrid>
      <w:tr w:rsidR="00000000">
        <w:tblPrEx>
          <w:tblCellMar>
            <w:top w:w="0" w:type="dxa"/>
            <w:bottom w:w="0" w:type="dxa"/>
          </w:tblCellMar>
        </w:tblPrEx>
        <w:trPr>
          <w:jc w:val="center"/>
        </w:trPr>
        <w:tc>
          <w:tcPr>
            <w:tcW w:w="2026" w:type="pct"/>
            <w:tcBorders>
              <w:bottom w:val="single" w:sz="4" w:space="0" w:color="auto"/>
            </w:tcBorders>
          </w:tcPr>
          <w:p w:rsidR="00000000" w:rsidRDefault="00000000">
            <w:pPr>
              <w:pStyle w:val="ac"/>
              <w:jc w:val="center"/>
              <w:rPr>
                <w:rFonts w:ascii="Time New Roman" w:eastAsia="SimHei" w:hAnsi="Time New Roman"/>
              </w:rPr>
            </w:pPr>
          </w:p>
        </w:tc>
        <w:tc>
          <w:tcPr>
            <w:tcW w:w="1487"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2000</w:t>
            </w:r>
          </w:p>
        </w:tc>
        <w:tc>
          <w:tcPr>
            <w:tcW w:w="1487"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2003</w:t>
            </w:r>
          </w:p>
        </w:tc>
      </w:tr>
      <w:tr w:rsidR="00000000">
        <w:tblPrEx>
          <w:tblCellMar>
            <w:top w:w="0" w:type="dxa"/>
            <w:bottom w:w="0" w:type="dxa"/>
          </w:tblCellMar>
        </w:tblPrEx>
        <w:trPr>
          <w:jc w:val="center"/>
        </w:trPr>
        <w:tc>
          <w:tcPr>
            <w:tcW w:w="2026" w:type="pct"/>
            <w:tcBorders>
              <w:bottom w:val="nil"/>
            </w:tcBorders>
          </w:tcPr>
          <w:p w:rsidR="00000000" w:rsidRDefault="00000000">
            <w:pPr>
              <w:pStyle w:val="ac"/>
            </w:pPr>
            <w:r>
              <w:rPr>
                <w:rFonts w:hint="eastAsia"/>
                <w:snapToGrid/>
              </w:rPr>
              <w:t>妇女</w:t>
            </w:r>
          </w:p>
        </w:tc>
        <w:tc>
          <w:tcPr>
            <w:tcW w:w="1487" w:type="pct"/>
            <w:tcBorders>
              <w:bottom w:val="nil"/>
            </w:tcBorders>
          </w:tcPr>
          <w:p w:rsidR="00000000" w:rsidRDefault="00000000">
            <w:pPr>
              <w:pStyle w:val="ac"/>
              <w:tabs>
                <w:tab w:val="decimal" w:pos="1283"/>
              </w:tabs>
            </w:pPr>
          </w:p>
        </w:tc>
        <w:tc>
          <w:tcPr>
            <w:tcW w:w="1487" w:type="pct"/>
            <w:tcBorders>
              <w:bottom w:val="nil"/>
            </w:tcBorders>
          </w:tcPr>
          <w:p w:rsidR="00000000" w:rsidRDefault="00000000">
            <w:pPr>
              <w:pStyle w:val="ac"/>
              <w:tabs>
                <w:tab w:val="decimal" w:pos="1283"/>
              </w:tabs>
            </w:pPr>
          </w:p>
        </w:tc>
      </w:tr>
      <w:tr w:rsidR="00000000">
        <w:tblPrEx>
          <w:tblCellMar>
            <w:top w:w="0" w:type="dxa"/>
            <w:bottom w:w="0" w:type="dxa"/>
          </w:tblCellMar>
        </w:tblPrEx>
        <w:trPr>
          <w:jc w:val="center"/>
        </w:trPr>
        <w:tc>
          <w:tcPr>
            <w:tcW w:w="2026" w:type="pct"/>
            <w:tcBorders>
              <w:top w:val="nil"/>
              <w:bottom w:val="nil"/>
            </w:tcBorders>
          </w:tcPr>
          <w:p w:rsidR="00000000" w:rsidRDefault="00000000">
            <w:pPr>
              <w:pStyle w:val="ac"/>
            </w:pPr>
            <w:r>
              <w:rPr>
                <w:rFonts w:hint="eastAsia"/>
                <w:snapToGrid/>
              </w:rPr>
              <w:t>单身有子女</w:t>
            </w:r>
          </w:p>
        </w:tc>
        <w:tc>
          <w:tcPr>
            <w:tcW w:w="1487" w:type="pct"/>
            <w:tcBorders>
              <w:top w:val="nil"/>
              <w:bottom w:val="nil"/>
            </w:tcBorders>
          </w:tcPr>
          <w:p w:rsidR="00000000" w:rsidRDefault="00000000">
            <w:pPr>
              <w:pStyle w:val="ac"/>
              <w:tabs>
                <w:tab w:val="decimal" w:pos="1283"/>
              </w:tabs>
            </w:pPr>
            <w:r>
              <w:t>46,311</w:t>
            </w:r>
          </w:p>
        </w:tc>
        <w:tc>
          <w:tcPr>
            <w:tcW w:w="1487" w:type="pct"/>
            <w:tcBorders>
              <w:top w:val="nil"/>
              <w:bottom w:val="nil"/>
            </w:tcBorders>
          </w:tcPr>
          <w:p w:rsidR="00000000" w:rsidRDefault="00000000">
            <w:pPr>
              <w:pStyle w:val="ac"/>
              <w:tabs>
                <w:tab w:val="decimal" w:pos="1283"/>
              </w:tabs>
            </w:pPr>
            <w:r>
              <w:t>38,826</w:t>
            </w:r>
          </w:p>
        </w:tc>
      </w:tr>
      <w:tr w:rsidR="00000000">
        <w:tblPrEx>
          <w:tblCellMar>
            <w:top w:w="0" w:type="dxa"/>
            <w:bottom w:w="0" w:type="dxa"/>
          </w:tblCellMar>
        </w:tblPrEx>
        <w:trPr>
          <w:jc w:val="center"/>
        </w:trPr>
        <w:tc>
          <w:tcPr>
            <w:tcW w:w="2026" w:type="pct"/>
            <w:tcBorders>
              <w:top w:val="nil"/>
              <w:bottom w:val="single" w:sz="4" w:space="0" w:color="auto"/>
            </w:tcBorders>
          </w:tcPr>
          <w:p w:rsidR="00000000" w:rsidRDefault="00000000">
            <w:pPr>
              <w:pStyle w:val="ac"/>
            </w:pPr>
            <w:r>
              <w:rPr>
                <w:rFonts w:hint="eastAsia"/>
                <w:snapToGrid/>
              </w:rPr>
              <w:t>单身无子女</w:t>
            </w:r>
          </w:p>
        </w:tc>
        <w:tc>
          <w:tcPr>
            <w:tcW w:w="1487" w:type="pct"/>
            <w:tcBorders>
              <w:top w:val="nil"/>
              <w:bottom w:val="single" w:sz="4" w:space="0" w:color="auto"/>
            </w:tcBorders>
          </w:tcPr>
          <w:p w:rsidR="00000000" w:rsidRDefault="00000000">
            <w:pPr>
              <w:pStyle w:val="ac"/>
              <w:tabs>
                <w:tab w:val="decimal" w:pos="1283"/>
              </w:tabs>
            </w:pPr>
            <w:r>
              <w:t>58,682</w:t>
            </w:r>
          </w:p>
        </w:tc>
        <w:tc>
          <w:tcPr>
            <w:tcW w:w="1487" w:type="pct"/>
            <w:tcBorders>
              <w:top w:val="nil"/>
              <w:bottom w:val="single" w:sz="4" w:space="0" w:color="auto"/>
            </w:tcBorders>
          </w:tcPr>
          <w:p w:rsidR="00000000" w:rsidRDefault="00000000">
            <w:pPr>
              <w:pStyle w:val="ac"/>
              <w:tabs>
                <w:tab w:val="decimal" w:pos="1283"/>
              </w:tabs>
            </w:pPr>
            <w:r>
              <w:t>56,373</w:t>
            </w:r>
          </w:p>
        </w:tc>
      </w:tr>
      <w:tr w:rsidR="00000000">
        <w:tblPrEx>
          <w:tblCellMar>
            <w:top w:w="0" w:type="dxa"/>
            <w:bottom w:w="0" w:type="dxa"/>
          </w:tblCellMar>
        </w:tblPrEx>
        <w:trPr>
          <w:jc w:val="center"/>
        </w:trPr>
        <w:tc>
          <w:tcPr>
            <w:tcW w:w="2026" w:type="pct"/>
            <w:tcBorders>
              <w:top w:val="single" w:sz="4" w:space="0" w:color="auto"/>
              <w:bottom w:val="nil"/>
            </w:tcBorders>
          </w:tcPr>
          <w:p w:rsidR="00000000" w:rsidRDefault="00000000">
            <w:pPr>
              <w:pStyle w:val="ac"/>
            </w:pPr>
            <w:r>
              <w:rPr>
                <w:rFonts w:hint="eastAsia"/>
                <w:snapToGrid/>
              </w:rPr>
              <w:t>男子</w:t>
            </w:r>
          </w:p>
        </w:tc>
        <w:tc>
          <w:tcPr>
            <w:tcW w:w="1487" w:type="pct"/>
            <w:tcBorders>
              <w:top w:val="single" w:sz="4" w:space="0" w:color="auto"/>
              <w:bottom w:val="nil"/>
            </w:tcBorders>
          </w:tcPr>
          <w:p w:rsidR="00000000" w:rsidRDefault="00000000">
            <w:pPr>
              <w:pStyle w:val="ac"/>
              <w:tabs>
                <w:tab w:val="decimal" w:pos="1283"/>
              </w:tabs>
            </w:pPr>
          </w:p>
        </w:tc>
        <w:tc>
          <w:tcPr>
            <w:tcW w:w="1487" w:type="pct"/>
            <w:tcBorders>
              <w:top w:val="single" w:sz="4" w:space="0" w:color="auto"/>
              <w:bottom w:val="nil"/>
            </w:tcBorders>
          </w:tcPr>
          <w:p w:rsidR="00000000" w:rsidRDefault="00000000">
            <w:pPr>
              <w:pStyle w:val="ac"/>
              <w:tabs>
                <w:tab w:val="decimal" w:pos="1283"/>
              </w:tabs>
            </w:pPr>
          </w:p>
        </w:tc>
      </w:tr>
      <w:tr w:rsidR="00000000">
        <w:tblPrEx>
          <w:tblCellMar>
            <w:top w:w="0" w:type="dxa"/>
            <w:bottom w:w="0" w:type="dxa"/>
          </w:tblCellMar>
        </w:tblPrEx>
        <w:trPr>
          <w:jc w:val="center"/>
        </w:trPr>
        <w:tc>
          <w:tcPr>
            <w:tcW w:w="2026" w:type="pct"/>
            <w:tcBorders>
              <w:top w:val="nil"/>
              <w:bottom w:val="nil"/>
            </w:tcBorders>
          </w:tcPr>
          <w:p w:rsidR="00000000" w:rsidRDefault="00000000">
            <w:pPr>
              <w:pStyle w:val="ac"/>
            </w:pPr>
            <w:r>
              <w:rPr>
                <w:rFonts w:hint="eastAsia"/>
                <w:snapToGrid/>
              </w:rPr>
              <w:t>单身有子女</w:t>
            </w:r>
          </w:p>
        </w:tc>
        <w:tc>
          <w:tcPr>
            <w:tcW w:w="1487" w:type="pct"/>
            <w:tcBorders>
              <w:top w:val="nil"/>
              <w:bottom w:val="nil"/>
            </w:tcBorders>
          </w:tcPr>
          <w:p w:rsidR="00000000" w:rsidRDefault="00000000">
            <w:pPr>
              <w:pStyle w:val="ac"/>
              <w:tabs>
                <w:tab w:val="decimal" w:pos="1283"/>
              </w:tabs>
            </w:pPr>
            <w:r>
              <w:t>5,322</w:t>
            </w:r>
          </w:p>
        </w:tc>
        <w:tc>
          <w:tcPr>
            <w:tcW w:w="1487" w:type="pct"/>
            <w:tcBorders>
              <w:top w:val="nil"/>
              <w:bottom w:val="nil"/>
            </w:tcBorders>
          </w:tcPr>
          <w:p w:rsidR="00000000" w:rsidRDefault="00000000">
            <w:pPr>
              <w:pStyle w:val="ac"/>
              <w:tabs>
                <w:tab w:val="decimal" w:pos="1283"/>
              </w:tabs>
            </w:pPr>
            <w:r>
              <w:t>5,240</w:t>
            </w:r>
          </w:p>
        </w:tc>
      </w:tr>
      <w:tr w:rsidR="00000000">
        <w:tblPrEx>
          <w:tblCellMar>
            <w:top w:w="0" w:type="dxa"/>
            <w:bottom w:w="0" w:type="dxa"/>
          </w:tblCellMar>
        </w:tblPrEx>
        <w:trPr>
          <w:jc w:val="center"/>
        </w:trPr>
        <w:tc>
          <w:tcPr>
            <w:tcW w:w="2026" w:type="pct"/>
            <w:tcBorders>
              <w:top w:val="nil"/>
              <w:bottom w:val="single" w:sz="4" w:space="0" w:color="auto"/>
            </w:tcBorders>
          </w:tcPr>
          <w:p w:rsidR="00000000" w:rsidRDefault="00000000">
            <w:pPr>
              <w:pStyle w:val="ac"/>
            </w:pPr>
            <w:r>
              <w:rPr>
                <w:rFonts w:hint="eastAsia"/>
                <w:snapToGrid/>
              </w:rPr>
              <w:t>单身无子女</w:t>
            </w:r>
          </w:p>
        </w:tc>
        <w:tc>
          <w:tcPr>
            <w:tcW w:w="1487" w:type="pct"/>
            <w:tcBorders>
              <w:top w:val="nil"/>
              <w:bottom w:val="single" w:sz="4" w:space="0" w:color="auto"/>
            </w:tcBorders>
          </w:tcPr>
          <w:p w:rsidR="00000000" w:rsidRDefault="00000000">
            <w:pPr>
              <w:pStyle w:val="ac"/>
              <w:tabs>
                <w:tab w:val="decimal" w:pos="1283"/>
              </w:tabs>
            </w:pPr>
            <w:r>
              <w:t>96,519</w:t>
            </w:r>
          </w:p>
        </w:tc>
        <w:tc>
          <w:tcPr>
            <w:tcW w:w="1487" w:type="pct"/>
            <w:tcBorders>
              <w:top w:val="nil"/>
              <w:bottom w:val="single" w:sz="4" w:space="0" w:color="auto"/>
            </w:tcBorders>
          </w:tcPr>
          <w:p w:rsidR="00000000" w:rsidRDefault="00000000">
            <w:pPr>
              <w:pStyle w:val="ac"/>
              <w:tabs>
                <w:tab w:val="decimal" w:pos="1283"/>
              </w:tabs>
            </w:pPr>
            <w:r>
              <w:t>86,954</w:t>
            </w:r>
          </w:p>
        </w:tc>
      </w:tr>
      <w:tr w:rsidR="00000000">
        <w:tblPrEx>
          <w:tblCellMar>
            <w:top w:w="0" w:type="dxa"/>
            <w:bottom w:w="0" w:type="dxa"/>
          </w:tblCellMar>
        </w:tblPrEx>
        <w:trPr>
          <w:jc w:val="center"/>
        </w:trPr>
        <w:tc>
          <w:tcPr>
            <w:tcW w:w="2026" w:type="pct"/>
            <w:tcBorders>
              <w:top w:val="single" w:sz="4" w:space="0" w:color="auto"/>
              <w:bottom w:val="nil"/>
            </w:tcBorders>
          </w:tcPr>
          <w:p w:rsidR="00000000" w:rsidRDefault="00000000">
            <w:pPr>
              <w:pStyle w:val="ac"/>
            </w:pPr>
            <w:r>
              <w:rPr>
                <w:rFonts w:hint="eastAsia"/>
                <w:snapToGrid/>
              </w:rPr>
              <w:t>结婚</w:t>
            </w:r>
            <w:r>
              <w:rPr>
                <w:rFonts w:hint="eastAsia"/>
                <w:snapToGrid/>
              </w:rPr>
              <w:t>/</w:t>
            </w:r>
            <w:r>
              <w:rPr>
                <w:rFonts w:hint="eastAsia"/>
                <w:snapToGrid/>
              </w:rPr>
              <w:t>同居</w:t>
            </w:r>
          </w:p>
        </w:tc>
        <w:tc>
          <w:tcPr>
            <w:tcW w:w="1487" w:type="pct"/>
            <w:tcBorders>
              <w:top w:val="single" w:sz="4" w:space="0" w:color="auto"/>
              <w:bottom w:val="nil"/>
            </w:tcBorders>
          </w:tcPr>
          <w:p w:rsidR="00000000" w:rsidRDefault="00000000">
            <w:pPr>
              <w:pStyle w:val="ac"/>
              <w:tabs>
                <w:tab w:val="decimal" w:pos="1283"/>
              </w:tabs>
            </w:pPr>
          </w:p>
        </w:tc>
        <w:tc>
          <w:tcPr>
            <w:tcW w:w="1487" w:type="pct"/>
            <w:tcBorders>
              <w:top w:val="single" w:sz="4" w:space="0" w:color="auto"/>
              <w:bottom w:val="nil"/>
            </w:tcBorders>
          </w:tcPr>
          <w:p w:rsidR="00000000" w:rsidRDefault="00000000">
            <w:pPr>
              <w:pStyle w:val="ac"/>
              <w:tabs>
                <w:tab w:val="decimal" w:pos="1283"/>
              </w:tabs>
            </w:pPr>
          </w:p>
        </w:tc>
      </w:tr>
      <w:tr w:rsidR="00000000">
        <w:tblPrEx>
          <w:tblCellMar>
            <w:top w:w="0" w:type="dxa"/>
            <w:bottom w:w="0" w:type="dxa"/>
          </w:tblCellMar>
        </w:tblPrEx>
        <w:trPr>
          <w:jc w:val="center"/>
        </w:trPr>
        <w:tc>
          <w:tcPr>
            <w:tcW w:w="2026" w:type="pct"/>
            <w:tcBorders>
              <w:top w:val="nil"/>
              <w:bottom w:val="nil"/>
            </w:tcBorders>
          </w:tcPr>
          <w:p w:rsidR="00000000" w:rsidRDefault="00000000">
            <w:pPr>
              <w:pStyle w:val="ac"/>
            </w:pPr>
            <w:r>
              <w:rPr>
                <w:rFonts w:hint="eastAsia"/>
                <w:snapToGrid/>
              </w:rPr>
              <w:t>有子女</w:t>
            </w:r>
          </w:p>
        </w:tc>
        <w:tc>
          <w:tcPr>
            <w:tcW w:w="1487" w:type="pct"/>
            <w:tcBorders>
              <w:top w:val="nil"/>
              <w:bottom w:val="nil"/>
            </w:tcBorders>
          </w:tcPr>
          <w:p w:rsidR="00000000" w:rsidRDefault="00000000">
            <w:pPr>
              <w:pStyle w:val="ac"/>
              <w:tabs>
                <w:tab w:val="decimal" w:pos="1283"/>
              </w:tabs>
            </w:pPr>
            <w:r>
              <w:t>37,469</w:t>
            </w:r>
          </w:p>
        </w:tc>
        <w:tc>
          <w:tcPr>
            <w:tcW w:w="1487" w:type="pct"/>
            <w:tcBorders>
              <w:top w:val="nil"/>
              <w:bottom w:val="nil"/>
            </w:tcBorders>
          </w:tcPr>
          <w:p w:rsidR="00000000" w:rsidRDefault="00000000">
            <w:pPr>
              <w:pStyle w:val="ac"/>
              <w:tabs>
                <w:tab w:val="decimal" w:pos="1283"/>
              </w:tabs>
            </w:pPr>
            <w:r>
              <w:t>27,283</w:t>
            </w:r>
          </w:p>
        </w:tc>
      </w:tr>
      <w:tr w:rsidR="00000000">
        <w:tblPrEx>
          <w:tblCellMar>
            <w:top w:w="0" w:type="dxa"/>
            <w:bottom w:w="0" w:type="dxa"/>
          </w:tblCellMar>
        </w:tblPrEx>
        <w:trPr>
          <w:jc w:val="center"/>
        </w:trPr>
        <w:tc>
          <w:tcPr>
            <w:tcW w:w="2026" w:type="pct"/>
            <w:tcBorders>
              <w:top w:val="nil"/>
            </w:tcBorders>
          </w:tcPr>
          <w:p w:rsidR="00000000" w:rsidRDefault="00000000">
            <w:pPr>
              <w:pStyle w:val="ac"/>
            </w:pPr>
            <w:r>
              <w:rPr>
                <w:rFonts w:hint="eastAsia"/>
                <w:snapToGrid/>
              </w:rPr>
              <w:t>无子女</w:t>
            </w:r>
          </w:p>
        </w:tc>
        <w:tc>
          <w:tcPr>
            <w:tcW w:w="1487" w:type="pct"/>
            <w:tcBorders>
              <w:top w:val="nil"/>
            </w:tcBorders>
          </w:tcPr>
          <w:p w:rsidR="00000000" w:rsidRDefault="00000000">
            <w:pPr>
              <w:pStyle w:val="ac"/>
              <w:tabs>
                <w:tab w:val="decimal" w:pos="1283"/>
              </w:tabs>
            </w:pPr>
            <w:r>
              <w:t>13,910</w:t>
            </w:r>
          </w:p>
        </w:tc>
        <w:tc>
          <w:tcPr>
            <w:tcW w:w="1487" w:type="pct"/>
            <w:tcBorders>
              <w:top w:val="nil"/>
            </w:tcBorders>
          </w:tcPr>
          <w:p w:rsidR="00000000" w:rsidRDefault="00000000">
            <w:pPr>
              <w:pStyle w:val="ac"/>
              <w:tabs>
                <w:tab w:val="decimal" w:pos="1283"/>
              </w:tabs>
            </w:pPr>
            <w:r>
              <w:t>13,399</w:t>
            </w:r>
          </w:p>
        </w:tc>
      </w:tr>
    </w:tbl>
    <w:p w:rsidR="00000000" w:rsidRDefault="00000000">
      <w:pPr>
        <w:spacing w:after="240"/>
        <w:rPr>
          <w:rFonts w:hint="eastAsia"/>
          <w:snapToGrid/>
        </w:rPr>
      </w:pP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11</w:t>
      </w:r>
      <w:r>
        <w:rPr>
          <w:rFonts w:ascii="Time New Roman" w:eastAsia="SimHei" w:hAnsi="Time New Roman" w:hint="eastAsia"/>
          <w:u w:val="none"/>
        </w:rPr>
        <w:t>：</w:t>
      </w:r>
      <w:r>
        <w:rPr>
          <w:rFonts w:ascii="Time New Roman" w:eastAsia="SimHei" w:hAnsi="Time New Roman" w:hint="eastAsia"/>
          <w:b/>
          <w:u w:val="none"/>
        </w:rPr>
        <w:t>7</w:t>
      </w:r>
    </w:p>
    <w:p w:rsidR="00000000" w:rsidRDefault="00000000">
      <w:pPr>
        <w:pStyle w:val="Heading3"/>
        <w:rPr>
          <w:rFonts w:hint="eastAsia"/>
        </w:rPr>
      </w:pPr>
      <w:r>
        <w:rPr>
          <w:rFonts w:ascii="Time New Roman" w:eastAsia="SimHei" w:hAnsi="Time New Roman" w:hint="eastAsia"/>
          <w:u w:val="none"/>
        </w:rPr>
        <w:t>可支配收入低于中位可支配收入数</w:t>
      </w:r>
      <w:r>
        <w:rPr>
          <w:rFonts w:ascii="Time New Roman" w:eastAsia="SimHei" w:hAnsi="Time New Roman" w:hint="eastAsia"/>
          <w:b/>
          <w:u w:val="none"/>
        </w:rPr>
        <w:t>60</w:t>
      </w:r>
      <w:r>
        <w:rPr>
          <w:rFonts w:ascii="Time New Roman" w:eastAsia="SimHei" w:hAnsi="Time New Roman" w:hint="eastAsia"/>
          <w:u w:val="none"/>
        </w:rPr>
        <w:t>%</w:t>
      </w:r>
      <w:r>
        <w:rPr>
          <w:rFonts w:ascii="Time New Roman" w:eastAsia="SimHei" w:hAnsi="Time New Roman" w:hint="eastAsia"/>
          <w:u w:val="none"/>
        </w:rPr>
        <w:t>的人的男女的百分比</w:t>
      </w:r>
    </w:p>
    <w:tbl>
      <w:tblPr>
        <w:tblW w:w="0" w:type="auto"/>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1"/>
        <w:gridCol w:w="1340"/>
        <w:gridCol w:w="1758"/>
      </w:tblGrid>
      <w:tr w:rsidR="00000000">
        <w:tblPrEx>
          <w:tblCellMar>
            <w:top w:w="0" w:type="dxa"/>
            <w:bottom w:w="0" w:type="dxa"/>
          </w:tblCellMar>
        </w:tblPrEx>
        <w:trPr>
          <w:jc w:val="center"/>
        </w:trPr>
        <w:tc>
          <w:tcPr>
            <w:tcW w:w="1641" w:type="dxa"/>
            <w:tcBorders>
              <w:bottom w:val="single" w:sz="4" w:space="0" w:color="auto"/>
            </w:tcBorders>
          </w:tcPr>
          <w:p w:rsidR="00000000" w:rsidRDefault="00000000">
            <w:pPr>
              <w:pStyle w:val="ac"/>
              <w:jc w:val="center"/>
              <w:rPr>
                <w:rFonts w:ascii="Time New Roman" w:eastAsia="SimHei" w:hAnsi="Time New Roman"/>
              </w:rPr>
            </w:pPr>
          </w:p>
        </w:tc>
        <w:tc>
          <w:tcPr>
            <w:tcW w:w="1340" w:type="dxa"/>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2001</w:t>
            </w:r>
          </w:p>
        </w:tc>
        <w:tc>
          <w:tcPr>
            <w:tcW w:w="1758" w:type="dxa"/>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2003</w:t>
            </w:r>
          </w:p>
        </w:tc>
      </w:tr>
      <w:tr w:rsidR="00000000">
        <w:tblPrEx>
          <w:tblCellMar>
            <w:top w:w="0" w:type="dxa"/>
            <w:bottom w:w="0" w:type="dxa"/>
          </w:tblCellMar>
        </w:tblPrEx>
        <w:trPr>
          <w:jc w:val="center"/>
        </w:trPr>
        <w:tc>
          <w:tcPr>
            <w:tcW w:w="1641" w:type="dxa"/>
            <w:tcBorders>
              <w:bottom w:val="nil"/>
            </w:tcBorders>
          </w:tcPr>
          <w:p w:rsidR="00000000" w:rsidRDefault="00000000">
            <w:pPr>
              <w:pStyle w:val="ac"/>
              <w:rPr>
                <w:rFonts w:hint="eastAsia"/>
              </w:rPr>
            </w:pPr>
            <w:r>
              <w:rPr>
                <w:rFonts w:hint="eastAsia"/>
              </w:rPr>
              <w:t>妇女</w:t>
            </w:r>
          </w:p>
        </w:tc>
        <w:tc>
          <w:tcPr>
            <w:tcW w:w="1340" w:type="dxa"/>
            <w:tcBorders>
              <w:bottom w:val="nil"/>
            </w:tcBorders>
          </w:tcPr>
          <w:p w:rsidR="00000000" w:rsidRDefault="00000000">
            <w:pPr>
              <w:pStyle w:val="ac"/>
              <w:tabs>
                <w:tab w:val="decimal" w:pos="564"/>
              </w:tabs>
            </w:pPr>
            <w:r>
              <w:t>11.2</w:t>
            </w:r>
          </w:p>
        </w:tc>
        <w:tc>
          <w:tcPr>
            <w:tcW w:w="1758" w:type="dxa"/>
            <w:tcBorders>
              <w:bottom w:val="nil"/>
            </w:tcBorders>
          </w:tcPr>
          <w:p w:rsidR="00000000" w:rsidRDefault="00000000">
            <w:pPr>
              <w:pStyle w:val="ac"/>
              <w:jc w:val="center"/>
            </w:pPr>
            <w:r>
              <w:t>11</w:t>
            </w:r>
          </w:p>
        </w:tc>
      </w:tr>
      <w:tr w:rsidR="00000000">
        <w:tblPrEx>
          <w:tblCellMar>
            <w:top w:w="0" w:type="dxa"/>
            <w:bottom w:w="0" w:type="dxa"/>
          </w:tblCellMar>
        </w:tblPrEx>
        <w:trPr>
          <w:jc w:val="center"/>
        </w:trPr>
        <w:tc>
          <w:tcPr>
            <w:tcW w:w="1641" w:type="dxa"/>
            <w:tcBorders>
              <w:top w:val="nil"/>
            </w:tcBorders>
          </w:tcPr>
          <w:p w:rsidR="00000000" w:rsidRDefault="00000000">
            <w:pPr>
              <w:pStyle w:val="ac"/>
              <w:rPr>
                <w:rFonts w:hint="eastAsia"/>
              </w:rPr>
            </w:pPr>
            <w:r>
              <w:rPr>
                <w:rFonts w:hint="eastAsia"/>
              </w:rPr>
              <w:t>男子</w:t>
            </w:r>
          </w:p>
        </w:tc>
        <w:tc>
          <w:tcPr>
            <w:tcW w:w="1340" w:type="dxa"/>
            <w:tcBorders>
              <w:top w:val="nil"/>
            </w:tcBorders>
          </w:tcPr>
          <w:p w:rsidR="00000000" w:rsidRDefault="00000000">
            <w:pPr>
              <w:pStyle w:val="ac"/>
              <w:tabs>
                <w:tab w:val="decimal" w:pos="564"/>
              </w:tabs>
            </w:pPr>
            <w:r>
              <w:t>9.0</w:t>
            </w:r>
          </w:p>
        </w:tc>
        <w:tc>
          <w:tcPr>
            <w:tcW w:w="1758" w:type="dxa"/>
            <w:tcBorders>
              <w:top w:val="nil"/>
            </w:tcBorders>
          </w:tcPr>
          <w:p w:rsidR="00000000" w:rsidRDefault="00000000">
            <w:pPr>
              <w:pStyle w:val="ac"/>
              <w:jc w:val="center"/>
            </w:pPr>
            <w:r>
              <w:t>10</w:t>
            </w:r>
          </w:p>
        </w:tc>
      </w:tr>
    </w:tbl>
    <w:p w:rsidR="00000000" w:rsidRDefault="00000000">
      <w:pPr>
        <w:spacing w:after="160"/>
        <w:rPr>
          <w:rFonts w:hint="eastAsia"/>
          <w:snapToGrid/>
        </w:rPr>
      </w:pP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表</w:t>
      </w:r>
      <w:r>
        <w:rPr>
          <w:rFonts w:ascii="Time New Roman" w:eastAsia="SimHei" w:hAnsi="Time New Roman" w:hint="eastAsia"/>
          <w:b/>
          <w:u w:val="none"/>
        </w:rPr>
        <w:t>11</w:t>
      </w:r>
      <w:r>
        <w:rPr>
          <w:rFonts w:ascii="Time New Roman" w:eastAsia="SimHei" w:hAnsi="Time New Roman" w:hint="eastAsia"/>
          <w:u w:val="none"/>
        </w:rPr>
        <w:t>：</w:t>
      </w:r>
      <w:r>
        <w:rPr>
          <w:rFonts w:ascii="Time New Roman" w:eastAsia="SimHei" w:hAnsi="Time New Roman" w:hint="eastAsia"/>
          <w:b/>
          <w:u w:val="none"/>
        </w:rPr>
        <w:t>8</w:t>
      </w:r>
    </w:p>
    <w:p w:rsidR="00000000" w:rsidRDefault="00000000">
      <w:pPr>
        <w:pStyle w:val="Heading3"/>
        <w:rPr>
          <w:rFonts w:hint="eastAsia"/>
          <w:bCs/>
        </w:rPr>
      </w:pPr>
      <w:r>
        <w:rPr>
          <w:rFonts w:ascii="Time New Roman" w:eastAsia="SimHei" w:hAnsi="Time New Roman" w:hint="eastAsia"/>
          <w:u w:val="none"/>
        </w:rPr>
        <w:t>居住在可支配收入低于中位可支配收入数</w:t>
      </w:r>
      <w:r>
        <w:rPr>
          <w:rFonts w:eastAsia="SimHei" w:hint="eastAsia"/>
          <w:b/>
          <w:u w:val="none"/>
        </w:rPr>
        <w:t>60</w:t>
      </w:r>
      <w:r>
        <w:rPr>
          <w:rFonts w:eastAsia="SimHei" w:hint="eastAsia"/>
          <w:b/>
          <w:bCs/>
          <w:u w:val="none"/>
        </w:rPr>
        <w:t>%</w:t>
      </w:r>
      <w:r>
        <w:rPr>
          <w:rFonts w:ascii="Time New Roman" w:eastAsia="SimHei" w:hAnsi="Time New Roman" w:hint="eastAsia"/>
          <w:u w:val="none"/>
        </w:rPr>
        <w:t>的</w:t>
      </w:r>
      <w:r>
        <w:rPr>
          <w:rFonts w:ascii="Time New Roman" w:eastAsia="SimHei" w:hAnsi="Time New Roman"/>
          <w:u w:val="none"/>
        </w:rPr>
        <w:br/>
      </w:r>
      <w:r>
        <w:rPr>
          <w:rFonts w:ascii="Time New Roman" w:eastAsia="SimHei" w:hAnsi="Time New Roman" w:hint="eastAsia"/>
          <w:u w:val="none"/>
        </w:rPr>
        <w:t>有子女家庭的</w:t>
      </w:r>
      <w:r>
        <w:rPr>
          <w:rFonts w:ascii="Time New Roman" w:eastAsia="SimHei" w:hAnsi="Time New Roman" w:hint="eastAsia"/>
          <w:bCs/>
          <w:u w:val="none"/>
        </w:rPr>
        <w:t>人的百分比</w:t>
      </w:r>
    </w:p>
    <w:tbl>
      <w:tblPr>
        <w:tblW w:w="3888" w:type="pct"/>
        <w:jc w:val="center"/>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6"/>
        <w:gridCol w:w="1713"/>
        <w:gridCol w:w="1173"/>
      </w:tblGrid>
      <w:tr w:rsidR="00000000">
        <w:tblPrEx>
          <w:tblCellMar>
            <w:top w:w="0" w:type="dxa"/>
            <w:bottom w:w="0" w:type="dxa"/>
          </w:tblCellMar>
        </w:tblPrEx>
        <w:trPr>
          <w:jc w:val="center"/>
        </w:trPr>
        <w:tc>
          <w:tcPr>
            <w:tcW w:w="3061" w:type="pct"/>
            <w:tcBorders>
              <w:bottom w:val="single" w:sz="4" w:space="0" w:color="auto"/>
            </w:tcBorders>
          </w:tcPr>
          <w:p w:rsidR="00000000" w:rsidRDefault="00000000">
            <w:pPr>
              <w:pStyle w:val="ac"/>
              <w:jc w:val="center"/>
              <w:rPr>
                <w:rFonts w:ascii="Time New Roman" w:eastAsia="SimHei" w:hAnsi="Time New Roman"/>
              </w:rPr>
            </w:pPr>
          </w:p>
        </w:tc>
        <w:tc>
          <w:tcPr>
            <w:tcW w:w="1151"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2001</w:t>
            </w:r>
          </w:p>
        </w:tc>
        <w:tc>
          <w:tcPr>
            <w:tcW w:w="788" w:type="pct"/>
            <w:tcBorders>
              <w:bottom w:val="single" w:sz="4" w:space="0" w:color="auto"/>
            </w:tcBorders>
          </w:tcPr>
          <w:p w:rsidR="00000000" w:rsidRDefault="00000000">
            <w:pPr>
              <w:pStyle w:val="ac"/>
              <w:jc w:val="center"/>
              <w:rPr>
                <w:rFonts w:ascii="Time New Roman" w:eastAsia="SimHei" w:hAnsi="Time New Roman"/>
              </w:rPr>
            </w:pPr>
            <w:r>
              <w:rPr>
                <w:rFonts w:ascii="Time New Roman" w:eastAsia="SimHei" w:hAnsi="Time New Roman"/>
                <w:b/>
              </w:rPr>
              <w:t>2003</w:t>
            </w:r>
          </w:p>
        </w:tc>
      </w:tr>
      <w:tr w:rsidR="00000000">
        <w:tblPrEx>
          <w:tblCellMar>
            <w:top w:w="0" w:type="dxa"/>
            <w:bottom w:w="0" w:type="dxa"/>
          </w:tblCellMar>
        </w:tblPrEx>
        <w:trPr>
          <w:jc w:val="center"/>
        </w:trPr>
        <w:tc>
          <w:tcPr>
            <w:tcW w:w="3061" w:type="pct"/>
            <w:tcBorders>
              <w:bottom w:val="nil"/>
            </w:tcBorders>
          </w:tcPr>
          <w:p w:rsidR="00000000" w:rsidRDefault="00000000">
            <w:pPr>
              <w:pStyle w:val="ac"/>
            </w:pPr>
            <w:r>
              <w:rPr>
                <w:rFonts w:hint="eastAsia"/>
                <w:snapToGrid/>
              </w:rPr>
              <w:t>单身，至少一名子女</w:t>
            </w:r>
          </w:p>
        </w:tc>
        <w:tc>
          <w:tcPr>
            <w:tcW w:w="1151" w:type="pct"/>
            <w:tcBorders>
              <w:bottom w:val="nil"/>
            </w:tcBorders>
          </w:tcPr>
          <w:p w:rsidR="00000000" w:rsidRDefault="00000000">
            <w:pPr>
              <w:pStyle w:val="ac"/>
              <w:tabs>
                <w:tab w:val="decimal" w:pos="785"/>
              </w:tabs>
            </w:pPr>
            <w:r>
              <w:t>13.5</w:t>
            </w:r>
          </w:p>
        </w:tc>
        <w:tc>
          <w:tcPr>
            <w:tcW w:w="788" w:type="pct"/>
            <w:tcBorders>
              <w:bottom w:val="nil"/>
            </w:tcBorders>
          </w:tcPr>
          <w:p w:rsidR="00000000" w:rsidRDefault="00000000">
            <w:pPr>
              <w:pStyle w:val="ac"/>
              <w:jc w:val="center"/>
            </w:pPr>
          </w:p>
        </w:tc>
      </w:tr>
      <w:tr w:rsidR="00000000">
        <w:tblPrEx>
          <w:tblCellMar>
            <w:top w:w="0" w:type="dxa"/>
            <w:bottom w:w="0" w:type="dxa"/>
          </w:tblCellMar>
        </w:tblPrEx>
        <w:trPr>
          <w:jc w:val="center"/>
        </w:trPr>
        <w:tc>
          <w:tcPr>
            <w:tcW w:w="3061" w:type="pct"/>
            <w:tcBorders>
              <w:top w:val="nil"/>
              <w:bottom w:val="nil"/>
            </w:tcBorders>
          </w:tcPr>
          <w:p w:rsidR="00000000" w:rsidRDefault="00000000">
            <w:pPr>
              <w:pStyle w:val="ac"/>
            </w:pPr>
            <w:r>
              <w:rPr>
                <w:rFonts w:hint="eastAsia"/>
                <w:snapToGrid/>
              </w:rPr>
              <w:t>二名成人与一名子女</w:t>
            </w:r>
          </w:p>
        </w:tc>
        <w:tc>
          <w:tcPr>
            <w:tcW w:w="1151" w:type="pct"/>
            <w:tcBorders>
              <w:top w:val="nil"/>
              <w:bottom w:val="nil"/>
            </w:tcBorders>
          </w:tcPr>
          <w:p w:rsidR="00000000" w:rsidRDefault="00000000">
            <w:pPr>
              <w:pStyle w:val="ac"/>
              <w:tabs>
                <w:tab w:val="decimal" w:pos="785"/>
              </w:tabs>
            </w:pPr>
            <w:r>
              <w:t>4.4</w:t>
            </w:r>
          </w:p>
        </w:tc>
        <w:tc>
          <w:tcPr>
            <w:tcW w:w="788" w:type="pct"/>
            <w:tcBorders>
              <w:top w:val="nil"/>
              <w:bottom w:val="nil"/>
            </w:tcBorders>
          </w:tcPr>
          <w:p w:rsidR="00000000" w:rsidRDefault="00000000">
            <w:pPr>
              <w:pStyle w:val="ac"/>
              <w:jc w:val="center"/>
            </w:pPr>
          </w:p>
        </w:tc>
      </w:tr>
      <w:tr w:rsidR="00000000">
        <w:tblPrEx>
          <w:tblCellMar>
            <w:top w:w="0" w:type="dxa"/>
            <w:bottom w:w="0" w:type="dxa"/>
          </w:tblCellMar>
        </w:tblPrEx>
        <w:trPr>
          <w:jc w:val="center"/>
        </w:trPr>
        <w:tc>
          <w:tcPr>
            <w:tcW w:w="3061" w:type="pct"/>
            <w:tcBorders>
              <w:top w:val="nil"/>
              <w:bottom w:val="nil"/>
            </w:tcBorders>
          </w:tcPr>
          <w:p w:rsidR="00000000" w:rsidRDefault="00000000">
            <w:pPr>
              <w:pStyle w:val="ac"/>
            </w:pPr>
            <w:r>
              <w:rPr>
                <w:rFonts w:hint="eastAsia"/>
                <w:snapToGrid/>
              </w:rPr>
              <w:t>二名成人与二名子女</w:t>
            </w:r>
          </w:p>
        </w:tc>
        <w:tc>
          <w:tcPr>
            <w:tcW w:w="1151" w:type="pct"/>
            <w:tcBorders>
              <w:top w:val="nil"/>
              <w:bottom w:val="nil"/>
            </w:tcBorders>
          </w:tcPr>
          <w:p w:rsidR="00000000" w:rsidRDefault="00000000">
            <w:pPr>
              <w:pStyle w:val="ac"/>
              <w:tabs>
                <w:tab w:val="decimal" w:pos="785"/>
              </w:tabs>
            </w:pPr>
            <w:r>
              <w:t>4.8</w:t>
            </w:r>
          </w:p>
        </w:tc>
        <w:tc>
          <w:tcPr>
            <w:tcW w:w="788" w:type="pct"/>
            <w:tcBorders>
              <w:top w:val="nil"/>
              <w:bottom w:val="nil"/>
            </w:tcBorders>
          </w:tcPr>
          <w:p w:rsidR="00000000" w:rsidRDefault="00000000">
            <w:pPr>
              <w:pStyle w:val="ac"/>
              <w:jc w:val="center"/>
            </w:pPr>
          </w:p>
        </w:tc>
      </w:tr>
      <w:tr w:rsidR="00000000">
        <w:tblPrEx>
          <w:tblCellMar>
            <w:top w:w="0" w:type="dxa"/>
            <w:bottom w:w="0" w:type="dxa"/>
          </w:tblCellMar>
        </w:tblPrEx>
        <w:trPr>
          <w:jc w:val="center"/>
        </w:trPr>
        <w:tc>
          <w:tcPr>
            <w:tcW w:w="3061" w:type="pct"/>
            <w:tcBorders>
              <w:top w:val="nil"/>
              <w:bottom w:val="nil"/>
            </w:tcBorders>
          </w:tcPr>
          <w:p w:rsidR="00000000" w:rsidRDefault="00000000">
            <w:pPr>
              <w:pStyle w:val="ac"/>
            </w:pPr>
            <w:r>
              <w:rPr>
                <w:rFonts w:hint="eastAsia"/>
                <w:snapToGrid/>
              </w:rPr>
              <w:t>二名成人，至少三名子女</w:t>
            </w:r>
          </w:p>
        </w:tc>
        <w:tc>
          <w:tcPr>
            <w:tcW w:w="1151" w:type="pct"/>
            <w:tcBorders>
              <w:top w:val="nil"/>
              <w:bottom w:val="nil"/>
            </w:tcBorders>
          </w:tcPr>
          <w:p w:rsidR="00000000" w:rsidRDefault="00000000">
            <w:pPr>
              <w:pStyle w:val="ac"/>
              <w:tabs>
                <w:tab w:val="decimal" w:pos="785"/>
              </w:tabs>
            </w:pPr>
            <w:r>
              <w:t>10.6</w:t>
            </w:r>
          </w:p>
        </w:tc>
        <w:tc>
          <w:tcPr>
            <w:tcW w:w="788" w:type="pct"/>
            <w:tcBorders>
              <w:top w:val="nil"/>
              <w:bottom w:val="nil"/>
            </w:tcBorders>
          </w:tcPr>
          <w:p w:rsidR="00000000" w:rsidRDefault="00000000">
            <w:pPr>
              <w:pStyle w:val="ac"/>
              <w:jc w:val="center"/>
            </w:pPr>
          </w:p>
        </w:tc>
      </w:tr>
      <w:tr w:rsidR="00000000">
        <w:tblPrEx>
          <w:tblCellMar>
            <w:top w:w="0" w:type="dxa"/>
            <w:bottom w:w="0" w:type="dxa"/>
          </w:tblCellMar>
        </w:tblPrEx>
        <w:trPr>
          <w:jc w:val="center"/>
        </w:trPr>
        <w:tc>
          <w:tcPr>
            <w:tcW w:w="3061" w:type="pct"/>
            <w:tcBorders>
              <w:top w:val="nil"/>
              <w:bottom w:val="nil"/>
            </w:tcBorders>
          </w:tcPr>
          <w:p w:rsidR="00000000" w:rsidRDefault="00000000">
            <w:pPr>
              <w:pStyle w:val="ac"/>
            </w:pPr>
            <w:r>
              <w:rPr>
                <w:rFonts w:hint="eastAsia"/>
                <w:snapToGrid/>
              </w:rPr>
              <w:t>其他有子女家庭</w:t>
            </w:r>
          </w:p>
        </w:tc>
        <w:tc>
          <w:tcPr>
            <w:tcW w:w="1151" w:type="pct"/>
            <w:tcBorders>
              <w:top w:val="nil"/>
              <w:bottom w:val="nil"/>
            </w:tcBorders>
          </w:tcPr>
          <w:p w:rsidR="00000000" w:rsidRDefault="00000000">
            <w:pPr>
              <w:pStyle w:val="ac"/>
              <w:tabs>
                <w:tab w:val="decimal" w:pos="785"/>
              </w:tabs>
            </w:pPr>
            <w:r>
              <w:t>8.0</w:t>
            </w:r>
          </w:p>
        </w:tc>
        <w:tc>
          <w:tcPr>
            <w:tcW w:w="788" w:type="pct"/>
            <w:tcBorders>
              <w:top w:val="nil"/>
              <w:bottom w:val="nil"/>
            </w:tcBorders>
          </w:tcPr>
          <w:p w:rsidR="00000000" w:rsidRDefault="00000000">
            <w:pPr>
              <w:pStyle w:val="ac"/>
              <w:jc w:val="center"/>
            </w:pPr>
          </w:p>
        </w:tc>
      </w:tr>
      <w:tr w:rsidR="00000000">
        <w:tblPrEx>
          <w:tblCellMar>
            <w:top w:w="0" w:type="dxa"/>
            <w:bottom w:w="0" w:type="dxa"/>
          </w:tblCellMar>
        </w:tblPrEx>
        <w:trPr>
          <w:jc w:val="center"/>
        </w:trPr>
        <w:tc>
          <w:tcPr>
            <w:tcW w:w="3061" w:type="pct"/>
            <w:tcBorders>
              <w:top w:val="nil"/>
            </w:tcBorders>
          </w:tcPr>
          <w:p w:rsidR="00000000" w:rsidRDefault="00000000">
            <w:pPr>
              <w:pStyle w:val="ac"/>
            </w:pPr>
            <w:r>
              <w:rPr>
                <w:rFonts w:hint="eastAsia"/>
                <w:snapToGrid/>
              </w:rPr>
              <w:t>有子女家庭</w:t>
            </w:r>
          </w:p>
        </w:tc>
        <w:tc>
          <w:tcPr>
            <w:tcW w:w="1151" w:type="pct"/>
            <w:tcBorders>
              <w:top w:val="nil"/>
            </w:tcBorders>
          </w:tcPr>
          <w:p w:rsidR="00000000" w:rsidRDefault="00000000">
            <w:pPr>
              <w:pStyle w:val="ac"/>
              <w:tabs>
                <w:tab w:val="decimal" w:pos="785"/>
              </w:tabs>
            </w:pPr>
          </w:p>
        </w:tc>
        <w:tc>
          <w:tcPr>
            <w:tcW w:w="788" w:type="pct"/>
            <w:tcBorders>
              <w:top w:val="nil"/>
            </w:tcBorders>
          </w:tcPr>
          <w:p w:rsidR="00000000" w:rsidRDefault="00000000">
            <w:pPr>
              <w:pStyle w:val="ac"/>
              <w:jc w:val="center"/>
            </w:pPr>
            <w:r>
              <w:t>10</w:t>
            </w:r>
          </w:p>
        </w:tc>
      </w:tr>
    </w:tbl>
    <w:p w:rsidR="00000000" w:rsidRDefault="00000000">
      <w:pPr>
        <w:spacing w:after="160"/>
        <w:rPr>
          <w:rFonts w:hint="eastAsia"/>
        </w:rPr>
      </w:pPr>
    </w:p>
    <w:p w:rsidR="00000000" w:rsidRDefault="00000000">
      <w:pPr>
        <w:rPr>
          <w:rFonts w:hint="eastAsia"/>
          <w:snapToGrid/>
        </w:rPr>
      </w:pPr>
      <w:r>
        <w:rPr>
          <w:rFonts w:hint="eastAsia"/>
          <w:snapToGrid/>
        </w:rPr>
        <w:tab/>
        <w:t xml:space="preserve">327.  </w:t>
      </w:r>
      <w:r>
        <w:rPr>
          <w:rFonts w:hint="eastAsia"/>
          <w:snapToGrid/>
        </w:rPr>
        <w:t>目前，在中学后教育机构的学生人数相对于过去较多。</w:t>
      </w:r>
      <w:r>
        <w:rPr>
          <w:rFonts w:hint="eastAsia"/>
          <w:snapToGrid/>
        </w:rPr>
        <w:t>2003</w:t>
      </w:r>
      <w:r>
        <w:rPr>
          <w:rFonts w:hint="eastAsia"/>
          <w:snapToGrid/>
        </w:rPr>
        <w:t>年，</w:t>
      </w:r>
      <w:r>
        <w:rPr>
          <w:rFonts w:hint="eastAsia"/>
          <w:snapToGrid/>
        </w:rPr>
        <w:t>20-24</w:t>
      </w:r>
      <w:r>
        <w:rPr>
          <w:rFonts w:hint="eastAsia"/>
          <w:snapToGrid/>
        </w:rPr>
        <w:t>岁的人差不多三人中有一个在学校学习，而</w:t>
      </w:r>
      <w:r>
        <w:rPr>
          <w:rFonts w:hint="eastAsia"/>
          <w:snapToGrid/>
        </w:rPr>
        <w:t>1991</w:t>
      </w:r>
      <w:r>
        <w:rPr>
          <w:rFonts w:hint="eastAsia"/>
          <w:snapToGrid/>
        </w:rPr>
        <w:t>年则是八人中有一个。</w:t>
      </w:r>
      <w:r>
        <w:rPr>
          <w:rFonts w:hint="eastAsia"/>
          <w:snapToGrid/>
        </w:rPr>
        <w:t>2003</w:t>
      </w:r>
      <w:r>
        <w:rPr>
          <w:rFonts w:hint="eastAsia"/>
          <w:snapToGrid/>
        </w:rPr>
        <w:t>年，</w:t>
      </w:r>
      <w:r>
        <w:rPr>
          <w:rFonts w:hint="eastAsia"/>
          <w:snapToGrid/>
        </w:rPr>
        <w:t>20</w:t>
      </w:r>
      <w:r>
        <w:rPr>
          <w:snapToGrid/>
        </w:rPr>
        <w:t>-</w:t>
      </w:r>
      <w:r>
        <w:rPr>
          <w:rFonts w:hint="eastAsia"/>
          <w:snapToGrid/>
        </w:rPr>
        <w:t>24</w:t>
      </w:r>
      <w:r>
        <w:rPr>
          <w:rFonts w:hint="eastAsia"/>
          <w:snapToGrid/>
        </w:rPr>
        <w:t>岁的学生中穷人的比例是</w:t>
      </w:r>
      <w:r>
        <w:rPr>
          <w:rFonts w:hint="eastAsia"/>
          <w:snapToGrid/>
        </w:rPr>
        <w:t>46%</w:t>
      </w:r>
      <w:r>
        <w:rPr>
          <w:rFonts w:hint="eastAsia"/>
          <w:snapToGrid/>
        </w:rPr>
        <w:t>，是</w:t>
      </w:r>
      <w:r>
        <w:rPr>
          <w:rFonts w:hint="eastAsia"/>
          <w:snapToGrid/>
        </w:rPr>
        <w:t>1991</w:t>
      </w:r>
      <w:r>
        <w:rPr>
          <w:rFonts w:hint="eastAsia"/>
          <w:snapToGrid/>
        </w:rPr>
        <w:t>年的两倍。对于大多数贫困学生来说，这些问题通常是暂时的。</w:t>
      </w:r>
    </w:p>
    <w:p w:rsidR="00000000" w:rsidRDefault="00000000">
      <w:pPr>
        <w:rPr>
          <w:rFonts w:hint="eastAsia"/>
          <w:snapToGrid/>
        </w:rPr>
      </w:pPr>
      <w:r>
        <w:rPr>
          <w:rFonts w:hint="eastAsia"/>
          <w:snapToGrid/>
        </w:rPr>
        <w:tab/>
        <w:t>328.  20</w:t>
      </w:r>
      <w:r>
        <w:rPr>
          <w:rFonts w:hint="eastAsia"/>
          <w:snapToGrid/>
        </w:rPr>
        <w:t>世纪</w:t>
      </w:r>
      <w:r>
        <w:rPr>
          <w:rFonts w:hint="eastAsia"/>
          <w:snapToGrid/>
        </w:rPr>
        <w:t>90</w:t>
      </w:r>
      <w:r>
        <w:rPr>
          <w:rFonts w:hint="eastAsia"/>
          <w:snapToGrid/>
        </w:rPr>
        <w:t>年代来到瑞典的移民为了达到能够自立的经济状况遇到严重的困难。</w:t>
      </w:r>
      <w:r>
        <w:rPr>
          <w:rFonts w:hint="eastAsia"/>
          <w:snapToGrid/>
        </w:rPr>
        <w:t>2003</w:t>
      </w:r>
      <w:r>
        <w:rPr>
          <w:rFonts w:hint="eastAsia"/>
          <w:snapToGrid/>
        </w:rPr>
        <w:t>年，贫困成年人中，大约三分之一是在外国出生的或有外国背景。</w:t>
      </w:r>
    </w:p>
    <w:p w:rsidR="00000000" w:rsidRDefault="00000000">
      <w:pPr>
        <w:rPr>
          <w:rFonts w:hint="eastAsia"/>
          <w:snapToGrid/>
        </w:rPr>
      </w:pPr>
      <w:r>
        <w:rPr>
          <w:rFonts w:hint="eastAsia"/>
          <w:snapToGrid/>
        </w:rPr>
        <w:tab/>
        <w:t xml:space="preserve">329.  </w:t>
      </w:r>
      <w:r>
        <w:rPr>
          <w:rFonts w:hint="eastAsia"/>
          <w:snapToGrid/>
        </w:rPr>
        <w:t>在过去</w:t>
      </w:r>
      <w:r>
        <w:rPr>
          <w:rFonts w:hint="eastAsia"/>
          <w:snapToGrid/>
        </w:rPr>
        <w:t>5</w:t>
      </w:r>
      <w:r>
        <w:rPr>
          <w:rFonts w:hint="eastAsia"/>
          <w:snapToGrid/>
        </w:rPr>
        <w:t>年中，曾经受到护理和治疗的有滥用毒品问题的人数基本保持不变。正在有更多的人获得提供门诊护理和治疗，而</w:t>
      </w:r>
      <w:r>
        <w:rPr>
          <w:rFonts w:hint="eastAsia"/>
          <w:snapToGrid/>
        </w:rPr>
        <w:t>24</w:t>
      </w:r>
      <w:r>
        <w:rPr>
          <w:rFonts w:hint="eastAsia"/>
          <w:snapToGrid/>
        </w:rPr>
        <w:t>小时护理、家人家庭或机构护理的情况减少了。</w:t>
      </w:r>
    </w:p>
    <w:p w:rsidR="00000000" w:rsidRDefault="00000000">
      <w:pPr>
        <w:rPr>
          <w:rFonts w:hint="eastAsia"/>
          <w:snapToGrid/>
        </w:rPr>
      </w:pPr>
      <w:r>
        <w:rPr>
          <w:rFonts w:hint="eastAsia"/>
          <w:snapToGrid/>
        </w:rPr>
        <w:tab/>
        <w:t xml:space="preserve">330.  </w:t>
      </w:r>
      <w:r>
        <w:rPr>
          <w:snapToGrid/>
        </w:rPr>
        <w:t>(b)</w:t>
      </w:r>
      <w:r>
        <w:rPr>
          <w:rFonts w:hint="eastAsia"/>
          <w:snapToGrid/>
        </w:rPr>
        <w:t xml:space="preserve">  </w:t>
      </w:r>
      <w:r>
        <w:rPr>
          <w:rFonts w:hint="eastAsia"/>
          <w:snapToGrid/>
        </w:rPr>
        <w:t>所有瑞典人都得到获得良好生活水准的保证，这种保证通过提供与收入相关的补贴或发给无工作能力或不能自谋生计的人的津贴的社会保险制度和社会服务得以实现。社会保险制度涵盖全体公民。以收入损失原则为基础，当出现收入损失的情况时，就提供与收入相关的补贴。例子包括父母津贴、疾病现金津贴、职业伤害津贴和退休养老金。瑞典的最终社会安全网是社会服务系统。当各种情况使得一些人处于必须得到这种服务的社会处境时，它确保这些人获得社会支持和帮助的权利。已经确立了一套全国性的准则，作为计算合理生活费用的一个基础。</w:t>
      </w:r>
    </w:p>
    <w:p w:rsidR="00000000" w:rsidRDefault="00000000">
      <w:pPr>
        <w:rPr>
          <w:rFonts w:hint="eastAsia"/>
          <w:snapToGrid/>
        </w:rPr>
      </w:pPr>
      <w:r>
        <w:rPr>
          <w:rFonts w:hint="eastAsia"/>
          <w:snapToGrid/>
        </w:rPr>
        <w:tab/>
        <w:t>331.  2006</w:t>
      </w:r>
      <w:r>
        <w:rPr>
          <w:rFonts w:hint="eastAsia"/>
          <w:snapToGrid/>
        </w:rPr>
        <w:t>年</w:t>
      </w:r>
      <w:r>
        <w:rPr>
          <w:rFonts w:hint="eastAsia"/>
          <w:snapToGrid/>
        </w:rPr>
        <w:t>3</w:t>
      </w:r>
      <w:r>
        <w:rPr>
          <w:rFonts w:hint="eastAsia"/>
          <w:snapToGrid/>
        </w:rPr>
        <w:t>月</w:t>
      </w:r>
      <w:r>
        <w:rPr>
          <w:rFonts w:hint="eastAsia"/>
          <w:snapToGrid/>
        </w:rPr>
        <w:t>/4</w:t>
      </w:r>
      <w:r>
        <w:rPr>
          <w:rFonts w:hint="eastAsia"/>
          <w:snapToGrid/>
        </w:rPr>
        <w:t>月，瑞典就在</w:t>
      </w:r>
      <w:r>
        <w:rPr>
          <w:rFonts w:hint="eastAsia"/>
          <w:snapToGrid/>
        </w:rPr>
        <w:t>1996</w:t>
      </w:r>
      <w:r>
        <w:rPr>
          <w:rFonts w:hint="eastAsia"/>
          <w:snapToGrid/>
        </w:rPr>
        <w:t>年</w:t>
      </w:r>
      <w:r>
        <w:rPr>
          <w:rFonts w:hint="eastAsia"/>
          <w:snapToGrid/>
        </w:rPr>
        <w:t>(</w:t>
      </w:r>
      <w:r>
        <w:rPr>
          <w:rFonts w:hint="eastAsia"/>
          <w:snapToGrid/>
        </w:rPr>
        <w:t>由粮农组织安排的</w:t>
      </w:r>
      <w:r>
        <w:rPr>
          <w:rFonts w:hint="eastAsia"/>
          <w:snapToGrid/>
        </w:rPr>
        <w:t>)</w:t>
      </w:r>
      <w:r>
        <w:rPr>
          <w:rFonts w:hint="eastAsia"/>
          <w:snapToGrid/>
        </w:rPr>
        <w:t>世界粮食峰会上作出的承诺向联合国粮食及农业组织</w:t>
      </w:r>
      <w:r>
        <w:rPr>
          <w:rFonts w:hint="eastAsia"/>
          <w:snapToGrid/>
        </w:rPr>
        <w:t>(</w:t>
      </w:r>
      <w:r>
        <w:rPr>
          <w:rFonts w:hint="eastAsia"/>
          <w:snapToGrid/>
        </w:rPr>
        <w:t>粮农组织</w:t>
      </w:r>
      <w:r>
        <w:rPr>
          <w:rFonts w:hint="eastAsia"/>
          <w:snapToGrid/>
        </w:rPr>
        <w:t>)</w:t>
      </w:r>
      <w:r>
        <w:rPr>
          <w:rFonts w:hint="eastAsia"/>
          <w:snapToGrid/>
        </w:rPr>
        <w:t>提出报告。世粮峰会的各与会国同意对一项在</w:t>
      </w:r>
      <w:r>
        <w:rPr>
          <w:rFonts w:hint="eastAsia"/>
          <w:snapToGrid/>
        </w:rPr>
        <w:t>2015</w:t>
      </w:r>
      <w:r>
        <w:rPr>
          <w:rFonts w:hint="eastAsia"/>
          <w:snapToGrid/>
        </w:rPr>
        <w:t>年消灭饥饿并且将营养不足的人数减半的进行中努力作出共同承诺，这个目标其后在联合国第一个千年目标中获得确认。与此同时，各国商定</w:t>
      </w:r>
      <w:r>
        <w:rPr>
          <w:rFonts w:hint="eastAsia"/>
          <w:bCs/>
          <w:snapToGrid/>
          <w:u w:val="single"/>
        </w:rPr>
        <w:t>一项带有七项承诺的行动计划</w:t>
      </w:r>
      <w:r>
        <w:rPr>
          <w:rFonts w:hint="eastAsia"/>
          <w:snapToGrid/>
        </w:rPr>
        <w:t>。为了对这七项承诺作出后续工作，粮农组织决定要求向粮农组织</w:t>
      </w:r>
      <w:r>
        <w:rPr>
          <w:rFonts w:hint="eastAsia"/>
          <w:bCs/>
          <w:snapToGrid/>
          <w:u w:val="single"/>
        </w:rPr>
        <w:t>提出</w:t>
      </w:r>
      <w:r>
        <w:rPr>
          <w:rFonts w:hint="eastAsia"/>
          <w:snapToGrid/>
        </w:rPr>
        <w:t>两年期国别</w:t>
      </w:r>
      <w:r>
        <w:rPr>
          <w:rFonts w:hint="eastAsia"/>
          <w:bCs/>
          <w:snapToGrid/>
          <w:u w:val="single"/>
        </w:rPr>
        <w:t>报告</w:t>
      </w:r>
      <w:r>
        <w:rPr>
          <w:rFonts w:hint="eastAsia"/>
          <w:snapToGrid/>
        </w:rPr>
        <w:t>。欧洲委员会在</w:t>
      </w:r>
      <w:r>
        <w:rPr>
          <w:rFonts w:hint="eastAsia"/>
          <w:snapToGrid/>
        </w:rPr>
        <w:t>2004</w:t>
      </w:r>
      <w:r>
        <w:rPr>
          <w:rFonts w:hint="eastAsia"/>
          <w:snapToGrid/>
        </w:rPr>
        <w:t>年提交了一份欧盟全体成员国的联合报告。</w:t>
      </w:r>
    </w:p>
    <w:p w:rsidR="00000000" w:rsidRDefault="00000000">
      <w:pPr>
        <w:rPr>
          <w:rFonts w:hint="eastAsia"/>
          <w:snapToGrid/>
        </w:rPr>
      </w:pPr>
      <w:r>
        <w:rPr>
          <w:rFonts w:hint="eastAsia"/>
          <w:snapToGrid/>
        </w:rPr>
        <w:tab/>
        <w:t xml:space="preserve">332.  </w:t>
      </w:r>
      <w:r>
        <w:rPr>
          <w:rFonts w:hint="eastAsia"/>
          <w:snapToGrid/>
        </w:rPr>
        <w:t>粮农组织在今年散发的材料附上了从各种官方统计数据中收集的每个国家的编集统计资料。瑞典就某些项目对报告作了补充。</w:t>
      </w:r>
    </w:p>
    <w:p w:rsidR="00000000" w:rsidRDefault="00000000">
      <w:pPr>
        <w:rPr>
          <w:rFonts w:hint="eastAsia"/>
          <w:snapToGrid/>
        </w:rPr>
      </w:pPr>
      <w:r>
        <w:rPr>
          <w:rFonts w:hint="eastAsia"/>
          <w:snapToGrid/>
        </w:rPr>
        <w:tab/>
        <w:t xml:space="preserve">333.  </w:t>
      </w:r>
      <w:r>
        <w:rPr>
          <w:rFonts w:hint="eastAsia"/>
          <w:snapToGrid/>
        </w:rPr>
        <w:t>在提出其他报告的方面，欧洲委员会还经从各成员国收集意见之后，在</w:t>
      </w:r>
      <w:r>
        <w:rPr>
          <w:rFonts w:hint="eastAsia"/>
          <w:snapToGrid/>
        </w:rPr>
        <w:t>2006</w:t>
      </w:r>
      <w:r>
        <w:rPr>
          <w:rFonts w:hint="eastAsia"/>
          <w:snapToGrid/>
        </w:rPr>
        <w:t>年提交了一份欧盟成员国的联合报告。这份报告于</w:t>
      </w:r>
      <w:r>
        <w:rPr>
          <w:rFonts w:hint="eastAsia"/>
          <w:snapToGrid/>
        </w:rPr>
        <w:t>2006</w:t>
      </w:r>
      <w:r>
        <w:rPr>
          <w:rFonts w:hint="eastAsia"/>
          <w:snapToGrid/>
        </w:rPr>
        <w:t>年</w:t>
      </w:r>
      <w:r>
        <w:rPr>
          <w:rFonts w:hint="eastAsia"/>
          <w:snapToGrid/>
        </w:rPr>
        <w:t>4</w:t>
      </w:r>
      <w:r>
        <w:rPr>
          <w:rFonts w:hint="eastAsia"/>
          <w:snapToGrid/>
        </w:rPr>
        <w:t>月向粮农组织提交。如附件所示，这是一份综合性的报告。欧盟选择将今年的报告集中为七项承诺。</w:t>
      </w:r>
    </w:p>
    <w:p w:rsidR="00000000" w:rsidRDefault="00000000">
      <w:pPr>
        <w:rPr>
          <w:rFonts w:hint="eastAsia"/>
          <w:snapToGrid/>
        </w:rPr>
      </w:pPr>
      <w:r>
        <w:rPr>
          <w:rFonts w:hint="eastAsia"/>
          <w:iCs/>
          <w:snapToGrid/>
        </w:rPr>
        <w:tab/>
        <w:t xml:space="preserve">334.  </w:t>
      </w:r>
      <w:r>
        <w:rPr>
          <w:rFonts w:hint="eastAsia"/>
          <w:iCs/>
          <w:snapToGrid/>
          <w:u w:val="single"/>
        </w:rPr>
        <w:t>承诺三</w:t>
      </w:r>
      <w:r>
        <w:rPr>
          <w:rFonts w:hint="eastAsia"/>
          <w:snapToGrid/>
        </w:rPr>
        <w:t xml:space="preserve"> </w:t>
      </w:r>
      <w:r>
        <w:rPr>
          <w:rFonts w:hint="eastAsia"/>
          <w:snapToGrid/>
          <w:spacing w:val="-50"/>
        </w:rPr>
        <w:t>―</w:t>
      </w:r>
      <w:r>
        <w:rPr>
          <w:rFonts w:hint="eastAsia"/>
          <w:snapToGrid/>
        </w:rPr>
        <w:t>―分享和可持续的粮食生产，亦即可持续发展粮食生产、农业、渔业和林业，以便既增加产量又不损害资源基础。</w:t>
      </w:r>
    </w:p>
    <w:p w:rsidR="00000000" w:rsidRDefault="00000000">
      <w:pPr>
        <w:rPr>
          <w:rFonts w:hint="eastAsia"/>
          <w:snapToGrid/>
        </w:rPr>
      </w:pPr>
      <w:r>
        <w:rPr>
          <w:rFonts w:hint="eastAsia"/>
          <w:snapToGrid/>
        </w:rPr>
        <w:tab/>
        <w:t xml:space="preserve">335.  </w:t>
      </w:r>
      <w:r>
        <w:rPr>
          <w:rFonts w:hint="eastAsia"/>
          <w:snapToGrid/>
        </w:rPr>
        <w:t>欧洲委员会的回应阐述的问题包括在欧盟共同农业政策、共同渔业政策、生物多样化、遗传资源、可持续发展以及农业部门的研究。</w:t>
      </w:r>
    </w:p>
    <w:p w:rsidR="00000000" w:rsidRDefault="00000000">
      <w:pPr>
        <w:rPr>
          <w:rFonts w:hint="eastAsia"/>
          <w:snapToGrid/>
        </w:rPr>
      </w:pPr>
      <w:r>
        <w:rPr>
          <w:rFonts w:hint="eastAsia"/>
          <w:iCs/>
          <w:snapToGrid/>
        </w:rPr>
        <w:tab/>
        <w:t xml:space="preserve">336.  </w:t>
      </w:r>
      <w:r>
        <w:rPr>
          <w:rFonts w:hint="eastAsia"/>
          <w:iCs/>
          <w:snapToGrid/>
          <w:u w:val="single"/>
        </w:rPr>
        <w:t>承诺四</w:t>
      </w:r>
      <w:r>
        <w:rPr>
          <w:rFonts w:hint="eastAsia"/>
          <w:iCs/>
          <w:snapToGrid/>
        </w:rPr>
        <w:t xml:space="preserve"> </w:t>
      </w:r>
      <w:r>
        <w:rPr>
          <w:rFonts w:hint="eastAsia"/>
          <w:snapToGrid/>
          <w:spacing w:val="-50"/>
        </w:rPr>
        <w:t>―</w:t>
      </w:r>
      <w:r>
        <w:rPr>
          <w:rFonts w:hint="eastAsia"/>
          <w:snapToGrid/>
        </w:rPr>
        <w:t>―公平贸易，特别是粮食和农产品。</w:t>
      </w:r>
    </w:p>
    <w:p w:rsidR="00000000" w:rsidRDefault="00000000">
      <w:pPr>
        <w:rPr>
          <w:rFonts w:hint="eastAsia"/>
          <w:snapToGrid/>
        </w:rPr>
      </w:pPr>
      <w:r>
        <w:rPr>
          <w:rFonts w:hint="eastAsia"/>
          <w:snapToGrid/>
        </w:rPr>
        <w:tab/>
        <w:t xml:space="preserve">337.  </w:t>
      </w:r>
      <w:r>
        <w:rPr>
          <w:rFonts w:hint="eastAsia"/>
          <w:snapToGrid/>
        </w:rPr>
        <w:t>欧洲委员会的回应基本集中于世贸组织和多哈回合、除武器外一切倡议和共同体优惠制度。</w:t>
      </w:r>
    </w:p>
    <w:p w:rsidR="00000000" w:rsidRDefault="00000000">
      <w:pPr>
        <w:rPr>
          <w:rFonts w:hint="eastAsia"/>
          <w:snapToGrid/>
        </w:rPr>
      </w:pPr>
      <w:r>
        <w:rPr>
          <w:rFonts w:hint="eastAsia"/>
          <w:iCs/>
          <w:snapToGrid/>
        </w:rPr>
        <w:tab/>
        <w:t xml:space="preserve">338.  </w:t>
      </w:r>
      <w:r>
        <w:rPr>
          <w:rFonts w:hint="eastAsia"/>
          <w:iCs/>
          <w:snapToGrid/>
          <w:u w:val="single"/>
        </w:rPr>
        <w:t>承诺六</w:t>
      </w:r>
      <w:r>
        <w:rPr>
          <w:rFonts w:hint="eastAsia"/>
          <w:snapToGrid/>
        </w:rPr>
        <w:t xml:space="preserve"> </w:t>
      </w:r>
      <w:r>
        <w:rPr>
          <w:rFonts w:hint="eastAsia"/>
          <w:snapToGrid/>
          <w:spacing w:val="-50"/>
        </w:rPr>
        <w:t>―</w:t>
      </w:r>
      <w:r>
        <w:rPr>
          <w:rFonts w:hint="eastAsia"/>
          <w:snapToGrid/>
        </w:rPr>
        <w:t>―人力资源、可持续粮食生产系统、农业、渔业和林业系统以及农村发展的公共投资和私人投资。</w:t>
      </w:r>
    </w:p>
    <w:p w:rsidR="00000000" w:rsidRDefault="00000000">
      <w:pPr>
        <w:spacing w:after="240"/>
        <w:rPr>
          <w:rFonts w:hint="eastAsia"/>
          <w:snapToGrid/>
        </w:rPr>
      </w:pPr>
      <w:r>
        <w:rPr>
          <w:rFonts w:hint="eastAsia"/>
          <w:snapToGrid/>
        </w:rPr>
        <w:tab/>
        <w:t xml:space="preserve">339.  </w:t>
      </w:r>
      <w:r>
        <w:rPr>
          <w:rFonts w:hint="eastAsia"/>
          <w:snapToGrid/>
        </w:rPr>
        <w:t>欧洲委员会论述了发展援助</w:t>
      </w:r>
      <w:r>
        <w:rPr>
          <w:rFonts w:hint="eastAsia"/>
          <w:snapToGrid/>
        </w:rPr>
        <w:t>/</w:t>
      </w:r>
      <w:r>
        <w:rPr>
          <w:rFonts w:hint="eastAsia"/>
          <w:snapToGrid/>
        </w:rPr>
        <w:t>官方发展援助、巴黎宣言、免除债务等。</w:t>
      </w:r>
    </w:p>
    <w:p w:rsidR="00000000" w:rsidRDefault="00000000">
      <w:pPr>
        <w:pStyle w:val="Heading4"/>
        <w:rPr>
          <w:rFonts w:hint="eastAsia"/>
        </w:rPr>
      </w:pPr>
      <w:r>
        <w:rPr>
          <w:rFonts w:hint="eastAsia"/>
        </w:rPr>
        <w:t>瑞典国家食品署</w:t>
      </w:r>
    </w:p>
    <w:p w:rsidR="00000000" w:rsidRDefault="00000000">
      <w:pPr>
        <w:rPr>
          <w:rFonts w:hint="eastAsia"/>
          <w:snapToGrid/>
        </w:rPr>
      </w:pPr>
      <w:r>
        <w:rPr>
          <w:rFonts w:hint="eastAsia"/>
          <w:snapToGrid/>
        </w:rPr>
        <w:tab/>
        <w:t xml:space="preserve">340.  </w:t>
      </w:r>
      <w:r>
        <w:rPr>
          <w:rFonts w:hint="eastAsia"/>
          <w:snapToGrid/>
        </w:rPr>
        <w:t>国家食品署是农业部的隶属机构，是有关包括饮水在内的食品事宜的中央监督部门。</w:t>
      </w:r>
    </w:p>
    <w:p w:rsidR="00000000" w:rsidRDefault="00000000">
      <w:pPr>
        <w:rPr>
          <w:rFonts w:hint="eastAsia"/>
          <w:snapToGrid/>
        </w:rPr>
      </w:pPr>
      <w:r>
        <w:rPr>
          <w:rFonts w:hint="eastAsia"/>
          <w:snapToGrid/>
        </w:rPr>
        <w:tab/>
        <w:t xml:space="preserve">341.  </w:t>
      </w:r>
      <w:r>
        <w:rPr>
          <w:rFonts w:hint="eastAsia"/>
          <w:snapToGrid/>
        </w:rPr>
        <w:t>国家食品署负责质量良好的安全食品、食品贸易公平做法及健康饮食习惯。食品贸易公平做法是指消费者可以依赖标签了解成分、重量、保存质量以及食品原产地。</w:t>
      </w:r>
    </w:p>
    <w:p w:rsidR="00000000" w:rsidRDefault="00000000">
      <w:pPr>
        <w:rPr>
          <w:rFonts w:hint="eastAsia"/>
          <w:snapToGrid/>
        </w:rPr>
      </w:pPr>
      <w:r>
        <w:rPr>
          <w:rFonts w:hint="eastAsia"/>
          <w:snapToGrid/>
        </w:rPr>
        <w:tab/>
        <w:t xml:space="preserve">342.  </w:t>
      </w:r>
      <w:r>
        <w:rPr>
          <w:rFonts w:hint="eastAsia"/>
          <w:snapToGrid/>
        </w:rPr>
        <w:t>国家食品署承担管理和协调瑞典的食品</w:t>
      </w:r>
      <w:r>
        <w:rPr>
          <w:rFonts w:hint="eastAsia"/>
          <w:snapToGrid/>
        </w:rPr>
        <w:t>(</w:t>
      </w:r>
      <w:r>
        <w:rPr>
          <w:rFonts w:hint="eastAsia"/>
          <w:snapToGrid/>
        </w:rPr>
        <w:t>包括饮水</w:t>
      </w:r>
      <w:r>
        <w:rPr>
          <w:rFonts w:hint="eastAsia"/>
          <w:snapToGrid/>
        </w:rPr>
        <w:t>)</w:t>
      </w:r>
      <w:r>
        <w:rPr>
          <w:rFonts w:hint="eastAsia"/>
          <w:snapToGrid/>
        </w:rPr>
        <w:t>控制的总的责任。国家食品署还应当：</w:t>
      </w:r>
    </w:p>
    <w:p w:rsidR="00000000" w:rsidRDefault="00000000">
      <w:pPr>
        <w:pStyle w:val="a"/>
        <w:ind w:left="1530"/>
        <w:rPr>
          <w:rFonts w:hint="eastAsia"/>
          <w:snapToGrid/>
        </w:rPr>
      </w:pPr>
      <w:r>
        <w:rPr>
          <w:rFonts w:hint="eastAsia"/>
          <w:snapToGrid/>
        </w:rPr>
        <w:t>开展食品和饮食习惯的调查和实用科学研究，并制定食品控制方法；</w:t>
      </w:r>
    </w:p>
    <w:p w:rsidR="00000000" w:rsidRDefault="00000000">
      <w:pPr>
        <w:pStyle w:val="a"/>
        <w:ind w:left="1530"/>
        <w:rPr>
          <w:rFonts w:hint="eastAsia"/>
          <w:snapToGrid/>
        </w:rPr>
      </w:pPr>
      <w:r>
        <w:rPr>
          <w:rFonts w:hint="eastAsia"/>
          <w:snapToGrid/>
        </w:rPr>
        <w:t>积极促进遵守议会和政府关于饮食和健康的准则；</w:t>
      </w:r>
    </w:p>
    <w:p w:rsidR="00000000" w:rsidRDefault="00000000">
      <w:pPr>
        <w:pStyle w:val="a"/>
        <w:ind w:left="1530"/>
        <w:rPr>
          <w:rFonts w:hint="eastAsia"/>
          <w:snapToGrid/>
        </w:rPr>
      </w:pPr>
      <w:r>
        <w:rPr>
          <w:rFonts w:hint="eastAsia"/>
          <w:snapToGrid/>
        </w:rPr>
        <w:t>向公众通报食品部门的情况；</w:t>
      </w:r>
    </w:p>
    <w:p w:rsidR="00000000" w:rsidRDefault="00000000">
      <w:pPr>
        <w:pStyle w:val="a"/>
        <w:ind w:left="1530"/>
        <w:rPr>
          <w:rFonts w:hint="eastAsia"/>
          <w:snapToGrid/>
        </w:rPr>
      </w:pPr>
      <w:r>
        <w:rPr>
          <w:rFonts w:hint="eastAsia"/>
          <w:snapToGrid/>
        </w:rPr>
        <w:t>与食品有关的规章草案</w:t>
      </w:r>
      <w:r>
        <w:rPr>
          <w:rFonts w:hint="eastAsia"/>
          <w:snapToGrid/>
        </w:rPr>
        <w:t>;</w:t>
      </w:r>
    </w:p>
    <w:p w:rsidR="00000000" w:rsidRDefault="00000000">
      <w:pPr>
        <w:pStyle w:val="a"/>
        <w:ind w:left="1530"/>
        <w:rPr>
          <w:rFonts w:hint="eastAsia"/>
          <w:snapToGrid/>
        </w:rPr>
      </w:pPr>
      <w:r>
        <w:rPr>
          <w:rFonts w:hint="eastAsia"/>
          <w:snapToGrid/>
        </w:rPr>
        <w:t>根据《食品法》实施监督，以及管理和协调食品控制。</w:t>
      </w:r>
    </w:p>
    <w:p w:rsidR="00000000" w:rsidRDefault="00000000">
      <w:pPr>
        <w:rPr>
          <w:rFonts w:hint="eastAsia"/>
          <w:snapToGrid/>
        </w:rPr>
      </w:pPr>
      <w:r>
        <w:rPr>
          <w:rFonts w:hint="eastAsia"/>
          <w:snapToGrid/>
        </w:rPr>
        <w:tab/>
        <w:t xml:space="preserve">343.  </w:t>
      </w:r>
      <w:r>
        <w:rPr>
          <w:rFonts w:hint="eastAsia"/>
          <w:snapToGrid/>
        </w:rPr>
        <w:t>国家食品署保有一个定期以新的食品更新的食品数据库。</w:t>
      </w:r>
    </w:p>
    <w:p w:rsidR="00000000" w:rsidRDefault="00000000">
      <w:pPr>
        <w:rPr>
          <w:rFonts w:hint="eastAsia"/>
          <w:snapToGrid/>
        </w:rPr>
      </w:pPr>
      <w:r>
        <w:rPr>
          <w:rFonts w:hint="eastAsia"/>
          <w:snapToGrid/>
        </w:rPr>
        <w:tab/>
        <w:t xml:space="preserve">344.  </w:t>
      </w:r>
      <w:r>
        <w:rPr>
          <w:rFonts w:hint="eastAsia"/>
          <w:snapToGrid/>
        </w:rPr>
        <w:t>北欧诸国在北欧部长理事会的框架里在许多领域进行合作。北欧诸国的合作扩大到立法、食品监督、毒理学</w:t>
      </w:r>
      <w:r>
        <w:rPr>
          <w:rFonts w:hint="eastAsia"/>
          <w:snapToGrid/>
        </w:rPr>
        <w:t>(</w:t>
      </w:r>
      <w:r>
        <w:rPr>
          <w:rFonts w:hint="eastAsia"/>
          <w:snapToGrid/>
        </w:rPr>
        <w:t>对健康风险进行评估</w:t>
      </w:r>
      <w:r>
        <w:rPr>
          <w:rFonts w:hint="eastAsia"/>
          <w:snapToGrid/>
        </w:rPr>
        <w:t>)</w:t>
      </w:r>
      <w:r>
        <w:rPr>
          <w:rFonts w:hint="eastAsia"/>
          <w:snapToGrid/>
        </w:rPr>
        <w:t>、食品卫生、饮食和营养等。</w:t>
      </w:r>
    </w:p>
    <w:p w:rsidR="00000000" w:rsidRDefault="00000000">
      <w:pPr>
        <w:rPr>
          <w:rFonts w:hint="eastAsia"/>
          <w:snapToGrid/>
        </w:rPr>
      </w:pPr>
      <w:r>
        <w:rPr>
          <w:rFonts w:hint="eastAsia"/>
          <w:snapToGrid/>
        </w:rPr>
        <w:tab/>
        <w:t xml:space="preserve">345.  </w:t>
      </w:r>
      <w:r>
        <w:rPr>
          <w:rFonts w:hint="eastAsia"/>
          <w:snapToGrid/>
        </w:rPr>
        <w:t>国家食品署的工作将在尽可能大的范围内以国际伙伴关系为基础，在欧盟内部尤其如此。瑞典的大部分食品规章与欧盟其他国家现行的规章相协调。食品行业的新知识和产品发展要求起草新的规章。在大多数情况下，这项工作是与欧盟其他成员国共同进行的。国家食品署积极参加这项工作，因为这使得这个机构有机会影响新的规章，使之对瑞典消费者有利。</w:t>
      </w:r>
    </w:p>
    <w:p w:rsidR="00000000" w:rsidRDefault="00000000">
      <w:pPr>
        <w:spacing w:after="240"/>
        <w:rPr>
          <w:rFonts w:hint="eastAsia"/>
          <w:snapToGrid/>
        </w:rPr>
      </w:pPr>
      <w:r>
        <w:rPr>
          <w:rFonts w:hint="eastAsia"/>
          <w:snapToGrid/>
        </w:rPr>
        <w:tab/>
        <w:t xml:space="preserve">346.  </w:t>
      </w:r>
      <w:r>
        <w:rPr>
          <w:rFonts w:hint="eastAsia"/>
          <w:snapToGrid/>
        </w:rPr>
        <w:t>欧盟内部的共同规章往往受到《饮食法典》</w:t>
      </w:r>
      <w:r>
        <w:rPr>
          <w:rFonts w:hint="eastAsia"/>
          <w:snapToGrid/>
        </w:rPr>
        <w:t>(Codex Alimentarius)</w:t>
      </w:r>
      <w:r>
        <w:rPr>
          <w:snapToGrid/>
        </w:rPr>
        <w:t>—</w:t>
      </w:r>
      <w:r>
        <w:rPr>
          <w:rFonts w:hint="eastAsia"/>
          <w:snapToGrid/>
        </w:rPr>
        <w:t>目标在于便利世界食品行业的一套国际标准和准则</w:t>
      </w:r>
      <w:r>
        <w:rPr>
          <w:snapToGrid/>
        </w:rPr>
        <w:t>—</w:t>
      </w:r>
      <w:r>
        <w:rPr>
          <w:rFonts w:hint="eastAsia"/>
          <w:snapToGrid/>
        </w:rPr>
        <w:t>的影响。国家食品署也积极参加《法典》的努力。</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w:t>
      </w:r>
    </w:p>
    <w:p w:rsidR="00000000" w:rsidRDefault="00000000">
      <w:pPr>
        <w:spacing w:after="160"/>
        <w:rPr>
          <w:rFonts w:hint="eastAsia"/>
          <w:snapToGrid/>
        </w:rPr>
      </w:pPr>
      <w:r>
        <w:rPr>
          <w:snapToGrid/>
        </w:rPr>
        <w:t>(a)</w:t>
      </w:r>
    </w:p>
    <w:p w:rsidR="00000000" w:rsidRDefault="00000000">
      <w:pPr>
        <w:pStyle w:val="Heading4"/>
        <w:rPr>
          <w:rFonts w:hint="eastAsia"/>
        </w:rPr>
      </w:pPr>
      <w:r>
        <w:rPr>
          <w:rFonts w:hint="eastAsia"/>
        </w:rPr>
        <w:t>瑞典农业委员会</w:t>
      </w:r>
    </w:p>
    <w:p w:rsidR="00000000" w:rsidRDefault="00000000">
      <w:pPr>
        <w:rPr>
          <w:rFonts w:hint="eastAsia"/>
          <w:snapToGrid/>
        </w:rPr>
      </w:pPr>
      <w:r>
        <w:rPr>
          <w:rFonts w:hint="eastAsia"/>
          <w:snapToGrid/>
        </w:rPr>
        <w:tab/>
        <w:t xml:space="preserve">347.  </w:t>
      </w:r>
      <w:r>
        <w:rPr>
          <w:rFonts w:hint="eastAsia"/>
          <w:snapToGrid/>
        </w:rPr>
        <w:t>向农业部汇报工作的农业委员会是政府在农业和食品政策领域的专家部门，还是负责该部门的农业、园艺和驯鹿放牧业的部门。因此，农业委员会的活动包括监测、分析并向政府报告这些领域里的发展情况，以及在指定的活动领域内执行政策决定。政府已经确定，瑞典农业必须在生态和经济上都是可持续的。生态可持续性意味着农业应当保护资源、适应环境以及在道德上可行。农业委员会促进良好的动物健康，以及具有持久生物多样性的丰富多采的农场景观。农业委员会还努力确保将农业对于环境的影响降到最低程度，并且负责与园艺害虫作斗争。</w:t>
      </w:r>
    </w:p>
    <w:p w:rsidR="00000000" w:rsidRDefault="00000000">
      <w:pPr>
        <w:rPr>
          <w:rFonts w:hint="eastAsia"/>
          <w:snapToGrid/>
        </w:rPr>
      </w:pPr>
      <w:r>
        <w:rPr>
          <w:rFonts w:hint="eastAsia"/>
          <w:snapToGrid/>
        </w:rPr>
        <w:tab/>
        <w:t xml:space="preserve">348.  </w:t>
      </w:r>
      <w:r>
        <w:rPr>
          <w:rFonts w:hint="eastAsia"/>
          <w:snapToGrid/>
        </w:rPr>
        <w:t>管理欧盟的农业政策是农业委员会的主要任务之一。农业委员会的职责是促进简化欧盟共同农业政策内部的欧盟规章以及有效、适应环境的欧盟农业政策。其他重要问题是减少植物营养物的损失、降低农药风险、保护生物多样性，以及增加有机生产。农业委员会是国家环境目标“多样化的农业景观”的负责机构。</w:t>
      </w:r>
    </w:p>
    <w:p w:rsidR="00000000" w:rsidRDefault="00000000">
      <w:pPr>
        <w:spacing w:after="240"/>
        <w:rPr>
          <w:rFonts w:hint="eastAsia"/>
          <w:snapToGrid/>
        </w:rPr>
      </w:pPr>
      <w:r>
        <w:rPr>
          <w:rFonts w:hint="eastAsia"/>
          <w:snapToGrid/>
        </w:rPr>
        <w:tab/>
        <w:t xml:space="preserve">349.  </w:t>
      </w:r>
      <w:r>
        <w:rPr>
          <w:rFonts w:hint="eastAsia"/>
          <w:snapToGrid/>
        </w:rPr>
        <w:t>农业委员会还参加关于将环境政策和可持续发展纳入欧盟共同农业政策的欧盟理事会战略。根本原则是环境保护在各种因素中至关重要，使得我们可以在未来利用资源。土地、水、空气、动植物的自然生境、生物多样性以及食品和农业遗传资源必须予以保护。</w:t>
      </w:r>
    </w:p>
    <w:p w:rsidR="00000000" w:rsidRDefault="00000000">
      <w:pPr>
        <w:spacing w:after="160"/>
        <w:rPr>
          <w:rFonts w:hint="eastAsia"/>
          <w:snapToGrid/>
        </w:rPr>
      </w:pPr>
      <w:r>
        <w:rPr>
          <w:snapToGrid/>
        </w:rPr>
        <w:t>(b)</w:t>
      </w:r>
    </w:p>
    <w:p w:rsidR="00000000" w:rsidRDefault="00000000">
      <w:pPr>
        <w:pStyle w:val="Heading4"/>
        <w:rPr>
          <w:rFonts w:hint="eastAsia"/>
        </w:rPr>
      </w:pPr>
      <w:r>
        <w:rPr>
          <w:rFonts w:hint="eastAsia"/>
        </w:rPr>
        <w:t>充足食品权</w:t>
      </w:r>
    </w:p>
    <w:p w:rsidR="00000000" w:rsidRDefault="00000000">
      <w:pPr>
        <w:rPr>
          <w:rFonts w:hint="eastAsia"/>
          <w:snapToGrid/>
        </w:rPr>
      </w:pPr>
      <w:r>
        <w:rPr>
          <w:rFonts w:hint="eastAsia"/>
          <w:snapToGrid/>
        </w:rPr>
        <w:tab/>
        <w:t>350.  2002</w:t>
      </w:r>
      <w:r>
        <w:rPr>
          <w:rFonts w:hint="eastAsia"/>
          <w:snapToGrid/>
        </w:rPr>
        <w:t>年</w:t>
      </w:r>
      <w:r>
        <w:rPr>
          <w:rFonts w:hint="eastAsia"/>
          <w:snapToGrid/>
        </w:rPr>
        <w:t>(</w:t>
      </w:r>
      <w:r>
        <w:rPr>
          <w:rFonts w:hint="eastAsia"/>
          <w:snapToGrid/>
        </w:rPr>
        <w:t>由粮农组织安排的</w:t>
      </w:r>
      <w:r>
        <w:rPr>
          <w:rFonts w:hint="eastAsia"/>
          <w:snapToGrid/>
        </w:rPr>
        <w:t>)</w:t>
      </w:r>
      <w:r>
        <w:rPr>
          <w:rFonts w:hint="eastAsia"/>
          <w:snapToGrid/>
        </w:rPr>
        <w:t>“世界粮食峰会：五年后”的与会者们决定详细制定一套自愿准则，以支持逐步实现充足食品权。关于这些准则的决议于</w:t>
      </w:r>
      <w:r>
        <w:rPr>
          <w:rFonts w:hint="eastAsia"/>
          <w:snapToGrid/>
        </w:rPr>
        <w:t>2004</w:t>
      </w:r>
      <w:r>
        <w:rPr>
          <w:rFonts w:hint="eastAsia"/>
          <w:snapToGrid/>
        </w:rPr>
        <w:t>年</w:t>
      </w:r>
      <w:r>
        <w:rPr>
          <w:rFonts w:hint="eastAsia"/>
          <w:snapToGrid/>
        </w:rPr>
        <w:t>11</w:t>
      </w:r>
      <w:r>
        <w:rPr>
          <w:rFonts w:hint="eastAsia"/>
          <w:snapToGrid/>
        </w:rPr>
        <w:t>月</w:t>
      </w:r>
      <w:r>
        <w:rPr>
          <w:rFonts w:hint="eastAsia"/>
          <w:snapToGrid/>
        </w:rPr>
        <w:t>23</w:t>
      </w:r>
      <w:r>
        <w:rPr>
          <w:rFonts w:hint="eastAsia"/>
          <w:snapToGrid/>
        </w:rPr>
        <w:t>日由粮农组织理事会通过。</w:t>
      </w:r>
    </w:p>
    <w:p w:rsidR="00000000" w:rsidRDefault="00000000">
      <w:pPr>
        <w:rPr>
          <w:rFonts w:hint="eastAsia"/>
          <w:snapToGrid/>
        </w:rPr>
      </w:pPr>
      <w:r>
        <w:rPr>
          <w:rFonts w:hint="eastAsia"/>
          <w:snapToGrid/>
        </w:rPr>
        <w:tab/>
        <w:t xml:space="preserve">351.  </w:t>
      </w:r>
      <w:r>
        <w:rPr>
          <w:rFonts w:hint="eastAsia"/>
          <w:snapToGrid/>
        </w:rPr>
        <w:t>自愿准则的意图是，通过向穷国提议一系列对于实现该权利具有重要意义，为满足人们的食品权创造更好条件的措施，使得充足食品权运作起来。这项举措的独特之处在于它试图将联合国内部的传统上分开的两个领域，即人权和有保障的食品供应，结合在一份文书中。</w:t>
      </w:r>
    </w:p>
    <w:p w:rsidR="00000000" w:rsidRDefault="00000000">
      <w:pPr>
        <w:spacing w:after="240"/>
        <w:rPr>
          <w:rFonts w:hint="eastAsia"/>
          <w:snapToGrid/>
          <w:spacing w:val="0"/>
        </w:rPr>
      </w:pPr>
      <w:r>
        <w:rPr>
          <w:rFonts w:hint="eastAsia"/>
          <w:snapToGrid/>
        </w:rPr>
        <w:tab/>
        <w:t xml:space="preserve">352. </w:t>
      </w:r>
      <w:r>
        <w:rPr>
          <w:rFonts w:hint="eastAsia"/>
          <w:snapToGrid/>
          <w:spacing w:val="0"/>
        </w:rPr>
        <w:t xml:space="preserve"> </w:t>
      </w:r>
      <w:r>
        <w:rPr>
          <w:rFonts w:hint="eastAsia"/>
          <w:snapToGrid/>
          <w:spacing w:val="0"/>
        </w:rPr>
        <w:t>瑞典积极参与了这个过程。瑞典的主要优先事项是这些自愿准则应当具体、可以应用。实现有保障的食品供应和充足食品权的国家责任应当明确，这些准则不应建议有约束力的承诺或重新解释现有立法，并且应当强调良好政府的重要性。</w:t>
      </w:r>
    </w:p>
    <w:p w:rsidR="00000000" w:rsidRDefault="00000000">
      <w:pPr>
        <w:pStyle w:val="Heading4"/>
        <w:rPr>
          <w:rFonts w:hint="eastAsia"/>
        </w:rPr>
      </w:pPr>
      <w:r>
        <w:rPr>
          <w:rFonts w:hint="eastAsia"/>
        </w:rPr>
        <w:t>住房政策</w:t>
      </w:r>
    </w:p>
    <w:p w:rsidR="00000000" w:rsidRDefault="00000000">
      <w:pPr>
        <w:widowControl w:val="0"/>
        <w:rPr>
          <w:rFonts w:hint="eastAsia"/>
          <w:snapToGrid/>
        </w:rPr>
      </w:pPr>
      <w:r>
        <w:rPr>
          <w:snapToGrid/>
        </w:rPr>
        <w:t>(c)</w:t>
      </w:r>
    </w:p>
    <w:p w:rsidR="00000000" w:rsidRDefault="00000000">
      <w:pPr>
        <w:pStyle w:val="Heading4"/>
        <w:keepNext w:val="0"/>
        <w:keepLines w:val="0"/>
        <w:rPr>
          <w:rFonts w:hint="eastAsia"/>
        </w:rPr>
      </w:pPr>
      <w:r>
        <w:rPr>
          <w:rFonts w:hint="eastAsia"/>
        </w:rPr>
        <w:t>住房政策框架内的各项措施</w:t>
      </w:r>
    </w:p>
    <w:p w:rsidR="00000000" w:rsidRDefault="00000000">
      <w:pPr>
        <w:rPr>
          <w:rFonts w:hint="eastAsia"/>
          <w:snapToGrid/>
        </w:rPr>
      </w:pPr>
      <w:r>
        <w:rPr>
          <w:rFonts w:hint="eastAsia"/>
          <w:snapToGrid/>
        </w:rPr>
        <w:tab/>
        <w:t xml:space="preserve">353.  </w:t>
      </w:r>
      <w:r>
        <w:rPr>
          <w:rFonts w:hint="eastAsia"/>
          <w:snapToGrid/>
        </w:rPr>
        <w:t>能否获得住房关系到个人的经济状况。</w:t>
      </w:r>
    </w:p>
    <w:p w:rsidR="00000000" w:rsidRDefault="00000000">
      <w:pPr>
        <w:rPr>
          <w:rFonts w:hint="eastAsia"/>
          <w:snapToGrid/>
        </w:rPr>
      </w:pPr>
      <w:r>
        <w:rPr>
          <w:rFonts w:hint="eastAsia"/>
          <w:snapToGrid/>
        </w:rPr>
        <w:tab/>
        <w:t xml:space="preserve">354.  </w:t>
      </w:r>
      <w:r>
        <w:rPr>
          <w:rFonts w:hint="eastAsia"/>
          <w:snapToGrid/>
        </w:rPr>
        <w:t>一般说来，住宅公司对预期住户提出的收入要求对于经济地位脆弱的群体可能具有负面影响。</w:t>
      </w:r>
    </w:p>
    <w:p w:rsidR="00000000" w:rsidRDefault="00000000">
      <w:pPr>
        <w:spacing w:after="240"/>
        <w:rPr>
          <w:rFonts w:hint="eastAsia"/>
          <w:snapToGrid/>
        </w:rPr>
      </w:pPr>
      <w:r>
        <w:rPr>
          <w:rFonts w:hint="eastAsia"/>
          <w:snapToGrid/>
        </w:rPr>
        <w:tab/>
        <w:t xml:space="preserve">355.  </w:t>
      </w:r>
      <w:r>
        <w:rPr>
          <w:rFonts w:hint="eastAsia"/>
          <w:snapToGrid/>
        </w:rPr>
        <w:t>旨在增加供应价格合理的住房的措施的目标是使得低收入家庭和个人能以合理费用获得良好住房。增加住宅公司分配政策透明度的措施以及包括设立住房分配办公室在内的做法可以使得经济地位脆弱的群体能够比较容易获得住房。</w:t>
      </w:r>
    </w:p>
    <w:p w:rsidR="00000000" w:rsidRDefault="00000000">
      <w:pPr>
        <w:pStyle w:val="Heading4"/>
        <w:rPr>
          <w:rFonts w:hint="eastAsia"/>
        </w:rPr>
      </w:pPr>
      <w:r>
        <w:rPr>
          <w:rFonts w:hint="eastAsia"/>
        </w:rPr>
        <w:t>降低住房成本，增加住房供应的举措</w:t>
      </w:r>
    </w:p>
    <w:p w:rsidR="00000000" w:rsidRDefault="00000000">
      <w:pPr>
        <w:rPr>
          <w:rFonts w:hint="eastAsia"/>
          <w:snapToGrid/>
        </w:rPr>
      </w:pPr>
      <w:r>
        <w:rPr>
          <w:rFonts w:hint="eastAsia"/>
          <w:snapToGrid/>
        </w:rPr>
        <w:tab/>
        <w:t xml:space="preserve">356.  </w:t>
      </w:r>
      <w:r>
        <w:rPr>
          <w:rFonts w:hint="eastAsia"/>
          <w:snapToGrid/>
        </w:rPr>
        <w:t>发给新建和整修出租住房和住户拥有的公寓房屋的</w:t>
      </w:r>
      <w:r>
        <w:rPr>
          <w:rFonts w:hint="eastAsia"/>
          <w:iCs/>
          <w:snapToGrid/>
          <w:u w:val="single"/>
        </w:rPr>
        <w:t>利息津贴</w:t>
      </w:r>
      <w:r>
        <w:rPr>
          <w:rFonts w:hint="eastAsia"/>
          <w:snapToGrid/>
        </w:rPr>
        <w:t>。省行政委员会和国家住房、建筑和计划委员会处理有关利息津贴的事宜。</w:t>
      </w:r>
    </w:p>
    <w:p w:rsidR="00000000" w:rsidRDefault="00000000">
      <w:pPr>
        <w:rPr>
          <w:rFonts w:hint="eastAsia"/>
          <w:snapToGrid/>
        </w:rPr>
      </w:pPr>
      <w:r>
        <w:rPr>
          <w:rFonts w:hint="eastAsia"/>
          <w:iCs/>
          <w:snapToGrid/>
        </w:rPr>
        <w:tab/>
        <w:t xml:space="preserve">357.  </w:t>
      </w:r>
      <w:r>
        <w:rPr>
          <w:rFonts w:hint="eastAsia"/>
          <w:iCs/>
          <w:snapToGrid/>
          <w:u w:val="single"/>
        </w:rPr>
        <w:t>投资津贴</w:t>
      </w:r>
      <w:r>
        <w:rPr>
          <w:rFonts w:hint="eastAsia"/>
          <w:snapToGrid/>
        </w:rPr>
        <w:t>(2001-2006</w:t>
      </w:r>
      <w:r>
        <w:rPr>
          <w:rFonts w:hint="eastAsia"/>
          <w:snapToGrid/>
        </w:rPr>
        <w:t>年</w:t>
      </w:r>
      <w:r>
        <w:rPr>
          <w:rFonts w:hint="eastAsia"/>
          <w:snapToGrid/>
        </w:rPr>
        <w:t>)</w:t>
      </w:r>
      <w:r>
        <w:rPr>
          <w:rFonts w:hint="eastAsia"/>
          <w:snapToGrid/>
        </w:rPr>
        <w:t>：</w:t>
      </w:r>
      <w:r>
        <w:rPr>
          <w:rFonts w:hint="eastAsia"/>
          <w:snapToGrid/>
        </w:rPr>
        <w:t>2001</w:t>
      </w:r>
      <w:r>
        <w:rPr>
          <w:rFonts w:hint="eastAsia"/>
          <w:snapToGrid/>
        </w:rPr>
        <w:t>年出台了一项住房建设投资津贴方案。领取投资津贴的资格要求所规划的住房是打算永久性使用的，而且将是出租住房或合作出租住房。</w:t>
      </w:r>
      <w:r>
        <w:rPr>
          <w:rFonts w:hint="eastAsia"/>
          <w:snapToGrid/>
        </w:rPr>
        <w:t>2006</w:t>
      </w:r>
      <w:r>
        <w:rPr>
          <w:rFonts w:hint="eastAsia"/>
          <w:snapToGrid/>
        </w:rPr>
        <w:t>年春季的预算方案包括关于将该津贴延长到</w:t>
      </w:r>
      <w:r>
        <w:rPr>
          <w:rFonts w:hint="eastAsia"/>
          <w:snapToGrid/>
        </w:rPr>
        <w:t>2008</w:t>
      </w:r>
      <w:r>
        <w:rPr>
          <w:rFonts w:hint="eastAsia"/>
          <w:snapToGrid/>
        </w:rPr>
        <w:t>年的一项提议。</w:t>
      </w:r>
    </w:p>
    <w:p w:rsidR="00000000" w:rsidRDefault="00000000">
      <w:pPr>
        <w:rPr>
          <w:rFonts w:hint="eastAsia"/>
          <w:snapToGrid/>
        </w:rPr>
      </w:pPr>
      <w:r>
        <w:rPr>
          <w:rFonts w:hint="eastAsia"/>
          <w:snapToGrid/>
        </w:rPr>
        <w:tab/>
        <w:t xml:space="preserve">358.  </w:t>
      </w:r>
      <w:r>
        <w:rPr>
          <w:rFonts w:hint="eastAsia"/>
          <w:snapToGrid/>
        </w:rPr>
        <w:t>促进建造小型出租公寓和学生住房的</w:t>
      </w:r>
      <w:r>
        <w:rPr>
          <w:rFonts w:hint="eastAsia"/>
          <w:iCs/>
          <w:snapToGrid/>
          <w:u w:val="single"/>
        </w:rPr>
        <w:t>投资刺激</w:t>
      </w:r>
      <w:r>
        <w:rPr>
          <w:rFonts w:hint="eastAsia"/>
          <w:iCs/>
          <w:snapToGrid/>
        </w:rPr>
        <w:t>：</w:t>
      </w:r>
      <w:r>
        <w:rPr>
          <w:rFonts w:hint="eastAsia"/>
          <w:snapToGrid/>
        </w:rPr>
        <w:t>(2003-2006</w:t>
      </w:r>
      <w:r>
        <w:rPr>
          <w:rFonts w:hint="eastAsia"/>
          <w:snapToGrid/>
        </w:rPr>
        <w:t>年</w:t>
      </w:r>
      <w:r>
        <w:rPr>
          <w:rFonts w:hint="eastAsia"/>
          <w:snapToGrid/>
        </w:rPr>
        <w:t>)</w:t>
      </w:r>
      <w:r>
        <w:rPr>
          <w:rFonts w:hint="eastAsia"/>
          <w:snapToGrid/>
        </w:rPr>
        <w:t>。投资刺激方案是在</w:t>
      </w:r>
      <w:r>
        <w:rPr>
          <w:rFonts w:hint="eastAsia"/>
          <w:snapToGrid/>
        </w:rPr>
        <w:t>2003</w:t>
      </w:r>
      <w:r>
        <w:rPr>
          <w:rFonts w:hint="eastAsia"/>
          <w:snapToGrid/>
        </w:rPr>
        <w:t>年出台的。这项方案相应于将建筑成本增值税从</w:t>
      </w:r>
      <w:r>
        <w:rPr>
          <w:rFonts w:hint="eastAsia"/>
          <w:snapToGrid/>
        </w:rPr>
        <w:t>25%</w:t>
      </w:r>
      <w:r>
        <w:rPr>
          <w:rFonts w:hint="eastAsia"/>
          <w:snapToGrid/>
        </w:rPr>
        <w:t>降低到</w:t>
      </w:r>
      <w:r>
        <w:rPr>
          <w:rFonts w:hint="eastAsia"/>
          <w:snapToGrid/>
        </w:rPr>
        <w:t>6%</w:t>
      </w:r>
      <w:r>
        <w:rPr>
          <w:rFonts w:hint="eastAsia"/>
          <w:snapToGrid/>
        </w:rPr>
        <w:t>的一项规定。这项新的投资刺激的目标是为了降低建造小型出租公寓和学生住房的成本。向学生住房以及住房面积不超过</w:t>
      </w:r>
      <w:r>
        <w:rPr>
          <w:rFonts w:hint="eastAsia"/>
          <w:snapToGrid/>
        </w:rPr>
        <w:t>70</w:t>
      </w:r>
      <w:r>
        <w:rPr>
          <w:rFonts w:hint="eastAsia"/>
          <w:snapToGrid/>
        </w:rPr>
        <w:t>平方米的出租公寓头</w:t>
      </w:r>
      <w:r>
        <w:rPr>
          <w:rFonts w:hint="eastAsia"/>
          <w:snapToGrid/>
        </w:rPr>
        <w:t>60</w:t>
      </w:r>
      <w:r>
        <w:rPr>
          <w:rFonts w:hint="eastAsia"/>
          <w:snapToGrid/>
        </w:rPr>
        <w:t>平方米提供赠金。</w:t>
      </w:r>
      <w:r>
        <w:rPr>
          <w:rFonts w:hint="eastAsia"/>
          <w:snapToGrid/>
        </w:rPr>
        <w:t>2006</w:t>
      </w:r>
      <w:r>
        <w:rPr>
          <w:rFonts w:hint="eastAsia"/>
          <w:snapToGrid/>
        </w:rPr>
        <w:t>年春季的预算方案包括关于将该刺激方案延长到</w:t>
      </w:r>
      <w:r>
        <w:rPr>
          <w:rFonts w:hint="eastAsia"/>
          <w:snapToGrid/>
        </w:rPr>
        <w:t>2008</w:t>
      </w:r>
      <w:r>
        <w:rPr>
          <w:rFonts w:hint="eastAsia"/>
          <w:snapToGrid/>
        </w:rPr>
        <w:t>年的一项提议。</w:t>
      </w:r>
    </w:p>
    <w:p w:rsidR="00000000" w:rsidRDefault="00000000">
      <w:pPr>
        <w:rPr>
          <w:rFonts w:hint="eastAsia"/>
          <w:snapToGrid/>
        </w:rPr>
      </w:pPr>
      <w:r>
        <w:rPr>
          <w:rFonts w:hint="eastAsia"/>
          <w:iCs/>
          <w:snapToGrid/>
        </w:rPr>
        <w:tab/>
        <w:t xml:space="preserve">359.  </w:t>
      </w:r>
      <w:r>
        <w:rPr>
          <w:rFonts w:hint="eastAsia"/>
          <w:iCs/>
          <w:snapToGrid/>
          <w:u w:val="single"/>
        </w:rPr>
        <w:t>建造成本论坛</w:t>
      </w:r>
      <w:r>
        <w:rPr>
          <w:rFonts w:hint="eastAsia"/>
          <w:snapToGrid/>
        </w:rPr>
        <w:t>。</w:t>
      </w:r>
      <w:r>
        <w:rPr>
          <w:rFonts w:hint="eastAsia"/>
          <w:snapToGrid/>
        </w:rPr>
        <w:t>2001</w:t>
      </w:r>
      <w:r>
        <w:rPr>
          <w:rFonts w:hint="eastAsia"/>
          <w:snapToGrid/>
        </w:rPr>
        <w:t>年</w:t>
      </w:r>
      <w:r>
        <w:rPr>
          <w:rFonts w:hint="eastAsia"/>
          <w:snapToGrid/>
        </w:rPr>
        <w:t>2</w:t>
      </w:r>
      <w:r>
        <w:rPr>
          <w:rFonts w:hint="eastAsia"/>
          <w:snapToGrid/>
        </w:rPr>
        <w:t>月，政府指示国家住房、建筑和计划委员会建立一个建造成本论坛。其目标包括降低建造成本，以及最重要的是，通过信息、教育和发展在长期内降低住房成本。</w:t>
      </w:r>
    </w:p>
    <w:p w:rsidR="00000000" w:rsidRDefault="00000000">
      <w:pPr>
        <w:spacing w:after="240"/>
        <w:rPr>
          <w:rFonts w:hint="eastAsia"/>
          <w:snapToGrid/>
        </w:rPr>
      </w:pPr>
      <w:r>
        <w:rPr>
          <w:rFonts w:hint="eastAsia"/>
          <w:iCs/>
          <w:snapToGrid/>
        </w:rPr>
        <w:tab/>
        <w:t xml:space="preserve">360.  </w:t>
      </w:r>
      <w:r>
        <w:rPr>
          <w:rFonts w:hint="eastAsia"/>
          <w:iCs/>
          <w:snapToGrid/>
          <w:u w:val="single"/>
        </w:rPr>
        <w:t>试点项目</w:t>
      </w:r>
      <w:r>
        <w:rPr>
          <w:rFonts w:hint="eastAsia"/>
          <w:snapToGrid/>
        </w:rPr>
        <w:t>。从</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日起，国家住房、建筑和计划委员会每年拨款</w:t>
      </w:r>
      <w:r>
        <w:rPr>
          <w:rFonts w:hint="eastAsia"/>
          <w:snapToGrid/>
        </w:rPr>
        <w:t>2000</w:t>
      </w:r>
      <w:r>
        <w:rPr>
          <w:rFonts w:hint="eastAsia"/>
          <w:snapToGrid/>
        </w:rPr>
        <w:t>万瑞典克朗，用于支持利用创新方法降低新建出租住房的住房成本，同时促进生态可持续性的适当试点项目。</w:t>
      </w:r>
    </w:p>
    <w:p w:rsidR="00000000" w:rsidRDefault="00000000">
      <w:pPr>
        <w:pStyle w:val="Heading4"/>
        <w:rPr>
          <w:rFonts w:hint="eastAsia"/>
        </w:rPr>
      </w:pPr>
      <w:r>
        <w:rPr>
          <w:rFonts w:hint="eastAsia"/>
        </w:rPr>
        <w:t>住房供应举措</w:t>
      </w:r>
    </w:p>
    <w:p w:rsidR="00000000" w:rsidRDefault="00000000">
      <w:pPr>
        <w:rPr>
          <w:rFonts w:hint="eastAsia"/>
          <w:snapToGrid/>
        </w:rPr>
      </w:pPr>
      <w:r>
        <w:rPr>
          <w:rFonts w:hint="eastAsia"/>
          <w:iCs/>
          <w:snapToGrid/>
        </w:rPr>
        <w:tab/>
        <w:t xml:space="preserve">361.  </w:t>
      </w:r>
      <w:r>
        <w:rPr>
          <w:rFonts w:hint="eastAsia"/>
          <w:iCs/>
          <w:snapToGrid/>
          <w:u w:val="single"/>
        </w:rPr>
        <w:t>对住房供应法令的审议</w:t>
      </w:r>
      <w:r>
        <w:rPr>
          <w:rFonts w:hint="eastAsia"/>
          <w:snapToGrid/>
        </w:rPr>
        <w:t>。政府在</w:t>
      </w:r>
      <w:r>
        <w:rPr>
          <w:rFonts w:hint="eastAsia"/>
          <w:snapToGrid/>
        </w:rPr>
        <w:t>2005</w:t>
      </w:r>
      <w:r>
        <w:rPr>
          <w:rFonts w:hint="eastAsia"/>
          <w:snapToGrid/>
        </w:rPr>
        <w:t>年</w:t>
      </w:r>
      <w:r>
        <w:rPr>
          <w:rFonts w:hint="eastAsia"/>
          <w:snapToGrid/>
        </w:rPr>
        <w:t>5</w:t>
      </w:r>
      <w:r>
        <w:rPr>
          <w:rFonts w:hint="eastAsia"/>
          <w:snapToGrid/>
        </w:rPr>
        <w:t>月任命了一个工作委员会，其任务是审议有关城市住房供应的立法，以及住房市场的公平和平等状况的先决条件。该委员会的提议以一份部级备忘录“住房市场的公平和平等状况”的形式提交。所提议的对于《住房供应城市责任法》的修正案</w:t>
      </w:r>
      <w:r>
        <w:rPr>
          <w:rFonts w:hint="eastAsia"/>
          <w:snapToGrid/>
        </w:rPr>
        <w:t>(SFS 2000</w:t>
      </w:r>
      <w:r>
        <w:rPr>
          <w:rFonts w:hint="eastAsia"/>
          <w:snapToGrid/>
        </w:rPr>
        <w:t>：</w:t>
      </w:r>
      <w:r>
        <w:rPr>
          <w:rFonts w:hint="eastAsia"/>
          <w:snapToGrid/>
        </w:rPr>
        <w:t>1383)</w:t>
      </w:r>
      <w:r>
        <w:rPr>
          <w:rFonts w:hint="eastAsia"/>
          <w:snapToGrid/>
        </w:rPr>
        <w:t>论述了各方面的问题，包括明确城市住房供应的目标、向申请人和房产业主提供住房分配服务的必要性，以及起草城市准则投入信息的必要性。这份备忘录于</w:t>
      </w:r>
      <w:r>
        <w:rPr>
          <w:rFonts w:hint="eastAsia"/>
          <w:snapToGrid/>
        </w:rPr>
        <w:t>2006</w:t>
      </w:r>
      <w:r>
        <w:rPr>
          <w:rFonts w:hint="eastAsia"/>
          <w:snapToGrid/>
        </w:rPr>
        <w:t>年</w:t>
      </w:r>
      <w:r>
        <w:rPr>
          <w:rFonts w:hint="eastAsia"/>
          <w:snapToGrid/>
        </w:rPr>
        <w:t>5</w:t>
      </w:r>
      <w:r>
        <w:rPr>
          <w:rFonts w:hint="eastAsia"/>
          <w:snapToGrid/>
        </w:rPr>
        <w:t>月提交审议。</w:t>
      </w:r>
    </w:p>
    <w:p w:rsidR="00000000" w:rsidRDefault="00000000">
      <w:pPr>
        <w:rPr>
          <w:rFonts w:hint="eastAsia"/>
          <w:snapToGrid/>
        </w:rPr>
      </w:pPr>
      <w:r>
        <w:rPr>
          <w:rFonts w:hint="eastAsia"/>
          <w:snapToGrid/>
        </w:rPr>
        <w:tab/>
        <w:t xml:space="preserve">362.  </w:t>
      </w:r>
      <w:r>
        <w:rPr>
          <w:rFonts w:hint="eastAsia"/>
          <w:snapToGrid/>
        </w:rPr>
        <w:t>该委员会的提议包括，每个城市或住房市场应当建立一个住房服务机构，向住房申请人提供信息，安排住房排队等候，打击歧视，编集有关房产业主住房分配方针的信息，以及向自行找到住房有困难的人提供支持。委员会还建议，房产业主应当采取住房分配方针并向城市通报这方面的信息。</w:t>
      </w:r>
    </w:p>
    <w:p w:rsidR="00000000" w:rsidRDefault="00000000">
      <w:pPr>
        <w:rPr>
          <w:rFonts w:hint="eastAsia"/>
          <w:snapToGrid/>
        </w:rPr>
      </w:pPr>
      <w:r>
        <w:rPr>
          <w:rFonts w:hint="eastAsia"/>
          <w:iCs/>
          <w:snapToGrid/>
        </w:rPr>
        <w:tab/>
        <w:t xml:space="preserve">363.  </w:t>
      </w:r>
      <w:r>
        <w:rPr>
          <w:rFonts w:hint="eastAsia"/>
          <w:iCs/>
          <w:snapToGrid/>
          <w:u w:val="single"/>
        </w:rPr>
        <w:t>住房协调人</w:t>
      </w:r>
      <w:r>
        <w:rPr>
          <w:rFonts w:hint="eastAsia"/>
          <w:snapToGrid/>
        </w:rPr>
        <w:t>。政府在</w:t>
      </w:r>
      <w:r>
        <w:rPr>
          <w:rFonts w:hint="eastAsia"/>
          <w:snapToGrid/>
        </w:rPr>
        <w:t>2005</w:t>
      </w:r>
      <w:r>
        <w:rPr>
          <w:rFonts w:hint="eastAsia"/>
          <w:snapToGrid/>
        </w:rPr>
        <w:t>年</w:t>
      </w:r>
      <w:r>
        <w:rPr>
          <w:rFonts w:hint="eastAsia"/>
          <w:snapToGrid/>
        </w:rPr>
        <w:t>3</w:t>
      </w:r>
      <w:r>
        <w:rPr>
          <w:rFonts w:hint="eastAsia"/>
          <w:snapToGrid/>
        </w:rPr>
        <w:t>月任命了一名全国住房协调人，其任务是查明阻碍青年人自行找到住房的障碍及传播有关成功的私人举措和城市举措的消息</w:t>
      </w:r>
      <w:r>
        <w:rPr>
          <w:rFonts w:hint="eastAsia"/>
          <w:snapToGrid/>
        </w:rPr>
        <w:t>(ToR 2005</w:t>
      </w:r>
      <w:r>
        <w:rPr>
          <w:rFonts w:hint="eastAsia"/>
          <w:snapToGrid/>
        </w:rPr>
        <w:t>：</w:t>
      </w:r>
      <w:r>
        <w:rPr>
          <w:rFonts w:hint="eastAsia"/>
          <w:snapToGrid/>
        </w:rPr>
        <w:t>37)</w:t>
      </w:r>
      <w:r>
        <w:rPr>
          <w:rFonts w:hint="eastAsia"/>
          <w:snapToGrid/>
        </w:rPr>
        <w:t>。其职责还包括对于激励人们搬家从而启动搬迁链所需的举措进行审议。青年人是协调人的主要目标群体，但是所提议的措施对于其他群体也能有裨益。关于这件任务的一份最后报告将于</w:t>
      </w:r>
      <w:r>
        <w:rPr>
          <w:rFonts w:hint="eastAsia"/>
          <w:snapToGrid/>
        </w:rPr>
        <w:t>2007</w:t>
      </w:r>
      <w:r>
        <w:rPr>
          <w:rFonts w:hint="eastAsia"/>
          <w:snapToGrid/>
        </w:rPr>
        <w:t>年</w:t>
      </w:r>
      <w:r>
        <w:rPr>
          <w:rFonts w:hint="eastAsia"/>
          <w:snapToGrid/>
        </w:rPr>
        <w:t>12</w:t>
      </w:r>
      <w:r>
        <w:rPr>
          <w:rFonts w:hint="eastAsia"/>
          <w:snapToGrid/>
        </w:rPr>
        <w:t>月</w:t>
      </w:r>
      <w:r>
        <w:rPr>
          <w:rFonts w:hint="eastAsia"/>
          <w:snapToGrid/>
        </w:rPr>
        <w:t>18</w:t>
      </w:r>
      <w:r>
        <w:rPr>
          <w:rFonts w:hint="eastAsia"/>
          <w:snapToGrid/>
        </w:rPr>
        <w:t>日递交。</w:t>
      </w:r>
      <w:r>
        <w:rPr>
          <w:rFonts w:hint="eastAsia"/>
          <w:snapToGrid/>
        </w:rPr>
        <w:t>2005</w:t>
      </w:r>
      <w:r>
        <w:rPr>
          <w:rFonts w:hint="eastAsia"/>
          <w:snapToGrid/>
        </w:rPr>
        <w:t>年</w:t>
      </w:r>
      <w:r>
        <w:rPr>
          <w:rFonts w:hint="eastAsia"/>
          <w:snapToGrid/>
        </w:rPr>
        <w:t>12</w:t>
      </w:r>
      <w:r>
        <w:rPr>
          <w:rFonts w:hint="eastAsia"/>
          <w:snapToGrid/>
        </w:rPr>
        <w:t>月，住房协调人发布了一份题为“宠坏的青年人和坏脾气的房产业主”的临时报告</w:t>
      </w:r>
      <w:r>
        <w:rPr>
          <w:rFonts w:hint="eastAsia"/>
          <w:snapToGrid/>
        </w:rPr>
        <w:t>(</w:t>
      </w:r>
      <w:r>
        <w:rPr>
          <w:rFonts w:hint="eastAsia"/>
          <w:snapToGrid/>
        </w:rPr>
        <w:t>住房委员会</w:t>
      </w:r>
      <w:r>
        <w:rPr>
          <w:rFonts w:hint="eastAsia"/>
          <w:snapToGrid/>
        </w:rPr>
        <w:t>M2005</w:t>
      </w:r>
      <w:r>
        <w:rPr>
          <w:rFonts w:hint="eastAsia"/>
          <w:snapToGrid/>
        </w:rPr>
        <w:t>：</w:t>
      </w:r>
      <w:r>
        <w:rPr>
          <w:rFonts w:hint="eastAsia"/>
          <w:snapToGrid/>
        </w:rPr>
        <w:t>1</w:t>
      </w:r>
      <w:r>
        <w:rPr>
          <w:rFonts w:hint="eastAsia"/>
          <w:snapToGrid/>
        </w:rPr>
        <w:t>临时报告</w:t>
      </w:r>
      <w:r>
        <w:rPr>
          <w:rFonts w:hint="eastAsia"/>
          <w:snapToGrid/>
        </w:rPr>
        <w:t>1)</w:t>
      </w:r>
      <w:r>
        <w:rPr>
          <w:rFonts w:hint="eastAsia"/>
          <w:snapToGrid/>
        </w:rPr>
        <w:t>。这份报告的结论中有一条是，房产业主对于房客的正式要求将其收入和就业状况不允许他们进入初级租房合同市场的许多青年人排斥在外。显现出来的另一个问题是，住房短缺现象，主要是城市地区的住房短缺，为蓬勃兴起的黑市提供了肥沃土壤。出现了非法出售黑市租房合同、黑市转租，以及转租生产的高昂租金等问题，但是从法律的角度很难处理这些问题，这是因为难以证实黑市交易，以及对所涉各方缺乏举报黑市交易的激励。</w:t>
      </w:r>
    </w:p>
    <w:p w:rsidR="00000000" w:rsidRDefault="00000000">
      <w:pPr>
        <w:rPr>
          <w:rFonts w:hint="eastAsia"/>
          <w:snapToGrid/>
        </w:rPr>
      </w:pPr>
      <w:r>
        <w:rPr>
          <w:rFonts w:hint="eastAsia"/>
          <w:iCs/>
          <w:snapToGrid/>
        </w:rPr>
        <w:tab/>
        <w:t xml:space="preserve">364.  </w:t>
      </w:r>
      <w:r>
        <w:rPr>
          <w:rFonts w:hint="eastAsia"/>
          <w:iCs/>
          <w:snapToGrid/>
          <w:u w:val="single"/>
        </w:rPr>
        <w:t>租金保证金</w:t>
      </w:r>
      <w:r>
        <w:rPr>
          <w:rFonts w:hint="eastAsia"/>
          <w:snapToGrid/>
        </w:rPr>
        <w:t>。政府在</w:t>
      </w:r>
      <w:r>
        <w:rPr>
          <w:rFonts w:hint="eastAsia"/>
          <w:snapToGrid/>
        </w:rPr>
        <w:t>2006</w:t>
      </w:r>
      <w:r>
        <w:rPr>
          <w:rFonts w:hint="eastAsia"/>
          <w:snapToGrid/>
        </w:rPr>
        <w:t>年</w:t>
      </w:r>
      <w:r>
        <w:rPr>
          <w:rFonts w:hint="eastAsia"/>
          <w:snapToGrid/>
        </w:rPr>
        <w:t>4</w:t>
      </w:r>
      <w:r>
        <w:rPr>
          <w:rFonts w:hint="eastAsia"/>
          <w:snapToGrid/>
        </w:rPr>
        <w:t>月宣布了一项提议，向希望将租金保证金作为一种支助形式的城市提供国家援助，这种保证金是专门用来帮助那些在住房市场上立足难的人的。</w:t>
      </w:r>
    </w:p>
    <w:p w:rsidR="00000000" w:rsidRDefault="00000000">
      <w:pPr>
        <w:spacing w:after="240"/>
        <w:rPr>
          <w:rFonts w:hint="eastAsia"/>
          <w:snapToGrid/>
        </w:rPr>
      </w:pPr>
      <w:r>
        <w:rPr>
          <w:rFonts w:hint="eastAsia"/>
          <w:iCs/>
          <w:snapToGrid/>
        </w:rPr>
        <w:tab/>
        <w:t xml:space="preserve">365.  </w:t>
      </w:r>
      <w:r>
        <w:rPr>
          <w:rFonts w:hint="eastAsia"/>
          <w:iCs/>
          <w:snapToGrid/>
          <w:u w:val="single"/>
        </w:rPr>
        <w:t>关于拥挤居住状况的任务</w:t>
      </w:r>
      <w:r>
        <w:rPr>
          <w:rFonts w:hint="eastAsia"/>
          <w:snapToGrid/>
        </w:rPr>
        <w:t>。国家住房、建筑和计划委员会的</w:t>
      </w:r>
      <w:r>
        <w:rPr>
          <w:rFonts w:hint="eastAsia"/>
          <w:snapToGrid/>
        </w:rPr>
        <w:t>2006</w:t>
      </w:r>
      <w:r>
        <w:rPr>
          <w:rFonts w:hint="eastAsia"/>
          <w:snapToGrid/>
        </w:rPr>
        <w:t>年拨款指示指令该机构提出一份关于拥挤居住状况的历史趋势以及不同群体拥挤居住状况有哪些不同的报告。这份关于拥挤居住状况的后果的报告将特别注意儿童和性别平等的观点。这份报告将于</w:t>
      </w:r>
      <w:r>
        <w:rPr>
          <w:rFonts w:hint="eastAsia"/>
          <w:snapToGrid/>
        </w:rPr>
        <w:t>2006</w:t>
      </w:r>
      <w:r>
        <w:rPr>
          <w:rFonts w:hint="eastAsia"/>
          <w:snapToGrid/>
        </w:rPr>
        <w:t>年</w:t>
      </w:r>
      <w:r>
        <w:rPr>
          <w:rFonts w:hint="eastAsia"/>
          <w:snapToGrid/>
        </w:rPr>
        <w:t>9</w:t>
      </w:r>
      <w:r>
        <w:rPr>
          <w:rFonts w:hint="eastAsia"/>
          <w:snapToGrid/>
        </w:rPr>
        <w:t>月</w:t>
      </w:r>
      <w:r>
        <w:rPr>
          <w:rFonts w:hint="eastAsia"/>
          <w:snapToGrid/>
        </w:rPr>
        <w:t>1</w:t>
      </w:r>
      <w:r>
        <w:rPr>
          <w:rFonts w:hint="eastAsia"/>
          <w:snapToGrid/>
        </w:rPr>
        <w:t>日递交。</w:t>
      </w:r>
    </w:p>
    <w:p w:rsidR="00000000" w:rsidRDefault="00000000">
      <w:pPr>
        <w:pStyle w:val="Heading4"/>
        <w:rPr>
          <w:rFonts w:hint="eastAsia"/>
        </w:rPr>
      </w:pPr>
      <w:r>
        <w:rPr>
          <w:rFonts w:hint="eastAsia"/>
        </w:rPr>
        <w:t>拥挤居住状况的一般情况</w:t>
      </w:r>
    </w:p>
    <w:p w:rsidR="00000000" w:rsidRDefault="00000000">
      <w:pPr>
        <w:spacing w:after="240"/>
        <w:rPr>
          <w:rFonts w:hint="eastAsia"/>
          <w:snapToGrid/>
        </w:rPr>
      </w:pPr>
      <w:r>
        <w:rPr>
          <w:rFonts w:hint="eastAsia"/>
          <w:snapToGrid/>
        </w:rPr>
        <w:tab/>
        <w:t xml:space="preserve">366.  </w:t>
      </w:r>
      <w:r>
        <w:rPr>
          <w:rFonts w:hint="eastAsia"/>
          <w:snapToGrid/>
        </w:rPr>
        <w:t>能够获得一个自己的房间，对于学龄儿童能有诸如睡眠和做功课等安静环境的机会是十分重要的。根据生活水准研究的统计，</w:t>
      </w:r>
      <w:r>
        <w:rPr>
          <w:rFonts w:hint="eastAsia"/>
          <w:snapToGrid/>
        </w:rPr>
        <w:t>3</w:t>
      </w:r>
      <w:r>
        <w:rPr>
          <w:snapToGrid/>
        </w:rPr>
        <w:t>-</w:t>
      </w:r>
      <w:r>
        <w:rPr>
          <w:rFonts w:hint="eastAsia"/>
          <w:snapToGrid/>
        </w:rPr>
        <w:t>6</w:t>
      </w:r>
      <w:r>
        <w:rPr>
          <w:rFonts w:hint="eastAsia"/>
          <w:snapToGrid/>
        </w:rPr>
        <w:t>年级的学龄儿童中，</w:t>
      </w:r>
      <w:r>
        <w:rPr>
          <w:rFonts w:hint="eastAsia"/>
          <w:snapToGrid/>
        </w:rPr>
        <w:t>88%</w:t>
      </w:r>
      <w:r>
        <w:rPr>
          <w:rFonts w:hint="eastAsia"/>
          <w:snapToGrid/>
        </w:rPr>
        <w:t>有他们自己的房间，而</w:t>
      </w:r>
      <w:r>
        <w:rPr>
          <w:rFonts w:hint="eastAsia"/>
          <w:snapToGrid/>
        </w:rPr>
        <w:t>7</w:t>
      </w:r>
      <w:r>
        <w:rPr>
          <w:snapToGrid/>
        </w:rPr>
        <w:t>-</w:t>
      </w:r>
      <w:r>
        <w:rPr>
          <w:rFonts w:hint="eastAsia"/>
          <w:snapToGrid/>
        </w:rPr>
        <w:t>9</w:t>
      </w:r>
      <w:r>
        <w:rPr>
          <w:rFonts w:hint="eastAsia"/>
          <w:snapToGrid/>
        </w:rPr>
        <w:t>年级的学龄儿童中，</w:t>
      </w:r>
      <w:r>
        <w:rPr>
          <w:rFonts w:hint="eastAsia"/>
          <w:snapToGrid/>
        </w:rPr>
        <w:t>93%</w:t>
      </w:r>
      <w:r>
        <w:rPr>
          <w:rFonts w:hint="eastAsia"/>
          <w:snapToGrid/>
        </w:rPr>
        <w:t>有他们自己的房间。例证中父母在瑞典出生的儿童中，</w:t>
      </w:r>
      <w:r>
        <w:rPr>
          <w:rFonts w:hint="eastAsia"/>
          <w:snapToGrid/>
        </w:rPr>
        <w:t>94%</w:t>
      </w:r>
      <w:r>
        <w:rPr>
          <w:rFonts w:hint="eastAsia"/>
          <w:snapToGrid/>
        </w:rPr>
        <w:t>有他们自己的房间，而父母在外国出生的儿童的百分比是</w:t>
      </w:r>
      <w:r>
        <w:rPr>
          <w:rFonts w:hint="eastAsia"/>
          <w:snapToGrid/>
        </w:rPr>
        <w:t>66%</w:t>
      </w:r>
      <w:r>
        <w:rPr>
          <w:rFonts w:hint="eastAsia"/>
          <w:snapToGrid/>
        </w:rPr>
        <w:t>。</w:t>
      </w:r>
    </w:p>
    <w:p w:rsidR="00000000" w:rsidRDefault="00000000">
      <w:pPr>
        <w:pStyle w:val="Heading4"/>
        <w:rPr>
          <w:rFonts w:hint="eastAsia"/>
        </w:rPr>
      </w:pPr>
      <w:r>
        <w:rPr>
          <w:rFonts w:hint="eastAsia"/>
        </w:rPr>
        <w:t>室内环境</w:t>
      </w:r>
    </w:p>
    <w:p w:rsidR="00000000" w:rsidRDefault="00000000">
      <w:pPr>
        <w:rPr>
          <w:rFonts w:hint="eastAsia"/>
          <w:snapToGrid/>
        </w:rPr>
      </w:pPr>
      <w:r>
        <w:rPr>
          <w:rFonts w:hint="eastAsia"/>
          <w:snapToGrid/>
        </w:rPr>
        <w:tab/>
        <w:t xml:space="preserve">367.  </w:t>
      </w:r>
      <w:r>
        <w:rPr>
          <w:rFonts w:hint="eastAsia"/>
          <w:snapToGrid/>
        </w:rPr>
        <w:t>社会对于建筑的技术要求的意图，是使得建筑适应其规划的功用</w:t>
      </w:r>
      <w:r>
        <w:rPr>
          <w:rFonts w:hint="eastAsia"/>
          <w:snapToGrid/>
        </w:rPr>
        <w:t>/</w:t>
      </w:r>
      <w:r>
        <w:rPr>
          <w:rFonts w:hint="eastAsia"/>
          <w:snapToGrid/>
        </w:rPr>
        <w:t>活动成为根据《建筑工程技术要求法》</w:t>
      </w:r>
      <w:r>
        <w:rPr>
          <w:rFonts w:hint="eastAsia"/>
          <w:snapToGrid/>
        </w:rPr>
        <w:t>(1994</w:t>
      </w:r>
      <w:r>
        <w:rPr>
          <w:rFonts w:hint="eastAsia"/>
          <w:snapToGrid/>
        </w:rPr>
        <w:t>：</w:t>
      </w:r>
      <w:r>
        <w:rPr>
          <w:rFonts w:hint="eastAsia"/>
          <w:snapToGrid/>
        </w:rPr>
        <w:t>847)</w:t>
      </w:r>
      <w:r>
        <w:rPr>
          <w:rFonts w:hint="eastAsia"/>
          <w:snapToGrid/>
        </w:rPr>
        <w:t>的一项基本原则。这项原则以各种方式体现出来了，其中包括残疾人通道和儿童安全的标准。</w:t>
      </w:r>
    </w:p>
    <w:p w:rsidR="00000000" w:rsidRDefault="00000000">
      <w:pPr>
        <w:rPr>
          <w:rFonts w:hint="eastAsia"/>
          <w:snapToGrid/>
        </w:rPr>
      </w:pPr>
      <w:r>
        <w:rPr>
          <w:rFonts w:hint="eastAsia"/>
          <w:snapToGrid/>
        </w:rPr>
        <w:tab/>
        <w:t xml:space="preserve">368.  </w:t>
      </w:r>
      <w:r>
        <w:rPr>
          <w:rFonts w:hint="eastAsia"/>
          <w:snapToGrid/>
        </w:rPr>
        <w:t>对建筑的维修应当保存它们的主要特点。在</w:t>
      </w:r>
      <w:r>
        <w:rPr>
          <w:rFonts w:hint="eastAsia"/>
          <w:snapToGrid/>
        </w:rPr>
        <w:t>20</w:t>
      </w:r>
      <w:r>
        <w:rPr>
          <w:rFonts w:hint="eastAsia"/>
          <w:snapToGrid/>
        </w:rPr>
        <w:t>世纪</w:t>
      </w:r>
      <w:r>
        <w:rPr>
          <w:rFonts w:hint="eastAsia"/>
          <w:snapToGrid/>
        </w:rPr>
        <w:t>80</w:t>
      </w:r>
      <w:r>
        <w:rPr>
          <w:rFonts w:hint="eastAsia"/>
          <w:snapToGrid/>
        </w:rPr>
        <w:t>年代显示出情况并非如此，例如当时通风系统没有予以适当维修。</w:t>
      </w:r>
    </w:p>
    <w:p w:rsidR="00000000" w:rsidRDefault="00000000">
      <w:pPr>
        <w:rPr>
          <w:rFonts w:hint="eastAsia"/>
          <w:snapToGrid/>
        </w:rPr>
      </w:pPr>
      <w:r>
        <w:rPr>
          <w:rFonts w:hint="eastAsia"/>
          <w:snapToGrid/>
        </w:rPr>
        <w:tab/>
        <w:t xml:space="preserve">369.  </w:t>
      </w:r>
      <w:r>
        <w:rPr>
          <w:rFonts w:hint="eastAsia"/>
          <w:snapToGrid/>
        </w:rPr>
        <w:t>作为回应，政府请求并获得授权颁布了有关强迫检查基本上所有有建筑的通风系统的规章</w:t>
      </w:r>
      <w:r>
        <w:rPr>
          <w:rFonts w:hint="eastAsia"/>
          <w:snapToGrid/>
        </w:rPr>
        <w:t>(</w:t>
      </w:r>
      <w:r>
        <w:rPr>
          <w:rFonts w:hint="eastAsia"/>
          <w:snapToGrid/>
        </w:rPr>
        <w:t>通风系统功能检查法</w:t>
      </w:r>
      <w:r>
        <w:rPr>
          <w:rFonts w:hint="eastAsia"/>
          <w:snapToGrid/>
        </w:rPr>
        <w:t>(1991</w:t>
      </w:r>
      <w:r>
        <w:rPr>
          <w:rFonts w:hint="eastAsia"/>
          <w:snapToGrid/>
        </w:rPr>
        <w:t>：</w:t>
      </w:r>
      <w:r>
        <w:rPr>
          <w:rFonts w:hint="eastAsia"/>
          <w:snapToGrid/>
        </w:rPr>
        <w:t>1273)</w:t>
      </w:r>
      <w:r>
        <w:rPr>
          <w:rFonts w:hint="eastAsia"/>
          <w:snapToGrid/>
        </w:rPr>
        <w:t>修订案</w:t>
      </w:r>
      <w:r>
        <w:rPr>
          <w:rFonts w:hint="eastAsia"/>
          <w:snapToGrid/>
        </w:rPr>
        <w:t>(1999</w:t>
      </w:r>
      <w:r>
        <w:rPr>
          <w:rFonts w:hint="eastAsia"/>
          <w:snapToGrid/>
        </w:rPr>
        <w:t>：</w:t>
      </w:r>
      <w:r>
        <w:rPr>
          <w:rFonts w:hint="eastAsia"/>
          <w:snapToGrid/>
        </w:rPr>
        <w:t>373)</w:t>
      </w:r>
      <w:r>
        <w:rPr>
          <w:rFonts w:hint="eastAsia"/>
          <w:snapToGrid/>
        </w:rPr>
        <w:t>。</w:t>
      </w:r>
      <w:r>
        <w:rPr>
          <w:rFonts w:hint="eastAsia"/>
          <w:snapToGrid/>
        </w:rPr>
        <w:t>)</w:t>
      </w:r>
      <w:r>
        <w:rPr>
          <w:rFonts w:hint="eastAsia"/>
          <w:snapToGrid/>
        </w:rPr>
        <w:t>实施这项规章是为了回应经确认的变态反应和过敏症增多的现象。这项规章特别强调儿童和青年人的环境，要求幼儿园和学校的通风系统必须每二年检查一次。</w:t>
      </w:r>
    </w:p>
    <w:p w:rsidR="00000000" w:rsidRDefault="00000000">
      <w:pPr>
        <w:rPr>
          <w:rFonts w:hint="eastAsia"/>
          <w:snapToGrid/>
        </w:rPr>
      </w:pPr>
      <w:r>
        <w:rPr>
          <w:rFonts w:hint="eastAsia"/>
          <w:snapToGrid/>
        </w:rPr>
        <w:tab/>
        <w:t xml:space="preserve">370.  </w:t>
      </w:r>
      <w:r>
        <w:rPr>
          <w:rFonts w:hint="eastAsia"/>
          <w:snapToGrid/>
        </w:rPr>
        <w:t>可以接受的室内环境的重要意义还表现在议会为了全国环境质量目标“良好的建造环境”所通过的临时目标。这个临时目标的案文如下</w:t>
      </w:r>
      <w:r>
        <w:rPr>
          <w:rFonts w:hint="eastAsia"/>
          <w:snapToGrid/>
        </w:rPr>
        <w:t>(</w:t>
      </w:r>
      <w:r>
        <w:rPr>
          <w:rFonts w:hint="eastAsia"/>
          <w:snapToGrid/>
        </w:rPr>
        <w:t>政府法案</w:t>
      </w:r>
      <w:r>
        <w:rPr>
          <w:rFonts w:hint="eastAsia"/>
          <w:snapToGrid/>
        </w:rPr>
        <w:t>2001/02</w:t>
      </w:r>
      <w:r>
        <w:rPr>
          <w:rFonts w:hint="eastAsia"/>
          <w:snapToGrid/>
        </w:rPr>
        <w:t>：</w:t>
      </w:r>
      <w:r>
        <w:rPr>
          <w:rFonts w:hint="eastAsia"/>
          <w:snapToGrid/>
        </w:rPr>
        <w:t>128)</w:t>
      </w:r>
      <w:r>
        <w:rPr>
          <w:rFonts w:hint="eastAsia"/>
          <w:snapToGrid/>
        </w:rPr>
        <w:t>：“到</w:t>
      </w:r>
      <w:r>
        <w:rPr>
          <w:rFonts w:hint="eastAsia"/>
          <w:snapToGrid/>
        </w:rPr>
        <w:t>2020</w:t>
      </w:r>
      <w:r>
        <w:rPr>
          <w:rFonts w:hint="eastAsia"/>
          <w:snapToGrid/>
        </w:rPr>
        <w:t>年，建筑和它们的特点不得对健康具有不利影响。因此必须确保：</w:t>
      </w:r>
    </w:p>
    <w:p w:rsidR="00000000" w:rsidRDefault="00000000">
      <w:pPr>
        <w:pStyle w:val="a0"/>
        <w:ind w:left="1530"/>
        <w:rPr>
          <w:rFonts w:hint="eastAsia"/>
          <w:snapToGrid/>
        </w:rPr>
      </w:pPr>
      <w:r>
        <w:rPr>
          <w:rFonts w:hint="eastAsia"/>
          <w:snapToGrid/>
        </w:rPr>
        <w:t>到</w:t>
      </w:r>
      <w:r>
        <w:rPr>
          <w:rFonts w:hint="eastAsia"/>
          <w:snapToGrid/>
        </w:rPr>
        <w:t>2015</w:t>
      </w:r>
      <w:r>
        <w:rPr>
          <w:rFonts w:hint="eastAsia"/>
          <w:snapToGrid/>
        </w:rPr>
        <w:t>年，人们经常度过时间或度过长期时间的所有建筑都有具有文件记录效力的通风设备；</w:t>
      </w:r>
    </w:p>
    <w:p w:rsidR="00000000" w:rsidRDefault="00000000">
      <w:pPr>
        <w:pStyle w:val="a0"/>
        <w:ind w:left="1530"/>
        <w:rPr>
          <w:rFonts w:hint="eastAsia"/>
          <w:snapToGrid/>
        </w:rPr>
      </w:pPr>
      <w:r>
        <w:rPr>
          <w:rFonts w:hint="eastAsia"/>
          <w:snapToGrid/>
        </w:rPr>
        <w:t>到</w:t>
      </w:r>
      <w:r>
        <w:rPr>
          <w:rFonts w:hint="eastAsia"/>
          <w:snapToGrid/>
        </w:rPr>
        <w:t>2010</w:t>
      </w:r>
      <w:r>
        <w:rPr>
          <w:rFonts w:hint="eastAsia"/>
          <w:snapToGrid/>
        </w:rPr>
        <w:t>年，所有的学校和幼儿园的氡的水平低于</w:t>
      </w:r>
      <w:r>
        <w:rPr>
          <w:rFonts w:hint="eastAsia"/>
          <w:snapToGrid/>
        </w:rPr>
        <w:t>200 Bq/m3</w:t>
      </w:r>
      <w:r>
        <w:rPr>
          <w:rFonts w:hint="eastAsia"/>
          <w:snapToGrid/>
        </w:rPr>
        <w:t>空气；以及</w:t>
      </w:r>
    </w:p>
    <w:p w:rsidR="00000000" w:rsidRDefault="00000000">
      <w:pPr>
        <w:pStyle w:val="a0"/>
        <w:ind w:left="1530"/>
        <w:rPr>
          <w:rFonts w:hint="eastAsia"/>
          <w:snapToGrid/>
        </w:rPr>
      </w:pPr>
      <w:r>
        <w:rPr>
          <w:rFonts w:hint="eastAsia"/>
          <w:snapToGrid/>
        </w:rPr>
        <w:t>到</w:t>
      </w:r>
      <w:r>
        <w:rPr>
          <w:rFonts w:hint="eastAsia"/>
          <w:snapToGrid/>
        </w:rPr>
        <w:t>2020</w:t>
      </w:r>
      <w:r>
        <w:rPr>
          <w:rFonts w:hint="eastAsia"/>
          <w:snapToGrid/>
        </w:rPr>
        <w:t>年，所有的住宅的氡的水平低于</w:t>
      </w:r>
      <w:r>
        <w:rPr>
          <w:rFonts w:hint="eastAsia"/>
          <w:snapToGrid/>
        </w:rPr>
        <w:t>200 Bq/m3</w:t>
      </w:r>
      <w:r>
        <w:rPr>
          <w:rFonts w:hint="eastAsia"/>
          <w:snapToGrid/>
        </w:rPr>
        <w:t>空气。”</w:t>
      </w:r>
    </w:p>
    <w:p w:rsidR="00000000" w:rsidRDefault="00000000">
      <w:pPr>
        <w:rPr>
          <w:rFonts w:hint="eastAsia"/>
          <w:snapToGrid/>
        </w:rPr>
      </w:pPr>
      <w:r>
        <w:rPr>
          <w:rFonts w:hint="eastAsia"/>
          <w:snapToGrid/>
        </w:rPr>
        <w:tab/>
        <w:t xml:space="preserve">371.  </w:t>
      </w:r>
      <w:r>
        <w:rPr>
          <w:rFonts w:hint="eastAsia"/>
          <w:snapToGrid/>
        </w:rPr>
        <w:t>经政府倡议，在</w:t>
      </w:r>
      <w:r>
        <w:rPr>
          <w:rFonts w:hint="eastAsia"/>
          <w:snapToGrid/>
        </w:rPr>
        <w:t>2002</w:t>
      </w:r>
      <w:r>
        <w:rPr>
          <w:rFonts w:hint="eastAsia"/>
          <w:snapToGrid/>
        </w:rPr>
        <w:t>年任命了一个委员会，以审议《规划和建造法》。该审议将包括残疾人通道的问题。该委员会提出了一份报告，该报告已提交考虑，目前正在由政府办公机构准备。</w:t>
      </w:r>
    </w:p>
    <w:p w:rsidR="00000000" w:rsidRDefault="00000000">
      <w:pPr>
        <w:spacing w:after="240"/>
        <w:rPr>
          <w:rFonts w:hint="eastAsia"/>
          <w:snapToGrid/>
        </w:rPr>
      </w:pPr>
      <w:r>
        <w:rPr>
          <w:rFonts w:hint="eastAsia"/>
          <w:snapToGrid/>
        </w:rPr>
        <w:tab/>
        <w:t xml:space="preserve">372.  </w:t>
      </w:r>
      <w:r>
        <w:rPr>
          <w:rFonts w:hint="eastAsia"/>
          <w:snapToGrid/>
        </w:rPr>
        <w:t>政府在</w:t>
      </w:r>
      <w:r>
        <w:rPr>
          <w:rFonts w:hint="eastAsia"/>
          <w:snapToGrid/>
        </w:rPr>
        <w:t>2004</w:t>
      </w:r>
      <w:r>
        <w:rPr>
          <w:rFonts w:hint="eastAsia"/>
          <w:snapToGrid/>
        </w:rPr>
        <w:t>年拨款</w:t>
      </w:r>
      <w:r>
        <w:rPr>
          <w:rFonts w:hint="eastAsia"/>
          <w:snapToGrid/>
        </w:rPr>
        <w:t>3000</w:t>
      </w:r>
      <w:r>
        <w:rPr>
          <w:rFonts w:hint="eastAsia"/>
          <w:snapToGrid/>
        </w:rPr>
        <w:t>万瑞典克朗用作电梯补助金，目标在于促进在现有的公寓房屋里装置电梯，因而使得包括老人和残疾人在内的所有人上下更加方便。领取这项补助金的条件是，改善进出上下的其他必要措施都已经实施。</w:t>
      </w:r>
    </w:p>
    <w:p w:rsidR="00000000" w:rsidRDefault="00000000">
      <w:pPr>
        <w:pStyle w:val="Heading4"/>
        <w:rPr>
          <w:rFonts w:hint="eastAsia"/>
        </w:rPr>
      </w:pPr>
      <w:r>
        <w:rPr>
          <w:rFonts w:hint="eastAsia"/>
        </w:rPr>
        <w:t>改进电梯安全的措施</w:t>
      </w:r>
    </w:p>
    <w:p w:rsidR="00000000" w:rsidRDefault="00000000">
      <w:pPr>
        <w:rPr>
          <w:rFonts w:hint="eastAsia"/>
          <w:snapToGrid/>
        </w:rPr>
      </w:pPr>
      <w:r>
        <w:rPr>
          <w:rFonts w:hint="eastAsia"/>
          <w:snapToGrid/>
        </w:rPr>
        <w:tab/>
        <w:t>373.  2006</w:t>
      </w:r>
      <w:r>
        <w:rPr>
          <w:rFonts w:hint="eastAsia"/>
          <w:snapToGrid/>
        </w:rPr>
        <w:t>年</w:t>
      </w:r>
      <w:r>
        <w:rPr>
          <w:rFonts w:hint="eastAsia"/>
          <w:snapToGrid/>
        </w:rPr>
        <w:t>2</w:t>
      </w:r>
      <w:r>
        <w:rPr>
          <w:rFonts w:hint="eastAsia"/>
          <w:snapToGrid/>
        </w:rPr>
        <w:t>月作出了一项政府决定，以修订《建筑工程技术要求法》，决定如下：</w:t>
      </w:r>
    </w:p>
    <w:p w:rsidR="00000000" w:rsidRDefault="00000000">
      <w:pPr>
        <w:pStyle w:val="a0"/>
        <w:ind w:left="1530"/>
        <w:rPr>
          <w:rFonts w:hint="eastAsia"/>
          <w:snapToGrid/>
        </w:rPr>
      </w:pPr>
      <w:r>
        <w:rPr>
          <w:rFonts w:hint="eastAsia"/>
          <w:snapToGrid/>
        </w:rPr>
        <w:t>到</w:t>
      </w:r>
      <w:r>
        <w:rPr>
          <w:rFonts w:hint="eastAsia"/>
          <w:snapToGrid/>
        </w:rPr>
        <w:t>2007</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日，应当在规划用于乘客运输，但朝向电梯井墙处无保护的电梯上装置警告标志；</w:t>
      </w:r>
    </w:p>
    <w:p w:rsidR="00000000" w:rsidRDefault="00000000">
      <w:pPr>
        <w:pStyle w:val="a0"/>
        <w:ind w:left="1530"/>
        <w:rPr>
          <w:rFonts w:hint="eastAsia"/>
          <w:snapToGrid/>
        </w:rPr>
      </w:pPr>
      <w:r>
        <w:rPr>
          <w:rFonts w:hint="eastAsia"/>
          <w:snapToGrid/>
        </w:rPr>
        <w:t>到</w:t>
      </w:r>
      <w:r>
        <w:rPr>
          <w:rFonts w:hint="eastAsia"/>
          <w:snapToGrid/>
        </w:rPr>
        <w:t>2012</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日，在主要用于商业场地</w:t>
      </w:r>
      <w:r>
        <w:rPr>
          <w:rFonts w:hint="eastAsia"/>
          <w:snapToGrid/>
        </w:rPr>
        <w:t>/</w:t>
      </w:r>
      <w:r>
        <w:rPr>
          <w:rFonts w:hint="eastAsia"/>
          <w:snapToGrid/>
        </w:rPr>
        <w:t>工作场地的建筑，应当在规划用于乘客运输，但朝向电梯井墙处无保护的电梯里装置车门或其他保护物；</w:t>
      </w:r>
    </w:p>
    <w:p w:rsidR="00000000" w:rsidRDefault="00000000">
      <w:pPr>
        <w:pStyle w:val="a0"/>
        <w:spacing w:after="240"/>
        <w:ind w:left="1530"/>
        <w:rPr>
          <w:rFonts w:hint="eastAsia"/>
          <w:snapToGrid/>
        </w:rPr>
      </w:pPr>
      <w:r>
        <w:rPr>
          <w:rFonts w:hint="eastAsia"/>
          <w:snapToGrid/>
        </w:rPr>
        <w:t>当对一架电梯作出重大改变时，应当采取必要措施来增加电梯的安全度。</w:t>
      </w:r>
    </w:p>
    <w:p w:rsidR="00000000" w:rsidRDefault="00000000">
      <w:pPr>
        <w:pStyle w:val="Heading4"/>
        <w:rPr>
          <w:rFonts w:hint="eastAsia"/>
        </w:rPr>
      </w:pPr>
      <w:r>
        <w:rPr>
          <w:rFonts w:hint="eastAsia"/>
        </w:rPr>
        <w:t>经济家庭政策范围内的措施</w:t>
      </w:r>
    </w:p>
    <w:p w:rsidR="00000000" w:rsidRDefault="00000000">
      <w:pPr>
        <w:spacing w:after="240"/>
        <w:rPr>
          <w:rFonts w:hint="eastAsia"/>
          <w:snapToGrid/>
        </w:rPr>
      </w:pPr>
      <w:r>
        <w:rPr>
          <w:rFonts w:hint="eastAsia"/>
          <w:snapToGrid/>
        </w:rPr>
        <w:tab/>
        <w:t xml:space="preserve">374.  </w:t>
      </w:r>
      <w:r>
        <w:rPr>
          <w:rFonts w:hint="eastAsia"/>
          <w:snapToGrid/>
        </w:rPr>
        <w:t>有居家子女的家庭和有享有接触权子女的家庭，以及至少</w:t>
      </w:r>
      <w:r>
        <w:rPr>
          <w:rFonts w:hint="eastAsia"/>
          <w:snapToGrid/>
        </w:rPr>
        <w:t>18</w:t>
      </w:r>
      <w:r>
        <w:rPr>
          <w:rFonts w:hint="eastAsia"/>
          <w:snapToGrid/>
        </w:rPr>
        <w:t>岁但不超过</w:t>
      </w:r>
      <w:r>
        <w:rPr>
          <w:rFonts w:hint="eastAsia"/>
          <w:snapToGrid/>
        </w:rPr>
        <w:t>29</w:t>
      </w:r>
      <w:r>
        <w:rPr>
          <w:rFonts w:hint="eastAsia"/>
          <w:snapToGrid/>
        </w:rPr>
        <w:t>岁的无子女青年人可以申请</w:t>
      </w:r>
      <w:r>
        <w:rPr>
          <w:rFonts w:hint="eastAsia"/>
          <w:iCs/>
          <w:snapToGrid/>
          <w:u w:val="single"/>
        </w:rPr>
        <w:t>住房补助</w:t>
      </w:r>
      <w:r>
        <w:rPr>
          <w:rFonts w:hint="eastAsia"/>
          <w:snapToGrid/>
        </w:rPr>
        <w:t>。</w:t>
      </w:r>
    </w:p>
    <w:p w:rsidR="00000000" w:rsidRDefault="00000000">
      <w:pPr>
        <w:pStyle w:val="Heading4"/>
        <w:rPr>
          <w:rFonts w:hint="eastAsia"/>
        </w:rPr>
      </w:pPr>
      <w:r>
        <w:rPr>
          <w:rFonts w:hint="eastAsia"/>
        </w:rPr>
        <w:t>社会服务政策范围内的措施</w:t>
      </w:r>
    </w:p>
    <w:p w:rsidR="00000000" w:rsidRDefault="00000000">
      <w:pPr>
        <w:rPr>
          <w:rFonts w:hint="eastAsia"/>
          <w:snapToGrid/>
        </w:rPr>
      </w:pPr>
      <w:r>
        <w:rPr>
          <w:rFonts w:hint="eastAsia"/>
          <w:iCs/>
          <w:snapToGrid/>
        </w:rPr>
        <w:tab/>
        <w:t xml:space="preserve">375.  </w:t>
      </w:r>
      <w:r>
        <w:rPr>
          <w:rFonts w:hint="eastAsia"/>
          <w:iCs/>
          <w:snapToGrid/>
          <w:u w:val="single"/>
        </w:rPr>
        <w:t>无家可归现象</w:t>
      </w:r>
      <w:r>
        <w:rPr>
          <w:rFonts w:hint="eastAsia"/>
          <w:snapToGrid/>
        </w:rPr>
        <w:t>。瑞典对无家可归现象的最近一次全国性调查是在</w:t>
      </w:r>
      <w:r>
        <w:rPr>
          <w:rFonts w:hint="eastAsia"/>
          <w:snapToGrid/>
        </w:rPr>
        <w:t>2005</w:t>
      </w:r>
      <w:r>
        <w:rPr>
          <w:rFonts w:hint="eastAsia"/>
          <w:snapToGrid/>
        </w:rPr>
        <w:t>年开展的。该调查表明，瑞典没有自己的住房的人数近年来有了增加。在调查时，至少有</w:t>
      </w:r>
      <w:r>
        <w:rPr>
          <w:rFonts w:hint="eastAsia"/>
          <w:snapToGrid/>
        </w:rPr>
        <w:t>17,800</w:t>
      </w:r>
      <w:r>
        <w:rPr>
          <w:rFonts w:hint="eastAsia"/>
          <w:snapToGrid/>
        </w:rPr>
        <w:t>人无家可归，其中四分之三是男子。无家可归的人中的很大一部分有毒瘾和智力疾病。因此，改进毒品滥用护理和精神病护理的举措对于解决无家可归的问题是至关紧要的。</w:t>
      </w:r>
    </w:p>
    <w:p w:rsidR="00000000" w:rsidRDefault="00000000">
      <w:pPr>
        <w:rPr>
          <w:rFonts w:hint="eastAsia"/>
          <w:snapToGrid/>
        </w:rPr>
      </w:pPr>
      <w:r>
        <w:rPr>
          <w:rFonts w:hint="eastAsia"/>
          <w:snapToGrid/>
        </w:rPr>
        <w:tab/>
        <w:t xml:space="preserve">376.  </w:t>
      </w:r>
      <w:r>
        <w:rPr>
          <w:rFonts w:hint="eastAsia"/>
          <w:snapToGrid/>
        </w:rPr>
        <w:t>政府在</w:t>
      </w:r>
      <w:r>
        <w:rPr>
          <w:rFonts w:hint="eastAsia"/>
          <w:snapToGrid/>
        </w:rPr>
        <w:t>2006</w:t>
      </w:r>
      <w:r>
        <w:rPr>
          <w:rFonts w:hint="eastAsia"/>
          <w:snapToGrid/>
        </w:rPr>
        <w:t>年春季的预算法案</w:t>
      </w:r>
      <w:r>
        <w:rPr>
          <w:rFonts w:hint="eastAsia"/>
          <w:snapToGrid/>
        </w:rPr>
        <w:t>(</w:t>
      </w:r>
      <w:r>
        <w:rPr>
          <w:rFonts w:hint="eastAsia"/>
          <w:snapToGrid/>
        </w:rPr>
        <w:t>政府法案</w:t>
      </w:r>
      <w:r>
        <w:rPr>
          <w:rFonts w:hint="eastAsia"/>
          <w:snapToGrid/>
        </w:rPr>
        <w:t>2005/06</w:t>
      </w:r>
      <w:r>
        <w:rPr>
          <w:rFonts w:hint="eastAsia"/>
          <w:snapToGrid/>
        </w:rPr>
        <w:t>：</w:t>
      </w:r>
      <w:r>
        <w:rPr>
          <w:rFonts w:hint="eastAsia"/>
          <w:snapToGrid/>
        </w:rPr>
        <w:t>100)</w:t>
      </w:r>
      <w:r>
        <w:rPr>
          <w:rFonts w:hint="eastAsia"/>
          <w:snapToGrid/>
        </w:rPr>
        <w:t>中提出了治理无家可归现象的若干措施。这些措施的目标包括明确社会服务部门预防有子女家庭受到驱逐和无家可归的责任。政府还建议向国家健康和福利委员会拨出更多的资源来支持治理无家可归现象的地方举措。</w:t>
      </w:r>
    </w:p>
    <w:p w:rsidR="00000000" w:rsidRDefault="00000000">
      <w:pPr>
        <w:rPr>
          <w:rFonts w:hint="eastAsia"/>
          <w:snapToGrid/>
        </w:rPr>
      </w:pPr>
      <w:r>
        <w:rPr>
          <w:rFonts w:hint="eastAsia"/>
          <w:snapToGrid/>
        </w:rPr>
        <w:tab/>
        <w:t xml:space="preserve">377.  </w:t>
      </w:r>
      <w:r>
        <w:rPr>
          <w:rFonts w:hint="eastAsia"/>
          <w:snapToGrid/>
        </w:rPr>
        <w:t>政府在</w:t>
      </w:r>
      <w:r>
        <w:rPr>
          <w:rFonts w:hint="eastAsia"/>
          <w:snapToGrid/>
        </w:rPr>
        <w:t>2005</w:t>
      </w:r>
      <w:r>
        <w:rPr>
          <w:rFonts w:hint="eastAsia"/>
          <w:snapToGrid/>
        </w:rPr>
        <w:t>年开始了一项称为“一生的合约”的三年期毒瘾护理和治疗举措。这项举措提供确定目标的毒瘾护理和治疗国家资金，以刺激各城市和行动者发展和加强毒瘾护理和治疗工作。其目标是使得患有毒瘾的人能够比较容易满足他们对于护理和治疗的需求。</w:t>
      </w:r>
      <w:r>
        <w:rPr>
          <w:rFonts w:hint="eastAsia"/>
          <w:snapToGrid/>
        </w:rPr>
        <w:t>2005</w:t>
      </w:r>
      <w:r>
        <w:rPr>
          <w:snapToGrid/>
        </w:rPr>
        <w:t>-</w:t>
      </w:r>
      <w:r>
        <w:rPr>
          <w:rFonts w:hint="eastAsia"/>
          <w:snapToGrid/>
        </w:rPr>
        <w:t>2007</w:t>
      </w:r>
      <w:r>
        <w:rPr>
          <w:rFonts w:hint="eastAsia"/>
          <w:snapToGrid/>
        </w:rPr>
        <w:t>年的政府拨款总共是</w:t>
      </w:r>
      <w:r>
        <w:rPr>
          <w:rFonts w:hint="eastAsia"/>
          <w:snapToGrid/>
        </w:rPr>
        <w:t>8.2</w:t>
      </w:r>
      <w:r>
        <w:rPr>
          <w:rFonts w:hint="eastAsia"/>
          <w:snapToGrid/>
        </w:rPr>
        <w:t>亿瑞典克朗。</w:t>
      </w:r>
    </w:p>
    <w:p w:rsidR="00000000" w:rsidRDefault="00000000">
      <w:pPr>
        <w:spacing w:after="320"/>
        <w:rPr>
          <w:rFonts w:hint="eastAsia"/>
          <w:snapToGrid/>
        </w:rPr>
      </w:pPr>
      <w:r>
        <w:rPr>
          <w:rFonts w:hint="eastAsia"/>
          <w:snapToGrid/>
        </w:rPr>
        <w:tab/>
        <w:t xml:space="preserve">378.  </w:t>
      </w:r>
      <w:r>
        <w:rPr>
          <w:rFonts w:hint="eastAsia"/>
          <w:snapToGrid/>
        </w:rPr>
        <w:t>政府还通过一项特别的精神病护理举措，在</w:t>
      </w:r>
      <w:r>
        <w:rPr>
          <w:rFonts w:hint="eastAsia"/>
          <w:snapToGrid/>
        </w:rPr>
        <w:t>2005-2006</w:t>
      </w:r>
      <w:r>
        <w:rPr>
          <w:rFonts w:hint="eastAsia"/>
          <w:snapToGrid/>
        </w:rPr>
        <w:t>年拨出总共约</w:t>
      </w:r>
      <w:r>
        <w:rPr>
          <w:rFonts w:hint="eastAsia"/>
          <w:snapToGrid/>
        </w:rPr>
        <w:t>7</w:t>
      </w:r>
      <w:r>
        <w:rPr>
          <w:rFonts w:hint="eastAsia"/>
          <w:snapToGrid/>
        </w:rPr>
        <w:t>亿瑞典克朗的款项，用于对患有智力疾病和</w:t>
      </w:r>
      <w:r>
        <w:rPr>
          <w:rFonts w:hint="eastAsia"/>
          <w:snapToGrid/>
        </w:rPr>
        <w:t>/</w:t>
      </w:r>
      <w:r>
        <w:rPr>
          <w:rFonts w:hint="eastAsia"/>
          <w:snapToGrid/>
        </w:rPr>
        <w:t>或智力残疾的人的护理、住房和有意义的职业的确定目标的投资。在这个举措的框架内，有好几个定位于患有智力疾病的无家可归者的项目正在进行中。</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12</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1</w:t>
      </w:r>
    </w:p>
    <w:p w:rsidR="00000000" w:rsidRDefault="00000000">
      <w:pPr>
        <w:rPr>
          <w:rFonts w:hint="eastAsia"/>
          <w:snapToGrid/>
        </w:rPr>
      </w:pPr>
      <w:r>
        <w:rPr>
          <w:rFonts w:hint="eastAsia"/>
          <w:snapToGrid/>
        </w:rPr>
        <w:tab/>
        <w:t xml:space="preserve">379.  </w:t>
      </w:r>
      <w:r>
        <w:rPr>
          <w:rFonts w:hint="eastAsia"/>
          <w:snapToGrid/>
        </w:rPr>
        <w:t>平均预期寿命的趋势以及好几个死亡原因的死亡率的降低，尤其是心血管疾病死亡率的剧降，表明了瑞典的公共卫生仍然在改善之中。</w:t>
      </w:r>
    </w:p>
    <w:p w:rsidR="00000000" w:rsidRDefault="00000000">
      <w:pPr>
        <w:rPr>
          <w:rFonts w:hint="eastAsia"/>
          <w:snapToGrid/>
        </w:rPr>
      </w:pPr>
      <w:r>
        <w:rPr>
          <w:rFonts w:hint="eastAsia"/>
          <w:snapToGrid/>
        </w:rPr>
        <w:tab/>
        <w:t xml:space="preserve">380.  </w:t>
      </w:r>
      <w:r>
        <w:rPr>
          <w:rFonts w:hint="eastAsia"/>
          <w:snapToGrid/>
        </w:rPr>
        <w:t>总的国家公共卫生目标是更多的人应当过长寿、健康的生活。如果以发病率、死亡率和自感健康状况共同加权的尺度对趋势进行研究，结果就会呈现更多的细微差别。从</w:t>
      </w:r>
      <w:r>
        <w:rPr>
          <w:rFonts w:hint="eastAsia"/>
          <w:snapToGrid/>
        </w:rPr>
        <w:t>20</w:t>
      </w:r>
      <w:r>
        <w:rPr>
          <w:rFonts w:hint="eastAsia"/>
          <w:snapToGrid/>
        </w:rPr>
        <w:t>世纪</w:t>
      </w:r>
      <w:r>
        <w:rPr>
          <w:rFonts w:hint="eastAsia"/>
          <w:snapToGrid/>
        </w:rPr>
        <w:t>80</w:t>
      </w:r>
      <w:r>
        <w:rPr>
          <w:rFonts w:hint="eastAsia"/>
          <w:snapToGrid/>
        </w:rPr>
        <w:t>年代以来，老人有了更大的功能性能力，他们认为自己的健康状况有了改善。在</w:t>
      </w:r>
      <w:r>
        <w:rPr>
          <w:rFonts w:hint="eastAsia"/>
          <w:snapToGrid/>
        </w:rPr>
        <w:t>1970</w:t>
      </w:r>
      <w:r>
        <w:rPr>
          <w:snapToGrid/>
        </w:rPr>
        <w:t>-</w:t>
      </w:r>
      <w:r>
        <w:rPr>
          <w:rFonts w:hint="eastAsia"/>
          <w:snapToGrid/>
        </w:rPr>
        <w:t>2003</w:t>
      </w:r>
      <w:r>
        <w:rPr>
          <w:rFonts w:hint="eastAsia"/>
          <w:snapToGrid/>
        </w:rPr>
        <w:t>年期间，平均预期寿命也提高了而没有严重的活动损害，但是同</w:t>
      </w:r>
      <w:r>
        <w:rPr>
          <w:rFonts w:hint="eastAsia"/>
          <w:snapToGrid/>
        </w:rPr>
        <w:t>20</w:t>
      </w:r>
      <w:r>
        <w:rPr>
          <w:rFonts w:hint="eastAsia"/>
          <w:snapToGrid/>
        </w:rPr>
        <w:t>世纪</w:t>
      </w:r>
      <w:r>
        <w:rPr>
          <w:rFonts w:hint="eastAsia"/>
          <w:snapToGrid/>
        </w:rPr>
        <w:t>80</w:t>
      </w:r>
      <w:r>
        <w:rPr>
          <w:rFonts w:hint="eastAsia"/>
          <w:snapToGrid/>
        </w:rPr>
        <w:t>年代初相比，生存的人中间有更多患有慢性疾病的人。</w:t>
      </w:r>
    </w:p>
    <w:p w:rsidR="00000000" w:rsidRDefault="00000000">
      <w:pPr>
        <w:rPr>
          <w:rFonts w:hint="eastAsia"/>
          <w:snapToGrid/>
        </w:rPr>
      </w:pPr>
      <w:r>
        <w:rPr>
          <w:rFonts w:hint="eastAsia"/>
          <w:snapToGrid/>
        </w:rPr>
        <w:tab/>
        <w:t xml:space="preserve">381.  </w:t>
      </w:r>
      <w:r>
        <w:rPr>
          <w:rFonts w:hint="eastAsia"/>
          <w:snapToGrid/>
        </w:rPr>
        <w:t>早逝的最大原因是心血管疾病，心血管疾病也常常引起慢性健康问题和功能损害。在</w:t>
      </w:r>
      <w:r>
        <w:rPr>
          <w:rFonts w:hint="eastAsia"/>
          <w:snapToGrid/>
        </w:rPr>
        <w:t>1987</w:t>
      </w:r>
      <w:r>
        <w:rPr>
          <w:snapToGrid/>
        </w:rPr>
        <w:t>-</w:t>
      </w:r>
      <w:r>
        <w:rPr>
          <w:rFonts w:hint="eastAsia"/>
          <w:snapToGrid/>
        </w:rPr>
        <w:t>2002</w:t>
      </w:r>
      <w:r>
        <w:rPr>
          <w:rFonts w:hint="eastAsia"/>
          <w:snapToGrid/>
        </w:rPr>
        <w:t>年期间，心血管疾病，尤其是心肌梗死的风险降低了大约</w:t>
      </w:r>
      <w:r>
        <w:rPr>
          <w:rFonts w:hint="eastAsia"/>
          <w:snapToGrid/>
        </w:rPr>
        <w:t>23%</w:t>
      </w:r>
      <w:r>
        <w:rPr>
          <w:rFonts w:hint="eastAsia"/>
          <w:snapToGrid/>
        </w:rPr>
        <w:t>，因心血管疾病而死亡的风险下降的幅度更大。这就是近年来平均预期寿命提高这么多的主要原因。男子的心血管疾病死亡率要比妇女高出一大截。</w:t>
      </w:r>
    </w:p>
    <w:p w:rsidR="00000000" w:rsidRDefault="00000000">
      <w:pPr>
        <w:rPr>
          <w:rFonts w:hint="eastAsia"/>
          <w:snapToGrid/>
        </w:rPr>
      </w:pPr>
      <w:r>
        <w:rPr>
          <w:rFonts w:hint="eastAsia"/>
          <w:snapToGrid/>
        </w:rPr>
        <w:tab/>
        <w:t xml:space="preserve">382.  </w:t>
      </w:r>
      <w:r>
        <w:rPr>
          <w:rFonts w:hint="eastAsia"/>
          <w:snapToGrid/>
        </w:rPr>
        <w:t>心血管疾病风险的降低的原因，是较好的影响健康的习惯，主要是吸烟减少以及在一定程度上饮食的改善。患有心血管疾病的人死亡风险的降低主要是由于医疗干预。</w:t>
      </w:r>
    </w:p>
    <w:p w:rsidR="00000000" w:rsidRDefault="00000000">
      <w:pPr>
        <w:rPr>
          <w:rFonts w:hint="eastAsia"/>
          <w:snapToGrid/>
        </w:rPr>
      </w:pPr>
      <w:r>
        <w:rPr>
          <w:rFonts w:hint="eastAsia"/>
          <w:snapToGrid/>
        </w:rPr>
        <w:tab/>
        <w:t xml:space="preserve">383.  </w:t>
      </w:r>
      <w:r>
        <w:rPr>
          <w:rFonts w:hint="eastAsia"/>
          <w:snapToGrid/>
        </w:rPr>
        <w:t>瑞典估计有</w:t>
      </w:r>
      <w:r>
        <w:rPr>
          <w:rFonts w:hint="eastAsia"/>
          <w:snapToGrid/>
        </w:rPr>
        <w:t>30</w:t>
      </w:r>
      <w:r>
        <w:rPr>
          <w:rFonts w:hint="eastAsia"/>
          <w:snapToGrid/>
        </w:rPr>
        <w:t>万人患有糖尿病，其中大约十分之一是</w:t>
      </w:r>
      <w:r>
        <w:rPr>
          <w:rFonts w:hint="eastAsia"/>
          <w:snapToGrid/>
        </w:rPr>
        <w:t>1</w:t>
      </w:r>
      <w:r>
        <w:rPr>
          <w:rFonts w:hint="eastAsia"/>
          <w:snapToGrid/>
        </w:rPr>
        <w:t>型糖尿病。成人中糖尿病患者的百分比有微弱增加，但是，尽管诊断时</w:t>
      </w:r>
      <w:r>
        <w:rPr>
          <w:rFonts w:hint="eastAsia"/>
          <w:snapToGrid/>
        </w:rPr>
        <w:t>BMI(</w:t>
      </w:r>
      <w:r>
        <w:rPr>
          <w:rFonts w:hint="eastAsia"/>
          <w:snapToGrid/>
        </w:rPr>
        <w:t>身体质量指数</w:t>
      </w:r>
      <w:r>
        <w:rPr>
          <w:rFonts w:hint="eastAsia"/>
          <w:snapToGrid/>
        </w:rPr>
        <w:t>)</w:t>
      </w:r>
      <w:r>
        <w:rPr>
          <w:rFonts w:hint="eastAsia"/>
          <w:snapToGrid/>
        </w:rPr>
        <w:t>提高了，但糖尿病的发病率并没有增加。</w:t>
      </w:r>
      <w:r>
        <w:rPr>
          <w:rFonts w:hint="eastAsia"/>
          <w:snapToGrid/>
        </w:rPr>
        <w:t>1980</w:t>
      </w:r>
      <w:r>
        <w:rPr>
          <w:rFonts w:hint="eastAsia"/>
          <w:snapToGrid/>
        </w:rPr>
        <w:t>年以来，妇女的糖尿病死亡率下降了</w:t>
      </w:r>
      <w:r>
        <w:rPr>
          <w:rFonts w:hint="eastAsia"/>
          <w:snapToGrid/>
        </w:rPr>
        <w:t>28%</w:t>
      </w:r>
      <w:r>
        <w:rPr>
          <w:rFonts w:hint="eastAsia"/>
          <w:snapToGrid/>
        </w:rPr>
        <w:t>，但男子却保持不变。对于高胆固醇和高血压的积极预防治疗以及对糖尿病更好的治疗是对于死亡率下降、越来越多的人带着糖尿病成功地活着的可能解释。从</w:t>
      </w:r>
      <w:r>
        <w:rPr>
          <w:rFonts w:hint="eastAsia"/>
          <w:snapToGrid/>
        </w:rPr>
        <w:t>20</w:t>
      </w:r>
      <w:r>
        <w:rPr>
          <w:rFonts w:hint="eastAsia"/>
          <w:snapToGrid/>
        </w:rPr>
        <w:t>世纪</w:t>
      </w:r>
      <w:r>
        <w:rPr>
          <w:rFonts w:hint="eastAsia"/>
          <w:snapToGrid/>
        </w:rPr>
        <w:t>80</w:t>
      </w:r>
      <w:r>
        <w:rPr>
          <w:rFonts w:hint="eastAsia"/>
          <w:snapToGrid/>
        </w:rPr>
        <w:t>年代初以来，</w:t>
      </w:r>
      <w:r>
        <w:rPr>
          <w:rFonts w:hint="eastAsia"/>
          <w:snapToGrid/>
        </w:rPr>
        <w:t>1</w:t>
      </w:r>
      <w:r>
        <w:rPr>
          <w:rFonts w:hint="eastAsia"/>
          <w:snapToGrid/>
        </w:rPr>
        <w:t>型糖尿病的发病率增加了，特别是在最年轻的年龄段中，但是青年成人的发病率似乎在下降。</w:t>
      </w:r>
    </w:p>
    <w:p w:rsidR="00000000" w:rsidRDefault="00000000">
      <w:pPr>
        <w:rPr>
          <w:rFonts w:hint="eastAsia"/>
          <w:snapToGrid/>
        </w:rPr>
      </w:pPr>
      <w:r>
        <w:rPr>
          <w:rFonts w:hint="eastAsia"/>
          <w:snapToGrid/>
        </w:rPr>
        <w:tab/>
        <w:t xml:space="preserve">384.  </w:t>
      </w:r>
      <w:r>
        <w:rPr>
          <w:rFonts w:hint="eastAsia"/>
          <w:snapToGrid/>
        </w:rPr>
        <w:t>在瑞典，</w:t>
      </w:r>
      <w:r>
        <w:rPr>
          <w:rFonts w:hint="eastAsia"/>
          <w:snapToGrid/>
        </w:rPr>
        <w:t>16-74</w:t>
      </w:r>
      <w:r>
        <w:rPr>
          <w:rFonts w:hint="eastAsia"/>
          <w:snapToGrid/>
        </w:rPr>
        <w:t>岁的人中间，有一半以上的男子和略高于三分之一的妇女超重或肥胖。略低于</w:t>
      </w:r>
      <w:r>
        <w:rPr>
          <w:rFonts w:hint="eastAsia"/>
          <w:snapToGrid/>
        </w:rPr>
        <w:t>10%</w:t>
      </w:r>
      <w:r>
        <w:rPr>
          <w:rFonts w:hint="eastAsia"/>
          <w:snapToGrid/>
        </w:rPr>
        <w:t>的男子和妇女患有肥胖症。在所有年龄段中，超重的人的百分比在上升，其中包括学龄儿童。肥胖的人的百分比在</w:t>
      </w:r>
      <w:r>
        <w:rPr>
          <w:rFonts w:hint="eastAsia"/>
          <w:snapToGrid/>
        </w:rPr>
        <w:t>20</w:t>
      </w:r>
      <w:r>
        <w:rPr>
          <w:rFonts w:hint="eastAsia"/>
          <w:snapToGrid/>
        </w:rPr>
        <w:t>世纪</w:t>
      </w:r>
      <w:r>
        <w:rPr>
          <w:rFonts w:hint="eastAsia"/>
          <w:snapToGrid/>
        </w:rPr>
        <w:t>90</w:t>
      </w:r>
      <w:r>
        <w:rPr>
          <w:rFonts w:hint="eastAsia"/>
          <w:snapToGrid/>
        </w:rPr>
        <w:t>年代激增，但是增加额似乎在</w:t>
      </w:r>
      <w:r>
        <w:rPr>
          <w:rFonts w:hint="eastAsia"/>
          <w:snapToGrid/>
        </w:rPr>
        <w:t>2002</w:t>
      </w:r>
      <w:r>
        <w:rPr>
          <w:snapToGrid/>
        </w:rPr>
        <w:t>-</w:t>
      </w:r>
      <w:r>
        <w:rPr>
          <w:rFonts w:hint="eastAsia"/>
          <w:snapToGrid/>
        </w:rPr>
        <w:t>2004</w:t>
      </w:r>
      <w:r>
        <w:rPr>
          <w:rFonts w:hint="eastAsia"/>
          <w:snapToGrid/>
        </w:rPr>
        <w:t>年之间达到平稳。</w:t>
      </w:r>
    </w:p>
    <w:p w:rsidR="00000000" w:rsidRDefault="00000000">
      <w:pPr>
        <w:rPr>
          <w:rFonts w:hint="eastAsia"/>
          <w:snapToGrid/>
        </w:rPr>
      </w:pPr>
      <w:r>
        <w:rPr>
          <w:rFonts w:hint="eastAsia"/>
          <w:snapToGrid/>
        </w:rPr>
        <w:tab/>
        <w:t xml:space="preserve">385.  </w:t>
      </w:r>
      <w:r>
        <w:rPr>
          <w:rFonts w:hint="eastAsia"/>
          <w:snapToGrid/>
        </w:rPr>
        <w:t>从</w:t>
      </w:r>
      <w:r>
        <w:rPr>
          <w:rFonts w:hint="eastAsia"/>
          <w:snapToGrid/>
        </w:rPr>
        <w:t>20</w:t>
      </w:r>
      <w:r>
        <w:rPr>
          <w:rFonts w:hint="eastAsia"/>
          <w:snapToGrid/>
        </w:rPr>
        <w:t>世纪</w:t>
      </w:r>
      <w:r>
        <w:rPr>
          <w:rFonts w:hint="eastAsia"/>
          <w:snapToGrid/>
        </w:rPr>
        <w:t>80</w:t>
      </w:r>
      <w:r>
        <w:rPr>
          <w:rFonts w:hint="eastAsia"/>
          <w:snapToGrid/>
        </w:rPr>
        <w:t>年代初以来，在所有社会经济群体和各种教育程度群体的人中，超重的人的百分比都在上升。在肥胖症的发病率方面，男子和妇女的社会差别都有一些增加，因为肥胖症患者的百分比在教育程度较低的人中间比在教育程度较高的人中间高。</w:t>
      </w:r>
    </w:p>
    <w:p w:rsidR="00000000" w:rsidRDefault="00000000">
      <w:pPr>
        <w:rPr>
          <w:rFonts w:hint="eastAsia"/>
          <w:snapToGrid/>
        </w:rPr>
      </w:pPr>
      <w:r>
        <w:rPr>
          <w:rFonts w:hint="eastAsia"/>
          <w:snapToGrid/>
        </w:rPr>
        <w:tab/>
        <w:t xml:space="preserve">386.  </w:t>
      </w:r>
      <w:r>
        <w:rPr>
          <w:rFonts w:hint="eastAsia"/>
          <w:snapToGrid/>
        </w:rPr>
        <w:t>继</w:t>
      </w:r>
      <w:r>
        <w:rPr>
          <w:rFonts w:hint="eastAsia"/>
          <w:snapToGrid/>
        </w:rPr>
        <w:t>20</w:t>
      </w:r>
      <w:r>
        <w:rPr>
          <w:rFonts w:hint="eastAsia"/>
          <w:snapToGrid/>
        </w:rPr>
        <w:t>世纪</w:t>
      </w:r>
      <w:r>
        <w:rPr>
          <w:rFonts w:hint="eastAsia"/>
          <w:snapToGrid/>
        </w:rPr>
        <w:t>80</w:t>
      </w:r>
      <w:r>
        <w:rPr>
          <w:rFonts w:hint="eastAsia"/>
          <w:snapToGrid/>
        </w:rPr>
        <w:t>年代经济滑坡以后，报告说他们感到焦虑或烦扰的人的百分比从</w:t>
      </w:r>
      <w:r>
        <w:rPr>
          <w:rFonts w:hint="eastAsia"/>
          <w:snapToGrid/>
        </w:rPr>
        <w:t>20</w:t>
      </w:r>
      <w:r>
        <w:rPr>
          <w:rFonts w:hint="eastAsia"/>
          <w:snapToGrid/>
        </w:rPr>
        <w:t>世纪</w:t>
      </w:r>
      <w:r>
        <w:rPr>
          <w:rFonts w:hint="eastAsia"/>
          <w:snapToGrid/>
        </w:rPr>
        <w:t>90</w:t>
      </w:r>
      <w:r>
        <w:rPr>
          <w:rFonts w:hint="eastAsia"/>
          <w:snapToGrid/>
        </w:rPr>
        <w:t>年代初以来增多了。这种增多普遍适用于除了老年妇女之外的所有人口，而老年妇女在这方面的百分比从</w:t>
      </w:r>
      <w:r>
        <w:rPr>
          <w:rFonts w:hint="eastAsia"/>
          <w:snapToGrid/>
        </w:rPr>
        <w:t>20</w:t>
      </w:r>
      <w:r>
        <w:rPr>
          <w:rFonts w:hint="eastAsia"/>
          <w:snapToGrid/>
        </w:rPr>
        <w:t>世纪</w:t>
      </w:r>
      <w:r>
        <w:rPr>
          <w:rFonts w:hint="eastAsia"/>
          <w:snapToGrid/>
        </w:rPr>
        <w:t>80</w:t>
      </w:r>
      <w:r>
        <w:rPr>
          <w:rFonts w:hint="eastAsia"/>
          <w:snapToGrid/>
        </w:rPr>
        <w:t>年代以来始终处于高水平。在</w:t>
      </w:r>
      <w:r>
        <w:rPr>
          <w:rFonts w:hint="eastAsia"/>
          <w:snapToGrid/>
        </w:rPr>
        <w:t>2002</w:t>
      </w:r>
      <w:r>
        <w:rPr>
          <w:rFonts w:hint="eastAsia"/>
          <w:snapToGrid/>
        </w:rPr>
        <w:t>和</w:t>
      </w:r>
      <w:r>
        <w:rPr>
          <w:rFonts w:hint="eastAsia"/>
          <w:snapToGrid/>
        </w:rPr>
        <w:t>2003</w:t>
      </w:r>
      <w:r>
        <w:rPr>
          <w:rFonts w:hint="eastAsia"/>
          <w:snapToGrid/>
        </w:rPr>
        <w:t>年，有</w:t>
      </w:r>
      <w:r>
        <w:rPr>
          <w:rFonts w:hint="eastAsia"/>
          <w:snapToGrid/>
        </w:rPr>
        <w:t>25%</w:t>
      </w:r>
      <w:r>
        <w:rPr>
          <w:rFonts w:hint="eastAsia"/>
          <w:snapToGrid/>
        </w:rPr>
        <w:t>的妇女和</w:t>
      </w:r>
      <w:r>
        <w:rPr>
          <w:rFonts w:hint="eastAsia"/>
          <w:snapToGrid/>
        </w:rPr>
        <w:t>15%</w:t>
      </w:r>
      <w:r>
        <w:rPr>
          <w:rFonts w:hint="eastAsia"/>
          <w:snapToGrid/>
        </w:rPr>
        <w:t>的男子报告说有这个问题。然而，最近的</w:t>
      </w:r>
      <w:r>
        <w:rPr>
          <w:rFonts w:hint="eastAsia"/>
          <w:snapToGrid/>
        </w:rPr>
        <w:t>2004</w:t>
      </w:r>
      <w:r>
        <w:rPr>
          <w:rFonts w:hint="eastAsia"/>
          <w:snapToGrid/>
        </w:rPr>
        <w:t>年的数据显示，与</w:t>
      </w:r>
      <w:r>
        <w:rPr>
          <w:rFonts w:hint="eastAsia"/>
          <w:snapToGrid/>
        </w:rPr>
        <w:t>2002</w:t>
      </w:r>
      <w:r>
        <w:rPr>
          <w:snapToGrid/>
        </w:rPr>
        <w:t>-</w:t>
      </w:r>
      <w:r>
        <w:rPr>
          <w:rFonts w:hint="eastAsia"/>
          <w:snapToGrid/>
        </w:rPr>
        <w:t>2003</w:t>
      </w:r>
      <w:r>
        <w:rPr>
          <w:rFonts w:hint="eastAsia"/>
          <w:snapToGrid/>
        </w:rPr>
        <w:t>年期间相比，目前报告有严重焦虑或烦扰症状的人的百分比减少了。现在要断言这是否代表着一种趋势的逆转还为时过早。</w:t>
      </w:r>
    </w:p>
    <w:p w:rsidR="00000000" w:rsidRDefault="00000000">
      <w:pPr>
        <w:rPr>
          <w:rFonts w:hint="eastAsia"/>
          <w:snapToGrid/>
        </w:rPr>
      </w:pPr>
      <w:r>
        <w:rPr>
          <w:rFonts w:hint="eastAsia"/>
          <w:snapToGrid/>
        </w:rPr>
        <w:tab/>
        <w:t xml:space="preserve">387.  </w:t>
      </w:r>
      <w:r>
        <w:rPr>
          <w:rFonts w:hint="eastAsia"/>
          <w:snapToGrid/>
        </w:rPr>
        <w:t>在智力健康方面，不同社会经济群体之间的差别十分巨大。失业或领取疾病补贴或活动补贴的人，单亲以及在外国出生的人，智力健康不佳的要大大超过平均数。</w:t>
      </w:r>
    </w:p>
    <w:p w:rsidR="00000000" w:rsidRDefault="00000000">
      <w:pPr>
        <w:rPr>
          <w:rFonts w:hint="eastAsia"/>
          <w:snapToGrid/>
        </w:rPr>
      </w:pPr>
      <w:r>
        <w:rPr>
          <w:rFonts w:hint="eastAsia"/>
          <w:snapToGrid/>
        </w:rPr>
        <w:tab/>
        <w:t xml:space="preserve">388.  </w:t>
      </w:r>
      <w:r>
        <w:rPr>
          <w:rFonts w:hint="eastAsia"/>
          <w:snapToGrid/>
        </w:rPr>
        <w:t>智力健康不佳是自杀的一个重要的风险因素。自从</w:t>
      </w:r>
      <w:r>
        <w:rPr>
          <w:rFonts w:hint="eastAsia"/>
          <w:snapToGrid/>
        </w:rPr>
        <w:t>20</w:t>
      </w:r>
      <w:r>
        <w:rPr>
          <w:rFonts w:hint="eastAsia"/>
          <w:snapToGrid/>
        </w:rPr>
        <w:t>世纪</w:t>
      </w:r>
      <w:r>
        <w:rPr>
          <w:rFonts w:hint="eastAsia"/>
          <w:snapToGrid/>
        </w:rPr>
        <w:t>70</w:t>
      </w:r>
      <w:r>
        <w:rPr>
          <w:rFonts w:hint="eastAsia"/>
          <w:snapToGrid/>
        </w:rPr>
        <w:t>年代以来，自杀率有显著下降。</w:t>
      </w:r>
      <w:r>
        <w:rPr>
          <w:rFonts w:hint="eastAsia"/>
          <w:snapToGrid/>
        </w:rPr>
        <w:t>1987</w:t>
      </w:r>
      <w:r>
        <w:rPr>
          <w:rFonts w:hint="eastAsia"/>
          <w:snapToGrid/>
        </w:rPr>
        <w:t>年和</w:t>
      </w:r>
      <w:r>
        <w:rPr>
          <w:rFonts w:hint="eastAsia"/>
          <w:snapToGrid/>
        </w:rPr>
        <w:t>2002</w:t>
      </w:r>
      <w:r>
        <w:rPr>
          <w:rFonts w:hint="eastAsia"/>
          <w:snapToGrid/>
        </w:rPr>
        <w:t>年之间，自杀死亡的数量无论男女都减少了三分之一，但是</w:t>
      </w:r>
      <w:r>
        <w:rPr>
          <w:rFonts w:hint="eastAsia"/>
          <w:snapToGrid/>
        </w:rPr>
        <w:t>1998</w:t>
      </w:r>
      <w:r>
        <w:rPr>
          <w:rFonts w:hint="eastAsia"/>
          <w:snapToGrid/>
        </w:rPr>
        <w:t>年以来，</w:t>
      </w:r>
      <w:r>
        <w:rPr>
          <w:rFonts w:hint="eastAsia"/>
          <w:snapToGrid/>
        </w:rPr>
        <w:t>15-24</w:t>
      </w:r>
      <w:r>
        <w:rPr>
          <w:rFonts w:hint="eastAsia"/>
          <w:snapToGrid/>
        </w:rPr>
        <w:t>岁的青年人略有上升的趋势。自杀在男子中比较常见。</w:t>
      </w:r>
      <w:r>
        <w:rPr>
          <w:rFonts w:hint="eastAsia"/>
          <w:snapToGrid/>
        </w:rPr>
        <w:t>1998</w:t>
      </w:r>
      <w:r>
        <w:rPr>
          <w:rFonts w:hint="eastAsia"/>
          <w:snapToGrid/>
        </w:rPr>
        <w:t>年，自杀的男子是自杀的妇女的三倍，但是自杀未遂的情况妇女更多一些。</w:t>
      </w:r>
    </w:p>
    <w:p w:rsidR="00000000" w:rsidRDefault="00000000">
      <w:pPr>
        <w:rPr>
          <w:rFonts w:hint="eastAsia"/>
          <w:snapToGrid/>
        </w:rPr>
      </w:pPr>
      <w:r>
        <w:rPr>
          <w:rFonts w:hint="eastAsia"/>
          <w:snapToGrid/>
        </w:rPr>
        <w:tab/>
        <w:t xml:space="preserve">389.  </w:t>
      </w:r>
      <w:r>
        <w:rPr>
          <w:rFonts w:hint="eastAsia"/>
          <w:snapToGrid/>
        </w:rPr>
        <w:t>根据瑞典统计局所做的生活状况研究，</w:t>
      </w:r>
      <w:r>
        <w:rPr>
          <w:rFonts w:hint="eastAsia"/>
          <w:snapToGrid/>
        </w:rPr>
        <w:t>2002</w:t>
      </w:r>
      <w:r>
        <w:rPr>
          <w:rFonts w:hint="eastAsia"/>
          <w:snapToGrid/>
        </w:rPr>
        <w:t>年和</w:t>
      </w:r>
      <w:r>
        <w:rPr>
          <w:rFonts w:hint="eastAsia"/>
          <w:snapToGrid/>
        </w:rPr>
        <w:t>2003</w:t>
      </w:r>
      <w:r>
        <w:rPr>
          <w:rFonts w:hint="eastAsia"/>
          <w:snapToGrid/>
        </w:rPr>
        <w:t>年，</w:t>
      </w:r>
      <w:r>
        <w:rPr>
          <w:rFonts w:hint="eastAsia"/>
          <w:snapToGrid/>
        </w:rPr>
        <w:t>16-84</w:t>
      </w:r>
      <w:r>
        <w:rPr>
          <w:rFonts w:hint="eastAsia"/>
          <w:snapToGrid/>
        </w:rPr>
        <w:t>岁的妇女和男子中有</w:t>
      </w:r>
      <w:r>
        <w:rPr>
          <w:rFonts w:hint="eastAsia"/>
          <w:snapToGrid/>
        </w:rPr>
        <w:t>8%</w:t>
      </w:r>
      <w:r>
        <w:rPr>
          <w:rFonts w:hint="eastAsia"/>
          <w:snapToGrid/>
        </w:rPr>
        <w:t>报告说，他们至少有一次成为暴力或威胁的受害人。成为暴力或威胁的受害人的妇女和男子的百分比第一次相等。</w:t>
      </w:r>
    </w:p>
    <w:p w:rsidR="00000000" w:rsidRDefault="00000000">
      <w:pPr>
        <w:rPr>
          <w:rFonts w:hint="eastAsia"/>
          <w:snapToGrid/>
        </w:rPr>
      </w:pPr>
      <w:r>
        <w:rPr>
          <w:rFonts w:hint="eastAsia"/>
          <w:snapToGrid/>
        </w:rPr>
        <w:tab/>
        <w:t xml:space="preserve">390.  </w:t>
      </w:r>
      <w:r>
        <w:rPr>
          <w:rFonts w:hint="eastAsia"/>
          <w:snapToGrid/>
        </w:rPr>
        <w:t>每年有大约</w:t>
      </w:r>
      <w:r>
        <w:rPr>
          <w:rFonts w:hint="eastAsia"/>
          <w:snapToGrid/>
        </w:rPr>
        <w:t>100</w:t>
      </w:r>
      <w:r>
        <w:rPr>
          <w:rFonts w:hint="eastAsia"/>
          <w:snapToGrid/>
        </w:rPr>
        <w:t>人死于暴力的后果：在</w:t>
      </w:r>
      <w:r>
        <w:rPr>
          <w:rFonts w:hint="eastAsia"/>
          <w:snapToGrid/>
        </w:rPr>
        <w:t>2002</w:t>
      </w:r>
      <w:r>
        <w:rPr>
          <w:rFonts w:hint="eastAsia"/>
          <w:snapToGrid/>
        </w:rPr>
        <w:t>年，男子是</w:t>
      </w:r>
      <w:r>
        <w:rPr>
          <w:rFonts w:hint="eastAsia"/>
          <w:snapToGrid/>
        </w:rPr>
        <w:t>66</w:t>
      </w:r>
      <w:r>
        <w:rPr>
          <w:rFonts w:hint="eastAsia"/>
          <w:snapToGrid/>
        </w:rPr>
        <w:t>人，妇女是</w:t>
      </w:r>
      <w:r>
        <w:rPr>
          <w:rFonts w:hint="eastAsia"/>
          <w:snapToGrid/>
        </w:rPr>
        <w:t>37</w:t>
      </w:r>
      <w:r>
        <w:rPr>
          <w:rFonts w:hint="eastAsia"/>
          <w:snapToGrid/>
        </w:rPr>
        <w:t>人。近</w:t>
      </w:r>
      <w:r>
        <w:rPr>
          <w:rFonts w:hint="eastAsia"/>
          <w:snapToGrid/>
        </w:rPr>
        <w:t>30</w:t>
      </w:r>
      <w:r>
        <w:rPr>
          <w:rFonts w:hint="eastAsia"/>
          <w:snapToGrid/>
        </w:rPr>
        <w:t>年来，致死的暴力的发生率基本上保持同样水平。受到致死暴力侵害的儿童人数减少了；目前，大约</w:t>
      </w:r>
      <w:r>
        <w:rPr>
          <w:rFonts w:hint="eastAsia"/>
          <w:snapToGrid/>
        </w:rPr>
        <w:t>7%</w:t>
      </w:r>
      <w:r>
        <w:rPr>
          <w:rFonts w:hint="eastAsia"/>
          <w:snapToGrid/>
        </w:rPr>
        <w:t>致死暴力的受害人是儿童。</w:t>
      </w:r>
    </w:p>
    <w:p w:rsidR="00000000" w:rsidRDefault="00000000">
      <w:pPr>
        <w:rPr>
          <w:rFonts w:hint="eastAsia"/>
          <w:snapToGrid/>
        </w:rPr>
      </w:pPr>
      <w:r>
        <w:rPr>
          <w:rFonts w:hint="eastAsia"/>
          <w:snapToGrid/>
        </w:rPr>
        <w:tab/>
        <w:t xml:space="preserve">391.  </w:t>
      </w:r>
      <w:r>
        <w:rPr>
          <w:rFonts w:hint="eastAsia"/>
          <w:snapToGrid/>
        </w:rPr>
        <w:t>传染病一度是占据主要地位的死亡原因，但是现在已经大幅度下降。不过，抗药性细菌和对于抗生素的抗耐力使得对于传染病的治疗变得更加困难。旅客们从世界上其他地方带来的抗药性细菌持续不断地涌入。有些病例是无法治疗的抗药性肺结核构成了一个特别的问题。在</w:t>
      </w:r>
      <w:r>
        <w:rPr>
          <w:rFonts w:hint="eastAsia"/>
          <w:snapToGrid/>
        </w:rPr>
        <w:t>20</w:t>
      </w:r>
      <w:r>
        <w:rPr>
          <w:rFonts w:hint="eastAsia"/>
          <w:snapToGrid/>
        </w:rPr>
        <w:t>世纪</w:t>
      </w:r>
      <w:r>
        <w:rPr>
          <w:rFonts w:hint="eastAsia"/>
          <w:snapToGrid/>
        </w:rPr>
        <w:t>90</w:t>
      </w:r>
      <w:r>
        <w:rPr>
          <w:rFonts w:hint="eastAsia"/>
          <w:snapToGrid/>
        </w:rPr>
        <w:t>年代末曾有过幼儿防疫接种覆盖面缩小的记录，但现在这个趋势已经扭转。</w:t>
      </w:r>
    </w:p>
    <w:p w:rsidR="00000000" w:rsidRDefault="00000000">
      <w:pPr>
        <w:rPr>
          <w:rFonts w:hint="eastAsia"/>
          <w:snapToGrid/>
        </w:rPr>
      </w:pPr>
      <w:r>
        <w:rPr>
          <w:rFonts w:hint="eastAsia"/>
          <w:snapToGrid/>
        </w:rPr>
        <w:tab/>
        <w:t xml:space="preserve">392.  </w:t>
      </w:r>
      <w:r>
        <w:rPr>
          <w:rFonts w:hint="eastAsia"/>
          <w:snapToGrid/>
        </w:rPr>
        <w:t>性传播疾病的发病率再次处于上升趋势。衣原体症是目前瑞典最常见的性传播疾病。艾滋病毒和梅毒目前在瑞典是相对有限的问题，但是发病率的增加可能表示需要作出预防的努力。</w:t>
      </w:r>
    </w:p>
    <w:p w:rsidR="00000000" w:rsidRDefault="00000000">
      <w:pPr>
        <w:rPr>
          <w:rFonts w:hint="eastAsia"/>
          <w:snapToGrid/>
        </w:rPr>
      </w:pPr>
      <w:r>
        <w:rPr>
          <w:rFonts w:hint="eastAsia"/>
          <w:snapToGrid/>
        </w:rPr>
        <w:tab/>
        <w:t xml:space="preserve">393.  </w:t>
      </w:r>
      <w:r>
        <w:rPr>
          <w:rFonts w:hint="eastAsia"/>
          <w:snapToGrid/>
        </w:rPr>
        <w:t>在</w:t>
      </w:r>
      <w:r>
        <w:rPr>
          <w:rFonts w:hint="eastAsia"/>
          <w:snapToGrid/>
        </w:rPr>
        <w:t>1985</w:t>
      </w:r>
      <w:r>
        <w:rPr>
          <w:snapToGrid/>
        </w:rPr>
        <w:t>-</w:t>
      </w:r>
      <w:r>
        <w:rPr>
          <w:rFonts w:hint="eastAsia"/>
          <w:snapToGrid/>
        </w:rPr>
        <w:t>2000</w:t>
      </w:r>
      <w:r>
        <w:rPr>
          <w:rFonts w:hint="eastAsia"/>
          <w:snapToGrid/>
        </w:rPr>
        <w:t>年期间，无龋齿的儿童和青年人的百分比不断提高，但是在</w:t>
      </w:r>
      <w:r>
        <w:rPr>
          <w:rFonts w:hint="eastAsia"/>
          <w:snapToGrid/>
        </w:rPr>
        <w:t>2001</w:t>
      </w:r>
      <w:r>
        <w:rPr>
          <w:snapToGrid/>
        </w:rPr>
        <w:t>-</w:t>
      </w:r>
      <w:r>
        <w:rPr>
          <w:rFonts w:hint="eastAsia"/>
          <w:snapToGrid/>
        </w:rPr>
        <w:t>2002</w:t>
      </w:r>
      <w:r>
        <w:rPr>
          <w:rFonts w:hint="eastAsia"/>
          <w:snapToGrid/>
        </w:rPr>
        <w:t>年期间第一次记录到无继续改善的情况，在</w:t>
      </w:r>
      <w:r>
        <w:rPr>
          <w:rFonts w:hint="eastAsia"/>
          <w:snapToGrid/>
        </w:rPr>
        <w:t>12</w:t>
      </w:r>
      <w:r>
        <w:rPr>
          <w:rFonts w:hint="eastAsia"/>
          <w:snapToGrid/>
        </w:rPr>
        <w:t>岁儿童中甚至发现稍有下降。成人中有全口真牙的百分比继续上升，但是牙科保健方面的社会差距仍然可观，而且没有显示出缩小的趋势。</w:t>
      </w:r>
    </w:p>
    <w:p w:rsidR="00000000" w:rsidRDefault="00000000">
      <w:pPr>
        <w:rPr>
          <w:rFonts w:hint="eastAsia"/>
          <w:snapToGrid/>
        </w:rPr>
      </w:pPr>
      <w:r>
        <w:rPr>
          <w:rFonts w:hint="eastAsia"/>
          <w:snapToGrid/>
        </w:rPr>
        <w:tab/>
        <w:t xml:space="preserve">394.  </w:t>
      </w:r>
      <w:r>
        <w:rPr>
          <w:rFonts w:hint="eastAsia"/>
          <w:snapToGrid/>
        </w:rPr>
        <w:t>瑞典生殖保健做得十分出色。经过</w:t>
      </w:r>
      <w:r>
        <w:rPr>
          <w:rFonts w:hint="eastAsia"/>
          <w:snapToGrid/>
        </w:rPr>
        <w:t>20</w:t>
      </w:r>
      <w:r>
        <w:rPr>
          <w:rFonts w:hint="eastAsia"/>
          <w:snapToGrid/>
        </w:rPr>
        <w:t>世纪</w:t>
      </w:r>
      <w:r>
        <w:rPr>
          <w:rFonts w:hint="eastAsia"/>
          <w:snapToGrid/>
        </w:rPr>
        <w:t>90</w:t>
      </w:r>
      <w:r>
        <w:rPr>
          <w:rFonts w:hint="eastAsia"/>
          <w:snapToGrid/>
        </w:rPr>
        <w:t>年代末的间歇之后，出生率再度上升。尽管出生率有波动，但是一名妇女一生中的平均生育次数在整个</w:t>
      </w:r>
      <w:r>
        <w:rPr>
          <w:rFonts w:hint="eastAsia"/>
          <w:snapToGrid/>
        </w:rPr>
        <w:t>20</w:t>
      </w:r>
      <w:r>
        <w:rPr>
          <w:rFonts w:hint="eastAsia"/>
          <w:snapToGrid/>
        </w:rPr>
        <w:t>世纪保持稳定在</w:t>
      </w:r>
      <w:r>
        <w:rPr>
          <w:rFonts w:hint="eastAsia"/>
          <w:snapToGrid/>
        </w:rPr>
        <w:t>2</w:t>
      </w:r>
      <w:r>
        <w:rPr>
          <w:rFonts w:hint="eastAsia"/>
          <w:snapToGrid/>
        </w:rPr>
        <w:t>次。青年人在保护他们避免不想要的怀孕方面比防止性传播疾病做得好。性传播的感染是不育的最常见原因。在瑞典，怀孕和出生的结果是良好的。</w:t>
      </w:r>
    </w:p>
    <w:p w:rsidR="00000000" w:rsidRDefault="00000000">
      <w:pPr>
        <w:rPr>
          <w:rFonts w:hint="eastAsia"/>
          <w:snapToGrid/>
        </w:rPr>
      </w:pPr>
      <w:r>
        <w:rPr>
          <w:rFonts w:hint="eastAsia"/>
          <w:snapToGrid/>
        </w:rPr>
        <w:tab/>
        <w:t xml:space="preserve">395.  </w:t>
      </w:r>
      <w:r>
        <w:rPr>
          <w:rFonts w:hint="eastAsia"/>
          <w:snapToGrid/>
        </w:rPr>
        <w:t>与国际上相比，瑞典的儿童和青年人的健康状况极好。在欧洲各国进行的定性研究中，瑞典的儿童和青年人看来最健康，最满意他们的生活。尽管如此，诸如肚子痛、头疼和睡眠不宁等身心症状的发病率有了增加。瑞典儿童在与环境有关的健康状况方面通常良好，不过过敏症是一个重大问题。今天的儿童和青年人暴露于引起听力损害的噪音的程度是史无前例的。</w:t>
      </w:r>
    </w:p>
    <w:p w:rsidR="00000000" w:rsidRDefault="00000000">
      <w:pPr>
        <w:rPr>
          <w:rFonts w:hint="eastAsia"/>
          <w:snapToGrid/>
        </w:rPr>
      </w:pPr>
      <w:r>
        <w:rPr>
          <w:rFonts w:hint="eastAsia"/>
          <w:snapToGrid/>
        </w:rPr>
        <w:tab/>
        <w:t xml:space="preserve">396.  </w:t>
      </w:r>
      <w:r>
        <w:rPr>
          <w:rFonts w:hint="eastAsia"/>
          <w:snapToGrid/>
        </w:rPr>
        <w:t>老年人口中大多数人相对健康。老人们还认为，从</w:t>
      </w:r>
      <w:r>
        <w:rPr>
          <w:rFonts w:hint="eastAsia"/>
          <w:snapToGrid/>
        </w:rPr>
        <w:t>20</w:t>
      </w:r>
      <w:r>
        <w:rPr>
          <w:rFonts w:hint="eastAsia"/>
          <w:snapToGrid/>
        </w:rPr>
        <w:t>世纪</w:t>
      </w:r>
      <w:r>
        <w:rPr>
          <w:rFonts w:hint="eastAsia"/>
          <w:snapToGrid/>
        </w:rPr>
        <w:t>80</w:t>
      </w:r>
      <w:r>
        <w:rPr>
          <w:rFonts w:hint="eastAsia"/>
          <w:snapToGrid/>
        </w:rPr>
        <w:t>年代末以来，他们的健康状况有了改善。</w:t>
      </w:r>
    </w:p>
    <w:p w:rsidR="00000000" w:rsidRDefault="00000000">
      <w:pPr>
        <w:rPr>
          <w:rFonts w:hint="eastAsia"/>
          <w:snapToGrid/>
        </w:rPr>
      </w:pPr>
      <w:r>
        <w:rPr>
          <w:rFonts w:hint="eastAsia"/>
          <w:snapToGrid/>
        </w:rPr>
        <w:tab/>
        <w:t xml:space="preserve">397.  </w:t>
      </w:r>
      <w:r>
        <w:rPr>
          <w:rFonts w:hint="eastAsia"/>
          <w:snapToGrid/>
        </w:rPr>
        <w:t>从</w:t>
      </w:r>
      <w:r>
        <w:rPr>
          <w:rFonts w:hint="eastAsia"/>
          <w:snapToGrid/>
        </w:rPr>
        <w:t>20</w:t>
      </w:r>
      <w:r>
        <w:rPr>
          <w:rFonts w:hint="eastAsia"/>
          <w:snapToGrid/>
        </w:rPr>
        <w:t>世纪</w:t>
      </w:r>
      <w:r>
        <w:rPr>
          <w:rFonts w:hint="eastAsia"/>
          <w:snapToGrid/>
        </w:rPr>
        <w:t>80</w:t>
      </w:r>
      <w:r>
        <w:rPr>
          <w:rFonts w:hint="eastAsia"/>
          <w:snapToGrid/>
        </w:rPr>
        <w:t>年代初以来，在男子和妇女以及所有社会经济群体中，吸烟率下降了。男子的吸烟率比妇女下降得快，但是外国出生的男子中吸烟的百分比比瑞典出生的男子要高得多。近年来，社会差距变得更加显著了。在领取疾病补贴和活动补贴的人以及长期失业的人中间，吸烟的百分比最高。</w:t>
      </w:r>
    </w:p>
    <w:p w:rsidR="00000000" w:rsidRDefault="00000000">
      <w:pPr>
        <w:rPr>
          <w:rFonts w:hint="eastAsia"/>
          <w:snapToGrid/>
        </w:rPr>
      </w:pPr>
      <w:r>
        <w:rPr>
          <w:rFonts w:hint="eastAsia"/>
          <w:snapToGrid/>
        </w:rPr>
        <w:tab/>
        <w:t xml:space="preserve">398.  </w:t>
      </w:r>
      <w:r>
        <w:rPr>
          <w:rFonts w:hint="eastAsia"/>
          <w:snapToGrid/>
        </w:rPr>
        <w:t>从</w:t>
      </w:r>
      <w:r>
        <w:rPr>
          <w:rFonts w:hint="eastAsia"/>
          <w:snapToGrid/>
        </w:rPr>
        <w:t>20</w:t>
      </w:r>
      <w:r>
        <w:rPr>
          <w:rFonts w:hint="eastAsia"/>
          <w:snapToGrid/>
        </w:rPr>
        <w:t>世纪</w:t>
      </w:r>
      <w:r>
        <w:rPr>
          <w:rFonts w:hint="eastAsia"/>
          <w:snapToGrid/>
        </w:rPr>
        <w:t>70</w:t>
      </w:r>
      <w:r>
        <w:rPr>
          <w:rFonts w:hint="eastAsia"/>
          <w:snapToGrid/>
        </w:rPr>
        <w:t>年代初以来，“</w:t>
      </w:r>
      <w:r>
        <w:rPr>
          <w:rFonts w:hint="eastAsia"/>
          <w:snapToGrid/>
        </w:rPr>
        <w:t>snus</w:t>
      </w:r>
      <w:r>
        <w:rPr>
          <w:rFonts w:hint="eastAsia"/>
          <w:snapToGrid/>
        </w:rPr>
        <w:t>”</w:t>
      </w:r>
      <w:r>
        <w:rPr>
          <w:rFonts w:hint="eastAsia"/>
          <w:snapToGrid/>
        </w:rPr>
        <w:t>(</w:t>
      </w:r>
      <w:r>
        <w:rPr>
          <w:rFonts w:hint="eastAsia"/>
          <w:snapToGrid/>
        </w:rPr>
        <w:t>置于嘴唇下</w:t>
      </w:r>
      <w:r>
        <w:rPr>
          <w:rFonts w:hint="eastAsia"/>
          <w:snapToGrid/>
        </w:rPr>
        <w:t>/</w:t>
      </w:r>
      <w:r>
        <w:rPr>
          <w:rFonts w:hint="eastAsia"/>
          <w:snapToGrid/>
        </w:rPr>
        <w:t>面颊和齿龈之间的濡湿的烟草</w:t>
      </w:r>
      <w:r>
        <w:rPr>
          <w:rFonts w:hint="eastAsia"/>
          <w:snapToGrid/>
        </w:rPr>
        <w:t>)</w:t>
      </w:r>
      <w:r>
        <w:rPr>
          <w:rFonts w:hint="eastAsia"/>
          <w:snapToGrid/>
        </w:rPr>
        <w:t>的瑞典的使用增加了，在</w:t>
      </w:r>
      <w:r>
        <w:rPr>
          <w:rFonts w:hint="eastAsia"/>
          <w:snapToGrid/>
        </w:rPr>
        <w:t>20</w:t>
      </w:r>
      <w:r>
        <w:rPr>
          <w:rFonts w:hint="eastAsia"/>
          <w:snapToGrid/>
        </w:rPr>
        <w:t>世纪</w:t>
      </w:r>
      <w:r>
        <w:rPr>
          <w:rFonts w:hint="eastAsia"/>
          <w:snapToGrid/>
        </w:rPr>
        <w:t>90</w:t>
      </w:r>
      <w:r>
        <w:rPr>
          <w:rFonts w:hint="eastAsia"/>
          <w:snapToGrid/>
        </w:rPr>
        <w:t>年代，使用</w:t>
      </w:r>
      <w:r>
        <w:rPr>
          <w:rFonts w:hint="eastAsia"/>
          <w:snapToGrid/>
        </w:rPr>
        <w:t>snus</w:t>
      </w:r>
      <w:r>
        <w:rPr>
          <w:rFonts w:hint="eastAsia"/>
          <w:snapToGrid/>
        </w:rPr>
        <w:t>的男女都增加了。每天使用</w:t>
      </w:r>
      <w:r>
        <w:rPr>
          <w:rFonts w:hint="eastAsia"/>
          <w:snapToGrid/>
        </w:rPr>
        <w:t>snus</w:t>
      </w:r>
      <w:r>
        <w:rPr>
          <w:rFonts w:hint="eastAsia"/>
          <w:snapToGrid/>
        </w:rPr>
        <w:t>的人中间有三分之一报告说，他们有时也吸烟。</w:t>
      </w:r>
    </w:p>
    <w:p w:rsidR="00000000" w:rsidRDefault="00000000">
      <w:pPr>
        <w:rPr>
          <w:rFonts w:hint="eastAsia"/>
          <w:snapToGrid/>
        </w:rPr>
      </w:pPr>
      <w:r>
        <w:rPr>
          <w:rFonts w:hint="eastAsia"/>
          <w:snapToGrid/>
        </w:rPr>
        <w:tab/>
        <w:t xml:space="preserve">399.  </w:t>
      </w:r>
      <w:r>
        <w:rPr>
          <w:rFonts w:hint="eastAsia"/>
          <w:snapToGrid/>
        </w:rPr>
        <w:t>在</w:t>
      </w:r>
      <w:r>
        <w:rPr>
          <w:rFonts w:hint="eastAsia"/>
          <w:snapToGrid/>
        </w:rPr>
        <w:t>1996</w:t>
      </w:r>
      <w:r>
        <w:rPr>
          <w:snapToGrid/>
        </w:rPr>
        <w:t>-</w:t>
      </w:r>
      <w:r>
        <w:rPr>
          <w:rFonts w:hint="eastAsia"/>
          <w:snapToGrid/>
        </w:rPr>
        <w:t>2004</w:t>
      </w:r>
      <w:r>
        <w:rPr>
          <w:rFonts w:hint="eastAsia"/>
          <w:snapToGrid/>
        </w:rPr>
        <w:t>年期间，酒精消费量几乎增加了</w:t>
      </w:r>
      <w:r>
        <w:rPr>
          <w:rFonts w:hint="eastAsia"/>
          <w:snapToGrid/>
        </w:rPr>
        <w:t>30%</w:t>
      </w:r>
      <w:r>
        <w:rPr>
          <w:rFonts w:hint="eastAsia"/>
          <w:snapToGrid/>
        </w:rPr>
        <w:t>。最近的统计表明，酒精消费量可能已经趋于平稳。在过去的十年期间，其消费量处于风险区的人的百分比上升了，青年人闹饮作乐的次数增多了。</w:t>
      </w:r>
    </w:p>
    <w:p w:rsidR="00000000" w:rsidRDefault="00000000">
      <w:pPr>
        <w:spacing w:after="240"/>
        <w:rPr>
          <w:rFonts w:hint="eastAsia"/>
          <w:snapToGrid/>
        </w:rPr>
      </w:pPr>
      <w:r>
        <w:rPr>
          <w:rFonts w:hint="eastAsia"/>
          <w:snapToGrid/>
        </w:rPr>
        <w:tab/>
        <w:t xml:space="preserve">400.  </w:t>
      </w:r>
      <w:r>
        <w:rPr>
          <w:rFonts w:hint="eastAsia"/>
          <w:snapToGrid/>
        </w:rPr>
        <w:t>从</w:t>
      </w:r>
      <w:r>
        <w:rPr>
          <w:rFonts w:hint="eastAsia"/>
          <w:snapToGrid/>
        </w:rPr>
        <w:t>20</w:t>
      </w:r>
      <w:r>
        <w:rPr>
          <w:rFonts w:hint="eastAsia"/>
          <w:snapToGrid/>
        </w:rPr>
        <w:t>世纪</w:t>
      </w:r>
      <w:r>
        <w:rPr>
          <w:rFonts w:hint="eastAsia"/>
          <w:snapToGrid/>
        </w:rPr>
        <w:t>80</w:t>
      </w:r>
      <w:r>
        <w:rPr>
          <w:rFonts w:hint="eastAsia"/>
          <w:snapToGrid/>
        </w:rPr>
        <w:t>年代以来，男子与酒精有关的死亡率下降了，但是妇女与酒精有关的死亡率却上升了，基本上是</w:t>
      </w:r>
      <w:r>
        <w:rPr>
          <w:rFonts w:hint="eastAsia"/>
          <w:snapToGrid/>
        </w:rPr>
        <w:t>45</w:t>
      </w:r>
      <w:r>
        <w:rPr>
          <w:snapToGrid/>
        </w:rPr>
        <w:t>-</w:t>
      </w:r>
      <w:r>
        <w:rPr>
          <w:rFonts w:hint="eastAsia"/>
          <w:snapToGrid/>
        </w:rPr>
        <w:t>65</w:t>
      </w:r>
      <w:r>
        <w:rPr>
          <w:rFonts w:hint="eastAsia"/>
          <w:snapToGrid/>
        </w:rPr>
        <w:t>年龄段的人。大部分处于风险区的酒精消费者是青年男女，但是由于滥用酒精而造成的死亡通常要到</w:t>
      </w:r>
      <w:r>
        <w:rPr>
          <w:rFonts w:hint="eastAsia"/>
          <w:snapToGrid/>
        </w:rPr>
        <w:t>60</w:t>
      </w:r>
      <w:r>
        <w:rPr>
          <w:rFonts w:hint="eastAsia"/>
          <w:snapToGrid/>
        </w:rPr>
        <w:t>岁左右才会发生。因此，较高的酒精消费量对于当代青年的影响，要到三、四十年之后才能显露出来。</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2</w:t>
      </w:r>
    </w:p>
    <w:p w:rsidR="00000000" w:rsidRDefault="00000000">
      <w:pPr>
        <w:rPr>
          <w:rFonts w:hint="eastAsia"/>
          <w:snapToGrid/>
        </w:rPr>
      </w:pPr>
      <w:r>
        <w:rPr>
          <w:rFonts w:hint="eastAsia"/>
          <w:snapToGrid/>
        </w:rPr>
        <w:tab/>
      </w:r>
      <w:r>
        <w:rPr>
          <w:rFonts w:hint="eastAsia"/>
          <w:snapToGrid/>
        </w:rPr>
        <w:t>请参看“人人健康”报告第</w:t>
      </w:r>
      <w:r>
        <w:rPr>
          <w:rFonts w:hint="eastAsia"/>
          <w:snapToGrid/>
        </w:rPr>
        <w:t>26</w:t>
      </w:r>
      <w:r>
        <w:rPr>
          <w:rFonts w:hint="eastAsia"/>
          <w:snapToGrid/>
        </w:rPr>
        <w:t>项和第</w:t>
      </w:r>
      <w:r>
        <w:rPr>
          <w:rFonts w:hint="eastAsia"/>
          <w:snapToGrid/>
        </w:rPr>
        <w:t>28</w:t>
      </w:r>
      <w:r>
        <w:rPr>
          <w:rFonts w:hint="eastAsia"/>
          <w:snapToGrid/>
        </w:rPr>
        <w:t>项。</w:t>
      </w:r>
    </w:p>
    <w:p w:rsidR="00000000" w:rsidRDefault="00000000">
      <w:pPr>
        <w:rPr>
          <w:rFonts w:hint="eastAsia"/>
          <w:snapToGrid/>
        </w:rPr>
      </w:pPr>
      <w:r>
        <w:rPr>
          <w:rFonts w:hint="eastAsia"/>
          <w:snapToGrid/>
        </w:rPr>
        <w:tab/>
        <w:t>401.  2003</w:t>
      </w:r>
      <w:r>
        <w:rPr>
          <w:rFonts w:hint="eastAsia"/>
          <w:snapToGrid/>
        </w:rPr>
        <w:t>年春季，议会通过了“公共卫生目标”</w:t>
      </w:r>
      <w:r>
        <w:rPr>
          <w:rFonts w:hint="eastAsia"/>
          <w:snapToGrid/>
        </w:rPr>
        <w:t>(</w:t>
      </w:r>
      <w:r>
        <w:rPr>
          <w:rFonts w:hint="eastAsia"/>
          <w:snapToGrid/>
        </w:rPr>
        <w:t>政府法案</w:t>
      </w:r>
      <w:r>
        <w:rPr>
          <w:rFonts w:hint="eastAsia"/>
          <w:snapToGrid/>
        </w:rPr>
        <w:t>2002/03</w:t>
      </w:r>
      <w:r>
        <w:rPr>
          <w:rFonts w:hint="eastAsia"/>
          <w:snapToGrid/>
        </w:rPr>
        <w:t>：</w:t>
      </w:r>
      <w:r>
        <w:rPr>
          <w:rFonts w:hint="eastAsia"/>
          <w:snapToGrid/>
        </w:rPr>
        <w:t xml:space="preserve">35, </w:t>
      </w:r>
      <w:r>
        <w:rPr>
          <w:rFonts w:hint="eastAsia"/>
          <w:snapToGrid/>
        </w:rPr>
        <w:t>报告</w:t>
      </w:r>
      <w:r>
        <w:rPr>
          <w:rFonts w:hint="eastAsia"/>
          <w:snapToGrid/>
        </w:rPr>
        <w:t>2002/03</w:t>
      </w:r>
      <w:r>
        <w:rPr>
          <w:rFonts w:hint="eastAsia"/>
          <w:snapToGrid/>
        </w:rPr>
        <w:t>：</w:t>
      </w:r>
      <w:r>
        <w:rPr>
          <w:rFonts w:hint="eastAsia"/>
          <w:snapToGrid/>
        </w:rPr>
        <w:t xml:space="preserve">SoU07, </w:t>
      </w:r>
      <w:r>
        <w:rPr>
          <w:rFonts w:hint="eastAsia"/>
          <w:snapToGrid/>
        </w:rPr>
        <w:t>议会发文</w:t>
      </w:r>
      <w:r>
        <w:rPr>
          <w:rFonts w:hint="eastAsia"/>
          <w:snapToGrid/>
        </w:rPr>
        <w:t>2002/03</w:t>
      </w:r>
      <w:r>
        <w:rPr>
          <w:rFonts w:hint="eastAsia"/>
          <w:snapToGrid/>
        </w:rPr>
        <w:t>：</w:t>
      </w:r>
      <w:r>
        <w:rPr>
          <w:rFonts w:hint="eastAsia"/>
          <w:snapToGrid/>
        </w:rPr>
        <w:t>145)</w:t>
      </w:r>
      <w:r>
        <w:rPr>
          <w:rFonts w:hint="eastAsia"/>
          <w:snapToGrid/>
        </w:rPr>
        <w:t>所提出的公共卫生政策的十一个目标领域。根据该项法案，政府还决定，国家公共卫生政策的总目标应当是创建在平等基础上确保全民良好健康状况的社会条件。政府将在</w:t>
      </w:r>
      <w:r>
        <w:rPr>
          <w:rFonts w:hint="eastAsia"/>
          <w:snapToGrid/>
        </w:rPr>
        <w:t>2006</w:t>
      </w:r>
      <w:r>
        <w:rPr>
          <w:rFonts w:hint="eastAsia"/>
          <w:snapToGrid/>
        </w:rPr>
        <w:t>年向议会提交一份发文，以便后继实施国家公共卫生目标并采用跨部目标结构。</w:t>
      </w:r>
    </w:p>
    <w:p w:rsidR="00000000" w:rsidRDefault="00000000">
      <w:pPr>
        <w:rPr>
          <w:rFonts w:hint="eastAsia"/>
          <w:snapToGrid/>
        </w:rPr>
      </w:pPr>
      <w:r>
        <w:rPr>
          <w:rFonts w:hint="eastAsia"/>
          <w:snapToGrid/>
        </w:rPr>
        <w:tab/>
        <w:t xml:space="preserve">402.  </w:t>
      </w:r>
      <w:r>
        <w:rPr>
          <w:rFonts w:hint="eastAsia"/>
          <w:snapToGrid/>
        </w:rPr>
        <w:t>一份支援初级护理、老年病护理和精神病护理的综合性倡议</w:t>
      </w:r>
      <w:r>
        <w:rPr>
          <w:rFonts w:hint="eastAsia"/>
          <w:snapToGrid/>
        </w:rPr>
        <w:t>(</w:t>
      </w:r>
      <w:r>
        <w:rPr>
          <w:rFonts w:hint="eastAsia"/>
          <w:snapToGrid/>
        </w:rPr>
        <w:t>参看《结论性意见》第</w:t>
      </w:r>
      <w:r>
        <w:rPr>
          <w:rFonts w:hint="eastAsia"/>
          <w:snapToGrid/>
        </w:rPr>
        <w:t>34</w:t>
      </w:r>
      <w:r>
        <w:rPr>
          <w:rFonts w:hint="eastAsia"/>
          <w:snapToGrid/>
        </w:rPr>
        <w:t>项</w:t>
      </w:r>
      <w:r>
        <w:rPr>
          <w:rFonts w:hint="eastAsia"/>
          <w:snapToGrid/>
        </w:rPr>
        <w:t>)</w:t>
      </w:r>
      <w:r>
        <w:rPr>
          <w:rFonts w:hint="eastAsia"/>
          <w:snapToGrid/>
        </w:rPr>
        <w:t>与国家行动计划一同启动，以便改善健康和医疗服务</w:t>
      </w:r>
      <w:r>
        <w:rPr>
          <w:rFonts w:hint="eastAsia"/>
          <w:snapToGrid/>
        </w:rPr>
        <w:t>(</w:t>
      </w:r>
      <w:r>
        <w:rPr>
          <w:rFonts w:hint="eastAsia"/>
          <w:snapToGrid/>
        </w:rPr>
        <w:t>政府法案</w:t>
      </w:r>
      <w:r>
        <w:rPr>
          <w:rFonts w:hint="eastAsia"/>
          <w:snapToGrid/>
        </w:rPr>
        <w:t>1999/2000</w:t>
      </w:r>
      <w:r>
        <w:rPr>
          <w:rFonts w:hint="eastAsia"/>
          <w:snapToGrid/>
        </w:rPr>
        <w:t>：</w:t>
      </w:r>
      <w:r>
        <w:rPr>
          <w:rFonts w:hint="eastAsia"/>
          <w:snapToGrid/>
        </w:rPr>
        <w:t xml:space="preserve">149, </w:t>
      </w:r>
      <w:r>
        <w:rPr>
          <w:rFonts w:hint="eastAsia"/>
          <w:snapToGrid/>
        </w:rPr>
        <w:t>报告</w:t>
      </w:r>
      <w:r>
        <w:rPr>
          <w:rFonts w:hint="eastAsia"/>
          <w:snapToGrid/>
        </w:rPr>
        <w:t>2000/01</w:t>
      </w:r>
      <w:r>
        <w:rPr>
          <w:rFonts w:hint="eastAsia"/>
          <w:snapToGrid/>
        </w:rPr>
        <w:t>：</w:t>
      </w:r>
      <w:r>
        <w:rPr>
          <w:rFonts w:hint="eastAsia"/>
          <w:snapToGrid/>
        </w:rPr>
        <w:t xml:space="preserve">SoU5, </w:t>
      </w:r>
      <w:r>
        <w:rPr>
          <w:rFonts w:hint="eastAsia"/>
          <w:snapToGrid/>
        </w:rPr>
        <w:t>议会发文</w:t>
      </w:r>
      <w:r>
        <w:rPr>
          <w:rFonts w:hint="eastAsia"/>
          <w:snapToGrid/>
        </w:rPr>
        <w:t>2000/01</w:t>
      </w:r>
      <w:r>
        <w:rPr>
          <w:rFonts w:hint="eastAsia"/>
          <w:snapToGrid/>
        </w:rPr>
        <w:t>：</w:t>
      </w:r>
      <w:r>
        <w:rPr>
          <w:rFonts w:hint="eastAsia"/>
          <w:snapToGrid/>
        </w:rPr>
        <w:t>53)</w:t>
      </w:r>
      <w:r>
        <w:rPr>
          <w:rFonts w:hint="eastAsia"/>
          <w:snapToGrid/>
        </w:rPr>
        <w:t>。</w:t>
      </w:r>
    </w:p>
    <w:p w:rsidR="00000000" w:rsidRDefault="00000000">
      <w:pPr>
        <w:rPr>
          <w:rFonts w:hint="eastAsia"/>
          <w:snapToGrid/>
        </w:rPr>
      </w:pPr>
      <w:r>
        <w:rPr>
          <w:rFonts w:hint="eastAsia"/>
          <w:snapToGrid/>
        </w:rPr>
        <w:tab/>
        <w:t xml:space="preserve">403.  </w:t>
      </w:r>
      <w:r>
        <w:rPr>
          <w:rFonts w:hint="eastAsia"/>
          <w:snapToGrid/>
        </w:rPr>
        <w:t>作为行动计划的基础的发展合同于</w:t>
      </w:r>
      <w:r>
        <w:rPr>
          <w:rFonts w:hint="eastAsia"/>
          <w:snapToGrid/>
        </w:rPr>
        <w:t>2004</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日到期。国家与瑞典地方部门和区域协会就继续也与未来几年的行动计划一起开始的积极发展工作的重要性取得了一致意见。因此，议会决定展延各方之间的协议。</w:t>
      </w:r>
    </w:p>
    <w:p w:rsidR="00000000" w:rsidRDefault="00000000">
      <w:pPr>
        <w:spacing w:after="240"/>
        <w:rPr>
          <w:rFonts w:hint="eastAsia"/>
          <w:snapToGrid/>
        </w:rPr>
      </w:pPr>
      <w:r>
        <w:rPr>
          <w:rFonts w:hint="eastAsia"/>
          <w:snapToGrid/>
        </w:rPr>
        <w:tab/>
        <w:t xml:space="preserve">404.  </w:t>
      </w:r>
      <w:r>
        <w:rPr>
          <w:rFonts w:hint="eastAsia"/>
          <w:snapToGrid/>
        </w:rPr>
        <w:t>向国家健康和福利委员会下达了任务，要求它在</w:t>
      </w:r>
      <w:r>
        <w:rPr>
          <w:rFonts w:hint="eastAsia"/>
          <w:snapToGrid/>
        </w:rPr>
        <w:t>2006</w:t>
      </w:r>
      <w:r>
        <w:rPr>
          <w:rFonts w:hint="eastAsia"/>
          <w:snapToGrid/>
        </w:rPr>
        <w:t>年秋季实施一项继续国家行动的后续行动。</w:t>
      </w:r>
    </w:p>
    <w:p w:rsidR="00000000" w:rsidRDefault="00000000">
      <w:pPr>
        <w:pStyle w:val="Heading4"/>
        <w:rPr>
          <w:rFonts w:hint="eastAsia"/>
        </w:rPr>
      </w:pPr>
      <w:r>
        <w:rPr>
          <w:rFonts w:hint="eastAsia"/>
        </w:rPr>
        <w:t>老年护理系统</w:t>
      </w:r>
    </w:p>
    <w:p w:rsidR="00000000" w:rsidRDefault="00000000">
      <w:pPr>
        <w:rPr>
          <w:rFonts w:hint="eastAsia"/>
          <w:snapToGrid/>
        </w:rPr>
      </w:pPr>
      <w:r>
        <w:rPr>
          <w:rFonts w:hint="eastAsia"/>
          <w:snapToGrid/>
        </w:rPr>
        <w:tab/>
        <w:t xml:space="preserve">405.  </w:t>
      </w:r>
      <w:r>
        <w:rPr>
          <w:rFonts w:hint="eastAsia"/>
          <w:snapToGrid/>
        </w:rPr>
        <w:t>两项瑞典法律</w:t>
      </w:r>
      <w:r>
        <w:rPr>
          <w:rFonts w:hint="eastAsia"/>
          <w:snapToGrid/>
        </w:rPr>
        <w:t>(1999</w:t>
      </w:r>
      <w:r>
        <w:rPr>
          <w:rFonts w:hint="eastAsia"/>
          <w:snapToGrid/>
        </w:rPr>
        <w:t>：</w:t>
      </w:r>
      <w:r>
        <w:rPr>
          <w:rFonts w:hint="eastAsia"/>
          <w:snapToGrid/>
        </w:rPr>
        <w:t>1175)</w:t>
      </w:r>
      <w:r>
        <w:rPr>
          <w:rFonts w:hint="eastAsia"/>
          <w:snapToGrid/>
        </w:rPr>
        <w:t>和</w:t>
      </w:r>
      <w:r>
        <w:rPr>
          <w:rFonts w:hint="eastAsia"/>
          <w:snapToGrid/>
        </w:rPr>
        <w:t>(1999</w:t>
      </w:r>
      <w:r>
        <w:rPr>
          <w:rFonts w:hint="eastAsia"/>
          <w:snapToGrid/>
        </w:rPr>
        <w:t>：</w:t>
      </w:r>
      <w:r>
        <w:rPr>
          <w:rFonts w:hint="eastAsia"/>
          <w:snapToGrid/>
        </w:rPr>
        <w:t>1176)</w:t>
      </w:r>
      <w:r>
        <w:rPr>
          <w:rFonts w:hint="eastAsia"/>
          <w:snapToGrid/>
        </w:rPr>
        <w:t>赋予人民在那些传统上使用萨米语、芬兰语或</w:t>
      </w:r>
      <w:r>
        <w:rPr>
          <w:rFonts w:hint="eastAsia"/>
          <w:snapToGrid/>
        </w:rPr>
        <w:t>Meankieli (Tornedal</w:t>
      </w:r>
      <w:r>
        <w:rPr>
          <w:rFonts w:hint="eastAsia"/>
          <w:snapToGrid/>
        </w:rPr>
        <w:t>芬兰语</w:t>
      </w:r>
      <w:r>
        <w:rPr>
          <w:rFonts w:hint="eastAsia"/>
          <w:snapToGrid/>
        </w:rPr>
        <w:t>)</w:t>
      </w:r>
      <w:r>
        <w:rPr>
          <w:rFonts w:hint="eastAsia"/>
          <w:snapToGrid/>
        </w:rPr>
        <w:t>以及目前仍然在充分使用这些语言的地理区域</w:t>
      </w:r>
      <w:r>
        <w:rPr>
          <w:rFonts w:hint="eastAsia"/>
          <w:snapToGrid/>
        </w:rPr>
        <w:t>(</w:t>
      </w:r>
      <w:r>
        <w:rPr>
          <w:rFonts w:hint="eastAsia"/>
          <w:snapToGrid/>
        </w:rPr>
        <w:t>“语言行政区域”</w:t>
      </w:r>
      <w:r>
        <w:rPr>
          <w:rFonts w:hint="eastAsia"/>
          <w:snapToGrid/>
        </w:rPr>
        <w:t>)</w:t>
      </w:r>
      <w:r>
        <w:rPr>
          <w:rFonts w:hint="eastAsia"/>
          <w:snapToGrid/>
        </w:rPr>
        <w:t>，就在这些区域行使公共权限与公共部门和法院办交涉时使用这些语言的权利。受到这两项法律保护的权利包括，在某些地理区域，个人有权进入完全或部分以这些特定语言讲课的幼儿园，以及获得完全或部分以这些特定语言操作的老年护理。但是，有必要使得老年护理适应所有的少数民族语言和文化，甚至包括在这些语言行政区域境外。全部卫生和医疗服务部门和老年护理设施应当了解并且考虑到少数民族群体可能有的特殊需要。</w:t>
      </w:r>
    </w:p>
    <w:p w:rsidR="00000000" w:rsidRDefault="00000000">
      <w:pPr>
        <w:rPr>
          <w:rFonts w:hint="eastAsia"/>
          <w:snapToGrid/>
        </w:rPr>
      </w:pPr>
      <w:r>
        <w:rPr>
          <w:rFonts w:hint="eastAsia"/>
          <w:snapToGrid/>
        </w:rPr>
        <w:tab/>
        <w:t xml:space="preserve">406.  </w:t>
      </w:r>
      <w:r>
        <w:rPr>
          <w:rFonts w:hint="eastAsia"/>
          <w:snapToGrid/>
        </w:rPr>
        <w:t>因此，若干城市已经增加或计划增加以其他语言向它们的居民提供的服务，并且为诸如说芬兰话的老年人在养老院里设立了老人特别住房或特别病房。</w:t>
      </w:r>
      <w:r>
        <w:rPr>
          <w:rFonts w:hint="eastAsia"/>
          <w:snapToGrid/>
        </w:rPr>
        <w:t>2004</w:t>
      </w:r>
      <w:r>
        <w:rPr>
          <w:rFonts w:hint="eastAsia"/>
          <w:snapToGrid/>
        </w:rPr>
        <w:t>年，全国有</w:t>
      </w:r>
      <w:r>
        <w:rPr>
          <w:rFonts w:hint="eastAsia"/>
          <w:snapToGrid/>
        </w:rPr>
        <w:t>30</w:t>
      </w:r>
      <w:r>
        <w:rPr>
          <w:rFonts w:hint="eastAsia"/>
          <w:snapToGrid/>
        </w:rPr>
        <w:t>套民族取向的特殊住房，其中</w:t>
      </w:r>
      <w:r>
        <w:rPr>
          <w:rFonts w:hint="eastAsia"/>
          <w:snapToGrid/>
        </w:rPr>
        <w:t>19</w:t>
      </w:r>
      <w:r>
        <w:rPr>
          <w:rFonts w:hint="eastAsia"/>
          <w:snapToGrid/>
        </w:rPr>
        <w:t>套是为说芬兰话的人预备的。向其他语言背景的人沟通的困难，可能是因为这些群体对于公共措施的了解不足或信息不足。各城市正在采取措施满足外国背景的人或属于少数民族的人的需要。在报告说它们有民族方面特殊需要的老年公民的瑞典城市中，只有</w:t>
      </w:r>
      <w:r>
        <w:rPr>
          <w:rFonts w:hint="eastAsia"/>
          <w:snapToGrid/>
        </w:rPr>
        <w:t>34</w:t>
      </w:r>
      <w:r>
        <w:rPr>
          <w:snapToGrid/>
        </w:rPr>
        <w:t>%</w:t>
      </w:r>
      <w:r>
        <w:rPr>
          <w:rFonts w:hint="eastAsia"/>
          <w:snapToGrid/>
        </w:rPr>
        <w:t>个说它们在拥有会讲使用者的语言的工作人员方面能够满足他们所有人或大部分人的需要。在受到影响的城市中，</w:t>
      </w:r>
      <w:r>
        <w:rPr>
          <w:rFonts w:hint="eastAsia"/>
          <w:snapToGrid/>
        </w:rPr>
        <w:t>59%</w:t>
      </w:r>
      <w:r>
        <w:rPr>
          <w:rFonts w:hint="eastAsia"/>
          <w:snapToGrid/>
        </w:rPr>
        <w:t>没有任何适应任何民族群体的任何活动。</w:t>
      </w:r>
    </w:p>
    <w:p w:rsidR="00000000" w:rsidRDefault="00000000">
      <w:pPr>
        <w:spacing w:after="240"/>
        <w:rPr>
          <w:rFonts w:hint="eastAsia"/>
          <w:snapToGrid/>
        </w:rPr>
      </w:pPr>
      <w:r>
        <w:rPr>
          <w:rFonts w:hint="eastAsia"/>
          <w:snapToGrid/>
        </w:rPr>
        <w:tab/>
        <w:t xml:space="preserve">407.  </w:t>
      </w:r>
      <w:r>
        <w:rPr>
          <w:rFonts w:hint="eastAsia"/>
          <w:snapToGrid/>
        </w:rPr>
        <w:t>政府认为，有必要改进对于外国背景的人或属于少数民族之一的人的护理可择方式的质量和范围。这一点适用于一切方面，从更完善的信息和更加适应的住房可择方式，到扩大的日间活动方案和具有充分语言和文化技能的特别家庭协助服务班组。在位于萨米族、芬兰族或</w:t>
      </w:r>
      <w:r>
        <w:rPr>
          <w:rFonts w:hint="eastAsia"/>
          <w:snapToGrid/>
        </w:rPr>
        <w:t>Meankieli</w:t>
      </w:r>
      <w:r>
        <w:rPr>
          <w:rFonts w:hint="eastAsia"/>
          <w:snapToGrid/>
        </w:rPr>
        <w:t>族行政区域的城市里，特别重要的是全部或部分改换以特定的语言告知这些人获得老年护理的权利，并且向这些群体提出适应的方案。因此，政府的春季预算方案中提议在</w:t>
      </w:r>
      <w:r>
        <w:rPr>
          <w:rFonts w:hint="eastAsia"/>
          <w:snapToGrid/>
        </w:rPr>
        <w:t>2007</w:t>
      </w:r>
      <w:r>
        <w:rPr>
          <w:rFonts w:hint="eastAsia"/>
          <w:snapToGrid/>
        </w:rPr>
        <w:t>年和</w:t>
      </w:r>
      <w:r>
        <w:rPr>
          <w:rFonts w:hint="eastAsia"/>
          <w:snapToGrid/>
        </w:rPr>
        <w:t>2008</w:t>
      </w:r>
      <w:r>
        <w:rPr>
          <w:rFonts w:hint="eastAsia"/>
          <w:snapToGrid/>
        </w:rPr>
        <w:t>年每年拨款</w:t>
      </w:r>
      <w:r>
        <w:rPr>
          <w:rFonts w:hint="eastAsia"/>
          <w:snapToGrid/>
        </w:rPr>
        <w:t>5,000</w:t>
      </w:r>
      <w:r>
        <w:rPr>
          <w:rFonts w:hint="eastAsia"/>
          <w:snapToGrid/>
        </w:rPr>
        <w:t>万瑞典克朗，用于激励开发适应多元文化社会的老年护理服务。</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3</w:t>
      </w:r>
    </w:p>
    <w:p w:rsidR="00000000" w:rsidRDefault="00000000">
      <w:pPr>
        <w:rPr>
          <w:rFonts w:hint="eastAsia"/>
          <w:snapToGrid/>
        </w:rPr>
      </w:pPr>
      <w:r>
        <w:rPr>
          <w:rFonts w:hint="eastAsia"/>
          <w:snapToGrid/>
        </w:rPr>
        <w:tab/>
        <w:t xml:space="preserve">408.  </w:t>
      </w:r>
      <w:r>
        <w:rPr>
          <w:rFonts w:hint="eastAsia"/>
          <w:snapToGrid/>
        </w:rPr>
        <w:t>《保健和医疗服务法》规定，应当以平等的条件向每个人提供良好的保健护理。</w:t>
      </w:r>
      <w:r>
        <w:rPr>
          <w:rFonts w:hint="eastAsia"/>
          <w:snapToGrid/>
        </w:rPr>
        <w:t>2004</w:t>
      </w:r>
      <w:r>
        <w:rPr>
          <w:rFonts w:hint="eastAsia"/>
          <w:snapToGrid/>
        </w:rPr>
        <w:t>年的保健开支达到大约</w:t>
      </w:r>
      <w:r>
        <w:rPr>
          <w:rFonts w:hint="eastAsia"/>
          <w:snapToGrid/>
        </w:rPr>
        <w:t>2,320</w:t>
      </w:r>
      <w:r>
        <w:rPr>
          <w:rFonts w:hint="eastAsia"/>
          <w:snapToGrid/>
        </w:rPr>
        <w:t>亿瑞典克朗</w:t>
      </w:r>
      <w:r>
        <w:rPr>
          <w:rFonts w:hint="eastAsia"/>
          <w:snapToGrid/>
        </w:rPr>
        <w:t>(</w:t>
      </w:r>
      <w:r>
        <w:rPr>
          <w:rFonts w:hint="eastAsia"/>
          <w:snapToGrid/>
        </w:rPr>
        <w:t>包括城市老年病护理开支</w:t>
      </w:r>
      <w:r>
        <w:rPr>
          <w:rFonts w:hint="eastAsia"/>
          <w:snapToGrid/>
        </w:rPr>
        <w:t>)</w:t>
      </w:r>
      <w:r>
        <w:rPr>
          <w:rFonts w:hint="eastAsia"/>
          <w:snapToGrid/>
        </w:rPr>
        <w:t>，相当于国民生产总值的</w:t>
      </w:r>
      <w:r>
        <w:rPr>
          <w:rFonts w:hint="eastAsia"/>
          <w:snapToGrid/>
        </w:rPr>
        <w:t>9.0%</w:t>
      </w:r>
      <w:r>
        <w:rPr>
          <w:rFonts w:hint="eastAsia"/>
          <w:snapToGrid/>
        </w:rPr>
        <w:t>。与</w:t>
      </w:r>
      <w:r>
        <w:rPr>
          <w:rFonts w:hint="eastAsia"/>
          <w:snapToGrid/>
        </w:rPr>
        <w:t>1994</w:t>
      </w:r>
      <w:r>
        <w:rPr>
          <w:rFonts w:hint="eastAsia"/>
          <w:snapToGrid/>
        </w:rPr>
        <w:t>年相比</w:t>
      </w:r>
      <w:r>
        <w:rPr>
          <w:rFonts w:hint="eastAsia"/>
          <w:snapToGrid/>
        </w:rPr>
        <w:t>(</w:t>
      </w:r>
      <w:r>
        <w:rPr>
          <w:rFonts w:hint="eastAsia"/>
          <w:snapToGrid/>
        </w:rPr>
        <w:t>当时的开支是</w:t>
      </w:r>
      <w:r>
        <w:rPr>
          <w:rFonts w:hint="eastAsia"/>
          <w:snapToGrid/>
        </w:rPr>
        <w:t>1,370</w:t>
      </w:r>
      <w:r>
        <w:rPr>
          <w:rFonts w:hint="eastAsia"/>
          <w:snapToGrid/>
        </w:rPr>
        <w:t>亿瑞典克朗</w:t>
      </w:r>
      <w:r>
        <w:rPr>
          <w:rFonts w:hint="eastAsia"/>
          <w:snapToGrid/>
        </w:rPr>
        <w:t>)</w:t>
      </w:r>
      <w:r>
        <w:rPr>
          <w:rFonts w:hint="eastAsia"/>
          <w:snapToGrid/>
        </w:rPr>
        <w:t>，保健开支增长了国民生产总值的一个百分点。</w:t>
      </w:r>
      <w:r>
        <w:rPr>
          <w:rFonts w:hint="eastAsia"/>
          <w:snapToGrid/>
        </w:rPr>
        <w:t>1994</w:t>
      </w:r>
      <w:r>
        <w:rPr>
          <w:rFonts w:hint="eastAsia"/>
          <w:snapToGrid/>
        </w:rPr>
        <w:t>年，保健开支相当于国民生产总值的</w:t>
      </w:r>
      <w:r>
        <w:rPr>
          <w:rFonts w:hint="eastAsia"/>
          <w:snapToGrid/>
        </w:rPr>
        <w:t>8.2%</w:t>
      </w:r>
      <w:r>
        <w:rPr>
          <w:rFonts w:hint="eastAsia"/>
          <w:snapToGrid/>
        </w:rPr>
        <w:t>，到</w:t>
      </w:r>
      <w:r>
        <w:rPr>
          <w:rFonts w:hint="eastAsia"/>
          <w:snapToGrid/>
        </w:rPr>
        <w:t>1999</w:t>
      </w:r>
      <w:r>
        <w:rPr>
          <w:rFonts w:hint="eastAsia"/>
          <w:snapToGrid/>
        </w:rPr>
        <w:t>年增加到</w:t>
      </w:r>
      <w:r>
        <w:rPr>
          <w:rFonts w:hint="eastAsia"/>
          <w:snapToGrid/>
        </w:rPr>
        <w:t>8.4%</w:t>
      </w:r>
      <w:r>
        <w:rPr>
          <w:rFonts w:hint="eastAsia"/>
          <w:snapToGrid/>
        </w:rPr>
        <w:t>。因此，用于保健开支的国民生产总值百分比在最近</w:t>
      </w:r>
      <w:r>
        <w:rPr>
          <w:rFonts w:hint="eastAsia"/>
          <w:snapToGrid/>
        </w:rPr>
        <w:t>5</w:t>
      </w:r>
      <w:r>
        <w:rPr>
          <w:rFonts w:hint="eastAsia"/>
          <w:snapToGrid/>
        </w:rPr>
        <w:t>年内的增加速度比上一个</w:t>
      </w:r>
      <w:r>
        <w:rPr>
          <w:rFonts w:hint="eastAsia"/>
          <w:snapToGrid/>
        </w:rPr>
        <w:t>5</w:t>
      </w:r>
      <w:r>
        <w:rPr>
          <w:rFonts w:hint="eastAsia"/>
          <w:snapToGrid/>
        </w:rPr>
        <w:t>年期的增加速度要快。</w:t>
      </w:r>
    </w:p>
    <w:p w:rsidR="00000000" w:rsidRDefault="00000000">
      <w:pPr>
        <w:spacing w:after="240"/>
        <w:rPr>
          <w:rFonts w:hint="eastAsia"/>
          <w:snapToGrid/>
        </w:rPr>
      </w:pPr>
      <w:r>
        <w:rPr>
          <w:rFonts w:hint="eastAsia"/>
          <w:snapToGrid/>
        </w:rPr>
        <w:tab/>
        <w:t xml:space="preserve">409.  </w:t>
      </w:r>
      <w:r>
        <w:rPr>
          <w:rFonts w:hint="eastAsia"/>
          <w:snapToGrid/>
        </w:rPr>
        <w:t>主办人</w:t>
      </w:r>
      <w:r>
        <w:rPr>
          <w:rFonts w:hint="eastAsia"/>
          <w:snapToGrid/>
        </w:rPr>
        <w:t>(</w:t>
      </w:r>
      <w:r>
        <w:rPr>
          <w:rFonts w:hint="eastAsia"/>
          <w:snapToGrid/>
        </w:rPr>
        <w:t>省议会和各城市</w:t>
      </w:r>
      <w:r>
        <w:rPr>
          <w:rFonts w:hint="eastAsia"/>
          <w:snapToGrid/>
        </w:rPr>
        <w:t>)</w:t>
      </w:r>
      <w:r>
        <w:rPr>
          <w:rFonts w:hint="eastAsia"/>
          <w:snapToGrid/>
        </w:rPr>
        <w:t>的全部净保健开支中，</w:t>
      </w:r>
      <w:r>
        <w:rPr>
          <w:rFonts w:hint="eastAsia"/>
          <w:snapToGrid/>
        </w:rPr>
        <w:t>19%</w:t>
      </w:r>
      <w:r>
        <w:rPr>
          <w:rFonts w:hint="eastAsia"/>
          <w:snapToGrid/>
        </w:rPr>
        <w:t>用于初级保健护理，相当于</w:t>
      </w:r>
      <w:r>
        <w:rPr>
          <w:rFonts w:hint="eastAsia"/>
          <w:snapToGrid/>
        </w:rPr>
        <w:t>260</w:t>
      </w:r>
      <w:r>
        <w:rPr>
          <w:rFonts w:hint="eastAsia"/>
          <w:snapToGrid/>
        </w:rPr>
        <w:t>亿瑞典克朗。</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4</w:t>
      </w:r>
    </w:p>
    <w:p w:rsidR="00000000" w:rsidRDefault="00000000">
      <w:pPr>
        <w:rPr>
          <w:rFonts w:hint="eastAsia"/>
          <w:snapToGrid/>
        </w:rPr>
      </w:pPr>
      <w:r>
        <w:rPr>
          <w:rFonts w:hint="eastAsia"/>
          <w:snapToGrid/>
        </w:rPr>
        <w:tab/>
        <w:t xml:space="preserve">410.  </w:t>
      </w:r>
      <w:r>
        <w:rPr>
          <w:snapToGrid/>
        </w:rPr>
        <w:t>(a)</w:t>
      </w:r>
      <w:r>
        <w:rPr>
          <w:rFonts w:hint="eastAsia"/>
          <w:snapToGrid/>
        </w:rPr>
        <w:t xml:space="preserve"> </w:t>
      </w:r>
      <w:r>
        <w:rPr>
          <w:rFonts w:hint="eastAsia"/>
          <w:snapToGrid/>
        </w:rPr>
        <w:t>此外，婴儿死亡率从</w:t>
      </w:r>
      <w:r>
        <w:rPr>
          <w:rFonts w:hint="eastAsia"/>
          <w:snapToGrid/>
        </w:rPr>
        <w:t>1984</w:t>
      </w:r>
      <w:r>
        <w:rPr>
          <w:rFonts w:hint="eastAsia"/>
          <w:snapToGrid/>
        </w:rPr>
        <w:t>年以来减少了一半。</w:t>
      </w:r>
      <w:r>
        <w:rPr>
          <w:rFonts w:hint="eastAsia"/>
          <w:snapToGrid/>
        </w:rPr>
        <w:t>2004</w:t>
      </w:r>
      <w:r>
        <w:rPr>
          <w:rFonts w:hint="eastAsia"/>
          <w:snapToGrid/>
        </w:rPr>
        <w:t>年，每</w:t>
      </w:r>
      <w:r>
        <w:rPr>
          <w:rFonts w:hint="eastAsia"/>
          <w:snapToGrid/>
        </w:rPr>
        <w:t>1,000</w:t>
      </w:r>
      <w:r>
        <w:rPr>
          <w:rFonts w:hint="eastAsia"/>
          <w:snapToGrid/>
        </w:rPr>
        <w:t>名活产婴儿的第一年中有</w:t>
      </w:r>
      <w:r>
        <w:rPr>
          <w:rFonts w:hint="eastAsia"/>
          <w:snapToGrid/>
        </w:rPr>
        <w:t>3.1</w:t>
      </w:r>
      <w:r>
        <w:rPr>
          <w:rFonts w:hint="eastAsia"/>
          <w:snapToGrid/>
        </w:rPr>
        <w:t>名死亡。</w:t>
      </w:r>
    </w:p>
    <w:p w:rsidR="00000000" w:rsidRDefault="00000000">
      <w:pPr>
        <w:rPr>
          <w:rFonts w:hint="eastAsia"/>
          <w:snapToGrid/>
        </w:rPr>
      </w:pPr>
      <w:r>
        <w:rPr>
          <w:rFonts w:hint="eastAsia"/>
          <w:snapToGrid/>
        </w:rPr>
        <w:tab/>
        <w:t xml:space="preserve">411.  </w:t>
      </w:r>
      <w:r>
        <w:rPr>
          <w:snapToGrid/>
        </w:rPr>
        <w:t>(b)</w:t>
      </w:r>
      <w:r>
        <w:rPr>
          <w:rFonts w:hint="eastAsia"/>
          <w:snapToGrid/>
        </w:rPr>
        <w:t xml:space="preserve"> 100%</w:t>
      </w:r>
    </w:p>
    <w:p w:rsidR="00000000" w:rsidRDefault="00000000">
      <w:pPr>
        <w:rPr>
          <w:rFonts w:hint="eastAsia"/>
          <w:snapToGrid/>
        </w:rPr>
      </w:pPr>
      <w:r>
        <w:rPr>
          <w:rFonts w:hint="eastAsia"/>
          <w:snapToGrid/>
        </w:rPr>
        <w:tab/>
        <w:t xml:space="preserve">412.  </w:t>
      </w:r>
      <w:r>
        <w:rPr>
          <w:snapToGrid/>
        </w:rPr>
        <w:t>(c)</w:t>
      </w:r>
      <w:r>
        <w:rPr>
          <w:rFonts w:hint="eastAsia"/>
          <w:snapToGrid/>
        </w:rPr>
        <w:t xml:space="preserve"> 100%</w:t>
      </w:r>
    </w:p>
    <w:p w:rsidR="00000000" w:rsidRDefault="00000000">
      <w:pPr>
        <w:rPr>
          <w:rFonts w:hint="eastAsia"/>
          <w:snapToGrid/>
        </w:rPr>
      </w:pPr>
      <w:r>
        <w:rPr>
          <w:rFonts w:hint="eastAsia"/>
          <w:snapToGrid/>
        </w:rPr>
        <w:tab/>
        <w:t xml:space="preserve">413.  </w:t>
      </w:r>
      <w:r>
        <w:rPr>
          <w:snapToGrid/>
        </w:rPr>
        <w:t>(d)</w:t>
      </w:r>
      <w:r>
        <w:rPr>
          <w:rFonts w:hint="eastAsia"/>
          <w:snapToGrid/>
        </w:rPr>
        <w:t xml:space="preserve"> </w:t>
      </w:r>
      <w:r>
        <w:rPr>
          <w:rFonts w:hint="eastAsia"/>
          <w:snapToGrid/>
        </w:rPr>
        <w:t>除了</w:t>
      </w:r>
      <w:r>
        <w:rPr>
          <w:rFonts w:hint="eastAsia"/>
          <w:snapToGrid/>
        </w:rPr>
        <w:t>TB</w:t>
      </w:r>
      <w:r>
        <w:rPr>
          <w:rFonts w:hint="eastAsia"/>
          <w:snapToGrid/>
        </w:rPr>
        <w:t>以外都是</w:t>
      </w:r>
      <w:r>
        <w:rPr>
          <w:rFonts w:hint="eastAsia"/>
          <w:snapToGrid/>
        </w:rPr>
        <w:t>100%</w:t>
      </w:r>
      <w:r>
        <w:rPr>
          <w:rFonts w:hint="eastAsia"/>
          <w:snapToGrid/>
        </w:rPr>
        <w:t>，</w:t>
      </w:r>
      <w:r>
        <w:rPr>
          <w:rFonts w:hint="eastAsia"/>
          <w:snapToGrid/>
        </w:rPr>
        <w:t>TB</w:t>
      </w:r>
      <w:r>
        <w:rPr>
          <w:rFonts w:hint="eastAsia"/>
          <w:snapToGrid/>
        </w:rPr>
        <w:t>只给予某些群体。</w:t>
      </w:r>
    </w:p>
    <w:p w:rsidR="00000000" w:rsidRDefault="00000000">
      <w:pPr>
        <w:rPr>
          <w:rFonts w:hint="eastAsia"/>
          <w:snapToGrid/>
        </w:rPr>
      </w:pPr>
      <w:r>
        <w:rPr>
          <w:rFonts w:hint="eastAsia"/>
          <w:snapToGrid/>
        </w:rPr>
        <w:tab/>
        <w:t xml:space="preserve">414.  </w:t>
      </w:r>
      <w:r>
        <w:rPr>
          <w:snapToGrid/>
        </w:rPr>
        <w:t>(e)</w:t>
      </w:r>
      <w:r>
        <w:rPr>
          <w:rFonts w:hint="eastAsia"/>
          <w:snapToGrid/>
        </w:rPr>
        <w:t xml:space="preserve"> </w:t>
      </w:r>
      <w:r>
        <w:rPr>
          <w:rFonts w:hint="eastAsia"/>
          <w:snapToGrid/>
        </w:rPr>
        <w:t>预期寿命仍然在增加。如前所述，平均寿命的趋势及好几个死亡原因的死亡率的降低，表明了瑞典的公共卫生仍然在改善之中。</w:t>
      </w:r>
      <w:r>
        <w:rPr>
          <w:rFonts w:hint="eastAsia"/>
          <w:snapToGrid/>
        </w:rPr>
        <w:t>2004</w:t>
      </w:r>
      <w:r>
        <w:rPr>
          <w:rFonts w:hint="eastAsia"/>
          <w:snapToGrid/>
        </w:rPr>
        <w:t>年的一名新生男婴可以期望活到</w:t>
      </w:r>
      <w:r>
        <w:rPr>
          <w:rFonts w:hint="eastAsia"/>
          <w:snapToGrid/>
        </w:rPr>
        <w:t>78.4</w:t>
      </w:r>
      <w:r>
        <w:rPr>
          <w:rFonts w:hint="eastAsia"/>
          <w:snapToGrid/>
        </w:rPr>
        <w:t>岁，一名新生女婴可以期望活到</w:t>
      </w:r>
      <w:r>
        <w:rPr>
          <w:rFonts w:hint="eastAsia"/>
          <w:snapToGrid/>
        </w:rPr>
        <w:t>82.7</w:t>
      </w:r>
      <w:r>
        <w:rPr>
          <w:rFonts w:hint="eastAsia"/>
          <w:snapToGrid/>
        </w:rPr>
        <w:t>岁。从</w:t>
      </w:r>
      <w:r>
        <w:rPr>
          <w:rFonts w:hint="eastAsia"/>
          <w:snapToGrid/>
        </w:rPr>
        <w:t>1990</w:t>
      </w:r>
      <w:r>
        <w:rPr>
          <w:rFonts w:hint="eastAsia"/>
          <w:snapToGrid/>
        </w:rPr>
        <w:t>年以来，男子平均寿命差不多提高了</w:t>
      </w:r>
      <w:r>
        <w:rPr>
          <w:rFonts w:hint="eastAsia"/>
          <w:snapToGrid/>
        </w:rPr>
        <w:t>4</w:t>
      </w:r>
      <w:r>
        <w:rPr>
          <w:rFonts w:hint="eastAsia"/>
          <w:snapToGrid/>
        </w:rPr>
        <w:t>年，妇女平均寿命提高了</w:t>
      </w:r>
      <w:r>
        <w:rPr>
          <w:rFonts w:hint="eastAsia"/>
          <w:snapToGrid/>
        </w:rPr>
        <w:t>2</w:t>
      </w:r>
      <w:r>
        <w:rPr>
          <w:rFonts w:hint="eastAsia"/>
          <w:snapToGrid/>
        </w:rPr>
        <w:t>年略多一点。因此，男子平均寿命增加的速度比妇女快，男女平均寿命的差距自</w:t>
      </w:r>
      <w:r>
        <w:rPr>
          <w:rFonts w:hint="eastAsia"/>
          <w:snapToGrid/>
        </w:rPr>
        <w:t>1990</w:t>
      </w:r>
      <w:r>
        <w:rPr>
          <w:rFonts w:hint="eastAsia"/>
          <w:snapToGrid/>
        </w:rPr>
        <w:t>年以来从</w:t>
      </w:r>
      <w:r>
        <w:rPr>
          <w:rFonts w:hint="eastAsia"/>
          <w:snapToGrid/>
        </w:rPr>
        <w:t>5.6</w:t>
      </w:r>
      <w:r>
        <w:rPr>
          <w:rFonts w:hint="eastAsia"/>
          <w:snapToGrid/>
        </w:rPr>
        <w:t>年缩小到</w:t>
      </w:r>
      <w:r>
        <w:rPr>
          <w:rFonts w:hint="eastAsia"/>
          <w:snapToGrid/>
        </w:rPr>
        <w:t>4.3</w:t>
      </w:r>
      <w:r>
        <w:rPr>
          <w:rFonts w:hint="eastAsia"/>
          <w:snapToGrid/>
        </w:rPr>
        <w:t>年。</w:t>
      </w:r>
    </w:p>
    <w:p w:rsidR="00000000" w:rsidRDefault="00000000">
      <w:pPr>
        <w:rPr>
          <w:rFonts w:hint="eastAsia"/>
          <w:snapToGrid/>
        </w:rPr>
      </w:pPr>
      <w:r>
        <w:rPr>
          <w:rFonts w:hint="eastAsia"/>
          <w:snapToGrid/>
        </w:rPr>
        <w:tab/>
        <w:t xml:space="preserve">415.  </w:t>
      </w:r>
      <w:r>
        <w:rPr>
          <w:snapToGrid/>
        </w:rPr>
        <w:t>(f)</w:t>
      </w:r>
      <w:r>
        <w:rPr>
          <w:rFonts w:hint="eastAsia"/>
          <w:snapToGrid/>
        </w:rPr>
        <w:t xml:space="preserve"> 100%</w:t>
      </w:r>
      <w:r>
        <w:rPr>
          <w:rFonts w:hint="eastAsia"/>
          <w:snapToGrid/>
        </w:rPr>
        <w:t>。</w:t>
      </w:r>
    </w:p>
    <w:p w:rsidR="00000000" w:rsidRDefault="00000000">
      <w:pPr>
        <w:rPr>
          <w:rFonts w:hint="eastAsia"/>
          <w:snapToGrid/>
        </w:rPr>
      </w:pPr>
      <w:r>
        <w:rPr>
          <w:rFonts w:hint="eastAsia"/>
          <w:snapToGrid/>
        </w:rPr>
        <w:tab/>
        <w:t xml:space="preserve">416.  </w:t>
      </w:r>
      <w:r>
        <w:rPr>
          <w:snapToGrid/>
        </w:rPr>
        <w:t>(g)</w:t>
      </w:r>
      <w:r>
        <w:rPr>
          <w:rFonts w:hint="eastAsia"/>
          <w:snapToGrid/>
        </w:rPr>
        <w:t xml:space="preserve"> 100%</w:t>
      </w:r>
      <w:r>
        <w:rPr>
          <w:rFonts w:hint="eastAsia"/>
          <w:snapToGrid/>
        </w:rPr>
        <w:t>。</w:t>
      </w:r>
    </w:p>
    <w:p w:rsidR="00000000" w:rsidRDefault="00000000">
      <w:pPr>
        <w:spacing w:after="240"/>
        <w:rPr>
          <w:rFonts w:hint="eastAsia"/>
          <w:snapToGrid/>
        </w:rPr>
      </w:pPr>
      <w:r>
        <w:rPr>
          <w:rFonts w:hint="eastAsia"/>
          <w:snapToGrid/>
        </w:rPr>
        <w:tab/>
        <w:t xml:space="preserve">417.  </w:t>
      </w:r>
      <w:r>
        <w:rPr>
          <w:snapToGrid/>
        </w:rPr>
        <w:t>(h)</w:t>
      </w:r>
      <w:r>
        <w:rPr>
          <w:rFonts w:hint="eastAsia"/>
          <w:snapToGrid/>
        </w:rPr>
        <w:t xml:space="preserve"> 100%</w:t>
      </w:r>
      <w:r>
        <w:rPr>
          <w:rFonts w:hint="eastAsia"/>
          <w:snapToGrid/>
        </w:rPr>
        <w:t>。</w:t>
      </w:r>
    </w:p>
    <w:p w:rsidR="00000000" w:rsidRDefault="00000000">
      <w:pPr>
        <w:pStyle w:val="Heading4"/>
        <w:rPr>
          <w:rFonts w:eastAsia="KaiTi_GB2312" w:hint="eastAsia"/>
          <w:b/>
          <w:bCs/>
          <w:spacing w:val="0"/>
          <w:u w:val="none"/>
        </w:rPr>
      </w:pPr>
      <w:r>
        <w:rPr>
          <w:rFonts w:eastAsia="KaiTi_GB2312" w:hint="eastAsia"/>
          <w:b/>
          <w:bCs/>
          <w:spacing w:val="0"/>
          <w:u w:val="none"/>
        </w:rPr>
        <w:t>准则</w:t>
      </w:r>
      <w:r>
        <w:rPr>
          <w:rFonts w:eastAsia="KaiTi_GB2312" w:hint="eastAsia"/>
          <w:b/>
          <w:bCs/>
          <w:spacing w:val="0"/>
          <w:u w:val="none"/>
        </w:rPr>
        <w:t>5 a-d</w:t>
      </w:r>
    </w:p>
    <w:p w:rsidR="00000000" w:rsidRDefault="00000000">
      <w:pPr>
        <w:rPr>
          <w:rFonts w:hint="eastAsia"/>
          <w:snapToGrid/>
        </w:rPr>
      </w:pPr>
      <w:r>
        <w:rPr>
          <w:rFonts w:hint="eastAsia"/>
          <w:snapToGrid/>
        </w:rPr>
        <w:tab/>
        <w:t xml:space="preserve">418.  </w:t>
      </w:r>
      <w:r>
        <w:rPr>
          <w:rFonts w:hint="eastAsia"/>
          <w:snapToGrid/>
        </w:rPr>
        <w:t>瑞典全体儿童都享受医疗服务，其中包括寻求庇护者的子女和无许可证居留在该国的人的子女。</w:t>
      </w:r>
    </w:p>
    <w:p w:rsidR="00000000" w:rsidRDefault="00000000">
      <w:pPr>
        <w:rPr>
          <w:rFonts w:hint="eastAsia"/>
          <w:snapToGrid/>
        </w:rPr>
      </w:pPr>
      <w:r>
        <w:rPr>
          <w:rFonts w:hint="eastAsia"/>
          <w:snapToGrid/>
        </w:rPr>
        <w:tab/>
        <w:t xml:space="preserve">419.  </w:t>
      </w:r>
      <w:r>
        <w:rPr>
          <w:rFonts w:hint="eastAsia"/>
          <w:snapToGrid/>
        </w:rPr>
        <w:t>根据《教育法》，应当向幼儿园班级、义务制综合学校、高中、学习残疾儿童学校、特别学校和萨米族学校的学生提供学校保健护理。学校保健护理由健康检查和基本医疗护理组成，该服务应当配备一名学校医疗职员和一名学校护士。在《健康、学习和安全法》</w:t>
      </w:r>
      <w:r>
        <w:rPr>
          <w:rFonts w:hint="eastAsia"/>
          <w:snapToGrid/>
        </w:rPr>
        <w:t>(</w:t>
      </w:r>
      <w:r>
        <w:rPr>
          <w:rFonts w:hint="eastAsia"/>
          <w:snapToGrid/>
        </w:rPr>
        <w:t>政府法案</w:t>
      </w:r>
      <w:r>
        <w:rPr>
          <w:rFonts w:hint="eastAsia"/>
          <w:snapToGrid/>
        </w:rPr>
        <w:t>2001/02</w:t>
      </w:r>
      <w:r>
        <w:rPr>
          <w:rFonts w:hint="eastAsia"/>
          <w:snapToGrid/>
        </w:rPr>
        <w:t>：</w:t>
      </w:r>
      <w:r>
        <w:rPr>
          <w:rFonts w:hint="eastAsia"/>
          <w:snapToGrid/>
        </w:rPr>
        <w:t>14)</w:t>
      </w:r>
      <w:r>
        <w:rPr>
          <w:rFonts w:hint="eastAsia"/>
          <w:snapToGrid/>
        </w:rPr>
        <w:t>中，政府宣布推行学生健康服务的意图。学生健康服务将包括医疗、心理、心理社会以及特别教育的举措。</w:t>
      </w:r>
    </w:p>
    <w:p w:rsidR="00000000" w:rsidRDefault="00000000">
      <w:pPr>
        <w:rPr>
          <w:rFonts w:hint="eastAsia"/>
          <w:snapToGrid/>
        </w:rPr>
      </w:pPr>
      <w:r>
        <w:rPr>
          <w:rFonts w:hint="eastAsia"/>
          <w:snapToGrid/>
        </w:rPr>
        <w:tab/>
        <w:t xml:space="preserve">420.  </w:t>
      </w:r>
      <w:r>
        <w:rPr>
          <w:snapToGrid/>
        </w:rPr>
        <w:t xml:space="preserve">(e) </w:t>
      </w:r>
      <w:r>
        <w:rPr>
          <w:rFonts w:hint="eastAsia"/>
          <w:snapToGrid/>
        </w:rPr>
        <w:t>向所有初次为人父母的人提供目标在于促进儿童健康的父母培训。培训教师教授父母们任何照顾子女，</w:t>
      </w:r>
      <w:r>
        <w:rPr>
          <w:rFonts w:hint="eastAsia"/>
          <w:snapToGrid/>
        </w:rPr>
        <w:t xml:space="preserve"> </w:t>
      </w:r>
      <w:r>
        <w:rPr>
          <w:rFonts w:hint="eastAsia"/>
          <w:snapToGrid/>
        </w:rPr>
        <w:t>并且提供对最健康的儿童生活方式和父母生活方式的了解。还在产科护理中心向所有父母提供关心，在孩子出生后，则是在儿科护理中心。产科护理或儿科保健护理用不着排队，对一切父母和子女免费开放。</w:t>
      </w:r>
    </w:p>
    <w:p w:rsidR="00000000" w:rsidRDefault="00000000">
      <w:pPr>
        <w:rPr>
          <w:rFonts w:hint="eastAsia"/>
          <w:snapToGrid/>
        </w:rPr>
      </w:pPr>
      <w:r>
        <w:rPr>
          <w:rFonts w:hint="eastAsia"/>
          <w:snapToGrid/>
        </w:rPr>
        <w:tab/>
        <w:t xml:space="preserve">421.  </w:t>
      </w:r>
      <w:r>
        <w:rPr>
          <w:snapToGrid/>
        </w:rPr>
        <w:t>(g)</w:t>
      </w:r>
      <w:r>
        <w:rPr>
          <w:rFonts w:hint="eastAsia"/>
          <w:snapToGrid/>
        </w:rPr>
        <w:t xml:space="preserve"> </w:t>
      </w:r>
      <w:r>
        <w:rPr>
          <w:rFonts w:hint="eastAsia"/>
          <w:snapToGrid/>
        </w:rPr>
        <w:t>新的《传染性疾病法》</w:t>
      </w:r>
      <w:r>
        <w:rPr>
          <w:rFonts w:hint="eastAsia"/>
          <w:snapToGrid/>
        </w:rPr>
        <w:t>(</w:t>
      </w:r>
      <w:r>
        <w:rPr>
          <w:rFonts w:hint="eastAsia"/>
          <w:snapToGrid/>
        </w:rPr>
        <w:t>政府法案</w:t>
      </w:r>
      <w:r>
        <w:rPr>
          <w:rFonts w:hint="eastAsia"/>
          <w:snapToGrid/>
        </w:rPr>
        <w:t>2003/04</w:t>
      </w:r>
      <w:r>
        <w:rPr>
          <w:rFonts w:hint="eastAsia"/>
          <w:snapToGrid/>
        </w:rPr>
        <w:t>：</w:t>
      </w:r>
      <w:r>
        <w:rPr>
          <w:rFonts w:hint="eastAsia"/>
          <w:snapToGrid/>
        </w:rPr>
        <w:t>30)</w:t>
      </w:r>
      <w:r>
        <w:rPr>
          <w:rFonts w:hint="eastAsia"/>
          <w:snapToGrid/>
        </w:rPr>
        <w:t>于</w:t>
      </w:r>
      <w:r>
        <w:rPr>
          <w:rFonts w:hint="eastAsia"/>
          <w:snapToGrid/>
        </w:rPr>
        <w:t>2004</w:t>
      </w:r>
      <w:r>
        <w:rPr>
          <w:rFonts w:hint="eastAsia"/>
          <w:snapToGrid/>
        </w:rPr>
        <w:t>年</w:t>
      </w:r>
      <w:r>
        <w:rPr>
          <w:rFonts w:hint="eastAsia"/>
          <w:snapToGrid/>
        </w:rPr>
        <w:t>6</w:t>
      </w:r>
      <w:r>
        <w:rPr>
          <w:rFonts w:hint="eastAsia"/>
          <w:snapToGrid/>
        </w:rPr>
        <w:t>月生效。这项新法律的目的是在人们对于保护不受到传染性疾病侵害的需求与患有传染性疾病的人的隐私权和适当过程之间创建更好的平衡。</w:t>
      </w:r>
    </w:p>
    <w:p w:rsidR="00000000" w:rsidRDefault="00000000">
      <w:pPr>
        <w:rPr>
          <w:rFonts w:hint="eastAsia"/>
          <w:snapToGrid/>
        </w:rPr>
      </w:pPr>
      <w:r>
        <w:rPr>
          <w:rFonts w:hint="eastAsia"/>
          <w:snapToGrid/>
        </w:rPr>
        <w:tab/>
        <w:t xml:space="preserve">422.  </w:t>
      </w:r>
      <w:r>
        <w:rPr>
          <w:rFonts w:hint="eastAsia"/>
          <w:snapToGrid/>
        </w:rPr>
        <w:t>政府还开始了一项对由于自然或有意扩散传染物质而造成传染性疾病暴发进行控制的措施的需求的审议，议会表决赞成政府的提议。该项法律的修正案于</w:t>
      </w:r>
      <w:r>
        <w:rPr>
          <w:rFonts w:hint="eastAsia"/>
          <w:snapToGrid/>
        </w:rPr>
        <w:t>2005</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日生效。在此期间，防范灾害的努力也有了进展，包括在传染性疾病方面。负责监督部门还在</w:t>
      </w:r>
      <w:r>
        <w:rPr>
          <w:rFonts w:hint="eastAsia"/>
          <w:snapToGrid/>
        </w:rPr>
        <w:t>2005</w:t>
      </w:r>
      <w:r>
        <w:rPr>
          <w:rFonts w:hint="eastAsia"/>
          <w:snapToGrid/>
        </w:rPr>
        <w:t>年</w:t>
      </w:r>
      <w:r>
        <w:rPr>
          <w:rFonts w:hint="eastAsia"/>
          <w:snapToGrid/>
        </w:rPr>
        <w:t>3</w:t>
      </w:r>
      <w:r>
        <w:rPr>
          <w:rFonts w:hint="eastAsia"/>
          <w:snapToGrid/>
        </w:rPr>
        <w:t>月提出了一项对于流行性感冒大规模蔓延采取紧急对策的国家行动计划。政府已经采取了走向实现这项行动计划的若干措施。</w:t>
      </w:r>
    </w:p>
    <w:p w:rsidR="00000000" w:rsidRDefault="00000000">
      <w:pPr>
        <w:spacing w:after="320"/>
        <w:rPr>
          <w:rFonts w:hint="eastAsia"/>
          <w:snapToGrid/>
        </w:rPr>
      </w:pPr>
      <w:r>
        <w:rPr>
          <w:rFonts w:hint="eastAsia"/>
          <w:snapToGrid/>
        </w:rPr>
        <w:tab/>
        <w:t xml:space="preserve">423.  </w:t>
      </w:r>
      <w:r>
        <w:rPr>
          <w:snapToGrid/>
        </w:rPr>
        <w:t>(h)</w:t>
      </w:r>
      <w:r>
        <w:rPr>
          <w:rFonts w:hint="eastAsia"/>
          <w:snapToGrid/>
        </w:rPr>
        <w:t xml:space="preserve"> </w:t>
      </w:r>
      <w:r>
        <w:rPr>
          <w:rFonts w:hint="eastAsia"/>
          <w:snapToGrid/>
        </w:rPr>
        <w:t>请参看第</w:t>
      </w:r>
      <w:r>
        <w:rPr>
          <w:rFonts w:hint="eastAsia"/>
          <w:snapToGrid/>
        </w:rPr>
        <w:t>9</w:t>
      </w:r>
      <w:r>
        <w:rPr>
          <w:rFonts w:hint="eastAsia"/>
          <w:snapToGrid/>
        </w:rPr>
        <w:t>条，</w:t>
      </w:r>
      <w:r>
        <w:rPr>
          <w:rFonts w:hint="eastAsia"/>
          <w:iCs/>
          <w:snapToGrid/>
          <w:u w:val="single"/>
        </w:rPr>
        <w:t>医疗护理</w:t>
      </w:r>
      <w:r>
        <w:rPr>
          <w:rFonts w:hint="eastAsia"/>
          <w:snapToGrid/>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13</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hint="eastAsia"/>
        </w:rPr>
      </w:pPr>
      <w:r>
        <w:rPr>
          <w:rFonts w:hint="eastAsia"/>
        </w:rPr>
        <w:t>儿童和青年人的教育</w:t>
      </w:r>
    </w:p>
    <w:p w:rsidR="00000000" w:rsidRDefault="00000000">
      <w:pPr>
        <w:pStyle w:val="Heading4"/>
        <w:rPr>
          <w:rFonts w:hint="eastAsia"/>
        </w:rPr>
      </w:pPr>
      <w:r>
        <w:rPr>
          <w:rFonts w:hint="eastAsia"/>
          <w:u w:val="none"/>
        </w:rPr>
        <w:tab/>
      </w:r>
      <w:r>
        <w:rPr>
          <w:rFonts w:hint="eastAsia"/>
        </w:rPr>
        <w:t>促进了解少数民族</w:t>
      </w:r>
    </w:p>
    <w:p w:rsidR="00000000" w:rsidRDefault="00000000">
      <w:pPr>
        <w:rPr>
          <w:rFonts w:hint="eastAsia"/>
          <w:snapToGrid/>
        </w:rPr>
      </w:pPr>
      <w:r>
        <w:rPr>
          <w:rFonts w:hint="eastAsia"/>
          <w:snapToGrid/>
        </w:rPr>
        <w:tab/>
        <w:t xml:space="preserve">424.  </w:t>
      </w:r>
      <w:r>
        <w:rPr>
          <w:rFonts w:hint="eastAsia"/>
          <w:snapToGrid/>
        </w:rPr>
        <w:t>重要的是向不管是属于少数人口还是多数人口的一切儿童和学生教授瑞典少数民族的历史，以及有关它们的文化、语言和宗教。义务制学校和中学的国家课程和课程提纲申明，必须提供有关少数民族和少数语言的知识。</w:t>
      </w:r>
      <w:r>
        <w:rPr>
          <w:rFonts w:hint="eastAsia"/>
          <w:snapToGrid/>
        </w:rPr>
        <w:t>(</w:t>
      </w:r>
      <w:r>
        <w:rPr>
          <w:rFonts w:hint="eastAsia"/>
          <w:snapToGrid/>
        </w:rPr>
        <w:t>参看《结论性意见》第</w:t>
      </w:r>
      <w:r>
        <w:rPr>
          <w:rFonts w:hint="eastAsia"/>
          <w:snapToGrid/>
        </w:rPr>
        <w:t>38</w:t>
      </w:r>
      <w:r>
        <w:rPr>
          <w:rFonts w:hint="eastAsia"/>
          <w:snapToGrid/>
        </w:rPr>
        <w:t>项。</w:t>
      </w:r>
      <w:r>
        <w:rPr>
          <w:rFonts w:hint="eastAsia"/>
          <w:snapToGrid/>
        </w:rPr>
        <w:t>)</w:t>
      </w:r>
    </w:p>
    <w:p w:rsidR="00000000" w:rsidRDefault="00000000">
      <w:pPr>
        <w:rPr>
          <w:rFonts w:hint="eastAsia"/>
          <w:snapToGrid/>
        </w:rPr>
      </w:pPr>
      <w:r>
        <w:rPr>
          <w:rFonts w:hint="eastAsia"/>
          <w:snapToGrid/>
        </w:rPr>
        <w:tab/>
        <w:t xml:space="preserve">425.  </w:t>
      </w:r>
      <w:r>
        <w:rPr>
          <w:rFonts w:hint="eastAsia"/>
          <w:snapToGrid/>
        </w:rPr>
        <w:t>政府在</w:t>
      </w:r>
      <w:r>
        <w:rPr>
          <w:rFonts w:hint="eastAsia"/>
          <w:snapToGrid/>
        </w:rPr>
        <w:t>2005</w:t>
      </w:r>
      <w:r>
        <w:rPr>
          <w:rFonts w:hint="eastAsia"/>
          <w:snapToGrid/>
        </w:rPr>
        <w:t>年</w:t>
      </w:r>
      <w:r>
        <w:rPr>
          <w:rFonts w:hint="eastAsia"/>
          <w:snapToGrid/>
        </w:rPr>
        <w:t>5</w:t>
      </w:r>
      <w:r>
        <w:rPr>
          <w:rFonts w:hint="eastAsia"/>
          <w:snapToGrid/>
        </w:rPr>
        <w:t>月指令国家教育署审议一批选定的在义务制学校和中学使用的教科书。将对这些教科书在它们怎样偏离国家课程的基本价值观或偏离的程度有多远的方面进行分析。应当特别注意任何歧视或其他形式的有辱人格待遇的表现。国家教育署将在</w:t>
      </w:r>
      <w:r>
        <w:rPr>
          <w:rFonts w:hint="eastAsia"/>
          <w:snapToGrid/>
        </w:rPr>
        <w:t>2006</w:t>
      </w:r>
      <w:r>
        <w:rPr>
          <w:rFonts w:hint="eastAsia"/>
          <w:snapToGrid/>
        </w:rPr>
        <w:t>年</w:t>
      </w:r>
      <w:r>
        <w:rPr>
          <w:rFonts w:hint="eastAsia"/>
          <w:snapToGrid/>
        </w:rPr>
        <w:t>12</w:t>
      </w:r>
      <w:r>
        <w:rPr>
          <w:rFonts w:hint="eastAsia"/>
          <w:snapToGrid/>
        </w:rPr>
        <w:t>月</w:t>
      </w:r>
      <w:r>
        <w:rPr>
          <w:rFonts w:hint="eastAsia"/>
          <w:snapToGrid/>
        </w:rPr>
        <w:t>1</w:t>
      </w:r>
      <w:r>
        <w:rPr>
          <w:rFonts w:hint="eastAsia"/>
          <w:snapToGrid/>
        </w:rPr>
        <w:t>日之前提交报告。</w:t>
      </w:r>
    </w:p>
    <w:p w:rsidR="00000000" w:rsidRDefault="00000000">
      <w:pPr>
        <w:rPr>
          <w:rFonts w:hint="eastAsia"/>
          <w:snapToGrid/>
        </w:rPr>
      </w:pPr>
      <w:r>
        <w:rPr>
          <w:rFonts w:hint="eastAsia"/>
          <w:snapToGrid/>
        </w:rPr>
        <w:tab/>
        <w:t xml:space="preserve">426.  </w:t>
      </w:r>
      <w:r>
        <w:rPr>
          <w:rFonts w:hint="eastAsia"/>
          <w:snapToGrid/>
        </w:rPr>
        <w:t>国家教育署在</w:t>
      </w:r>
      <w:r>
        <w:rPr>
          <w:rFonts w:hint="eastAsia"/>
          <w:snapToGrid/>
        </w:rPr>
        <w:t>2002</w:t>
      </w:r>
      <w:r>
        <w:rPr>
          <w:rFonts w:hint="eastAsia"/>
          <w:snapToGrid/>
        </w:rPr>
        <w:t>年提交了一份称为“瑞典的少数民族</w:t>
      </w:r>
      <w:r>
        <w:rPr>
          <w:snapToGrid/>
        </w:rPr>
        <w:t>—</w:t>
      </w:r>
      <w:r>
        <w:rPr>
          <w:rFonts w:hint="eastAsia"/>
          <w:snapToGrid/>
        </w:rPr>
        <w:t>在儿童看护和学校中反映出起源”的资料报告。这份报告介绍了五个少数民族的历史、语言和文化。报告的目的是引起人们注意少数民族，并且激励儿童看护和学校系统中的其他机构也这样做。报告还简明介绍了新的少数民族政策及其对于儿童照顾和学校的影响。</w:t>
      </w:r>
    </w:p>
    <w:p w:rsidR="00000000" w:rsidRDefault="00000000">
      <w:pPr>
        <w:rPr>
          <w:rFonts w:hint="eastAsia"/>
          <w:snapToGrid/>
        </w:rPr>
      </w:pPr>
      <w:r>
        <w:rPr>
          <w:rFonts w:hint="eastAsia"/>
          <w:snapToGrid/>
        </w:rPr>
        <w:tab/>
        <w:t xml:space="preserve">427.  </w:t>
      </w:r>
      <w:r>
        <w:rPr>
          <w:rFonts w:hint="eastAsia"/>
          <w:snapToGrid/>
        </w:rPr>
        <w:t>在有关萨米人是瑞典土著居民的综合宣传举措的框架内，开展了一个特别的学校项目。这个项目是瑞典政府在</w:t>
      </w:r>
      <w:r>
        <w:rPr>
          <w:rFonts w:hint="eastAsia"/>
          <w:snapToGrid/>
        </w:rPr>
        <w:t>2000</w:t>
      </w:r>
      <w:r>
        <w:rPr>
          <w:rFonts w:hint="eastAsia"/>
          <w:snapToGrid/>
        </w:rPr>
        <w:t>年发起的，并且在</w:t>
      </w:r>
      <w:r>
        <w:rPr>
          <w:rFonts w:hint="eastAsia"/>
          <w:snapToGrid/>
        </w:rPr>
        <w:t>2001</w:t>
      </w:r>
      <w:r>
        <w:rPr>
          <w:snapToGrid/>
        </w:rPr>
        <w:t>-</w:t>
      </w:r>
      <w:r>
        <w:rPr>
          <w:rFonts w:hint="eastAsia"/>
          <w:snapToGrid/>
        </w:rPr>
        <w:t>2004</w:t>
      </w:r>
      <w:r>
        <w:rPr>
          <w:rFonts w:hint="eastAsia"/>
          <w:snapToGrid/>
        </w:rPr>
        <w:t>年期间总共拨款</w:t>
      </w:r>
      <w:r>
        <w:rPr>
          <w:rFonts w:hint="eastAsia"/>
          <w:snapToGrid/>
        </w:rPr>
        <w:t>2,000</w:t>
      </w:r>
      <w:r>
        <w:rPr>
          <w:rFonts w:hint="eastAsia"/>
          <w:snapToGrid/>
        </w:rPr>
        <w:t>万瑞典克朗。这个项目是一个以该国</w:t>
      </w:r>
      <w:r>
        <w:rPr>
          <w:rFonts w:hint="eastAsia"/>
          <w:snapToGrid/>
        </w:rPr>
        <w:t>7-9</w:t>
      </w:r>
      <w:r>
        <w:rPr>
          <w:rFonts w:hint="eastAsia"/>
          <w:snapToGrid/>
        </w:rPr>
        <w:t>年级学生以及全体教师为对象的宣传和知识举措。目的在于推进增加了解瑞典的土著居民的努力，向</w:t>
      </w:r>
      <w:r>
        <w:rPr>
          <w:rFonts w:hint="eastAsia"/>
          <w:snapToGrid/>
        </w:rPr>
        <w:t>7-9</w:t>
      </w:r>
      <w:r>
        <w:rPr>
          <w:rFonts w:hint="eastAsia"/>
          <w:snapToGrid/>
        </w:rPr>
        <w:t>年级教师提供上课的基础，以及激发讨论萨米人的当前状况及萨米族文化和历史。这个项目分为两个阶段。印制并向大量学校散发了一本资料性小册子，题为《萨米人</w:t>
      </w:r>
      <w:r>
        <w:rPr>
          <w:rFonts w:hint="eastAsia"/>
          <w:snapToGrid/>
          <w:spacing w:val="-50"/>
        </w:rPr>
        <w:t>―</w:t>
      </w:r>
      <w:r>
        <w:rPr>
          <w:rFonts w:hint="eastAsia"/>
          <w:snapToGrid/>
        </w:rPr>
        <w:t>―相同然而不同》</w:t>
      </w:r>
      <w:r>
        <w:rPr>
          <w:rFonts w:hint="eastAsia"/>
          <w:snapToGrid/>
        </w:rPr>
        <w:t>(</w:t>
      </w:r>
      <w:r>
        <w:rPr>
          <w:rFonts w:hint="eastAsia"/>
          <w:i/>
          <w:snapToGrid/>
        </w:rPr>
        <w:t>Same, same but different</w:t>
      </w:r>
      <w:r>
        <w:rPr>
          <w:rFonts w:hint="eastAsia"/>
          <w:snapToGrid/>
        </w:rPr>
        <w:t>)(</w:t>
      </w:r>
      <w:r>
        <w:rPr>
          <w:rFonts w:hint="eastAsia"/>
          <w:snapToGrid/>
        </w:rPr>
        <w:t>注：“</w:t>
      </w:r>
      <w:r>
        <w:rPr>
          <w:rFonts w:hint="eastAsia"/>
          <w:snapToGrid/>
        </w:rPr>
        <w:t>Same</w:t>
      </w:r>
      <w:r>
        <w:rPr>
          <w:rFonts w:hint="eastAsia"/>
          <w:snapToGrid/>
        </w:rPr>
        <w:t>”是“萨米人”的瑞典文拼法，用于这本小册子的标题，小册子的其余部分是以瑞典文写的。标题中第一个“</w:t>
      </w:r>
      <w:r>
        <w:rPr>
          <w:rFonts w:hint="eastAsia"/>
          <w:snapToGrid/>
        </w:rPr>
        <w:t>Same</w:t>
      </w:r>
      <w:r>
        <w:rPr>
          <w:rFonts w:hint="eastAsia"/>
          <w:snapToGrid/>
        </w:rPr>
        <w:t>”不是英文词“</w:t>
      </w:r>
      <w:r>
        <w:rPr>
          <w:rFonts w:hint="eastAsia"/>
          <w:snapToGrid/>
        </w:rPr>
        <w:t>same</w:t>
      </w:r>
      <w:r>
        <w:rPr>
          <w:rFonts w:hint="eastAsia"/>
          <w:snapToGrid/>
        </w:rPr>
        <w:t>”。</w:t>
      </w:r>
      <w:r>
        <w:rPr>
          <w:rFonts w:hint="eastAsia"/>
          <w:snapToGrid/>
        </w:rPr>
        <w:t>)</w:t>
      </w:r>
      <w:r>
        <w:rPr>
          <w:rFonts w:hint="eastAsia"/>
          <w:snapToGrid/>
        </w:rPr>
        <w:t>。还邀请</w:t>
      </w:r>
      <w:r>
        <w:rPr>
          <w:rFonts w:hint="eastAsia"/>
          <w:snapToGrid/>
        </w:rPr>
        <w:t>7-9</w:t>
      </w:r>
      <w:r>
        <w:rPr>
          <w:rFonts w:hint="eastAsia"/>
          <w:snapToGrid/>
        </w:rPr>
        <w:t>年级学生前往斯德哥尔摩参加一个有关萨米人和萨米人环境的讨论会和实地旅行，以便更加深入地探讨这个主题。</w:t>
      </w:r>
    </w:p>
    <w:p w:rsidR="00000000" w:rsidRDefault="00000000">
      <w:pPr>
        <w:rPr>
          <w:rFonts w:hint="eastAsia"/>
          <w:snapToGrid/>
        </w:rPr>
      </w:pPr>
      <w:r>
        <w:rPr>
          <w:rFonts w:hint="eastAsia"/>
          <w:snapToGrid/>
        </w:rPr>
        <w:tab/>
        <w:t xml:space="preserve">428.  </w:t>
      </w:r>
      <w:r>
        <w:rPr>
          <w:rFonts w:hint="eastAsia"/>
          <w:snapToGrid/>
        </w:rPr>
        <w:t>政府在</w:t>
      </w:r>
      <w:r>
        <w:rPr>
          <w:rFonts w:hint="eastAsia"/>
          <w:snapToGrid/>
        </w:rPr>
        <w:t>2004</w:t>
      </w:r>
      <w:r>
        <w:rPr>
          <w:rFonts w:hint="eastAsia"/>
          <w:snapToGrid/>
        </w:rPr>
        <w:t>年</w:t>
      </w:r>
      <w:r>
        <w:rPr>
          <w:rFonts w:hint="eastAsia"/>
          <w:snapToGrid/>
        </w:rPr>
        <w:t>11</w:t>
      </w:r>
      <w:r>
        <w:rPr>
          <w:rFonts w:hint="eastAsia"/>
          <w:snapToGrid/>
        </w:rPr>
        <w:t>月指令国家教育署提交一份关于少数民族教育状况的最新调查。其目标是对于少数民族的总现状有清楚和最新的了解。国家教育署在</w:t>
      </w:r>
      <w:r>
        <w:rPr>
          <w:rFonts w:hint="eastAsia"/>
          <w:snapToGrid/>
        </w:rPr>
        <w:t>2005</w:t>
      </w:r>
      <w:r>
        <w:rPr>
          <w:rFonts w:hint="eastAsia"/>
          <w:snapToGrid/>
        </w:rPr>
        <w:t>年</w:t>
      </w:r>
      <w:r>
        <w:rPr>
          <w:rFonts w:hint="eastAsia"/>
          <w:snapToGrid/>
        </w:rPr>
        <w:t>10</w:t>
      </w:r>
      <w:r>
        <w:rPr>
          <w:rFonts w:hint="eastAsia"/>
          <w:snapToGrid/>
        </w:rPr>
        <w:t>月提交了其报告，这份报告确认了少数民族教育状况的缺点，并且提议改进这种状况的措施。</w:t>
      </w:r>
    </w:p>
    <w:p w:rsidR="00000000" w:rsidRDefault="00000000">
      <w:pPr>
        <w:rPr>
          <w:rFonts w:hint="eastAsia"/>
          <w:snapToGrid/>
        </w:rPr>
      </w:pPr>
      <w:r>
        <w:rPr>
          <w:rFonts w:hint="eastAsia"/>
          <w:snapToGrid/>
        </w:rPr>
        <w:tab/>
        <w:t xml:space="preserve">429.  </w:t>
      </w:r>
      <w:r>
        <w:rPr>
          <w:rFonts w:hint="eastAsia"/>
          <w:snapToGrid/>
        </w:rPr>
        <w:t>国家教育署的建议主要涉及改变以母语教育学生的规章以及开展宣传活动的必要性。建议还强调各城市应当更加认识到它们对于少数民族教育状况以及组织母语教学的责任。</w:t>
      </w:r>
    </w:p>
    <w:p w:rsidR="00000000" w:rsidRDefault="00000000">
      <w:pPr>
        <w:rPr>
          <w:rFonts w:hint="eastAsia"/>
          <w:snapToGrid/>
        </w:rPr>
      </w:pPr>
      <w:r>
        <w:rPr>
          <w:rFonts w:hint="eastAsia"/>
          <w:snapToGrid/>
        </w:rPr>
        <w:tab/>
        <w:t xml:space="preserve">430.  </w:t>
      </w:r>
      <w:r>
        <w:rPr>
          <w:rFonts w:hint="eastAsia"/>
          <w:snapToGrid/>
        </w:rPr>
        <w:t>国家教育署建议修订国家关于以母语教育学生的规章，以便确保：</w:t>
      </w:r>
    </w:p>
    <w:p w:rsidR="00000000" w:rsidRDefault="00000000">
      <w:pPr>
        <w:pStyle w:val="a0"/>
        <w:ind w:left="1530"/>
        <w:rPr>
          <w:rFonts w:hint="eastAsia"/>
          <w:snapToGrid/>
        </w:rPr>
      </w:pPr>
      <w:r>
        <w:rPr>
          <w:rFonts w:hint="eastAsia"/>
          <w:snapToGrid/>
        </w:rPr>
        <w:t>向所有五个少数民族提出可以用一种语言教学，即使这种语言不是日常社交的语言，或学生没有这种语言的基本技能也是如此；以及</w:t>
      </w:r>
    </w:p>
    <w:p w:rsidR="00000000" w:rsidRDefault="00000000">
      <w:pPr>
        <w:pStyle w:val="a0"/>
        <w:ind w:left="1530"/>
        <w:rPr>
          <w:rFonts w:hint="eastAsia"/>
          <w:snapToGrid/>
        </w:rPr>
      </w:pPr>
      <w:r>
        <w:rPr>
          <w:rFonts w:hint="eastAsia"/>
          <w:snapToGrid/>
        </w:rPr>
        <w:t>向所有五个少数民族提出可以用少数民族语言教学，即使学生人数不足</w:t>
      </w:r>
      <w:r>
        <w:rPr>
          <w:rFonts w:hint="eastAsia"/>
          <w:snapToGrid/>
        </w:rPr>
        <w:t>5</w:t>
      </w:r>
      <w:r>
        <w:rPr>
          <w:rFonts w:hint="eastAsia"/>
          <w:snapToGrid/>
        </w:rPr>
        <w:t>名也是如此。</w:t>
      </w:r>
    </w:p>
    <w:p w:rsidR="00000000" w:rsidRDefault="00000000">
      <w:pPr>
        <w:rPr>
          <w:rFonts w:hint="eastAsia"/>
          <w:snapToGrid/>
        </w:rPr>
      </w:pPr>
      <w:r>
        <w:rPr>
          <w:rFonts w:hint="eastAsia"/>
          <w:snapToGrid/>
        </w:rPr>
        <w:tab/>
        <w:t xml:space="preserve">431.  </w:t>
      </w:r>
      <w:r>
        <w:rPr>
          <w:rFonts w:hint="eastAsia"/>
          <w:snapToGrid/>
        </w:rPr>
        <w:t>国家教育署还建议政府应当考虑在《义务制学校法》和《高级中学法》中列入一条分别的关于少数民族语言的规定，这样将是具体正面突出少数民族语言的一种方式。在此之后，政府指令国家教育署计算建议的经济费用。国家教育署在</w:t>
      </w:r>
      <w:r>
        <w:rPr>
          <w:rFonts w:hint="eastAsia"/>
          <w:snapToGrid/>
        </w:rPr>
        <w:t>2006</w:t>
      </w:r>
      <w:r>
        <w:rPr>
          <w:rFonts w:hint="eastAsia"/>
          <w:snapToGrid/>
        </w:rPr>
        <w:t>年</w:t>
      </w:r>
      <w:r>
        <w:rPr>
          <w:rFonts w:hint="eastAsia"/>
          <w:snapToGrid/>
        </w:rPr>
        <w:t>5</w:t>
      </w:r>
      <w:r>
        <w:rPr>
          <w:rFonts w:hint="eastAsia"/>
          <w:snapToGrid/>
        </w:rPr>
        <w:t>月提交了其报告，材料目前正在由政府办公机构进行准备中。政府打算在其后提出关于措施的建议。国家教育署还发布了地方部门怎样能够改进少数民族教育状况的建议，通过印刷这些报告并向每个城市分发的方式，通报了教育署的调查结果和瑞典少数民族的情况。</w:t>
      </w:r>
    </w:p>
    <w:p w:rsidR="00000000" w:rsidRDefault="00000000">
      <w:pPr>
        <w:spacing w:after="240"/>
        <w:rPr>
          <w:rFonts w:hint="eastAsia"/>
          <w:snapToGrid/>
        </w:rPr>
      </w:pPr>
      <w:r>
        <w:rPr>
          <w:rFonts w:hint="eastAsia"/>
          <w:snapToGrid/>
        </w:rPr>
        <w:tab/>
        <w:t xml:space="preserve">432.  </w:t>
      </w:r>
      <w:r>
        <w:rPr>
          <w:rFonts w:hint="eastAsia"/>
          <w:snapToGrid/>
        </w:rPr>
        <w:t>适用于幼儿园、学龄儿童照顾、义务制学校、高级中学和城市成人教育的基本价值观表达了联合国各项人权公约作为基础的民主价值观和一切人价值和权利平等的原则。为了加强保护不受歧视及其他形式有辱人格待遇及促进平等待遇，政府在“安全、尊重和责任</w:t>
      </w:r>
      <w:r>
        <w:rPr>
          <w:snapToGrid/>
        </w:rPr>
        <w:t>—</w:t>
      </w:r>
      <w:r>
        <w:rPr>
          <w:rFonts w:hint="eastAsia"/>
          <w:snapToGrid/>
        </w:rPr>
        <w:t>关于禁止歧视及其他形式有辱人格待遇”</w:t>
      </w:r>
      <w:r>
        <w:rPr>
          <w:rFonts w:hint="eastAsia"/>
          <w:snapToGrid/>
        </w:rPr>
        <w:t>(</w:t>
      </w:r>
      <w:r>
        <w:rPr>
          <w:rFonts w:hint="eastAsia"/>
          <w:snapToGrid/>
        </w:rPr>
        <w:t>政府法案</w:t>
      </w:r>
      <w:r>
        <w:rPr>
          <w:rFonts w:hint="eastAsia"/>
          <w:snapToGrid/>
        </w:rPr>
        <w:t>2005/06</w:t>
      </w:r>
      <w:r>
        <w:rPr>
          <w:rFonts w:hint="eastAsia"/>
          <w:snapToGrid/>
        </w:rPr>
        <w:t>：</w:t>
      </w:r>
      <w:r>
        <w:rPr>
          <w:rFonts w:hint="eastAsia"/>
          <w:snapToGrid/>
        </w:rPr>
        <w:t>38)</w:t>
      </w:r>
      <w:r>
        <w:rPr>
          <w:rFonts w:hint="eastAsia"/>
          <w:snapToGrid/>
        </w:rPr>
        <w:t>中，提出一项禁止对儿童和学生歧视及其他形式有辱人格待遇的法律。议会于</w:t>
      </w:r>
      <w:r>
        <w:rPr>
          <w:rFonts w:hint="eastAsia"/>
          <w:snapToGrid/>
        </w:rPr>
        <w:t>2006</w:t>
      </w:r>
      <w:r>
        <w:rPr>
          <w:rFonts w:hint="eastAsia"/>
          <w:snapToGrid/>
        </w:rPr>
        <w:t>年</w:t>
      </w:r>
      <w:r>
        <w:rPr>
          <w:rFonts w:hint="eastAsia"/>
          <w:snapToGrid/>
        </w:rPr>
        <w:t>2</w:t>
      </w:r>
      <w:r>
        <w:rPr>
          <w:rFonts w:hint="eastAsia"/>
          <w:snapToGrid/>
        </w:rPr>
        <w:t>月</w:t>
      </w:r>
      <w:r>
        <w:rPr>
          <w:rFonts w:hint="eastAsia"/>
          <w:snapToGrid/>
        </w:rPr>
        <w:t>8</w:t>
      </w:r>
      <w:r>
        <w:rPr>
          <w:rFonts w:hint="eastAsia"/>
          <w:snapToGrid/>
        </w:rPr>
        <w:t>日通过了这项政府法案。《禁止对儿童和学校学生歧视及其他形式有辱人格待遇法》</w:t>
      </w:r>
      <w:r>
        <w:rPr>
          <w:rFonts w:hint="eastAsia"/>
          <w:snapToGrid/>
        </w:rPr>
        <w:t>(2006/67)</w:t>
      </w:r>
      <w:r>
        <w:rPr>
          <w:rFonts w:hint="eastAsia"/>
          <w:snapToGrid/>
        </w:rPr>
        <w:t>适用于幼儿园、学龄儿童照顾、学前班、义务制学校、高级中学和城市成人教育。法令于</w:t>
      </w:r>
      <w:r>
        <w:rPr>
          <w:rFonts w:hint="eastAsia"/>
          <w:snapToGrid/>
        </w:rPr>
        <w:t>2006</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生效。这项法律禁止基于性别、民族、宗教或其他信仰、性取向和残疾的歧视。这项法律还适用于不是基于这些歧视原因的其他有辱人格待遇，例如恃强欺弱。这项法律加强了对于反对歧视及其他形式有辱人格待遇的积极措施的要求，同时要求这项法律所涵盖的一切机构执行禁止这些有辱人格待遇的规章。这项法律加强并明确了这些机构基本的价值观任务。</w:t>
      </w:r>
      <w:r>
        <w:rPr>
          <w:rFonts w:hint="eastAsia"/>
          <w:snapToGrid/>
        </w:rPr>
        <w:t>2006</w:t>
      </w:r>
      <w:r>
        <w:rPr>
          <w:rFonts w:hint="eastAsia"/>
          <w:snapToGrid/>
        </w:rPr>
        <w:t>年</w:t>
      </w:r>
      <w:r>
        <w:rPr>
          <w:rFonts w:hint="eastAsia"/>
          <w:snapToGrid/>
        </w:rPr>
        <w:t>3</w:t>
      </w:r>
      <w:r>
        <w:rPr>
          <w:rFonts w:hint="eastAsia"/>
          <w:snapToGrid/>
        </w:rPr>
        <w:t>月，政府任命了负责国家教育署范围内平等待遇的儿童和学生监察员，向其委托确保从</w:t>
      </w:r>
      <w:r>
        <w:rPr>
          <w:rFonts w:hint="eastAsia"/>
          <w:snapToGrid/>
        </w:rPr>
        <w:t>2006</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日起遵守这项法律的特定职责。</w:t>
      </w:r>
    </w:p>
    <w:p w:rsidR="00000000" w:rsidRDefault="00000000">
      <w:pPr>
        <w:pStyle w:val="Heading4"/>
        <w:rPr>
          <w:rFonts w:hint="eastAsia"/>
        </w:rPr>
      </w:pPr>
      <w:r>
        <w:rPr>
          <w:rFonts w:hint="eastAsia"/>
          <w:u w:val="none"/>
        </w:rPr>
        <w:tab/>
      </w:r>
      <w:r>
        <w:rPr>
          <w:rFonts w:hint="eastAsia"/>
        </w:rPr>
        <w:t>幼儿园和学龄儿童照顾</w:t>
      </w:r>
    </w:p>
    <w:p w:rsidR="00000000" w:rsidRDefault="00000000">
      <w:pPr>
        <w:rPr>
          <w:rFonts w:hint="eastAsia"/>
          <w:snapToGrid/>
        </w:rPr>
      </w:pPr>
      <w:r>
        <w:rPr>
          <w:rFonts w:hint="eastAsia"/>
          <w:snapToGrid/>
        </w:rPr>
        <w:tab/>
        <w:t xml:space="preserve">433.  </w:t>
      </w:r>
      <w:r>
        <w:rPr>
          <w:rFonts w:hint="eastAsia"/>
          <w:snapToGrid/>
        </w:rPr>
        <w:t>幼儿园和学龄儿童照顾的法律规章在</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日从《社会服务法》转到了《教育法》。在此同时，对于幼儿园和学龄儿童照顾的监督责任也从国家健康和福利委员会转给了国家教育署。加强这项教育任务的第一项幼儿园课程于</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日生效。与此同时，对义务制学校的国家课程进行了修订、将课余休闲中心包括入内。</w:t>
      </w:r>
    </w:p>
    <w:p w:rsidR="00000000" w:rsidRDefault="00000000">
      <w:pPr>
        <w:rPr>
          <w:rFonts w:hint="eastAsia"/>
          <w:snapToGrid/>
        </w:rPr>
      </w:pPr>
      <w:r>
        <w:rPr>
          <w:rFonts w:hint="eastAsia"/>
          <w:snapToGrid/>
        </w:rPr>
        <w:tab/>
        <w:t xml:space="preserve">434.  </w:t>
      </w:r>
      <w:r>
        <w:rPr>
          <w:rFonts w:hint="eastAsia"/>
          <w:snapToGrid/>
        </w:rPr>
        <w:t>从</w:t>
      </w:r>
      <w:r>
        <w:rPr>
          <w:rFonts w:hint="eastAsia"/>
          <w:snapToGrid/>
        </w:rPr>
        <w:t>1995</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日起，法律要求各地方部门向</w:t>
      </w:r>
      <w:r>
        <w:rPr>
          <w:rFonts w:hint="eastAsia"/>
          <w:snapToGrid/>
        </w:rPr>
        <w:t>1-12</w:t>
      </w:r>
      <w:r>
        <w:rPr>
          <w:rFonts w:hint="eastAsia"/>
          <w:snapToGrid/>
        </w:rPr>
        <w:t>岁的儿童提供幼儿园和学龄儿童照顾，不得不合理地拖延，并且要达到根据父母就业或学习或儿童本身的需求的必要程度。分别从</w:t>
      </w:r>
      <w:r>
        <w:rPr>
          <w:rFonts w:hint="eastAsia"/>
          <w:snapToGrid/>
        </w:rPr>
        <w:t>2001</w:t>
      </w:r>
      <w:r>
        <w:rPr>
          <w:rFonts w:hint="eastAsia"/>
          <w:snapToGrid/>
        </w:rPr>
        <w:t>年和</w:t>
      </w:r>
      <w:r>
        <w:rPr>
          <w:rFonts w:hint="eastAsia"/>
          <w:snapToGrid/>
        </w:rPr>
        <w:t>2002</w:t>
      </w:r>
      <w:r>
        <w:rPr>
          <w:rFonts w:hint="eastAsia"/>
          <w:snapToGrid/>
        </w:rPr>
        <w:t>年起，给予失业人员或正在休父母假的人员的子女至少一天</w:t>
      </w:r>
      <w:r>
        <w:rPr>
          <w:rFonts w:hint="eastAsia"/>
          <w:snapToGrid/>
        </w:rPr>
        <w:t>3</w:t>
      </w:r>
      <w:r>
        <w:rPr>
          <w:rFonts w:hint="eastAsia"/>
          <w:snapToGrid/>
        </w:rPr>
        <w:t>小时或一周</w:t>
      </w:r>
      <w:r>
        <w:rPr>
          <w:rFonts w:hint="eastAsia"/>
          <w:snapToGrid/>
        </w:rPr>
        <w:t>15</w:t>
      </w:r>
      <w:r>
        <w:rPr>
          <w:rFonts w:hint="eastAsia"/>
          <w:snapToGrid/>
        </w:rPr>
        <w:t>小时去幼儿园的权利。在</w:t>
      </w:r>
      <w:r>
        <w:rPr>
          <w:rFonts w:hint="eastAsia"/>
          <w:snapToGrid/>
        </w:rPr>
        <w:t>2002</w:t>
      </w:r>
      <w:r>
        <w:rPr>
          <w:rFonts w:hint="eastAsia"/>
          <w:snapToGrid/>
        </w:rPr>
        <w:t>年实施了幼儿园和学龄儿童照顾的最高费用。</w:t>
      </w:r>
      <w:r>
        <w:rPr>
          <w:rFonts w:hint="eastAsia"/>
          <w:snapToGrid/>
        </w:rPr>
        <w:t>2003</w:t>
      </w:r>
      <w:r>
        <w:rPr>
          <w:rFonts w:hint="eastAsia"/>
          <w:snapToGrid/>
        </w:rPr>
        <w:t>年，推行了</w:t>
      </w:r>
      <w:r>
        <w:rPr>
          <w:rFonts w:hint="eastAsia"/>
          <w:snapToGrid/>
        </w:rPr>
        <w:t>4</w:t>
      </w:r>
      <w:r>
        <w:rPr>
          <w:rFonts w:hint="eastAsia"/>
          <w:snapToGrid/>
        </w:rPr>
        <w:t>岁和</w:t>
      </w:r>
      <w:r>
        <w:rPr>
          <w:rFonts w:hint="eastAsia"/>
          <w:snapToGrid/>
        </w:rPr>
        <w:t>5</w:t>
      </w:r>
      <w:r>
        <w:rPr>
          <w:rFonts w:hint="eastAsia"/>
          <w:snapToGrid/>
        </w:rPr>
        <w:t>岁儿童每年至少</w:t>
      </w:r>
      <w:r>
        <w:rPr>
          <w:rFonts w:hint="eastAsia"/>
          <w:snapToGrid/>
        </w:rPr>
        <w:t>252</w:t>
      </w:r>
      <w:r>
        <w:rPr>
          <w:rFonts w:hint="eastAsia"/>
          <w:snapToGrid/>
        </w:rPr>
        <w:t>小时免费进入幼儿园的办法。实施最高费用和公共幼儿园改革的原因包括增多了的进入幼儿园的机会。</w:t>
      </w:r>
    </w:p>
    <w:p w:rsidR="00000000" w:rsidRDefault="00000000">
      <w:pPr>
        <w:rPr>
          <w:rFonts w:hint="eastAsia"/>
          <w:snapToGrid/>
        </w:rPr>
      </w:pPr>
      <w:r>
        <w:rPr>
          <w:rFonts w:hint="eastAsia"/>
          <w:snapToGrid/>
        </w:rPr>
        <w:tab/>
        <w:t xml:space="preserve">435.  </w:t>
      </w:r>
      <w:r>
        <w:rPr>
          <w:rFonts w:hint="eastAsia"/>
          <w:snapToGrid/>
        </w:rPr>
        <w:t>瑞典关于幼儿园的委派任务，是为了让儿童享受集照顾、发展和学习为一体的良好教育方案。学龄儿童照顾将通过集体教育活动激励儿童的发展和学习，补充学校的不足，以及向儿童提供有意义的娱乐。也向其发展需要特殊支持的儿童提供同样的方案。这些方案将使得父母们能够比较容易地将有薪酬工作与做父母的责任结合起来。</w:t>
      </w:r>
    </w:p>
    <w:p w:rsidR="00000000" w:rsidRDefault="00000000">
      <w:pPr>
        <w:rPr>
          <w:rFonts w:hint="eastAsia"/>
          <w:snapToGrid/>
        </w:rPr>
      </w:pPr>
      <w:r>
        <w:rPr>
          <w:rFonts w:hint="eastAsia"/>
          <w:snapToGrid/>
        </w:rPr>
        <w:tab/>
        <w:t xml:space="preserve">436.  </w:t>
      </w:r>
      <w:r>
        <w:rPr>
          <w:rFonts w:hint="eastAsia"/>
          <w:snapToGrid/>
        </w:rPr>
        <w:t>从</w:t>
      </w:r>
      <w:r>
        <w:rPr>
          <w:rFonts w:hint="eastAsia"/>
          <w:snapToGrid/>
        </w:rPr>
        <w:t>2005</w:t>
      </w:r>
      <w:r>
        <w:rPr>
          <w:rFonts w:hint="eastAsia"/>
          <w:snapToGrid/>
        </w:rPr>
        <w:t>年</w:t>
      </w:r>
      <w:r>
        <w:rPr>
          <w:rFonts w:hint="eastAsia"/>
          <w:snapToGrid/>
        </w:rPr>
        <w:t>8</w:t>
      </w:r>
      <w:r>
        <w:rPr>
          <w:rFonts w:hint="eastAsia"/>
          <w:snapToGrid/>
        </w:rPr>
        <w:t>月起，要求提交城市幼儿园和学龄儿童照顾的年度质量报告。这个做法是为了有助于连续不断的后续工作和评估。质量报告的目标是促进地方上提高质量的努力，从而有助于实现国家目标。</w:t>
      </w:r>
    </w:p>
    <w:p w:rsidR="00000000" w:rsidRDefault="00000000">
      <w:pPr>
        <w:rPr>
          <w:rFonts w:hint="eastAsia"/>
          <w:snapToGrid/>
        </w:rPr>
      </w:pPr>
      <w:r>
        <w:rPr>
          <w:rFonts w:hint="eastAsia"/>
          <w:snapToGrid/>
        </w:rPr>
        <w:tab/>
        <w:t xml:space="preserve">437.  </w:t>
      </w:r>
      <w:r>
        <w:rPr>
          <w:rFonts w:hint="eastAsia"/>
          <w:snapToGrid/>
        </w:rPr>
        <w:t>政府法案“幼儿园的质量”</w:t>
      </w:r>
      <w:r>
        <w:rPr>
          <w:rFonts w:hint="eastAsia"/>
          <w:snapToGrid/>
        </w:rPr>
        <w:t>(</w:t>
      </w:r>
      <w:r>
        <w:rPr>
          <w:rFonts w:hint="eastAsia"/>
          <w:snapToGrid/>
        </w:rPr>
        <w:t>政府法案</w:t>
      </w:r>
      <w:r>
        <w:rPr>
          <w:rFonts w:hint="eastAsia"/>
          <w:snapToGrid/>
        </w:rPr>
        <w:t>2004/05</w:t>
      </w:r>
      <w:r>
        <w:rPr>
          <w:rFonts w:hint="eastAsia"/>
          <w:snapToGrid/>
        </w:rPr>
        <w:t>：</w:t>
      </w:r>
      <w:r>
        <w:rPr>
          <w:rFonts w:hint="eastAsia"/>
          <w:snapToGrid/>
        </w:rPr>
        <w:t>11)</w:t>
      </w:r>
      <w:r>
        <w:rPr>
          <w:rFonts w:hint="eastAsia"/>
          <w:snapToGrid/>
        </w:rPr>
        <w:t>强调多元文化的幼儿园。政府修订了幼儿园课程</w:t>
      </w:r>
      <w:r>
        <w:rPr>
          <w:rFonts w:hint="eastAsia"/>
          <w:snapToGrid/>
        </w:rPr>
        <w:t>(Lpfo 98)</w:t>
      </w:r>
      <w:r>
        <w:rPr>
          <w:rFonts w:hint="eastAsia"/>
          <w:snapToGrid/>
        </w:rPr>
        <w:t>，申明幼儿园应当努力确保其母语不是瑞典语的每一名儿童能够发展其文化特性和既以瑞典语又以其母语交流的能力。</w:t>
      </w:r>
    </w:p>
    <w:p w:rsidR="00000000" w:rsidRDefault="00000000">
      <w:pPr>
        <w:spacing w:after="240"/>
        <w:rPr>
          <w:rFonts w:hint="eastAsia"/>
          <w:snapToGrid/>
        </w:rPr>
      </w:pPr>
      <w:r>
        <w:rPr>
          <w:rFonts w:hint="eastAsia"/>
          <w:snapToGrid/>
        </w:rPr>
        <w:tab/>
        <w:t xml:space="preserve">438.  </w:t>
      </w:r>
      <w:r>
        <w:rPr>
          <w:rFonts w:hint="eastAsia"/>
          <w:snapToGrid/>
        </w:rPr>
        <w:t>政府还明确了《国家出资制造某些教材条例》</w:t>
      </w:r>
      <w:r>
        <w:rPr>
          <w:rFonts w:hint="eastAsia"/>
          <w:snapToGrid/>
        </w:rPr>
        <w:t>(1991</w:t>
      </w:r>
      <w:r>
        <w:rPr>
          <w:rFonts w:hint="eastAsia"/>
          <w:snapToGrid/>
        </w:rPr>
        <w:t>：</w:t>
      </w:r>
      <w:r>
        <w:rPr>
          <w:rFonts w:hint="eastAsia"/>
          <w:snapToGrid/>
        </w:rPr>
        <w:t>978)</w:t>
      </w:r>
      <w:r>
        <w:rPr>
          <w:rFonts w:hint="eastAsia"/>
          <w:snapToGrid/>
        </w:rPr>
        <w:t>也应适用于支持幼儿园儿童母语的教材。</w:t>
      </w:r>
    </w:p>
    <w:p w:rsidR="00000000" w:rsidRDefault="00000000">
      <w:pPr>
        <w:pStyle w:val="Heading4"/>
        <w:rPr>
          <w:rFonts w:eastAsia="KaiTi_GB2312" w:hint="eastAsia"/>
          <w:spacing w:val="0"/>
          <w:u w:val="none"/>
        </w:rPr>
      </w:pPr>
      <w:r>
        <w:rPr>
          <w:rFonts w:eastAsia="KaiTi_GB2312" w:hint="eastAsia"/>
          <w:spacing w:val="0"/>
          <w:u w:val="none"/>
        </w:rPr>
        <w:t>学前班</w:t>
      </w:r>
    </w:p>
    <w:p w:rsidR="00000000" w:rsidRDefault="00000000">
      <w:pPr>
        <w:spacing w:after="240"/>
        <w:rPr>
          <w:rFonts w:hint="eastAsia"/>
          <w:snapToGrid/>
        </w:rPr>
      </w:pPr>
      <w:r>
        <w:rPr>
          <w:rFonts w:hint="eastAsia"/>
          <w:snapToGrid/>
        </w:rPr>
        <w:tab/>
        <w:t xml:space="preserve">439.  </w:t>
      </w:r>
      <w:r>
        <w:rPr>
          <w:rFonts w:hint="eastAsia"/>
          <w:snapToGrid/>
        </w:rPr>
        <w:t>学前班是在</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日创建的一种非强迫教育形式，根据规定，各城市有义务为儿童在学前班安插位置，学前班的长度为至少每年</w:t>
      </w:r>
      <w:r>
        <w:rPr>
          <w:rFonts w:hint="eastAsia"/>
          <w:snapToGrid/>
        </w:rPr>
        <w:t>525</w:t>
      </w:r>
      <w:r>
        <w:rPr>
          <w:rFonts w:hint="eastAsia"/>
          <w:snapToGrid/>
        </w:rPr>
        <w:t>小时，从儿童满</w:t>
      </w:r>
      <w:r>
        <w:rPr>
          <w:rFonts w:hint="eastAsia"/>
          <w:snapToGrid/>
        </w:rPr>
        <w:t>6</w:t>
      </w:r>
      <w:r>
        <w:rPr>
          <w:rFonts w:hint="eastAsia"/>
          <w:snapToGrid/>
        </w:rPr>
        <w:t>岁那年的秋季学期开始，到儿童达到进入义务制学校的年龄为止。学前班的教育应当激发每一名儿童的发展和学习，并为未来的学校学习打下坚实基础。基本上所有的</w:t>
      </w:r>
      <w:r>
        <w:rPr>
          <w:rFonts w:hint="eastAsia"/>
          <w:snapToGrid/>
        </w:rPr>
        <w:t>6</w:t>
      </w:r>
      <w:r>
        <w:rPr>
          <w:rFonts w:hint="eastAsia"/>
          <w:snapToGrid/>
        </w:rPr>
        <w:t>岁儿童都招入学前班。义务制学校的国家课程于</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日进行了修订，使其也适用于学前班。学前班是走向实施和达到国家课程目标的第一步。</w:t>
      </w:r>
    </w:p>
    <w:p w:rsidR="00000000" w:rsidRDefault="00000000">
      <w:pPr>
        <w:pStyle w:val="Heading4"/>
        <w:rPr>
          <w:rFonts w:hint="eastAsia"/>
        </w:rPr>
      </w:pPr>
      <w:r>
        <w:rPr>
          <w:rFonts w:hint="eastAsia"/>
          <w:u w:val="none"/>
        </w:rPr>
        <w:tab/>
      </w:r>
      <w:r>
        <w:rPr>
          <w:rFonts w:hint="eastAsia"/>
        </w:rPr>
        <w:t>义务制学校</w:t>
      </w:r>
    </w:p>
    <w:p w:rsidR="00000000" w:rsidRDefault="00000000">
      <w:pPr>
        <w:pStyle w:val="Heading4"/>
        <w:rPr>
          <w:rFonts w:eastAsia="KaiTi_GB2312" w:hint="eastAsia"/>
          <w:spacing w:val="0"/>
          <w:u w:val="none"/>
        </w:rPr>
      </w:pPr>
      <w:r>
        <w:rPr>
          <w:rFonts w:eastAsia="KaiTi_GB2312" w:hint="eastAsia"/>
          <w:spacing w:val="0"/>
          <w:u w:val="none"/>
        </w:rPr>
        <w:t>课程和评分制度</w:t>
      </w:r>
    </w:p>
    <w:p w:rsidR="00000000" w:rsidRDefault="00000000">
      <w:pPr>
        <w:rPr>
          <w:rFonts w:hint="eastAsia"/>
          <w:snapToGrid/>
        </w:rPr>
      </w:pPr>
      <w:r>
        <w:rPr>
          <w:rFonts w:hint="eastAsia"/>
          <w:snapToGrid/>
        </w:rPr>
        <w:tab/>
        <w:t xml:space="preserve">440.  </w:t>
      </w:r>
      <w:r>
        <w:rPr>
          <w:rFonts w:hint="eastAsia"/>
          <w:snapToGrid/>
        </w:rPr>
        <w:t>有一个共同的义务制课程</w:t>
      </w:r>
      <w:r>
        <w:rPr>
          <w:rFonts w:hint="eastAsia"/>
          <w:snapToGrid/>
        </w:rPr>
        <w:t>(Lpo 94)</w:t>
      </w:r>
      <w:r>
        <w:rPr>
          <w:rFonts w:hint="eastAsia"/>
          <w:snapToGrid/>
        </w:rPr>
        <w:t>，适用于学前班、课余休闲中心、义务制学校、萨米族学校、有学习残疾儿童的义务制学校以及特殊学校。这个课程申明瑞典的基础教育价值观及基本目标和准则。每个科目还有一项国家教学大纲。政府在</w:t>
      </w:r>
      <w:r>
        <w:rPr>
          <w:rFonts w:hint="eastAsia"/>
          <w:snapToGrid/>
        </w:rPr>
        <w:t>2006</w:t>
      </w:r>
      <w:r>
        <w:rPr>
          <w:rFonts w:hint="eastAsia"/>
          <w:snapToGrid/>
        </w:rPr>
        <w:t>年</w:t>
      </w:r>
      <w:r>
        <w:rPr>
          <w:rFonts w:hint="eastAsia"/>
          <w:snapToGrid/>
        </w:rPr>
        <w:t>3</w:t>
      </w:r>
      <w:r>
        <w:rPr>
          <w:rFonts w:hint="eastAsia"/>
          <w:snapToGrid/>
        </w:rPr>
        <w:t>月通过的国家人权行动方案中宣布打算在即将提出的关于提议一项新的教育法令的法案中明确教育应当促进人权。联系到对于教育指导文件的一次审议，政府还打算明确人权是学校的民主任务的中心组成部分，以及应当在学校里灌输人权知识。</w:t>
      </w:r>
    </w:p>
    <w:p w:rsidR="00000000" w:rsidRDefault="00000000">
      <w:pPr>
        <w:rPr>
          <w:rFonts w:hint="eastAsia"/>
          <w:snapToGrid/>
        </w:rPr>
      </w:pPr>
      <w:r>
        <w:rPr>
          <w:rFonts w:hint="eastAsia"/>
          <w:snapToGrid/>
        </w:rPr>
        <w:tab/>
        <w:t xml:space="preserve">441.  </w:t>
      </w:r>
      <w:r>
        <w:rPr>
          <w:rFonts w:hint="eastAsia"/>
          <w:snapToGrid/>
        </w:rPr>
        <w:t>政府已经宣布，它希望取消与审议《教育法》有关的对于一项地方学校计划的要求。反过来，应当把重点放在所有学校及负责学校的机关每年应当编制的，作为对这个机构进行连续不断的后续工作和评估的质量报告上。质量报告的目的是促进地方提高质量的努力，从而对实现国家教育目标作出贡献。</w:t>
      </w:r>
    </w:p>
    <w:p w:rsidR="00000000" w:rsidRDefault="00000000">
      <w:pPr>
        <w:rPr>
          <w:rFonts w:hint="eastAsia"/>
          <w:snapToGrid/>
        </w:rPr>
      </w:pPr>
      <w:r>
        <w:rPr>
          <w:rFonts w:hint="eastAsia"/>
          <w:snapToGrid/>
        </w:rPr>
        <w:tab/>
        <w:t xml:space="preserve">442.  </w:t>
      </w:r>
      <w:r>
        <w:rPr>
          <w:rFonts w:hint="eastAsia"/>
          <w:snapToGrid/>
        </w:rPr>
        <w:t>学生有权获得的由教师引导的各科教学的保证最少学时在一份时间表中开列出来。时间表中某些数量的学时是根据学生的选择安排的，也就是说，个别学生可以选择学习一门或数门比较高级的学科。学校可以在规定的框架里利用这些学时，将比时间表所要求的更多的时间用于某些学科。从</w:t>
      </w:r>
      <w:r>
        <w:rPr>
          <w:rFonts w:hint="eastAsia"/>
          <w:snapToGrid/>
        </w:rPr>
        <w:t>2000</w:t>
      </w:r>
      <w:r>
        <w:rPr>
          <w:rFonts w:hint="eastAsia"/>
          <w:snapToGrid/>
        </w:rPr>
        <w:t>年秋季以来，差不多有</w:t>
      </w:r>
      <w:r>
        <w:rPr>
          <w:rFonts w:hint="eastAsia"/>
          <w:snapToGrid/>
        </w:rPr>
        <w:t>20%</w:t>
      </w:r>
      <w:r>
        <w:rPr>
          <w:rFonts w:hint="eastAsia"/>
          <w:snapToGrid/>
        </w:rPr>
        <w:t>的城市义务制学校参与一项没有国家规定时间表的试点教育方案。学校的工作转而完全由课程和各学科教学大纲申述的目标所管理。其任务包括监测和评估这项试点方案的一个委员会建议所有的义务制学校都不用这份时间表。这项提议目前正在准备中。</w:t>
      </w:r>
    </w:p>
    <w:p w:rsidR="00000000" w:rsidRDefault="00000000">
      <w:pPr>
        <w:rPr>
          <w:rFonts w:hint="eastAsia"/>
          <w:snapToGrid/>
        </w:rPr>
      </w:pPr>
      <w:r>
        <w:rPr>
          <w:rFonts w:hint="eastAsia"/>
          <w:snapToGrid/>
        </w:rPr>
        <w:tab/>
        <w:t xml:space="preserve">443.  </w:t>
      </w:r>
      <w:r>
        <w:rPr>
          <w:rFonts w:hint="eastAsia"/>
          <w:snapToGrid/>
        </w:rPr>
        <w:t>从</w:t>
      </w:r>
      <w:r>
        <w:rPr>
          <w:rFonts w:hint="eastAsia"/>
          <w:snapToGrid/>
        </w:rPr>
        <w:t>8</w:t>
      </w:r>
      <w:r>
        <w:rPr>
          <w:rFonts w:hint="eastAsia"/>
          <w:snapToGrid/>
        </w:rPr>
        <w:t>年级秋季学期开始，每学期都以三级制评分。</w:t>
      </w:r>
      <w:r>
        <w:rPr>
          <w:rFonts w:hint="eastAsia"/>
          <w:snapToGrid/>
        </w:rPr>
        <w:t>9</w:t>
      </w:r>
      <w:r>
        <w:rPr>
          <w:rFonts w:hint="eastAsia"/>
          <w:snapToGrid/>
        </w:rPr>
        <w:t>年级没有达到教学大纲所规定的目标，也就是说不及格的学生，这门学科就拿不到分数，而是拿到一则书面考评。在整个义务制学校学习期间，定期向学生和他们的家长告知学习进展和成绩的情况，部分是通过家长、教师和学生都参加的定期个人发展对话而这样做的。如果出现一名学生需要特殊支助措施的情况，主任老师应确保准备一项行动计划。应当给予这名学生和学生的法定监护人参加制定这项计划的机会。政府在</w:t>
      </w:r>
      <w:r>
        <w:rPr>
          <w:rFonts w:hint="eastAsia"/>
          <w:snapToGrid/>
        </w:rPr>
        <w:t>2006</w:t>
      </w:r>
      <w:r>
        <w:rPr>
          <w:rFonts w:hint="eastAsia"/>
          <w:snapToGrid/>
        </w:rPr>
        <w:t>年</w:t>
      </w:r>
      <w:r>
        <w:rPr>
          <w:rFonts w:hint="eastAsia"/>
          <w:snapToGrid/>
        </w:rPr>
        <w:t>3</w:t>
      </w:r>
      <w:r>
        <w:rPr>
          <w:rFonts w:hint="eastAsia"/>
          <w:snapToGrid/>
        </w:rPr>
        <w:t>月</w:t>
      </w:r>
      <w:r>
        <w:rPr>
          <w:rFonts w:hint="eastAsia"/>
          <w:snapToGrid/>
        </w:rPr>
        <w:t>23</w:t>
      </w:r>
      <w:r>
        <w:rPr>
          <w:rFonts w:hint="eastAsia"/>
          <w:snapToGrid/>
        </w:rPr>
        <w:t>日决定修订这项条例关于行动计划的规定，根据这项规定，如果出现一名学生可能需要支助措施的情况，主任老师应确保开始一个评估过程。行动计划应当具体写明需要，如何满足这些需要，以及如何对措施进行后续和评估。政府认为，应当更加明确学校在整个义务制学校学习期间连续不断向家长和学生告知学生学习进展情况的责任。因此，政府决定，从</w:t>
      </w:r>
      <w:r>
        <w:rPr>
          <w:rFonts w:hint="eastAsia"/>
          <w:snapToGrid/>
        </w:rPr>
        <w:t>2006</w:t>
      </w:r>
      <w:r>
        <w:rPr>
          <w:rFonts w:hint="eastAsia"/>
          <w:snapToGrid/>
        </w:rPr>
        <w:t>年春季学期开始，所有义务制学校和相当形式的学校都要有一项面向未来的个人发展计划。与个人发展对话一起，教师应当在面向未来的个人发展计划中概述这名学生为了达到目标以及在课程和各学科教学大纲框架内在其他方面最大限度地发展所必须采取的措施。</w:t>
      </w:r>
    </w:p>
    <w:p w:rsidR="00000000" w:rsidRDefault="00000000">
      <w:pPr>
        <w:spacing w:after="240"/>
        <w:rPr>
          <w:rFonts w:hint="eastAsia"/>
          <w:snapToGrid/>
          <w:u w:val="single"/>
        </w:rPr>
      </w:pPr>
      <w:r>
        <w:rPr>
          <w:rFonts w:hint="eastAsia"/>
          <w:snapToGrid/>
        </w:rPr>
        <w:tab/>
        <w:t xml:space="preserve">444.  </w:t>
      </w:r>
      <w:r>
        <w:rPr>
          <w:rFonts w:hint="eastAsia"/>
          <w:snapToGrid/>
        </w:rPr>
        <w:t>在</w:t>
      </w:r>
      <w:r>
        <w:rPr>
          <w:rFonts w:hint="eastAsia"/>
          <w:snapToGrid/>
        </w:rPr>
        <w:t>5</w:t>
      </w:r>
      <w:r>
        <w:rPr>
          <w:rFonts w:hint="eastAsia"/>
          <w:snapToGrid/>
        </w:rPr>
        <w:t>年级</w:t>
      </w:r>
      <w:r>
        <w:rPr>
          <w:rFonts w:hint="eastAsia"/>
          <w:snapToGrid/>
        </w:rPr>
        <w:t>(</w:t>
      </w:r>
      <w:r>
        <w:rPr>
          <w:rFonts w:hint="eastAsia"/>
          <w:snapToGrid/>
        </w:rPr>
        <w:t>自愿的</w:t>
      </w:r>
      <w:r>
        <w:rPr>
          <w:rFonts w:hint="eastAsia"/>
          <w:snapToGrid/>
        </w:rPr>
        <w:t>)</w:t>
      </w:r>
      <w:r>
        <w:rPr>
          <w:rFonts w:hint="eastAsia"/>
          <w:snapToGrid/>
        </w:rPr>
        <w:t>或</w:t>
      </w:r>
      <w:r>
        <w:rPr>
          <w:rFonts w:hint="eastAsia"/>
          <w:snapToGrid/>
        </w:rPr>
        <w:t>8</w:t>
      </w:r>
      <w:r>
        <w:rPr>
          <w:rFonts w:hint="eastAsia"/>
          <w:snapToGrid/>
        </w:rPr>
        <w:t>年级</w:t>
      </w:r>
      <w:r>
        <w:rPr>
          <w:rFonts w:hint="eastAsia"/>
          <w:snapToGrid/>
        </w:rPr>
        <w:t>(</w:t>
      </w:r>
      <w:r>
        <w:rPr>
          <w:rFonts w:hint="eastAsia"/>
          <w:snapToGrid/>
        </w:rPr>
        <w:t>强制性的</w:t>
      </w:r>
      <w:r>
        <w:rPr>
          <w:rFonts w:hint="eastAsia"/>
          <w:snapToGrid/>
        </w:rPr>
        <w:t>)</w:t>
      </w:r>
      <w:r>
        <w:rPr>
          <w:rFonts w:hint="eastAsia"/>
          <w:snapToGrid/>
        </w:rPr>
        <w:t>举行的全国性瑞典语、英语和数学考试是由国家教育署所编制的，以方便估定学生的进步和评估教师的成果。几乎所有的学校在</w:t>
      </w:r>
      <w:r>
        <w:rPr>
          <w:rFonts w:hint="eastAsia"/>
          <w:snapToGrid/>
        </w:rPr>
        <w:t>5</w:t>
      </w:r>
      <w:r>
        <w:rPr>
          <w:rFonts w:hint="eastAsia"/>
          <w:snapToGrid/>
        </w:rPr>
        <w:t>年级举行全国性考试。这种全国性考试是教师的一种有用工具，因为它也包含诊断性的指示。正在建立一个各学科考试的数据库。</w:t>
      </w:r>
    </w:p>
    <w:p w:rsidR="00000000" w:rsidRDefault="00000000">
      <w:pPr>
        <w:pStyle w:val="Heading4"/>
        <w:rPr>
          <w:rFonts w:eastAsia="KaiTi_GB2312" w:hint="eastAsia"/>
          <w:spacing w:val="0"/>
          <w:u w:val="none"/>
        </w:rPr>
      </w:pPr>
      <w:r>
        <w:rPr>
          <w:rFonts w:eastAsia="KaiTi_GB2312" w:hint="eastAsia"/>
          <w:spacing w:val="0"/>
          <w:u w:val="none"/>
        </w:rPr>
        <w:t>母语教学</w:t>
      </w:r>
    </w:p>
    <w:p w:rsidR="00000000" w:rsidRDefault="00000000">
      <w:pPr>
        <w:rPr>
          <w:rFonts w:hint="eastAsia"/>
          <w:snapToGrid/>
        </w:rPr>
      </w:pPr>
      <w:r>
        <w:rPr>
          <w:rFonts w:hint="eastAsia"/>
          <w:snapToGrid/>
        </w:rPr>
        <w:tab/>
        <w:t xml:space="preserve">445.  </w:t>
      </w:r>
      <w:r>
        <w:rPr>
          <w:rFonts w:hint="eastAsia"/>
          <w:snapToGrid/>
        </w:rPr>
        <w:t>如果学生的法定监护人一方名或双方的母语不是瑞典语，而这种语言在学生的日常交流中使用，则应当作为一个分别的学科向该学生提供这种语言的教学</w:t>
      </w:r>
      <w:r>
        <w:rPr>
          <w:rFonts w:hint="eastAsia"/>
          <w:snapToGrid/>
        </w:rPr>
        <w:t>(</w:t>
      </w:r>
      <w:r>
        <w:rPr>
          <w:rFonts w:hint="eastAsia"/>
          <w:snapToGrid/>
        </w:rPr>
        <w:t>母语教学</w:t>
      </w:r>
      <w:r>
        <w:rPr>
          <w:rFonts w:hint="eastAsia"/>
          <w:snapToGrid/>
        </w:rPr>
        <w:t>)</w:t>
      </w:r>
      <w:r>
        <w:rPr>
          <w:rFonts w:hint="eastAsia"/>
          <w:snapToGrid/>
        </w:rPr>
        <w:t>。</w:t>
      </w:r>
      <w:r>
        <w:rPr>
          <w:rFonts w:hint="eastAsia"/>
          <w:snapToGrid/>
        </w:rPr>
        <w:t>(</w:t>
      </w:r>
      <w:r>
        <w:rPr>
          <w:rFonts w:hint="eastAsia"/>
          <w:snapToGrid/>
        </w:rPr>
        <w:t>参看《结论性意见》第</w:t>
      </w:r>
      <w:r>
        <w:rPr>
          <w:rFonts w:hint="eastAsia"/>
          <w:snapToGrid/>
        </w:rPr>
        <w:t>38</w:t>
      </w:r>
      <w:r>
        <w:rPr>
          <w:rFonts w:hint="eastAsia"/>
          <w:snapToGrid/>
        </w:rPr>
        <w:t>项。</w:t>
      </w:r>
      <w:r>
        <w:rPr>
          <w:rFonts w:hint="eastAsia"/>
          <w:snapToGrid/>
        </w:rPr>
        <w:t>)</w:t>
      </w:r>
      <w:r>
        <w:rPr>
          <w:rFonts w:hint="eastAsia"/>
          <w:snapToGrid/>
        </w:rPr>
        <w:t>在</w:t>
      </w:r>
      <w:r>
        <w:rPr>
          <w:rFonts w:hint="eastAsia"/>
          <w:snapToGrid/>
        </w:rPr>
        <w:t>2004-2005</w:t>
      </w:r>
      <w:r>
        <w:rPr>
          <w:rFonts w:hint="eastAsia"/>
          <w:snapToGrid/>
        </w:rPr>
        <w:t>学年，将近</w:t>
      </w:r>
      <w:r>
        <w:rPr>
          <w:rFonts w:hint="eastAsia"/>
          <w:snapToGrid/>
        </w:rPr>
        <w:t>14%</w:t>
      </w:r>
      <w:r>
        <w:rPr>
          <w:rFonts w:hint="eastAsia"/>
          <w:snapToGrid/>
        </w:rPr>
        <w:t>的学童有瑞典语以外的母语，而他们之中大约</w:t>
      </w:r>
      <w:r>
        <w:rPr>
          <w:rFonts w:hint="eastAsia"/>
          <w:snapToGrid/>
        </w:rPr>
        <w:t>55%</w:t>
      </w:r>
      <w:r>
        <w:rPr>
          <w:rFonts w:hint="eastAsia"/>
          <w:snapToGrid/>
        </w:rPr>
        <w:t>获得这种语言的教学。最普遍的语言是芬兰语、波斯尼亚</w:t>
      </w:r>
      <w:r>
        <w:rPr>
          <w:rFonts w:hint="eastAsia"/>
          <w:snapToGrid/>
        </w:rPr>
        <w:t>/</w:t>
      </w:r>
      <w:r>
        <w:rPr>
          <w:rFonts w:hint="eastAsia"/>
          <w:snapToGrid/>
        </w:rPr>
        <w:t>克罗地亚</w:t>
      </w:r>
      <w:r>
        <w:rPr>
          <w:rFonts w:hint="eastAsia"/>
          <w:snapToGrid/>
        </w:rPr>
        <w:t>/</w:t>
      </w:r>
      <w:r>
        <w:rPr>
          <w:rFonts w:hint="eastAsia"/>
          <w:snapToGrid/>
        </w:rPr>
        <w:t>塞尔维亚语言和阿拉伯语。</w:t>
      </w:r>
    </w:p>
    <w:p w:rsidR="00000000" w:rsidRDefault="00000000">
      <w:pPr>
        <w:spacing w:after="240"/>
        <w:rPr>
          <w:rFonts w:hint="eastAsia"/>
          <w:snapToGrid/>
        </w:rPr>
      </w:pPr>
      <w:r>
        <w:rPr>
          <w:rFonts w:hint="eastAsia"/>
          <w:snapToGrid/>
        </w:rPr>
        <w:tab/>
        <w:t xml:space="preserve">446.  </w:t>
      </w:r>
      <w:r>
        <w:rPr>
          <w:rFonts w:hint="eastAsia"/>
          <w:snapToGrid/>
        </w:rPr>
        <w:t>政府在</w:t>
      </w:r>
      <w:r>
        <w:rPr>
          <w:rFonts w:hint="eastAsia"/>
          <w:snapToGrid/>
        </w:rPr>
        <w:t>2004</w:t>
      </w:r>
      <w:r>
        <w:rPr>
          <w:rFonts w:hint="eastAsia"/>
          <w:snapToGrid/>
        </w:rPr>
        <w:t>年</w:t>
      </w:r>
      <w:r>
        <w:rPr>
          <w:rFonts w:hint="eastAsia"/>
          <w:snapToGrid/>
        </w:rPr>
        <w:t>11</w:t>
      </w:r>
      <w:r>
        <w:rPr>
          <w:rFonts w:hint="eastAsia"/>
          <w:snapToGrid/>
        </w:rPr>
        <w:t>月指令国家教育署调查瑞典少数民族的教育状况。最后报告于</w:t>
      </w:r>
      <w:r>
        <w:rPr>
          <w:rFonts w:hint="eastAsia"/>
          <w:snapToGrid/>
        </w:rPr>
        <w:t>2005</w:t>
      </w:r>
      <w:r>
        <w:rPr>
          <w:rFonts w:hint="eastAsia"/>
          <w:snapToGrid/>
        </w:rPr>
        <w:t>年</w:t>
      </w:r>
      <w:r>
        <w:rPr>
          <w:rFonts w:hint="eastAsia"/>
          <w:snapToGrid/>
        </w:rPr>
        <w:t>10</w:t>
      </w:r>
      <w:r>
        <w:rPr>
          <w:rFonts w:hint="eastAsia"/>
          <w:snapToGrid/>
        </w:rPr>
        <w:t>月份提交。国家教育署的建议包括所有的少数民族</w:t>
      </w:r>
      <w:r>
        <w:rPr>
          <w:rFonts w:hint="eastAsia"/>
          <w:snapToGrid/>
        </w:rPr>
        <w:t>(</w:t>
      </w:r>
      <w:r>
        <w:rPr>
          <w:rFonts w:hint="eastAsia"/>
          <w:snapToGrid/>
        </w:rPr>
        <w:t>芬兰人、</w:t>
      </w:r>
      <w:r>
        <w:rPr>
          <w:rFonts w:hint="eastAsia"/>
          <w:snapToGrid/>
        </w:rPr>
        <w:t>Tornedal</w:t>
      </w:r>
      <w:r>
        <w:rPr>
          <w:rFonts w:hint="eastAsia"/>
          <w:snapToGrid/>
        </w:rPr>
        <w:t>芬兰人、犹太人、萨米人和罗姆人</w:t>
      </w:r>
      <w:r>
        <w:rPr>
          <w:rFonts w:hint="eastAsia"/>
          <w:snapToGrid/>
        </w:rPr>
        <w:t>)</w:t>
      </w:r>
      <w:r>
        <w:rPr>
          <w:rFonts w:hint="eastAsia"/>
          <w:snapToGrid/>
        </w:rPr>
        <w:t>拥有更加全面的母语教学权。这些提议目前正在经济政府办公机构准备。</w:t>
      </w:r>
    </w:p>
    <w:p w:rsidR="00000000" w:rsidRDefault="00000000">
      <w:pPr>
        <w:pStyle w:val="Heading4"/>
        <w:rPr>
          <w:rFonts w:eastAsia="KaiTi_GB2312" w:hint="eastAsia"/>
          <w:spacing w:val="0"/>
          <w:u w:val="none"/>
        </w:rPr>
      </w:pPr>
      <w:r>
        <w:rPr>
          <w:rFonts w:eastAsia="KaiTi_GB2312" w:hint="eastAsia"/>
          <w:spacing w:val="0"/>
          <w:u w:val="none"/>
        </w:rPr>
        <w:t>隔离地区的教育</w:t>
      </w:r>
    </w:p>
    <w:p w:rsidR="00000000" w:rsidRDefault="00000000">
      <w:pPr>
        <w:spacing w:after="240"/>
        <w:rPr>
          <w:rFonts w:hint="eastAsia"/>
          <w:snapToGrid/>
        </w:rPr>
      </w:pPr>
      <w:r>
        <w:rPr>
          <w:rFonts w:hint="eastAsia"/>
          <w:snapToGrid/>
        </w:rPr>
        <w:tab/>
        <w:t xml:space="preserve">447.  </w:t>
      </w:r>
      <w:r>
        <w:rPr>
          <w:rFonts w:hint="eastAsia"/>
          <w:snapToGrid/>
        </w:rPr>
        <w:t>政府在几年时间内进行了旨在改善隔离地区的幼儿园和学校的处境的特别投资。在这些地区，在达到教育目标方面有困难的学生</w:t>
      </w:r>
      <w:r>
        <w:rPr>
          <w:rFonts w:hint="eastAsia"/>
          <w:snapToGrid/>
          <w:spacing w:val="-50"/>
        </w:rPr>
        <w:t>―</w:t>
      </w:r>
      <w:r>
        <w:rPr>
          <w:rFonts w:hint="eastAsia"/>
          <w:snapToGrid/>
        </w:rPr>
        <w:t>―其中许多人是有外国背景的人</w:t>
      </w:r>
      <w:r>
        <w:rPr>
          <w:rFonts w:hint="eastAsia"/>
          <w:snapToGrid/>
          <w:spacing w:val="-50"/>
        </w:rPr>
        <w:t>―</w:t>
      </w:r>
      <w:r>
        <w:rPr>
          <w:rFonts w:hint="eastAsia"/>
          <w:snapToGrid/>
        </w:rPr>
        <w:t>―超过了他们的人口比例。投资在</w:t>
      </w:r>
      <w:r>
        <w:rPr>
          <w:rFonts w:hint="eastAsia"/>
          <w:snapToGrid/>
        </w:rPr>
        <w:t>2006</w:t>
      </w:r>
      <w:r>
        <w:rPr>
          <w:rFonts w:hint="eastAsia"/>
          <w:snapToGrid/>
        </w:rPr>
        <w:t>年增加了</w:t>
      </w:r>
      <w:r>
        <w:rPr>
          <w:rFonts w:hint="eastAsia"/>
          <w:snapToGrid/>
        </w:rPr>
        <w:t>7,000</w:t>
      </w:r>
      <w:r>
        <w:rPr>
          <w:rFonts w:hint="eastAsia"/>
          <w:snapToGrid/>
        </w:rPr>
        <w:t>万瑞典克朗，在</w:t>
      </w:r>
      <w:r>
        <w:rPr>
          <w:rFonts w:hint="eastAsia"/>
          <w:snapToGrid/>
        </w:rPr>
        <w:t>2007</w:t>
      </w:r>
      <w:r>
        <w:rPr>
          <w:rFonts w:hint="eastAsia"/>
          <w:snapToGrid/>
        </w:rPr>
        <w:t>年增加</w:t>
      </w:r>
      <w:r>
        <w:rPr>
          <w:rFonts w:hint="eastAsia"/>
          <w:snapToGrid/>
        </w:rPr>
        <w:t>1.55</w:t>
      </w:r>
      <w:r>
        <w:rPr>
          <w:rFonts w:hint="eastAsia"/>
          <w:snapToGrid/>
        </w:rPr>
        <w:t>亿瑞典克朗，一共是</w:t>
      </w:r>
      <w:r>
        <w:rPr>
          <w:rFonts w:hint="eastAsia"/>
          <w:snapToGrid/>
        </w:rPr>
        <w:t>2.25</w:t>
      </w:r>
      <w:r>
        <w:rPr>
          <w:rFonts w:hint="eastAsia"/>
          <w:snapToGrid/>
        </w:rPr>
        <w:t>亿瑞典克朗。将特别把重点放在那些在他们的学龄晚期移民到瑞典的学生。目标是改善达到目标以及增加以及格分数离开义务制学校和中学的学生人数。投资将资助旨在改进阅读能力的举措、以母语教授各学科，包括教授该语言本身、瑞典语和作为第二语言的瑞典语，以及教师和主任教师技能的提高。投资将专门用于需求最殷的</w:t>
      </w:r>
      <w:r>
        <w:rPr>
          <w:rFonts w:hint="eastAsia"/>
          <w:snapToGrid/>
        </w:rPr>
        <w:t>38</w:t>
      </w:r>
      <w:r>
        <w:rPr>
          <w:rFonts w:hint="eastAsia"/>
          <w:snapToGrid/>
        </w:rPr>
        <w:t>个城市里的</w:t>
      </w:r>
      <w:r>
        <w:rPr>
          <w:rFonts w:hint="eastAsia"/>
          <w:snapToGrid/>
        </w:rPr>
        <w:t>100</w:t>
      </w:r>
      <w:r>
        <w:rPr>
          <w:rFonts w:hint="eastAsia"/>
          <w:snapToGrid/>
        </w:rPr>
        <w:t>所学校。</w:t>
      </w:r>
    </w:p>
    <w:p w:rsidR="00000000" w:rsidRDefault="00000000">
      <w:pPr>
        <w:pStyle w:val="Heading4"/>
        <w:rPr>
          <w:rFonts w:eastAsia="KaiTi_GB2312" w:hint="eastAsia"/>
          <w:spacing w:val="0"/>
          <w:u w:val="none"/>
        </w:rPr>
      </w:pPr>
      <w:r>
        <w:rPr>
          <w:rFonts w:eastAsia="KaiTi_GB2312" w:hint="eastAsia"/>
          <w:spacing w:val="0"/>
          <w:u w:val="none"/>
        </w:rPr>
        <w:t>对于新来学生的投资</w:t>
      </w:r>
    </w:p>
    <w:p w:rsidR="00000000" w:rsidRDefault="00000000">
      <w:pPr>
        <w:spacing w:after="240"/>
        <w:rPr>
          <w:rFonts w:hint="eastAsia"/>
          <w:snapToGrid/>
        </w:rPr>
      </w:pPr>
      <w:r>
        <w:rPr>
          <w:rFonts w:hint="eastAsia"/>
          <w:snapToGrid/>
        </w:rPr>
        <w:tab/>
        <w:t xml:space="preserve">448.  </w:t>
      </w:r>
      <w:r>
        <w:rPr>
          <w:rFonts w:hint="eastAsia"/>
          <w:snapToGrid/>
        </w:rPr>
        <w:t>政府在</w:t>
      </w:r>
      <w:r>
        <w:rPr>
          <w:rFonts w:hint="eastAsia"/>
          <w:snapToGrid/>
        </w:rPr>
        <w:t>2006</w:t>
      </w:r>
      <w:r>
        <w:rPr>
          <w:rFonts w:hint="eastAsia"/>
          <w:snapToGrid/>
        </w:rPr>
        <w:t>年春季预算法案</w:t>
      </w:r>
      <w:r>
        <w:rPr>
          <w:rFonts w:hint="eastAsia"/>
          <w:snapToGrid/>
        </w:rPr>
        <w:t>(2005/06</w:t>
      </w:r>
      <w:r>
        <w:rPr>
          <w:rFonts w:hint="eastAsia"/>
          <w:snapToGrid/>
        </w:rPr>
        <w:t>：</w:t>
      </w:r>
      <w:r>
        <w:rPr>
          <w:rFonts w:hint="eastAsia"/>
          <w:snapToGrid/>
        </w:rPr>
        <w:t>100)</w:t>
      </w:r>
      <w:r>
        <w:rPr>
          <w:rFonts w:hint="eastAsia"/>
          <w:snapToGrid/>
        </w:rPr>
        <w:t>中申明，应当制订一项教育新来的儿童和青年人的国家战略。政府打算指令有关教育部门做出一项新来儿童和青年人的教育状况的国家评估。这件任务应当包括提议各种措施，其中包括的规章的改变以及为了改善平等和提高新来学生的教育质量所要求的其他措施。</w:t>
      </w:r>
    </w:p>
    <w:p w:rsidR="00000000" w:rsidRDefault="00000000">
      <w:pPr>
        <w:pStyle w:val="Heading4"/>
        <w:rPr>
          <w:rFonts w:eastAsia="KaiTi_GB2312" w:hint="eastAsia"/>
          <w:spacing w:val="0"/>
          <w:u w:val="none"/>
        </w:rPr>
      </w:pPr>
      <w:r>
        <w:rPr>
          <w:rFonts w:eastAsia="KaiTi_GB2312" w:hint="eastAsia"/>
          <w:spacing w:val="0"/>
          <w:u w:val="none"/>
        </w:rPr>
        <w:t>独立学校</w:t>
      </w:r>
    </w:p>
    <w:p w:rsidR="00000000" w:rsidRDefault="00000000">
      <w:pPr>
        <w:rPr>
          <w:rFonts w:hint="eastAsia"/>
          <w:snapToGrid/>
        </w:rPr>
      </w:pPr>
      <w:r>
        <w:rPr>
          <w:rFonts w:hint="eastAsia"/>
          <w:snapToGrid/>
        </w:rPr>
        <w:tab/>
        <w:t>449.  2004/2005</w:t>
      </w:r>
      <w:r>
        <w:rPr>
          <w:rFonts w:hint="eastAsia"/>
          <w:snapToGrid/>
        </w:rPr>
        <w:t>年期间，瑞典一共有</w:t>
      </w:r>
      <w:r>
        <w:rPr>
          <w:rFonts w:hint="eastAsia"/>
          <w:snapToGrid/>
        </w:rPr>
        <w:t>565</w:t>
      </w:r>
      <w:r>
        <w:rPr>
          <w:rFonts w:hint="eastAsia"/>
          <w:snapToGrid/>
        </w:rPr>
        <w:t>所独立的</w:t>
      </w:r>
      <w:r>
        <w:rPr>
          <w:rFonts w:hint="eastAsia"/>
          <w:snapToGrid/>
        </w:rPr>
        <w:t>(</w:t>
      </w:r>
      <w:r>
        <w:rPr>
          <w:rFonts w:hint="eastAsia"/>
          <w:snapToGrid/>
        </w:rPr>
        <w:t>私立的</w:t>
      </w:r>
      <w:r>
        <w:rPr>
          <w:rFonts w:hint="eastAsia"/>
          <w:snapToGrid/>
        </w:rPr>
        <w:t>)</w:t>
      </w:r>
      <w:r>
        <w:rPr>
          <w:rFonts w:hint="eastAsia"/>
          <w:snapToGrid/>
        </w:rPr>
        <w:t>义务制学校。瑞典有大约</w:t>
      </w:r>
      <w:r>
        <w:rPr>
          <w:rFonts w:hint="eastAsia"/>
          <w:snapToGrid/>
        </w:rPr>
        <w:t>6.8%</w:t>
      </w:r>
      <w:r>
        <w:rPr>
          <w:rFonts w:hint="eastAsia"/>
          <w:snapToGrid/>
        </w:rPr>
        <w:t>的学生在这些独立的义务制学校上学。</w:t>
      </w:r>
    </w:p>
    <w:p w:rsidR="00000000" w:rsidRDefault="00000000">
      <w:pPr>
        <w:spacing w:after="240"/>
        <w:rPr>
          <w:rFonts w:hint="eastAsia"/>
          <w:snapToGrid/>
        </w:rPr>
      </w:pPr>
      <w:r>
        <w:rPr>
          <w:rFonts w:hint="eastAsia"/>
          <w:snapToGrid/>
        </w:rPr>
        <w:tab/>
        <w:t xml:space="preserve">450.  </w:t>
      </w:r>
      <w:r>
        <w:rPr>
          <w:rFonts w:hint="eastAsia"/>
          <w:snapToGrid/>
        </w:rPr>
        <w:t>独立学校必须符合与市立学校相同的标准。它们必须按照《教育法》和国家课程的规定提供教学。它们必须服从与市立学校一样的监督和检查。市立学校与独立学校的条件应当公平、平等，独立学校应当向所有学生开放，而不论其社会背景、文化或宗教信仰。独立学校的供资规则必需有城市责任、受到法律管辖、确定应向每一名学生提供的资金金额，同时考虑到学校的承诺和学生的需求。确定供资的理由应当与城市在向其本身的学校分拨资源时所适用的理由相同。</w:t>
      </w:r>
    </w:p>
    <w:p w:rsidR="00000000" w:rsidRDefault="00000000">
      <w:pPr>
        <w:pStyle w:val="Heading4"/>
        <w:rPr>
          <w:rFonts w:eastAsia="KaiTi_GB2312" w:hint="eastAsia"/>
          <w:spacing w:val="0"/>
          <w:u w:val="none"/>
        </w:rPr>
      </w:pPr>
      <w:r>
        <w:rPr>
          <w:rFonts w:eastAsia="KaiTi_GB2312" w:hint="eastAsia"/>
          <w:spacing w:val="0"/>
          <w:u w:val="none"/>
        </w:rPr>
        <w:t>总</w:t>
      </w:r>
      <w:r>
        <w:rPr>
          <w:rFonts w:eastAsia="KaiTi_GB2312" w:hint="eastAsia"/>
          <w:spacing w:val="0"/>
          <w:u w:val="none"/>
        </w:rPr>
        <w:t xml:space="preserve">  </w:t>
      </w:r>
      <w:r>
        <w:rPr>
          <w:rFonts w:eastAsia="KaiTi_GB2312" w:hint="eastAsia"/>
          <w:spacing w:val="0"/>
          <w:u w:val="none"/>
        </w:rPr>
        <w:t>述</w:t>
      </w:r>
    </w:p>
    <w:p w:rsidR="00000000" w:rsidRDefault="00000000">
      <w:pPr>
        <w:spacing w:after="240"/>
        <w:rPr>
          <w:rFonts w:hint="eastAsia"/>
          <w:snapToGrid/>
        </w:rPr>
      </w:pPr>
      <w:r>
        <w:rPr>
          <w:rFonts w:hint="eastAsia"/>
          <w:snapToGrid/>
        </w:rPr>
        <w:tab/>
        <w:t xml:space="preserve">451.  </w:t>
      </w:r>
      <w:r>
        <w:rPr>
          <w:rFonts w:hint="eastAsia"/>
          <w:snapToGrid/>
        </w:rPr>
        <w:t>在</w:t>
      </w:r>
      <w:r>
        <w:rPr>
          <w:rFonts w:hint="eastAsia"/>
          <w:snapToGrid/>
        </w:rPr>
        <w:t>2004/05</w:t>
      </w:r>
      <w:r>
        <w:rPr>
          <w:rFonts w:hint="eastAsia"/>
          <w:snapToGrid/>
        </w:rPr>
        <w:t>学年，有</w:t>
      </w:r>
      <w:r>
        <w:rPr>
          <w:rFonts w:hint="eastAsia"/>
          <w:snapToGrid/>
        </w:rPr>
        <w:t>1%</w:t>
      </w:r>
      <w:r>
        <w:rPr>
          <w:rFonts w:hint="eastAsia"/>
          <w:snapToGrid/>
        </w:rPr>
        <w:t>的没有以及格分数离开义务制学校。</w:t>
      </w:r>
    </w:p>
    <w:p w:rsidR="00000000" w:rsidRDefault="00000000">
      <w:pPr>
        <w:pStyle w:val="Heading4"/>
        <w:rPr>
          <w:rFonts w:hint="eastAsia"/>
        </w:rPr>
      </w:pPr>
      <w:r>
        <w:rPr>
          <w:rFonts w:hint="eastAsia"/>
          <w:u w:val="none"/>
        </w:rPr>
        <w:tab/>
      </w:r>
      <w:r>
        <w:rPr>
          <w:rFonts w:hint="eastAsia"/>
        </w:rPr>
        <w:t>高级中学</w:t>
      </w:r>
    </w:p>
    <w:p w:rsidR="00000000" w:rsidRDefault="00000000">
      <w:pPr>
        <w:rPr>
          <w:rFonts w:hint="eastAsia"/>
          <w:snapToGrid/>
        </w:rPr>
      </w:pPr>
      <w:r>
        <w:rPr>
          <w:rFonts w:hint="eastAsia"/>
          <w:snapToGrid/>
        </w:rPr>
        <w:tab/>
        <w:t xml:space="preserve">452.  </w:t>
      </w:r>
      <w:r>
        <w:rPr>
          <w:rFonts w:hint="eastAsia"/>
          <w:snapToGrid/>
        </w:rPr>
        <w:t>高中教育是自愿的，包括</w:t>
      </w:r>
      <w:r>
        <w:rPr>
          <w:rFonts w:hint="eastAsia"/>
          <w:snapToGrid/>
        </w:rPr>
        <w:t>17</w:t>
      </w:r>
      <w:r>
        <w:rPr>
          <w:rFonts w:hint="eastAsia"/>
          <w:snapToGrid/>
        </w:rPr>
        <w:t>种国家班以及特别设计和独立的学习班级。所有青年人都有平等获得教育的权利，这种教育在全国无论何处提供都是等值的。应当照顾需要特殊支助的学生。不收学费，但是城市可能决定学生必须提供某些</w:t>
      </w:r>
      <w:r>
        <w:rPr>
          <w:rFonts w:hint="eastAsia"/>
          <w:snapToGrid/>
        </w:rPr>
        <w:t>(</w:t>
      </w:r>
      <w:r>
        <w:rPr>
          <w:rFonts w:hint="eastAsia"/>
          <w:snapToGrid/>
        </w:rPr>
        <w:t>有限的</w:t>
      </w:r>
      <w:r>
        <w:rPr>
          <w:rFonts w:hint="eastAsia"/>
          <w:snapToGrid/>
        </w:rPr>
        <w:t>)</w:t>
      </w:r>
      <w:r>
        <w:rPr>
          <w:rFonts w:hint="eastAsia"/>
          <w:snapToGrid/>
        </w:rPr>
        <w:t>用具。也可能存在某些需要向学生收取一笔不小费用的孤立的学校机构。</w:t>
      </w:r>
    </w:p>
    <w:p w:rsidR="00000000" w:rsidRDefault="00000000">
      <w:pPr>
        <w:rPr>
          <w:rFonts w:hint="eastAsia"/>
          <w:snapToGrid/>
        </w:rPr>
      </w:pPr>
      <w:r>
        <w:rPr>
          <w:rFonts w:hint="eastAsia"/>
          <w:snapToGrid/>
        </w:rPr>
        <w:tab/>
        <w:t xml:space="preserve">453.  </w:t>
      </w:r>
      <w:r>
        <w:rPr>
          <w:rFonts w:hint="eastAsia"/>
          <w:snapToGrid/>
        </w:rPr>
        <w:t>为了能够被录取攻读一种国家中学班，学生必须完成义务制学校或其相当机构的最后一年学业，并且有瑞典语或作为第二语言的瑞典语、英语和数学的及格分数。</w:t>
      </w:r>
    </w:p>
    <w:p w:rsidR="00000000" w:rsidRDefault="00000000">
      <w:pPr>
        <w:rPr>
          <w:rFonts w:hint="eastAsia"/>
          <w:snapToGrid/>
        </w:rPr>
      </w:pPr>
      <w:r>
        <w:rPr>
          <w:rFonts w:hint="eastAsia"/>
          <w:snapToGrid/>
        </w:rPr>
        <w:tab/>
        <w:t xml:space="preserve">454.  </w:t>
      </w:r>
      <w:r>
        <w:rPr>
          <w:rFonts w:hint="eastAsia"/>
          <w:snapToGrid/>
        </w:rPr>
        <w:t>要求各城市给予未被国家班和特别设计的班级录取的学生在独立学习班受教育的机会。独立学习班的目标之一，是为学生继续在国家班学习做好准备。从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日起，将向所有城市下达给予在独立学习班接受全日制受教育机会的更加明确的责任。</w:t>
      </w:r>
    </w:p>
    <w:p w:rsidR="00000000" w:rsidRDefault="00000000">
      <w:pPr>
        <w:rPr>
          <w:rFonts w:hint="eastAsia"/>
          <w:snapToGrid/>
        </w:rPr>
      </w:pPr>
      <w:r>
        <w:rPr>
          <w:rFonts w:hint="eastAsia"/>
          <w:snapToGrid/>
        </w:rPr>
        <w:tab/>
        <w:t>455.  98%</w:t>
      </w:r>
      <w:r>
        <w:rPr>
          <w:rFonts w:hint="eastAsia"/>
          <w:snapToGrid/>
        </w:rPr>
        <w:t>的义务制学校学生继续进入高中。在</w:t>
      </w:r>
      <w:r>
        <w:rPr>
          <w:rFonts w:hint="eastAsia"/>
          <w:snapToGrid/>
        </w:rPr>
        <w:t>2004</w:t>
      </w:r>
      <w:r>
        <w:rPr>
          <w:rFonts w:hint="eastAsia"/>
          <w:snapToGrid/>
        </w:rPr>
        <w:t>年秋季，这些学生中的</w:t>
      </w:r>
      <w:r>
        <w:rPr>
          <w:rFonts w:hint="eastAsia"/>
          <w:snapToGrid/>
        </w:rPr>
        <w:t>80%</w:t>
      </w:r>
      <w:r>
        <w:rPr>
          <w:rFonts w:hint="eastAsia"/>
          <w:snapToGrid/>
        </w:rPr>
        <w:t>被录取进入一个国家班或特别设计的班级攻读。</w:t>
      </w:r>
      <w:r>
        <w:rPr>
          <w:rFonts w:hint="eastAsia"/>
          <w:snapToGrid/>
        </w:rPr>
        <w:t>7%</w:t>
      </w:r>
      <w:r>
        <w:rPr>
          <w:rFonts w:hint="eastAsia"/>
          <w:snapToGrid/>
        </w:rPr>
        <w:t>被录取进入独立学习班，</w:t>
      </w:r>
      <w:r>
        <w:rPr>
          <w:rFonts w:hint="eastAsia"/>
          <w:snapToGrid/>
        </w:rPr>
        <w:t>12%</w:t>
      </w:r>
      <w:r>
        <w:rPr>
          <w:rFonts w:hint="eastAsia"/>
          <w:snapToGrid/>
        </w:rPr>
        <w:t>被录取接受</w:t>
      </w:r>
      <w:r>
        <w:rPr>
          <w:rFonts w:hint="eastAsia"/>
          <w:snapToGrid/>
        </w:rPr>
        <w:t>(</w:t>
      </w:r>
      <w:r>
        <w:rPr>
          <w:rFonts w:hint="eastAsia"/>
          <w:snapToGrid/>
        </w:rPr>
        <w:t>非班级指向的</w:t>
      </w:r>
      <w:r>
        <w:rPr>
          <w:rFonts w:hint="eastAsia"/>
          <w:snapToGrid/>
        </w:rPr>
        <w:t>)</w:t>
      </w:r>
      <w:r>
        <w:rPr>
          <w:rFonts w:hint="eastAsia"/>
          <w:snapToGrid/>
        </w:rPr>
        <w:t>其他中等教育。大约</w:t>
      </w:r>
      <w:r>
        <w:rPr>
          <w:rFonts w:hint="eastAsia"/>
          <w:snapToGrid/>
        </w:rPr>
        <w:t>30%</w:t>
      </w:r>
      <w:r>
        <w:rPr>
          <w:rFonts w:hint="eastAsia"/>
          <w:snapToGrid/>
        </w:rPr>
        <w:t>的独立学习班级的学生在一年后转到了国家班或特别设计的班级。</w:t>
      </w:r>
    </w:p>
    <w:p w:rsidR="00000000" w:rsidRDefault="00000000">
      <w:pPr>
        <w:rPr>
          <w:rFonts w:hint="eastAsia"/>
          <w:snapToGrid/>
        </w:rPr>
      </w:pPr>
      <w:r>
        <w:rPr>
          <w:rFonts w:hint="eastAsia"/>
          <w:snapToGrid/>
        </w:rPr>
        <w:tab/>
        <w:t xml:space="preserve">456.  </w:t>
      </w:r>
      <w:r>
        <w:rPr>
          <w:rFonts w:hint="eastAsia"/>
          <w:snapToGrid/>
        </w:rPr>
        <w:t>在</w:t>
      </w:r>
      <w:r>
        <w:rPr>
          <w:rFonts w:hint="eastAsia"/>
          <w:snapToGrid/>
        </w:rPr>
        <w:t>2003/04</w:t>
      </w:r>
      <w:r>
        <w:rPr>
          <w:rFonts w:hint="eastAsia"/>
          <w:snapToGrid/>
        </w:rPr>
        <w:t>学年末，一共有</w:t>
      </w:r>
      <w:r>
        <w:rPr>
          <w:rFonts w:hint="eastAsia"/>
          <w:snapToGrid/>
        </w:rPr>
        <w:t>82.5%</w:t>
      </w:r>
      <w:r>
        <w:rPr>
          <w:rFonts w:hint="eastAsia"/>
          <w:snapToGrid/>
        </w:rPr>
        <w:t>的高中三年级学生取得了结业证书</w:t>
      </w:r>
      <w:r>
        <w:rPr>
          <w:rFonts w:hint="eastAsia"/>
          <w:snapToGrid/>
        </w:rPr>
        <w:t>(</w:t>
      </w:r>
      <w:r>
        <w:rPr>
          <w:rFonts w:hint="eastAsia"/>
          <w:snapToGrid/>
        </w:rPr>
        <w:t>女生</w:t>
      </w:r>
      <w:r>
        <w:rPr>
          <w:rFonts w:hint="eastAsia"/>
          <w:snapToGrid/>
        </w:rPr>
        <w:t>85%</w:t>
      </w:r>
      <w:r>
        <w:rPr>
          <w:rFonts w:hint="eastAsia"/>
          <w:snapToGrid/>
        </w:rPr>
        <w:t>，男生</w:t>
      </w:r>
      <w:r>
        <w:rPr>
          <w:rFonts w:hint="eastAsia"/>
          <w:snapToGrid/>
        </w:rPr>
        <w:t>80%)2000</w:t>
      </w:r>
      <w:r>
        <w:rPr>
          <w:rFonts w:hint="eastAsia"/>
          <w:snapToGrid/>
        </w:rPr>
        <w:t>年秋季的全部高三学生中，</w:t>
      </w:r>
      <w:r>
        <w:rPr>
          <w:rFonts w:hint="eastAsia"/>
          <w:snapToGrid/>
        </w:rPr>
        <w:t>36%</w:t>
      </w:r>
      <w:r>
        <w:rPr>
          <w:rFonts w:hint="eastAsia"/>
          <w:snapToGrid/>
        </w:rPr>
        <w:t>在三年内继续接受高等教育。</w:t>
      </w:r>
    </w:p>
    <w:p w:rsidR="00000000" w:rsidRDefault="00000000">
      <w:pPr>
        <w:spacing w:after="240"/>
        <w:rPr>
          <w:rFonts w:hint="eastAsia"/>
          <w:snapToGrid/>
        </w:rPr>
      </w:pPr>
      <w:r>
        <w:rPr>
          <w:rFonts w:hint="eastAsia"/>
          <w:snapToGrid/>
        </w:rPr>
        <w:tab/>
        <w:t xml:space="preserve">457.  </w:t>
      </w:r>
      <w:r>
        <w:rPr>
          <w:rFonts w:hint="eastAsia"/>
          <w:snapToGrid/>
        </w:rPr>
        <w:t>议会决定采取若干措施，以便进一步发展和改善高中的质量，使更多学生达到教育目标，这些措施主要将在</w:t>
      </w:r>
      <w:r>
        <w:rPr>
          <w:rFonts w:hint="eastAsia"/>
          <w:snapToGrid/>
        </w:rPr>
        <w:t>2007/08</w:t>
      </w:r>
      <w:r>
        <w:rPr>
          <w:rFonts w:hint="eastAsia"/>
          <w:snapToGrid/>
        </w:rPr>
        <w:t>学年开始适用。学科分数将替代课程分数，将推行一种高中的学位，独立学习班级的质量将予提高，将给予学生向任何学校提出申请的选择以便扩大他们的选择自由，历史将成为一个新的核心课程，职业班的质量将予提高，以及现代学徒班将成为一种替代选择。</w:t>
      </w:r>
    </w:p>
    <w:p w:rsidR="00000000" w:rsidRDefault="00000000">
      <w:pPr>
        <w:pStyle w:val="Heading4"/>
        <w:rPr>
          <w:rFonts w:hint="eastAsia"/>
        </w:rPr>
      </w:pPr>
      <w:r>
        <w:rPr>
          <w:rFonts w:hint="eastAsia"/>
        </w:rPr>
        <w:t>成人教育</w:t>
      </w:r>
    </w:p>
    <w:p w:rsidR="00000000" w:rsidRDefault="00000000">
      <w:pPr>
        <w:rPr>
          <w:rFonts w:hint="eastAsia"/>
          <w:snapToGrid/>
        </w:rPr>
      </w:pPr>
      <w:r>
        <w:rPr>
          <w:rFonts w:hint="eastAsia"/>
          <w:snapToGrid/>
        </w:rPr>
        <w:tab/>
        <w:t xml:space="preserve">458.  </w:t>
      </w:r>
      <w:r>
        <w:rPr>
          <w:rFonts w:hint="eastAsia"/>
          <w:snapToGrid/>
        </w:rPr>
        <w:t>根据《教育法》，瑞典各城市必须开办城市成人教育、有学习残疾的人的成人教育，以及移民瑞典语班。所有这些班级都是免费的。</w:t>
      </w:r>
    </w:p>
    <w:p w:rsidR="00000000" w:rsidRDefault="00000000">
      <w:pPr>
        <w:rPr>
          <w:rFonts w:hint="eastAsia"/>
          <w:snapToGrid/>
        </w:rPr>
      </w:pPr>
      <w:r>
        <w:rPr>
          <w:rFonts w:hint="eastAsia"/>
          <w:iCs/>
          <w:snapToGrid/>
        </w:rPr>
        <w:tab/>
        <w:t xml:space="preserve">459.  </w:t>
      </w:r>
      <w:r>
        <w:rPr>
          <w:rFonts w:hint="eastAsia"/>
          <w:iCs/>
          <w:snapToGrid/>
          <w:u w:val="single"/>
        </w:rPr>
        <w:t>城市成人教育</w:t>
      </w:r>
      <w:r>
        <w:rPr>
          <w:rFonts w:hint="eastAsia"/>
          <w:snapToGrid/>
        </w:rPr>
        <w:t>包括初等和中等成人教育，有高级课程作为补充。在</w:t>
      </w:r>
      <w:r>
        <w:rPr>
          <w:rFonts w:hint="eastAsia"/>
          <w:snapToGrid/>
        </w:rPr>
        <w:t>2003/04</w:t>
      </w:r>
      <w:r>
        <w:rPr>
          <w:rFonts w:hint="eastAsia"/>
          <w:snapToGrid/>
        </w:rPr>
        <w:t>学年，人口中</w:t>
      </w:r>
      <w:r>
        <w:rPr>
          <w:rFonts w:hint="eastAsia"/>
          <w:snapToGrid/>
        </w:rPr>
        <w:t>20-64</w:t>
      </w:r>
      <w:r>
        <w:rPr>
          <w:rFonts w:hint="eastAsia"/>
          <w:snapToGrid/>
        </w:rPr>
        <w:t>年龄段的人中间，</w:t>
      </w:r>
      <w:r>
        <w:rPr>
          <w:rFonts w:hint="eastAsia"/>
          <w:snapToGrid/>
        </w:rPr>
        <w:t>4.1%</w:t>
      </w:r>
      <w:r>
        <w:rPr>
          <w:rFonts w:hint="eastAsia"/>
          <w:snapToGrid/>
        </w:rPr>
        <w:t>的人被录取接受城市成人教育；其中</w:t>
      </w:r>
      <w:r>
        <w:rPr>
          <w:rFonts w:hint="eastAsia"/>
          <w:snapToGrid/>
        </w:rPr>
        <w:t>65%</w:t>
      </w:r>
      <w:r>
        <w:rPr>
          <w:rFonts w:hint="eastAsia"/>
          <w:snapToGrid/>
        </w:rPr>
        <w:t>是妇女，</w:t>
      </w:r>
      <w:r>
        <w:rPr>
          <w:rFonts w:hint="eastAsia"/>
          <w:snapToGrid/>
        </w:rPr>
        <w:t>35%</w:t>
      </w:r>
      <w:r>
        <w:rPr>
          <w:rFonts w:hint="eastAsia"/>
          <w:snapToGrid/>
        </w:rPr>
        <w:t>是男子。城市成人教育班的学生可以领取学生资助。</w:t>
      </w:r>
    </w:p>
    <w:p w:rsidR="00000000" w:rsidRDefault="00000000">
      <w:pPr>
        <w:rPr>
          <w:rFonts w:hint="eastAsia"/>
          <w:snapToGrid/>
        </w:rPr>
      </w:pPr>
      <w:r>
        <w:rPr>
          <w:rFonts w:hint="eastAsia"/>
          <w:i/>
          <w:snapToGrid/>
        </w:rPr>
        <w:tab/>
      </w:r>
      <w:r>
        <w:rPr>
          <w:rFonts w:hint="eastAsia"/>
          <w:iCs/>
          <w:snapToGrid/>
        </w:rPr>
        <w:t xml:space="preserve">460.  </w:t>
      </w:r>
      <w:r>
        <w:rPr>
          <w:rFonts w:hint="eastAsia"/>
          <w:iCs/>
          <w:snapToGrid/>
          <w:u w:val="single"/>
        </w:rPr>
        <w:t>初等成人教育</w:t>
      </w:r>
      <w:r>
        <w:rPr>
          <w:rFonts w:hint="eastAsia"/>
          <w:snapToGrid/>
        </w:rPr>
        <w:t>的目的是给予成人相当于义务制学校水平的知识和技能。根据《教育法》</w:t>
      </w:r>
      <w:r>
        <w:rPr>
          <w:rFonts w:hint="eastAsia"/>
          <w:snapToGrid/>
        </w:rPr>
        <w:t>(1985</w:t>
      </w:r>
      <w:r>
        <w:rPr>
          <w:rFonts w:hint="eastAsia"/>
          <w:snapToGrid/>
        </w:rPr>
        <w:t>：</w:t>
      </w:r>
      <w:r>
        <w:rPr>
          <w:rFonts w:hint="eastAsia"/>
          <w:snapToGrid/>
        </w:rPr>
        <w:t>1100)</w:t>
      </w:r>
      <w:r>
        <w:rPr>
          <w:rFonts w:hint="eastAsia"/>
          <w:snapToGrid/>
        </w:rPr>
        <w:t>，要求各城市普遍有以缺乏这些技能的人为对象的班级，因为他们有获得初等成人教育的权利。</w:t>
      </w:r>
    </w:p>
    <w:p w:rsidR="00000000" w:rsidRDefault="00000000">
      <w:pPr>
        <w:rPr>
          <w:rFonts w:hint="eastAsia"/>
          <w:snapToGrid/>
        </w:rPr>
      </w:pPr>
      <w:r>
        <w:rPr>
          <w:rFonts w:hint="eastAsia"/>
          <w:iCs/>
          <w:snapToGrid/>
        </w:rPr>
        <w:tab/>
        <w:t xml:space="preserve">461.  </w:t>
      </w:r>
      <w:r>
        <w:rPr>
          <w:rFonts w:hint="eastAsia"/>
          <w:iCs/>
          <w:snapToGrid/>
          <w:u w:val="single"/>
        </w:rPr>
        <w:t>中等成人教育</w:t>
      </w:r>
      <w:r>
        <w:rPr>
          <w:rFonts w:hint="eastAsia"/>
          <w:snapToGrid/>
        </w:rPr>
        <w:t>的目的是给予成人相当于高中水平的知识和技能。高级课程的意图是提供导致其目前职业或新职业的专门训练的成人教育。</w:t>
      </w:r>
    </w:p>
    <w:p w:rsidR="00000000" w:rsidRDefault="00000000">
      <w:pPr>
        <w:rPr>
          <w:rFonts w:hint="eastAsia"/>
          <w:snapToGrid/>
        </w:rPr>
      </w:pPr>
      <w:r>
        <w:rPr>
          <w:rFonts w:hint="eastAsia"/>
          <w:snapToGrid/>
        </w:rPr>
        <w:tab/>
        <w:t xml:space="preserve">462.  </w:t>
      </w:r>
      <w:r>
        <w:rPr>
          <w:rFonts w:hint="eastAsia"/>
          <w:snapToGrid/>
        </w:rPr>
        <w:t>从</w:t>
      </w:r>
      <w:r>
        <w:rPr>
          <w:rFonts w:hint="eastAsia"/>
          <w:snapToGrid/>
        </w:rPr>
        <w:t>2004</w:t>
      </w:r>
      <w:r>
        <w:rPr>
          <w:rFonts w:hint="eastAsia"/>
          <w:snapToGrid/>
        </w:rPr>
        <w:t>年起，为城市成人教育和有学习残疾的人的成人教育设立了诸如在基础设施、教育理论和方法论等方面的锁定对象的国家资助，以促进成人学习。</w:t>
      </w:r>
      <w:r>
        <w:rPr>
          <w:rFonts w:hint="eastAsia"/>
          <w:snapToGrid/>
        </w:rPr>
        <w:t>2006</w:t>
      </w:r>
      <w:r>
        <w:rPr>
          <w:rFonts w:hint="eastAsia"/>
          <w:snapToGrid/>
        </w:rPr>
        <w:t>年的拨款是</w:t>
      </w:r>
      <w:r>
        <w:rPr>
          <w:rFonts w:hint="eastAsia"/>
          <w:snapToGrid/>
        </w:rPr>
        <w:t>18</w:t>
      </w:r>
      <w:r>
        <w:rPr>
          <w:rFonts w:hint="eastAsia"/>
          <w:snapToGrid/>
        </w:rPr>
        <w:t>亿瑞典克朗，这意味着相当于成人教育系统里</w:t>
      </w:r>
      <w:r>
        <w:rPr>
          <w:rFonts w:hint="eastAsia"/>
          <w:snapToGrid/>
        </w:rPr>
        <w:t>43,000</w:t>
      </w:r>
      <w:r>
        <w:rPr>
          <w:rFonts w:hint="eastAsia"/>
          <w:snapToGrid/>
        </w:rPr>
        <w:t>个稍多一些的全日制位置。</w:t>
      </w:r>
    </w:p>
    <w:p w:rsidR="00000000" w:rsidRDefault="00000000">
      <w:pPr>
        <w:rPr>
          <w:rFonts w:hint="eastAsia"/>
          <w:snapToGrid/>
        </w:rPr>
      </w:pPr>
      <w:r>
        <w:rPr>
          <w:rFonts w:hint="eastAsia"/>
          <w:iCs/>
          <w:snapToGrid/>
        </w:rPr>
        <w:tab/>
        <w:t xml:space="preserve">463.  </w:t>
      </w:r>
      <w:r>
        <w:rPr>
          <w:rFonts w:hint="eastAsia"/>
          <w:iCs/>
          <w:snapToGrid/>
          <w:u w:val="single"/>
        </w:rPr>
        <w:t>有学习残疾的人的成人教育</w:t>
      </w:r>
      <w:r>
        <w:rPr>
          <w:rFonts w:hint="eastAsia"/>
          <w:snapToGrid/>
        </w:rPr>
        <w:t>的目的是给予有学习残疾的成人相当于青年人在为有学习残疾的学生开设的义务制学校以及在国家或特别设计的高中班所能学到的知识和技能。在</w:t>
      </w:r>
      <w:r>
        <w:rPr>
          <w:rFonts w:hint="eastAsia"/>
          <w:snapToGrid/>
        </w:rPr>
        <w:t>2004/05</w:t>
      </w:r>
      <w:r>
        <w:rPr>
          <w:rFonts w:hint="eastAsia"/>
          <w:snapToGrid/>
        </w:rPr>
        <w:t>学年，有</w:t>
      </w:r>
      <w:r>
        <w:rPr>
          <w:rFonts w:hint="eastAsia"/>
          <w:snapToGrid/>
        </w:rPr>
        <w:t>4,794</w:t>
      </w:r>
      <w:r>
        <w:rPr>
          <w:rFonts w:hint="eastAsia"/>
          <w:snapToGrid/>
        </w:rPr>
        <w:t>名学生被录取入学；其中</w:t>
      </w:r>
      <w:r>
        <w:rPr>
          <w:rFonts w:hint="eastAsia"/>
          <w:snapToGrid/>
        </w:rPr>
        <w:t>49%</w:t>
      </w:r>
      <w:r>
        <w:rPr>
          <w:rFonts w:hint="eastAsia"/>
          <w:snapToGrid/>
        </w:rPr>
        <w:t>是妇女，</w:t>
      </w:r>
      <w:r>
        <w:rPr>
          <w:rFonts w:hint="eastAsia"/>
          <w:snapToGrid/>
        </w:rPr>
        <w:t>51%</w:t>
      </w:r>
      <w:r>
        <w:rPr>
          <w:rFonts w:hint="eastAsia"/>
          <w:snapToGrid/>
        </w:rPr>
        <w:t>是男子。</w:t>
      </w:r>
    </w:p>
    <w:p w:rsidR="00000000" w:rsidRDefault="00000000">
      <w:pPr>
        <w:rPr>
          <w:rFonts w:hint="eastAsia"/>
          <w:snapToGrid/>
        </w:rPr>
      </w:pPr>
      <w:r>
        <w:rPr>
          <w:rFonts w:hint="eastAsia"/>
          <w:snapToGrid/>
        </w:rPr>
        <w:tab/>
        <w:t>464.  1997</w:t>
      </w:r>
      <w:r>
        <w:rPr>
          <w:rFonts w:hint="eastAsia"/>
          <w:snapToGrid/>
        </w:rPr>
        <w:t>年以来，每年向工会拨款将近</w:t>
      </w:r>
      <w:r>
        <w:rPr>
          <w:rFonts w:hint="eastAsia"/>
          <w:snapToGrid/>
        </w:rPr>
        <w:t>5,000</w:t>
      </w:r>
      <w:r>
        <w:rPr>
          <w:rFonts w:hint="eastAsia"/>
          <w:snapToGrid/>
        </w:rPr>
        <w:t>万瑞典克朗，工会将这笔资金发放给教育程度有限的成人，促使他们参加成人教育班级。</w:t>
      </w:r>
    </w:p>
    <w:p w:rsidR="00000000" w:rsidRDefault="00000000">
      <w:pPr>
        <w:rPr>
          <w:rFonts w:hint="eastAsia"/>
          <w:snapToGrid/>
        </w:rPr>
      </w:pPr>
      <w:r>
        <w:rPr>
          <w:rFonts w:hint="eastAsia"/>
          <w:snapToGrid/>
        </w:rPr>
        <w:tab/>
        <w:t xml:space="preserve">465.  </w:t>
      </w:r>
      <w:r>
        <w:rPr>
          <w:rFonts w:hint="eastAsia"/>
          <w:snapToGrid/>
        </w:rPr>
        <w:t>根据《教育法》，</w:t>
      </w:r>
      <w:r>
        <w:rPr>
          <w:rFonts w:hint="eastAsia"/>
          <w:iCs/>
          <w:snapToGrid/>
          <w:u w:val="single"/>
        </w:rPr>
        <w:t>移民瑞典语</w:t>
      </w:r>
      <w:r>
        <w:rPr>
          <w:rFonts w:hint="eastAsia"/>
          <w:snapToGrid/>
        </w:rPr>
        <w:t>将给予成人移民基本的瑞典语技能和对瑞典社会的了解。在</w:t>
      </w:r>
      <w:r>
        <w:rPr>
          <w:rFonts w:hint="eastAsia"/>
          <w:snapToGrid/>
        </w:rPr>
        <w:t>2003/04</w:t>
      </w:r>
      <w:r>
        <w:rPr>
          <w:rFonts w:hint="eastAsia"/>
          <w:snapToGrid/>
        </w:rPr>
        <w:t>学年，有</w:t>
      </w:r>
      <w:r>
        <w:rPr>
          <w:rFonts w:hint="eastAsia"/>
          <w:snapToGrid/>
        </w:rPr>
        <w:t>47,604</w:t>
      </w:r>
      <w:r>
        <w:rPr>
          <w:rFonts w:hint="eastAsia"/>
          <w:snapToGrid/>
        </w:rPr>
        <w:t>名人被录取移民瑞典语班，其中</w:t>
      </w:r>
      <w:r>
        <w:rPr>
          <w:rFonts w:hint="eastAsia"/>
          <w:snapToGrid/>
        </w:rPr>
        <w:t>40%</w:t>
      </w:r>
      <w:r>
        <w:rPr>
          <w:rFonts w:hint="eastAsia"/>
          <w:snapToGrid/>
        </w:rPr>
        <w:t>是妇女，</w:t>
      </w:r>
      <w:r>
        <w:rPr>
          <w:rFonts w:hint="eastAsia"/>
          <w:snapToGrid/>
        </w:rPr>
        <w:t>60%</w:t>
      </w:r>
      <w:r>
        <w:rPr>
          <w:rFonts w:hint="eastAsia"/>
          <w:snapToGrid/>
        </w:rPr>
        <w:t>是男子。</w:t>
      </w:r>
    </w:p>
    <w:p w:rsidR="00000000" w:rsidRDefault="00000000">
      <w:pPr>
        <w:rPr>
          <w:rFonts w:hint="eastAsia"/>
          <w:snapToGrid/>
        </w:rPr>
      </w:pPr>
      <w:r>
        <w:rPr>
          <w:rFonts w:hint="eastAsia"/>
          <w:iCs/>
          <w:snapToGrid/>
        </w:rPr>
        <w:tab/>
        <w:t xml:space="preserve">466.  </w:t>
      </w:r>
      <w:r>
        <w:rPr>
          <w:rFonts w:hint="eastAsia"/>
          <w:iCs/>
          <w:snapToGrid/>
          <w:u w:val="single"/>
        </w:rPr>
        <w:t>高级职业培训</w:t>
      </w:r>
      <w:r>
        <w:rPr>
          <w:rFonts w:hint="eastAsia"/>
          <w:snapToGrid/>
        </w:rPr>
        <w:t>于</w:t>
      </w:r>
      <w:r>
        <w:rPr>
          <w:rFonts w:hint="eastAsia"/>
          <w:snapToGrid/>
        </w:rPr>
        <w:t>2001</w:t>
      </w:r>
      <w:r>
        <w:rPr>
          <w:rFonts w:hint="eastAsia"/>
          <w:snapToGrid/>
        </w:rPr>
        <w:t>年作为瑞典教育系统内部的一个中学后教育形式设立，这是由各城市、私立教育提供者、中学后机构以及商界合伙设计和开展的。高级职业培训的意图是为了满足对于具有专门职业训练的合格劳工的需求。这种班级为期一年到三年，大约三分之一是在工作场所进行的。高级职业培训班的学员可以领取学生资助；这些班级受到国家的监督。在</w:t>
      </w:r>
      <w:r>
        <w:rPr>
          <w:rFonts w:hint="eastAsia"/>
          <w:snapToGrid/>
        </w:rPr>
        <w:t>2004</w:t>
      </w:r>
      <w:r>
        <w:rPr>
          <w:rFonts w:hint="eastAsia"/>
          <w:snapToGrid/>
        </w:rPr>
        <w:t>年，有</w:t>
      </w:r>
      <w:r>
        <w:rPr>
          <w:rFonts w:hint="eastAsia"/>
          <w:snapToGrid/>
        </w:rPr>
        <w:t>13,800</w:t>
      </w:r>
      <w:r>
        <w:rPr>
          <w:rFonts w:hint="eastAsia"/>
          <w:snapToGrid/>
        </w:rPr>
        <w:t>人被录取高级职业培训班，其中男女各半。高级职业培训班仍然在发展，</w:t>
      </w:r>
      <w:r>
        <w:rPr>
          <w:rFonts w:hint="eastAsia"/>
          <w:snapToGrid/>
        </w:rPr>
        <w:t>2006</w:t>
      </w:r>
      <w:r>
        <w:rPr>
          <w:rFonts w:hint="eastAsia"/>
          <w:snapToGrid/>
        </w:rPr>
        <w:t>年增加了</w:t>
      </w:r>
      <w:r>
        <w:rPr>
          <w:rFonts w:hint="eastAsia"/>
          <w:snapToGrid/>
        </w:rPr>
        <w:t>1,000</w:t>
      </w:r>
      <w:r>
        <w:rPr>
          <w:rFonts w:hint="eastAsia"/>
          <w:snapToGrid/>
        </w:rPr>
        <w:t>个全日制位置。</w:t>
      </w:r>
    </w:p>
    <w:p w:rsidR="00000000" w:rsidRDefault="00000000">
      <w:pPr>
        <w:spacing w:after="240"/>
        <w:rPr>
          <w:rFonts w:hint="eastAsia"/>
          <w:snapToGrid/>
        </w:rPr>
      </w:pPr>
      <w:r>
        <w:rPr>
          <w:rFonts w:hint="eastAsia"/>
          <w:iCs/>
          <w:snapToGrid/>
        </w:rPr>
        <w:tab/>
        <w:t xml:space="preserve">467.  </w:t>
      </w:r>
      <w:r>
        <w:rPr>
          <w:rFonts w:hint="eastAsia"/>
          <w:iCs/>
          <w:snapToGrid/>
          <w:u w:val="single"/>
        </w:rPr>
        <w:t>成人学院</w:t>
      </w:r>
      <w:r>
        <w:rPr>
          <w:rFonts w:hint="eastAsia"/>
          <w:iCs/>
          <w:snapToGrid/>
          <w:u w:val="single"/>
        </w:rPr>
        <w:t>(</w:t>
      </w:r>
      <w:r>
        <w:rPr>
          <w:rFonts w:hint="eastAsia"/>
          <w:iCs/>
          <w:snapToGrid/>
          <w:u w:val="single"/>
        </w:rPr>
        <w:t>“民众高级学校”</w:t>
      </w:r>
      <w:r>
        <w:rPr>
          <w:rFonts w:hint="eastAsia"/>
          <w:iCs/>
          <w:snapToGrid/>
          <w:u w:val="single"/>
        </w:rPr>
        <w:t>)</w:t>
      </w:r>
      <w:r>
        <w:rPr>
          <w:rFonts w:hint="eastAsia"/>
          <w:iCs/>
          <w:snapToGrid/>
          <w:u w:val="single"/>
        </w:rPr>
        <w:t>和学习协会</w:t>
      </w:r>
      <w:r>
        <w:rPr>
          <w:rFonts w:hint="eastAsia"/>
          <w:snapToGrid/>
        </w:rPr>
        <w:t>接受国家资助，开办学术和文化教育班级。在成人学院的教育可以导致有资格被学院或者大学录取。</w:t>
      </w:r>
      <w:r>
        <w:rPr>
          <w:rFonts w:hint="eastAsia"/>
          <w:snapToGrid/>
        </w:rPr>
        <w:t>2006</w:t>
      </w:r>
      <w:r>
        <w:rPr>
          <w:rFonts w:hint="eastAsia"/>
          <w:snapToGrid/>
        </w:rPr>
        <w:t>年，瑞典有</w:t>
      </w:r>
      <w:r>
        <w:rPr>
          <w:rFonts w:hint="eastAsia"/>
          <w:snapToGrid/>
        </w:rPr>
        <w:t>148</w:t>
      </w:r>
      <w:r>
        <w:rPr>
          <w:rFonts w:hint="eastAsia"/>
          <w:snapToGrid/>
        </w:rPr>
        <w:t>家成人学院。每个学期平均有</w:t>
      </w:r>
      <w:r>
        <w:rPr>
          <w:rFonts w:hint="eastAsia"/>
          <w:snapToGrid/>
        </w:rPr>
        <w:t>27,500</w:t>
      </w:r>
      <w:r>
        <w:rPr>
          <w:rFonts w:hint="eastAsia"/>
          <w:snapToGrid/>
        </w:rPr>
        <w:t>人在成人学院长期课程入学，其中</w:t>
      </w:r>
      <w:r>
        <w:rPr>
          <w:rFonts w:hint="eastAsia"/>
          <w:snapToGrid/>
        </w:rPr>
        <w:t>65%</w:t>
      </w:r>
      <w:r>
        <w:rPr>
          <w:rFonts w:hint="eastAsia"/>
          <w:snapToGrid/>
        </w:rPr>
        <w:t>是妇女，</w:t>
      </w:r>
      <w:r>
        <w:rPr>
          <w:rFonts w:hint="eastAsia"/>
          <w:snapToGrid/>
        </w:rPr>
        <w:t>35%</w:t>
      </w:r>
      <w:r>
        <w:rPr>
          <w:rFonts w:hint="eastAsia"/>
          <w:snapToGrid/>
        </w:rPr>
        <w:t>是男子。政府已经向这种形式的成人教育增加了</w:t>
      </w:r>
      <w:r>
        <w:rPr>
          <w:rFonts w:hint="eastAsia"/>
          <w:snapToGrid/>
        </w:rPr>
        <w:t>4</w:t>
      </w:r>
      <w:r>
        <w:rPr>
          <w:rFonts w:hint="eastAsia"/>
          <w:snapToGrid/>
        </w:rPr>
        <w:t>亿瑞典克朗的国家资助</w:t>
      </w:r>
      <w:r>
        <w:rPr>
          <w:rFonts w:hint="eastAsia"/>
          <w:snapToGrid/>
        </w:rPr>
        <w:t>(</w:t>
      </w:r>
      <w:r>
        <w:rPr>
          <w:rFonts w:hint="eastAsia"/>
          <w:snapToGrid/>
        </w:rPr>
        <w:t>以</w:t>
      </w:r>
      <w:r>
        <w:rPr>
          <w:rFonts w:hint="eastAsia"/>
          <w:snapToGrid/>
        </w:rPr>
        <w:t>2006</w:t>
      </w:r>
      <w:r>
        <w:rPr>
          <w:rFonts w:hint="eastAsia"/>
          <w:snapToGrid/>
        </w:rPr>
        <w:t>年目前的</w:t>
      </w:r>
      <w:r>
        <w:rPr>
          <w:rFonts w:hint="eastAsia"/>
          <w:snapToGrid/>
        </w:rPr>
        <w:t>26</w:t>
      </w:r>
      <w:r>
        <w:rPr>
          <w:rFonts w:hint="eastAsia"/>
          <w:snapToGrid/>
        </w:rPr>
        <w:t>亿瑞典克朗为基数</w:t>
      </w:r>
      <w:r>
        <w:rPr>
          <w:rFonts w:hint="eastAsia"/>
          <w:snapToGrid/>
        </w:rPr>
        <w:t>)</w:t>
      </w:r>
      <w:r>
        <w:rPr>
          <w:rFonts w:hint="eastAsia"/>
          <w:snapToGrid/>
        </w:rPr>
        <w:t>，其部分目的是为了支持有助于加强和发展帮助的活动。</w:t>
      </w:r>
    </w:p>
    <w:p w:rsidR="00000000" w:rsidRDefault="00000000">
      <w:pPr>
        <w:pStyle w:val="Heading4"/>
        <w:rPr>
          <w:rFonts w:hint="eastAsia"/>
        </w:rPr>
      </w:pPr>
      <w:r>
        <w:rPr>
          <w:rFonts w:hint="eastAsia"/>
          <w:u w:val="none"/>
        </w:rPr>
        <w:tab/>
      </w:r>
      <w:r>
        <w:rPr>
          <w:rFonts w:hint="eastAsia"/>
        </w:rPr>
        <w:t>总</w:t>
      </w:r>
      <w:r>
        <w:rPr>
          <w:rFonts w:hint="eastAsia"/>
        </w:rPr>
        <w:t xml:space="preserve">  </w:t>
      </w:r>
      <w:r>
        <w:rPr>
          <w:rFonts w:hint="eastAsia"/>
        </w:rPr>
        <w:t>述</w:t>
      </w:r>
    </w:p>
    <w:p w:rsidR="00000000" w:rsidRDefault="00000000">
      <w:pPr>
        <w:rPr>
          <w:rFonts w:hint="eastAsia"/>
          <w:snapToGrid/>
        </w:rPr>
      </w:pPr>
      <w:r>
        <w:rPr>
          <w:rFonts w:hint="eastAsia"/>
          <w:snapToGrid/>
        </w:rPr>
        <w:tab/>
        <w:t xml:space="preserve">468.  </w:t>
      </w:r>
      <w:r>
        <w:rPr>
          <w:rFonts w:hint="eastAsia"/>
          <w:snapToGrid/>
        </w:rPr>
        <w:t>存在着各种形式的资助，以使成人可以上学而不受到经济资源的限制。在义务制学校和中学一级以及学院和其他中学后级别有一个综合性的成人教育奖学金制度。</w:t>
      </w:r>
    </w:p>
    <w:p w:rsidR="00000000" w:rsidRDefault="00000000">
      <w:pPr>
        <w:rPr>
          <w:rFonts w:hint="eastAsia"/>
          <w:snapToGrid/>
        </w:rPr>
      </w:pPr>
      <w:r>
        <w:rPr>
          <w:rFonts w:hint="eastAsia"/>
          <w:snapToGrid/>
        </w:rPr>
        <w:tab/>
        <w:t xml:space="preserve">469.  </w:t>
      </w:r>
      <w:r>
        <w:rPr>
          <w:rFonts w:hint="eastAsia"/>
          <w:snapToGrid/>
        </w:rPr>
        <w:t>政府在</w:t>
      </w:r>
      <w:r>
        <w:rPr>
          <w:rFonts w:hint="eastAsia"/>
          <w:snapToGrid/>
        </w:rPr>
        <w:t>2004</w:t>
      </w:r>
      <w:r>
        <w:rPr>
          <w:snapToGrid/>
        </w:rPr>
        <w:t>-</w:t>
      </w:r>
      <w:r>
        <w:rPr>
          <w:rFonts w:hint="eastAsia"/>
          <w:snapToGrid/>
        </w:rPr>
        <w:t>2007</w:t>
      </w:r>
      <w:r>
        <w:rPr>
          <w:rFonts w:hint="eastAsia"/>
          <w:snapToGrid/>
        </w:rPr>
        <w:t>年期间任命了一个委员会，其任务是促进基本上在高教系统以外的认证领域的合法性、质量和方法。认证是为了查明人们的实际技能和专门知识，特别关系到在其他国家获取的技能和专门知识。</w:t>
      </w:r>
    </w:p>
    <w:p w:rsidR="00000000" w:rsidRDefault="00000000">
      <w:pPr>
        <w:spacing w:after="240"/>
        <w:rPr>
          <w:rFonts w:hint="eastAsia"/>
          <w:snapToGrid/>
        </w:rPr>
      </w:pPr>
      <w:r>
        <w:rPr>
          <w:rFonts w:hint="eastAsia"/>
          <w:snapToGrid/>
        </w:rPr>
        <w:tab/>
        <w:t xml:space="preserve">470.  </w:t>
      </w:r>
      <w:r>
        <w:rPr>
          <w:rFonts w:hint="eastAsia"/>
          <w:snapToGrid/>
        </w:rPr>
        <w:t>根据政府的指示，国家教育署发展了一个学习和职业指导的互联网门户。</w:t>
      </w:r>
    </w:p>
    <w:p w:rsidR="00000000" w:rsidRDefault="00000000">
      <w:pPr>
        <w:pStyle w:val="Heading4"/>
        <w:rPr>
          <w:rFonts w:hint="eastAsia"/>
        </w:rPr>
      </w:pPr>
      <w:r>
        <w:rPr>
          <w:rFonts w:hint="eastAsia"/>
        </w:rPr>
        <w:t>高等教育</w:t>
      </w:r>
    </w:p>
    <w:p w:rsidR="00000000" w:rsidRDefault="00000000">
      <w:pPr>
        <w:spacing w:after="240"/>
        <w:rPr>
          <w:rFonts w:hint="eastAsia"/>
          <w:snapToGrid/>
        </w:rPr>
      </w:pPr>
      <w:r>
        <w:rPr>
          <w:rFonts w:hint="eastAsia"/>
          <w:snapToGrid/>
        </w:rPr>
        <w:tab/>
        <w:t xml:space="preserve">471.  </w:t>
      </w:r>
      <w:r>
        <w:rPr>
          <w:rFonts w:hint="eastAsia"/>
          <w:snapToGrid/>
        </w:rPr>
        <w:t>瑞典的高等教育对于本国和外国学生一概免费。每个省都有大学或大学学院，这是政府定向目标的投资成果。政府的长期目标是每个年龄段群体</w:t>
      </w:r>
      <w:r>
        <w:rPr>
          <w:rFonts w:hint="eastAsia"/>
          <w:snapToGrid/>
        </w:rPr>
        <w:t>50%</w:t>
      </w:r>
      <w:r>
        <w:rPr>
          <w:rFonts w:hint="eastAsia"/>
          <w:snapToGrid/>
        </w:rPr>
        <w:t>的人应当在</w:t>
      </w:r>
      <w:r>
        <w:rPr>
          <w:rFonts w:hint="eastAsia"/>
          <w:snapToGrid/>
        </w:rPr>
        <w:t>25</w:t>
      </w:r>
      <w:r>
        <w:rPr>
          <w:rFonts w:hint="eastAsia"/>
          <w:snapToGrid/>
        </w:rPr>
        <w:t>岁以前开始高等教育学习。</w:t>
      </w:r>
      <w:r>
        <w:rPr>
          <w:rFonts w:hint="eastAsia"/>
          <w:snapToGrid/>
        </w:rPr>
        <w:t>2005</w:t>
      </w:r>
      <w:r>
        <w:rPr>
          <w:rFonts w:hint="eastAsia"/>
          <w:snapToGrid/>
        </w:rPr>
        <w:t>年，全部</w:t>
      </w:r>
      <w:r>
        <w:rPr>
          <w:rFonts w:hint="eastAsia"/>
          <w:snapToGrid/>
        </w:rPr>
        <w:t>25</w:t>
      </w:r>
      <w:r>
        <w:rPr>
          <w:rFonts w:hint="eastAsia"/>
          <w:snapToGrid/>
        </w:rPr>
        <w:t>岁年龄段人中间的</w:t>
      </w:r>
      <w:r>
        <w:rPr>
          <w:rFonts w:hint="eastAsia"/>
          <w:snapToGrid/>
        </w:rPr>
        <w:t>44.4%</w:t>
      </w:r>
      <w:r>
        <w:rPr>
          <w:rFonts w:hint="eastAsia"/>
          <w:snapToGrid/>
        </w:rPr>
        <w:t>开始了高中后学习。这个群体略超过一半即</w:t>
      </w:r>
      <w:r>
        <w:rPr>
          <w:rFonts w:hint="eastAsia"/>
          <w:snapToGrid/>
        </w:rPr>
        <w:t>51.3%</w:t>
      </w:r>
      <w:r>
        <w:rPr>
          <w:rFonts w:hint="eastAsia"/>
          <w:snapToGrid/>
        </w:rPr>
        <w:t>的妇女和</w:t>
      </w:r>
      <w:r>
        <w:rPr>
          <w:rFonts w:hint="eastAsia"/>
          <w:snapToGrid/>
        </w:rPr>
        <w:t>37.8%</w:t>
      </w:r>
      <w:r>
        <w:rPr>
          <w:rFonts w:hint="eastAsia"/>
          <w:snapToGrid/>
        </w:rPr>
        <w:t>的男子在</w:t>
      </w:r>
      <w:r>
        <w:rPr>
          <w:rFonts w:hint="eastAsia"/>
          <w:snapToGrid/>
        </w:rPr>
        <w:t>25</w:t>
      </w:r>
      <w:r>
        <w:rPr>
          <w:rFonts w:hint="eastAsia"/>
          <w:snapToGrid/>
        </w:rPr>
        <w:t>岁以前正在或已经在某段时间在一个高中后院校攻读。</w:t>
      </w:r>
      <w:r>
        <w:rPr>
          <w:rFonts w:hint="eastAsia"/>
          <w:snapToGrid/>
        </w:rPr>
        <w:t>2003/2002</w:t>
      </w:r>
      <w:r>
        <w:rPr>
          <w:rFonts w:hint="eastAsia"/>
          <w:snapToGrid/>
        </w:rPr>
        <w:t>学年接受高中后教育的妇女和男子的百分比分别是</w:t>
      </w:r>
      <w:r>
        <w:rPr>
          <w:rFonts w:hint="eastAsia"/>
          <w:snapToGrid/>
        </w:rPr>
        <w:t>60%</w:t>
      </w:r>
      <w:r>
        <w:rPr>
          <w:rFonts w:hint="eastAsia"/>
          <w:snapToGrid/>
        </w:rPr>
        <w:t>和</w:t>
      </w:r>
      <w:r>
        <w:rPr>
          <w:rFonts w:hint="eastAsia"/>
          <w:snapToGrid/>
        </w:rPr>
        <w:t>40%</w:t>
      </w:r>
      <w:r>
        <w:rPr>
          <w:rFonts w:hint="eastAsia"/>
          <w:snapToGrid/>
        </w:rPr>
        <w:t>。</w:t>
      </w:r>
    </w:p>
    <w:p w:rsidR="00000000" w:rsidRDefault="00000000">
      <w:pPr>
        <w:pStyle w:val="Heading4"/>
        <w:rPr>
          <w:rFonts w:hint="eastAsia"/>
        </w:rPr>
      </w:pPr>
      <w:r>
        <w:rPr>
          <w:rFonts w:hint="eastAsia"/>
          <w:u w:val="none"/>
        </w:rPr>
        <w:tab/>
      </w:r>
      <w:r>
        <w:rPr>
          <w:rFonts w:hint="eastAsia"/>
        </w:rPr>
        <w:t>保护免受歧视</w:t>
      </w:r>
    </w:p>
    <w:p w:rsidR="00000000" w:rsidRDefault="00000000">
      <w:pPr>
        <w:rPr>
          <w:rFonts w:hint="eastAsia"/>
          <w:snapToGrid/>
        </w:rPr>
      </w:pPr>
      <w:r>
        <w:rPr>
          <w:rFonts w:hint="eastAsia"/>
          <w:snapToGrid/>
        </w:rPr>
        <w:tab/>
        <w:t xml:space="preserve">472.  </w:t>
      </w:r>
      <w:r>
        <w:rPr>
          <w:rFonts w:hint="eastAsia"/>
          <w:snapToGrid/>
        </w:rPr>
        <w:t>根据政府倡议以及为了更加有力地保护学生免遭歧视，议会表决颁布《大学学生平等待遇法》</w:t>
      </w:r>
      <w:r>
        <w:rPr>
          <w:rFonts w:hint="eastAsia"/>
          <w:snapToGrid/>
        </w:rPr>
        <w:t>(2001</w:t>
      </w:r>
      <w:r>
        <w:rPr>
          <w:rFonts w:hint="eastAsia"/>
          <w:snapToGrid/>
        </w:rPr>
        <w:t>：</w:t>
      </w:r>
      <w:r>
        <w:rPr>
          <w:rFonts w:hint="eastAsia"/>
          <w:snapToGrid/>
        </w:rPr>
        <w:t>1286)</w:t>
      </w:r>
      <w:r>
        <w:rPr>
          <w:rFonts w:hint="eastAsia"/>
          <w:snapToGrid/>
        </w:rPr>
        <w:t>，这项法令于</w:t>
      </w:r>
      <w:r>
        <w:rPr>
          <w:rFonts w:hint="eastAsia"/>
          <w:snapToGrid/>
        </w:rPr>
        <w:t>2002</w:t>
      </w:r>
      <w:r>
        <w:rPr>
          <w:rFonts w:hint="eastAsia"/>
          <w:snapToGrid/>
        </w:rPr>
        <w:t>年生效。《平等待遇法》的意图是为了促进学生和申请人的平等待遇，打击基于性别、民族、宗教和其他信仰、性取向和残疾的歧视。这项法律给予学生免遭歧视的强有力的保护，并且规定了大专院校防止和补救骚扰的明确责任。</w:t>
      </w:r>
    </w:p>
    <w:p w:rsidR="00000000" w:rsidRDefault="00000000">
      <w:pPr>
        <w:spacing w:after="240"/>
        <w:rPr>
          <w:rFonts w:hint="eastAsia"/>
          <w:snapToGrid/>
        </w:rPr>
      </w:pPr>
      <w:r>
        <w:rPr>
          <w:rFonts w:hint="eastAsia"/>
          <w:snapToGrid/>
        </w:rPr>
        <w:tab/>
        <w:t xml:space="preserve">473.  </w:t>
      </w:r>
      <w:r>
        <w:rPr>
          <w:rFonts w:hint="eastAsia"/>
          <w:snapToGrid/>
        </w:rPr>
        <w:t>除了禁止歧视以外，这项法律要求高中后教学机构编制一份年度计划，其中应当载有一项关于促进学生的平等权利，防止和补救骚扰所要求的各项措施的概览。这份计划还应当载有一项关于这个单位打算采取或在次年开始的措施的声明。</w:t>
      </w:r>
    </w:p>
    <w:p w:rsidR="00000000" w:rsidRDefault="00000000">
      <w:pPr>
        <w:pStyle w:val="Heading4"/>
        <w:rPr>
          <w:rFonts w:hint="eastAsia"/>
        </w:rPr>
      </w:pPr>
      <w:r>
        <w:rPr>
          <w:rFonts w:hint="eastAsia"/>
          <w:u w:val="none"/>
        </w:rPr>
        <w:tab/>
      </w:r>
      <w:r>
        <w:rPr>
          <w:rFonts w:hint="eastAsia"/>
        </w:rPr>
        <w:t>扩大招生</w:t>
      </w:r>
    </w:p>
    <w:p w:rsidR="00000000" w:rsidRDefault="00000000">
      <w:pPr>
        <w:spacing w:after="240"/>
        <w:rPr>
          <w:rFonts w:hint="eastAsia"/>
          <w:snapToGrid/>
        </w:rPr>
      </w:pPr>
      <w:r>
        <w:rPr>
          <w:rFonts w:hint="eastAsia"/>
          <w:snapToGrid/>
        </w:rPr>
        <w:tab/>
        <w:t xml:space="preserve">474.  </w:t>
      </w:r>
      <w:r>
        <w:rPr>
          <w:rFonts w:hint="eastAsia"/>
          <w:snapToGrid/>
        </w:rPr>
        <w:t>政府正在积极努力，使得高等教育学习向新的学生群体开放，并且达到更平衡的招生。知识社会的大门应当向一切人开放而不论其社会背景、性别、民族、残疾、居住地或性取向。</w:t>
      </w:r>
    </w:p>
    <w:p w:rsidR="00000000" w:rsidRDefault="00000000">
      <w:pPr>
        <w:pStyle w:val="Heading4"/>
        <w:rPr>
          <w:rFonts w:hint="eastAsia"/>
        </w:rPr>
      </w:pPr>
      <w:r>
        <w:rPr>
          <w:rFonts w:hint="eastAsia"/>
          <w:u w:val="none"/>
        </w:rPr>
        <w:tab/>
      </w:r>
      <w:r>
        <w:rPr>
          <w:rFonts w:hint="eastAsia"/>
          <w:u w:val="none"/>
        </w:rPr>
        <w:t>《</w:t>
      </w:r>
      <w:r>
        <w:rPr>
          <w:rFonts w:hint="eastAsia"/>
        </w:rPr>
        <w:t>平等待遇法</w:t>
      </w:r>
      <w:r>
        <w:rPr>
          <w:rFonts w:hint="eastAsia"/>
          <w:u w:val="none"/>
        </w:rPr>
        <w:t>》</w:t>
      </w:r>
    </w:p>
    <w:p w:rsidR="00000000" w:rsidRDefault="00000000">
      <w:pPr>
        <w:rPr>
          <w:rFonts w:hint="eastAsia"/>
          <w:snapToGrid/>
        </w:rPr>
      </w:pPr>
      <w:r>
        <w:rPr>
          <w:rFonts w:hint="eastAsia"/>
          <w:snapToGrid/>
        </w:rPr>
        <w:tab/>
        <w:t xml:space="preserve">475.  </w:t>
      </w:r>
      <w:r>
        <w:rPr>
          <w:rFonts w:hint="eastAsia"/>
          <w:snapToGrid/>
        </w:rPr>
        <w:t>为了促进获得教育的平等机会，政府正在作出自觉的努力，抵制具有民族和社会偏见的高中后教学机构的招生工作。《大学学生平等待遇法》</w:t>
      </w:r>
      <w:r>
        <w:rPr>
          <w:rFonts w:hint="eastAsia"/>
          <w:snapToGrid/>
        </w:rPr>
        <w:t>(2001</w:t>
      </w:r>
      <w:r>
        <w:rPr>
          <w:rFonts w:hint="eastAsia"/>
          <w:snapToGrid/>
        </w:rPr>
        <w:t>：</w:t>
      </w:r>
      <w:r>
        <w:rPr>
          <w:rFonts w:hint="eastAsia"/>
          <w:snapToGrid/>
        </w:rPr>
        <w:t xml:space="preserve"> 1286)</w:t>
      </w:r>
      <w:r>
        <w:rPr>
          <w:rFonts w:hint="eastAsia"/>
          <w:snapToGrid/>
        </w:rPr>
        <w:t>从</w:t>
      </w:r>
      <w:r>
        <w:rPr>
          <w:rFonts w:hint="eastAsia"/>
          <w:snapToGrid/>
        </w:rPr>
        <w:t>2002</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起生效。这项法律的目的是促进高教学生的平等权利，打击除其他之外基于民族、宗教和其他信仰的歧视。这项法律适用于由国家、城市或省议会举办的大学和高教机构所提供的高等教育，以及被认可具有授予某些学位的私立教育提供人。这项法律的规定禁止直接和间接的歧视、骚扰和歧视的指示。高教机构也不得因一名学生或申请人投诉该高教机构歧视或根据法律参加一项调查而对其打击报复。这项法律申明，高教机构应当在其活动的框架内进行目标取向的努力，积极促进平等权利。高教机构应当采取措施防止和补救对于学生和申请人的骚扰。高教机构还应当编制一份年度计划，其中应当载有一项关于促进学生的平等权利，防止和补救骚扰所要求的各项措施的概览。高教机构还有责任对关于骚扰的投诉的周围情况进行调查，采取为了防止继续骚扰所合理要求的措施。违反关于歧视的禁令可能引起赔偿责任。</w:t>
      </w:r>
    </w:p>
    <w:p w:rsidR="00000000" w:rsidRDefault="00000000">
      <w:pPr>
        <w:rPr>
          <w:rFonts w:hint="eastAsia"/>
          <w:snapToGrid/>
        </w:rPr>
      </w:pPr>
      <w:r>
        <w:rPr>
          <w:rFonts w:hint="eastAsia"/>
          <w:snapToGrid/>
        </w:rPr>
        <w:tab/>
        <w:t xml:space="preserve">476.  </w:t>
      </w:r>
      <w:r>
        <w:rPr>
          <w:rFonts w:hint="eastAsia"/>
          <w:snapToGrid/>
        </w:rPr>
        <w:t>政府在“高等教育的改革一个更加开放的系统”</w:t>
      </w:r>
      <w:r>
        <w:rPr>
          <w:rFonts w:hint="eastAsia"/>
          <w:snapToGrid/>
        </w:rPr>
        <w:t>(</w:t>
      </w:r>
      <w:r>
        <w:rPr>
          <w:rFonts w:hint="eastAsia"/>
          <w:snapToGrid/>
        </w:rPr>
        <w:t>政府法案</w:t>
      </w:r>
      <w:r>
        <w:rPr>
          <w:rFonts w:hint="eastAsia"/>
          <w:snapToGrid/>
        </w:rPr>
        <w:t>2001/02</w:t>
      </w:r>
      <w:r>
        <w:rPr>
          <w:rFonts w:hint="eastAsia"/>
          <w:snapToGrid/>
        </w:rPr>
        <w:t>：</w:t>
      </w:r>
      <w:r>
        <w:rPr>
          <w:rFonts w:hint="eastAsia"/>
          <w:snapToGrid/>
        </w:rPr>
        <w:t xml:space="preserve">15, </w:t>
      </w:r>
      <w:r>
        <w:rPr>
          <w:rFonts w:hint="eastAsia"/>
          <w:snapToGrid/>
        </w:rPr>
        <w:t>报告</w:t>
      </w:r>
      <w:r>
        <w:rPr>
          <w:rFonts w:hint="eastAsia"/>
          <w:snapToGrid/>
        </w:rPr>
        <w:t>2001/02</w:t>
      </w:r>
      <w:r>
        <w:rPr>
          <w:rFonts w:hint="eastAsia"/>
          <w:snapToGrid/>
        </w:rPr>
        <w:t>：</w:t>
      </w:r>
      <w:r>
        <w:rPr>
          <w:rFonts w:hint="eastAsia"/>
          <w:snapToGrid/>
        </w:rPr>
        <w:t xml:space="preserve">UbU4, </w:t>
      </w:r>
      <w:r>
        <w:rPr>
          <w:rFonts w:hint="eastAsia"/>
          <w:snapToGrid/>
        </w:rPr>
        <w:t>议会发文</w:t>
      </w:r>
      <w:r>
        <w:rPr>
          <w:rFonts w:hint="eastAsia"/>
          <w:snapToGrid/>
        </w:rPr>
        <w:t>2001/02</w:t>
      </w:r>
      <w:r>
        <w:rPr>
          <w:rFonts w:hint="eastAsia"/>
          <w:snapToGrid/>
        </w:rPr>
        <w:t>：</w:t>
      </w:r>
      <w:r>
        <w:rPr>
          <w:rFonts w:hint="eastAsia"/>
          <w:snapToGrid/>
        </w:rPr>
        <w:t>98)</w:t>
      </w:r>
      <w:r>
        <w:rPr>
          <w:rFonts w:hint="eastAsia"/>
          <w:snapToGrid/>
        </w:rPr>
        <w:t>中提出了若干提议和评估，以改进学术机构扩大招生的努力，以及缓和从中学和成人教育到高等教育的转变。在《高等教育法》</w:t>
      </w:r>
      <w:r>
        <w:rPr>
          <w:rFonts w:hint="eastAsia"/>
          <w:snapToGrid/>
        </w:rPr>
        <w:t>(1992</w:t>
      </w:r>
      <w:r>
        <w:rPr>
          <w:rFonts w:hint="eastAsia"/>
          <w:snapToGrid/>
        </w:rPr>
        <w:t>：</w:t>
      </w:r>
      <w:r>
        <w:rPr>
          <w:rFonts w:hint="eastAsia"/>
          <w:snapToGrid/>
        </w:rPr>
        <w:t>1434)</w:t>
      </w:r>
      <w:r>
        <w:rPr>
          <w:rFonts w:hint="eastAsia"/>
          <w:snapToGrid/>
        </w:rPr>
        <w:t>第</w:t>
      </w:r>
      <w:r>
        <w:rPr>
          <w:rFonts w:hint="eastAsia"/>
          <w:snapToGrid/>
        </w:rPr>
        <w:t>5</w:t>
      </w:r>
      <w:r>
        <w:rPr>
          <w:rFonts w:hint="eastAsia"/>
          <w:snapToGrid/>
        </w:rPr>
        <w:t>节第</w:t>
      </w:r>
      <w:r>
        <w:rPr>
          <w:rFonts w:hint="eastAsia"/>
          <w:snapToGrid/>
        </w:rPr>
        <w:t>1</w:t>
      </w:r>
      <w:r>
        <w:rPr>
          <w:rFonts w:hint="eastAsia"/>
          <w:snapToGrid/>
        </w:rPr>
        <w:t>章中还插入一项规定，要求大专院校积极促进和扩大招生。</w:t>
      </w:r>
    </w:p>
    <w:p w:rsidR="00000000" w:rsidRDefault="00000000">
      <w:pPr>
        <w:rPr>
          <w:rFonts w:hint="eastAsia"/>
          <w:snapToGrid/>
        </w:rPr>
      </w:pPr>
      <w:r>
        <w:rPr>
          <w:rFonts w:hint="eastAsia"/>
          <w:snapToGrid/>
        </w:rPr>
        <w:tab/>
        <w:t xml:space="preserve">477.  </w:t>
      </w:r>
      <w:r>
        <w:rPr>
          <w:rFonts w:hint="eastAsia"/>
          <w:snapToGrid/>
        </w:rPr>
        <w:t>高教学生的人数从</w:t>
      </w:r>
      <w:r>
        <w:rPr>
          <w:rFonts w:hint="eastAsia"/>
          <w:snapToGrid/>
        </w:rPr>
        <w:t>20</w:t>
      </w:r>
      <w:r>
        <w:rPr>
          <w:rFonts w:hint="eastAsia"/>
          <w:snapToGrid/>
        </w:rPr>
        <w:t>世纪</w:t>
      </w:r>
      <w:r>
        <w:rPr>
          <w:rFonts w:hint="eastAsia"/>
          <w:snapToGrid/>
        </w:rPr>
        <w:t>90</w:t>
      </w:r>
      <w:r>
        <w:rPr>
          <w:rFonts w:hint="eastAsia"/>
          <w:snapToGrid/>
        </w:rPr>
        <w:t>年代初以来翻了一番有余。工人家庭的学生，即其父母被列为了熟练工人或非熟练工人类别的学生的人数的百分比，在</w:t>
      </w:r>
      <w:r>
        <w:rPr>
          <w:rFonts w:hint="eastAsia"/>
          <w:snapToGrid/>
        </w:rPr>
        <w:t>1993/94</w:t>
      </w:r>
      <w:r>
        <w:rPr>
          <w:rFonts w:hint="eastAsia"/>
          <w:snapToGrid/>
        </w:rPr>
        <w:t>学年和</w:t>
      </w:r>
      <w:r>
        <w:rPr>
          <w:rFonts w:hint="eastAsia"/>
          <w:snapToGrid/>
        </w:rPr>
        <w:t>2003/04</w:t>
      </w:r>
      <w:r>
        <w:rPr>
          <w:rFonts w:hint="eastAsia"/>
          <w:snapToGrid/>
        </w:rPr>
        <w:t>学年之间，从占</w:t>
      </w:r>
      <w:r>
        <w:rPr>
          <w:rFonts w:hint="eastAsia"/>
          <w:snapToGrid/>
        </w:rPr>
        <w:t>18-34</w:t>
      </w:r>
      <w:r>
        <w:rPr>
          <w:rFonts w:hint="eastAsia"/>
          <w:snapToGrid/>
        </w:rPr>
        <w:t>岁开始高等教育的学生人数的</w:t>
      </w:r>
      <w:r>
        <w:rPr>
          <w:rFonts w:hint="eastAsia"/>
          <w:snapToGrid/>
        </w:rPr>
        <w:t>18%</w:t>
      </w:r>
      <w:r>
        <w:rPr>
          <w:rFonts w:hint="eastAsia"/>
          <w:snapToGrid/>
        </w:rPr>
        <w:t>增加到</w:t>
      </w:r>
      <w:r>
        <w:rPr>
          <w:rFonts w:hint="eastAsia"/>
          <w:snapToGrid/>
        </w:rPr>
        <w:t>24%</w:t>
      </w:r>
      <w:r>
        <w:rPr>
          <w:rFonts w:hint="eastAsia"/>
          <w:snapToGrid/>
        </w:rPr>
        <w:t>。</w:t>
      </w:r>
    </w:p>
    <w:p w:rsidR="00000000" w:rsidRDefault="00000000">
      <w:pPr>
        <w:rPr>
          <w:rFonts w:hint="eastAsia"/>
          <w:snapToGrid/>
        </w:rPr>
      </w:pPr>
      <w:r>
        <w:rPr>
          <w:rFonts w:hint="eastAsia"/>
          <w:snapToGrid/>
        </w:rPr>
        <w:tab/>
        <w:t xml:space="preserve">478.  </w:t>
      </w:r>
      <w:r>
        <w:rPr>
          <w:rFonts w:hint="eastAsia"/>
          <w:snapToGrid/>
        </w:rPr>
        <w:t>在</w:t>
      </w:r>
      <w:r>
        <w:rPr>
          <w:rFonts w:hint="eastAsia"/>
          <w:snapToGrid/>
        </w:rPr>
        <w:t>2002</w:t>
      </w:r>
      <w:r>
        <w:rPr>
          <w:rFonts w:hint="eastAsia"/>
          <w:snapToGrid/>
        </w:rPr>
        <w:t>到</w:t>
      </w:r>
      <w:r>
        <w:rPr>
          <w:rFonts w:hint="eastAsia"/>
          <w:snapToGrid/>
        </w:rPr>
        <w:t>2004</w:t>
      </w:r>
      <w:r>
        <w:rPr>
          <w:rFonts w:hint="eastAsia"/>
          <w:snapToGrid/>
        </w:rPr>
        <w:t>年这段时期里，政府通过招生委员会投资</w:t>
      </w:r>
      <w:r>
        <w:rPr>
          <w:rFonts w:hint="eastAsia"/>
          <w:snapToGrid/>
        </w:rPr>
        <w:t>1.2</w:t>
      </w:r>
      <w:r>
        <w:rPr>
          <w:rFonts w:hint="eastAsia"/>
          <w:snapToGrid/>
        </w:rPr>
        <w:t>亿瑞典克朗，以促进大学和大学学院的招生活动。政府继续把扩大招生的努力置于优先地位，并且因此责成高等教育网络和合作机构支持学术机构为此目的的努力。</w:t>
      </w:r>
    </w:p>
    <w:p w:rsidR="00000000" w:rsidRDefault="00000000">
      <w:pPr>
        <w:spacing w:after="240"/>
        <w:rPr>
          <w:rFonts w:hint="eastAsia"/>
          <w:snapToGrid/>
        </w:rPr>
      </w:pPr>
      <w:r>
        <w:rPr>
          <w:rFonts w:hint="eastAsia"/>
          <w:snapToGrid/>
        </w:rPr>
        <w:tab/>
        <w:t xml:space="preserve">479.  </w:t>
      </w:r>
      <w:r>
        <w:rPr>
          <w:rFonts w:hint="eastAsia"/>
          <w:snapToGrid/>
        </w:rPr>
        <w:t>向残疾学生提供了特别支持。在</w:t>
      </w:r>
      <w:r>
        <w:rPr>
          <w:rFonts w:hint="eastAsia"/>
          <w:snapToGrid/>
        </w:rPr>
        <w:t>2002</w:t>
      </w:r>
      <w:r>
        <w:rPr>
          <w:rFonts w:hint="eastAsia"/>
          <w:snapToGrid/>
        </w:rPr>
        <w:t>和</w:t>
      </w:r>
      <w:r>
        <w:rPr>
          <w:rFonts w:hint="eastAsia"/>
          <w:snapToGrid/>
        </w:rPr>
        <w:t>2004</w:t>
      </w:r>
      <w:r>
        <w:rPr>
          <w:rFonts w:hint="eastAsia"/>
          <w:snapToGrid/>
        </w:rPr>
        <w:t>年之间，获得特别教育支助的学生人数从</w:t>
      </w:r>
      <w:r>
        <w:rPr>
          <w:rFonts w:hint="eastAsia"/>
          <w:snapToGrid/>
        </w:rPr>
        <w:t>2,000</w:t>
      </w:r>
      <w:r>
        <w:rPr>
          <w:rFonts w:hint="eastAsia"/>
          <w:snapToGrid/>
        </w:rPr>
        <w:t>人多一点增加到</w:t>
      </w:r>
      <w:r>
        <w:rPr>
          <w:rFonts w:hint="eastAsia"/>
          <w:snapToGrid/>
        </w:rPr>
        <w:t>3,400</w:t>
      </w:r>
      <w:r>
        <w:rPr>
          <w:rFonts w:hint="eastAsia"/>
          <w:snapToGrid/>
        </w:rPr>
        <w:t>人多一点，增幅约</w:t>
      </w:r>
      <w:r>
        <w:rPr>
          <w:rFonts w:hint="eastAsia"/>
          <w:snapToGrid/>
        </w:rPr>
        <w:t>60%</w:t>
      </w:r>
      <w:r>
        <w:rPr>
          <w:rFonts w:hint="eastAsia"/>
          <w:snapToGrid/>
        </w:rPr>
        <w:t>。教育机构必须从义务制学校拨款中专门留出用于支助残疾学生的份额在</w:t>
      </w:r>
      <w:r>
        <w:rPr>
          <w:rFonts w:hint="eastAsia"/>
          <w:snapToGrid/>
        </w:rPr>
        <w:t>2004</w:t>
      </w:r>
      <w:r>
        <w:rPr>
          <w:rFonts w:hint="eastAsia"/>
          <w:snapToGrid/>
        </w:rPr>
        <w:t>年从</w:t>
      </w:r>
      <w:r>
        <w:rPr>
          <w:rFonts w:hint="eastAsia"/>
          <w:snapToGrid/>
        </w:rPr>
        <w:t>0.15%</w:t>
      </w:r>
      <w:r>
        <w:rPr>
          <w:rFonts w:hint="eastAsia"/>
          <w:snapToGrid/>
        </w:rPr>
        <w:t>增加到</w:t>
      </w:r>
      <w:r>
        <w:rPr>
          <w:rFonts w:hint="eastAsia"/>
          <w:snapToGrid/>
        </w:rPr>
        <w:t>0.3%</w:t>
      </w:r>
      <w:r>
        <w:rPr>
          <w:rFonts w:hint="eastAsia"/>
          <w:snapToGrid/>
        </w:rPr>
        <w:t>。</w:t>
      </w:r>
    </w:p>
    <w:p w:rsidR="00000000" w:rsidRDefault="00000000">
      <w:pPr>
        <w:pStyle w:val="Heading4"/>
        <w:rPr>
          <w:rFonts w:hint="eastAsia"/>
        </w:rPr>
      </w:pPr>
      <w:r>
        <w:rPr>
          <w:rFonts w:hint="eastAsia"/>
          <w:u w:val="none"/>
        </w:rPr>
        <w:tab/>
      </w:r>
      <w:r>
        <w:rPr>
          <w:rFonts w:hint="eastAsia"/>
        </w:rPr>
        <w:t>师资教育</w:t>
      </w:r>
    </w:p>
    <w:p w:rsidR="00000000" w:rsidRDefault="00000000">
      <w:pPr>
        <w:spacing w:after="240"/>
        <w:rPr>
          <w:rFonts w:hint="eastAsia"/>
          <w:snapToGrid/>
        </w:rPr>
      </w:pPr>
      <w:r>
        <w:rPr>
          <w:rFonts w:hint="eastAsia"/>
          <w:snapToGrid/>
        </w:rPr>
        <w:tab/>
        <w:t xml:space="preserve">480.  </w:t>
      </w:r>
      <w:r>
        <w:rPr>
          <w:rFonts w:hint="eastAsia"/>
          <w:snapToGrid/>
        </w:rPr>
        <w:t>在过去十年里，学校制度经历了全面的变化。变化要求教师发挥一种新的作用，这样反过来必须基于一项新的师资教育方案。</w:t>
      </w:r>
      <w:r>
        <w:rPr>
          <w:rFonts w:hint="eastAsia"/>
          <w:snapToGrid/>
        </w:rPr>
        <w:t>2001</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日实施的新的教师学位方案要求</w:t>
      </w:r>
      <w:r>
        <w:rPr>
          <w:rFonts w:hint="eastAsia"/>
          <w:snapToGrid/>
        </w:rPr>
        <w:t>120-220</w:t>
      </w:r>
      <w:r>
        <w:rPr>
          <w:rFonts w:hint="eastAsia"/>
          <w:snapToGrid/>
        </w:rPr>
        <w:t>学分</w:t>
      </w:r>
      <w:r>
        <w:rPr>
          <w:rFonts w:hint="eastAsia"/>
          <w:snapToGrid/>
        </w:rPr>
        <w:t>(3</w:t>
      </w:r>
      <w:r>
        <w:rPr>
          <w:rFonts w:hint="eastAsia"/>
          <w:snapToGrid/>
        </w:rPr>
        <w:t>至</w:t>
      </w:r>
      <w:r>
        <w:rPr>
          <w:rFonts w:hint="eastAsia"/>
          <w:snapToGrid/>
        </w:rPr>
        <w:t>5.5</w:t>
      </w:r>
      <w:r>
        <w:rPr>
          <w:rFonts w:hint="eastAsia"/>
          <w:snapToGrid/>
        </w:rPr>
        <w:t>年</w:t>
      </w:r>
      <w:r>
        <w:rPr>
          <w:rFonts w:hint="eastAsia"/>
          <w:snapToGrid/>
        </w:rPr>
        <w:t>)</w:t>
      </w:r>
      <w:r>
        <w:rPr>
          <w:rFonts w:hint="eastAsia"/>
          <w:snapToGrid/>
        </w:rPr>
        <w:t>，并且由三个互相协调的领域组成：一般教育、一个或多个集中领域和一个专门领域。一个授予幼儿园、课余休闲中心和义务制学校低年级教师资格的学位要求</w:t>
      </w:r>
      <w:r>
        <w:rPr>
          <w:rFonts w:hint="eastAsia"/>
          <w:snapToGrid/>
        </w:rPr>
        <w:t>140</w:t>
      </w:r>
      <w:r>
        <w:rPr>
          <w:rFonts w:hint="eastAsia"/>
          <w:snapToGrid/>
        </w:rPr>
        <w:t>学分。授予义务制学校高年级和高中教师资格的学位要求</w:t>
      </w:r>
      <w:r>
        <w:rPr>
          <w:rFonts w:hint="eastAsia"/>
          <w:snapToGrid/>
        </w:rPr>
        <w:t>180-220</w:t>
      </w:r>
      <w:r>
        <w:rPr>
          <w:rFonts w:hint="eastAsia"/>
          <w:snapToGrid/>
        </w:rPr>
        <w:t>学分。与研究的联系获得了大力加强。教师学位的学位描述在</w:t>
      </w:r>
      <w:r>
        <w:rPr>
          <w:rFonts w:hint="eastAsia"/>
          <w:snapToGrid/>
        </w:rPr>
        <w:t>2005</w:t>
      </w:r>
      <w:r>
        <w:rPr>
          <w:rFonts w:hint="eastAsia"/>
          <w:snapToGrid/>
        </w:rPr>
        <w:t>年有了改变，以反映出学生必须能够传达和应用目的在于防止和打击对于儿童和学生的歧视及其他形式有辱人格待遇的规章的要求。</w:t>
      </w:r>
    </w:p>
    <w:p w:rsidR="00000000" w:rsidRDefault="00000000">
      <w:pPr>
        <w:pStyle w:val="Heading4"/>
        <w:rPr>
          <w:rFonts w:hint="eastAsia"/>
        </w:rPr>
      </w:pPr>
      <w:r>
        <w:rPr>
          <w:rFonts w:hint="eastAsia"/>
          <w:u w:val="none"/>
        </w:rPr>
        <w:tab/>
      </w:r>
      <w:r>
        <w:rPr>
          <w:rFonts w:hint="eastAsia"/>
        </w:rPr>
        <w:t>教师技能的提高</w:t>
      </w:r>
    </w:p>
    <w:p w:rsidR="00000000" w:rsidRDefault="00000000">
      <w:pPr>
        <w:rPr>
          <w:rFonts w:hint="eastAsia"/>
          <w:snapToGrid/>
        </w:rPr>
      </w:pPr>
      <w:r>
        <w:rPr>
          <w:rFonts w:hint="eastAsia"/>
          <w:snapToGrid/>
        </w:rPr>
        <w:tab/>
        <w:t xml:space="preserve">481.  </w:t>
      </w:r>
      <w:r>
        <w:rPr>
          <w:rFonts w:hint="eastAsia"/>
          <w:snapToGrid/>
        </w:rPr>
        <w:t>国家学校改进署向以母语教授各种学科或允许说母语的伙伴教师与教室</w:t>
      </w:r>
      <w:r>
        <w:rPr>
          <w:rFonts w:hint="eastAsia"/>
          <w:snapToGrid/>
        </w:rPr>
        <w:t>/</w:t>
      </w:r>
      <w:r>
        <w:rPr>
          <w:rFonts w:hint="eastAsia"/>
          <w:snapToGrid/>
        </w:rPr>
        <w:t>学科教师平行工作的城市</w:t>
      </w:r>
      <w:r>
        <w:rPr>
          <w:rFonts w:hint="eastAsia"/>
          <w:snapToGrid/>
        </w:rPr>
        <w:t>/</w:t>
      </w:r>
      <w:r>
        <w:rPr>
          <w:rFonts w:hint="eastAsia"/>
          <w:snapToGrid/>
        </w:rPr>
        <w:t>学校提出申请</w:t>
      </w:r>
      <w:r>
        <w:rPr>
          <w:rFonts w:hint="eastAsia"/>
          <w:snapToGrid/>
        </w:rPr>
        <w:t>2006/2007</w:t>
      </w:r>
      <w:r>
        <w:rPr>
          <w:rFonts w:hint="eastAsia"/>
          <w:snapToGrid/>
        </w:rPr>
        <w:t>学年激励金</w:t>
      </w:r>
      <w:r>
        <w:rPr>
          <w:rFonts w:hint="eastAsia"/>
          <w:snapToGrid/>
        </w:rPr>
        <w:t>(15</w:t>
      </w:r>
      <w:r>
        <w:rPr>
          <w:rFonts w:hint="eastAsia"/>
          <w:snapToGrid/>
        </w:rPr>
        <w:t>万瑞典克朗</w:t>
      </w:r>
      <w:r>
        <w:rPr>
          <w:rFonts w:hint="eastAsia"/>
          <w:snapToGrid/>
        </w:rPr>
        <w:t>/</w:t>
      </w:r>
      <w:r>
        <w:rPr>
          <w:rFonts w:hint="eastAsia"/>
          <w:snapToGrid/>
        </w:rPr>
        <w:t>单位</w:t>
      </w:r>
      <w:r>
        <w:rPr>
          <w:rFonts w:hint="eastAsia"/>
          <w:snapToGrid/>
        </w:rPr>
        <w:t>)</w:t>
      </w:r>
      <w:r>
        <w:rPr>
          <w:rFonts w:hint="eastAsia"/>
          <w:snapToGrid/>
        </w:rPr>
        <w:t>的机会。在他们职业的框架内，还应当给予这些双语教育者在一个高教机构学习的机会</w:t>
      </w:r>
      <w:r>
        <w:rPr>
          <w:rFonts w:hint="eastAsia"/>
          <w:snapToGrid/>
        </w:rPr>
        <w:t>(</w:t>
      </w:r>
      <w:r>
        <w:rPr>
          <w:rFonts w:hint="eastAsia"/>
          <w:snapToGrid/>
        </w:rPr>
        <w:t>并且至少获得</w:t>
      </w:r>
      <w:r>
        <w:rPr>
          <w:rFonts w:hint="eastAsia"/>
          <w:snapToGrid/>
        </w:rPr>
        <w:t>20</w:t>
      </w:r>
      <w:r>
        <w:rPr>
          <w:rFonts w:hint="eastAsia"/>
          <w:snapToGrid/>
        </w:rPr>
        <w:t>学分</w:t>
      </w:r>
      <w:r>
        <w:rPr>
          <w:rFonts w:hint="eastAsia"/>
          <w:snapToGrid/>
        </w:rPr>
        <w:t>)</w:t>
      </w:r>
      <w:r>
        <w:rPr>
          <w:rFonts w:hint="eastAsia"/>
          <w:snapToGrid/>
        </w:rPr>
        <w:t>。希望是各城市将把这个机会用于雇佣如罗姆族工作人员等目的。</w:t>
      </w:r>
    </w:p>
    <w:p w:rsidR="00000000" w:rsidRDefault="00000000">
      <w:pPr>
        <w:rPr>
          <w:rFonts w:hint="eastAsia"/>
          <w:snapToGrid/>
        </w:rPr>
      </w:pPr>
      <w:r>
        <w:rPr>
          <w:rFonts w:hint="eastAsia"/>
          <w:snapToGrid/>
        </w:rPr>
        <w:tab/>
        <w:t xml:space="preserve">482.  </w:t>
      </w:r>
      <w:r>
        <w:rPr>
          <w:rFonts w:hint="eastAsia"/>
          <w:snapToGrid/>
        </w:rPr>
        <w:t>国家教育署和国家学校改进署在</w:t>
      </w:r>
      <w:r>
        <w:rPr>
          <w:rFonts w:hint="eastAsia"/>
          <w:snapToGrid/>
        </w:rPr>
        <w:t>2001-2003</w:t>
      </w:r>
      <w:r>
        <w:rPr>
          <w:rFonts w:hint="eastAsia"/>
          <w:snapToGrid/>
        </w:rPr>
        <w:t>年和</w:t>
      </w:r>
      <w:r>
        <w:rPr>
          <w:rFonts w:hint="eastAsia"/>
          <w:snapToGrid/>
        </w:rPr>
        <w:t>2005-2006</w:t>
      </w:r>
      <w:r>
        <w:rPr>
          <w:rFonts w:hint="eastAsia"/>
          <w:snapToGrid/>
        </w:rPr>
        <w:t>年向幼儿园和义务制学校员工提供机会参加一个名为“教育幼年双语儿童和学生”的高教课程</w:t>
      </w:r>
      <w:r>
        <w:rPr>
          <w:rFonts w:hint="eastAsia"/>
          <w:snapToGrid/>
        </w:rPr>
        <w:t>(</w:t>
      </w:r>
      <w:r>
        <w:rPr>
          <w:rFonts w:hint="eastAsia"/>
          <w:snapToGrid/>
          <w:spacing w:val="6"/>
        </w:rPr>
        <w:t>分别为</w:t>
      </w:r>
      <w:r>
        <w:rPr>
          <w:rFonts w:hint="eastAsia"/>
          <w:snapToGrid/>
          <w:spacing w:val="4"/>
        </w:rPr>
        <w:t>5</w:t>
      </w:r>
      <w:r>
        <w:rPr>
          <w:rFonts w:hint="eastAsia"/>
          <w:snapToGrid/>
          <w:spacing w:val="4"/>
        </w:rPr>
        <w:t>和</w:t>
      </w:r>
      <w:r>
        <w:rPr>
          <w:rFonts w:hint="eastAsia"/>
          <w:snapToGrid/>
          <w:spacing w:val="4"/>
        </w:rPr>
        <w:t>10</w:t>
      </w:r>
      <w:r>
        <w:rPr>
          <w:rFonts w:hint="eastAsia"/>
          <w:snapToGrid/>
          <w:spacing w:val="6"/>
        </w:rPr>
        <w:t>学分</w:t>
      </w:r>
      <w:r>
        <w:rPr>
          <w:rFonts w:hint="eastAsia"/>
          <w:snapToGrid/>
          <w:spacing w:val="6"/>
        </w:rPr>
        <w:t>)</w:t>
      </w:r>
      <w:r>
        <w:rPr>
          <w:rFonts w:hint="eastAsia"/>
          <w:snapToGrid/>
          <w:spacing w:val="6"/>
        </w:rPr>
        <w:t>。在第一轮，邀请瑞典北部的城市派遣以芬兰语、</w:t>
      </w:r>
      <w:r>
        <w:rPr>
          <w:rFonts w:hint="eastAsia"/>
          <w:snapToGrid/>
        </w:rPr>
        <w:t>Meankieli</w:t>
      </w:r>
      <w:r>
        <w:rPr>
          <w:rFonts w:hint="eastAsia"/>
          <w:snapToGrid/>
        </w:rPr>
        <w:t>语和萨米语工作的员工。</w:t>
      </w:r>
    </w:p>
    <w:p w:rsidR="00000000" w:rsidRDefault="00000000">
      <w:pPr>
        <w:rPr>
          <w:rFonts w:hint="eastAsia"/>
          <w:snapToGrid/>
        </w:rPr>
      </w:pPr>
      <w:r>
        <w:rPr>
          <w:rFonts w:hint="eastAsia"/>
          <w:snapToGrid/>
        </w:rPr>
        <w:tab/>
        <w:t xml:space="preserve">483.  </w:t>
      </w:r>
      <w:r>
        <w:rPr>
          <w:rFonts w:hint="eastAsia"/>
          <w:snapToGrid/>
        </w:rPr>
        <w:t>根据国家教育署的指示，马尔默大学在</w:t>
      </w:r>
      <w:r>
        <w:rPr>
          <w:rFonts w:hint="eastAsia"/>
          <w:snapToGrid/>
        </w:rPr>
        <w:t>2002</w:t>
      </w:r>
      <w:r>
        <w:rPr>
          <w:rFonts w:hint="eastAsia"/>
          <w:snapToGrid/>
        </w:rPr>
        <w:t>年为一项目的主要在与罗姆族儿童和小学生一起工作的教育方案</w:t>
      </w:r>
      <w:r>
        <w:rPr>
          <w:rFonts w:hint="eastAsia"/>
          <w:snapToGrid/>
        </w:rPr>
        <w:t>(80</w:t>
      </w:r>
      <w:r>
        <w:rPr>
          <w:rFonts w:hint="eastAsia"/>
          <w:snapToGrid/>
        </w:rPr>
        <w:t>学分</w:t>
      </w:r>
      <w:r>
        <w:rPr>
          <w:rFonts w:hint="eastAsia"/>
          <w:snapToGrid/>
        </w:rPr>
        <w:t>)</w:t>
      </w:r>
      <w:r>
        <w:rPr>
          <w:rFonts w:hint="eastAsia"/>
          <w:snapToGrid/>
        </w:rPr>
        <w:t>起草一项提议。完成这项方案之后，学生们将有资格担任“助理教育人”。可惜的是，由于没有人申请，这项方案未予实施，但是提议仍然有效。</w:t>
      </w:r>
    </w:p>
    <w:p w:rsidR="00000000" w:rsidRDefault="00000000">
      <w:pPr>
        <w:spacing w:after="240"/>
        <w:rPr>
          <w:rFonts w:hint="eastAsia"/>
          <w:snapToGrid/>
        </w:rPr>
      </w:pPr>
      <w:r>
        <w:rPr>
          <w:rFonts w:hint="eastAsia"/>
          <w:snapToGrid/>
        </w:rPr>
        <w:tab/>
        <w:t xml:space="preserve">484.  </w:t>
      </w:r>
      <w:r>
        <w:rPr>
          <w:rFonts w:hint="eastAsia"/>
          <w:snapToGrid/>
        </w:rPr>
        <w:t>少数语言的教师每年受邀参加一个他们各自语言为期两天的在职讨论会。迄今为止已经举行了萨米语、芬兰语和</w:t>
      </w:r>
      <w:r>
        <w:rPr>
          <w:rFonts w:hint="eastAsia"/>
          <w:snapToGrid/>
        </w:rPr>
        <w:t>Meankieli</w:t>
      </w:r>
      <w:r>
        <w:rPr>
          <w:rFonts w:hint="eastAsia"/>
          <w:snapToGrid/>
        </w:rPr>
        <w:t>语的讨论会，</w:t>
      </w:r>
      <w:r>
        <w:rPr>
          <w:rFonts w:hint="eastAsia"/>
          <w:snapToGrid/>
        </w:rPr>
        <w:t>2006</w:t>
      </w:r>
      <w:r>
        <w:rPr>
          <w:rFonts w:hint="eastAsia"/>
          <w:snapToGrid/>
        </w:rPr>
        <w:t>年还将为罗姆语工作人员举行讨论会。</w:t>
      </w:r>
    </w:p>
    <w:p w:rsidR="00000000" w:rsidRDefault="00000000">
      <w:pPr>
        <w:pStyle w:val="Heading4"/>
        <w:rPr>
          <w:rFonts w:hint="eastAsia"/>
        </w:rPr>
      </w:pPr>
      <w:r>
        <w:rPr>
          <w:rFonts w:hint="eastAsia"/>
          <w:u w:val="none"/>
        </w:rPr>
        <w:tab/>
      </w:r>
      <w:r>
        <w:rPr>
          <w:rFonts w:hint="eastAsia"/>
        </w:rPr>
        <w:t>教育中的人权</w:t>
      </w:r>
    </w:p>
    <w:p w:rsidR="00000000" w:rsidRDefault="00000000">
      <w:pPr>
        <w:rPr>
          <w:rFonts w:hint="eastAsia"/>
          <w:snapToGrid/>
        </w:rPr>
      </w:pPr>
      <w:r>
        <w:rPr>
          <w:rFonts w:hint="eastAsia"/>
          <w:snapToGrid/>
        </w:rPr>
        <w:tab/>
        <w:t xml:space="preserve">485.  </w:t>
      </w:r>
      <w:r>
        <w:rPr>
          <w:rFonts w:hint="eastAsia"/>
          <w:snapToGrid/>
        </w:rPr>
        <w:t>在高等教育中推行一种新的教育和学位结构的背景下，政府决定修订除了其他之外管理专业学位的要求和目标的《高等教育条例》</w:t>
      </w:r>
      <w:r>
        <w:rPr>
          <w:rFonts w:hint="eastAsia"/>
          <w:snapToGrid/>
        </w:rPr>
        <w:t>(1993</w:t>
      </w:r>
      <w:r>
        <w:rPr>
          <w:rFonts w:hint="eastAsia"/>
          <w:snapToGrid/>
        </w:rPr>
        <w:t>：</w:t>
      </w:r>
      <w:r>
        <w:rPr>
          <w:rFonts w:hint="eastAsia"/>
          <w:snapToGrid/>
        </w:rPr>
        <w:t xml:space="preserve">100, </w:t>
      </w:r>
      <w:r>
        <w:rPr>
          <w:rFonts w:hint="eastAsia"/>
          <w:snapToGrid/>
        </w:rPr>
        <w:t>附录</w:t>
      </w:r>
      <w:r>
        <w:rPr>
          <w:rFonts w:hint="eastAsia"/>
          <w:snapToGrid/>
        </w:rPr>
        <w:t>2)</w:t>
      </w:r>
      <w:r>
        <w:rPr>
          <w:rFonts w:hint="eastAsia"/>
          <w:snapToGrid/>
        </w:rPr>
        <w:t>中关于学位的规则。若干学位的学位描述表明，学生应当表现出一定的评价能力以及特地奉行人权的处事方式。这个新的规定将从</w:t>
      </w:r>
      <w:r>
        <w:rPr>
          <w:rFonts w:hint="eastAsia"/>
          <w:snapToGrid/>
        </w:rPr>
        <w:t>2007</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日起适用于学位方案。</w:t>
      </w:r>
      <w:r>
        <w:rPr>
          <w:rFonts w:hint="eastAsia"/>
          <w:snapToGrid/>
        </w:rPr>
        <w:t>(</w:t>
      </w:r>
      <w:r>
        <w:rPr>
          <w:rFonts w:hint="eastAsia"/>
          <w:snapToGrid/>
        </w:rPr>
        <w:t>参看《结论性意见》第</w:t>
      </w:r>
      <w:r>
        <w:rPr>
          <w:rFonts w:hint="eastAsia"/>
          <w:snapToGrid/>
        </w:rPr>
        <w:t>35</w:t>
      </w:r>
      <w:r>
        <w:rPr>
          <w:rFonts w:hint="eastAsia"/>
          <w:snapToGrid/>
        </w:rPr>
        <w:t>项。</w:t>
      </w:r>
      <w:r>
        <w:rPr>
          <w:rFonts w:hint="eastAsia"/>
          <w:snapToGrid/>
        </w:rPr>
        <w:t>)</w:t>
      </w:r>
    </w:p>
    <w:p w:rsidR="00000000" w:rsidRDefault="00000000">
      <w:pPr>
        <w:spacing w:after="240"/>
        <w:rPr>
          <w:rFonts w:hint="eastAsia"/>
          <w:snapToGrid/>
        </w:rPr>
      </w:pPr>
      <w:r>
        <w:rPr>
          <w:rFonts w:hint="eastAsia"/>
          <w:snapToGrid/>
        </w:rPr>
        <w:tab/>
        <w:t xml:space="preserve">486.  </w:t>
      </w:r>
      <w:r>
        <w:rPr>
          <w:rFonts w:hint="eastAsia"/>
          <w:snapToGrid/>
        </w:rPr>
        <w:t>政府还在新的国家人权行动计划中宣布，将在</w:t>
      </w:r>
      <w:r>
        <w:rPr>
          <w:rFonts w:hint="eastAsia"/>
          <w:snapToGrid/>
        </w:rPr>
        <w:t>2007</w:t>
      </w:r>
      <w:r>
        <w:rPr>
          <w:rFonts w:hint="eastAsia"/>
          <w:snapToGrid/>
        </w:rPr>
        <w:t>年责成国家高等教育署研究怎样将人权纳入可以推测这种教育将对于未来的专业实践具有重大意义的学位方案中。</w:t>
      </w:r>
    </w:p>
    <w:p w:rsidR="00000000" w:rsidRDefault="00000000">
      <w:pPr>
        <w:pStyle w:val="Heading4"/>
        <w:rPr>
          <w:rFonts w:hint="eastAsia"/>
        </w:rPr>
      </w:pPr>
      <w:r>
        <w:rPr>
          <w:rFonts w:hint="eastAsia"/>
          <w:u w:val="none"/>
        </w:rPr>
        <w:tab/>
      </w:r>
      <w:r>
        <w:rPr>
          <w:rFonts w:hint="eastAsia"/>
        </w:rPr>
        <w:t>教育开支</w:t>
      </w:r>
    </w:p>
    <w:p w:rsidR="00000000" w:rsidRDefault="00000000">
      <w:pPr>
        <w:spacing w:after="320"/>
        <w:rPr>
          <w:rFonts w:hint="eastAsia"/>
          <w:snapToGrid/>
        </w:rPr>
      </w:pPr>
      <w:r>
        <w:rPr>
          <w:rFonts w:hint="eastAsia"/>
          <w:snapToGrid/>
        </w:rPr>
        <w:tab/>
        <w:t>487.  2004</w:t>
      </w:r>
      <w:r>
        <w:rPr>
          <w:rFonts w:hint="eastAsia"/>
          <w:snapToGrid/>
        </w:rPr>
        <w:t>年的教育开支是</w:t>
      </w:r>
      <w:r>
        <w:rPr>
          <w:rFonts w:hint="eastAsia"/>
          <w:snapToGrid/>
        </w:rPr>
        <w:t>400</w:t>
      </w:r>
      <w:r>
        <w:rPr>
          <w:rFonts w:hint="eastAsia"/>
          <w:snapToGrid/>
        </w:rPr>
        <w:t>亿瑞典克朗，相当于国家预算的大约</w:t>
      </w:r>
      <w:r>
        <w:rPr>
          <w:rFonts w:hint="eastAsia"/>
          <w:snapToGrid/>
        </w:rPr>
        <w:t>5.2%</w:t>
      </w:r>
      <w:r>
        <w:rPr>
          <w:rFonts w:hint="eastAsia"/>
          <w:snapToGrid/>
        </w:rPr>
        <w:t>。各城市负责提供义务制学校和高中级别的教育以及成人教育。</w:t>
      </w:r>
      <w:r>
        <w:rPr>
          <w:rFonts w:hint="eastAsia"/>
          <w:snapToGrid/>
        </w:rPr>
        <w:t>2004</w:t>
      </w:r>
      <w:r>
        <w:rPr>
          <w:rFonts w:hint="eastAsia"/>
          <w:snapToGrid/>
        </w:rPr>
        <w:t>年，这些费用达到全部市政开支的大约</w:t>
      </w:r>
      <w:r>
        <w:rPr>
          <w:rFonts w:hint="eastAsia"/>
          <w:snapToGrid/>
        </w:rPr>
        <w:t>32%</w:t>
      </w:r>
      <w:r>
        <w:rPr>
          <w:rFonts w:hint="eastAsia"/>
          <w:snapToGrid/>
        </w:rPr>
        <w:t>。同年幼儿园和学龄儿童照顾的费用达到全部市政开支的</w:t>
      </w:r>
      <w:r>
        <w:rPr>
          <w:rFonts w:hint="eastAsia"/>
          <w:snapToGrid/>
        </w:rPr>
        <w:t>13%</w:t>
      </w:r>
      <w:r>
        <w:rPr>
          <w:rFonts w:hint="eastAsia"/>
          <w:snapToGrid/>
        </w:rPr>
        <w:t>。大学本科和研究生教育的全部直接预算拨款是</w:t>
      </w:r>
      <w:r>
        <w:rPr>
          <w:rFonts w:hint="eastAsia"/>
          <w:snapToGrid/>
        </w:rPr>
        <w:t>324</w:t>
      </w:r>
      <w:r>
        <w:rPr>
          <w:rFonts w:hint="eastAsia"/>
          <w:snapToGrid/>
        </w:rPr>
        <w:t>亿瑞典克朗。</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15</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snapToGrid/>
        </w:rPr>
      </w:pPr>
      <w:r>
        <w:rPr>
          <w:rFonts w:hint="eastAsia"/>
          <w:snapToGrid/>
        </w:rPr>
        <w:tab/>
        <w:t xml:space="preserve">488.  </w:t>
      </w:r>
      <w:r>
        <w:rPr>
          <w:rFonts w:hint="eastAsia"/>
          <w:snapToGrid/>
        </w:rPr>
        <w:t>国家、省议会和各城市分担对文化生活提供公共支助的责任。国家向中央文化机构供资，并且向地方和地区的文化活动提供支助。近两三年来，设置了发给代表某种少数民族群体的国家补助金。该补助金的目的是促进加强文化和特性以及支持少数民族政策和少数群体在文明社会的影响的努力的举措。从</w:t>
      </w:r>
      <w:r>
        <w:rPr>
          <w:rFonts w:hint="eastAsia"/>
          <w:snapToGrid/>
        </w:rPr>
        <w:t>2006</w:t>
      </w:r>
      <w:r>
        <w:rPr>
          <w:rFonts w:hint="eastAsia"/>
          <w:snapToGrid/>
        </w:rPr>
        <w:t>年起，该补助金通过《国家少数民族补助金条例》</w:t>
      </w:r>
      <w:r>
        <w:rPr>
          <w:rFonts w:hint="eastAsia"/>
          <w:snapToGrid/>
        </w:rPr>
        <w:t>(2005</w:t>
      </w:r>
      <w:r>
        <w:rPr>
          <w:rFonts w:hint="eastAsia"/>
          <w:snapToGrid/>
        </w:rPr>
        <w:t>：</w:t>
      </w:r>
      <w:r>
        <w:rPr>
          <w:rFonts w:hint="eastAsia"/>
          <w:snapToGrid/>
        </w:rPr>
        <w:t>765)</w:t>
      </w:r>
      <w:r>
        <w:rPr>
          <w:rFonts w:hint="eastAsia"/>
          <w:snapToGrid/>
        </w:rPr>
        <w:t>进行管理。预算拨款是每年</w:t>
      </w:r>
      <w:r>
        <w:rPr>
          <w:rFonts w:hint="eastAsia"/>
          <w:snapToGrid/>
        </w:rPr>
        <w:t>400</w:t>
      </w:r>
      <w:r>
        <w:rPr>
          <w:rFonts w:hint="eastAsia"/>
          <w:snapToGrid/>
        </w:rPr>
        <w:t>万瑞典克朗。</w:t>
      </w:r>
    </w:p>
    <w:p w:rsidR="00000000" w:rsidRDefault="00000000">
      <w:pPr>
        <w:rPr>
          <w:rFonts w:hint="eastAsia"/>
          <w:snapToGrid/>
        </w:rPr>
      </w:pPr>
      <w:r>
        <w:rPr>
          <w:rFonts w:hint="eastAsia"/>
          <w:snapToGrid/>
        </w:rPr>
        <w:tab/>
        <w:t>489.  2002</w:t>
      </w:r>
      <w:r>
        <w:rPr>
          <w:rFonts w:hint="eastAsia"/>
          <w:snapToGrid/>
        </w:rPr>
        <w:t>年，授予国家文化事务理事会特别责任和特别预算资金，来促进少数民族语言和文化。这样大力支持国家对于文化中心、图书馆、剧院等的支助。</w:t>
      </w:r>
    </w:p>
    <w:p w:rsidR="00000000" w:rsidRDefault="00000000">
      <w:pPr>
        <w:rPr>
          <w:rFonts w:hint="eastAsia"/>
          <w:snapToGrid/>
        </w:rPr>
      </w:pPr>
      <w:r>
        <w:rPr>
          <w:rFonts w:hint="eastAsia"/>
          <w:snapToGrid/>
        </w:rPr>
        <w:tab/>
        <w:t xml:space="preserve">490.  </w:t>
      </w:r>
      <w:r>
        <w:rPr>
          <w:rFonts w:hint="eastAsia"/>
          <w:snapToGrid/>
        </w:rPr>
        <w:t>多年以来，从文化预算中向萨米族议会提供资金，用于向从事教育和研究及有关萨米族文化项目的地方和国家级别的萨米族非政府组织提供补助金。该补助金由萨米族文化理事会根据议会发放补助金的确定准则和方式予以分配。瑞典关于遵守欧洲理事会保护少数民族框架公约的第一次报告中提到的建立萨米族戏剧机构的努力产生了成果，现在在瑞典有了一个萨米族剧院。瑞典的萨米族剧院</w:t>
      </w:r>
      <w:r>
        <w:rPr>
          <w:rFonts w:hint="eastAsia"/>
          <w:snapToGrid/>
        </w:rPr>
        <w:t>Sami Teather</w:t>
      </w:r>
      <w:r>
        <w:rPr>
          <w:rFonts w:hint="eastAsia"/>
          <w:snapToGrid/>
        </w:rPr>
        <w:t>从</w:t>
      </w:r>
      <w:r>
        <w:rPr>
          <w:rFonts w:hint="eastAsia"/>
          <w:snapToGrid/>
        </w:rPr>
        <w:t>2001</w:t>
      </w:r>
      <w:r>
        <w:rPr>
          <w:rFonts w:hint="eastAsia"/>
          <w:snapToGrid/>
        </w:rPr>
        <w:t>年起领取国家资助。萨米族剧院位于基律纳和泰纳比，其注册办事处在基律纳。萨米族剧院的目标是促进文化新生和发展，同时维护和促进萨米语言。它在</w:t>
      </w:r>
      <w:r>
        <w:rPr>
          <w:rFonts w:hint="eastAsia"/>
          <w:snapToGrid/>
        </w:rPr>
        <w:t>2004</w:t>
      </w:r>
      <w:r>
        <w:rPr>
          <w:snapToGrid/>
        </w:rPr>
        <w:t>-</w:t>
      </w:r>
      <w:r>
        <w:rPr>
          <w:rFonts w:hint="eastAsia"/>
          <w:snapToGrid/>
        </w:rPr>
        <w:t>2005</w:t>
      </w:r>
      <w:r>
        <w:rPr>
          <w:rFonts w:hint="eastAsia"/>
          <w:snapToGrid/>
        </w:rPr>
        <w:t>年的活动包括与挪威萨米族剧院共同在</w:t>
      </w:r>
      <w:r>
        <w:rPr>
          <w:rFonts w:hint="eastAsia"/>
          <w:snapToGrid/>
        </w:rPr>
        <w:t>Jukkasjarvi</w:t>
      </w:r>
      <w:r>
        <w:rPr>
          <w:rFonts w:hint="eastAsia"/>
          <w:snapToGrid/>
        </w:rPr>
        <w:t>的冰球剧院用萨米语演出莎士比亚的两部作品：《汉姆莱特》和《马克白斯》。</w:t>
      </w:r>
    </w:p>
    <w:p w:rsidR="00000000" w:rsidRDefault="00000000">
      <w:pPr>
        <w:rPr>
          <w:rFonts w:hint="eastAsia"/>
          <w:snapToGrid/>
        </w:rPr>
      </w:pPr>
      <w:r>
        <w:rPr>
          <w:rFonts w:hint="eastAsia"/>
          <w:snapToGrid/>
        </w:rPr>
        <w:tab/>
        <w:t xml:space="preserve">491.  </w:t>
      </w:r>
      <w:r>
        <w:rPr>
          <w:rFonts w:hint="eastAsia"/>
          <w:snapToGrid/>
          <w:spacing w:val="4"/>
        </w:rPr>
        <w:t>国家文化事务理事会还向各个机构提供资金，其中包括</w:t>
      </w:r>
      <w:r>
        <w:rPr>
          <w:rFonts w:hint="eastAsia"/>
          <w:i/>
          <w:snapToGrid/>
        </w:rPr>
        <w:t xml:space="preserve">Tornedalsteatern </w:t>
      </w:r>
      <w:r>
        <w:rPr>
          <w:rFonts w:hint="eastAsia"/>
          <w:snapToGrid/>
        </w:rPr>
        <w:t>(</w:t>
      </w:r>
      <w:r>
        <w:rPr>
          <w:rFonts w:hint="eastAsia"/>
          <w:snapToGrid/>
        </w:rPr>
        <w:t>该剧院集中于以</w:t>
      </w:r>
      <w:r>
        <w:rPr>
          <w:rFonts w:hint="eastAsia"/>
          <w:snapToGrid/>
        </w:rPr>
        <w:t>Meankieli</w:t>
      </w:r>
      <w:r>
        <w:rPr>
          <w:rFonts w:hint="eastAsia"/>
          <w:snapToGrid/>
        </w:rPr>
        <w:t>语演出的戏剧作品</w:t>
      </w:r>
      <w:r>
        <w:rPr>
          <w:rFonts w:hint="eastAsia"/>
          <w:snapToGrid/>
        </w:rPr>
        <w:t>)</w:t>
      </w:r>
      <w:r>
        <w:rPr>
          <w:rFonts w:hint="eastAsia"/>
          <w:snapToGrid/>
        </w:rPr>
        <w:t>芬兰</w:t>
      </w:r>
      <w:r>
        <w:rPr>
          <w:rFonts w:hint="eastAsia"/>
          <w:i/>
          <w:snapToGrid/>
        </w:rPr>
        <w:t>Uusi</w:t>
      </w:r>
      <w:r>
        <w:rPr>
          <w:rFonts w:hint="eastAsia"/>
          <w:snapToGrid/>
        </w:rPr>
        <w:t>Teatteri (</w:t>
      </w:r>
      <w:r>
        <w:rPr>
          <w:rFonts w:hint="eastAsia"/>
          <w:snapToGrid/>
        </w:rPr>
        <w:t>芬兰语的戏剧作品</w:t>
      </w:r>
      <w:r>
        <w:rPr>
          <w:rFonts w:hint="eastAsia"/>
          <w:snapToGrid/>
        </w:rPr>
        <w:t>)</w:t>
      </w:r>
      <w:r>
        <w:rPr>
          <w:rFonts w:hint="eastAsia"/>
          <w:snapToGrid/>
        </w:rPr>
        <w:t>文化协会、斯德哥尔摩罗姆文化中心、马尔默罗姆图书馆以及犹太教会。这只是领取国家文化资助的机构的几个例子而已。国家文化事务理事会就资金的分配以及少数民族的文化和语言等事务与少数民族的代表进行磋商。这种磋商部分是通过瑞典较少使用语言局进行的，该局是欧洲较少使用语言局的国别委员会。磋商是通过各种方式完成的；例如，瑞典较少使用语言局将国家文化事务理事会收到的补助金申请书的副本送交给代表各少数民族的机构，给它们机会建议哪些申请人应当领取国家资助。它们的意见在理事会最后评估中得到考虑。</w:t>
      </w:r>
    </w:p>
    <w:p w:rsidR="00000000" w:rsidRDefault="00000000">
      <w:pPr>
        <w:rPr>
          <w:rFonts w:hint="eastAsia"/>
          <w:snapToGrid/>
        </w:rPr>
      </w:pPr>
      <w:r>
        <w:rPr>
          <w:rFonts w:hint="eastAsia"/>
          <w:snapToGrid/>
        </w:rPr>
        <w:tab/>
        <w:t xml:space="preserve">492.  </w:t>
      </w:r>
      <w:r>
        <w:rPr>
          <w:rFonts w:hint="eastAsia"/>
          <w:snapToGrid/>
        </w:rPr>
        <w:t>帮助支付在电影或录象上增加瑞典文字幕以及为视力损害者制造电影的口头描述的津贴纳入了</w:t>
      </w:r>
      <w:r>
        <w:rPr>
          <w:rFonts w:hint="eastAsia"/>
          <w:snapToGrid/>
        </w:rPr>
        <w:t>2000</w:t>
      </w:r>
      <w:r>
        <w:rPr>
          <w:rFonts w:hint="eastAsia"/>
          <w:snapToGrid/>
        </w:rPr>
        <w:t>年的电影协议。这个做法改善了视力和听力损害者在电影院和通过录象体验新的瑞典电影的机会。为此目的发给的补助金在</w:t>
      </w:r>
      <w:r>
        <w:rPr>
          <w:rFonts w:hint="eastAsia"/>
          <w:snapToGrid/>
        </w:rPr>
        <w:t>2004</w:t>
      </w:r>
      <w:r>
        <w:rPr>
          <w:rFonts w:hint="eastAsia"/>
          <w:snapToGrid/>
        </w:rPr>
        <w:t>年达到约</w:t>
      </w:r>
      <w:r>
        <w:rPr>
          <w:rFonts w:hint="eastAsia"/>
          <w:snapToGrid/>
        </w:rPr>
        <w:t>150</w:t>
      </w:r>
      <w:r>
        <w:rPr>
          <w:rFonts w:hint="eastAsia"/>
          <w:snapToGrid/>
        </w:rPr>
        <w:t>万瑞典克朗。一项新的电影协议于</w:t>
      </w:r>
      <w:r>
        <w:rPr>
          <w:rFonts w:hint="eastAsia"/>
          <w:snapToGrid/>
        </w:rPr>
        <w:t>2006</w:t>
      </w:r>
      <w:r>
        <w:rPr>
          <w:rFonts w:hint="eastAsia"/>
          <w:snapToGrid/>
        </w:rPr>
        <w:t>年</w:t>
      </w:r>
      <w:r>
        <w:rPr>
          <w:rFonts w:hint="eastAsia"/>
          <w:snapToGrid/>
        </w:rPr>
        <w:t>1</w:t>
      </w:r>
      <w:r>
        <w:rPr>
          <w:rFonts w:hint="eastAsia"/>
          <w:snapToGrid/>
        </w:rPr>
        <w:t>月生效。对于口头和符号语言解说的津贴被从实际协议分开了。另外由瑞典电影研究所基金负责和管理津贴。目标是使得残疾人以及属于少数民族语言的群体更加能够接触电影。</w:t>
      </w:r>
    </w:p>
    <w:p w:rsidR="00000000" w:rsidRDefault="00000000">
      <w:pPr>
        <w:rPr>
          <w:rFonts w:hint="eastAsia"/>
          <w:snapToGrid/>
        </w:rPr>
      </w:pPr>
      <w:r>
        <w:rPr>
          <w:rFonts w:hint="eastAsia"/>
          <w:snapToGrid/>
        </w:rPr>
        <w:tab/>
        <w:t xml:space="preserve">493.  </w:t>
      </w:r>
      <w:r>
        <w:rPr>
          <w:rFonts w:hint="eastAsia"/>
          <w:snapToGrid/>
        </w:rPr>
        <w:t>瑞典有声读物和盲文图书馆的任务，是使得残疾人可以接触到文学。目标是制造相当于</w:t>
      </w:r>
      <w:r>
        <w:rPr>
          <w:rFonts w:hint="eastAsia"/>
          <w:snapToGrid/>
        </w:rPr>
        <w:t>25%</w:t>
      </w:r>
      <w:r>
        <w:rPr>
          <w:rFonts w:hint="eastAsia"/>
          <w:snapToGrid/>
        </w:rPr>
        <w:t>的年出版量的有声读物。</w:t>
      </w:r>
      <w:r>
        <w:rPr>
          <w:rFonts w:hint="eastAsia"/>
          <w:snapToGrid/>
        </w:rPr>
        <w:t>2006</w:t>
      </w:r>
      <w:r>
        <w:rPr>
          <w:rFonts w:hint="eastAsia"/>
          <w:snapToGrid/>
        </w:rPr>
        <w:t>年，对有声报纸的资助达到</w:t>
      </w:r>
      <w:r>
        <w:rPr>
          <w:rFonts w:hint="eastAsia"/>
          <w:snapToGrid/>
        </w:rPr>
        <w:t>1.264</w:t>
      </w:r>
      <w:r>
        <w:rPr>
          <w:rFonts w:hint="eastAsia"/>
          <w:snapToGrid/>
        </w:rPr>
        <w:t>亿瑞典克朗。易读中心是致力于易读新闻和信息的一个基金会。该中心每星期出版一份易读报纸</w:t>
      </w:r>
      <w:r>
        <w:rPr>
          <w:rFonts w:hint="eastAsia"/>
          <w:snapToGrid/>
        </w:rPr>
        <w:t>(</w:t>
      </w:r>
      <w:r>
        <w:rPr>
          <w:rFonts w:hint="eastAsia"/>
          <w:snapToGrid/>
        </w:rPr>
        <w:t>《</w:t>
      </w:r>
      <w:r>
        <w:rPr>
          <w:rFonts w:hint="eastAsia"/>
          <w:snapToGrid/>
        </w:rPr>
        <w:t>8</w:t>
      </w:r>
      <w:r>
        <w:rPr>
          <w:rFonts w:hint="eastAsia"/>
          <w:snapToGrid/>
        </w:rPr>
        <w:t>版》</w:t>
      </w:r>
      <w:r>
        <w:rPr>
          <w:rFonts w:hint="eastAsia"/>
          <w:snapToGrid/>
        </w:rPr>
        <w:t>)</w:t>
      </w:r>
      <w:r>
        <w:rPr>
          <w:rFonts w:hint="eastAsia"/>
          <w:snapToGrid/>
        </w:rPr>
        <w:t>新闻，对象是</w:t>
      </w:r>
      <w:r>
        <w:rPr>
          <w:rFonts w:hint="eastAsia"/>
          <w:snapToGrid/>
        </w:rPr>
        <w:t>13</w:t>
      </w:r>
      <w:r>
        <w:rPr>
          <w:rFonts w:hint="eastAsia"/>
          <w:snapToGrid/>
        </w:rPr>
        <w:t>万患有阅读残疾或其他残疾的人。在文学方面，该中心出版了</w:t>
      </w:r>
      <w:r>
        <w:rPr>
          <w:rFonts w:hint="eastAsia"/>
          <w:snapToGrid/>
        </w:rPr>
        <w:t>750</w:t>
      </w:r>
      <w:r>
        <w:rPr>
          <w:rFonts w:hint="eastAsia"/>
          <w:snapToGrid/>
        </w:rPr>
        <w:t>多种读物。打算把易读中心办成一个有关阅读简易化和可理解化的优秀中心。</w:t>
      </w:r>
    </w:p>
    <w:p w:rsidR="00000000" w:rsidRDefault="00000000">
      <w:pPr>
        <w:rPr>
          <w:rFonts w:hint="eastAsia"/>
          <w:snapToGrid/>
        </w:rPr>
      </w:pPr>
      <w:r>
        <w:rPr>
          <w:rFonts w:hint="eastAsia"/>
          <w:snapToGrid/>
        </w:rPr>
        <w:tab/>
        <w:t xml:space="preserve">494.  </w:t>
      </w:r>
      <w:r>
        <w:rPr>
          <w:rFonts w:hint="eastAsia"/>
          <w:snapToGrid/>
        </w:rPr>
        <w:t>政府就瑞典广播电台</w:t>
      </w:r>
      <w:r>
        <w:rPr>
          <w:rFonts w:hint="eastAsia"/>
          <w:snapToGrid/>
        </w:rPr>
        <w:t>(Sveriges Radio AB)</w:t>
      </w:r>
      <w:r>
        <w:rPr>
          <w:rFonts w:hint="eastAsia"/>
          <w:snapToGrid/>
        </w:rPr>
        <w:t>和瑞典教育广播公司</w:t>
      </w:r>
      <w:r>
        <w:rPr>
          <w:rFonts w:hint="eastAsia"/>
          <w:snapToGrid/>
        </w:rPr>
        <w:t>(Sveriges Utbildningsradio AB)</w:t>
      </w:r>
      <w:r>
        <w:rPr>
          <w:rFonts w:hint="eastAsia"/>
          <w:snapToGrid/>
        </w:rPr>
        <w:t>在从</w:t>
      </w:r>
      <w:r>
        <w:rPr>
          <w:rFonts w:hint="eastAsia"/>
          <w:snapToGrid/>
        </w:rPr>
        <w:t>2007</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日开始至</w:t>
      </w:r>
      <w:r>
        <w:rPr>
          <w:rFonts w:hint="eastAsia"/>
          <w:snapToGrid/>
        </w:rPr>
        <w:t>2012</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日结束的下一个执照期经营的公众服务电台和电视台的新状况向议会提出了一项提议</w:t>
      </w:r>
      <w:r>
        <w:rPr>
          <w:rFonts w:hint="eastAsia"/>
          <w:snapToGrid/>
        </w:rPr>
        <w:t>(</w:t>
      </w:r>
      <w:r>
        <w:rPr>
          <w:rFonts w:hint="eastAsia"/>
          <w:snapToGrid/>
        </w:rPr>
        <w:t>政府法案</w:t>
      </w:r>
      <w:r>
        <w:rPr>
          <w:rFonts w:hint="eastAsia"/>
          <w:snapToGrid/>
        </w:rPr>
        <w:t>2005/06</w:t>
      </w:r>
      <w:r>
        <w:rPr>
          <w:rFonts w:hint="eastAsia"/>
          <w:snapToGrid/>
        </w:rPr>
        <w:t>：</w:t>
      </w:r>
      <w:r>
        <w:rPr>
          <w:rFonts w:hint="eastAsia"/>
          <w:snapToGrid/>
        </w:rPr>
        <w:t>112)</w:t>
      </w:r>
      <w:r>
        <w:rPr>
          <w:rFonts w:hint="eastAsia"/>
          <w:snapToGrid/>
        </w:rPr>
        <w:t>。政府提议，编排节目的公司在让残疾人欣赏节目的机会方面的志向目标应当提高，接触面应当继续扩大。</w:t>
      </w:r>
    </w:p>
    <w:p w:rsidR="00000000" w:rsidRDefault="00000000">
      <w:pPr>
        <w:rPr>
          <w:rFonts w:hint="eastAsia"/>
          <w:snapToGrid/>
        </w:rPr>
      </w:pPr>
      <w:r>
        <w:rPr>
          <w:rFonts w:hint="eastAsia"/>
          <w:snapToGrid/>
        </w:rPr>
        <w:tab/>
        <w:t xml:space="preserve">495.  </w:t>
      </w:r>
      <w:r>
        <w:rPr>
          <w:rFonts w:hint="eastAsia"/>
          <w:snapToGrid/>
        </w:rPr>
        <w:t>在节目下端加字幕的雄心就更加高了。瑞典电视台</w:t>
      </w:r>
      <w:r>
        <w:rPr>
          <w:rFonts w:hint="eastAsia"/>
          <w:snapToGrid/>
        </w:rPr>
        <w:t>(Sveriges Television)</w:t>
      </w:r>
      <w:r>
        <w:rPr>
          <w:rFonts w:hint="eastAsia"/>
          <w:snapToGrid/>
        </w:rPr>
        <w:t>对于原产瑞典的广播节目原件加字幕的要求即将从</w:t>
      </w:r>
      <w:r>
        <w:rPr>
          <w:rFonts w:hint="eastAsia"/>
          <w:snapToGrid/>
        </w:rPr>
        <w:t>50%</w:t>
      </w:r>
      <w:r>
        <w:rPr>
          <w:rFonts w:hint="eastAsia"/>
          <w:snapToGrid/>
        </w:rPr>
        <w:t>提高到</w:t>
      </w:r>
      <w:r>
        <w:rPr>
          <w:rFonts w:hint="eastAsia"/>
          <w:snapToGrid/>
        </w:rPr>
        <w:t>65%</w:t>
      </w:r>
      <w:r>
        <w:rPr>
          <w:rFonts w:hint="eastAsia"/>
          <w:snapToGrid/>
        </w:rPr>
        <w:t>。长期目标是所有的节目能够让在瑞典的每一个人都能接触到。除了普通资助以外，在</w:t>
      </w:r>
      <w:r>
        <w:rPr>
          <w:rFonts w:hint="eastAsia"/>
          <w:snapToGrid/>
        </w:rPr>
        <w:t>2002</w:t>
      </w:r>
      <w:r>
        <w:rPr>
          <w:rFonts w:hint="eastAsia"/>
          <w:snapToGrid/>
        </w:rPr>
        <w:t>年向瑞典电视台拨款</w:t>
      </w:r>
      <w:r>
        <w:rPr>
          <w:rFonts w:hint="eastAsia"/>
          <w:snapToGrid/>
        </w:rPr>
        <w:t>1,000</w:t>
      </w:r>
      <w:r>
        <w:rPr>
          <w:rFonts w:hint="eastAsia"/>
          <w:snapToGrid/>
        </w:rPr>
        <w:t>万瑞典克朗，用于资助改善残疾人接触的举措。要求各公众广播公司每年在它们的公众服务报告中报告，它们在达到其广播执照中具体写明的标准方面做得怎么样。</w:t>
      </w:r>
    </w:p>
    <w:p w:rsidR="00000000" w:rsidRDefault="00000000">
      <w:pPr>
        <w:rPr>
          <w:rFonts w:hint="eastAsia"/>
          <w:snapToGrid/>
        </w:rPr>
      </w:pPr>
      <w:r>
        <w:rPr>
          <w:rFonts w:hint="eastAsia"/>
          <w:snapToGrid/>
        </w:rPr>
        <w:tab/>
        <w:t xml:space="preserve">496.  </w:t>
      </w:r>
      <w:r>
        <w:rPr>
          <w:rFonts w:hint="eastAsia"/>
          <w:snapToGrid/>
        </w:rPr>
        <w:t>截至</w:t>
      </w:r>
      <w:r>
        <w:rPr>
          <w:rFonts w:hint="eastAsia"/>
          <w:snapToGrid/>
        </w:rPr>
        <w:t>2005</w:t>
      </w:r>
      <w:r>
        <w:rPr>
          <w:rFonts w:hint="eastAsia"/>
          <w:snapToGrid/>
        </w:rPr>
        <w:t>年末，</w:t>
      </w:r>
      <w:r>
        <w:rPr>
          <w:rFonts w:hint="eastAsia"/>
          <w:snapToGrid/>
        </w:rPr>
        <w:t>290</w:t>
      </w:r>
      <w:r>
        <w:rPr>
          <w:rFonts w:hint="eastAsia"/>
          <w:snapToGrid/>
        </w:rPr>
        <w:t>所图书馆中有</w:t>
      </w:r>
      <w:r>
        <w:rPr>
          <w:rFonts w:hint="eastAsia"/>
          <w:snapToGrid/>
        </w:rPr>
        <w:t>260</w:t>
      </w:r>
      <w:r>
        <w:rPr>
          <w:rFonts w:hint="eastAsia"/>
          <w:snapToGrid/>
        </w:rPr>
        <w:t>所进行了建筑清查，并且依靠国家文化事务理事会的资助起草了行动计划。国家文化事务理事会与易读中心合伙，向各文化机构提供有关写作易读文稿艺术的培训。这个培训课程将在</w:t>
      </w:r>
      <w:r>
        <w:rPr>
          <w:rFonts w:hint="eastAsia"/>
          <w:snapToGrid/>
        </w:rPr>
        <w:t>2006</w:t>
      </w:r>
      <w:r>
        <w:rPr>
          <w:rFonts w:hint="eastAsia"/>
          <w:snapToGrid/>
        </w:rPr>
        <w:t>年继续。</w:t>
      </w:r>
    </w:p>
    <w:p w:rsidR="00000000" w:rsidRDefault="00000000">
      <w:pPr>
        <w:rPr>
          <w:rFonts w:hint="eastAsia"/>
          <w:snapToGrid/>
        </w:rPr>
      </w:pPr>
      <w:r>
        <w:rPr>
          <w:rFonts w:hint="eastAsia"/>
          <w:snapToGrid/>
        </w:rPr>
        <w:tab/>
        <w:t xml:space="preserve">497.  </w:t>
      </w:r>
      <w:r>
        <w:rPr>
          <w:rFonts w:hint="eastAsia"/>
          <w:snapToGrid/>
        </w:rPr>
        <w:t>政府就瑞典广播电台</w:t>
      </w:r>
      <w:r>
        <w:rPr>
          <w:rFonts w:hint="eastAsia"/>
          <w:snapToGrid/>
        </w:rPr>
        <w:t>(Sveriges Radio AB)</w:t>
      </w:r>
      <w:r>
        <w:rPr>
          <w:rFonts w:hint="eastAsia"/>
          <w:snapToGrid/>
        </w:rPr>
        <w:t>和瑞典教育广播公司</w:t>
      </w:r>
      <w:r>
        <w:rPr>
          <w:rFonts w:hint="eastAsia"/>
          <w:snapToGrid/>
        </w:rPr>
        <w:t>(Sveriges Utbildningsradio AB)</w:t>
      </w:r>
      <w:r>
        <w:rPr>
          <w:rFonts w:hint="eastAsia"/>
          <w:snapToGrid/>
        </w:rPr>
        <w:t>在从</w:t>
      </w:r>
      <w:r>
        <w:rPr>
          <w:rFonts w:hint="eastAsia"/>
          <w:snapToGrid/>
        </w:rPr>
        <w:t>2007</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日开始至</w:t>
      </w:r>
      <w:r>
        <w:rPr>
          <w:rFonts w:hint="eastAsia"/>
          <w:snapToGrid/>
        </w:rPr>
        <w:t>2012</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日结束的下一个执照期经营的公众服务电台和电视台的新状况向议会提出了一项提议</w:t>
      </w:r>
      <w:r>
        <w:rPr>
          <w:rFonts w:hint="eastAsia"/>
          <w:snapToGrid/>
        </w:rPr>
        <w:t>(</w:t>
      </w:r>
      <w:r>
        <w:rPr>
          <w:rFonts w:hint="eastAsia"/>
          <w:snapToGrid/>
        </w:rPr>
        <w:t>政府法案</w:t>
      </w:r>
      <w:r>
        <w:rPr>
          <w:rFonts w:hint="eastAsia"/>
          <w:snapToGrid/>
        </w:rPr>
        <w:t>2005/06</w:t>
      </w:r>
      <w:r>
        <w:rPr>
          <w:rFonts w:hint="eastAsia"/>
          <w:snapToGrid/>
        </w:rPr>
        <w:t>：</w:t>
      </w:r>
      <w:r>
        <w:rPr>
          <w:rFonts w:hint="eastAsia"/>
          <w:snapToGrid/>
        </w:rPr>
        <w:t>112)</w:t>
      </w:r>
      <w:r>
        <w:rPr>
          <w:rFonts w:hint="eastAsia"/>
          <w:snapToGrid/>
        </w:rPr>
        <w:t>。政府提议，编排节目的公司在让残疾人欣赏节目的机会方面的志向目标应当提高，接触面应当继续扩大。</w:t>
      </w:r>
    </w:p>
    <w:p w:rsidR="00000000" w:rsidRDefault="00000000">
      <w:pPr>
        <w:rPr>
          <w:rFonts w:hint="eastAsia"/>
          <w:snapToGrid/>
        </w:rPr>
      </w:pPr>
      <w:r>
        <w:rPr>
          <w:rFonts w:hint="eastAsia"/>
          <w:snapToGrid/>
        </w:rPr>
        <w:tab/>
        <w:t xml:space="preserve">498.  </w:t>
      </w:r>
      <w:r>
        <w:rPr>
          <w:rFonts w:hint="eastAsia"/>
          <w:snapToGrid/>
        </w:rPr>
        <w:t>国家的任务延伸到有关文化生活的有限立法，诸如有关维护文化遗产、档案馆和图书馆的立法。还有关于新闻自由、版权以及广播电视的立法。</w:t>
      </w:r>
    </w:p>
    <w:p w:rsidR="00000000" w:rsidRDefault="00000000">
      <w:pPr>
        <w:rPr>
          <w:rFonts w:hint="eastAsia"/>
          <w:snapToGrid/>
        </w:rPr>
      </w:pPr>
      <w:r>
        <w:rPr>
          <w:rFonts w:hint="eastAsia"/>
          <w:snapToGrid/>
        </w:rPr>
        <w:tab/>
        <w:t xml:space="preserve">499.  </w:t>
      </w:r>
      <w:r>
        <w:rPr>
          <w:rFonts w:hint="eastAsia"/>
          <w:snapToGrid/>
        </w:rPr>
        <w:t>从</w:t>
      </w:r>
      <w:r>
        <w:rPr>
          <w:rFonts w:hint="eastAsia"/>
          <w:snapToGrid/>
        </w:rPr>
        <w:t>20</w:t>
      </w:r>
      <w:r>
        <w:rPr>
          <w:rFonts w:hint="eastAsia"/>
          <w:snapToGrid/>
        </w:rPr>
        <w:t>世纪</w:t>
      </w:r>
      <w:r>
        <w:rPr>
          <w:rFonts w:hint="eastAsia"/>
          <w:snapToGrid/>
        </w:rPr>
        <w:t>70</w:t>
      </w:r>
      <w:r>
        <w:rPr>
          <w:rFonts w:hint="eastAsia"/>
          <w:snapToGrid/>
        </w:rPr>
        <w:t>年代中期以来，根据</w:t>
      </w:r>
      <w:r>
        <w:rPr>
          <w:rFonts w:hint="eastAsia"/>
          <w:snapToGrid/>
        </w:rPr>
        <w:t>1974</w:t>
      </w:r>
      <w:r>
        <w:rPr>
          <w:rFonts w:hint="eastAsia"/>
          <w:snapToGrid/>
        </w:rPr>
        <w:t>年的文化政策目标，通过国家津贴制度发展了各区域机构。因此，目前全国有一个文化机构网络，并且发展了支持地方艺术和文化介绍者的各种支助形式。为了保证文化工作者的存在以及他们的工作机会，社会建立了一个各种类型的津贴和资助的制度。通俗教育机构和文化工作者组织以及类似的机构在文化政策中发挥了重要作用。由于这个原因，国家、城市以及县议会向非政府组织的文化活动提供广泛的支持。</w:t>
      </w:r>
    </w:p>
    <w:p w:rsidR="00000000" w:rsidRDefault="00000000">
      <w:pPr>
        <w:rPr>
          <w:rFonts w:hint="eastAsia"/>
          <w:snapToGrid/>
        </w:rPr>
      </w:pPr>
      <w:r>
        <w:rPr>
          <w:rFonts w:hint="eastAsia"/>
          <w:snapToGrid/>
        </w:rPr>
        <w:tab/>
        <w:t xml:space="preserve">500.  </w:t>
      </w:r>
      <w:r>
        <w:rPr>
          <w:rFonts w:hint="eastAsia"/>
          <w:snapToGrid/>
        </w:rPr>
        <w:t>议会在</w:t>
      </w:r>
      <w:r>
        <w:rPr>
          <w:rFonts w:hint="eastAsia"/>
          <w:snapToGrid/>
        </w:rPr>
        <w:t>1996</w:t>
      </w:r>
      <w:r>
        <w:rPr>
          <w:rFonts w:hint="eastAsia"/>
          <w:snapToGrid/>
        </w:rPr>
        <w:t>年通过了新的文化政策目标。在此以后，国家目标适用于国家、城市以及县议会内部的一切社会领域。这些目标还对于诸如幼儿园、学校、社会规划以及区域和地方发展等领域具有范围广大的意义，并且构成一个综合国家参考框架。这些目标还旨在明确公共机构在没有一般立法的领域里的作用和责任。</w:t>
      </w:r>
    </w:p>
    <w:p w:rsidR="00000000" w:rsidRDefault="00000000">
      <w:pPr>
        <w:rPr>
          <w:rFonts w:hint="eastAsia"/>
          <w:snapToGrid/>
        </w:rPr>
      </w:pPr>
      <w:r>
        <w:rPr>
          <w:rFonts w:hint="eastAsia"/>
          <w:snapToGrid/>
        </w:rPr>
        <w:tab/>
        <w:t xml:space="preserve">501.  </w:t>
      </w:r>
      <w:r>
        <w:rPr>
          <w:rFonts w:hint="eastAsia"/>
          <w:snapToGrid/>
        </w:rPr>
        <w:t>这些目标是：保障言论自由以及创造每个人都能利用这种自由的真正机会；采取行动使得每个人都参与文化生活、体验文化以及从事他们自己的创造活动；促进文化多元主义，艺术创新和艺术质量的提高，从而抵制盈利主义造成的消极影响；使得文化作为社会中的一支充满生机、具有挑战性和独立性的力量发挥作用；维护和利用文化遗产；促进文化教育；以及促进国际文化交流以及瑞典国内不同文化的交流。</w:t>
      </w:r>
    </w:p>
    <w:p w:rsidR="00000000" w:rsidRDefault="00000000">
      <w:pPr>
        <w:rPr>
          <w:rFonts w:hint="eastAsia"/>
          <w:snapToGrid/>
        </w:rPr>
      </w:pPr>
      <w:r>
        <w:rPr>
          <w:rFonts w:hint="eastAsia"/>
          <w:snapToGrid/>
        </w:rPr>
        <w:tab/>
        <w:t xml:space="preserve">502.  </w:t>
      </w:r>
      <w:r>
        <w:rPr>
          <w:rFonts w:hint="eastAsia"/>
          <w:snapToGrid/>
        </w:rPr>
        <w:t>政府宣布</w:t>
      </w:r>
      <w:r>
        <w:rPr>
          <w:rFonts w:hint="eastAsia"/>
          <w:snapToGrid/>
        </w:rPr>
        <w:t>2006</w:t>
      </w:r>
      <w:r>
        <w:rPr>
          <w:rFonts w:hint="eastAsia"/>
          <w:snapToGrid/>
        </w:rPr>
        <w:t>年为多元文化年，以便加深对于文化生活中民族和文化多样化的了解。目标是随着</w:t>
      </w:r>
      <w:r>
        <w:rPr>
          <w:rFonts w:hint="eastAsia"/>
          <w:snapToGrid/>
        </w:rPr>
        <w:t>2006</w:t>
      </w:r>
      <w:r>
        <w:rPr>
          <w:rFonts w:hint="eastAsia"/>
          <w:snapToGrid/>
        </w:rPr>
        <w:t>多元文化年增加公共资助的文化活动范围内的民族和文化多样化。除了其他之外，这意味着文化事业应当是多方面的，同时非瑞典族或少数民族背景的艺术创作者、表演者和文化管理人的比例应当长期性地提高，并且构成公共资助的文化生活每一方面的专业上活跃的人中间的较大比例。</w:t>
      </w:r>
    </w:p>
    <w:p w:rsidR="00000000" w:rsidRDefault="00000000">
      <w:pPr>
        <w:rPr>
          <w:rFonts w:hint="eastAsia"/>
          <w:snapToGrid/>
        </w:rPr>
      </w:pPr>
      <w:r>
        <w:rPr>
          <w:rFonts w:hint="eastAsia"/>
          <w:snapToGrid/>
        </w:rPr>
        <w:tab/>
        <w:t xml:space="preserve">503.  </w:t>
      </w:r>
      <w:r>
        <w:rPr>
          <w:rFonts w:hint="eastAsia"/>
          <w:snapToGrid/>
        </w:rPr>
        <w:t>从</w:t>
      </w:r>
      <w:r>
        <w:rPr>
          <w:rFonts w:hint="eastAsia"/>
          <w:snapToGrid/>
        </w:rPr>
        <w:t>2005</w:t>
      </w:r>
      <w:r>
        <w:rPr>
          <w:rFonts w:hint="eastAsia"/>
          <w:snapToGrid/>
        </w:rPr>
        <w:t>年起，对</w:t>
      </w:r>
      <w:r>
        <w:rPr>
          <w:rFonts w:hint="eastAsia"/>
          <w:snapToGrid/>
        </w:rPr>
        <w:t>1996</w:t>
      </w:r>
      <w:r>
        <w:rPr>
          <w:rFonts w:hint="eastAsia"/>
          <w:snapToGrid/>
        </w:rPr>
        <w:t>年颁布的《图书馆法》</w:t>
      </w:r>
      <w:r>
        <w:rPr>
          <w:snapToGrid/>
        </w:rPr>
        <w:t>—</w:t>
      </w:r>
      <w:r>
        <w:rPr>
          <w:rFonts w:hint="eastAsia"/>
          <w:snapToGrid/>
        </w:rPr>
        <w:t>这项法令除其他之外，保证向公众免费出借图书</w:t>
      </w:r>
      <w:r>
        <w:rPr>
          <w:snapToGrid/>
        </w:rPr>
        <w:t>—</w:t>
      </w:r>
      <w:r>
        <w:rPr>
          <w:rFonts w:hint="eastAsia"/>
          <w:snapToGrid/>
        </w:rPr>
        <w:t>进行了发展，以加强合作及指示各城市和县议会编写特别图书馆计划，以便促进有效、公平地分配图书馆资源。</w:t>
      </w:r>
    </w:p>
    <w:p w:rsidR="00000000" w:rsidRDefault="00000000">
      <w:pPr>
        <w:rPr>
          <w:rFonts w:hint="eastAsia"/>
          <w:snapToGrid/>
        </w:rPr>
      </w:pPr>
      <w:r>
        <w:rPr>
          <w:rFonts w:hint="eastAsia"/>
          <w:snapToGrid/>
        </w:rPr>
        <w:tab/>
        <w:t>504.  2005</w:t>
      </w:r>
      <w:r>
        <w:rPr>
          <w:rFonts w:hint="eastAsia"/>
          <w:snapToGrid/>
        </w:rPr>
        <w:t>年实施免费进入大多数国家博物馆，作为让文化遗产向所有公民开放的一个方面。另一个优先问题是各机构怎样传播和教授在它们管理之下的知识，以实现将新的参观者群体吸引到博物馆来的雄心。为此目的，在</w:t>
      </w:r>
      <w:r>
        <w:rPr>
          <w:rFonts w:hint="eastAsia"/>
          <w:snapToGrid/>
        </w:rPr>
        <w:t>2005</w:t>
      </w:r>
      <w:r>
        <w:rPr>
          <w:rFonts w:hint="eastAsia"/>
          <w:snapToGrid/>
        </w:rPr>
        <w:t>年开始将政府在若干年之前开展的一项博物馆教育举措继续下去。</w:t>
      </w:r>
    </w:p>
    <w:p w:rsidR="00000000" w:rsidRDefault="00000000">
      <w:pPr>
        <w:rPr>
          <w:rFonts w:hint="eastAsia"/>
          <w:snapToGrid/>
        </w:rPr>
      </w:pPr>
      <w:r>
        <w:rPr>
          <w:rFonts w:hint="eastAsia"/>
          <w:snapToGrid/>
        </w:rPr>
        <w:tab/>
        <w:t xml:space="preserve">505.  </w:t>
      </w:r>
      <w:r>
        <w:rPr>
          <w:rFonts w:hint="eastAsia"/>
          <w:snapToGrid/>
        </w:rPr>
        <w:t>将文化带给青年人将是</w:t>
      </w:r>
      <w:r>
        <w:rPr>
          <w:rFonts w:hint="eastAsia"/>
          <w:snapToGrid/>
        </w:rPr>
        <w:t>2007</w:t>
      </w:r>
      <w:r>
        <w:rPr>
          <w:rFonts w:hint="eastAsia"/>
          <w:snapToGrid/>
        </w:rPr>
        <w:t>年瑞典文化主题年</w:t>
      </w:r>
      <w:r>
        <w:rPr>
          <w:rFonts w:hint="eastAsia"/>
          <w:snapToGrid/>
          <w:spacing w:val="-50"/>
        </w:rPr>
        <w:t>―</w:t>
      </w:r>
      <w:r>
        <w:rPr>
          <w:rFonts w:hint="eastAsia"/>
          <w:snapToGrid/>
        </w:rPr>
        <w:t>―青年文化</w:t>
      </w:r>
      <w:r>
        <w:rPr>
          <w:rFonts w:hint="eastAsia"/>
          <w:snapToGrid/>
        </w:rPr>
        <w:t>07</w:t>
      </w:r>
      <w:r>
        <w:rPr>
          <w:rFonts w:hint="eastAsia"/>
          <w:snapToGrid/>
          <w:spacing w:val="-50"/>
        </w:rPr>
        <w:t>―</w:t>
      </w:r>
      <w:r>
        <w:rPr>
          <w:rFonts w:hint="eastAsia"/>
          <w:snapToGrid/>
        </w:rPr>
        <w:t>―的主题。青年文化</w:t>
      </w:r>
      <w:r>
        <w:rPr>
          <w:rFonts w:hint="eastAsia"/>
          <w:snapToGrid/>
        </w:rPr>
        <w:t>07</w:t>
      </w:r>
      <w:r>
        <w:rPr>
          <w:rFonts w:hint="eastAsia"/>
          <w:snapToGrid/>
        </w:rPr>
        <w:t>将继</w:t>
      </w:r>
      <w:r>
        <w:rPr>
          <w:rFonts w:hint="eastAsia"/>
          <w:snapToGrid/>
        </w:rPr>
        <w:t>2006</w:t>
      </w:r>
      <w:r>
        <w:rPr>
          <w:rFonts w:hint="eastAsia"/>
          <w:snapToGrid/>
        </w:rPr>
        <w:t>文化元年成为第</w:t>
      </w:r>
      <w:r>
        <w:rPr>
          <w:rFonts w:hint="eastAsia"/>
          <w:snapToGrid/>
        </w:rPr>
        <w:t>4</w:t>
      </w:r>
      <w:r>
        <w:rPr>
          <w:rFonts w:hint="eastAsia"/>
          <w:snapToGrid/>
        </w:rPr>
        <w:t>次政府的文化主题年。从长期来看，青年文化</w:t>
      </w:r>
      <w:r>
        <w:rPr>
          <w:rFonts w:hint="eastAsia"/>
          <w:snapToGrid/>
        </w:rPr>
        <w:t>07</w:t>
      </w:r>
      <w:r>
        <w:rPr>
          <w:rFonts w:hint="eastAsia"/>
          <w:snapToGrid/>
        </w:rPr>
        <w:t>的意图是加强供儿童和青年人享受、由他们创作以及在他们身边的文化艺术，促进合伙关系和网络化以改进资源利用，并传播模范方法，但是也要将儿童和青年人的创造性置于优先地位，并且增加青年人对文化生活的影响和参与。</w:t>
      </w:r>
    </w:p>
    <w:p w:rsidR="00000000" w:rsidRDefault="00000000">
      <w:pPr>
        <w:rPr>
          <w:rFonts w:hint="eastAsia"/>
          <w:snapToGrid/>
        </w:rPr>
      </w:pPr>
      <w:r>
        <w:rPr>
          <w:rFonts w:hint="eastAsia"/>
          <w:snapToGrid/>
        </w:rPr>
        <w:tab/>
        <w:t xml:space="preserve">506.  </w:t>
      </w:r>
      <w:r>
        <w:rPr>
          <w:rFonts w:hint="eastAsia"/>
          <w:snapToGrid/>
        </w:rPr>
        <w:t>议会在</w:t>
      </w:r>
      <w:r>
        <w:rPr>
          <w:rFonts w:hint="eastAsia"/>
          <w:snapToGrid/>
        </w:rPr>
        <w:t>2005</w:t>
      </w:r>
      <w:r>
        <w:rPr>
          <w:rFonts w:hint="eastAsia"/>
          <w:snapToGrid/>
        </w:rPr>
        <w:t>年</w:t>
      </w:r>
      <w:r>
        <w:rPr>
          <w:rFonts w:hint="eastAsia"/>
          <w:snapToGrid/>
        </w:rPr>
        <w:t>12</w:t>
      </w:r>
      <w:r>
        <w:rPr>
          <w:rFonts w:hint="eastAsia"/>
          <w:snapToGrid/>
        </w:rPr>
        <w:t>月通过了国家语言政策的目标：瑞典语应当是一种完整的语言，为社会服务并团结社会。公共瑞典语应当优雅、朴素、容易理解；每个人都有语言权；发展和学习瑞典语、发展和使用他们自己的母语和少数民族语言，以及有机会学习外语。为了达到语言政策的目标，从</w:t>
      </w:r>
      <w:r>
        <w:rPr>
          <w:rFonts w:hint="eastAsia"/>
          <w:snapToGrid/>
        </w:rPr>
        <w:t>2006</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日起，将协调和加强一个由国家资助的负责保存语言的机构。这个机构将在一个政府机构方言学、名字学和民俗研究学院下面进行组织，并且将促使对瑞典语、瑞典符号语言、瑞典经认可的少数民族语言芬兰语、</w:t>
      </w:r>
      <w:r>
        <w:rPr>
          <w:rFonts w:hint="eastAsia"/>
          <w:snapToGrid/>
        </w:rPr>
        <w:t>Meankieli</w:t>
      </w:r>
      <w:r>
        <w:rPr>
          <w:rFonts w:hint="eastAsia"/>
          <w:snapToGrid/>
        </w:rPr>
        <w:t>语、罗姆</w:t>
      </w:r>
      <w:r>
        <w:rPr>
          <w:rFonts w:hint="eastAsia"/>
          <w:snapToGrid/>
        </w:rPr>
        <w:t>Chib</w:t>
      </w:r>
      <w:r>
        <w:rPr>
          <w:rFonts w:hint="eastAsia"/>
          <w:snapToGrid/>
        </w:rPr>
        <w:t>语和意第绪语进行新的、扩大的投资。萨米族议会将继续负责保存萨米语的努力。</w:t>
      </w:r>
    </w:p>
    <w:p w:rsidR="00000000" w:rsidRDefault="00000000">
      <w:pPr>
        <w:rPr>
          <w:rFonts w:hint="eastAsia"/>
          <w:snapToGrid/>
        </w:rPr>
      </w:pPr>
      <w:r>
        <w:rPr>
          <w:rFonts w:hint="eastAsia"/>
          <w:snapToGrid/>
        </w:rPr>
        <w:tab/>
        <w:t>507.  2006</w:t>
      </w:r>
      <w:r>
        <w:rPr>
          <w:rFonts w:hint="eastAsia"/>
          <w:snapToGrid/>
        </w:rPr>
        <w:t>年春季，政府向议会提出一份关于文化国际化的书面通报。这份通报提出一项关于更加广泛的国际文化交流方案，以及一项关于国家支持继续国际化，特别是作为国家文化政策的一个有机组成部分的国际化的声明。政府从长期的角度概述了文化生活国际化的目标，应该怎样一般发展国家举措，以及应该怎样设计向各有关的国家行动者分配责任和任务。瑞典的举措的特点应当是高质量，具有艺术完整性，长期性的，以及基于相互交流。</w:t>
      </w:r>
    </w:p>
    <w:p w:rsidR="00000000" w:rsidRDefault="00000000">
      <w:pPr>
        <w:rPr>
          <w:rFonts w:hint="eastAsia"/>
          <w:snapToGrid/>
        </w:rPr>
      </w:pPr>
      <w:r>
        <w:rPr>
          <w:rFonts w:hint="eastAsia"/>
          <w:snapToGrid/>
        </w:rPr>
        <w:tab/>
        <w:t xml:space="preserve">508.  </w:t>
      </w:r>
      <w:r>
        <w:rPr>
          <w:rFonts w:hint="eastAsia"/>
          <w:snapToGrid/>
        </w:rPr>
        <w:t>政府大力强调高教机构与社会其余部分结成密切合伙关系的重要性。</w:t>
      </w:r>
      <w:r>
        <w:rPr>
          <w:rFonts w:hint="eastAsia"/>
          <w:snapToGrid/>
        </w:rPr>
        <w:t>1992</w:t>
      </w:r>
      <w:r>
        <w:rPr>
          <w:rFonts w:hint="eastAsia"/>
          <w:snapToGrid/>
        </w:rPr>
        <w:t>年《高等教育法》的修正案将合伙关系和向公众通报学术机构的活动调整为与教育和研究并列的第三任务。瑞典研究理事会通过互联网和出版物将正在进行的研究和研究成果向公众通报。所有瑞典大专院校都可以通过一个数据库接触到当前的研究信息。一个名为“公众和科学”的非政府组织收受国家资助，促进公众和研究界之间的接触和交流。</w:t>
      </w:r>
    </w:p>
    <w:p w:rsidR="00000000" w:rsidRDefault="00000000">
      <w:pPr>
        <w:rPr>
          <w:rFonts w:hint="eastAsia"/>
          <w:snapToGrid/>
        </w:rPr>
      </w:pPr>
      <w:r>
        <w:rPr>
          <w:rFonts w:hint="eastAsia"/>
          <w:snapToGrid/>
        </w:rPr>
        <w:tab/>
        <w:t xml:space="preserve">509.  </w:t>
      </w:r>
      <w:r>
        <w:rPr>
          <w:rFonts w:hint="eastAsia"/>
          <w:snapToGrid/>
        </w:rPr>
        <w:t>《瑞典宪法》规定，作者、艺术家和摄影师应当根据法律宣布的法规拥有他们的作品的权利。这条规定除其他之外的含义是应当存在由议会颁布的版权法。关于保护作者、艺术家和其他类似的权利持有人类别的更加详细的规定见于《文学和艺术作品的版权法》</w:t>
      </w:r>
      <w:r>
        <w:rPr>
          <w:rFonts w:hint="eastAsia"/>
          <w:snapToGrid/>
        </w:rPr>
        <w:t>(1960</w:t>
      </w:r>
      <w:r>
        <w:rPr>
          <w:rFonts w:hint="eastAsia"/>
          <w:snapToGrid/>
        </w:rPr>
        <w:t>：</w:t>
      </w:r>
      <w:r>
        <w:rPr>
          <w:rFonts w:hint="eastAsia"/>
          <w:snapToGrid/>
        </w:rPr>
        <w:t>729)(</w:t>
      </w:r>
      <w:r>
        <w:rPr>
          <w:rFonts w:hint="eastAsia"/>
          <w:snapToGrid/>
        </w:rPr>
        <w:t>版权法</w:t>
      </w:r>
      <w:r>
        <w:rPr>
          <w:rFonts w:hint="eastAsia"/>
          <w:snapToGrid/>
        </w:rPr>
        <w:t>)</w:t>
      </w:r>
      <w:r>
        <w:rPr>
          <w:rFonts w:hint="eastAsia"/>
          <w:snapToGrid/>
        </w:rPr>
        <w:t>。这项法律经过了好几次修订。</w:t>
      </w:r>
    </w:p>
    <w:p w:rsidR="00000000" w:rsidRDefault="00000000">
      <w:pPr>
        <w:rPr>
          <w:rFonts w:hint="eastAsia"/>
          <w:snapToGrid/>
        </w:rPr>
      </w:pPr>
      <w:r>
        <w:rPr>
          <w:rFonts w:hint="eastAsia"/>
          <w:snapToGrid/>
        </w:rPr>
        <w:tab/>
        <w:t>510.  1994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日，对《版权法》有关版权限制的第二章的一项几乎彻底的重新起草生效。由于执行各种欧盟的指示，《版权法》也在其他若干场合进行了修订。关于法律保护计算机程序的理事会指示于</w:t>
      </w:r>
      <w:r>
        <w:rPr>
          <w:rFonts w:hint="eastAsia"/>
          <w:snapToGrid/>
        </w:rPr>
        <w:t>1993</w:t>
      </w:r>
      <w:r>
        <w:rPr>
          <w:rFonts w:hint="eastAsia"/>
          <w:snapToGrid/>
        </w:rPr>
        <w:t>年初执行，而关于租金权和出借权，关于卫星广播和有线转播以及关于法律保护数据库的指示分别于</w:t>
      </w:r>
      <w:r>
        <w:rPr>
          <w:rFonts w:hint="eastAsia"/>
          <w:snapToGrid/>
        </w:rPr>
        <w:t>1995</w:t>
      </w:r>
      <w:r>
        <w:rPr>
          <w:rFonts w:hint="eastAsia"/>
          <w:snapToGrid/>
        </w:rPr>
        <w:t>年、</w:t>
      </w:r>
      <w:r>
        <w:rPr>
          <w:rFonts w:hint="eastAsia"/>
          <w:snapToGrid/>
        </w:rPr>
        <w:t>1996</w:t>
      </w:r>
      <w:r>
        <w:rPr>
          <w:rFonts w:hint="eastAsia"/>
          <w:snapToGrid/>
        </w:rPr>
        <w:t>年和</w:t>
      </w:r>
      <w:r>
        <w:rPr>
          <w:rFonts w:hint="eastAsia"/>
          <w:snapToGrid/>
        </w:rPr>
        <w:t>1997</w:t>
      </w:r>
      <w:r>
        <w:rPr>
          <w:rFonts w:hint="eastAsia"/>
          <w:snapToGrid/>
        </w:rPr>
        <w:t>年在瑞典法律执行。</w:t>
      </w:r>
    </w:p>
    <w:p w:rsidR="00000000" w:rsidRDefault="00000000">
      <w:pPr>
        <w:rPr>
          <w:rFonts w:hint="eastAsia"/>
          <w:snapToGrid/>
        </w:rPr>
      </w:pPr>
      <w:r>
        <w:rPr>
          <w:rFonts w:hint="eastAsia"/>
          <w:snapToGrid/>
        </w:rPr>
        <w:tab/>
        <w:t xml:space="preserve">511.  </w:t>
      </w:r>
      <w:r>
        <w:rPr>
          <w:rFonts w:hint="eastAsia"/>
          <w:snapToGrid/>
        </w:rPr>
        <w:t>《版权法》还有一些其他修正案。从</w:t>
      </w:r>
      <w:r>
        <w:rPr>
          <w:rFonts w:hint="eastAsia"/>
          <w:snapToGrid/>
        </w:rPr>
        <w:t>1994</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日起，对于侵犯版权行为采取法律行动的机会扩大了，当时赋予法院权力签发处罚禁制令以制止这类侵犯行为。《版权法》的另外两项修正案在</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第一项修正案引进了“盒式带补偿”，其意图是就私人用途的合法复制给予权利持有人一定程度的补偿。第二项修正案纳入了关于“侵犯行为搜查”的规定，使得有可能在有关侵犯版权行为的民事案件中获取证据。</w:t>
      </w:r>
    </w:p>
    <w:p w:rsidR="00000000" w:rsidRDefault="00000000">
      <w:pPr>
        <w:spacing w:after="320"/>
        <w:rPr>
          <w:rFonts w:hint="eastAsia"/>
          <w:snapToGrid/>
        </w:rPr>
      </w:pPr>
      <w:r>
        <w:rPr>
          <w:rFonts w:hint="eastAsia"/>
          <w:snapToGrid/>
        </w:rPr>
        <w:tab/>
        <w:t xml:space="preserve">512.  </w:t>
      </w:r>
      <w:r>
        <w:rPr>
          <w:rFonts w:hint="eastAsia"/>
          <w:snapToGrid/>
        </w:rPr>
        <w:t>对于《版权法》的全面修正在</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生效。这些修正案基于两项国际条约和欧盟关于协调版权的某些方面的指示，以及信息社会的各项有关权利。新的规则的目标在于使版权法适应数字技术的发展以及除其他之外提及音乐、书籍和电影的复制，以及学校、图书馆和残疾人士利用版权保护材料的机会。根据新的规则，制造规避保护有版权的材料的技术措施的产品现在也予以禁止。</w:t>
      </w:r>
    </w:p>
    <w:p w:rsidR="00000000" w:rsidRDefault="00000000">
      <w:pPr>
        <w:pStyle w:val="Heading3"/>
        <w:rPr>
          <w:rFonts w:hint="eastAsia"/>
        </w:rPr>
      </w:pPr>
      <w:r>
        <w:rPr>
          <w:rFonts w:hint="eastAsia"/>
        </w:rPr>
        <w:t>注</w:t>
      </w:r>
    </w:p>
    <w:p w:rsidR="00000000" w:rsidRDefault="00000000">
      <w:pPr>
        <w:pStyle w:val="EndnoteText"/>
        <w:rPr>
          <w:rFonts w:hint="eastAsia"/>
        </w:rPr>
      </w:pPr>
      <w:r>
        <w:rPr>
          <w:rFonts w:hint="eastAsia"/>
          <w:vertAlign w:val="superscript"/>
        </w:rPr>
        <w:t>1</w:t>
      </w:r>
      <w:r>
        <w:rPr>
          <w:rFonts w:hint="eastAsia"/>
        </w:rPr>
        <w:tab/>
      </w:r>
      <w:r>
        <w:rPr>
          <w:rFonts w:hint="eastAsia"/>
        </w:rPr>
        <w:t>执行不论种族或民族出身平等待人的原则的</w:t>
      </w:r>
      <w:r>
        <w:rPr>
          <w:rFonts w:hint="eastAsia"/>
        </w:rPr>
        <w:t>2000</w:t>
      </w:r>
      <w:r>
        <w:rPr>
          <w:rFonts w:hint="eastAsia"/>
        </w:rPr>
        <w:t>年</w:t>
      </w:r>
      <w:r>
        <w:rPr>
          <w:rFonts w:hint="eastAsia"/>
        </w:rPr>
        <w:t>6</w:t>
      </w:r>
      <w:r>
        <w:rPr>
          <w:rFonts w:hint="eastAsia"/>
        </w:rPr>
        <w:t>月</w:t>
      </w:r>
      <w:r>
        <w:rPr>
          <w:rFonts w:hint="eastAsia"/>
        </w:rPr>
        <w:t>29</w:t>
      </w:r>
      <w:r>
        <w:rPr>
          <w:rFonts w:hint="eastAsia"/>
        </w:rPr>
        <w:t>日第</w:t>
      </w:r>
      <w:r>
        <w:rPr>
          <w:rFonts w:hint="eastAsia"/>
        </w:rPr>
        <w:t>2000/43/EC</w:t>
      </w:r>
      <w:r>
        <w:rPr>
          <w:rFonts w:hint="eastAsia"/>
        </w:rPr>
        <w:t>号理事会指令，以及建立在就业和职业中平等对待的</w:t>
      </w:r>
      <w:r>
        <w:rPr>
          <w:rFonts w:hint="eastAsia"/>
        </w:rPr>
        <w:t>2000</w:t>
      </w:r>
      <w:r>
        <w:rPr>
          <w:rFonts w:hint="eastAsia"/>
        </w:rPr>
        <w:t>年</w:t>
      </w:r>
      <w:r>
        <w:rPr>
          <w:rFonts w:hint="eastAsia"/>
        </w:rPr>
        <w:t>11</w:t>
      </w:r>
      <w:r>
        <w:rPr>
          <w:rFonts w:hint="eastAsia"/>
        </w:rPr>
        <w:t>月</w:t>
      </w:r>
      <w:r>
        <w:rPr>
          <w:rFonts w:hint="eastAsia"/>
        </w:rPr>
        <w:t>27</w:t>
      </w:r>
      <w:r>
        <w:rPr>
          <w:rFonts w:hint="eastAsia"/>
        </w:rPr>
        <w:t>日第</w:t>
      </w:r>
      <w:r>
        <w:rPr>
          <w:rFonts w:hint="eastAsia"/>
        </w:rPr>
        <w:t>2000/78/EC</w:t>
      </w:r>
      <w:r>
        <w:rPr>
          <w:rFonts w:hint="eastAsia"/>
        </w:rPr>
        <w:t>号理事会指令。</w:t>
      </w:r>
    </w:p>
    <w:p w:rsidR="00000000" w:rsidRDefault="00000000">
      <w:pPr>
        <w:pStyle w:val="EndnoteText"/>
        <w:rPr>
          <w:rFonts w:hint="eastAsia"/>
        </w:rPr>
      </w:pPr>
      <w:r>
        <w:rPr>
          <w:rFonts w:hint="eastAsia"/>
          <w:vertAlign w:val="superscript"/>
        </w:rPr>
        <w:t>2</w:t>
      </w:r>
      <w:r>
        <w:rPr>
          <w:rFonts w:hint="eastAsia"/>
        </w:rPr>
        <w:tab/>
      </w:r>
      <w:r>
        <w:rPr>
          <w:rFonts w:hint="eastAsia"/>
        </w:rPr>
        <w:t>由于公共统计的重构，</w:t>
      </w:r>
      <w:r>
        <w:rPr>
          <w:rFonts w:hint="eastAsia"/>
        </w:rPr>
        <w:t>2005</w:t>
      </w:r>
      <w:r>
        <w:rPr>
          <w:rFonts w:hint="eastAsia"/>
        </w:rPr>
        <w:t>年的数字无法与其他年份的数字相比。在失业率方面，瑞典统计局确定，相对失业率总共上升了</w:t>
      </w:r>
      <w:r>
        <w:rPr>
          <w:rFonts w:hint="eastAsia"/>
        </w:rPr>
        <w:t>0.4</w:t>
      </w:r>
      <w:r>
        <w:rPr>
          <w:rFonts w:hint="eastAsia"/>
        </w:rPr>
        <w:t>个百分点。在男子和妇女之间还没有作出过联系比较。</w:t>
      </w:r>
    </w:p>
    <w:p w:rsidR="00000000" w:rsidRDefault="00000000">
      <w:pPr>
        <w:pStyle w:val="EndnoteText"/>
        <w:rPr>
          <w:rFonts w:hint="eastAsia"/>
        </w:rPr>
      </w:pPr>
      <w:r>
        <w:rPr>
          <w:rFonts w:hint="eastAsia"/>
          <w:vertAlign w:val="superscript"/>
        </w:rPr>
        <w:t>3</w:t>
      </w:r>
      <w:r>
        <w:rPr>
          <w:rFonts w:hint="eastAsia"/>
        </w:rPr>
        <w:tab/>
      </w:r>
      <w:r>
        <w:rPr>
          <w:rFonts w:hint="eastAsia"/>
        </w:rPr>
        <w:t>适用于该法律的下列规定：工作环境状况</w:t>
      </w:r>
      <w:r>
        <w:rPr>
          <w:rFonts w:hint="eastAsia"/>
        </w:rPr>
        <w:t>(</w:t>
      </w:r>
      <w:r>
        <w:rPr>
          <w:rFonts w:hint="eastAsia"/>
        </w:rPr>
        <w:t>第</w:t>
      </w:r>
      <w:r>
        <w:rPr>
          <w:rFonts w:hint="eastAsia"/>
        </w:rPr>
        <w:t>2</w:t>
      </w:r>
      <w:r>
        <w:rPr>
          <w:rFonts w:hint="eastAsia"/>
        </w:rPr>
        <w:t>章</w:t>
      </w:r>
      <w:r>
        <w:rPr>
          <w:rFonts w:hint="eastAsia"/>
        </w:rPr>
        <w:t>)</w:t>
      </w:r>
      <w:r>
        <w:rPr>
          <w:rFonts w:hint="eastAsia"/>
        </w:rPr>
        <w:t>、般义务</w:t>
      </w:r>
      <w:r>
        <w:rPr>
          <w:rFonts w:hint="eastAsia"/>
        </w:rPr>
        <w:t>(</w:t>
      </w:r>
      <w:r>
        <w:rPr>
          <w:rFonts w:hint="eastAsia"/>
        </w:rPr>
        <w:t>第</w:t>
      </w:r>
      <w:r>
        <w:rPr>
          <w:rFonts w:hint="eastAsia"/>
        </w:rPr>
        <w:t>3</w:t>
      </w:r>
      <w:r>
        <w:rPr>
          <w:rFonts w:hint="eastAsia"/>
        </w:rPr>
        <w:t>章</w:t>
      </w:r>
      <w:r>
        <w:rPr>
          <w:rFonts w:hint="eastAsia"/>
        </w:rPr>
        <w:t>)</w:t>
      </w:r>
      <w:r>
        <w:rPr>
          <w:rFonts w:hint="eastAsia"/>
        </w:rPr>
        <w:t>、法定权力</w:t>
      </w:r>
      <w:r>
        <w:rPr>
          <w:rFonts w:hint="eastAsia"/>
        </w:rPr>
        <w:t>(</w:t>
      </w:r>
      <w:r>
        <w:rPr>
          <w:rFonts w:hint="eastAsia"/>
        </w:rPr>
        <w:t>第</w:t>
      </w:r>
      <w:r>
        <w:rPr>
          <w:rFonts w:hint="eastAsia"/>
        </w:rPr>
        <w:t>4</w:t>
      </w:r>
      <w:r>
        <w:rPr>
          <w:rFonts w:hint="eastAsia"/>
        </w:rPr>
        <w:t>章</w:t>
      </w:r>
      <w:r>
        <w:rPr>
          <w:rFonts w:hint="eastAsia"/>
        </w:rPr>
        <w:t>)</w:t>
      </w:r>
      <w:r>
        <w:rPr>
          <w:rFonts w:hint="eastAsia"/>
        </w:rPr>
        <w:t>、监督</w:t>
      </w:r>
      <w:r>
        <w:rPr>
          <w:rFonts w:hint="eastAsia"/>
        </w:rPr>
        <w:t>(</w:t>
      </w:r>
      <w:r>
        <w:rPr>
          <w:rFonts w:hint="eastAsia"/>
        </w:rPr>
        <w:t>第</w:t>
      </w:r>
      <w:r>
        <w:rPr>
          <w:rFonts w:hint="eastAsia"/>
        </w:rPr>
        <w:t>7</w:t>
      </w:r>
      <w:r>
        <w:rPr>
          <w:rFonts w:hint="eastAsia"/>
        </w:rPr>
        <w:t>章</w:t>
      </w:r>
      <w:r>
        <w:rPr>
          <w:rFonts w:hint="eastAsia"/>
        </w:rPr>
        <w:t>)</w:t>
      </w:r>
      <w:r>
        <w:rPr>
          <w:rFonts w:hint="eastAsia"/>
        </w:rPr>
        <w:t>、处罚</w:t>
      </w:r>
      <w:r>
        <w:rPr>
          <w:rFonts w:hint="eastAsia"/>
        </w:rPr>
        <w:t>(</w:t>
      </w:r>
      <w:r>
        <w:rPr>
          <w:rFonts w:hint="eastAsia"/>
        </w:rPr>
        <w:t>第</w:t>
      </w:r>
      <w:r>
        <w:rPr>
          <w:rFonts w:hint="eastAsia"/>
        </w:rPr>
        <w:t>8</w:t>
      </w:r>
      <w:r>
        <w:rPr>
          <w:rFonts w:hint="eastAsia"/>
        </w:rPr>
        <w:t>章</w:t>
      </w:r>
      <w:r>
        <w:rPr>
          <w:rFonts w:hint="eastAsia"/>
        </w:rPr>
        <w:t>)</w:t>
      </w:r>
      <w:r>
        <w:rPr>
          <w:rFonts w:hint="eastAsia"/>
        </w:rPr>
        <w:t>和上诉</w:t>
      </w:r>
      <w:r>
        <w:rPr>
          <w:rFonts w:hint="eastAsia"/>
        </w:rPr>
        <w:t>(</w:t>
      </w:r>
      <w:r>
        <w:rPr>
          <w:rFonts w:hint="eastAsia"/>
        </w:rPr>
        <w:t>第</w:t>
      </w:r>
      <w:r>
        <w:rPr>
          <w:rFonts w:hint="eastAsia"/>
        </w:rPr>
        <w:t>9</w:t>
      </w:r>
      <w:r>
        <w:rPr>
          <w:rFonts w:hint="eastAsia"/>
        </w:rPr>
        <w:t>章</w:t>
      </w:r>
      <w:r>
        <w:rPr>
          <w:rFonts w:hint="eastAsia"/>
        </w:rPr>
        <w:t>)</w:t>
      </w:r>
      <w:r>
        <w:rPr>
          <w:rFonts w:hint="eastAsia"/>
        </w:rPr>
        <w:t>。此外，在适用该法律第</w:t>
      </w:r>
      <w:r>
        <w:rPr>
          <w:rFonts w:hint="eastAsia"/>
        </w:rPr>
        <w:t>5</w:t>
      </w:r>
      <w:r>
        <w:rPr>
          <w:rFonts w:hint="eastAsia"/>
        </w:rPr>
        <w:t>章关于未成年人的某些规定时，学生和病人</w:t>
      </w:r>
      <w:r>
        <w:rPr>
          <w:rFonts w:hint="eastAsia"/>
        </w:rPr>
        <w:t>(</w:t>
      </w:r>
      <w:r>
        <w:rPr>
          <w:rFonts w:hint="eastAsia"/>
        </w:rPr>
        <w:t>第</w:t>
      </w:r>
      <w:r>
        <w:rPr>
          <w:rFonts w:hint="eastAsia"/>
        </w:rPr>
        <w:t>1</w:t>
      </w:r>
      <w:r>
        <w:rPr>
          <w:rFonts w:hint="eastAsia"/>
        </w:rPr>
        <w:t>项和第</w:t>
      </w:r>
      <w:r>
        <w:rPr>
          <w:rFonts w:hint="eastAsia"/>
        </w:rPr>
        <w:t>2</w:t>
      </w:r>
      <w:r>
        <w:rPr>
          <w:rFonts w:hint="eastAsia"/>
        </w:rPr>
        <w:t>项</w:t>
      </w:r>
      <w:r>
        <w:rPr>
          <w:rFonts w:hint="eastAsia"/>
        </w:rPr>
        <w:t>)</w:t>
      </w:r>
      <w:r>
        <w:rPr>
          <w:rFonts w:hint="eastAsia"/>
        </w:rPr>
        <w:t>应等同于雇员。</w:t>
      </w:r>
    </w:p>
    <w:p w:rsidR="00000000" w:rsidRDefault="00000000">
      <w:pPr>
        <w:rPr>
          <w:rFonts w:hint="eastAsia"/>
          <w:snapToGrid/>
        </w:rPr>
      </w:pPr>
    </w:p>
    <w:p w:rsidR="00000000" w:rsidRDefault="00000000">
      <w:pPr>
        <w:rPr>
          <w:rFonts w:hint="eastAsia"/>
          <w:snapToGrid/>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lang w:eastAsia="zh-CN"/>
            </w:rPr>
            <w:t>44135</w:t>
          </w:r>
          <w:r>
            <w:t xml:space="preserve"> (C)</w:t>
          </w:r>
        </w:p>
      </w:tc>
      <w:tc>
        <w:tcPr>
          <w:tcW w:w="1050" w:type="dxa"/>
        </w:tcPr>
        <w:p w:rsidR="00000000" w:rsidRDefault="00000000">
          <w:pPr>
            <w:pStyle w:val="Footer"/>
          </w:pPr>
          <w:r>
            <w:rPr>
              <w:rFonts w:hint="eastAsia"/>
              <w:lang w:eastAsia="zh-CN"/>
            </w:rPr>
            <w:t>2711</w:t>
          </w:r>
          <w:r>
            <w:t>06</w:t>
          </w:r>
        </w:p>
      </w:tc>
      <w:tc>
        <w:tcPr>
          <w:tcW w:w="6061" w:type="dxa"/>
        </w:tcPr>
        <w:p w:rsidR="00000000" w:rsidRDefault="00000000">
          <w:pPr>
            <w:pStyle w:val="Footer"/>
          </w:pPr>
          <w:r>
            <w:rPr>
              <w:lang w:eastAsia="zh-CN"/>
            </w:rPr>
            <w:t>0</w:t>
          </w:r>
          <w:r>
            <w:rPr>
              <w:rFonts w:hint="eastAsia"/>
              <w:lang w:eastAsia="zh-CN"/>
            </w:rPr>
            <w:t>3</w:t>
          </w:r>
          <w:r>
            <w:rPr>
              <w:lang w:eastAsia="zh-CN"/>
            </w:rPr>
            <w:t>01</w:t>
          </w:r>
          <w:r>
            <w:t>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40" w:lineRule="auto"/>
        <w:rPr>
          <w:rFonts w:hint="eastAsia"/>
        </w:rPr>
      </w:pPr>
      <w:r>
        <w:rPr>
          <w:rStyle w:val="FootnoteReference"/>
          <w:vertAlign w:val="baseline"/>
        </w:rPr>
        <w:t>*</w:t>
      </w:r>
      <w:r>
        <w:t xml:space="preserve"> </w:t>
      </w:r>
      <w:r>
        <w:rPr>
          <w:rFonts w:hint="eastAsia"/>
        </w:rPr>
        <w:tab/>
      </w:r>
      <w:r>
        <w:rPr>
          <w:rFonts w:hint="eastAsia"/>
        </w:rPr>
        <w:t>关于第</w:t>
      </w:r>
      <w:r>
        <w:t>1</w:t>
      </w:r>
      <w:r>
        <w:rPr>
          <w:rFonts w:hint="eastAsia"/>
        </w:rPr>
        <w:t>至</w:t>
      </w:r>
      <w:r>
        <w:t>15</w:t>
      </w:r>
      <w:r>
        <w:rPr>
          <w:rFonts w:hint="eastAsia"/>
        </w:rPr>
        <w:t>条所述权利的第五次定期报告（</w:t>
      </w:r>
      <w:r>
        <w:t>E/C.12/4/Add.4)</w:t>
      </w:r>
      <w:r>
        <w:rPr>
          <w:rFonts w:hint="eastAsia"/>
        </w:rPr>
        <w:t>，由</w:t>
      </w:r>
      <w:r>
        <w:rPr>
          <w:rFonts w:hint="eastAsia"/>
          <w:color w:val="000000"/>
        </w:rPr>
        <w:t>经济、社会及文化权利委员会第二十七届会议于</w:t>
      </w:r>
      <w:r>
        <w:rPr>
          <w:color w:val="000000"/>
        </w:rPr>
        <w:t>2001</w:t>
      </w:r>
      <w:r>
        <w:rPr>
          <w:rFonts w:hint="eastAsia"/>
          <w:color w:val="000000"/>
        </w:rPr>
        <w:t>年进行了审议（见</w:t>
      </w:r>
      <w:r>
        <w:rPr>
          <w:color w:val="000000"/>
        </w:rPr>
        <w:t>E/C.12/2001/SR.61-62</w:t>
      </w:r>
      <w:r>
        <w:rPr>
          <w:rFonts w:hint="eastAsia"/>
          <w:color w:val="000000"/>
        </w:rPr>
        <w:t>、</w:t>
      </w:r>
      <w:r>
        <w:rPr>
          <w:color w:val="000000"/>
        </w:rPr>
        <w:t>E/C.12/1/ Add.70</w:t>
      </w:r>
      <w:r>
        <w:rPr>
          <w:rFonts w:hint="eastAsia"/>
          <w:color w:val="000000"/>
        </w:rPr>
        <w:t>）。</w:t>
      </w:r>
    </w:p>
  </w:footnote>
  <w:footnote w:id="2">
    <w:p w:rsidR="00000000" w:rsidRDefault="00000000">
      <w:pPr>
        <w:pStyle w:val="FootnoteText"/>
        <w:spacing w:line="240" w:lineRule="auto"/>
        <w:rPr>
          <w:rFonts w:hint="eastAsia"/>
        </w:rPr>
      </w:pPr>
      <w:r>
        <w:rPr>
          <w:rStyle w:val="FootnoteReference"/>
          <w:vertAlign w:val="baseline"/>
        </w:rPr>
        <w:t>**</w:t>
      </w:r>
      <w:r>
        <w:t xml:space="preserve"> </w:t>
      </w:r>
      <w:r>
        <w:rPr>
          <w:rFonts w:hint="eastAsia"/>
        </w:rPr>
        <w:tab/>
      </w:r>
      <w:r>
        <w:rPr>
          <w:rFonts w:hint="eastAsia"/>
          <w:color w:val="000000"/>
        </w:rPr>
        <w:t>尼泊尔按照关于缔约国初次报告的指导原则提供的信息载于核心文件</w:t>
      </w:r>
      <w:r>
        <w:rPr>
          <w:color w:val="000000"/>
        </w:rPr>
        <w:t>(HRI/CORE/1/ Add.4</w:t>
      </w:r>
      <w:r>
        <w:rPr>
          <w:rFonts w:hint="eastAsia"/>
          <w:color w:val="000000"/>
        </w:rPr>
        <w:t xml:space="preserve"> </w:t>
      </w:r>
      <w:r>
        <w:rPr>
          <w:color w:val="000000"/>
        </w:rPr>
        <w:t>/Rev.1)</w:t>
      </w:r>
      <w:r>
        <w:rPr>
          <w:rFonts w:hint="eastAsia"/>
          <w:color w:val="000000"/>
        </w:rPr>
        <w:t>。</w:t>
      </w:r>
    </w:p>
  </w:footnote>
  <w:footnote w:id="3">
    <w:p w:rsidR="00000000" w:rsidRDefault="00000000">
      <w:pPr>
        <w:pStyle w:val="FootnoteText"/>
        <w:spacing w:after="320" w:line="240" w:lineRule="auto"/>
        <w:rPr>
          <w:rFonts w:hint="eastAsia"/>
        </w:rPr>
      </w:pPr>
      <w:r>
        <w:rPr>
          <w:rStyle w:val="FootnoteReference"/>
          <w:vertAlign w:val="baseline"/>
        </w:rPr>
        <w:t>***</w:t>
      </w:r>
      <w:r>
        <w:tab/>
      </w:r>
      <w:r>
        <w:rPr>
          <w:rFonts w:hint="eastAsia"/>
        </w:rPr>
        <w:t>按照转发给各缔约国的关于处理它们的报告的情况，本文件在发往联合国翻译处之前未经正式编辑。</w:t>
      </w:r>
    </w:p>
    <w:p w:rsidR="00000000" w:rsidRDefault="00000000">
      <w:pPr>
        <w:spacing w:line="240" w:lineRule="auto"/>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eastAsia="zh-CN"/>
      </w:rPr>
    </w:pPr>
    <w:r>
      <w:t>E/C.12/</w:t>
    </w:r>
    <w:r>
      <w:rPr>
        <w:rFonts w:hint="eastAsia"/>
        <w:lang w:eastAsia="zh-CN"/>
      </w:rPr>
      <w:t>SWE</w:t>
    </w:r>
    <w:r>
      <w:t>/</w:t>
    </w:r>
    <w:r>
      <w:rPr>
        <w:rFonts w:hint="eastAsia"/>
        <w:lang w:eastAsia="zh-CN"/>
      </w:rPr>
      <w:t>5</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655"/>
        <w:tab w:val="left" w:pos="7875"/>
      </w:tabs>
      <w:rPr>
        <w:rFonts w:hint="eastAsia"/>
        <w:lang w:eastAsia="zh-CN"/>
      </w:rPr>
    </w:pPr>
    <w:r>
      <w:tab/>
    </w:r>
    <w:r>
      <w:tab/>
    </w:r>
    <w:r>
      <w:tab/>
    </w:r>
    <w:r>
      <w:tab/>
    </w:r>
    <w:r>
      <w:rPr>
        <w:rFonts w:hint="eastAsia"/>
        <w:lang w:eastAsia="zh-CN"/>
      </w:rPr>
      <w:tab/>
    </w:r>
    <w:r>
      <w:t>E/C.12/</w:t>
    </w:r>
    <w:r>
      <w:rPr>
        <w:rFonts w:hint="eastAsia"/>
        <w:lang w:eastAsia="zh-CN"/>
      </w:rPr>
      <w:t>SWE</w:t>
    </w:r>
    <w:r>
      <w:t>/</w:t>
    </w:r>
    <w:r>
      <w:rPr>
        <w:rFonts w:hint="eastAsia"/>
        <w:lang w:eastAsia="zh-CN"/>
      </w:rPr>
      <w:t>5</w:t>
    </w:r>
  </w:p>
  <w:p w:rsidR="00000000" w:rsidRDefault="00000000">
    <w:pPr>
      <w:pStyle w:val="Header"/>
      <w:tabs>
        <w:tab w:val="clear" w:pos="7655"/>
        <w:tab w:val="left" w:pos="7875"/>
      </w:tabs>
      <w:rPr>
        <w:lang w:val="en-US"/>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905949"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pPr>
        </w:p>
        <w:p w:rsidR="00000000" w:rsidRDefault="00000000">
          <w:pPr>
            <w:pStyle w:val="Header"/>
            <w:rPr>
              <w:rFonts w:hint="eastAsia"/>
              <w:lang w:eastAsia="zh-CN"/>
            </w:rPr>
          </w:pPr>
          <w:r>
            <w:t>E/C.12/</w:t>
          </w:r>
          <w:r>
            <w:rPr>
              <w:rFonts w:hint="eastAsia"/>
              <w:lang w:eastAsia="zh-CN"/>
            </w:rPr>
            <w:t>SWE</w:t>
          </w:r>
          <w:r>
            <w:t>/</w:t>
          </w:r>
          <w:r>
            <w:rPr>
              <w:rFonts w:hint="eastAsia"/>
              <w:lang w:eastAsia="zh-CN"/>
            </w:rPr>
            <w:t>5</w:t>
          </w:r>
        </w:p>
        <w:p w:rsidR="00000000" w:rsidRDefault="00000000">
          <w:pPr>
            <w:pStyle w:val="Header"/>
          </w:pPr>
          <w:r>
            <w:rPr>
              <w:rFonts w:hint="eastAsia"/>
              <w:lang w:eastAsia="zh-CN"/>
            </w:rPr>
            <w:t xml:space="preserve">6 </w:t>
          </w:r>
          <w:r>
            <w:rPr>
              <w:lang w:eastAsia="zh-CN"/>
            </w:rPr>
            <w:t>September</w:t>
          </w:r>
          <w:r>
            <w:t xml:space="preserve">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8F72461"/>
    <w:multiLevelType w:val="hybridMultilevel"/>
    <w:tmpl w:val="976EDC5A"/>
    <w:lvl w:ilvl="0" w:tplc="256A95C2">
      <w:numFmt w:val="bullet"/>
      <w:lvlText w:val=""/>
      <w:lvlJc w:val="left"/>
      <w:pPr>
        <w:tabs>
          <w:tab w:val="num" w:pos="465"/>
        </w:tabs>
        <w:ind w:left="465" w:hanging="465"/>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4">
    <w:nsid w:val="16114767"/>
    <w:multiLevelType w:val="hybridMultilevel"/>
    <w:tmpl w:val="15DCDFC8"/>
    <w:lvl w:ilvl="0" w:tplc="090C5CD0">
      <w:start w:val="2003"/>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4">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308813A1"/>
    <w:multiLevelType w:val="hybridMultilevel"/>
    <w:tmpl w:val="A27E3182"/>
    <w:lvl w:ilvl="0" w:tplc="92AC32EA">
      <w:start w:val="17"/>
      <w:numFmt w:val="bullet"/>
      <w:lvlText w:val=""/>
      <w:lvlJc w:val="left"/>
      <w:pPr>
        <w:tabs>
          <w:tab w:val="num" w:pos="465"/>
        </w:tabs>
        <w:ind w:left="465" w:hanging="465"/>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30950B52"/>
    <w:multiLevelType w:val="hybridMultilevel"/>
    <w:tmpl w:val="67DA98AA"/>
    <w:lvl w:ilvl="0" w:tplc="2B444702">
      <w:start w:val="1"/>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9">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4">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6">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7">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3ECB3022"/>
    <w:multiLevelType w:val="hybridMultilevel"/>
    <w:tmpl w:val="761CB26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54352FC"/>
    <w:multiLevelType w:val="hybridMultilevel"/>
    <w:tmpl w:val="95206ED8"/>
    <w:lvl w:ilvl="0" w:tplc="2AF8FB12">
      <w:start w:val="116"/>
      <w:numFmt w:val="decimal"/>
      <w:lvlText w:val="%1."/>
      <w:lvlJc w:val="left"/>
      <w:pPr>
        <w:tabs>
          <w:tab w:val="num" w:pos="1095"/>
        </w:tabs>
        <w:ind w:left="1095" w:hanging="735"/>
      </w:pPr>
      <w:rPr>
        <w:rFonts w:hint="default"/>
      </w:rPr>
    </w:lvl>
    <w:lvl w:ilvl="1" w:tplc="04090019" w:tentative="1">
      <w:start w:val="1"/>
      <w:numFmt w:val="lowerLetter"/>
      <w:lvlText w:val="%2)"/>
      <w:lvlJc w:val="left"/>
      <w:pPr>
        <w:tabs>
          <w:tab w:val="num" w:pos="1250"/>
        </w:tabs>
        <w:ind w:left="1250" w:hanging="420"/>
      </w:pPr>
    </w:lvl>
    <w:lvl w:ilvl="2" w:tplc="0409001B" w:tentative="1">
      <w:start w:val="1"/>
      <w:numFmt w:val="lowerRoman"/>
      <w:lvlText w:val="%3."/>
      <w:lvlJc w:val="right"/>
      <w:pPr>
        <w:tabs>
          <w:tab w:val="num" w:pos="1670"/>
        </w:tabs>
        <w:ind w:left="1670" w:hanging="420"/>
      </w:pPr>
    </w:lvl>
    <w:lvl w:ilvl="3" w:tplc="0409000F" w:tentative="1">
      <w:start w:val="1"/>
      <w:numFmt w:val="decimal"/>
      <w:lvlText w:val="%4."/>
      <w:lvlJc w:val="left"/>
      <w:pPr>
        <w:tabs>
          <w:tab w:val="num" w:pos="2090"/>
        </w:tabs>
        <w:ind w:left="2090" w:hanging="420"/>
      </w:pPr>
    </w:lvl>
    <w:lvl w:ilvl="4" w:tplc="04090019" w:tentative="1">
      <w:start w:val="1"/>
      <w:numFmt w:val="lowerLetter"/>
      <w:lvlText w:val="%5)"/>
      <w:lvlJc w:val="left"/>
      <w:pPr>
        <w:tabs>
          <w:tab w:val="num" w:pos="2510"/>
        </w:tabs>
        <w:ind w:left="2510" w:hanging="420"/>
      </w:pPr>
    </w:lvl>
    <w:lvl w:ilvl="5" w:tplc="0409001B" w:tentative="1">
      <w:start w:val="1"/>
      <w:numFmt w:val="lowerRoman"/>
      <w:lvlText w:val="%6."/>
      <w:lvlJc w:val="right"/>
      <w:pPr>
        <w:tabs>
          <w:tab w:val="num" w:pos="2930"/>
        </w:tabs>
        <w:ind w:left="2930" w:hanging="420"/>
      </w:pPr>
    </w:lvl>
    <w:lvl w:ilvl="6" w:tplc="0409000F" w:tentative="1">
      <w:start w:val="1"/>
      <w:numFmt w:val="decimal"/>
      <w:lvlText w:val="%7."/>
      <w:lvlJc w:val="left"/>
      <w:pPr>
        <w:tabs>
          <w:tab w:val="num" w:pos="3350"/>
        </w:tabs>
        <w:ind w:left="3350" w:hanging="420"/>
      </w:pPr>
    </w:lvl>
    <w:lvl w:ilvl="7" w:tplc="04090019" w:tentative="1">
      <w:start w:val="1"/>
      <w:numFmt w:val="lowerLetter"/>
      <w:lvlText w:val="%8)"/>
      <w:lvlJc w:val="left"/>
      <w:pPr>
        <w:tabs>
          <w:tab w:val="num" w:pos="3770"/>
        </w:tabs>
        <w:ind w:left="3770" w:hanging="420"/>
      </w:pPr>
    </w:lvl>
    <w:lvl w:ilvl="8" w:tplc="0409001B" w:tentative="1">
      <w:start w:val="1"/>
      <w:numFmt w:val="lowerRoman"/>
      <w:lvlText w:val="%9."/>
      <w:lvlJc w:val="right"/>
      <w:pPr>
        <w:tabs>
          <w:tab w:val="num" w:pos="4190"/>
        </w:tabs>
        <w:ind w:left="4190" w:hanging="420"/>
      </w:pPr>
    </w:lvl>
  </w:abstractNum>
  <w:abstractNum w:abstractNumId="42">
    <w:nsid w:val="46B605C4"/>
    <w:multiLevelType w:val="hybridMultilevel"/>
    <w:tmpl w:val="C2525E7A"/>
    <w:lvl w:ilvl="0" w:tplc="73169676">
      <w:numFmt w:val="bullet"/>
      <w:lvlText w:val=""/>
      <w:lvlJc w:val="left"/>
      <w:pPr>
        <w:tabs>
          <w:tab w:val="num" w:pos="465"/>
        </w:tabs>
        <w:ind w:left="465" w:hanging="465"/>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4A607C57"/>
    <w:multiLevelType w:val="hybridMultilevel"/>
    <w:tmpl w:val="37E0E076"/>
    <w:lvl w:ilvl="0" w:tplc="F30A8358">
      <w:start w:val="1"/>
      <w:numFmt w:val="decimal"/>
      <w:lvlText w:val="%1．"/>
      <w:lvlJc w:val="left"/>
      <w:pPr>
        <w:tabs>
          <w:tab w:val="num" w:pos="1425"/>
        </w:tabs>
        <w:ind w:left="1425" w:hanging="720"/>
      </w:pPr>
      <w:rPr>
        <w:rFonts w:hint="default"/>
      </w:rPr>
    </w:lvl>
    <w:lvl w:ilvl="1" w:tplc="04090019" w:tentative="1">
      <w:start w:val="1"/>
      <w:numFmt w:val="lowerLetter"/>
      <w:lvlText w:val="%2)"/>
      <w:lvlJc w:val="left"/>
      <w:pPr>
        <w:tabs>
          <w:tab w:val="num" w:pos="1545"/>
        </w:tabs>
        <w:ind w:left="1545" w:hanging="420"/>
      </w:pPr>
    </w:lvl>
    <w:lvl w:ilvl="2" w:tplc="0409001B" w:tentative="1">
      <w:start w:val="1"/>
      <w:numFmt w:val="lowerRoman"/>
      <w:lvlText w:val="%3."/>
      <w:lvlJc w:val="right"/>
      <w:pPr>
        <w:tabs>
          <w:tab w:val="num" w:pos="1965"/>
        </w:tabs>
        <w:ind w:left="1965" w:hanging="420"/>
      </w:pPr>
    </w:lvl>
    <w:lvl w:ilvl="3" w:tplc="0409000F" w:tentative="1">
      <w:start w:val="1"/>
      <w:numFmt w:val="decimal"/>
      <w:lvlText w:val="%4."/>
      <w:lvlJc w:val="left"/>
      <w:pPr>
        <w:tabs>
          <w:tab w:val="num" w:pos="2385"/>
        </w:tabs>
        <w:ind w:left="2385" w:hanging="420"/>
      </w:pPr>
    </w:lvl>
    <w:lvl w:ilvl="4" w:tplc="04090019" w:tentative="1">
      <w:start w:val="1"/>
      <w:numFmt w:val="lowerLetter"/>
      <w:lvlText w:val="%5)"/>
      <w:lvlJc w:val="left"/>
      <w:pPr>
        <w:tabs>
          <w:tab w:val="num" w:pos="2805"/>
        </w:tabs>
        <w:ind w:left="2805" w:hanging="420"/>
      </w:pPr>
    </w:lvl>
    <w:lvl w:ilvl="5" w:tplc="0409001B" w:tentative="1">
      <w:start w:val="1"/>
      <w:numFmt w:val="lowerRoman"/>
      <w:lvlText w:val="%6."/>
      <w:lvlJc w:val="right"/>
      <w:pPr>
        <w:tabs>
          <w:tab w:val="num" w:pos="3225"/>
        </w:tabs>
        <w:ind w:left="3225" w:hanging="420"/>
      </w:pPr>
    </w:lvl>
    <w:lvl w:ilvl="6" w:tplc="0409000F" w:tentative="1">
      <w:start w:val="1"/>
      <w:numFmt w:val="decimal"/>
      <w:lvlText w:val="%7."/>
      <w:lvlJc w:val="left"/>
      <w:pPr>
        <w:tabs>
          <w:tab w:val="num" w:pos="3645"/>
        </w:tabs>
        <w:ind w:left="3645" w:hanging="420"/>
      </w:pPr>
    </w:lvl>
    <w:lvl w:ilvl="7" w:tplc="04090019" w:tentative="1">
      <w:start w:val="1"/>
      <w:numFmt w:val="lowerLetter"/>
      <w:lvlText w:val="%8)"/>
      <w:lvlJc w:val="left"/>
      <w:pPr>
        <w:tabs>
          <w:tab w:val="num" w:pos="4065"/>
        </w:tabs>
        <w:ind w:left="4065" w:hanging="420"/>
      </w:pPr>
    </w:lvl>
    <w:lvl w:ilvl="8" w:tplc="0409001B" w:tentative="1">
      <w:start w:val="1"/>
      <w:numFmt w:val="lowerRoman"/>
      <w:lvlText w:val="%9."/>
      <w:lvlJc w:val="right"/>
      <w:pPr>
        <w:tabs>
          <w:tab w:val="num" w:pos="4485"/>
        </w:tabs>
        <w:ind w:left="4485" w:hanging="420"/>
      </w:pPr>
    </w:lvl>
  </w:abstractNum>
  <w:abstractNum w:abstractNumId="49">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0">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2">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55">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6">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4EF2A01"/>
    <w:multiLevelType w:val="hybridMultilevel"/>
    <w:tmpl w:val="1DDE284A"/>
    <w:lvl w:ilvl="0" w:tplc="5CB60F24">
      <w:numFmt w:val="bullet"/>
      <w:lvlText w:val=""/>
      <w:lvlJc w:val="left"/>
      <w:pPr>
        <w:tabs>
          <w:tab w:val="num" w:pos="915"/>
        </w:tabs>
        <w:ind w:left="915" w:hanging="360"/>
      </w:pPr>
      <w:rPr>
        <w:rFonts w:ascii="Wingdings" w:eastAsia="SimSun" w:hAnsi="Wingdings" w:cs="Times New Roman" w:hint="default"/>
      </w:rPr>
    </w:lvl>
    <w:lvl w:ilvl="1" w:tplc="04090003" w:tentative="1">
      <w:start w:val="1"/>
      <w:numFmt w:val="bullet"/>
      <w:lvlText w:val=""/>
      <w:lvlJc w:val="left"/>
      <w:pPr>
        <w:tabs>
          <w:tab w:val="num" w:pos="1395"/>
        </w:tabs>
        <w:ind w:left="1395" w:hanging="420"/>
      </w:pPr>
      <w:rPr>
        <w:rFonts w:ascii="Wingdings" w:hAnsi="Wingdings" w:hint="default"/>
      </w:rPr>
    </w:lvl>
    <w:lvl w:ilvl="2" w:tplc="04090005" w:tentative="1">
      <w:start w:val="1"/>
      <w:numFmt w:val="bullet"/>
      <w:lvlText w:val=""/>
      <w:lvlJc w:val="left"/>
      <w:pPr>
        <w:tabs>
          <w:tab w:val="num" w:pos="1815"/>
        </w:tabs>
        <w:ind w:left="1815" w:hanging="420"/>
      </w:pPr>
      <w:rPr>
        <w:rFonts w:ascii="Wingdings" w:hAnsi="Wingdings" w:hint="default"/>
      </w:rPr>
    </w:lvl>
    <w:lvl w:ilvl="3" w:tplc="04090001" w:tentative="1">
      <w:start w:val="1"/>
      <w:numFmt w:val="bullet"/>
      <w:lvlText w:val=""/>
      <w:lvlJc w:val="left"/>
      <w:pPr>
        <w:tabs>
          <w:tab w:val="num" w:pos="2235"/>
        </w:tabs>
        <w:ind w:left="2235" w:hanging="420"/>
      </w:pPr>
      <w:rPr>
        <w:rFonts w:ascii="Wingdings" w:hAnsi="Wingdings" w:hint="default"/>
      </w:rPr>
    </w:lvl>
    <w:lvl w:ilvl="4" w:tplc="04090003" w:tentative="1">
      <w:start w:val="1"/>
      <w:numFmt w:val="bullet"/>
      <w:lvlText w:val=""/>
      <w:lvlJc w:val="left"/>
      <w:pPr>
        <w:tabs>
          <w:tab w:val="num" w:pos="2655"/>
        </w:tabs>
        <w:ind w:left="2655" w:hanging="420"/>
      </w:pPr>
      <w:rPr>
        <w:rFonts w:ascii="Wingdings" w:hAnsi="Wingdings" w:hint="default"/>
      </w:rPr>
    </w:lvl>
    <w:lvl w:ilvl="5" w:tplc="04090005" w:tentative="1">
      <w:start w:val="1"/>
      <w:numFmt w:val="bullet"/>
      <w:lvlText w:val=""/>
      <w:lvlJc w:val="left"/>
      <w:pPr>
        <w:tabs>
          <w:tab w:val="num" w:pos="3075"/>
        </w:tabs>
        <w:ind w:left="3075" w:hanging="420"/>
      </w:pPr>
      <w:rPr>
        <w:rFonts w:ascii="Wingdings" w:hAnsi="Wingdings" w:hint="default"/>
      </w:rPr>
    </w:lvl>
    <w:lvl w:ilvl="6" w:tplc="04090001" w:tentative="1">
      <w:start w:val="1"/>
      <w:numFmt w:val="bullet"/>
      <w:lvlText w:val=""/>
      <w:lvlJc w:val="left"/>
      <w:pPr>
        <w:tabs>
          <w:tab w:val="num" w:pos="3495"/>
        </w:tabs>
        <w:ind w:left="3495" w:hanging="420"/>
      </w:pPr>
      <w:rPr>
        <w:rFonts w:ascii="Wingdings" w:hAnsi="Wingdings" w:hint="default"/>
      </w:rPr>
    </w:lvl>
    <w:lvl w:ilvl="7" w:tplc="04090003" w:tentative="1">
      <w:start w:val="1"/>
      <w:numFmt w:val="bullet"/>
      <w:lvlText w:val=""/>
      <w:lvlJc w:val="left"/>
      <w:pPr>
        <w:tabs>
          <w:tab w:val="num" w:pos="3915"/>
        </w:tabs>
        <w:ind w:left="3915" w:hanging="420"/>
      </w:pPr>
      <w:rPr>
        <w:rFonts w:ascii="Wingdings" w:hAnsi="Wingdings" w:hint="default"/>
      </w:rPr>
    </w:lvl>
    <w:lvl w:ilvl="8" w:tplc="04090005" w:tentative="1">
      <w:start w:val="1"/>
      <w:numFmt w:val="bullet"/>
      <w:lvlText w:val=""/>
      <w:lvlJc w:val="left"/>
      <w:pPr>
        <w:tabs>
          <w:tab w:val="num" w:pos="4335"/>
        </w:tabs>
        <w:ind w:left="4335" w:hanging="420"/>
      </w:pPr>
      <w:rPr>
        <w:rFonts w:ascii="Wingdings" w:hAnsi="Wingdings" w:hint="default"/>
      </w:rPr>
    </w:lvl>
  </w:abstractNum>
  <w:abstractNum w:abstractNumId="5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6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8">
    <w:nsid w:val="601A0637"/>
    <w:multiLevelType w:val="hybridMultilevel"/>
    <w:tmpl w:val="8236D2DC"/>
    <w:lvl w:ilvl="0" w:tplc="B5EA7E4A">
      <w:start w:val="7"/>
      <w:numFmt w:val="decimal"/>
      <w:lvlText w:val="%1."/>
      <w:lvlJc w:val="left"/>
      <w:pPr>
        <w:tabs>
          <w:tab w:val="num" w:pos="900"/>
        </w:tabs>
        <w:ind w:left="900" w:hanging="4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72">
    <w:nsid w:val="670D2EE0"/>
    <w:multiLevelType w:val="hybridMultilevel"/>
    <w:tmpl w:val="049E76A4"/>
    <w:lvl w:ilvl="0" w:tplc="C52804E4">
      <w:start w:val="149"/>
      <w:numFmt w:val="decimal"/>
      <w:lvlText w:val="%1．"/>
      <w:lvlJc w:val="left"/>
      <w:pPr>
        <w:tabs>
          <w:tab w:val="num" w:pos="1155"/>
        </w:tabs>
        <w:ind w:left="1155" w:hanging="7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687B7B47"/>
    <w:multiLevelType w:val="hybridMultilevel"/>
    <w:tmpl w:val="0E02CE06"/>
    <w:lvl w:ilvl="0" w:tplc="BEFA2CC0">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7">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7">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9">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8"/>
  </w:num>
  <w:num w:numId="2">
    <w:abstractNumId w:val="29"/>
  </w:num>
  <w:num w:numId="3">
    <w:abstractNumId w:val="54"/>
  </w:num>
  <w:num w:numId="4">
    <w:abstractNumId w:val="33"/>
  </w:num>
  <w:num w:numId="5">
    <w:abstractNumId w:val="85"/>
  </w:num>
  <w:num w:numId="6">
    <w:abstractNumId w:val="0"/>
  </w:num>
  <w:num w:numId="7">
    <w:abstractNumId w:val="46"/>
  </w:num>
  <w:num w:numId="8">
    <w:abstractNumId w:val="24"/>
  </w:num>
  <w:num w:numId="9">
    <w:abstractNumId w:val="9"/>
  </w:num>
  <w:num w:numId="10">
    <w:abstractNumId w:val="15"/>
  </w:num>
  <w:num w:numId="11">
    <w:abstractNumId w:val="79"/>
  </w:num>
  <w:num w:numId="12">
    <w:abstractNumId w:val="18"/>
  </w:num>
  <w:num w:numId="13">
    <w:abstractNumId w:val="83"/>
  </w:num>
  <w:num w:numId="14">
    <w:abstractNumId w:val="51"/>
  </w:num>
  <w:num w:numId="15">
    <w:abstractNumId w:val="55"/>
  </w:num>
  <w:num w:numId="16">
    <w:abstractNumId w:val="5"/>
  </w:num>
  <w:num w:numId="17">
    <w:abstractNumId w:val="89"/>
  </w:num>
  <w:num w:numId="18">
    <w:abstractNumId w:val="78"/>
  </w:num>
  <w:num w:numId="19">
    <w:abstractNumId w:val="74"/>
  </w:num>
  <w:num w:numId="20">
    <w:abstractNumId w:val="7"/>
  </w:num>
  <w:num w:numId="21">
    <w:abstractNumId w:val="53"/>
  </w:num>
  <w:num w:numId="22">
    <w:abstractNumId w:val="57"/>
  </w:num>
  <w:num w:numId="23">
    <w:abstractNumId w:val="87"/>
  </w:num>
  <w:num w:numId="24">
    <w:abstractNumId w:val="66"/>
  </w:num>
  <w:num w:numId="25">
    <w:abstractNumId w:val="64"/>
  </w:num>
  <w:num w:numId="26">
    <w:abstractNumId w:val="45"/>
  </w:num>
  <w:num w:numId="27">
    <w:abstractNumId w:val="11"/>
  </w:num>
  <w:num w:numId="28">
    <w:abstractNumId w:val="8"/>
  </w:num>
  <w:num w:numId="29">
    <w:abstractNumId w:val="90"/>
  </w:num>
  <w:num w:numId="30">
    <w:abstractNumId w:val="1"/>
  </w:num>
  <w:num w:numId="31">
    <w:abstractNumId w:val="17"/>
  </w:num>
  <w:num w:numId="32">
    <w:abstractNumId w:val="54"/>
  </w:num>
  <w:num w:numId="33">
    <w:abstractNumId w:val="33"/>
  </w:num>
  <w:num w:numId="34">
    <w:abstractNumId w:val="82"/>
  </w:num>
  <w:num w:numId="35">
    <w:abstractNumId w:val="25"/>
  </w:num>
  <w:num w:numId="36">
    <w:abstractNumId w:val="73"/>
  </w:num>
  <w:num w:numId="37">
    <w:abstractNumId w:val="71"/>
  </w:num>
  <w:num w:numId="38">
    <w:abstractNumId w:val="34"/>
  </w:num>
  <w:num w:numId="39">
    <w:abstractNumId w:val="59"/>
  </w:num>
  <w:num w:numId="40">
    <w:abstractNumId w:val="63"/>
  </w:num>
  <w:num w:numId="41">
    <w:abstractNumId w:val="80"/>
  </w:num>
  <w:num w:numId="42">
    <w:abstractNumId w:val="6"/>
  </w:num>
  <w:num w:numId="43">
    <w:abstractNumId w:val="31"/>
  </w:num>
  <w:num w:numId="44">
    <w:abstractNumId w:val="33"/>
  </w:num>
  <w:num w:numId="45">
    <w:abstractNumId w:val="54"/>
  </w:num>
  <w:num w:numId="46">
    <w:abstractNumId w:val="33"/>
  </w:num>
  <w:num w:numId="47">
    <w:abstractNumId w:val="33"/>
  </w:num>
  <w:num w:numId="48">
    <w:abstractNumId w:val="54"/>
  </w:num>
  <w:num w:numId="49">
    <w:abstractNumId w:val="54"/>
  </w:num>
  <w:num w:numId="50">
    <w:abstractNumId w:val="33"/>
  </w:num>
  <w:num w:numId="51">
    <w:abstractNumId w:val="54"/>
  </w:num>
  <w:num w:numId="52">
    <w:abstractNumId w:val="33"/>
  </w:num>
  <w:num w:numId="53">
    <w:abstractNumId w:val="33"/>
  </w:num>
  <w:num w:numId="54">
    <w:abstractNumId w:val="54"/>
  </w:num>
  <w:num w:numId="55">
    <w:abstractNumId w:val="33"/>
  </w:num>
  <w:num w:numId="56">
    <w:abstractNumId w:val="54"/>
  </w:num>
  <w:num w:numId="57">
    <w:abstractNumId w:val="33"/>
  </w:num>
  <w:num w:numId="58">
    <w:abstractNumId w:val="54"/>
  </w:num>
  <w:num w:numId="59">
    <w:abstractNumId w:val="88"/>
  </w:num>
  <w:num w:numId="60">
    <w:abstractNumId w:val="62"/>
  </w:num>
  <w:num w:numId="61">
    <w:abstractNumId w:val="76"/>
  </w:num>
  <w:num w:numId="62">
    <w:abstractNumId w:val="23"/>
  </w:num>
  <w:num w:numId="63">
    <w:abstractNumId w:val="32"/>
  </w:num>
  <w:num w:numId="64">
    <w:abstractNumId w:val="13"/>
  </w:num>
  <w:num w:numId="65">
    <w:abstractNumId w:val="67"/>
  </w:num>
  <w:num w:numId="66">
    <w:abstractNumId w:val="60"/>
  </w:num>
  <w:num w:numId="67">
    <w:abstractNumId w:val="37"/>
  </w:num>
  <w:num w:numId="68">
    <w:abstractNumId w:val="16"/>
  </w:num>
  <w:num w:numId="69">
    <w:abstractNumId w:val="61"/>
  </w:num>
  <w:num w:numId="70">
    <w:abstractNumId w:val="12"/>
  </w:num>
  <w:num w:numId="71">
    <w:abstractNumId w:val="36"/>
  </w:num>
  <w:num w:numId="72">
    <w:abstractNumId w:val="49"/>
  </w:num>
  <w:num w:numId="73">
    <w:abstractNumId w:val="86"/>
  </w:num>
  <w:num w:numId="74">
    <w:abstractNumId w:val="56"/>
  </w:num>
  <w:num w:numId="75">
    <w:abstractNumId w:val="39"/>
  </w:num>
  <w:num w:numId="76">
    <w:abstractNumId w:val="30"/>
  </w:num>
  <w:num w:numId="77">
    <w:abstractNumId w:val="4"/>
  </w:num>
  <w:num w:numId="78">
    <w:abstractNumId w:val="4"/>
  </w:num>
  <w:num w:numId="79">
    <w:abstractNumId w:val="33"/>
  </w:num>
  <w:num w:numId="80">
    <w:abstractNumId w:val="4"/>
  </w:num>
  <w:num w:numId="81">
    <w:abstractNumId w:val="54"/>
  </w:num>
  <w:num w:numId="82">
    <w:abstractNumId w:val="33"/>
  </w:num>
  <w:num w:numId="83">
    <w:abstractNumId w:val="50"/>
  </w:num>
  <w:num w:numId="84">
    <w:abstractNumId w:val="20"/>
  </w:num>
  <w:num w:numId="85">
    <w:abstractNumId w:val="70"/>
  </w:num>
  <w:num w:numId="86">
    <w:abstractNumId w:val="69"/>
  </w:num>
  <w:num w:numId="87">
    <w:abstractNumId w:val="2"/>
  </w:num>
  <w:num w:numId="88">
    <w:abstractNumId w:val="52"/>
  </w:num>
  <w:num w:numId="89">
    <w:abstractNumId w:val="19"/>
  </w:num>
  <w:num w:numId="90">
    <w:abstractNumId w:val="47"/>
  </w:num>
  <w:num w:numId="91">
    <w:abstractNumId w:val="10"/>
  </w:num>
  <w:num w:numId="92">
    <w:abstractNumId w:val="65"/>
  </w:num>
  <w:num w:numId="93">
    <w:abstractNumId w:val="44"/>
  </w:num>
  <w:num w:numId="94">
    <w:abstractNumId w:val="81"/>
  </w:num>
  <w:num w:numId="95">
    <w:abstractNumId w:val="77"/>
  </w:num>
  <w:num w:numId="96">
    <w:abstractNumId w:val="21"/>
  </w:num>
  <w:num w:numId="97">
    <w:abstractNumId w:val="40"/>
  </w:num>
  <w:num w:numId="98">
    <w:abstractNumId w:val="43"/>
  </w:num>
  <w:num w:numId="99">
    <w:abstractNumId w:val="22"/>
  </w:num>
  <w:num w:numId="100">
    <w:abstractNumId w:val="84"/>
  </w:num>
  <w:num w:numId="101">
    <w:abstractNumId w:val="84"/>
  </w:num>
  <w:num w:numId="102">
    <w:abstractNumId w:val="22"/>
  </w:num>
  <w:num w:numId="103">
    <w:abstractNumId w:val="22"/>
  </w:num>
  <w:num w:numId="104">
    <w:abstractNumId w:val="84"/>
  </w:num>
  <w:num w:numId="105">
    <w:abstractNumId w:val="22"/>
  </w:num>
  <w:num w:numId="106">
    <w:abstractNumId w:val="35"/>
  </w:num>
  <w:num w:numId="107">
    <w:abstractNumId w:val="33"/>
    <w:lvlOverride w:ilvl="0"/>
  </w:num>
  <w:num w:numId="108">
    <w:abstractNumId w:val="38"/>
  </w:num>
  <w:num w:numId="10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8"/>
  </w:num>
  <w:num w:numId="111">
    <w:abstractNumId w:val="42"/>
  </w:num>
  <w:num w:numId="112">
    <w:abstractNumId w:val="3"/>
  </w:num>
  <w:num w:numId="113">
    <w:abstractNumId w:val="26"/>
  </w:num>
  <w:num w:numId="114">
    <w:abstractNumId w:val="14"/>
  </w:num>
  <w:num w:numId="115">
    <w:abstractNumId w:val="41"/>
  </w:num>
  <w:num w:numId="116">
    <w:abstractNumId w:val="75"/>
  </w:num>
  <w:num w:numId="117">
    <w:abstractNumId w:val="72"/>
  </w:num>
  <w:num w:numId="118">
    <w:abstractNumId w:val="48"/>
  </w:num>
  <w:num w:numId="119">
    <w:abstractNumId w:val="58"/>
  </w:num>
  <w:num w:numId="120">
    <w:abstractNumId w:val="27"/>
  </w:num>
  <w:num w:numId="121">
    <w:abstractNumId w:val="33"/>
  </w:num>
  <w:num w:numId="122">
    <w:abstractNumId w:val="54"/>
  </w:num>
  <w:num w:numId="123">
    <w:abstractNumId w:val="54"/>
  </w:num>
  <w:num w:numId="124">
    <w:abstractNumId w:val="54"/>
  </w:num>
  <w:num w:numId="125">
    <w:abstractNumId w:val="54"/>
  </w:num>
  <w:num w:numId="126">
    <w:abstractNumId w:val="54"/>
  </w:num>
  <w:num w:numId="127">
    <w:abstractNumId w:val="54"/>
  </w:num>
  <w:num w:numId="128">
    <w:abstractNumId w:val="54"/>
  </w:num>
  <w:num w:numId="129">
    <w:abstractNumId w:val="54"/>
  </w:num>
  <w:num w:numId="130">
    <w:abstractNumId w:val="54"/>
  </w:num>
  <w:num w:numId="131">
    <w:abstractNumId w:val="54"/>
  </w:num>
  <w:num w:numId="132">
    <w:abstractNumId w:val="54"/>
  </w:num>
  <w:num w:numId="133">
    <w:abstractNumId w:val="33"/>
  </w:num>
  <w:num w:numId="134">
    <w:abstractNumId w:val="54"/>
  </w:num>
  <w:num w:numId="135">
    <w:abstractNumId w:val="33"/>
  </w:num>
  <w:num w:numId="136">
    <w:abstractNumId w:val="33"/>
  </w:num>
  <w:num w:numId="137">
    <w:abstractNumId w:val="33"/>
  </w:num>
  <w:num w:numId="138">
    <w:abstractNumId w:val="33"/>
  </w:num>
  <w:num w:numId="139">
    <w:abstractNumId w:val="33"/>
  </w:num>
  <w:num w:numId="140">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pPr>
  </w:style>
  <w:style w:type="paragraph" w:customStyle="1" w:styleId="a">
    <w:name w:val="悬挂符号●"/>
    <w:basedOn w:val="Normal"/>
    <w:pPr>
      <w:numPr>
        <w:numId w:val="82"/>
      </w:numPr>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100</Pages>
  <Words>11599</Words>
  <Characters>66117</Characters>
  <Application>Microsoft Office Word</Application>
  <DocSecurity>4</DocSecurity>
  <Lines>550</Lines>
  <Paragraphs>132</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81196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MLU</cp:lastModifiedBy>
  <cp:revision>2</cp:revision>
  <cp:lastPrinted>2007-01-03T07:08:00Z</cp:lastPrinted>
  <dcterms:created xsi:type="dcterms:W3CDTF">2007-01-03T07:13:00Z</dcterms:created>
  <dcterms:modified xsi:type="dcterms:W3CDTF">2007-01-03T07:13:00Z</dcterms:modified>
</cp:coreProperties>
</file>