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35pt;margin-top:714.35pt;width:198pt;height:18pt;z-index:1;mso-position-horizontal-relative:margin" filled="f" stroked="f">
            <v:textbox inset="0,0,0,0">
              <w:txbxContent>
                <w:p w:rsidR="007D6B4D" w:rsidRDefault="007D6B4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40320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270209   270209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618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7C31E1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171DB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171DB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171D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71DB7">
              <w:rPr>
                <w:sz w:val="22"/>
                <w:lang w:val="en-US"/>
              </w:rPr>
              <w:instrText xml:space="preserve">" \* MERGEFORMAT </w:instrText>
            </w:r>
            <w:r w:rsidR="00171DB7">
              <w:rPr>
                <w:sz w:val="22"/>
              </w:rPr>
              <w:fldChar w:fldCharType="separate"/>
            </w:r>
            <w:r w:rsidR="00171DB7" w:rsidRPr="00171DB7">
              <w:rPr>
                <w:sz w:val="22"/>
                <w:lang w:val="en-US"/>
              </w:rPr>
              <w:t>CAT/C/HKG/CO/4</w:t>
            </w:r>
            <w:r>
              <w:rPr>
                <w:sz w:val="22"/>
              </w:rPr>
              <w:fldChar w:fldCharType="end"/>
            </w:r>
          </w:p>
          <w:p w:rsidR="004D5A73" w:rsidRPr="00171DB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171DB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171DB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71DB7">
              <w:rPr>
                <w:sz w:val="22"/>
                <w:lang w:val="en-US"/>
              </w:rPr>
              <w:instrText xml:space="preserve">" \* MERGEFORMAT </w:instrText>
            </w:r>
            <w:r w:rsidR="00171DB7">
              <w:rPr>
                <w:sz w:val="22"/>
              </w:rPr>
              <w:fldChar w:fldCharType="separate"/>
            </w:r>
            <w:r w:rsidR="00171DB7" w:rsidRPr="00171DB7">
              <w:rPr>
                <w:sz w:val="22"/>
                <w:lang w:val="en-US"/>
              </w:rPr>
              <w:t>19 January 2009</w:t>
            </w:r>
            <w:r>
              <w:rPr>
                <w:sz w:val="22"/>
              </w:rPr>
              <w:fldChar w:fldCharType="end"/>
            </w:r>
          </w:p>
          <w:p w:rsidR="004D5A73" w:rsidRPr="00171DB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71DB7" w:rsidRDefault="00171DB7" w:rsidP="00171DB7">
      <w:r>
        <w:t>КОМИТЕТ ПРОТИВ ПЫТОК</w:t>
      </w:r>
    </w:p>
    <w:p w:rsidR="00171DB7" w:rsidRDefault="00171DB7" w:rsidP="00171DB7"/>
    <w:p w:rsidR="00171DB7" w:rsidRDefault="00171DB7" w:rsidP="00171DB7">
      <w:r>
        <w:t>Сорок первая сессия</w:t>
      </w:r>
    </w:p>
    <w:p w:rsidR="00171DB7" w:rsidRDefault="00171DB7" w:rsidP="00171DB7">
      <w:r>
        <w:t>Женева, 3-21 ноября 2008 года</w:t>
      </w:r>
    </w:p>
    <w:p w:rsidR="00171DB7" w:rsidRDefault="00171DB7" w:rsidP="00171DB7">
      <w:pPr>
        <w:rPr>
          <w:lang w:val="en-US"/>
        </w:rPr>
      </w:pPr>
    </w:p>
    <w:p w:rsidR="00171DB7" w:rsidRDefault="00171DB7" w:rsidP="00171DB7">
      <w:pPr>
        <w:rPr>
          <w:lang w:val="en-US"/>
        </w:rPr>
      </w:pPr>
    </w:p>
    <w:p w:rsidR="00171DB7" w:rsidRPr="00171DB7" w:rsidRDefault="00171DB7" w:rsidP="00171DB7">
      <w:pPr>
        <w:rPr>
          <w:lang w:val="en-US"/>
        </w:rPr>
      </w:pPr>
    </w:p>
    <w:p w:rsidR="00171DB7" w:rsidRDefault="00171DB7" w:rsidP="00171DB7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171DB7" w:rsidRDefault="00171DB7" w:rsidP="00171DB7">
      <w:pPr>
        <w:jc w:val="center"/>
        <w:rPr>
          <w:b/>
        </w:rPr>
      </w:pPr>
    </w:p>
    <w:p w:rsidR="00171DB7" w:rsidRDefault="00171DB7" w:rsidP="00171DB7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171DB7" w:rsidRDefault="00171DB7" w:rsidP="00171DB7">
      <w:pPr>
        <w:jc w:val="center"/>
        <w:rPr>
          <w:b/>
        </w:rPr>
      </w:pPr>
    </w:p>
    <w:p w:rsidR="00171DB7" w:rsidRDefault="00171DB7" w:rsidP="00171DB7">
      <w:pPr>
        <w:jc w:val="center"/>
        <w:rPr>
          <w:b/>
        </w:rPr>
      </w:pPr>
      <w:r>
        <w:rPr>
          <w:b/>
        </w:rPr>
        <w:t>СПЕЦИАЛЬНЫЙ АДМИНИСТРАТИВНЫЙ РАЙОН ГОНКОНГ</w:t>
      </w:r>
    </w:p>
    <w:p w:rsidR="00171DB7" w:rsidRDefault="00171DB7" w:rsidP="00171DB7">
      <w:pPr>
        <w:jc w:val="center"/>
        <w:rPr>
          <w:b/>
        </w:rPr>
      </w:pPr>
    </w:p>
    <w:p w:rsidR="00171DB7" w:rsidRDefault="00171DB7" w:rsidP="00171DB7">
      <w:r w:rsidRPr="0018038B">
        <w:t>1.</w:t>
      </w:r>
      <w:r w:rsidRPr="0018038B">
        <w:tab/>
      </w:r>
      <w:r>
        <w:t>Комитет</w:t>
      </w:r>
      <w:r w:rsidRPr="0018038B">
        <w:t xml:space="preserve"> </w:t>
      </w:r>
      <w:r>
        <w:t>против</w:t>
      </w:r>
      <w:r w:rsidRPr="0018038B">
        <w:t xml:space="preserve"> </w:t>
      </w:r>
      <w:r>
        <w:t>пыток</w:t>
      </w:r>
      <w:r w:rsidRPr="0018038B">
        <w:t xml:space="preserve"> </w:t>
      </w:r>
      <w:r>
        <w:t>рассмотрел</w:t>
      </w:r>
      <w:r w:rsidRPr="0018038B">
        <w:t xml:space="preserve"> </w:t>
      </w:r>
      <w:r>
        <w:t>на</w:t>
      </w:r>
      <w:r w:rsidRPr="0018038B">
        <w:t xml:space="preserve"> </w:t>
      </w:r>
      <w:r>
        <w:t>своих</w:t>
      </w:r>
      <w:r w:rsidRPr="0018038B">
        <w:t xml:space="preserve"> 844-</w:t>
      </w:r>
      <w:r>
        <w:t>м</w:t>
      </w:r>
      <w:r w:rsidRPr="0018038B">
        <w:t xml:space="preserve"> </w:t>
      </w:r>
      <w:r>
        <w:t>и</w:t>
      </w:r>
      <w:r w:rsidRPr="0018038B">
        <w:t xml:space="preserve"> 846-</w:t>
      </w:r>
      <w:r>
        <w:t>м</w:t>
      </w:r>
      <w:r w:rsidRPr="0018038B">
        <w:t xml:space="preserve"> </w:t>
      </w:r>
      <w:r>
        <w:t>заседаниях</w:t>
      </w:r>
      <w:r w:rsidRPr="0018038B">
        <w:t xml:space="preserve"> (</w:t>
      </w:r>
      <w:r>
        <w:rPr>
          <w:lang w:val="en-US"/>
        </w:rPr>
        <w:t>CAT</w:t>
      </w:r>
      <w:r w:rsidRPr="0018038B">
        <w:t>/</w:t>
      </w:r>
      <w:r>
        <w:rPr>
          <w:lang w:val="en-US"/>
        </w:rPr>
        <w:t>C</w:t>
      </w:r>
      <w:r w:rsidRPr="0018038B">
        <w:t>/</w:t>
      </w:r>
      <w:r>
        <w:rPr>
          <w:lang w:val="en-US"/>
        </w:rPr>
        <w:t>SR</w:t>
      </w:r>
      <w:r w:rsidRPr="0018038B">
        <w:t xml:space="preserve">.844 </w:t>
      </w:r>
      <w:r>
        <w:t>и</w:t>
      </w:r>
      <w:r w:rsidRPr="0018038B">
        <w:t xml:space="preserve"> 846)</w:t>
      </w:r>
      <w:r w:rsidR="003C6CB8">
        <w:t xml:space="preserve">, состоявшихся 7 и 10 </w:t>
      </w:r>
      <w:r>
        <w:t>ноября 2008 года, доклад Специального административного района Гонконг (САРГ), который входит в качестве составной части в</w:t>
      </w:r>
      <w:r w:rsidR="002D75CD">
        <w:rPr>
          <w:lang w:val="en-US"/>
        </w:rPr>
        <w:t> </w:t>
      </w:r>
      <w:r>
        <w:t xml:space="preserve">четвертый периодический доклад Китая </w:t>
      </w:r>
      <w:r w:rsidRPr="0018038B">
        <w:t>(</w:t>
      </w:r>
      <w:r>
        <w:rPr>
          <w:lang w:val="en-US"/>
        </w:rPr>
        <w:t>CAT</w:t>
      </w:r>
      <w:r w:rsidRPr="0018038B">
        <w:t>/</w:t>
      </w:r>
      <w:r>
        <w:rPr>
          <w:lang w:val="en-US"/>
        </w:rPr>
        <w:t>C</w:t>
      </w:r>
      <w:r w:rsidRPr="0018038B">
        <w:t>/</w:t>
      </w:r>
      <w:r>
        <w:rPr>
          <w:lang w:val="en-US"/>
        </w:rPr>
        <w:t>HKG</w:t>
      </w:r>
      <w:r w:rsidRPr="0018038B">
        <w:t xml:space="preserve">/4). </w:t>
      </w:r>
      <w:r>
        <w:t xml:space="preserve"> На</w:t>
      </w:r>
      <w:r w:rsidRPr="005E7DE8">
        <w:t xml:space="preserve"> </w:t>
      </w:r>
      <w:r>
        <w:t>своем</w:t>
      </w:r>
      <w:r w:rsidRPr="005E7DE8">
        <w:t xml:space="preserve"> 864-</w:t>
      </w:r>
      <w:r>
        <w:t>м</w:t>
      </w:r>
      <w:r w:rsidRPr="005E7DE8">
        <w:t xml:space="preserve"> </w:t>
      </w:r>
      <w:r>
        <w:t>заседании</w:t>
      </w:r>
      <w:r w:rsidRPr="005E7DE8">
        <w:t xml:space="preserve"> (</w:t>
      </w:r>
      <w:r>
        <w:rPr>
          <w:lang w:val="en-US"/>
        </w:rPr>
        <w:t>CAT</w:t>
      </w:r>
      <w:r w:rsidRPr="005E7DE8">
        <w:t>/</w:t>
      </w:r>
      <w:r>
        <w:rPr>
          <w:lang w:val="en-US"/>
        </w:rPr>
        <w:t>C</w:t>
      </w:r>
      <w:r w:rsidRPr="005E7DE8">
        <w:t>/</w:t>
      </w:r>
      <w:r>
        <w:rPr>
          <w:lang w:val="en-US"/>
        </w:rPr>
        <w:t>SR</w:t>
      </w:r>
      <w:r w:rsidRPr="005E7DE8">
        <w:t>.864)</w:t>
      </w:r>
      <w:r>
        <w:t>, состоявшемся 21 ноября 2008 года, он принял следующие заключительные замечания</w:t>
      </w:r>
      <w:r w:rsidRPr="005E7DE8">
        <w:t xml:space="preserve">: </w:t>
      </w:r>
    </w:p>
    <w:p w:rsidR="00171DB7" w:rsidRDefault="00171DB7" w:rsidP="00171DB7"/>
    <w:p w:rsidR="00171DB7" w:rsidRDefault="00171DB7" w:rsidP="00171DB7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171DB7" w:rsidRDefault="00171DB7" w:rsidP="00171DB7">
      <w:pPr>
        <w:jc w:val="center"/>
        <w:rPr>
          <w:b/>
        </w:rPr>
      </w:pPr>
    </w:p>
    <w:p w:rsidR="00171DB7" w:rsidRDefault="00171DB7" w:rsidP="00171DB7">
      <w:pPr>
        <w:rPr>
          <w:szCs w:val="23"/>
        </w:rPr>
      </w:pPr>
      <w:r w:rsidRPr="005E7DE8">
        <w:t>2.</w:t>
      </w:r>
      <w:r w:rsidRPr="005E7DE8">
        <w:tab/>
      </w:r>
      <w:r>
        <w:t>Комитет приветствует представление доклада САРГ, который входит в качестве составной части в четвертый периодический доклад Китая, а также составленные в письменном виде ответы на перечень вопросов</w:t>
      </w:r>
      <w:r w:rsidRPr="005E7DE8">
        <w:t xml:space="preserve"> (</w:t>
      </w:r>
      <w:r>
        <w:rPr>
          <w:lang w:val="en-US"/>
        </w:rPr>
        <w:t>CAT</w:t>
      </w:r>
      <w:r w:rsidRPr="005E7DE8">
        <w:t>/</w:t>
      </w:r>
      <w:r>
        <w:rPr>
          <w:lang w:val="en-US"/>
        </w:rPr>
        <w:t>C</w:t>
      </w:r>
      <w:r w:rsidRPr="005E7DE8">
        <w:t>/</w:t>
      </w:r>
      <w:r>
        <w:rPr>
          <w:lang w:val="en-US"/>
        </w:rPr>
        <w:t>HKG</w:t>
      </w:r>
      <w:r w:rsidRPr="005E7DE8">
        <w:t>/</w:t>
      </w:r>
      <w:r>
        <w:rPr>
          <w:lang w:val="en-US"/>
        </w:rPr>
        <w:t>Q</w:t>
      </w:r>
      <w:r w:rsidRPr="005E7DE8">
        <w:t>/4/</w:t>
      </w:r>
      <w:r>
        <w:rPr>
          <w:lang w:val="en-US"/>
        </w:rPr>
        <w:t>Add</w:t>
      </w:r>
      <w:r>
        <w:t>.1), в которых приводится дополнительная информация о принятых законодательных, административных, судебных и иных мерах по выполнению Конвенции</w:t>
      </w:r>
      <w:r w:rsidRPr="005E7DE8">
        <w:rPr>
          <w:szCs w:val="23"/>
        </w:rPr>
        <w:t>.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jc w:val="center"/>
        <w:rPr>
          <w:b/>
          <w:szCs w:val="23"/>
        </w:rPr>
      </w:pPr>
      <w:r>
        <w:rPr>
          <w:b/>
          <w:szCs w:val="23"/>
        </w:rPr>
        <w:br w:type="page"/>
        <w:t>В</w:t>
      </w:r>
      <w:r w:rsidRPr="00171DB7">
        <w:rPr>
          <w:b/>
          <w:szCs w:val="23"/>
        </w:rPr>
        <w:t>.</w:t>
      </w:r>
      <w:r w:rsidRPr="00171DB7">
        <w:rPr>
          <w:b/>
          <w:szCs w:val="23"/>
        </w:rPr>
        <w:tab/>
      </w:r>
      <w:r>
        <w:rPr>
          <w:b/>
          <w:szCs w:val="23"/>
        </w:rPr>
        <w:t>Позитивные аспекты</w:t>
      </w:r>
    </w:p>
    <w:p w:rsidR="00171DB7" w:rsidRDefault="00171DB7" w:rsidP="00171DB7">
      <w:pPr>
        <w:jc w:val="center"/>
        <w:rPr>
          <w:b/>
          <w:szCs w:val="23"/>
        </w:rPr>
      </w:pPr>
    </w:p>
    <w:p w:rsidR="00171DB7" w:rsidRDefault="00171DB7" w:rsidP="00171DB7">
      <w:pPr>
        <w:rPr>
          <w:szCs w:val="23"/>
        </w:rPr>
      </w:pPr>
      <w:r w:rsidRPr="00171DB7">
        <w:rPr>
          <w:szCs w:val="23"/>
        </w:rPr>
        <w:t>3.</w:t>
      </w:r>
      <w:r w:rsidRPr="00171DB7">
        <w:rPr>
          <w:szCs w:val="23"/>
        </w:rPr>
        <w:tab/>
      </w:r>
      <w:r>
        <w:rPr>
          <w:szCs w:val="23"/>
        </w:rPr>
        <w:t>Комитет приветствует: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ab/>
        <w:t>а)</w:t>
      </w:r>
      <w:r>
        <w:rPr>
          <w:szCs w:val="23"/>
        </w:rPr>
        <w:tab/>
        <w:t>Указ о Билле о правах (гл. 383), которым положения Международного пакта о</w:t>
      </w:r>
      <w:r w:rsidR="002D75CD">
        <w:rPr>
          <w:szCs w:val="23"/>
          <w:lang w:val="en-US"/>
        </w:rPr>
        <w:t> </w:t>
      </w:r>
      <w:r>
        <w:rPr>
          <w:szCs w:val="23"/>
        </w:rPr>
        <w:t>гражданских и политических правах перенесены в законодательство САРГ;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ab/>
      </w:r>
      <w:r>
        <w:rPr>
          <w:szCs w:val="23"/>
          <w:lang w:val="en-US"/>
        </w:rPr>
        <w:t>b</w:t>
      </w:r>
      <w:r>
        <w:rPr>
          <w:szCs w:val="23"/>
        </w:rPr>
        <w:t>)</w:t>
      </w:r>
      <w:r>
        <w:rPr>
          <w:szCs w:val="23"/>
        </w:rPr>
        <w:tab/>
        <w:t xml:space="preserve">принятие 12 июля </w:t>
      </w:r>
      <w:r w:rsidRPr="00D72376">
        <w:rPr>
          <w:szCs w:val="23"/>
        </w:rPr>
        <w:t>2008 года</w:t>
      </w:r>
      <w:r>
        <w:rPr>
          <w:szCs w:val="23"/>
        </w:rPr>
        <w:t xml:space="preserve"> Указа о Совете по рассмотрению жалоб на действия полиции, в котором предусматривается, что Совет приступит к работе в качестве официального органа в 2009 году;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ab/>
        <w:t>с)</w:t>
      </w:r>
      <w:r>
        <w:rPr>
          <w:szCs w:val="23"/>
        </w:rPr>
        <w:tab/>
        <w:t xml:space="preserve">принятие и начало применения полицией с 1 июля </w:t>
      </w:r>
      <w:r w:rsidRPr="00F24DDA">
        <w:rPr>
          <w:szCs w:val="23"/>
        </w:rPr>
        <w:t>2008 года</w:t>
      </w:r>
      <w:r>
        <w:rPr>
          <w:szCs w:val="23"/>
        </w:rPr>
        <w:t xml:space="preserve"> нового Руководства по проведению досмотра задержанных лиц с целью обеспечить уважение интимной сферы и достоинства личности;  и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ab/>
      </w:r>
      <w:r>
        <w:rPr>
          <w:szCs w:val="23"/>
          <w:lang w:val="en-US"/>
        </w:rPr>
        <w:t>d</w:t>
      </w:r>
      <w:r>
        <w:rPr>
          <w:szCs w:val="23"/>
        </w:rPr>
        <w:t>)</w:t>
      </w:r>
      <w:r>
        <w:rPr>
          <w:szCs w:val="23"/>
        </w:rPr>
        <w:tab/>
        <w:t xml:space="preserve">меры, направленные против бытового насилия, в том числе укрепление служб, призванных оказывать помощь жертвам, а также принятие в июне </w:t>
      </w:r>
      <w:r w:rsidRPr="00127F15">
        <w:rPr>
          <w:szCs w:val="23"/>
        </w:rPr>
        <w:t>2008 года</w:t>
      </w:r>
      <w:r>
        <w:rPr>
          <w:szCs w:val="23"/>
        </w:rPr>
        <w:t xml:space="preserve"> Закона о бытовом насилии (поправки).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>4.</w:t>
      </w:r>
      <w:r>
        <w:rPr>
          <w:szCs w:val="23"/>
        </w:rPr>
        <w:tab/>
        <w:t xml:space="preserve">Комитет отмечает, что САРГ принимает необходимые меры по выполнению положений Факультативного протокола, касающегося торговли детьми, детской проституции и детской порнографии, с целью распространить его действие на САРГ.  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jc w:val="center"/>
        <w:rPr>
          <w:b/>
          <w:szCs w:val="23"/>
        </w:rPr>
      </w:pPr>
      <w:r>
        <w:rPr>
          <w:b/>
          <w:szCs w:val="23"/>
        </w:rPr>
        <w:t>С.</w:t>
      </w:r>
      <w:r>
        <w:rPr>
          <w:b/>
          <w:szCs w:val="23"/>
        </w:rPr>
        <w:tab/>
        <w:t>Основные проблемы, вызывающие озабоченность, и рекомендации</w:t>
      </w:r>
    </w:p>
    <w:p w:rsidR="00171DB7" w:rsidRDefault="00171DB7" w:rsidP="00171DB7">
      <w:pPr>
        <w:jc w:val="center"/>
        <w:rPr>
          <w:b/>
          <w:szCs w:val="23"/>
        </w:rPr>
      </w:pPr>
    </w:p>
    <w:p w:rsidR="00171DB7" w:rsidRDefault="00171DB7" w:rsidP="00171DB7">
      <w:pPr>
        <w:rPr>
          <w:b/>
          <w:szCs w:val="23"/>
        </w:rPr>
      </w:pPr>
      <w:r>
        <w:rPr>
          <w:b/>
          <w:szCs w:val="23"/>
        </w:rPr>
        <w:t>Определение пыток</w:t>
      </w:r>
    </w:p>
    <w:p w:rsidR="00171DB7" w:rsidRDefault="00171DB7" w:rsidP="00171DB7">
      <w:pPr>
        <w:rPr>
          <w:b/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>5.</w:t>
      </w:r>
      <w:r>
        <w:rPr>
          <w:szCs w:val="23"/>
        </w:rPr>
        <w:tab/>
        <w:t xml:space="preserve">Комитет принимает во внимание приведенное САРГ пояснение, согласно которому термин "государственный служащий", фигурирующий в статье 2 (1) Указа о преступлениях (пытках), по своему охвату ограничивается теми специалистами, которые обычно имеют отношение к содержанию под стражей или обращению с лицами, лишенными свободы.  Вместе с тем Комитет подтверждает выраженную в предыдущих заключительных замечаниях озабоченность тем, что нынешняя редакция статьи 2 (1) Указа о преступлениях (пытках) является чрезмерно ограничительной и в реальной жизни может создавать лазейки, препятствующие эффективному преследованию виновных в пытках.  </w:t>
      </w:r>
    </w:p>
    <w:p w:rsidR="00171DB7" w:rsidRDefault="00171DB7" w:rsidP="00171DB7">
      <w:pPr>
        <w:rPr>
          <w:szCs w:val="23"/>
        </w:rPr>
      </w:pPr>
    </w:p>
    <w:p w:rsidR="00171DB7" w:rsidRDefault="00171DB7" w:rsidP="007B5B2B">
      <w:pPr>
        <w:keepLines/>
        <w:ind w:left="561"/>
        <w:rPr>
          <w:b/>
          <w:szCs w:val="23"/>
        </w:rPr>
      </w:pPr>
      <w:r>
        <w:rPr>
          <w:szCs w:val="23"/>
        </w:rPr>
        <w:tab/>
      </w:r>
      <w:r>
        <w:rPr>
          <w:b/>
          <w:szCs w:val="23"/>
        </w:rPr>
        <w:t>САРГ следует рассмотреть вопрос о включении в определение пыток более широкого определения термина "государственный служащий", с тем чтобы однозначно подвести под него все действия, совершаемые любыми государственными служащими или иными лицами, действующими в официальном качестве, либо при их подстрекательстве, согласии или попустительстве.  Комитет далее рекомендует САРГ обеспечить включение в</w:t>
      </w:r>
      <w:r w:rsidR="002D75CD">
        <w:rPr>
          <w:b/>
          <w:szCs w:val="23"/>
          <w:lang w:val="en-US"/>
        </w:rPr>
        <w:t> </w:t>
      </w:r>
      <w:r>
        <w:rPr>
          <w:b/>
          <w:szCs w:val="23"/>
        </w:rPr>
        <w:t>определение всех элементов, содержащихся в статье 1, в том числе относительно дискриминации любого характера.</w:t>
      </w:r>
    </w:p>
    <w:p w:rsidR="00171DB7" w:rsidRDefault="00171DB7" w:rsidP="00171DB7">
      <w:pPr>
        <w:ind w:left="561"/>
        <w:rPr>
          <w:b/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>6.</w:t>
      </w:r>
      <w:r>
        <w:rPr>
          <w:szCs w:val="23"/>
        </w:rPr>
        <w:tab/>
        <w:t>Комитет принимает к сведению изложенный САРГ тезис о том, что предусмотренная в статье 3 (4) Указа о преступлениях (пытках) возможность ссылаться в свою защиту на "законные полномочия, основания или оправдания" служит не более чем для придания правовой силы второй фразе пункта 1 статьи 1 Конвенции.  Вместе с тем Комитет, подтверждая свою озабоченность, высказанную в предыдущих заключительных замечаниях, подчеркивает, что Конвенция не дает оснований ни для каких оправданий в отношении актов пыток.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ind w:left="561"/>
        <w:rPr>
          <w:b/>
          <w:szCs w:val="23"/>
        </w:rPr>
      </w:pPr>
      <w:r>
        <w:rPr>
          <w:szCs w:val="23"/>
        </w:rPr>
        <w:tab/>
      </w:r>
      <w:r>
        <w:rPr>
          <w:b/>
          <w:szCs w:val="23"/>
        </w:rPr>
        <w:t xml:space="preserve">САРГ следует рассмотреть вопрос об изъятии тех средств защиты, которые указаны в статье 3 (4) Указа о преступлениях (пытках).  Для этого государству-участнику следует, например, перенести статью 1 Конвенции в свой Основной закон, как было сделано в отношении статьи 7 Международного пакта о гражданских и политических правах.  </w:t>
      </w:r>
    </w:p>
    <w:p w:rsidR="00171DB7" w:rsidRDefault="00171DB7" w:rsidP="00171DB7">
      <w:pPr>
        <w:ind w:left="561"/>
        <w:rPr>
          <w:b/>
          <w:szCs w:val="23"/>
        </w:rPr>
      </w:pPr>
    </w:p>
    <w:p w:rsidR="00171DB7" w:rsidRDefault="00171DB7" w:rsidP="00171DB7">
      <w:pPr>
        <w:rPr>
          <w:b/>
          <w:szCs w:val="23"/>
        </w:rPr>
      </w:pPr>
      <w:r>
        <w:rPr>
          <w:b/>
          <w:szCs w:val="23"/>
        </w:rPr>
        <w:t xml:space="preserve">Беженцы и недопустимость возвращения в страну, где существует </w:t>
      </w:r>
      <w:r w:rsidR="00A65457">
        <w:rPr>
          <w:b/>
          <w:szCs w:val="23"/>
        </w:rPr>
        <w:br/>
      </w:r>
      <w:r>
        <w:rPr>
          <w:b/>
          <w:szCs w:val="23"/>
        </w:rPr>
        <w:t>угроза пыток</w:t>
      </w:r>
    </w:p>
    <w:p w:rsidR="00171DB7" w:rsidRDefault="00171DB7" w:rsidP="00171DB7">
      <w:pPr>
        <w:rPr>
          <w:b/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>7.</w:t>
      </w:r>
      <w:r>
        <w:rPr>
          <w:szCs w:val="23"/>
        </w:rPr>
        <w:tab/>
        <w:t xml:space="preserve">Комитет положительно оценивает сотрудничество властей САРГ с УВКБ в интересах соблюдения принципа невысылки и защиты беженцев и лиц, ищущих убежище;  вместе с тем он </w:t>
      </w:r>
      <w:r w:rsidRPr="00030082">
        <w:rPr>
          <w:szCs w:val="23"/>
        </w:rPr>
        <w:t>по</w:t>
      </w:r>
      <w:r w:rsidRPr="00030082">
        <w:rPr>
          <w:szCs w:val="23"/>
        </w:rPr>
        <w:noBreakHyphen/>
        <w:t>прежнему</w:t>
      </w:r>
      <w:r>
        <w:rPr>
          <w:szCs w:val="23"/>
        </w:rPr>
        <w:t xml:space="preserve"> обеспокоен отсутствием правового режима, регулирующего предоставление убежища и предусматривающего справедливый и </w:t>
      </w:r>
      <w:r w:rsidR="00A65457">
        <w:rPr>
          <w:szCs w:val="23"/>
        </w:rPr>
        <w:t xml:space="preserve">действенный </w:t>
      </w:r>
      <w:r>
        <w:rPr>
          <w:szCs w:val="23"/>
        </w:rPr>
        <w:t>порядок определения статуса беженца.  Комитет обеспокоен также отсутствием планов по распространению на САРГ Конвенции Организации Объединенных Наций 1951 года о статусе беженцев и Протокола 1967 года к ней.</w:t>
      </w:r>
    </w:p>
    <w:p w:rsidR="00171DB7" w:rsidRDefault="00171DB7" w:rsidP="00171DB7">
      <w:pPr>
        <w:rPr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szCs w:val="23"/>
        </w:rPr>
        <w:tab/>
      </w:r>
      <w:r>
        <w:rPr>
          <w:b/>
          <w:szCs w:val="23"/>
        </w:rPr>
        <w:t>САРГ следует:</w:t>
      </w:r>
    </w:p>
    <w:p w:rsidR="00171DB7" w:rsidRDefault="00171DB7" w:rsidP="00A65457">
      <w:pPr>
        <w:ind w:left="567"/>
        <w:rPr>
          <w:b/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b/>
          <w:szCs w:val="23"/>
        </w:rPr>
        <w:tab/>
        <w:t>а)</w:t>
      </w:r>
      <w:r>
        <w:rPr>
          <w:b/>
          <w:szCs w:val="23"/>
        </w:rPr>
        <w:tab/>
        <w:t>перенести в Указ о преступлениях (пытках) положения статьи 3 Конвенции;</w:t>
      </w:r>
    </w:p>
    <w:p w:rsidR="00171DB7" w:rsidRDefault="00171DB7" w:rsidP="00A65457">
      <w:pPr>
        <w:ind w:left="567"/>
        <w:rPr>
          <w:b/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b/>
          <w:szCs w:val="23"/>
        </w:rPr>
        <w:tab/>
      </w:r>
      <w:r>
        <w:rPr>
          <w:b/>
          <w:szCs w:val="23"/>
          <w:lang w:val="en-US"/>
        </w:rPr>
        <w:t>b</w:t>
      </w:r>
      <w:r>
        <w:rPr>
          <w:b/>
          <w:szCs w:val="23"/>
        </w:rPr>
        <w:t>)</w:t>
      </w:r>
      <w:r>
        <w:rPr>
          <w:b/>
          <w:szCs w:val="23"/>
        </w:rPr>
        <w:tab/>
        <w:t>рассмотреть вопрос о введении правового режима предоставления убежища, который предусматривал бы всестороннюю и эффективную процедуру</w:t>
      </w:r>
      <w:r w:rsidR="00A65457">
        <w:rPr>
          <w:b/>
          <w:szCs w:val="23"/>
        </w:rPr>
        <w:t xml:space="preserve">, гарантирующую </w:t>
      </w:r>
      <w:r>
        <w:rPr>
          <w:b/>
          <w:szCs w:val="23"/>
        </w:rPr>
        <w:t>тщательно</w:t>
      </w:r>
      <w:r w:rsidR="00A65457">
        <w:rPr>
          <w:b/>
          <w:szCs w:val="23"/>
        </w:rPr>
        <w:t>е рассмотрение</w:t>
      </w:r>
      <w:r>
        <w:rPr>
          <w:b/>
          <w:szCs w:val="23"/>
        </w:rPr>
        <w:t xml:space="preserve"> существа дела в каждом отдельном случае, когда речь идет о применимости обязательств, вытекающих из статьи 3 Конвенции;</w:t>
      </w:r>
    </w:p>
    <w:p w:rsidR="00171DB7" w:rsidRDefault="00171DB7" w:rsidP="00A65457">
      <w:pPr>
        <w:ind w:left="567"/>
        <w:rPr>
          <w:b/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b/>
          <w:szCs w:val="23"/>
        </w:rPr>
        <w:tab/>
        <w:t>с)</w:t>
      </w:r>
      <w:r>
        <w:rPr>
          <w:b/>
          <w:szCs w:val="23"/>
        </w:rPr>
        <w:tab/>
        <w:t>обеспечить наличие адекватных механизмов рассмотрения решений, принимаемых по каждому делу, касающемуся выдворения, высылки или экстрадиции;</w:t>
      </w:r>
    </w:p>
    <w:p w:rsidR="00171DB7" w:rsidRDefault="00171DB7" w:rsidP="00A65457">
      <w:pPr>
        <w:ind w:left="567"/>
        <w:rPr>
          <w:b/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b/>
          <w:szCs w:val="23"/>
        </w:rPr>
        <w:tab/>
      </w:r>
      <w:r>
        <w:rPr>
          <w:b/>
          <w:szCs w:val="23"/>
          <w:lang w:val="en-US"/>
        </w:rPr>
        <w:t>d</w:t>
      </w:r>
      <w:r>
        <w:rPr>
          <w:b/>
          <w:szCs w:val="23"/>
        </w:rPr>
        <w:t>)</w:t>
      </w:r>
      <w:r>
        <w:rPr>
          <w:b/>
          <w:szCs w:val="23"/>
        </w:rPr>
        <w:tab/>
        <w:t>обеспечить более надежную защиту, включая возвращение к нормальной жизни и социальную реинтеграцию жертв торговли людьми, особенно женщин и детей, к которым следует относиться как к жертвам, а не преступникам;</w:t>
      </w:r>
    </w:p>
    <w:p w:rsidR="00171DB7" w:rsidRDefault="00171DB7" w:rsidP="00A65457">
      <w:pPr>
        <w:ind w:left="567"/>
        <w:rPr>
          <w:b/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b/>
          <w:szCs w:val="23"/>
        </w:rPr>
        <w:tab/>
      </w:r>
      <w:r w:rsidRPr="006450DF">
        <w:rPr>
          <w:b/>
          <w:szCs w:val="23"/>
        </w:rPr>
        <w:t>е)</w:t>
      </w:r>
      <w:r w:rsidRPr="006450DF">
        <w:rPr>
          <w:b/>
          <w:szCs w:val="23"/>
        </w:rPr>
        <w:tab/>
        <w:t xml:space="preserve">обеспечить принятие эффективных мер контроля за положением </w:t>
      </w:r>
      <w:r>
        <w:rPr>
          <w:b/>
          <w:szCs w:val="23"/>
        </w:rPr>
        <w:t>возвращенных лиц после их возвращения;  и</w:t>
      </w:r>
    </w:p>
    <w:p w:rsidR="00171DB7" w:rsidRDefault="00171DB7" w:rsidP="00A65457">
      <w:pPr>
        <w:ind w:left="567"/>
        <w:rPr>
          <w:b/>
          <w:szCs w:val="23"/>
        </w:rPr>
      </w:pPr>
    </w:p>
    <w:p w:rsidR="00171DB7" w:rsidRDefault="00171DB7" w:rsidP="00A65457">
      <w:pPr>
        <w:ind w:left="567"/>
        <w:rPr>
          <w:b/>
          <w:szCs w:val="23"/>
        </w:rPr>
      </w:pPr>
      <w:r>
        <w:rPr>
          <w:b/>
          <w:szCs w:val="23"/>
        </w:rPr>
        <w:tab/>
      </w:r>
      <w:r>
        <w:rPr>
          <w:b/>
          <w:szCs w:val="23"/>
          <w:lang w:val="en-US"/>
        </w:rPr>
        <w:t>f</w:t>
      </w:r>
      <w:r>
        <w:rPr>
          <w:b/>
          <w:szCs w:val="23"/>
        </w:rPr>
        <w:t>)</w:t>
      </w:r>
      <w:r>
        <w:rPr>
          <w:b/>
          <w:szCs w:val="23"/>
        </w:rPr>
        <w:tab/>
        <w:t xml:space="preserve">рассмотреть вопрос о распространении </w:t>
      </w:r>
      <w:r w:rsidR="00A65457">
        <w:rPr>
          <w:b/>
          <w:szCs w:val="23"/>
        </w:rPr>
        <w:t xml:space="preserve">на Гонконг </w:t>
      </w:r>
      <w:r>
        <w:rPr>
          <w:b/>
          <w:szCs w:val="23"/>
        </w:rPr>
        <w:t xml:space="preserve">действия Конвенции 1951 года о беженцах и </w:t>
      </w:r>
      <w:r w:rsidR="00A65457">
        <w:rPr>
          <w:b/>
          <w:szCs w:val="23"/>
        </w:rPr>
        <w:t xml:space="preserve">Протокола </w:t>
      </w:r>
      <w:r>
        <w:rPr>
          <w:b/>
          <w:szCs w:val="23"/>
        </w:rPr>
        <w:t>1967 года к ней.</w:t>
      </w:r>
    </w:p>
    <w:p w:rsidR="00171DB7" w:rsidRDefault="00171DB7" w:rsidP="00171DB7">
      <w:pPr>
        <w:rPr>
          <w:b/>
          <w:szCs w:val="23"/>
        </w:rPr>
      </w:pPr>
    </w:p>
    <w:p w:rsidR="00171DB7" w:rsidRDefault="00171DB7" w:rsidP="00171DB7">
      <w:pPr>
        <w:rPr>
          <w:b/>
          <w:szCs w:val="23"/>
        </w:rPr>
      </w:pPr>
      <w:r>
        <w:rPr>
          <w:b/>
          <w:szCs w:val="23"/>
        </w:rPr>
        <w:t>Передача беглых преступников/осужденных лиц</w:t>
      </w:r>
    </w:p>
    <w:p w:rsidR="00171DB7" w:rsidRDefault="00171DB7" w:rsidP="00171DB7">
      <w:pPr>
        <w:rPr>
          <w:b/>
          <w:szCs w:val="23"/>
        </w:rPr>
      </w:pPr>
    </w:p>
    <w:p w:rsidR="00171DB7" w:rsidRDefault="00171DB7" w:rsidP="00171DB7">
      <w:pPr>
        <w:rPr>
          <w:szCs w:val="23"/>
        </w:rPr>
      </w:pPr>
      <w:r>
        <w:rPr>
          <w:szCs w:val="23"/>
        </w:rPr>
        <w:t>8.</w:t>
      </w:r>
      <w:r>
        <w:rPr>
          <w:szCs w:val="23"/>
        </w:rPr>
        <w:tab/>
        <w:t>Комитет отмечает состоявшуюся между САРГ и континентальным Китаем дискуссию относительно режима передачи беглых п</w:t>
      </w:r>
      <w:r w:rsidR="003C6CB8">
        <w:rPr>
          <w:szCs w:val="23"/>
        </w:rPr>
        <w:t>реступников и осужденных лиц, а</w:t>
      </w:r>
      <w:r w:rsidR="003C6CB8">
        <w:rPr>
          <w:szCs w:val="23"/>
          <w:lang w:val="en-US"/>
        </w:rPr>
        <w:t> </w:t>
      </w:r>
      <w:r>
        <w:rPr>
          <w:szCs w:val="23"/>
        </w:rPr>
        <w:t xml:space="preserve">также включение в проект документа о таком режиме "гарантии невынесения смертного приговора".  </w:t>
      </w:r>
    </w:p>
    <w:p w:rsidR="00171DB7" w:rsidRDefault="00171DB7" w:rsidP="00171DB7">
      <w:pPr>
        <w:rPr>
          <w:szCs w:val="23"/>
        </w:rPr>
      </w:pPr>
    </w:p>
    <w:p w:rsidR="00171DB7" w:rsidRDefault="00171DB7" w:rsidP="00171DB7">
      <w:pPr>
        <w:ind w:left="561" w:hanging="561"/>
        <w:rPr>
          <w:b/>
          <w:szCs w:val="23"/>
        </w:rPr>
      </w:pPr>
      <w:r>
        <w:rPr>
          <w:szCs w:val="23"/>
        </w:rPr>
        <w:tab/>
      </w:r>
      <w:r>
        <w:rPr>
          <w:b/>
          <w:szCs w:val="23"/>
        </w:rPr>
        <w:t xml:space="preserve">Если при передаче беглых преступников/осужденных лиц применяется положение о </w:t>
      </w:r>
      <w:r w:rsidR="00A65457">
        <w:rPr>
          <w:b/>
          <w:szCs w:val="23"/>
        </w:rPr>
        <w:t>"</w:t>
      </w:r>
      <w:r>
        <w:rPr>
          <w:b/>
          <w:szCs w:val="23"/>
        </w:rPr>
        <w:t xml:space="preserve">гарантии невынесения смертного приговора", САРГ следует представить Комитету в своем следующем докладе сведения о числе случаев передачи или выдворения на условиях </w:t>
      </w:r>
      <w:r w:rsidR="003C6CB8">
        <w:rPr>
          <w:b/>
          <w:szCs w:val="23"/>
        </w:rPr>
        <w:t>гарантии за отчетный период;  о</w:t>
      </w:r>
      <w:r w:rsidR="003C6CB8">
        <w:rPr>
          <w:b/>
          <w:szCs w:val="23"/>
          <w:lang w:val="en-US"/>
        </w:rPr>
        <w:t> </w:t>
      </w:r>
      <w:r>
        <w:rPr>
          <w:b/>
          <w:szCs w:val="23"/>
        </w:rPr>
        <w:t xml:space="preserve">минимальных требованиях, </w:t>
      </w:r>
      <w:r w:rsidR="00A65457">
        <w:rPr>
          <w:b/>
          <w:szCs w:val="23"/>
        </w:rPr>
        <w:t xml:space="preserve">установленных </w:t>
      </w:r>
      <w:r>
        <w:rPr>
          <w:b/>
          <w:szCs w:val="23"/>
        </w:rPr>
        <w:t>САРГ в отношении таких гарантий;  о принятых САРГ мерах последующего контроля по таким случаям, а также об обеспеченности таких гарантий правовыми санкциями.</w:t>
      </w:r>
    </w:p>
    <w:p w:rsidR="00171DB7" w:rsidRDefault="00171DB7" w:rsidP="00171DB7">
      <w:pPr>
        <w:ind w:left="561" w:hanging="561"/>
        <w:rPr>
          <w:b/>
          <w:szCs w:val="23"/>
        </w:rPr>
      </w:pPr>
    </w:p>
    <w:p w:rsidR="00171DB7" w:rsidRDefault="00171DB7" w:rsidP="007B5B2B">
      <w:pPr>
        <w:keepNext/>
        <w:rPr>
          <w:b/>
          <w:szCs w:val="23"/>
        </w:rPr>
      </w:pPr>
      <w:r>
        <w:rPr>
          <w:b/>
          <w:szCs w:val="23"/>
        </w:rPr>
        <w:t>Подготовка кадров</w:t>
      </w:r>
    </w:p>
    <w:p w:rsidR="00171DB7" w:rsidRDefault="00171DB7" w:rsidP="007B5B2B">
      <w:pPr>
        <w:keepNext/>
        <w:rPr>
          <w:b/>
          <w:szCs w:val="23"/>
        </w:rPr>
      </w:pPr>
    </w:p>
    <w:p w:rsidR="00171DB7" w:rsidRDefault="00171DB7" w:rsidP="007B5B2B">
      <w:pPr>
        <w:keepNext/>
        <w:rPr>
          <w:szCs w:val="23"/>
        </w:rPr>
      </w:pPr>
      <w:r>
        <w:rPr>
          <w:szCs w:val="23"/>
        </w:rPr>
        <w:t>9.</w:t>
      </w:r>
      <w:r>
        <w:rPr>
          <w:szCs w:val="23"/>
        </w:rPr>
        <w:tab/>
        <w:t xml:space="preserve">Комитет приветствует распространение среди соответствующих специалистов "Руководства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наказания" (Стамбульский протокол).  Принимая к сведению сообщение о том, что специалисты-медики в целом ориентированы на необходимость обращать внимание на признаки жестокого обращения и даже пыток, Комитет вместе с тем подчеркивает необходимость организации более конкретных программ по обучению медиков и прочих специалистов системы здравоохранения навыкам распознавания и документирования признаков пыток, а также необходимость обучения кадров </w:t>
      </w:r>
      <w:r w:rsidR="00A65457">
        <w:rPr>
          <w:szCs w:val="23"/>
        </w:rPr>
        <w:t xml:space="preserve">в судебных и медицинских учреждениях </w:t>
      </w:r>
      <w:r>
        <w:rPr>
          <w:szCs w:val="23"/>
        </w:rPr>
        <w:t>более пристальному учету гендерной специфики.</w:t>
      </w:r>
    </w:p>
    <w:p w:rsidR="00171DB7" w:rsidRDefault="00171DB7" w:rsidP="00171DB7">
      <w:pPr>
        <w:rPr>
          <w:szCs w:val="23"/>
          <w:lang w:val="en-US"/>
        </w:rPr>
      </w:pPr>
    </w:p>
    <w:p w:rsidR="007C1F45" w:rsidRDefault="007C1F45" w:rsidP="007D6B4D">
      <w:pPr>
        <w:ind w:left="567"/>
        <w:rPr>
          <w:b/>
        </w:rPr>
      </w:pPr>
      <w:r>
        <w:rPr>
          <w:b/>
        </w:rPr>
        <w:t>САРГ следует обеспечить необходимое обучение и ознакомление специалистов-медиков с целью овладения навыками распознавания и обнаружения симптомов и характерных признаков возможного применения пыток, а также навыками учета гендерной специфики при обращении с лицами, находящимися в правоохранительных и медицинских учреждениях.</w:t>
      </w:r>
    </w:p>
    <w:p w:rsidR="007C1F45" w:rsidRDefault="007C1F45" w:rsidP="007D6B4D">
      <w:pPr>
        <w:ind w:left="567" w:hanging="567"/>
        <w:rPr>
          <w:b/>
        </w:rPr>
      </w:pPr>
    </w:p>
    <w:p w:rsidR="007C1F45" w:rsidRDefault="007C1F45" w:rsidP="007D6B4D">
      <w:pPr>
        <w:ind w:left="567" w:hanging="567"/>
        <w:rPr>
          <w:b/>
        </w:rPr>
      </w:pPr>
      <w:r>
        <w:rPr>
          <w:b/>
        </w:rPr>
        <w:t>Досмотр с полным раздеванием и обследование полостей тела</w:t>
      </w:r>
    </w:p>
    <w:p w:rsidR="007C1F45" w:rsidRDefault="007C1F45" w:rsidP="007D6B4D">
      <w:pPr>
        <w:ind w:left="567" w:hanging="567"/>
        <w:rPr>
          <w:b/>
        </w:rPr>
      </w:pPr>
    </w:p>
    <w:p w:rsidR="007C1F45" w:rsidRDefault="007C1F45" w:rsidP="007D6B4D">
      <w:r>
        <w:t>10.</w:t>
      </w:r>
      <w:r>
        <w:tab/>
        <w:t>Комитет принимает к сведению вступление в силу 1 июля 2008 года нового руководства для полицейских по проведению досмотра лиц, содержащихся под стражей в полицейских изоляторах.  Комитет приветствует тот факт, что в соответствии с этими пересмотренными правилами ответственный сотрудник обязан обосновать меру доскональности и способ проведения досмотра, исходя из объективных, четко установленных критериев;  вместе с тем Комитет озабочен:</w:t>
      </w:r>
    </w:p>
    <w:p w:rsidR="007C1F45" w:rsidRDefault="007C1F45" w:rsidP="007D6B4D"/>
    <w:p w:rsidR="007C1F45" w:rsidRDefault="007C1F45" w:rsidP="007C1F45">
      <w:r>
        <w:tab/>
        <w:t>а)</w:t>
      </w:r>
      <w:r>
        <w:tab/>
        <w:t>распоряжением комиссара полиции о том, что все лица, содержащиеся под стражей в полицейских изоляторах, подлежат досмотру каждый раз при доставке в полицейский изолятор, в силу которого процедура личного досмотра применяется автоматически в отношении всех лиц, содержащихся под стражей в полицейских изоляторах, независимо от наличия или отсутствия дл этого объективных причин;</w:t>
      </w:r>
    </w:p>
    <w:p w:rsidR="007C1F45" w:rsidRDefault="007C1F45" w:rsidP="007C1F45"/>
    <w:p w:rsidR="007C1F45" w:rsidRDefault="007C1F45" w:rsidP="007C1F45">
      <w:r>
        <w:tab/>
      </w:r>
      <w:r>
        <w:rPr>
          <w:lang w:val="en-US"/>
        </w:rPr>
        <w:t>b</w:t>
      </w:r>
      <w:r>
        <w:t>)</w:t>
      </w:r>
      <w:r>
        <w:tab/>
        <w:t>жалобами на досмотры с полным раздеванием, проводимые с пристрастием, в том числе в изоляторах Департамента по делам иммиграции и Департамента исправительных учреждений;  и</w:t>
      </w:r>
    </w:p>
    <w:p w:rsidR="007C1F45" w:rsidRDefault="007C1F45" w:rsidP="007C1F45">
      <w:pPr>
        <w:ind w:firstLine="567"/>
      </w:pPr>
    </w:p>
    <w:p w:rsidR="007C1F45" w:rsidRDefault="007C1F45" w:rsidP="007C1F45">
      <w:r>
        <w:tab/>
        <w:t>с)</w:t>
      </w:r>
      <w:r>
        <w:tab/>
        <w:t>жалобами на ставшее обычной практикой обследование полостей тела лиц, поступающих в тюрьмы, вопреки положениям правила 9 Тюремного регламента Гонконга, где предусматривается лишь возможность проведения такого обследования.</w:t>
      </w:r>
    </w:p>
    <w:p w:rsidR="007C1F45" w:rsidRDefault="007C1F45" w:rsidP="007C1F45">
      <w:pPr>
        <w:ind w:firstLine="567"/>
      </w:pPr>
    </w:p>
    <w:p w:rsidR="007C1F45" w:rsidRDefault="007C1F45" w:rsidP="007D6B4D">
      <w:pPr>
        <w:rPr>
          <w:b/>
        </w:rPr>
      </w:pPr>
      <w:r>
        <w:tab/>
      </w:r>
      <w:r w:rsidR="00E22ACB">
        <w:rPr>
          <w:lang w:val="en-US"/>
        </w:rPr>
        <w:tab/>
      </w:r>
      <w:r>
        <w:rPr>
          <w:b/>
        </w:rPr>
        <w:t>САРГ следует:</w:t>
      </w:r>
    </w:p>
    <w:p w:rsidR="007C1F45" w:rsidRDefault="007C1F45" w:rsidP="007D6B4D">
      <w:pPr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</w:rPr>
        <w:t>а)</w:t>
      </w:r>
      <w:r>
        <w:rPr>
          <w:b/>
        </w:rPr>
        <w:tab/>
        <w:t>обеспечить проведение досмотра с полным раздеванием лиц, содержащихся под стражей в полицейских изоляторах, только в тех случаях, когда для этого имеются разумные и четкие основания;  если досмотр все же проводится, это должно делаться с применением наименее интрузивных способов и в полном соответствии со статьей 16 Конвенции;  к тому же должен иметься независимый механизм контроля за такими досмотрами по требованию лица, помещенного под стражу;</w:t>
      </w:r>
    </w:p>
    <w:p w:rsidR="007C1F45" w:rsidRDefault="007C1F45" w:rsidP="00E22ACB">
      <w:pPr>
        <w:ind w:left="567" w:hanging="567"/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установить четкие строгие правила досмотра с полным раздеванием, проводимого сотрудниками правоохранительных органов, включая Департамент по делам иммиграции и Департамент исправительных учреждений;  если такие правила уже существуют, необходимо обеспечить их строгое соблюдение и систематический контроль за этим;  следует сохранять документацию по всем случаям досмотра, проводить доскональное расследование по всем случаям допущенных отклонений и, если нарушение подтверждается, наказывать виновных;  и</w:t>
      </w:r>
    </w:p>
    <w:p w:rsidR="007C1F45" w:rsidRDefault="007C1F45" w:rsidP="00E22ACB">
      <w:pPr>
        <w:ind w:left="567" w:hanging="567"/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</w:rPr>
        <w:t>с)</w:t>
      </w:r>
      <w:r>
        <w:rPr>
          <w:b/>
        </w:rPr>
        <w:tab/>
        <w:t>изыскивать альтернативные методы обследования полостей тела при обычных проверках;  в случае если подобный досмотр признан необходимым, к нему следует прибегать в качестве крайней меры, используя для этого обученный медицинский персонал и проявляя надлежащее уважение интимной сферы и достоинства личности.</w:t>
      </w:r>
    </w:p>
    <w:p w:rsidR="007C1F45" w:rsidRDefault="007C1F45" w:rsidP="007D6B4D">
      <w:pPr>
        <w:ind w:left="1134" w:hanging="1134"/>
        <w:rPr>
          <w:b/>
        </w:rPr>
      </w:pPr>
    </w:p>
    <w:p w:rsidR="007C1F45" w:rsidRDefault="007C1F45" w:rsidP="007D6B4D">
      <w:pPr>
        <w:keepNext/>
        <w:ind w:left="1134" w:hanging="1134"/>
        <w:rPr>
          <w:b/>
        </w:rPr>
      </w:pPr>
      <w:r>
        <w:rPr>
          <w:b/>
        </w:rPr>
        <w:t>Полицейские операции</w:t>
      </w:r>
    </w:p>
    <w:p w:rsidR="007C1F45" w:rsidRDefault="007C1F45" w:rsidP="007D6B4D">
      <w:pPr>
        <w:keepNext/>
        <w:ind w:left="1134" w:hanging="1134"/>
        <w:rPr>
          <w:b/>
        </w:rPr>
      </w:pPr>
    </w:p>
    <w:p w:rsidR="007C1F45" w:rsidRDefault="007C1F45" w:rsidP="007D6B4D">
      <w:r>
        <w:t>11.</w:t>
      </w:r>
      <w:r>
        <w:tab/>
        <w:t>Комитет приветствует представленную делегацией информацию о том, что в конце 2007 года полицейской службой был произведен анализ и пересмотр правил поведения сотрудников в ходе полицейских операций, нацеленных на борьбу с преступлениями, связанными с проституцией.  Вместе с тем Комитет обеспокоен жалобами на постоянно совершаемые полицией в ходе таких операций издевательства над людьми.</w:t>
      </w:r>
    </w:p>
    <w:p w:rsidR="007C1F45" w:rsidRDefault="007C1F45" w:rsidP="007D6B4D"/>
    <w:p w:rsidR="007C1F45" w:rsidRDefault="007C1F45" w:rsidP="00E22ACB">
      <w:pPr>
        <w:keepLines/>
        <w:ind w:left="567" w:hanging="567"/>
        <w:rPr>
          <w:b/>
        </w:rPr>
      </w:pPr>
      <w:r>
        <w:tab/>
      </w:r>
      <w:r>
        <w:rPr>
          <w:b/>
        </w:rPr>
        <w:t>Властям САРГ следует проводить доскональное расследование по всем сигналам о неподобающих действиях, совершенных в ходе полицейских операций по борьбе с преступлениями, связанными с проституцией, и, если таковые подтвердятся, надлежащим образом преследовать и наказывать виновных.  Кроме того, САРГ следует вести работу, в частности в форме просветительских и информационно-пропагандистских мероприятий, по преодолению любых сформировавшихся представлений о том, что подобные неподобающие действия могут остаться безнаказанными.</w:t>
      </w:r>
    </w:p>
    <w:p w:rsidR="007C1F45" w:rsidRDefault="007C1F45" w:rsidP="007D6B4D">
      <w:pPr>
        <w:ind w:left="567" w:hanging="567"/>
        <w:rPr>
          <w:b/>
        </w:rPr>
      </w:pPr>
    </w:p>
    <w:p w:rsidR="007C1F45" w:rsidRDefault="007C1F45" w:rsidP="007D6B4D">
      <w:pPr>
        <w:keepNext/>
        <w:ind w:left="567" w:hanging="567"/>
        <w:rPr>
          <w:b/>
        </w:rPr>
      </w:pPr>
      <w:r>
        <w:rPr>
          <w:b/>
        </w:rPr>
        <w:t>Независимое расследование случаев неподобающего поведения полицейских</w:t>
      </w:r>
    </w:p>
    <w:p w:rsidR="007C1F45" w:rsidRDefault="007C1F45" w:rsidP="007D6B4D">
      <w:pPr>
        <w:keepNext/>
        <w:ind w:left="567" w:hanging="567"/>
        <w:rPr>
          <w:b/>
        </w:rPr>
      </w:pPr>
    </w:p>
    <w:p w:rsidR="007C1F45" w:rsidRDefault="007C1F45" w:rsidP="007D6B4D">
      <w:r>
        <w:t>12.</w:t>
      </w:r>
      <w:r>
        <w:tab/>
        <w:t>Комитет приветствует принятие 12 июля 2008 года Указа о Независимом совете по рассмотрению жалоб на действия полиции (НСРЖДП), которым по рекомендации, ранее вынесенной Комитетом, Совет был преобразован в официальный орган.  Однако Комитет обеспокоен тем, что, несмотря на повышение самостоятельности НСРЖДП в результате придания ему официального статуса, за ним закреплены лишь совещательные и надзорные функции, связанные с мониторингом и рассмотрением деятельности Управления по рассмотрению жалоб на работу полиции (УРЖРП), которое на деле и по сей день является органом, ответственным за рассмотрение и разбирательство по жалобам на неподобающее поведение полицейских.  В этой связи Комитет с обеспокоенностью отмечает также информацию о том, что, невзирая на поступление в УРЖРП значительного количества жалоб, заслуживающих подачи рапорта, обоснованными была признана лишь небольшая их часть и только в одном случае против полицейского было возбуждено уголовное дело, и он был осужден за уголовное преступление.</w:t>
      </w:r>
    </w:p>
    <w:p w:rsidR="007C1F45" w:rsidRDefault="007C1F45" w:rsidP="007D6B4D"/>
    <w:p w:rsidR="007C1F45" w:rsidRDefault="007C1F45" w:rsidP="007D6B4D">
      <w:pPr>
        <w:ind w:left="567" w:hanging="567"/>
        <w:rPr>
          <w:b/>
        </w:rPr>
      </w:pPr>
      <w:r>
        <w:tab/>
      </w:r>
      <w:r>
        <w:rPr>
          <w:b/>
        </w:rPr>
        <w:t>САРГ следует и впредь принимать меры по учреждению абсолютно независимого механизма, наделенного полномочиями принимать и расследовать жалобы на неподобающее поведение полицейских.  Этот орган надлежит снабдить необходимыми кадровыми и финансовыми ресурсами и наделить властными полномочиями, позволяющими ему выносить обязательные к исполнению рекомендации относительно проводимых расследований и заключения по таким жалобам в соответствии с требованиями статьи 12 Конвенции.</w:t>
      </w:r>
    </w:p>
    <w:p w:rsidR="007C1F45" w:rsidRDefault="007C1F45" w:rsidP="007D6B4D">
      <w:pPr>
        <w:ind w:left="567" w:hanging="567"/>
        <w:rPr>
          <w:b/>
        </w:rPr>
      </w:pPr>
    </w:p>
    <w:p w:rsidR="007C1F45" w:rsidRDefault="007C1F45" w:rsidP="007D6B4D">
      <w:pPr>
        <w:ind w:left="567" w:hanging="567"/>
        <w:rPr>
          <w:b/>
        </w:rPr>
      </w:pPr>
      <w:r>
        <w:rPr>
          <w:b/>
        </w:rPr>
        <w:t>Бытовое насилие</w:t>
      </w:r>
    </w:p>
    <w:p w:rsidR="007C1F45" w:rsidRDefault="007C1F45" w:rsidP="007D6B4D">
      <w:pPr>
        <w:ind w:left="567" w:hanging="567"/>
        <w:rPr>
          <w:b/>
        </w:rPr>
      </w:pPr>
    </w:p>
    <w:p w:rsidR="007C1F45" w:rsidRDefault="007C1F45" w:rsidP="007D6B4D">
      <w:r>
        <w:t>13.</w:t>
      </w:r>
      <w:r>
        <w:tab/>
        <w:t>Положительно оценивая усилия САРГ по искоренению бытового насилия, Комитет выражает обеспокоенность по поводу распространенности бытового насилия в Районе.</w:t>
      </w:r>
    </w:p>
    <w:p w:rsidR="007C1F45" w:rsidRDefault="007C1F45" w:rsidP="007D6B4D"/>
    <w:p w:rsidR="007C1F45" w:rsidRDefault="007C1F45" w:rsidP="007D6B4D">
      <w:pPr>
        <w:rPr>
          <w:b/>
        </w:rPr>
      </w:pPr>
      <w:r>
        <w:tab/>
      </w:r>
      <w:r w:rsidR="00E22ACB">
        <w:rPr>
          <w:lang w:val="en-US"/>
        </w:rPr>
        <w:tab/>
      </w:r>
      <w:r>
        <w:rPr>
          <w:b/>
        </w:rPr>
        <w:t>САРГ следует:</w:t>
      </w:r>
    </w:p>
    <w:p w:rsidR="007C1F45" w:rsidRDefault="007C1F45" w:rsidP="007D6B4D">
      <w:pPr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</w:rPr>
        <w:t>а)</w:t>
      </w:r>
      <w:r>
        <w:rPr>
          <w:b/>
        </w:rPr>
        <w:tab/>
        <w:t>проводить доскональное расследование по всем сигналам о случаях бытового насилия, и, если таковые подтвердятся, надлежащим образом преследовать и наказывать виновных;</w:t>
      </w:r>
    </w:p>
    <w:p w:rsidR="007C1F45" w:rsidRDefault="007C1F45" w:rsidP="00E22ACB">
      <w:pPr>
        <w:ind w:left="567" w:hanging="567"/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наращивать усилия, направленные против бытового насилия, принимая для этого законодательные, политические и социальные меры;</w:t>
      </w:r>
    </w:p>
    <w:p w:rsidR="007C1F45" w:rsidRDefault="007C1F45" w:rsidP="00E22ACB">
      <w:pPr>
        <w:ind w:left="567" w:hanging="567"/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</w:rPr>
        <w:t>с)</w:t>
      </w:r>
      <w:r>
        <w:rPr>
          <w:b/>
        </w:rPr>
        <w:tab/>
        <w:t>проводить общенациональные информационно-пропагандистские кампании и поощрять широкие дискуссии среди общественности с целью преодоления представлений и стереотипов, способных стать причиной насилия в отношении женщин;  и</w:t>
      </w:r>
    </w:p>
    <w:p w:rsidR="007C1F45" w:rsidRDefault="007C1F45" w:rsidP="00E22ACB">
      <w:pPr>
        <w:ind w:left="567" w:hanging="567"/>
        <w:rPr>
          <w:b/>
        </w:rPr>
      </w:pPr>
    </w:p>
    <w:p w:rsidR="007C1F45" w:rsidRDefault="007C1F45" w:rsidP="00E22ACB">
      <w:pPr>
        <w:ind w:left="567" w:hanging="567"/>
        <w:rPr>
          <w:b/>
        </w:rPr>
      </w:pPr>
      <w:r>
        <w:rPr>
          <w:b/>
        </w:rPr>
        <w:tab/>
      </w:r>
      <w:r w:rsidR="00E22ACB">
        <w:rPr>
          <w:b/>
          <w:lang w:val="en-US"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представить в своем следующем периодическом докладе дополнительную информацию по данному вопросу, и в том числе о прогрессе, достигнутом в результате предстоящего создания Расширенной центральной базы данных по бытовому насилию.</w:t>
      </w:r>
    </w:p>
    <w:p w:rsidR="007C1F45" w:rsidRDefault="007C1F45" w:rsidP="007D6B4D">
      <w:pPr>
        <w:ind w:left="1134" w:hanging="1134"/>
        <w:rPr>
          <w:b/>
        </w:rPr>
      </w:pPr>
    </w:p>
    <w:p w:rsidR="007C1F45" w:rsidRDefault="007C1F45" w:rsidP="007D6B4D">
      <w:r>
        <w:t>14.</w:t>
      </w:r>
      <w:r>
        <w:tab/>
        <w:t>Комитет побуждает САРГ завершить процесс внедрения в правовую систему положений Факультативного протокола, касающегося торговли детьми, детской проституции и детской порнографии, с целью создания условий для распространения его действия на САРГ.</w:t>
      </w:r>
    </w:p>
    <w:p w:rsidR="007C1F45" w:rsidRDefault="007C1F45" w:rsidP="007D6B4D"/>
    <w:p w:rsidR="007C1F45" w:rsidRDefault="007C1F45" w:rsidP="007D6B4D">
      <w:r>
        <w:t>15.</w:t>
      </w:r>
      <w:r>
        <w:tab/>
        <w:t>САРГ следует обеспечить широкое распространение своего доклада, своих ответов на перечень вопросов, кратких отчетов о заседаниях и заключительных замечаний Комитета на соответствующих языках, через официальные вебсайты, средства массовой информации и неправительственные организации.</w:t>
      </w:r>
    </w:p>
    <w:p w:rsidR="007C1F45" w:rsidRDefault="007C1F45" w:rsidP="007D6B4D"/>
    <w:p w:rsidR="007C1F45" w:rsidRDefault="007C1F45" w:rsidP="007D6B4D">
      <w:r>
        <w:t>16.</w:t>
      </w:r>
      <w:r>
        <w:tab/>
        <w:t>Комитет предлагает САРГ представить свой базовый документ с соблюдением требований, касающихся подготовки общего базового документа, которые установлены в согласованных руководящих принципах представления докладов, как они были утверждены международными договорными органами по правам человека и изложены в документе </w:t>
      </w:r>
      <w:r>
        <w:rPr>
          <w:lang w:val="en-US"/>
        </w:rPr>
        <w:t>HRI</w:t>
      </w:r>
      <w:r w:rsidRPr="00621CE9">
        <w:t>/</w:t>
      </w:r>
      <w:r>
        <w:rPr>
          <w:lang w:val="en-US"/>
        </w:rPr>
        <w:t>GEN</w:t>
      </w:r>
      <w:r w:rsidRPr="00621CE9">
        <w:t>/2/</w:t>
      </w:r>
      <w:r>
        <w:rPr>
          <w:lang w:val="en-US"/>
        </w:rPr>
        <w:t>Rev</w:t>
      </w:r>
      <w:r w:rsidRPr="00621CE9">
        <w:t>.5.</w:t>
      </w:r>
    </w:p>
    <w:p w:rsidR="007C1F45" w:rsidRDefault="007C1F45" w:rsidP="007D6B4D"/>
    <w:p w:rsidR="007C1F45" w:rsidRDefault="007C1F45" w:rsidP="007B4F95">
      <w:pPr>
        <w:keepNext/>
      </w:pPr>
      <w:r>
        <w:t>17.</w:t>
      </w:r>
      <w:r>
        <w:tab/>
        <w:t>Комитет просит САРГ представить не позднее чем через год информацию о мерах по учету рекомендаций, сформулированных Комитетом выше в пунктах 7, 10 и 12.</w:t>
      </w:r>
    </w:p>
    <w:p w:rsidR="007C1F45" w:rsidRDefault="007C1F45" w:rsidP="007B4F95">
      <w:pPr>
        <w:keepNext/>
      </w:pPr>
    </w:p>
    <w:p w:rsidR="007C1F45" w:rsidRDefault="007C1F45" w:rsidP="007B4F95">
      <w:pPr>
        <w:keepNext/>
      </w:pPr>
      <w:r>
        <w:t>18.</w:t>
      </w:r>
      <w:r>
        <w:tab/>
        <w:t>САРГ предлагается представить свой следующий периодический доклад, который будет включен в пятый периодический доклад Китая, к 21 ноября 2012 года.</w:t>
      </w:r>
    </w:p>
    <w:p w:rsidR="007C1F45" w:rsidRDefault="007C1F45" w:rsidP="007D6B4D"/>
    <w:p w:rsidR="007C1F45" w:rsidRPr="00297DFD" w:rsidRDefault="007C1F45" w:rsidP="007D6B4D">
      <w:pPr>
        <w:jc w:val="center"/>
      </w:pPr>
      <w:r>
        <w:t>-------</w:t>
      </w:r>
    </w:p>
    <w:p w:rsidR="007B5B2B" w:rsidRPr="007B5B2B" w:rsidRDefault="007B5B2B" w:rsidP="00171DB7">
      <w:pPr>
        <w:rPr>
          <w:szCs w:val="23"/>
          <w:lang w:val="en-US"/>
        </w:rPr>
      </w:pPr>
    </w:p>
    <w:sectPr w:rsidR="007B5B2B" w:rsidRPr="007B5B2B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232" w:rsidRDefault="00573232">
      <w:r>
        <w:separator/>
      </w:r>
    </w:p>
  </w:endnote>
  <w:endnote w:type="continuationSeparator" w:id="0">
    <w:p w:rsidR="00573232" w:rsidRDefault="00573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232" w:rsidRDefault="00573232">
      <w:r>
        <w:separator/>
      </w:r>
    </w:p>
  </w:footnote>
  <w:footnote w:type="continuationSeparator" w:id="0">
    <w:p w:rsidR="00573232" w:rsidRDefault="00573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B4D" w:rsidRDefault="007D6B4D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CAT/C/HKG/CO/4</w:t>
    </w:r>
  </w:p>
  <w:p w:rsidR="007D6B4D" w:rsidRDefault="007D6B4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C31E1">
      <w:rPr>
        <w:rStyle w:val="PageNumber"/>
        <w:noProof/>
      </w:rPr>
      <w:t>8</w:t>
    </w:r>
    <w:r>
      <w:rPr>
        <w:rStyle w:val="PageNumber"/>
      </w:rPr>
      <w:fldChar w:fldCharType="end"/>
    </w:r>
  </w:p>
  <w:p w:rsidR="007D6B4D" w:rsidRDefault="007D6B4D">
    <w:pPr>
      <w:pStyle w:val="Header"/>
      <w:tabs>
        <w:tab w:val="left" w:pos="6237"/>
      </w:tabs>
      <w:rPr>
        <w:rStyle w:val="PageNumber"/>
        <w:lang w:val="en-US"/>
      </w:rPr>
    </w:pPr>
  </w:p>
  <w:p w:rsidR="007D6B4D" w:rsidRDefault="007D6B4D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B4D" w:rsidRDefault="007D6B4D" w:rsidP="00171DB7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CAT/C/HKG/CO/4</w:t>
    </w:r>
  </w:p>
  <w:p w:rsidR="007D6B4D" w:rsidRDefault="007D6B4D" w:rsidP="00171DB7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C31E1">
      <w:rPr>
        <w:rStyle w:val="PageNumber"/>
        <w:noProof/>
      </w:rPr>
      <w:t>9</w:t>
    </w:r>
    <w:r>
      <w:rPr>
        <w:rStyle w:val="PageNumber"/>
      </w:rPr>
      <w:fldChar w:fldCharType="end"/>
    </w:r>
  </w:p>
  <w:p w:rsidR="007D6B4D" w:rsidRDefault="007D6B4D" w:rsidP="00171DB7">
    <w:pPr>
      <w:pStyle w:val="Header"/>
      <w:tabs>
        <w:tab w:val="left" w:pos="7230"/>
      </w:tabs>
      <w:rPr>
        <w:rStyle w:val="PageNumber"/>
        <w:lang w:val="en-US"/>
      </w:rPr>
    </w:pPr>
  </w:p>
  <w:p w:rsidR="007D6B4D" w:rsidRDefault="007D6B4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DB7"/>
    <w:rsid w:val="00171DB7"/>
    <w:rsid w:val="001F643F"/>
    <w:rsid w:val="002D75CD"/>
    <w:rsid w:val="003C6CB8"/>
    <w:rsid w:val="00450BEB"/>
    <w:rsid w:val="004D5A73"/>
    <w:rsid w:val="00573232"/>
    <w:rsid w:val="007B4F95"/>
    <w:rsid w:val="007B5B2B"/>
    <w:rsid w:val="007C1F45"/>
    <w:rsid w:val="007C31E1"/>
    <w:rsid w:val="007D6B4D"/>
    <w:rsid w:val="007D7E46"/>
    <w:rsid w:val="00A30EC8"/>
    <w:rsid w:val="00A65457"/>
    <w:rsid w:val="00BC0B2B"/>
    <w:rsid w:val="00BE05A5"/>
    <w:rsid w:val="00CC57DC"/>
    <w:rsid w:val="00E22ACB"/>
    <w:rsid w:val="00E2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2273</Words>
  <Characters>12957</Characters>
  <Application>Microsoft Office Word</Application>
  <DocSecurity>4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40320.01.doc</vt:lpstr>
    </vt:vector>
  </TitlesOfParts>
  <Company> </Company>
  <LinksUpToDate>false</LinksUpToDate>
  <CharactersWithSpaces>15200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40320.01.doc</dc:title>
  <dc:subject>Bratchikov</dc:subject>
  <dc:creator>TDudnikova</dc:creator>
  <cp:keywords/>
  <dc:description/>
  <cp:lastModifiedBy>Chouvalova</cp:lastModifiedBy>
  <cp:revision>3</cp:revision>
  <cp:lastPrinted>2009-02-27T11:30:00Z</cp:lastPrinted>
  <dcterms:created xsi:type="dcterms:W3CDTF">2009-02-27T11:30:00Z</dcterms:created>
  <dcterms:modified xsi:type="dcterms:W3CDTF">2009-02-27T11:30:00Z</dcterms:modified>
</cp:coreProperties>
</file>