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680"/>
        <w:gridCol w:w="3226"/>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631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6.75pt;width:467.7pt;height:4.25pt;z-index:-2;mso-position-horizontal-relative:margin;mso-position-vertical-relative:page" fillcolor="black" stroked="f" strokeweight="0">
                  <v:fill color2="black"/>
                  <w10:wrap anchorx="margin" anchory="page"/>
                  <w10:anchorlock/>
                </v:rect>
              </w:pict>
            </w:r>
          </w:p>
        </w:tc>
        <w:tc>
          <w:tcPr>
            <w:tcW w:w="4680"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226" w:type="dxa"/>
          </w:tcPr>
          <w:p w:rsidR="00000000" w:rsidRDefault="00000000">
            <w:pPr>
              <w:spacing w:after="240"/>
              <w:ind w:left="170"/>
            </w:pPr>
            <w:r>
              <w:t>Distr.</w:t>
            </w:r>
            <w:r>
              <w:br/>
              <w:t>GÉNÉRALE</w:t>
            </w:r>
          </w:p>
          <w:p w:rsidR="00000000" w:rsidRDefault="00000000">
            <w:pPr>
              <w:spacing w:after="240"/>
              <w:ind w:left="170"/>
            </w:pPr>
            <w:r>
              <w:t>CERD/C/439/Add.2</w:t>
            </w:r>
            <w:r>
              <w:br/>
              <w:t>14 mai 2004</w:t>
            </w:r>
          </w:p>
          <w:p w:rsidR="00000000" w:rsidRDefault="00000000">
            <w:pPr>
              <w:tabs>
                <w:tab w:val="right" w:pos="3195"/>
              </w:tabs>
              <w:spacing w:after="240"/>
              <w:ind w:left="170"/>
            </w:pPr>
            <w:r>
              <w:t>FRANÇAIS</w:t>
            </w:r>
            <w:r>
              <w:br/>
              <w:t>Original: ANGLAIS</w:t>
            </w:r>
          </w:p>
        </w:tc>
      </w:tr>
    </w:tbl>
    <w:p w:rsidR="00000000" w:rsidRDefault="00000000">
      <w:pPr>
        <w:tabs>
          <w:tab w:val="right" w:pos="3195"/>
        </w:tabs>
        <w:ind w:hanging="1"/>
      </w:pPr>
    </w:p>
    <w:p w:rsidR="00000000" w:rsidRDefault="00000000">
      <w:pPr>
        <w:spacing w:after="1000"/>
      </w:pPr>
      <w:r>
        <w:t>COMITÉ POUR L’ÉLIMINATION</w:t>
      </w:r>
      <w:r>
        <w:br/>
        <w:t>DE LA DISCRIMINATION RACIALE</w:t>
      </w:r>
    </w:p>
    <w:p w:rsidR="00000000" w:rsidRDefault="00000000">
      <w:pPr>
        <w:spacing w:after="240"/>
        <w:jc w:val="center"/>
        <w:rPr>
          <w:b/>
          <w:bCs/>
        </w:rPr>
      </w:pPr>
      <w:r>
        <w:rPr>
          <w:b/>
          <w:bCs/>
        </w:rPr>
        <w:t>EXAMEN DES RAPPORTS PRÉSENTÉS PAR LES ÉTATS PARTIES CONFORMÉMENT À L’ARTICLE 9 DE LA CONVENTION</w:t>
      </w:r>
    </w:p>
    <w:p w:rsidR="00000000" w:rsidRDefault="00000000">
      <w:pPr>
        <w:spacing w:after="240"/>
        <w:jc w:val="center"/>
        <w:rPr>
          <w:b/>
          <w:bCs/>
        </w:rPr>
      </w:pPr>
      <w:r>
        <w:rPr>
          <w:b/>
          <w:bCs/>
        </w:rPr>
        <w:t>Troisièmes rapports périodiques que les États parties devaient présenter en 2003</w:t>
      </w:r>
    </w:p>
    <w:p w:rsidR="00000000" w:rsidRDefault="00000000">
      <w:pPr>
        <w:spacing w:after="240"/>
        <w:jc w:val="center"/>
        <w:rPr>
          <w:b/>
          <w:bCs/>
        </w:rPr>
      </w:pPr>
      <w:r>
        <w:rPr>
          <w:b/>
          <w:bCs/>
        </w:rPr>
        <w:t>Additif</w:t>
      </w:r>
    </w:p>
    <w:p w:rsidR="00000000" w:rsidRDefault="00000000">
      <w:pPr>
        <w:spacing w:after="240"/>
        <w:jc w:val="center"/>
        <w:rPr>
          <w:bCs/>
        </w:rPr>
      </w:pPr>
      <w:r>
        <w:rPr>
          <w:b/>
          <w:bCs/>
        </w:rPr>
        <w:t>KAZAKHSTAN</w:t>
      </w:r>
      <w:r>
        <w:rPr>
          <w:rStyle w:val="FootnoteReference"/>
          <w:b w:val="0"/>
          <w:bCs/>
        </w:rPr>
        <w:footnoteReference w:customMarkFollows="1" w:id="1"/>
        <w:t>*</w:t>
      </w:r>
    </w:p>
    <w:p w:rsidR="00000000" w:rsidRDefault="00000000">
      <w:pPr>
        <w:spacing w:after="240"/>
        <w:jc w:val="right"/>
        <w:rPr>
          <w:bCs/>
        </w:rPr>
      </w:pPr>
      <w:r>
        <w:rPr>
          <w:bCs/>
        </w:rPr>
        <w:t>[Original: Russe]</w:t>
      </w:r>
      <w:r>
        <w:rPr>
          <w:bCs/>
        </w:rPr>
        <w:br/>
        <w:t>[3 octobre 2003]</w:t>
      </w:r>
    </w:p>
    <w:p w:rsidR="00000000" w:rsidRDefault="00000000">
      <w:pPr>
        <w:spacing w:before="1000" w:after="240"/>
        <w:jc w:val="center"/>
        <w:rPr>
          <w:b/>
        </w:rPr>
      </w:pPr>
      <w:r>
        <w:rPr>
          <w:bCs/>
        </w:rPr>
        <w:br w:type="page"/>
      </w:r>
      <w:r>
        <w:rPr>
          <w:b/>
        </w:rPr>
        <w:t>RAPPORT DE L’ÉTAT PARTIE</w:t>
      </w:r>
    </w:p>
    <w:p w:rsidR="00000000" w:rsidRDefault="00000000">
      <w:pPr>
        <w:spacing w:after="5000"/>
        <w:jc w:val="center"/>
        <w:rPr>
          <w:b/>
        </w:rPr>
      </w:pPr>
      <w:r>
        <w:rPr>
          <w:b/>
        </w:rPr>
        <w:t>Sur la mise en œuvre de la Convention internationale sur</w:t>
      </w:r>
      <w:r>
        <w:rPr>
          <w:b/>
        </w:rPr>
        <w:br/>
        <w:t>l’élimination de toutes les formes de discrimination raciale</w:t>
      </w:r>
      <w:r>
        <w:rPr>
          <w:b/>
        </w:rPr>
        <w:br/>
        <w:t>par la République du Kazakhstan (1999</w:t>
      </w:r>
      <w:r>
        <w:rPr>
          <w:b/>
        </w:rPr>
        <w:noBreakHyphen/>
        <w:t>2001)</w:t>
      </w:r>
    </w:p>
    <w:p w:rsidR="00000000" w:rsidRDefault="00000000">
      <w:pPr>
        <w:spacing w:after="240"/>
        <w:jc w:val="center"/>
        <w:rPr>
          <w:b/>
        </w:rPr>
      </w:pPr>
      <w:r>
        <w:rPr>
          <w:b/>
        </w:rPr>
        <w:t>Astana</w:t>
      </w:r>
    </w:p>
    <w:p w:rsidR="00000000" w:rsidRDefault="00000000">
      <w:pPr>
        <w:spacing w:after="240"/>
        <w:jc w:val="center"/>
        <w:rPr>
          <w:b/>
        </w:rPr>
      </w:pPr>
      <w:r>
        <w:rPr>
          <w:b/>
        </w:rPr>
        <w:t>2003</w:t>
      </w:r>
    </w:p>
    <w:p w:rsidR="00000000" w:rsidRDefault="00000000">
      <w:pPr>
        <w:spacing w:after="240"/>
        <w:jc w:val="center"/>
        <w:rPr>
          <w:b/>
        </w:rPr>
      </w:pPr>
      <w:r>
        <w:rPr>
          <w:b/>
        </w:rPr>
        <w:br w:type="page"/>
        <w:t>Introduction</w:t>
      </w:r>
    </w:p>
    <w:p w:rsidR="00000000" w:rsidRDefault="00000000">
      <w:pPr>
        <w:spacing w:after="240"/>
        <w:rPr>
          <w:bCs/>
        </w:rPr>
      </w:pPr>
      <w:r>
        <w:rPr>
          <w:bCs/>
        </w:rPr>
        <w:t>1.</w:t>
      </w:r>
      <w:r>
        <w:rPr>
          <w:bCs/>
        </w:rPr>
        <w:tab/>
        <w:t>Le présent rapport est soumis conformément au paragraphe 1 de l’article 9 de la Convention internationale sur l’élimination de toutes les formes de discrimination raciale et a été établi selon les principes directeurs concernant la forme et la teneur des rapports présentés par les États parties conformément au paragraphe 1 de l’article 9 de la Convention.</w:t>
      </w:r>
    </w:p>
    <w:p w:rsidR="00000000" w:rsidRDefault="00000000">
      <w:pPr>
        <w:spacing w:after="240"/>
        <w:rPr>
          <w:bCs/>
        </w:rPr>
      </w:pPr>
      <w:r>
        <w:rPr>
          <w:bCs/>
        </w:rPr>
        <w:t>2.</w:t>
      </w:r>
      <w:r>
        <w:rPr>
          <w:bCs/>
        </w:rPr>
        <w:tab/>
        <w:t>Le rapport porte sur la période allant de janvier 1999 à février 2001.</w:t>
      </w:r>
    </w:p>
    <w:p w:rsidR="00000000" w:rsidRDefault="00000000">
      <w:pPr>
        <w:spacing w:after="240"/>
        <w:jc w:val="center"/>
        <w:rPr>
          <w:b/>
        </w:rPr>
      </w:pPr>
      <w:r>
        <w:rPr>
          <w:b/>
        </w:rPr>
        <w:t>PREMIÈRE PARTIE</w:t>
      </w:r>
    </w:p>
    <w:p w:rsidR="00000000" w:rsidRDefault="00000000">
      <w:pPr>
        <w:spacing w:after="240"/>
        <w:jc w:val="center"/>
        <w:rPr>
          <w:b/>
        </w:rPr>
      </w:pPr>
      <w:r>
        <w:rPr>
          <w:b/>
        </w:rPr>
        <w:t>GÉNÉRALITÉS: LE PAYS ET SA POPULATION</w:t>
      </w:r>
    </w:p>
    <w:p w:rsidR="00000000" w:rsidRDefault="00000000">
      <w:pPr>
        <w:spacing w:after="240"/>
        <w:rPr>
          <w:bCs/>
        </w:rPr>
      </w:pPr>
      <w:r>
        <w:rPr>
          <w:bCs/>
        </w:rPr>
        <w:t>1.</w:t>
      </w:r>
      <w:r>
        <w:rPr>
          <w:bCs/>
        </w:rPr>
        <w:tab/>
        <w:t>La République du Kazakhstan, dont la population était estimée à 14 841 900 habitants au 1</w:t>
      </w:r>
      <w:r>
        <w:rPr>
          <w:bCs/>
          <w:vertAlign w:val="superscript"/>
        </w:rPr>
        <w:t>er</w:t>
      </w:r>
      <w:r>
        <w:rPr>
          <w:bCs/>
        </w:rPr>
        <w:t> janvier 1999, s’étend sur une superficie de 2 724 900 kilomètres carrés. Sa densité démographique y est de 5,4 habitants au kilomètre carré et sa capitale est Astana. La République du Kazakhstan comprend 14 oblastes (régions), 160 districts, 2 villes d’envergure nationale, 85 villes et 200 villages.</w:t>
      </w:r>
    </w:p>
    <w:p w:rsidR="00000000" w:rsidRDefault="00000000">
      <w:pPr>
        <w:spacing w:after="240"/>
        <w:jc w:val="center"/>
        <w:rPr>
          <w:b/>
        </w:rPr>
      </w:pPr>
      <w:r>
        <w:rPr>
          <w:b/>
        </w:rPr>
        <w:t>Tableau 1</w:t>
      </w:r>
    </w:p>
    <w:p w:rsidR="00000000" w:rsidRDefault="00000000">
      <w:pPr>
        <w:spacing w:after="240"/>
        <w:jc w:val="center"/>
        <w:rPr>
          <w:b/>
        </w:rPr>
      </w:pPr>
      <w:r>
        <w:rPr>
          <w:b/>
        </w:rPr>
        <w:t>Unités administratives et territoriales du Kazakhstan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Borders>
              <w:bottom w:val="single" w:sz="4" w:space="0" w:color="auto"/>
            </w:tcBorders>
          </w:tcPr>
          <w:p w:rsidR="00000000" w:rsidRDefault="00000000">
            <w:pPr>
              <w:spacing w:before="60" w:after="60"/>
              <w:rPr>
                <w:bCs/>
              </w:rPr>
            </w:pPr>
          </w:p>
        </w:tc>
        <w:tc>
          <w:tcPr>
            <w:tcW w:w="2374" w:type="dxa"/>
            <w:tcBorders>
              <w:bottom w:val="single" w:sz="4" w:space="0" w:color="auto"/>
            </w:tcBorders>
            <w:vAlign w:val="center"/>
          </w:tcPr>
          <w:p w:rsidR="00000000" w:rsidRDefault="00000000">
            <w:pPr>
              <w:spacing w:before="60" w:after="60"/>
              <w:jc w:val="center"/>
              <w:rPr>
                <w:bCs/>
              </w:rPr>
            </w:pPr>
            <w:r>
              <w:rPr>
                <w:bCs/>
              </w:rPr>
              <w:t>1999</w:t>
            </w:r>
          </w:p>
        </w:tc>
        <w:tc>
          <w:tcPr>
            <w:tcW w:w="2374" w:type="dxa"/>
            <w:tcBorders>
              <w:bottom w:val="single" w:sz="4" w:space="0" w:color="auto"/>
            </w:tcBorders>
            <w:vAlign w:val="center"/>
          </w:tcPr>
          <w:p w:rsidR="00000000" w:rsidRDefault="00000000">
            <w:pPr>
              <w:spacing w:before="60" w:after="60"/>
              <w:jc w:val="center"/>
              <w:rPr>
                <w:bCs/>
              </w:rPr>
            </w:pPr>
            <w:r>
              <w:rPr>
                <w:bCs/>
              </w:rPr>
              <w:t>2000</w:t>
            </w:r>
          </w:p>
        </w:tc>
        <w:tc>
          <w:tcPr>
            <w:tcW w:w="2374" w:type="dxa"/>
            <w:tcBorders>
              <w:bottom w:val="single" w:sz="4" w:space="0" w:color="auto"/>
            </w:tcBorders>
            <w:vAlign w:val="center"/>
          </w:tcPr>
          <w:p w:rsidR="00000000" w:rsidRDefault="00000000">
            <w:pPr>
              <w:spacing w:before="60" w:after="60"/>
              <w:jc w:val="center"/>
              <w:rPr>
                <w:bCs/>
              </w:rPr>
            </w:pPr>
            <w:r>
              <w:rPr>
                <w:bCs/>
              </w:rPr>
              <w:t>2001</w:t>
            </w:r>
          </w:p>
        </w:tc>
      </w:tr>
      <w:tr w:rsidR="00000000">
        <w:tblPrEx>
          <w:tblCellMar>
            <w:top w:w="0" w:type="dxa"/>
            <w:bottom w:w="0" w:type="dxa"/>
          </w:tblCellMar>
        </w:tblPrEx>
        <w:tc>
          <w:tcPr>
            <w:tcW w:w="2374" w:type="dxa"/>
            <w:tcBorders>
              <w:bottom w:val="single" w:sz="4" w:space="0" w:color="auto"/>
            </w:tcBorders>
          </w:tcPr>
          <w:p w:rsidR="00000000" w:rsidRDefault="00000000">
            <w:pPr>
              <w:spacing w:before="60" w:after="60"/>
              <w:rPr>
                <w:bCs/>
              </w:rPr>
            </w:pPr>
            <w:r>
              <w:rPr>
                <w:bCs/>
              </w:rPr>
              <w:t>Districts</w:t>
            </w:r>
          </w:p>
        </w:tc>
        <w:tc>
          <w:tcPr>
            <w:tcW w:w="2374" w:type="dxa"/>
            <w:tcBorders>
              <w:bottom w:val="single" w:sz="4" w:space="0" w:color="auto"/>
            </w:tcBorders>
            <w:vAlign w:val="center"/>
          </w:tcPr>
          <w:p w:rsidR="00000000" w:rsidRDefault="00000000">
            <w:pPr>
              <w:spacing w:before="60" w:after="60"/>
              <w:jc w:val="center"/>
              <w:rPr>
                <w:bCs/>
              </w:rPr>
            </w:pPr>
            <w:r>
              <w:rPr>
                <w:bCs/>
              </w:rPr>
              <w:t>159</w:t>
            </w:r>
          </w:p>
        </w:tc>
        <w:tc>
          <w:tcPr>
            <w:tcW w:w="2374" w:type="dxa"/>
            <w:tcBorders>
              <w:bottom w:val="single" w:sz="4" w:space="0" w:color="auto"/>
            </w:tcBorders>
            <w:vAlign w:val="center"/>
          </w:tcPr>
          <w:p w:rsidR="00000000" w:rsidRDefault="00000000">
            <w:pPr>
              <w:spacing w:before="60" w:after="60"/>
              <w:jc w:val="center"/>
              <w:rPr>
                <w:bCs/>
              </w:rPr>
            </w:pPr>
            <w:r>
              <w:rPr>
                <w:bCs/>
              </w:rPr>
              <w:t>159</w:t>
            </w:r>
          </w:p>
        </w:tc>
        <w:tc>
          <w:tcPr>
            <w:tcW w:w="2374" w:type="dxa"/>
            <w:tcBorders>
              <w:bottom w:val="single" w:sz="4" w:space="0" w:color="auto"/>
            </w:tcBorders>
            <w:vAlign w:val="center"/>
          </w:tcPr>
          <w:p w:rsidR="00000000" w:rsidRDefault="00000000">
            <w:pPr>
              <w:spacing w:before="60" w:after="60"/>
              <w:jc w:val="center"/>
              <w:rPr>
                <w:bCs/>
              </w:rPr>
            </w:pPr>
            <w:r>
              <w:rPr>
                <w:bCs/>
              </w:rPr>
              <w:t>160</w:t>
            </w:r>
          </w:p>
        </w:tc>
      </w:tr>
      <w:tr w:rsidR="00000000">
        <w:tblPrEx>
          <w:tblCellMar>
            <w:top w:w="0" w:type="dxa"/>
            <w:bottom w:w="0" w:type="dxa"/>
          </w:tblCellMar>
        </w:tblPrEx>
        <w:tc>
          <w:tcPr>
            <w:tcW w:w="2374" w:type="dxa"/>
            <w:tcBorders>
              <w:top w:val="single" w:sz="4" w:space="0" w:color="auto"/>
              <w:bottom w:val="single" w:sz="4" w:space="0" w:color="auto"/>
            </w:tcBorders>
          </w:tcPr>
          <w:p w:rsidR="00000000" w:rsidRDefault="00000000">
            <w:pPr>
              <w:spacing w:before="60" w:after="60"/>
              <w:rPr>
                <w:bCs/>
              </w:rPr>
            </w:pPr>
            <w:r>
              <w:rPr>
                <w:bCs/>
              </w:rPr>
              <w:t>Villes</w:t>
            </w:r>
          </w:p>
        </w:tc>
        <w:tc>
          <w:tcPr>
            <w:tcW w:w="2374" w:type="dxa"/>
            <w:tcBorders>
              <w:top w:val="single" w:sz="4" w:space="0" w:color="auto"/>
              <w:bottom w:val="single" w:sz="4" w:space="0" w:color="auto"/>
            </w:tcBorders>
            <w:vAlign w:val="center"/>
          </w:tcPr>
          <w:p w:rsidR="00000000" w:rsidRDefault="00000000">
            <w:pPr>
              <w:spacing w:before="60" w:after="60"/>
              <w:jc w:val="center"/>
              <w:rPr>
                <w:bCs/>
              </w:rPr>
            </w:pPr>
            <w:r>
              <w:rPr>
                <w:bCs/>
              </w:rPr>
              <w:t>84</w:t>
            </w:r>
          </w:p>
        </w:tc>
        <w:tc>
          <w:tcPr>
            <w:tcW w:w="2374" w:type="dxa"/>
            <w:tcBorders>
              <w:top w:val="single" w:sz="4" w:space="0" w:color="auto"/>
              <w:bottom w:val="single" w:sz="4" w:space="0" w:color="auto"/>
            </w:tcBorders>
            <w:vAlign w:val="center"/>
          </w:tcPr>
          <w:p w:rsidR="00000000" w:rsidRDefault="00000000">
            <w:pPr>
              <w:spacing w:before="60" w:after="60"/>
              <w:jc w:val="center"/>
              <w:rPr>
                <w:bCs/>
              </w:rPr>
            </w:pPr>
            <w:r>
              <w:rPr>
                <w:bCs/>
              </w:rPr>
              <w:t>84</w:t>
            </w:r>
          </w:p>
        </w:tc>
        <w:tc>
          <w:tcPr>
            <w:tcW w:w="2374" w:type="dxa"/>
            <w:tcBorders>
              <w:top w:val="single" w:sz="4" w:space="0" w:color="auto"/>
              <w:bottom w:val="single" w:sz="4" w:space="0" w:color="auto"/>
            </w:tcBorders>
            <w:vAlign w:val="center"/>
          </w:tcPr>
          <w:p w:rsidR="00000000" w:rsidRDefault="00000000">
            <w:pPr>
              <w:spacing w:before="60" w:after="60"/>
              <w:jc w:val="center"/>
              <w:rPr>
                <w:bCs/>
              </w:rPr>
            </w:pPr>
            <w:r>
              <w:rPr>
                <w:bCs/>
              </w:rPr>
              <w:t>85</w:t>
            </w:r>
          </w:p>
        </w:tc>
      </w:tr>
      <w:tr w:rsidR="00000000">
        <w:tblPrEx>
          <w:tblCellMar>
            <w:top w:w="0" w:type="dxa"/>
            <w:bottom w:w="0" w:type="dxa"/>
          </w:tblCellMar>
        </w:tblPrEx>
        <w:tc>
          <w:tcPr>
            <w:tcW w:w="2374" w:type="dxa"/>
            <w:tcBorders>
              <w:top w:val="single" w:sz="4" w:space="0" w:color="auto"/>
            </w:tcBorders>
          </w:tcPr>
          <w:p w:rsidR="00000000" w:rsidRDefault="00000000">
            <w:pPr>
              <w:spacing w:before="60" w:after="60"/>
              <w:rPr>
                <w:bCs/>
              </w:rPr>
            </w:pPr>
            <w:r>
              <w:rPr>
                <w:bCs/>
              </w:rPr>
              <w:t>Villages</w:t>
            </w:r>
          </w:p>
        </w:tc>
        <w:tc>
          <w:tcPr>
            <w:tcW w:w="2374" w:type="dxa"/>
            <w:tcBorders>
              <w:top w:val="single" w:sz="4" w:space="0" w:color="auto"/>
            </w:tcBorders>
            <w:vAlign w:val="center"/>
          </w:tcPr>
          <w:p w:rsidR="00000000" w:rsidRDefault="00000000">
            <w:pPr>
              <w:spacing w:before="60" w:after="60"/>
              <w:jc w:val="center"/>
              <w:rPr>
                <w:bCs/>
              </w:rPr>
            </w:pPr>
            <w:r>
              <w:rPr>
                <w:bCs/>
              </w:rPr>
              <w:t>241</w:t>
            </w:r>
          </w:p>
        </w:tc>
        <w:tc>
          <w:tcPr>
            <w:tcW w:w="2374" w:type="dxa"/>
            <w:tcBorders>
              <w:top w:val="single" w:sz="4" w:space="0" w:color="auto"/>
            </w:tcBorders>
            <w:vAlign w:val="center"/>
          </w:tcPr>
          <w:p w:rsidR="00000000" w:rsidRDefault="00000000">
            <w:pPr>
              <w:spacing w:before="60" w:after="60"/>
              <w:jc w:val="center"/>
              <w:rPr>
                <w:bCs/>
              </w:rPr>
            </w:pPr>
            <w:r>
              <w:rPr>
                <w:bCs/>
              </w:rPr>
              <w:t>192</w:t>
            </w:r>
          </w:p>
        </w:tc>
        <w:tc>
          <w:tcPr>
            <w:tcW w:w="2374" w:type="dxa"/>
            <w:tcBorders>
              <w:top w:val="single" w:sz="4" w:space="0" w:color="auto"/>
            </w:tcBorders>
            <w:vAlign w:val="center"/>
          </w:tcPr>
          <w:p w:rsidR="00000000" w:rsidRDefault="00000000">
            <w:pPr>
              <w:spacing w:before="60" w:after="60"/>
              <w:jc w:val="center"/>
              <w:rPr>
                <w:bCs/>
              </w:rPr>
            </w:pPr>
            <w:r>
              <w:rPr>
                <w:bCs/>
              </w:rPr>
              <w:t>200</w:t>
            </w:r>
          </w:p>
        </w:tc>
      </w:tr>
    </w:tbl>
    <w:p w:rsidR="00000000" w:rsidRDefault="00000000">
      <w:pPr>
        <w:spacing w:before="240" w:after="240"/>
        <w:rPr>
          <w:bCs/>
        </w:rPr>
      </w:pPr>
      <w:r>
        <w:rPr>
          <w:bCs/>
        </w:rPr>
        <w:tab/>
        <w:t>De par sa superficie, le Kazakhstan est le neuvième pays au monde après la Fédération de Russie, la Chine, les États-Unis d’Amérique, l’Argentine, le Brésil, le Canada, l’Inde et l’Australie. Il possède au total 12 187 kilomètres de frontières avec la Chine, le Kirghizistan, l’Ouzbékistan, le Turkménistan et la Fédération de Russie. Son territoire s’étend sur 3 000 kilomètres d’ouest en est et sur 1 600 kilomètres du nord au sud. Il comprend des régions de forêt</w:t>
      </w:r>
      <w:r>
        <w:rPr>
          <w:bCs/>
        </w:rPr>
        <w:noBreakHyphen/>
        <w:t>steppe, des zones semi</w:t>
      </w:r>
      <w:r>
        <w:rPr>
          <w:bCs/>
        </w:rPr>
        <w:noBreakHyphen/>
        <w:t>désertiques et des zones désertiques tempérées. Les températures moyennes de janvier vont de -18 °C dans le nord et l’est du pays à -3 °C dans le sud. Les températures moyennes de juillet se situent entre +19 °C et +28 °C dans le sud. Le point le plus élevé du Kazakhstan est le sommet du Khan Tengri (7 010 mètres) et le point le plus bas est la dépression de Karagiye (132 mètres au</w:t>
      </w:r>
      <w:r>
        <w:rPr>
          <w:bCs/>
        </w:rPr>
        <w:noBreakHyphen/>
        <w:t>dessous du niveau de la mer). La faune du Kazakhstan compte aujourd’hui 172 espèces de mammifères, 490 espèces d’oiseaux, 51 espèces de reptiles, 12 espèces d’amphibiens et plus de 100 espèces de poissons. Le sud</w:t>
      </w:r>
      <w:r>
        <w:rPr>
          <w:bCs/>
        </w:rPr>
        <w:noBreakHyphen/>
        <w:t>ouest du Kazakhstan est riverain de deux mers intérieures: la Caspienne et la mer d’Aral. Le Kazakhstan est le plus grand pays enclavé.</w:t>
      </w:r>
    </w:p>
    <w:p w:rsidR="00000000" w:rsidRDefault="00000000">
      <w:pPr>
        <w:keepNext/>
        <w:spacing w:after="240"/>
        <w:jc w:val="center"/>
        <w:rPr>
          <w:b/>
        </w:rPr>
      </w:pPr>
      <w:r>
        <w:rPr>
          <w:b/>
        </w:rPr>
        <w:t>Potentiel des ressources naturelles</w:t>
      </w:r>
    </w:p>
    <w:p w:rsidR="00000000" w:rsidRDefault="00000000">
      <w:pPr>
        <w:spacing w:after="240"/>
        <w:rPr>
          <w:bCs/>
        </w:rPr>
      </w:pPr>
      <w:r>
        <w:rPr>
          <w:bCs/>
        </w:rPr>
        <w:t>2.</w:t>
      </w:r>
      <w:r>
        <w:rPr>
          <w:bCs/>
        </w:rPr>
        <w:tab/>
        <w:t>On trouve au Kazakhstan des ressources minérales très diverses représentant 99 des 105 éléments figurant au tableau périodique de Mendéleef. Le Kazakhstan possède les plus grandes réserves connues de zinc, de tungstène et de sulfate de baryum du monde; les deuxièmes plus grandes réserves connues d’argent, de plomb et de chromite, les troisièmes de cuivre et de fluorite, les quatrièmes de molybdène, et les sixièmes d’or.</w:t>
      </w:r>
    </w:p>
    <w:p w:rsidR="00000000" w:rsidRDefault="00000000">
      <w:pPr>
        <w:spacing w:after="240"/>
        <w:rPr>
          <w:bCs/>
        </w:rPr>
      </w:pPr>
      <w:r>
        <w:rPr>
          <w:bCs/>
        </w:rPr>
        <w:tab/>
        <w:t>Parmi les pays de la Communauté d’États indépendants (CEI), le Kazakhstan se place comme suit pour ses gisements de minerais: premier pour les chromites et le plomb; deuxième pour le pétrole, le charbon, le cuivre, le nickel et le phosphore; et troisième pour l’extraction de l’or.</w:t>
      </w:r>
    </w:p>
    <w:p w:rsidR="00000000" w:rsidRDefault="00000000">
      <w:pPr>
        <w:spacing w:after="240"/>
        <w:rPr>
          <w:bCs/>
        </w:rPr>
      </w:pPr>
      <w:r>
        <w:rPr>
          <w:bCs/>
        </w:rPr>
        <w:tab/>
        <w:t>Selon les estimations du patrimoine minier du pays, les ressources présentant la plus grande importance économique sont le charbon, le pétrole, le cuivre, le fer, le plomb, le zinc, la chromite, l’or et le manganèse.</w:t>
      </w:r>
    </w:p>
    <w:p w:rsidR="00000000" w:rsidRDefault="00000000">
      <w:pPr>
        <w:keepNext/>
        <w:spacing w:after="240"/>
        <w:jc w:val="center"/>
        <w:rPr>
          <w:b/>
        </w:rPr>
      </w:pPr>
      <w:r>
        <w:rPr>
          <w:b/>
        </w:rPr>
        <w:t>Histoire</w:t>
      </w:r>
    </w:p>
    <w:p w:rsidR="00000000" w:rsidRDefault="00000000">
      <w:pPr>
        <w:spacing w:after="240"/>
        <w:rPr>
          <w:bCs/>
        </w:rPr>
      </w:pPr>
      <w:r>
        <w:rPr>
          <w:bCs/>
        </w:rPr>
        <w:t>3.</w:t>
      </w:r>
      <w:r>
        <w:rPr>
          <w:bCs/>
        </w:rPr>
        <w:tab/>
        <w:t>Les manuscrits anciens mentionnent pour la première fois une union de tribus, dont la plus nombreuse était celles des Sakis, vivant dans la région du Kazakhstan vers le milieu du premier millénaire avant J.</w:t>
      </w:r>
      <w:r>
        <w:rPr>
          <w:bCs/>
        </w:rPr>
        <w:noBreakHyphen/>
        <w:t>C. Ces tribus s’adonnaient principalement à l’élevage nomade et semi</w:t>
      </w:r>
      <w:r>
        <w:rPr>
          <w:bCs/>
        </w:rPr>
        <w:noBreakHyphen/>
        <w:t>nomade. Pendant le haut Moyen Âge (aux VI</w:t>
      </w:r>
      <w:r>
        <w:rPr>
          <w:bCs/>
          <w:vertAlign w:val="superscript"/>
        </w:rPr>
        <w:t>e</w:t>
      </w:r>
      <w:r>
        <w:rPr>
          <w:bCs/>
        </w:rPr>
        <w:t xml:space="preserve"> et VII</w:t>
      </w:r>
      <w:r>
        <w:rPr>
          <w:bCs/>
          <w:vertAlign w:val="superscript"/>
        </w:rPr>
        <w:t>e</w:t>
      </w:r>
      <w:r>
        <w:rPr>
          <w:bCs/>
        </w:rPr>
        <w:t> siècles après J.</w:t>
      </w:r>
      <w:r>
        <w:rPr>
          <w:bCs/>
        </w:rPr>
        <w:noBreakHyphen/>
        <w:t>C.), le Kaganat turcique a largement contribué à la genèse d’une identité ethnique. L’ethnie turcique s’est formée aux III</w:t>
      </w:r>
      <w:r>
        <w:rPr>
          <w:bCs/>
          <w:vertAlign w:val="superscript"/>
        </w:rPr>
        <w:t>e</w:t>
      </w:r>
      <w:r>
        <w:rPr>
          <w:bCs/>
        </w:rPr>
        <w:t xml:space="preserve"> et IV</w:t>
      </w:r>
      <w:r>
        <w:rPr>
          <w:bCs/>
          <w:vertAlign w:val="superscript"/>
        </w:rPr>
        <w:t>e</w:t>
      </w:r>
      <w:r>
        <w:rPr>
          <w:bCs/>
        </w:rPr>
        <w:t> siècles dans les régions du Turkestan oriental et de l’Altaï. Les peuples turciques avaient la maîtrise exclusive de la route de la soie conduisant aux régions méditerranéennes. L’islam s’est largement propagé du X</w:t>
      </w:r>
      <w:r>
        <w:rPr>
          <w:bCs/>
          <w:vertAlign w:val="superscript"/>
        </w:rPr>
        <w:t>e</w:t>
      </w:r>
      <w:r>
        <w:rPr>
          <w:bCs/>
        </w:rPr>
        <w:t xml:space="preserve"> au XII</w:t>
      </w:r>
      <w:r>
        <w:rPr>
          <w:bCs/>
          <w:vertAlign w:val="superscript"/>
        </w:rPr>
        <w:t>e</w:t>
      </w:r>
      <w:r>
        <w:rPr>
          <w:bCs/>
        </w:rPr>
        <w:t> siècles. La langue turcique écrite a commencé à se former sur la base de l’écriture arabe. Au XIV</w:t>
      </w:r>
      <w:r>
        <w:rPr>
          <w:bCs/>
          <w:vertAlign w:val="superscript"/>
        </w:rPr>
        <w:t>e</w:t>
      </w:r>
      <w:r>
        <w:rPr>
          <w:bCs/>
        </w:rPr>
        <w:t xml:space="preserve"> et XV</w:t>
      </w:r>
      <w:r>
        <w:rPr>
          <w:bCs/>
          <w:vertAlign w:val="superscript"/>
        </w:rPr>
        <w:t>e</w:t>
      </w:r>
      <w:r>
        <w:rPr>
          <w:bCs/>
        </w:rPr>
        <w:t> siècles, la langue kazakhe se détache du groupe kiptchac de langues turciques.</w:t>
      </w:r>
    </w:p>
    <w:p w:rsidR="00000000" w:rsidRDefault="00000000">
      <w:pPr>
        <w:spacing w:after="240"/>
        <w:rPr>
          <w:bCs/>
        </w:rPr>
      </w:pPr>
      <w:r>
        <w:rPr>
          <w:bCs/>
        </w:rPr>
        <w:tab/>
        <w:t>La désintégration de la Horde d’Or a donné naissance à un grand nombre d’États. C’est ainsi que se sont formés trois khanats quasiment indépendants connus comme la Grande Horde, la Moyenne Horde et la Petite Horde. La puissance du Khanat kazakh contrariant les intérêts d’un certain nombre d’États voisins, une lutte pour l’indépendance nationale fut rapidement engagée.</w:t>
      </w:r>
    </w:p>
    <w:p w:rsidR="00000000" w:rsidRDefault="00000000">
      <w:pPr>
        <w:spacing w:after="240"/>
        <w:rPr>
          <w:bCs/>
        </w:rPr>
      </w:pPr>
      <w:r>
        <w:rPr>
          <w:bCs/>
        </w:rPr>
        <w:tab/>
        <w:t>La complexité de la situation politique extérieure amena les Kazakhs à rechercher des solutions, notamment par le rattachement de la Petite Horde à la Russie en 1731. Le Kazakhstan s’incorpora entièrement à la Russie dans les années 1860. D’octobre 1917 à mars 1918 les Soviets consolident leur pouvoir dans le pays.</w:t>
      </w:r>
    </w:p>
    <w:p w:rsidR="00000000" w:rsidRDefault="00000000">
      <w:pPr>
        <w:spacing w:after="240"/>
        <w:rPr>
          <w:bCs/>
        </w:rPr>
      </w:pPr>
      <w:r>
        <w:rPr>
          <w:bCs/>
        </w:rPr>
        <w:tab/>
        <w:t>Entre 1921 et 1940, le Kazakhstan, essentiellement agraire, se transforme en une société agro</w:t>
      </w:r>
      <w:r>
        <w:rPr>
          <w:bCs/>
        </w:rPr>
        <w:noBreakHyphen/>
        <w:t>industrielle. Après la Deuxième Guerre mondiale, des essais d’armes nucléaires sont réalisés au Kazakhstan pendant une quarantaine d’années. Dans l’ensemble, pendant la période soviétique, le Kazakhstan devient une république agro</w:t>
      </w:r>
      <w:r>
        <w:rPr>
          <w:bCs/>
        </w:rPr>
        <w:noBreakHyphen/>
        <w:t>industrielle dotée d’une intelligentsia très instruite. Le Kazakhstan a déclaré l’indépendance en 1991 et son premier Président, N. A. Nazarbaev a été élu le 1</w:t>
      </w:r>
      <w:r>
        <w:rPr>
          <w:bCs/>
          <w:vertAlign w:val="superscript"/>
        </w:rPr>
        <w:t>er</w:t>
      </w:r>
      <w:r>
        <w:rPr>
          <w:bCs/>
        </w:rPr>
        <w:t> décembre 1991.</w:t>
      </w:r>
    </w:p>
    <w:p w:rsidR="00000000" w:rsidRDefault="00000000">
      <w:pPr>
        <w:keepNext/>
        <w:spacing w:after="240"/>
        <w:jc w:val="center"/>
        <w:rPr>
          <w:b/>
        </w:rPr>
      </w:pPr>
      <w:r>
        <w:rPr>
          <w:b/>
        </w:rPr>
        <w:t>Population</w:t>
      </w:r>
    </w:p>
    <w:p w:rsidR="00000000" w:rsidRDefault="00000000">
      <w:pPr>
        <w:spacing w:after="240"/>
        <w:rPr>
          <w:bCs/>
        </w:rPr>
      </w:pPr>
      <w:r>
        <w:rPr>
          <w:bCs/>
        </w:rPr>
        <w:t>4.</w:t>
      </w:r>
      <w:r>
        <w:rPr>
          <w:bCs/>
        </w:rPr>
        <w:tab/>
        <w:t>Selon l’Agence de statistique de la République du Kazakhstan, le pays comptait 14 957 800 habitants au début de 1999. La population a diminué au cours des deux années suivantes, passant de 14 896 100 habitants en 2000 à 14 841 900 en 2001.</w:t>
      </w:r>
    </w:p>
    <w:p w:rsidR="00000000" w:rsidRDefault="00000000">
      <w:pPr>
        <w:keepNext/>
        <w:spacing w:after="240"/>
        <w:jc w:val="center"/>
        <w:rPr>
          <w:b/>
          <w:bCs/>
        </w:rPr>
      </w:pPr>
      <w:r>
        <w:rPr>
          <w:b/>
          <w:bCs/>
        </w:rPr>
        <w:t>Tableau 2</w:t>
      </w:r>
    </w:p>
    <w:p w:rsidR="00000000" w:rsidRDefault="00000000">
      <w:pPr>
        <w:keepNext/>
        <w:spacing w:after="240"/>
        <w:jc w:val="center"/>
        <w:rPr>
          <w:b/>
          <w:bCs/>
        </w:rPr>
      </w:pPr>
      <w:r>
        <w:rPr>
          <w:b/>
          <w:bCs/>
        </w:rPr>
        <w:t>Composition ethnique de la population</w:t>
      </w:r>
      <w:r>
        <w:rPr>
          <w:b/>
          <w:bCs/>
        </w:rPr>
        <w:br/>
        <w:t>(d’après le recensement de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c>
          <w:tcPr>
            <w:tcW w:w="3165" w:type="dxa"/>
          </w:tcPr>
          <w:p w:rsidR="00000000" w:rsidRDefault="00000000">
            <w:pPr>
              <w:spacing w:before="60" w:after="60"/>
            </w:pPr>
          </w:p>
        </w:tc>
        <w:tc>
          <w:tcPr>
            <w:tcW w:w="3165" w:type="dxa"/>
          </w:tcPr>
          <w:p w:rsidR="00000000" w:rsidRDefault="00000000">
            <w:pPr>
              <w:spacing w:before="60" w:after="60"/>
              <w:jc w:val="center"/>
            </w:pPr>
            <w:r>
              <w:t>Total</w:t>
            </w:r>
          </w:p>
        </w:tc>
        <w:tc>
          <w:tcPr>
            <w:tcW w:w="3166" w:type="dxa"/>
          </w:tcPr>
          <w:p w:rsidR="00000000" w:rsidRDefault="00000000">
            <w:pPr>
              <w:spacing w:before="60" w:after="60"/>
              <w:jc w:val="center"/>
            </w:pPr>
            <w:r>
              <w:t>Pourcentage de la population</w:t>
            </w:r>
          </w:p>
        </w:tc>
      </w:tr>
      <w:tr w:rsidR="00000000">
        <w:tblPrEx>
          <w:tblCellMar>
            <w:top w:w="0" w:type="dxa"/>
            <w:bottom w:w="0" w:type="dxa"/>
          </w:tblCellMar>
        </w:tblPrEx>
        <w:tc>
          <w:tcPr>
            <w:tcW w:w="3165" w:type="dxa"/>
          </w:tcPr>
          <w:p w:rsidR="00000000" w:rsidRDefault="00000000">
            <w:pPr>
              <w:spacing w:before="60" w:after="60"/>
            </w:pPr>
            <w:r>
              <w:t>Population totale</w:t>
            </w:r>
          </w:p>
        </w:tc>
        <w:tc>
          <w:tcPr>
            <w:tcW w:w="3165" w:type="dxa"/>
          </w:tcPr>
          <w:p w:rsidR="00000000" w:rsidRDefault="00000000">
            <w:pPr>
              <w:spacing w:before="60" w:after="60"/>
              <w:jc w:val="right"/>
            </w:pPr>
            <w:r>
              <w:t>14 953 100</w:t>
            </w:r>
          </w:p>
        </w:tc>
        <w:tc>
          <w:tcPr>
            <w:tcW w:w="3166" w:type="dxa"/>
          </w:tcPr>
          <w:p w:rsidR="00000000" w:rsidRDefault="00000000">
            <w:pPr>
              <w:spacing w:before="60" w:after="60"/>
              <w:jc w:val="right"/>
            </w:pPr>
            <w:r>
              <w:t>100,0</w:t>
            </w:r>
          </w:p>
        </w:tc>
      </w:tr>
      <w:tr w:rsidR="00000000">
        <w:tblPrEx>
          <w:tblCellMar>
            <w:top w:w="0" w:type="dxa"/>
            <w:bottom w:w="0" w:type="dxa"/>
          </w:tblCellMar>
        </w:tblPrEx>
        <w:tc>
          <w:tcPr>
            <w:tcW w:w="3165" w:type="dxa"/>
          </w:tcPr>
          <w:p w:rsidR="00000000" w:rsidRDefault="00000000">
            <w:pPr>
              <w:spacing w:before="60" w:after="60"/>
            </w:pPr>
            <w:r>
              <w:t>Kazakhs</w:t>
            </w:r>
          </w:p>
        </w:tc>
        <w:tc>
          <w:tcPr>
            <w:tcW w:w="3165" w:type="dxa"/>
          </w:tcPr>
          <w:p w:rsidR="00000000" w:rsidRDefault="00000000">
            <w:pPr>
              <w:spacing w:before="60" w:after="60"/>
              <w:jc w:val="right"/>
            </w:pPr>
            <w:r>
              <w:t>7 985 000</w:t>
            </w:r>
          </w:p>
        </w:tc>
        <w:tc>
          <w:tcPr>
            <w:tcW w:w="3166" w:type="dxa"/>
          </w:tcPr>
          <w:p w:rsidR="00000000" w:rsidRDefault="00000000">
            <w:pPr>
              <w:spacing w:before="60" w:after="60"/>
              <w:jc w:val="right"/>
            </w:pPr>
            <w:r>
              <w:t>53,4</w:t>
            </w:r>
          </w:p>
        </w:tc>
      </w:tr>
      <w:tr w:rsidR="00000000">
        <w:tblPrEx>
          <w:tblCellMar>
            <w:top w:w="0" w:type="dxa"/>
            <w:bottom w:w="0" w:type="dxa"/>
          </w:tblCellMar>
        </w:tblPrEx>
        <w:tc>
          <w:tcPr>
            <w:tcW w:w="3165" w:type="dxa"/>
          </w:tcPr>
          <w:p w:rsidR="00000000" w:rsidRDefault="00000000">
            <w:pPr>
              <w:spacing w:before="60" w:after="60"/>
            </w:pPr>
            <w:r>
              <w:t>Russes</w:t>
            </w:r>
          </w:p>
        </w:tc>
        <w:tc>
          <w:tcPr>
            <w:tcW w:w="3165" w:type="dxa"/>
          </w:tcPr>
          <w:p w:rsidR="00000000" w:rsidRDefault="00000000">
            <w:pPr>
              <w:spacing w:before="60" w:after="60"/>
              <w:jc w:val="right"/>
            </w:pPr>
            <w:r>
              <w:t>4 479 600</w:t>
            </w:r>
          </w:p>
        </w:tc>
        <w:tc>
          <w:tcPr>
            <w:tcW w:w="3166" w:type="dxa"/>
          </w:tcPr>
          <w:p w:rsidR="00000000" w:rsidRDefault="00000000">
            <w:pPr>
              <w:spacing w:before="60" w:after="60"/>
              <w:jc w:val="right"/>
            </w:pPr>
            <w:r>
              <w:t>30,0</w:t>
            </w:r>
          </w:p>
        </w:tc>
      </w:tr>
      <w:tr w:rsidR="00000000">
        <w:tblPrEx>
          <w:tblCellMar>
            <w:top w:w="0" w:type="dxa"/>
            <w:bottom w:w="0" w:type="dxa"/>
          </w:tblCellMar>
        </w:tblPrEx>
        <w:tc>
          <w:tcPr>
            <w:tcW w:w="3165" w:type="dxa"/>
          </w:tcPr>
          <w:p w:rsidR="00000000" w:rsidRDefault="00000000">
            <w:pPr>
              <w:spacing w:before="60" w:after="60"/>
            </w:pPr>
            <w:r>
              <w:t>Ukrainiens</w:t>
            </w:r>
          </w:p>
        </w:tc>
        <w:tc>
          <w:tcPr>
            <w:tcW w:w="3165" w:type="dxa"/>
          </w:tcPr>
          <w:p w:rsidR="00000000" w:rsidRDefault="00000000">
            <w:pPr>
              <w:spacing w:before="60" w:after="60"/>
              <w:jc w:val="right"/>
            </w:pPr>
            <w:r>
              <w:t>574 100</w:t>
            </w:r>
          </w:p>
        </w:tc>
        <w:tc>
          <w:tcPr>
            <w:tcW w:w="3166" w:type="dxa"/>
          </w:tcPr>
          <w:p w:rsidR="00000000" w:rsidRDefault="00000000">
            <w:pPr>
              <w:spacing w:before="60" w:after="60"/>
              <w:jc w:val="right"/>
            </w:pPr>
            <w:r>
              <w:t>3,7</w:t>
            </w:r>
          </w:p>
        </w:tc>
      </w:tr>
      <w:tr w:rsidR="00000000">
        <w:tblPrEx>
          <w:tblCellMar>
            <w:top w:w="0" w:type="dxa"/>
            <w:bottom w:w="0" w:type="dxa"/>
          </w:tblCellMar>
        </w:tblPrEx>
        <w:tc>
          <w:tcPr>
            <w:tcW w:w="3165" w:type="dxa"/>
          </w:tcPr>
          <w:p w:rsidR="00000000" w:rsidRDefault="00000000">
            <w:pPr>
              <w:spacing w:before="60" w:after="60"/>
            </w:pPr>
            <w:r>
              <w:t>Ouzbeks</w:t>
            </w:r>
          </w:p>
        </w:tc>
        <w:tc>
          <w:tcPr>
            <w:tcW w:w="3165" w:type="dxa"/>
          </w:tcPr>
          <w:p w:rsidR="00000000" w:rsidRDefault="00000000">
            <w:pPr>
              <w:spacing w:before="60" w:after="60"/>
              <w:jc w:val="right"/>
            </w:pPr>
            <w:r>
              <w:t>370 700</w:t>
            </w:r>
          </w:p>
        </w:tc>
        <w:tc>
          <w:tcPr>
            <w:tcW w:w="3166" w:type="dxa"/>
          </w:tcPr>
          <w:p w:rsidR="00000000" w:rsidRDefault="00000000">
            <w:pPr>
              <w:spacing w:before="60" w:after="60"/>
              <w:jc w:val="right"/>
            </w:pPr>
            <w:r>
              <w:t>2,5</w:t>
            </w:r>
          </w:p>
        </w:tc>
      </w:tr>
      <w:tr w:rsidR="00000000">
        <w:tblPrEx>
          <w:tblCellMar>
            <w:top w:w="0" w:type="dxa"/>
            <w:bottom w:w="0" w:type="dxa"/>
          </w:tblCellMar>
        </w:tblPrEx>
        <w:tc>
          <w:tcPr>
            <w:tcW w:w="3165" w:type="dxa"/>
          </w:tcPr>
          <w:p w:rsidR="00000000" w:rsidRDefault="00000000">
            <w:pPr>
              <w:spacing w:before="60" w:after="60"/>
            </w:pPr>
            <w:r>
              <w:t>Allemands</w:t>
            </w:r>
          </w:p>
        </w:tc>
        <w:tc>
          <w:tcPr>
            <w:tcW w:w="3165" w:type="dxa"/>
          </w:tcPr>
          <w:p w:rsidR="00000000" w:rsidRDefault="00000000">
            <w:pPr>
              <w:spacing w:before="60" w:after="60"/>
              <w:jc w:val="right"/>
            </w:pPr>
            <w:r>
              <w:t>353 400</w:t>
            </w:r>
          </w:p>
        </w:tc>
        <w:tc>
          <w:tcPr>
            <w:tcW w:w="3166" w:type="dxa"/>
          </w:tcPr>
          <w:p w:rsidR="00000000" w:rsidRDefault="00000000">
            <w:pPr>
              <w:spacing w:before="60" w:after="60"/>
              <w:jc w:val="right"/>
            </w:pPr>
            <w:r>
              <w:t>2,4</w:t>
            </w:r>
          </w:p>
        </w:tc>
      </w:tr>
      <w:tr w:rsidR="00000000">
        <w:tblPrEx>
          <w:tblCellMar>
            <w:top w:w="0" w:type="dxa"/>
            <w:bottom w:w="0" w:type="dxa"/>
          </w:tblCellMar>
        </w:tblPrEx>
        <w:tc>
          <w:tcPr>
            <w:tcW w:w="3165" w:type="dxa"/>
          </w:tcPr>
          <w:p w:rsidR="00000000" w:rsidRDefault="00000000">
            <w:pPr>
              <w:spacing w:before="60" w:after="60"/>
            </w:pPr>
            <w:r>
              <w:t>Tatars</w:t>
            </w:r>
          </w:p>
        </w:tc>
        <w:tc>
          <w:tcPr>
            <w:tcW w:w="3165" w:type="dxa"/>
          </w:tcPr>
          <w:p w:rsidR="00000000" w:rsidRDefault="00000000">
            <w:pPr>
              <w:spacing w:before="60" w:after="60"/>
              <w:jc w:val="right"/>
            </w:pPr>
            <w:r>
              <w:t>249 000</w:t>
            </w:r>
          </w:p>
        </w:tc>
        <w:tc>
          <w:tcPr>
            <w:tcW w:w="3166" w:type="dxa"/>
          </w:tcPr>
          <w:p w:rsidR="00000000" w:rsidRDefault="00000000">
            <w:pPr>
              <w:spacing w:before="60" w:after="60"/>
              <w:jc w:val="right"/>
            </w:pPr>
            <w:r>
              <w:t>1,7</w:t>
            </w:r>
          </w:p>
        </w:tc>
      </w:tr>
      <w:tr w:rsidR="00000000">
        <w:tblPrEx>
          <w:tblCellMar>
            <w:top w:w="0" w:type="dxa"/>
            <w:bottom w:w="0" w:type="dxa"/>
          </w:tblCellMar>
        </w:tblPrEx>
        <w:tc>
          <w:tcPr>
            <w:tcW w:w="3165" w:type="dxa"/>
          </w:tcPr>
          <w:p w:rsidR="00000000" w:rsidRDefault="00000000">
            <w:pPr>
              <w:spacing w:before="60" w:after="60"/>
            </w:pPr>
            <w:r>
              <w:t>Ouighours</w:t>
            </w:r>
          </w:p>
        </w:tc>
        <w:tc>
          <w:tcPr>
            <w:tcW w:w="3165" w:type="dxa"/>
          </w:tcPr>
          <w:p w:rsidR="00000000" w:rsidRDefault="00000000">
            <w:pPr>
              <w:spacing w:before="60" w:after="60"/>
              <w:jc w:val="right"/>
            </w:pPr>
            <w:r>
              <w:t>210 400</w:t>
            </w:r>
          </w:p>
        </w:tc>
        <w:tc>
          <w:tcPr>
            <w:tcW w:w="3166" w:type="dxa"/>
          </w:tcPr>
          <w:p w:rsidR="00000000" w:rsidRDefault="00000000">
            <w:pPr>
              <w:spacing w:before="60" w:after="60"/>
              <w:jc w:val="right"/>
            </w:pPr>
            <w:r>
              <w:t>1,4</w:t>
            </w:r>
          </w:p>
        </w:tc>
      </w:tr>
      <w:tr w:rsidR="00000000">
        <w:tblPrEx>
          <w:tblCellMar>
            <w:top w:w="0" w:type="dxa"/>
            <w:bottom w:w="0" w:type="dxa"/>
          </w:tblCellMar>
        </w:tblPrEx>
        <w:tc>
          <w:tcPr>
            <w:tcW w:w="3165" w:type="dxa"/>
          </w:tcPr>
          <w:p w:rsidR="00000000" w:rsidRDefault="00000000">
            <w:pPr>
              <w:spacing w:before="60" w:after="60"/>
            </w:pPr>
            <w:r>
              <w:t>Bélarussiens</w:t>
            </w:r>
          </w:p>
        </w:tc>
        <w:tc>
          <w:tcPr>
            <w:tcW w:w="3165" w:type="dxa"/>
          </w:tcPr>
          <w:p w:rsidR="00000000" w:rsidRDefault="00000000">
            <w:pPr>
              <w:spacing w:before="60" w:after="60"/>
              <w:jc w:val="right"/>
            </w:pPr>
            <w:r>
              <w:t>111 900</w:t>
            </w:r>
          </w:p>
        </w:tc>
        <w:tc>
          <w:tcPr>
            <w:tcW w:w="3166" w:type="dxa"/>
          </w:tcPr>
          <w:p w:rsidR="00000000" w:rsidRDefault="00000000">
            <w:pPr>
              <w:spacing w:before="60" w:after="60"/>
              <w:jc w:val="right"/>
            </w:pPr>
            <w:r>
              <w:t>0,8</w:t>
            </w:r>
          </w:p>
        </w:tc>
      </w:tr>
      <w:tr w:rsidR="00000000">
        <w:tblPrEx>
          <w:tblCellMar>
            <w:top w:w="0" w:type="dxa"/>
            <w:bottom w:w="0" w:type="dxa"/>
          </w:tblCellMar>
        </w:tblPrEx>
        <w:tc>
          <w:tcPr>
            <w:tcW w:w="3165" w:type="dxa"/>
          </w:tcPr>
          <w:p w:rsidR="00000000" w:rsidRDefault="00000000">
            <w:pPr>
              <w:spacing w:before="60" w:after="60"/>
            </w:pPr>
            <w:r>
              <w:t>Coréens</w:t>
            </w:r>
          </w:p>
        </w:tc>
        <w:tc>
          <w:tcPr>
            <w:tcW w:w="3165" w:type="dxa"/>
          </w:tcPr>
          <w:p w:rsidR="00000000" w:rsidRDefault="00000000">
            <w:pPr>
              <w:spacing w:before="60" w:after="60"/>
              <w:jc w:val="right"/>
            </w:pPr>
            <w:r>
              <w:t>99 700</w:t>
            </w:r>
          </w:p>
        </w:tc>
        <w:tc>
          <w:tcPr>
            <w:tcW w:w="3166" w:type="dxa"/>
          </w:tcPr>
          <w:p w:rsidR="00000000" w:rsidRDefault="00000000">
            <w:pPr>
              <w:spacing w:before="60" w:after="60"/>
              <w:jc w:val="right"/>
            </w:pPr>
            <w:r>
              <w:t>0,7</w:t>
            </w:r>
          </w:p>
        </w:tc>
      </w:tr>
      <w:tr w:rsidR="00000000">
        <w:tblPrEx>
          <w:tblCellMar>
            <w:top w:w="0" w:type="dxa"/>
            <w:bottom w:w="0" w:type="dxa"/>
          </w:tblCellMar>
        </w:tblPrEx>
        <w:tc>
          <w:tcPr>
            <w:tcW w:w="3165" w:type="dxa"/>
          </w:tcPr>
          <w:p w:rsidR="00000000" w:rsidRDefault="00000000">
            <w:pPr>
              <w:spacing w:before="60" w:after="60"/>
            </w:pPr>
            <w:r>
              <w:t>Azerbaïdjanais</w:t>
            </w:r>
          </w:p>
        </w:tc>
        <w:tc>
          <w:tcPr>
            <w:tcW w:w="3165" w:type="dxa"/>
          </w:tcPr>
          <w:p w:rsidR="00000000" w:rsidRDefault="00000000">
            <w:pPr>
              <w:spacing w:before="60" w:after="60"/>
              <w:jc w:val="right"/>
            </w:pPr>
            <w:r>
              <w:t>78 300</w:t>
            </w:r>
          </w:p>
        </w:tc>
        <w:tc>
          <w:tcPr>
            <w:tcW w:w="3166" w:type="dxa"/>
          </w:tcPr>
          <w:p w:rsidR="00000000" w:rsidRDefault="00000000">
            <w:pPr>
              <w:spacing w:before="60" w:after="60"/>
              <w:jc w:val="right"/>
            </w:pPr>
            <w:r>
              <w:t>0,5</w:t>
            </w:r>
          </w:p>
        </w:tc>
      </w:tr>
      <w:tr w:rsidR="00000000">
        <w:tblPrEx>
          <w:tblCellMar>
            <w:top w:w="0" w:type="dxa"/>
            <w:bottom w:w="0" w:type="dxa"/>
          </w:tblCellMar>
        </w:tblPrEx>
        <w:tc>
          <w:tcPr>
            <w:tcW w:w="3165" w:type="dxa"/>
          </w:tcPr>
          <w:p w:rsidR="00000000" w:rsidRDefault="00000000">
            <w:pPr>
              <w:spacing w:before="60" w:after="60"/>
            </w:pPr>
            <w:r>
              <w:t>Turcs</w:t>
            </w:r>
          </w:p>
        </w:tc>
        <w:tc>
          <w:tcPr>
            <w:tcW w:w="3165" w:type="dxa"/>
          </w:tcPr>
          <w:p w:rsidR="00000000" w:rsidRDefault="00000000">
            <w:pPr>
              <w:spacing w:before="60" w:after="60"/>
              <w:jc w:val="right"/>
            </w:pPr>
            <w:r>
              <w:t>78 700</w:t>
            </w:r>
          </w:p>
        </w:tc>
        <w:tc>
          <w:tcPr>
            <w:tcW w:w="3166" w:type="dxa"/>
          </w:tcPr>
          <w:p w:rsidR="00000000" w:rsidRDefault="00000000">
            <w:pPr>
              <w:spacing w:before="60" w:after="60"/>
              <w:jc w:val="right"/>
            </w:pPr>
            <w:r>
              <w:t>0,5</w:t>
            </w:r>
          </w:p>
        </w:tc>
      </w:tr>
      <w:tr w:rsidR="00000000">
        <w:tblPrEx>
          <w:tblCellMar>
            <w:top w:w="0" w:type="dxa"/>
            <w:bottom w:w="0" w:type="dxa"/>
          </w:tblCellMar>
        </w:tblPrEx>
        <w:tc>
          <w:tcPr>
            <w:tcW w:w="3165" w:type="dxa"/>
          </w:tcPr>
          <w:p w:rsidR="00000000" w:rsidRDefault="00000000">
            <w:pPr>
              <w:spacing w:before="60" w:after="60"/>
            </w:pPr>
            <w:r>
              <w:t>Autres nationalités</w:t>
            </w:r>
          </w:p>
        </w:tc>
        <w:tc>
          <w:tcPr>
            <w:tcW w:w="3165" w:type="dxa"/>
          </w:tcPr>
          <w:p w:rsidR="00000000" w:rsidRDefault="00000000">
            <w:pPr>
              <w:spacing w:before="60" w:after="60"/>
              <w:jc w:val="right"/>
            </w:pPr>
            <w:r>
              <w:t>389 300</w:t>
            </w:r>
          </w:p>
        </w:tc>
        <w:tc>
          <w:tcPr>
            <w:tcW w:w="3166" w:type="dxa"/>
          </w:tcPr>
          <w:p w:rsidR="00000000" w:rsidRDefault="00000000">
            <w:pPr>
              <w:spacing w:before="60" w:after="60"/>
              <w:jc w:val="right"/>
            </w:pPr>
            <w:r>
              <w:t>2,4</w:t>
            </w:r>
          </w:p>
        </w:tc>
      </w:tr>
    </w:tbl>
    <w:p w:rsidR="00000000" w:rsidRDefault="00000000">
      <w:pPr>
        <w:keepNext/>
        <w:spacing w:before="240" w:after="240"/>
        <w:jc w:val="center"/>
        <w:rPr>
          <w:b/>
          <w:bCs/>
        </w:rPr>
      </w:pPr>
      <w:r>
        <w:rPr>
          <w:b/>
          <w:bCs/>
        </w:rPr>
        <w:t>Tableau 3</w:t>
      </w:r>
    </w:p>
    <w:p w:rsidR="00000000" w:rsidRDefault="00000000">
      <w:pPr>
        <w:keepNext/>
        <w:spacing w:after="240"/>
        <w:jc w:val="center"/>
      </w:pPr>
      <w:r>
        <w:rPr>
          <w:b/>
          <w:bCs/>
        </w:rPr>
        <w:t>Population ventilée par âge</w:t>
      </w:r>
      <w:r>
        <w:rPr>
          <w:b/>
          <w:bCs/>
        </w:rPr>
        <w:br/>
        <w:t>(situation au début de l’année indiquée)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tblHeader/>
        </w:trPr>
        <w:tc>
          <w:tcPr>
            <w:tcW w:w="2374" w:type="dxa"/>
          </w:tcPr>
          <w:p w:rsidR="00000000" w:rsidRDefault="00000000">
            <w:pPr>
              <w:spacing w:before="60" w:after="60"/>
              <w:jc w:val="center"/>
            </w:pPr>
            <w:r>
              <w:t>Âge</w:t>
            </w:r>
          </w:p>
        </w:tc>
        <w:tc>
          <w:tcPr>
            <w:tcW w:w="2374" w:type="dxa"/>
          </w:tcPr>
          <w:p w:rsidR="00000000" w:rsidRDefault="00000000">
            <w:pPr>
              <w:spacing w:before="60" w:after="60"/>
              <w:jc w:val="center"/>
            </w:pPr>
            <w:r>
              <w:t>1999</w:t>
            </w:r>
          </w:p>
        </w:tc>
        <w:tc>
          <w:tcPr>
            <w:tcW w:w="2374" w:type="dxa"/>
          </w:tcPr>
          <w:p w:rsidR="00000000" w:rsidRDefault="00000000">
            <w:pPr>
              <w:spacing w:before="60" w:after="60"/>
              <w:jc w:val="center"/>
            </w:pPr>
            <w:r>
              <w:t>2000</w:t>
            </w:r>
          </w:p>
        </w:tc>
        <w:tc>
          <w:tcPr>
            <w:tcW w:w="2374" w:type="dxa"/>
          </w:tcPr>
          <w:p w:rsidR="00000000" w:rsidRDefault="00000000">
            <w:pPr>
              <w:spacing w:before="60" w:after="60"/>
              <w:jc w:val="center"/>
            </w:pPr>
            <w:r>
              <w:t>2001</w:t>
            </w:r>
          </w:p>
        </w:tc>
      </w:tr>
      <w:tr w:rsidR="00000000">
        <w:tblPrEx>
          <w:tblCellMar>
            <w:top w:w="0" w:type="dxa"/>
            <w:bottom w:w="0" w:type="dxa"/>
          </w:tblCellMar>
        </w:tblPrEx>
        <w:tc>
          <w:tcPr>
            <w:tcW w:w="2374" w:type="dxa"/>
          </w:tcPr>
          <w:p w:rsidR="00000000" w:rsidRDefault="00000000">
            <w:pPr>
              <w:spacing w:before="60" w:after="60"/>
              <w:jc w:val="center"/>
            </w:pPr>
            <w:r>
              <w:t>Moins de 1 an</w:t>
            </w:r>
          </w:p>
        </w:tc>
        <w:tc>
          <w:tcPr>
            <w:tcW w:w="2374" w:type="dxa"/>
          </w:tcPr>
          <w:p w:rsidR="00000000" w:rsidRDefault="00000000">
            <w:pPr>
              <w:spacing w:before="60" w:after="60"/>
              <w:jc w:val="right"/>
            </w:pPr>
            <w:r>
              <w:t>217 800</w:t>
            </w:r>
          </w:p>
        </w:tc>
        <w:tc>
          <w:tcPr>
            <w:tcW w:w="2374" w:type="dxa"/>
          </w:tcPr>
          <w:p w:rsidR="00000000" w:rsidRDefault="00000000">
            <w:pPr>
              <w:spacing w:before="60" w:after="60"/>
              <w:jc w:val="right"/>
            </w:pPr>
            <w:r>
              <w:t>205 100</w:t>
            </w:r>
          </w:p>
        </w:tc>
        <w:tc>
          <w:tcPr>
            <w:tcW w:w="2374" w:type="dxa"/>
          </w:tcPr>
          <w:p w:rsidR="00000000" w:rsidRDefault="00000000">
            <w:pPr>
              <w:spacing w:before="60" w:after="60"/>
              <w:jc w:val="right"/>
            </w:pPr>
            <w:r>
              <w:t>214 800</w:t>
            </w:r>
          </w:p>
        </w:tc>
      </w:tr>
      <w:tr w:rsidR="00000000">
        <w:tblPrEx>
          <w:tblCellMar>
            <w:top w:w="0" w:type="dxa"/>
            <w:bottom w:w="0" w:type="dxa"/>
          </w:tblCellMar>
        </w:tblPrEx>
        <w:tc>
          <w:tcPr>
            <w:tcW w:w="2374" w:type="dxa"/>
          </w:tcPr>
          <w:p w:rsidR="00000000" w:rsidRDefault="00000000">
            <w:pPr>
              <w:spacing w:before="60" w:after="60"/>
              <w:jc w:val="center"/>
            </w:pPr>
            <w:r>
              <w:t>1 à 4 ans</w:t>
            </w:r>
          </w:p>
        </w:tc>
        <w:tc>
          <w:tcPr>
            <w:tcW w:w="2374" w:type="dxa"/>
          </w:tcPr>
          <w:p w:rsidR="00000000" w:rsidRDefault="00000000">
            <w:pPr>
              <w:spacing w:before="60" w:after="60"/>
              <w:jc w:val="right"/>
            </w:pPr>
            <w:r>
              <w:t>972 300</w:t>
            </w:r>
          </w:p>
        </w:tc>
        <w:tc>
          <w:tcPr>
            <w:tcW w:w="2374" w:type="dxa"/>
          </w:tcPr>
          <w:p w:rsidR="00000000" w:rsidRDefault="00000000">
            <w:pPr>
              <w:spacing w:before="60" w:after="60"/>
              <w:jc w:val="right"/>
            </w:pPr>
            <w:r>
              <w:t>911 800</w:t>
            </w:r>
          </w:p>
        </w:tc>
        <w:tc>
          <w:tcPr>
            <w:tcW w:w="2374" w:type="dxa"/>
          </w:tcPr>
          <w:p w:rsidR="00000000" w:rsidRDefault="00000000">
            <w:pPr>
              <w:spacing w:before="60" w:after="60"/>
              <w:jc w:val="right"/>
            </w:pPr>
            <w:r>
              <w:t>861 500</w:t>
            </w:r>
          </w:p>
        </w:tc>
      </w:tr>
      <w:tr w:rsidR="00000000">
        <w:tblPrEx>
          <w:tblCellMar>
            <w:top w:w="0" w:type="dxa"/>
            <w:bottom w:w="0" w:type="dxa"/>
          </w:tblCellMar>
        </w:tblPrEx>
        <w:tc>
          <w:tcPr>
            <w:tcW w:w="2374" w:type="dxa"/>
          </w:tcPr>
          <w:p w:rsidR="00000000" w:rsidRDefault="00000000">
            <w:pPr>
              <w:spacing w:before="60" w:after="60"/>
              <w:jc w:val="center"/>
            </w:pPr>
            <w:r>
              <w:t>5 à 9 ans</w:t>
            </w:r>
          </w:p>
        </w:tc>
        <w:tc>
          <w:tcPr>
            <w:tcW w:w="2374" w:type="dxa"/>
          </w:tcPr>
          <w:p w:rsidR="00000000" w:rsidRDefault="00000000">
            <w:pPr>
              <w:spacing w:before="60" w:after="60"/>
              <w:jc w:val="right"/>
            </w:pPr>
            <w:r>
              <w:t>1 501 100</w:t>
            </w:r>
          </w:p>
        </w:tc>
        <w:tc>
          <w:tcPr>
            <w:tcW w:w="2374" w:type="dxa"/>
          </w:tcPr>
          <w:p w:rsidR="00000000" w:rsidRDefault="00000000">
            <w:pPr>
              <w:spacing w:before="60" w:after="60"/>
              <w:jc w:val="right"/>
            </w:pPr>
            <w:r>
              <w:t>1 446 900</w:t>
            </w:r>
          </w:p>
        </w:tc>
        <w:tc>
          <w:tcPr>
            <w:tcW w:w="2374" w:type="dxa"/>
          </w:tcPr>
          <w:p w:rsidR="00000000" w:rsidRDefault="00000000">
            <w:pPr>
              <w:spacing w:before="60" w:after="60"/>
              <w:jc w:val="right"/>
            </w:pPr>
            <w:r>
              <w:t>1 384 200</w:t>
            </w:r>
          </w:p>
        </w:tc>
      </w:tr>
      <w:tr w:rsidR="00000000">
        <w:tblPrEx>
          <w:tblCellMar>
            <w:top w:w="0" w:type="dxa"/>
            <w:bottom w:w="0" w:type="dxa"/>
          </w:tblCellMar>
        </w:tblPrEx>
        <w:tc>
          <w:tcPr>
            <w:tcW w:w="2374" w:type="dxa"/>
          </w:tcPr>
          <w:p w:rsidR="00000000" w:rsidRDefault="00000000">
            <w:pPr>
              <w:spacing w:before="60" w:after="60"/>
              <w:jc w:val="center"/>
            </w:pPr>
            <w:r>
              <w:t>10 à 14 ans</w:t>
            </w:r>
          </w:p>
        </w:tc>
        <w:tc>
          <w:tcPr>
            <w:tcW w:w="2374" w:type="dxa"/>
          </w:tcPr>
          <w:p w:rsidR="00000000" w:rsidRDefault="00000000">
            <w:pPr>
              <w:spacing w:before="60" w:after="60"/>
              <w:jc w:val="right"/>
            </w:pPr>
            <w:r>
              <w:t>1 606 900</w:t>
            </w:r>
          </w:p>
        </w:tc>
        <w:tc>
          <w:tcPr>
            <w:tcW w:w="2374" w:type="dxa"/>
          </w:tcPr>
          <w:p w:rsidR="00000000" w:rsidRDefault="00000000">
            <w:pPr>
              <w:spacing w:before="60" w:after="60"/>
              <w:jc w:val="right"/>
            </w:pPr>
            <w:r>
              <w:t>1 602 100</w:t>
            </w:r>
          </w:p>
        </w:tc>
        <w:tc>
          <w:tcPr>
            <w:tcW w:w="2374" w:type="dxa"/>
          </w:tcPr>
          <w:p w:rsidR="00000000" w:rsidRDefault="00000000">
            <w:pPr>
              <w:spacing w:before="60" w:after="60"/>
              <w:jc w:val="right"/>
            </w:pPr>
            <w:r>
              <w:t>1 586 500</w:t>
            </w:r>
          </w:p>
        </w:tc>
      </w:tr>
      <w:tr w:rsidR="00000000">
        <w:tblPrEx>
          <w:tblCellMar>
            <w:top w:w="0" w:type="dxa"/>
            <w:bottom w:w="0" w:type="dxa"/>
          </w:tblCellMar>
        </w:tblPrEx>
        <w:tc>
          <w:tcPr>
            <w:tcW w:w="2374" w:type="dxa"/>
          </w:tcPr>
          <w:p w:rsidR="00000000" w:rsidRDefault="00000000">
            <w:pPr>
              <w:spacing w:before="60" w:after="60"/>
              <w:jc w:val="center"/>
            </w:pPr>
            <w:r>
              <w:t>15 à 19 ans</w:t>
            </w:r>
          </w:p>
        </w:tc>
        <w:tc>
          <w:tcPr>
            <w:tcW w:w="2374" w:type="dxa"/>
          </w:tcPr>
          <w:p w:rsidR="00000000" w:rsidRDefault="00000000">
            <w:pPr>
              <w:spacing w:before="60" w:after="60"/>
              <w:jc w:val="right"/>
            </w:pPr>
            <w:r>
              <w:t>1 398 900</w:t>
            </w:r>
          </w:p>
        </w:tc>
        <w:tc>
          <w:tcPr>
            <w:tcW w:w="2374" w:type="dxa"/>
          </w:tcPr>
          <w:p w:rsidR="00000000" w:rsidRDefault="00000000">
            <w:pPr>
              <w:spacing w:before="60" w:after="60"/>
              <w:jc w:val="right"/>
            </w:pPr>
            <w:r>
              <w:t>1 422 900</w:t>
            </w:r>
          </w:p>
        </w:tc>
        <w:tc>
          <w:tcPr>
            <w:tcW w:w="2374" w:type="dxa"/>
          </w:tcPr>
          <w:p w:rsidR="00000000" w:rsidRDefault="00000000">
            <w:pPr>
              <w:spacing w:before="60" w:after="60"/>
              <w:jc w:val="right"/>
            </w:pPr>
            <w:r>
              <w:t>1 450 900</w:t>
            </w:r>
          </w:p>
        </w:tc>
      </w:tr>
      <w:tr w:rsidR="00000000">
        <w:tblPrEx>
          <w:tblCellMar>
            <w:top w:w="0" w:type="dxa"/>
            <w:bottom w:w="0" w:type="dxa"/>
          </w:tblCellMar>
        </w:tblPrEx>
        <w:tc>
          <w:tcPr>
            <w:tcW w:w="2374" w:type="dxa"/>
          </w:tcPr>
          <w:p w:rsidR="00000000" w:rsidRDefault="00000000">
            <w:pPr>
              <w:spacing w:before="60" w:after="60"/>
              <w:jc w:val="center"/>
            </w:pPr>
            <w:r>
              <w:t>20 à 24 ans</w:t>
            </w:r>
          </w:p>
        </w:tc>
        <w:tc>
          <w:tcPr>
            <w:tcW w:w="2374" w:type="dxa"/>
          </w:tcPr>
          <w:p w:rsidR="00000000" w:rsidRDefault="00000000">
            <w:pPr>
              <w:spacing w:before="60" w:after="60"/>
              <w:jc w:val="right"/>
            </w:pPr>
            <w:r>
              <w:t>1 292 200</w:t>
            </w:r>
          </w:p>
        </w:tc>
        <w:tc>
          <w:tcPr>
            <w:tcW w:w="2374" w:type="dxa"/>
          </w:tcPr>
          <w:p w:rsidR="00000000" w:rsidRDefault="00000000">
            <w:pPr>
              <w:spacing w:before="60" w:after="60"/>
              <w:jc w:val="right"/>
            </w:pPr>
            <w:r>
              <w:t>1 302 300</w:t>
            </w:r>
          </w:p>
        </w:tc>
        <w:tc>
          <w:tcPr>
            <w:tcW w:w="2374" w:type="dxa"/>
          </w:tcPr>
          <w:p w:rsidR="00000000" w:rsidRDefault="00000000">
            <w:pPr>
              <w:spacing w:before="60" w:after="60"/>
              <w:jc w:val="right"/>
            </w:pPr>
            <w:r>
              <w:t>1 308 400</w:t>
            </w:r>
          </w:p>
        </w:tc>
      </w:tr>
      <w:tr w:rsidR="00000000">
        <w:tblPrEx>
          <w:tblCellMar>
            <w:top w:w="0" w:type="dxa"/>
            <w:bottom w:w="0" w:type="dxa"/>
          </w:tblCellMar>
        </w:tblPrEx>
        <w:tc>
          <w:tcPr>
            <w:tcW w:w="2374" w:type="dxa"/>
          </w:tcPr>
          <w:p w:rsidR="00000000" w:rsidRDefault="00000000">
            <w:pPr>
              <w:spacing w:before="60" w:after="60"/>
              <w:jc w:val="center"/>
            </w:pPr>
            <w:r>
              <w:t>25 à 29 ans</w:t>
            </w:r>
          </w:p>
        </w:tc>
        <w:tc>
          <w:tcPr>
            <w:tcW w:w="2374" w:type="dxa"/>
          </w:tcPr>
          <w:p w:rsidR="00000000" w:rsidRDefault="00000000">
            <w:pPr>
              <w:spacing w:before="60" w:after="60"/>
              <w:jc w:val="right"/>
            </w:pPr>
            <w:r>
              <w:t>1 154 600</w:t>
            </w:r>
          </w:p>
        </w:tc>
        <w:tc>
          <w:tcPr>
            <w:tcW w:w="2374" w:type="dxa"/>
          </w:tcPr>
          <w:p w:rsidR="00000000" w:rsidRDefault="00000000">
            <w:pPr>
              <w:spacing w:before="60" w:after="60"/>
              <w:jc w:val="right"/>
            </w:pPr>
            <w:r>
              <w:t>1 164 300</w:t>
            </w:r>
          </w:p>
        </w:tc>
        <w:tc>
          <w:tcPr>
            <w:tcW w:w="2374" w:type="dxa"/>
          </w:tcPr>
          <w:p w:rsidR="00000000" w:rsidRDefault="00000000">
            <w:pPr>
              <w:spacing w:before="60" w:after="60"/>
              <w:jc w:val="right"/>
            </w:pPr>
            <w:r>
              <w:t>1 173 600</w:t>
            </w:r>
          </w:p>
        </w:tc>
      </w:tr>
      <w:tr w:rsidR="00000000">
        <w:tblPrEx>
          <w:tblCellMar>
            <w:top w:w="0" w:type="dxa"/>
            <w:bottom w:w="0" w:type="dxa"/>
          </w:tblCellMar>
        </w:tblPrEx>
        <w:tc>
          <w:tcPr>
            <w:tcW w:w="2374" w:type="dxa"/>
          </w:tcPr>
          <w:p w:rsidR="00000000" w:rsidRDefault="00000000">
            <w:pPr>
              <w:spacing w:before="60" w:after="60"/>
              <w:jc w:val="center"/>
            </w:pPr>
            <w:r>
              <w:t>30 à 34 ans</w:t>
            </w:r>
          </w:p>
        </w:tc>
        <w:tc>
          <w:tcPr>
            <w:tcW w:w="2374" w:type="dxa"/>
          </w:tcPr>
          <w:p w:rsidR="00000000" w:rsidRDefault="00000000">
            <w:pPr>
              <w:spacing w:before="60" w:after="60"/>
              <w:jc w:val="right"/>
            </w:pPr>
            <w:r>
              <w:t>1 069 800</w:t>
            </w:r>
          </w:p>
        </w:tc>
        <w:tc>
          <w:tcPr>
            <w:tcW w:w="2374" w:type="dxa"/>
          </w:tcPr>
          <w:p w:rsidR="00000000" w:rsidRDefault="00000000">
            <w:pPr>
              <w:spacing w:before="60" w:after="60"/>
              <w:jc w:val="right"/>
            </w:pPr>
            <w:r>
              <w:t>1 054 300</w:t>
            </w:r>
          </w:p>
        </w:tc>
        <w:tc>
          <w:tcPr>
            <w:tcW w:w="2374" w:type="dxa"/>
          </w:tcPr>
          <w:p w:rsidR="00000000" w:rsidRDefault="00000000">
            <w:pPr>
              <w:spacing w:before="60" w:after="60"/>
              <w:jc w:val="right"/>
            </w:pPr>
            <w:r>
              <w:t>1 052 300</w:t>
            </w:r>
          </w:p>
        </w:tc>
      </w:tr>
      <w:tr w:rsidR="00000000">
        <w:tblPrEx>
          <w:tblCellMar>
            <w:top w:w="0" w:type="dxa"/>
            <w:bottom w:w="0" w:type="dxa"/>
          </w:tblCellMar>
        </w:tblPrEx>
        <w:tc>
          <w:tcPr>
            <w:tcW w:w="2374" w:type="dxa"/>
          </w:tcPr>
          <w:p w:rsidR="00000000" w:rsidRDefault="00000000">
            <w:pPr>
              <w:spacing w:before="60" w:after="60"/>
              <w:jc w:val="center"/>
            </w:pPr>
            <w:r>
              <w:t>35 à 39 ans</w:t>
            </w:r>
          </w:p>
        </w:tc>
        <w:tc>
          <w:tcPr>
            <w:tcW w:w="2374" w:type="dxa"/>
          </w:tcPr>
          <w:p w:rsidR="00000000" w:rsidRDefault="00000000">
            <w:pPr>
              <w:spacing w:before="60" w:after="60"/>
              <w:jc w:val="right"/>
            </w:pPr>
            <w:r>
              <w:t>1 201 600</w:t>
            </w:r>
          </w:p>
        </w:tc>
        <w:tc>
          <w:tcPr>
            <w:tcW w:w="2374" w:type="dxa"/>
          </w:tcPr>
          <w:p w:rsidR="00000000" w:rsidRDefault="00000000">
            <w:pPr>
              <w:spacing w:before="60" w:after="60"/>
              <w:jc w:val="right"/>
            </w:pPr>
            <w:r>
              <w:t>1 175 500</w:t>
            </w:r>
          </w:p>
        </w:tc>
        <w:tc>
          <w:tcPr>
            <w:tcW w:w="2374" w:type="dxa"/>
          </w:tcPr>
          <w:p w:rsidR="00000000" w:rsidRDefault="00000000">
            <w:pPr>
              <w:spacing w:before="60" w:after="60"/>
              <w:jc w:val="right"/>
            </w:pPr>
            <w:r>
              <w:t>1 133 500</w:t>
            </w:r>
          </w:p>
        </w:tc>
      </w:tr>
      <w:tr w:rsidR="00000000">
        <w:tblPrEx>
          <w:tblCellMar>
            <w:top w:w="0" w:type="dxa"/>
            <w:bottom w:w="0" w:type="dxa"/>
          </w:tblCellMar>
        </w:tblPrEx>
        <w:tc>
          <w:tcPr>
            <w:tcW w:w="2374" w:type="dxa"/>
          </w:tcPr>
          <w:p w:rsidR="00000000" w:rsidRDefault="00000000">
            <w:pPr>
              <w:spacing w:before="60" w:after="60"/>
              <w:jc w:val="center"/>
            </w:pPr>
            <w:r>
              <w:t>40 à 44 ans</w:t>
            </w:r>
          </w:p>
        </w:tc>
        <w:tc>
          <w:tcPr>
            <w:tcW w:w="2374" w:type="dxa"/>
          </w:tcPr>
          <w:p w:rsidR="00000000" w:rsidRDefault="00000000">
            <w:pPr>
              <w:spacing w:before="60" w:after="60"/>
              <w:jc w:val="right"/>
            </w:pPr>
            <w:r>
              <w:t>1 037 600</w:t>
            </w:r>
          </w:p>
        </w:tc>
        <w:tc>
          <w:tcPr>
            <w:tcW w:w="2374" w:type="dxa"/>
          </w:tcPr>
          <w:p w:rsidR="00000000" w:rsidRDefault="00000000">
            <w:pPr>
              <w:spacing w:before="60" w:after="60"/>
              <w:jc w:val="right"/>
            </w:pPr>
            <w:r>
              <w:t>1 063 800</w:t>
            </w:r>
          </w:p>
        </w:tc>
        <w:tc>
          <w:tcPr>
            <w:tcW w:w="2374" w:type="dxa"/>
          </w:tcPr>
          <w:p w:rsidR="00000000" w:rsidRDefault="00000000">
            <w:pPr>
              <w:spacing w:before="60" w:after="60"/>
              <w:jc w:val="right"/>
            </w:pPr>
            <w:r>
              <w:t>1 092 100</w:t>
            </w:r>
          </w:p>
        </w:tc>
      </w:tr>
      <w:tr w:rsidR="00000000">
        <w:tblPrEx>
          <w:tblCellMar>
            <w:top w:w="0" w:type="dxa"/>
            <w:bottom w:w="0" w:type="dxa"/>
          </w:tblCellMar>
        </w:tblPrEx>
        <w:tc>
          <w:tcPr>
            <w:tcW w:w="2374" w:type="dxa"/>
          </w:tcPr>
          <w:p w:rsidR="00000000" w:rsidRDefault="00000000">
            <w:pPr>
              <w:spacing w:before="60" w:after="60"/>
              <w:jc w:val="center"/>
            </w:pPr>
            <w:r>
              <w:t>45 à 49 ans</w:t>
            </w:r>
          </w:p>
        </w:tc>
        <w:tc>
          <w:tcPr>
            <w:tcW w:w="2374" w:type="dxa"/>
          </w:tcPr>
          <w:p w:rsidR="00000000" w:rsidRDefault="00000000">
            <w:pPr>
              <w:spacing w:before="60" w:after="60"/>
              <w:jc w:val="right"/>
            </w:pPr>
            <w:r>
              <w:t>855 400</w:t>
            </w:r>
          </w:p>
        </w:tc>
        <w:tc>
          <w:tcPr>
            <w:tcW w:w="2374" w:type="dxa"/>
          </w:tcPr>
          <w:p w:rsidR="00000000" w:rsidRDefault="00000000">
            <w:pPr>
              <w:spacing w:before="60" w:after="60"/>
              <w:jc w:val="right"/>
            </w:pPr>
            <w:r>
              <w:t>869 900</w:t>
            </w:r>
          </w:p>
        </w:tc>
        <w:tc>
          <w:tcPr>
            <w:tcW w:w="2374" w:type="dxa"/>
          </w:tcPr>
          <w:p w:rsidR="00000000" w:rsidRDefault="00000000">
            <w:pPr>
              <w:spacing w:before="60" w:after="60"/>
              <w:jc w:val="right"/>
            </w:pPr>
            <w:r>
              <w:t>883 600</w:t>
            </w:r>
          </w:p>
        </w:tc>
      </w:tr>
      <w:tr w:rsidR="00000000">
        <w:tblPrEx>
          <w:tblCellMar>
            <w:top w:w="0" w:type="dxa"/>
            <w:bottom w:w="0" w:type="dxa"/>
          </w:tblCellMar>
        </w:tblPrEx>
        <w:tc>
          <w:tcPr>
            <w:tcW w:w="2374" w:type="dxa"/>
          </w:tcPr>
          <w:p w:rsidR="00000000" w:rsidRDefault="00000000">
            <w:pPr>
              <w:spacing w:before="60" w:after="60"/>
              <w:jc w:val="center"/>
            </w:pPr>
            <w:r>
              <w:t>50 à 54 ans</w:t>
            </w:r>
          </w:p>
        </w:tc>
        <w:tc>
          <w:tcPr>
            <w:tcW w:w="2374" w:type="dxa"/>
          </w:tcPr>
          <w:p w:rsidR="00000000" w:rsidRDefault="00000000">
            <w:pPr>
              <w:spacing w:before="60" w:after="60"/>
              <w:jc w:val="right"/>
            </w:pPr>
            <w:r>
              <w:t>525 700</w:t>
            </w:r>
          </w:p>
        </w:tc>
        <w:tc>
          <w:tcPr>
            <w:tcW w:w="2374" w:type="dxa"/>
          </w:tcPr>
          <w:p w:rsidR="00000000" w:rsidRDefault="00000000">
            <w:pPr>
              <w:spacing w:before="60" w:after="60"/>
              <w:jc w:val="right"/>
            </w:pPr>
            <w:r>
              <w:t>613 900</w:t>
            </w:r>
          </w:p>
        </w:tc>
        <w:tc>
          <w:tcPr>
            <w:tcW w:w="2374" w:type="dxa"/>
          </w:tcPr>
          <w:p w:rsidR="00000000" w:rsidRDefault="00000000">
            <w:pPr>
              <w:spacing w:before="60" w:after="60"/>
              <w:jc w:val="right"/>
            </w:pPr>
            <w:r>
              <w:t>691 600</w:t>
            </w:r>
          </w:p>
        </w:tc>
      </w:tr>
      <w:tr w:rsidR="00000000">
        <w:tblPrEx>
          <w:tblCellMar>
            <w:top w:w="0" w:type="dxa"/>
            <w:bottom w:w="0" w:type="dxa"/>
          </w:tblCellMar>
        </w:tblPrEx>
        <w:tc>
          <w:tcPr>
            <w:tcW w:w="2374" w:type="dxa"/>
          </w:tcPr>
          <w:p w:rsidR="00000000" w:rsidRDefault="00000000">
            <w:pPr>
              <w:spacing w:before="60" w:after="60"/>
              <w:jc w:val="center"/>
            </w:pPr>
            <w:r>
              <w:t>55 à 59 ans</w:t>
            </w:r>
          </w:p>
        </w:tc>
        <w:tc>
          <w:tcPr>
            <w:tcW w:w="2374" w:type="dxa"/>
          </w:tcPr>
          <w:p w:rsidR="00000000" w:rsidRDefault="00000000">
            <w:pPr>
              <w:spacing w:before="60" w:after="60"/>
              <w:jc w:val="right"/>
            </w:pPr>
            <w:r>
              <w:t>553 000</w:t>
            </w:r>
          </w:p>
        </w:tc>
        <w:tc>
          <w:tcPr>
            <w:tcW w:w="2374" w:type="dxa"/>
          </w:tcPr>
          <w:p w:rsidR="00000000" w:rsidRDefault="00000000">
            <w:pPr>
              <w:spacing w:before="60" w:after="60"/>
              <w:jc w:val="right"/>
            </w:pPr>
            <w:r>
              <w:t>459 000</w:t>
            </w:r>
          </w:p>
        </w:tc>
        <w:tc>
          <w:tcPr>
            <w:tcW w:w="2374" w:type="dxa"/>
          </w:tcPr>
          <w:p w:rsidR="00000000" w:rsidRDefault="00000000">
            <w:pPr>
              <w:spacing w:before="60" w:after="60"/>
              <w:jc w:val="right"/>
            </w:pPr>
            <w:r>
              <w:t>387 000</w:t>
            </w:r>
          </w:p>
        </w:tc>
      </w:tr>
      <w:tr w:rsidR="00000000">
        <w:tblPrEx>
          <w:tblCellMar>
            <w:top w:w="0" w:type="dxa"/>
            <w:bottom w:w="0" w:type="dxa"/>
          </w:tblCellMar>
        </w:tblPrEx>
        <w:tc>
          <w:tcPr>
            <w:tcW w:w="2374" w:type="dxa"/>
          </w:tcPr>
          <w:p w:rsidR="00000000" w:rsidRDefault="00000000">
            <w:pPr>
              <w:spacing w:before="60" w:after="60"/>
              <w:jc w:val="center"/>
            </w:pPr>
            <w:r>
              <w:t>60 à 64 ans</w:t>
            </w:r>
          </w:p>
        </w:tc>
        <w:tc>
          <w:tcPr>
            <w:tcW w:w="2374" w:type="dxa"/>
          </w:tcPr>
          <w:p w:rsidR="00000000" w:rsidRDefault="00000000">
            <w:pPr>
              <w:spacing w:before="60" w:after="60"/>
              <w:jc w:val="right"/>
            </w:pPr>
            <w:r>
              <w:t>561 600</w:t>
            </w:r>
          </w:p>
        </w:tc>
        <w:tc>
          <w:tcPr>
            <w:tcW w:w="2374" w:type="dxa"/>
          </w:tcPr>
          <w:p w:rsidR="00000000" w:rsidRDefault="00000000">
            <w:pPr>
              <w:spacing w:before="60" w:after="60"/>
              <w:jc w:val="right"/>
            </w:pPr>
            <w:r>
              <w:t>606 300</w:t>
            </w:r>
          </w:p>
        </w:tc>
        <w:tc>
          <w:tcPr>
            <w:tcW w:w="2374" w:type="dxa"/>
          </w:tcPr>
          <w:p w:rsidR="00000000" w:rsidRDefault="00000000">
            <w:pPr>
              <w:spacing w:before="60" w:after="60"/>
              <w:jc w:val="right"/>
            </w:pPr>
            <w:r>
              <w:t>621 100</w:t>
            </w:r>
          </w:p>
        </w:tc>
      </w:tr>
      <w:tr w:rsidR="00000000">
        <w:tblPrEx>
          <w:tblCellMar>
            <w:top w:w="0" w:type="dxa"/>
            <w:bottom w:w="0" w:type="dxa"/>
          </w:tblCellMar>
        </w:tblPrEx>
        <w:tc>
          <w:tcPr>
            <w:tcW w:w="2374" w:type="dxa"/>
          </w:tcPr>
          <w:p w:rsidR="00000000" w:rsidRDefault="00000000">
            <w:pPr>
              <w:spacing w:before="60" w:after="60"/>
              <w:jc w:val="center"/>
            </w:pPr>
            <w:r>
              <w:t>65 ans et plus</w:t>
            </w:r>
          </w:p>
        </w:tc>
        <w:tc>
          <w:tcPr>
            <w:tcW w:w="2374" w:type="dxa"/>
          </w:tcPr>
          <w:p w:rsidR="00000000" w:rsidRDefault="00000000">
            <w:pPr>
              <w:spacing w:before="60" w:after="60"/>
              <w:jc w:val="right"/>
            </w:pPr>
            <w:r>
              <w:t>1 009 300</w:t>
            </w:r>
          </w:p>
        </w:tc>
        <w:tc>
          <w:tcPr>
            <w:tcW w:w="2374" w:type="dxa"/>
          </w:tcPr>
          <w:p w:rsidR="00000000" w:rsidRDefault="00000000">
            <w:pPr>
              <w:spacing w:before="60" w:after="60"/>
              <w:jc w:val="right"/>
            </w:pPr>
            <w:r>
              <w:t>998 000</w:t>
            </w:r>
          </w:p>
        </w:tc>
        <w:tc>
          <w:tcPr>
            <w:tcW w:w="2374" w:type="dxa"/>
          </w:tcPr>
          <w:p w:rsidR="00000000" w:rsidRDefault="00000000">
            <w:pPr>
              <w:spacing w:before="60" w:after="60"/>
              <w:jc w:val="right"/>
            </w:pPr>
            <w:r>
              <w:t>1 000 800</w:t>
            </w:r>
          </w:p>
        </w:tc>
      </w:tr>
    </w:tbl>
    <w:p w:rsidR="00000000" w:rsidRDefault="00000000">
      <w:pPr>
        <w:keepNext/>
        <w:spacing w:before="240" w:after="240"/>
        <w:jc w:val="center"/>
        <w:rPr>
          <w:b/>
          <w:bCs/>
        </w:rPr>
      </w:pPr>
      <w:r>
        <w:rPr>
          <w:b/>
          <w:bCs/>
        </w:rPr>
        <w:t>Tableau 4</w:t>
      </w:r>
    </w:p>
    <w:p w:rsidR="00000000" w:rsidRDefault="00000000">
      <w:pPr>
        <w:keepNext/>
        <w:spacing w:before="240" w:after="240"/>
        <w:jc w:val="center"/>
        <w:rPr>
          <w:b/>
          <w:bCs/>
        </w:rPr>
      </w:pPr>
      <w:r>
        <w:rPr>
          <w:b/>
          <w:bCs/>
        </w:rPr>
        <w:t>Population urbaine ventilée par âge</w:t>
      </w:r>
      <w:r>
        <w:rPr>
          <w:b/>
          <w:bCs/>
        </w:rPr>
        <w:br/>
        <w:t>(situation au début de l’année indiquée)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Pr>
          <w:p w:rsidR="00000000" w:rsidRDefault="00000000">
            <w:pPr>
              <w:spacing w:before="60" w:after="60"/>
              <w:jc w:val="center"/>
            </w:pPr>
            <w:r>
              <w:t>Âge</w:t>
            </w:r>
          </w:p>
        </w:tc>
        <w:tc>
          <w:tcPr>
            <w:tcW w:w="2374" w:type="dxa"/>
          </w:tcPr>
          <w:p w:rsidR="00000000" w:rsidRDefault="00000000">
            <w:pPr>
              <w:spacing w:before="60" w:after="60"/>
              <w:jc w:val="center"/>
            </w:pPr>
            <w:r>
              <w:t>1999</w:t>
            </w:r>
          </w:p>
        </w:tc>
        <w:tc>
          <w:tcPr>
            <w:tcW w:w="2374" w:type="dxa"/>
          </w:tcPr>
          <w:p w:rsidR="00000000" w:rsidRDefault="00000000">
            <w:pPr>
              <w:spacing w:before="60" w:after="60"/>
              <w:jc w:val="center"/>
            </w:pPr>
            <w:r>
              <w:t>2000</w:t>
            </w:r>
          </w:p>
        </w:tc>
        <w:tc>
          <w:tcPr>
            <w:tcW w:w="2374" w:type="dxa"/>
          </w:tcPr>
          <w:p w:rsidR="00000000" w:rsidRDefault="00000000">
            <w:pPr>
              <w:spacing w:before="60" w:after="60"/>
              <w:jc w:val="center"/>
            </w:pPr>
            <w:r>
              <w:t>2001</w:t>
            </w:r>
          </w:p>
        </w:tc>
      </w:tr>
      <w:tr w:rsidR="00000000">
        <w:tblPrEx>
          <w:tblCellMar>
            <w:top w:w="0" w:type="dxa"/>
            <w:bottom w:w="0" w:type="dxa"/>
          </w:tblCellMar>
        </w:tblPrEx>
        <w:tc>
          <w:tcPr>
            <w:tcW w:w="2374" w:type="dxa"/>
          </w:tcPr>
          <w:p w:rsidR="00000000" w:rsidRDefault="00000000">
            <w:pPr>
              <w:spacing w:before="60" w:after="60"/>
              <w:jc w:val="center"/>
            </w:pPr>
            <w:r>
              <w:t>Moins de 1 an</w:t>
            </w:r>
          </w:p>
        </w:tc>
        <w:tc>
          <w:tcPr>
            <w:tcW w:w="2374" w:type="dxa"/>
          </w:tcPr>
          <w:p w:rsidR="00000000" w:rsidRDefault="00000000">
            <w:pPr>
              <w:spacing w:before="60" w:after="60"/>
              <w:jc w:val="right"/>
            </w:pPr>
            <w:r>
              <w:t>109 200</w:t>
            </w:r>
          </w:p>
        </w:tc>
        <w:tc>
          <w:tcPr>
            <w:tcW w:w="2374" w:type="dxa"/>
          </w:tcPr>
          <w:p w:rsidR="00000000" w:rsidRDefault="00000000">
            <w:pPr>
              <w:spacing w:before="60" w:after="60"/>
              <w:jc w:val="right"/>
            </w:pPr>
            <w:r>
              <w:t>103 000</w:t>
            </w:r>
          </w:p>
        </w:tc>
        <w:tc>
          <w:tcPr>
            <w:tcW w:w="2374" w:type="dxa"/>
          </w:tcPr>
          <w:p w:rsidR="00000000" w:rsidRDefault="00000000">
            <w:pPr>
              <w:spacing w:before="60" w:after="60"/>
              <w:jc w:val="right"/>
            </w:pPr>
            <w:r>
              <w:t>110 300</w:t>
            </w:r>
          </w:p>
        </w:tc>
      </w:tr>
      <w:tr w:rsidR="00000000">
        <w:tblPrEx>
          <w:tblCellMar>
            <w:top w:w="0" w:type="dxa"/>
            <w:bottom w:w="0" w:type="dxa"/>
          </w:tblCellMar>
        </w:tblPrEx>
        <w:tc>
          <w:tcPr>
            <w:tcW w:w="2374" w:type="dxa"/>
          </w:tcPr>
          <w:p w:rsidR="00000000" w:rsidRDefault="00000000">
            <w:pPr>
              <w:spacing w:before="60" w:after="60"/>
              <w:jc w:val="center"/>
            </w:pPr>
            <w:r>
              <w:t>1 à 4 ans</w:t>
            </w:r>
          </w:p>
        </w:tc>
        <w:tc>
          <w:tcPr>
            <w:tcW w:w="2374" w:type="dxa"/>
          </w:tcPr>
          <w:p w:rsidR="00000000" w:rsidRDefault="00000000">
            <w:pPr>
              <w:spacing w:before="60" w:after="60"/>
              <w:jc w:val="right"/>
            </w:pPr>
            <w:r>
              <w:t>460 300</w:t>
            </w:r>
          </w:p>
        </w:tc>
        <w:tc>
          <w:tcPr>
            <w:tcW w:w="2374" w:type="dxa"/>
          </w:tcPr>
          <w:p w:rsidR="00000000" w:rsidRDefault="00000000">
            <w:pPr>
              <w:spacing w:before="60" w:after="60"/>
              <w:jc w:val="right"/>
            </w:pPr>
            <w:r>
              <w:t>440 400</w:t>
            </w:r>
          </w:p>
        </w:tc>
        <w:tc>
          <w:tcPr>
            <w:tcW w:w="2374" w:type="dxa"/>
          </w:tcPr>
          <w:p w:rsidR="00000000" w:rsidRDefault="00000000">
            <w:pPr>
              <w:spacing w:before="60" w:after="60"/>
              <w:jc w:val="right"/>
            </w:pPr>
            <w:r>
              <w:t>424 600</w:t>
            </w:r>
          </w:p>
        </w:tc>
      </w:tr>
      <w:tr w:rsidR="00000000">
        <w:tblPrEx>
          <w:tblCellMar>
            <w:top w:w="0" w:type="dxa"/>
            <w:bottom w:w="0" w:type="dxa"/>
          </w:tblCellMar>
        </w:tblPrEx>
        <w:tc>
          <w:tcPr>
            <w:tcW w:w="2374" w:type="dxa"/>
          </w:tcPr>
          <w:p w:rsidR="00000000" w:rsidRDefault="00000000">
            <w:pPr>
              <w:spacing w:before="60" w:after="60"/>
              <w:jc w:val="center"/>
            </w:pPr>
            <w:r>
              <w:t>5 à 9 ans</w:t>
            </w:r>
          </w:p>
        </w:tc>
        <w:tc>
          <w:tcPr>
            <w:tcW w:w="2374" w:type="dxa"/>
          </w:tcPr>
          <w:p w:rsidR="00000000" w:rsidRDefault="00000000">
            <w:pPr>
              <w:spacing w:before="60" w:after="60"/>
              <w:jc w:val="right"/>
            </w:pPr>
            <w:r>
              <w:t>734 900</w:t>
            </w:r>
          </w:p>
        </w:tc>
        <w:tc>
          <w:tcPr>
            <w:tcW w:w="2374" w:type="dxa"/>
          </w:tcPr>
          <w:p w:rsidR="00000000" w:rsidRDefault="00000000">
            <w:pPr>
              <w:spacing w:before="60" w:after="60"/>
              <w:jc w:val="right"/>
            </w:pPr>
            <w:r>
              <w:t>694 400</w:t>
            </w:r>
          </w:p>
        </w:tc>
        <w:tc>
          <w:tcPr>
            <w:tcW w:w="2374" w:type="dxa"/>
          </w:tcPr>
          <w:p w:rsidR="00000000" w:rsidRDefault="00000000">
            <w:pPr>
              <w:spacing w:before="60" w:after="60"/>
              <w:jc w:val="right"/>
            </w:pPr>
            <w:r>
              <w:t>655 700</w:t>
            </w:r>
          </w:p>
        </w:tc>
      </w:tr>
      <w:tr w:rsidR="00000000">
        <w:tblPrEx>
          <w:tblCellMar>
            <w:top w:w="0" w:type="dxa"/>
            <w:bottom w:w="0" w:type="dxa"/>
          </w:tblCellMar>
        </w:tblPrEx>
        <w:tc>
          <w:tcPr>
            <w:tcW w:w="2374" w:type="dxa"/>
          </w:tcPr>
          <w:p w:rsidR="00000000" w:rsidRDefault="00000000">
            <w:pPr>
              <w:spacing w:before="60" w:after="60"/>
              <w:jc w:val="center"/>
            </w:pPr>
            <w:r>
              <w:t>10 à 14 ans</w:t>
            </w:r>
          </w:p>
        </w:tc>
        <w:tc>
          <w:tcPr>
            <w:tcW w:w="2374" w:type="dxa"/>
          </w:tcPr>
          <w:p w:rsidR="00000000" w:rsidRDefault="00000000">
            <w:pPr>
              <w:spacing w:before="60" w:after="60"/>
              <w:jc w:val="right"/>
            </w:pPr>
            <w:r>
              <w:t>806 600</w:t>
            </w:r>
          </w:p>
        </w:tc>
        <w:tc>
          <w:tcPr>
            <w:tcW w:w="2374" w:type="dxa"/>
          </w:tcPr>
          <w:p w:rsidR="00000000" w:rsidRDefault="00000000">
            <w:pPr>
              <w:spacing w:before="60" w:after="60"/>
              <w:jc w:val="right"/>
            </w:pPr>
            <w:r>
              <w:t>808 100</w:t>
            </w:r>
          </w:p>
        </w:tc>
        <w:tc>
          <w:tcPr>
            <w:tcW w:w="2374" w:type="dxa"/>
          </w:tcPr>
          <w:p w:rsidR="00000000" w:rsidRDefault="00000000">
            <w:pPr>
              <w:spacing w:before="60" w:after="60"/>
              <w:jc w:val="right"/>
            </w:pPr>
            <w:r>
              <w:t>800 000</w:t>
            </w:r>
          </w:p>
        </w:tc>
      </w:tr>
      <w:tr w:rsidR="00000000">
        <w:tblPrEx>
          <w:tblCellMar>
            <w:top w:w="0" w:type="dxa"/>
            <w:bottom w:w="0" w:type="dxa"/>
          </w:tblCellMar>
        </w:tblPrEx>
        <w:tc>
          <w:tcPr>
            <w:tcW w:w="2374" w:type="dxa"/>
          </w:tcPr>
          <w:p w:rsidR="00000000" w:rsidRDefault="00000000">
            <w:pPr>
              <w:spacing w:before="60" w:after="60"/>
              <w:jc w:val="center"/>
            </w:pPr>
            <w:r>
              <w:t>15 à 19 ans</w:t>
            </w:r>
          </w:p>
        </w:tc>
        <w:tc>
          <w:tcPr>
            <w:tcW w:w="2374" w:type="dxa"/>
          </w:tcPr>
          <w:p w:rsidR="00000000" w:rsidRDefault="00000000">
            <w:pPr>
              <w:spacing w:before="60" w:after="60"/>
              <w:jc w:val="right"/>
            </w:pPr>
            <w:r>
              <w:t>703 500</w:t>
            </w:r>
          </w:p>
        </w:tc>
        <w:tc>
          <w:tcPr>
            <w:tcW w:w="2374" w:type="dxa"/>
          </w:tcPr>
          <w:p w:rsidR="00000000" w:rsidRDefault="00000000">
            <w:pPr>
              <w:spacing w:before="60" w:after="60"/>
              <w:jc w:val="right"/>
            </w:pPr>
            <w:r>
              <w:t>713 900</w:t>
            </w:r>
          </w:p>
        </w:tc>
        <w:tc>
          <w:tcPr>
            <w:tcW w:w="2374" w:type="dxa"/>
          </w:tcPr>
          <w:p w:rsidR="00000000" w:rsidRDefault="00000000">
            <w:pPr>
              <w:spacing w:before="60" w:after="60"/>
              <w:jc w:val="right"/>
            </w:pPr>
            <w:r>
              <w:t>727 500</w:t>
            </w:r>
          </w:p>
        </w:tc>
      </w:tr>
      <w:tr w:rsidR="00000000">
        <w:tblPrEx>
          <w:tblCellMar>
            <w:top w:w="0" w:type="dxa"/>
            <w:bottom w:w="0" w:type="dxa"/>
          </w:tblCellMar>
        </w:tblPrEx>
        <w:tc>
          <w:tcPr>
            <w:tcW w:w="2374" w:type="dxa"/>
          </w:tcPr>
          <w:p w:rsidR="00000000" w:rsidRDefault="00000000">
            <w:pPr>
              <w:spacing w:before="60" w:after="60"/>
              <w:jc w:val="center"/>
            </w:pPr>
            <w:r>
              <w:t>20 à 24 ans</w:t>
            </w:r>
          </w:p>
        </w:tc>
        <w:tc>
          <w:tcPr>
            <w:tcW w:w="2374" w:type="dxa"/>
          </w:tcPr>
          <w:p w:rsidR="00000000" w:rsidRDefault="00000000">
            <w:pPr>
              <w:spacing w:before="60" w:after="60"/>
              <w:jc w:val="right"/>
            </w:pPr>
            <w:r>
              <w:t>718 300</w:t>
            </w:r>
          </w:p>
        </w:tc>
        <w:tc>
          <w:tcPr>
            <w:tcW w:w="2374" w:type="dxa"/>
          </w:tcPr>
          <w:p w:rsidR="00000000" w:rsidRDefault="00000000">
            <w:pPr>
              <w:spacing w:before="60" w:after="60"/>
              <w:jc w:val="right"/>
            </w:pPr>
            <w:r>
              <w:t>708 100</w:t>
            </w:r>
          </w:p>
        </w:tc>
        <w:tc>
          <w:tcPr>
            <w:tcW w:w="2374" w:type="dxa"/>
          </w:tcPr>
          <w:p w:rsidR="00000000" w:rsidRDefault="00000000">
            <w:pPr>
              <w:spacing w:before="60" w:after="60"/>
              <w:jc w:val="right"/>
            </w:pPr>
            <w:r>
              <w:t>700 000</w:t>
            </w:r>
          </w:p>
        </w:tc>
      </w:tr>
      <w:tr w:rsidR="00000000">
        <w:tblPrEx>
          <w:tblCellMar>
            <w:top w:w="0" w:type="dxa"/>
            <w:bottom w:w="0" w:type="dxa"/>
          </w:tblCellMar>
        </w:tblPrEx>
        <w:tc>
          <w:tcPr>
            <w:tcW w:w="2374" w:type="dxa"/>
          </w:tcPr>
          <w:p w:rsidR="00000000" w:rsidRDefault="00000000">
            <w:pPr>
              <w:spacing w:before="60" w:after="60"/>
              <w:jc w:val="center"/>
            </w:pPr>
            <w:r>
              <w:t>25 à 29 ans</w:t>
            </w:r>
          </w:p>
        </w:tc>
        <w:tc>
          <w:tcPr>
            <w:tcW w:w="2374" w:type="dxa"/>
          </w:tcPr>
          <w:p w:rsidR="00000000" w:rsidRDefault="00000000">
            <w:pPr>
              <w:spacing w:before="60" w:after="60"/>
              <w:jc w:val="right"/>
            </w:pPr>
            <w:r>
              <w:t>737 200</w:t>
            </w:r>
          </w:p>
        </w:tc>
        <w:tc>
          <w:tcPr>
            <w:tcW w:w="2374" w:type="dxa"/>
          </w:tcPr>
          <w:p w:rsidR="00000000" w:rsidRDefault="00000000">
            <w:pPr>
              <w:spacing w:before="60" w:after="60"/>
              <w:jc w:val="right"/>
            </w:pPr>
            <w:r>
              <w:t>730 700</w:t>
            </w:r>
          </w:p>
        </w:tc>
        <w:tc>
          <w:tcPr>
            <w:tcW w:w="2374" w:type="dxa"/>
          </w:tcPr>
          <w:p w:rsidR="00000000" w:rsidRDefault="00000000">
            <w:pPr>
              <w:spacing w:before="60" w:after="60"/>
              <w:jc w:val="right"/>
            </w:pPr>
            <w:r>
              <w:t>717 800</w:t>
            </w:r>
          </w:p>
        </w:tc>
      </w:tr>
      <w:tr w:rsidR="00000000">
        <w:tblPrEx>
          <w:tblCellMar>
            <w:top w:w="0" w:type="dxa"/>
            <w:bottom w:w="0" w:type="dxa"/>
          </w:tblCellMar>
        </w:tblPrEx>
        <w:tc>
          <w:tcPr>
            <w:tcW w:w="2374" w:type="dxa"/>
          </w:tcPr>
          <w:p w:rsidR="00000000" w:rsidRDefault="00000000">
            <w:pPr>
              <w:spacing w:before="60" w:after="60"/>
              <w:jc w:val="center"/>
            </w:pPr>
            <w:r>
              <w:t>30 à 34 ans</w:t>
            </w:r>
          </w:p>
        </w:tc>
        <w:tc>
          <w:tcPr>
            <w:tcW w:w="2374" w:type="dxa"/>
          </w:tcPr>
          <w:p w:rsidR="00000000" w:rsidRDefault="00000000">
            <w:pPr>
              <w:spacing w:before="60" w:after="60"/>
              <w:jc w:val="right"/>
            </w:pPr>
            <w:r>
              <w:t>641 700</w:t>
            </w:r>
          </w:p>
        </w:tc>
        <w:tc>
          <w:tcPr>
            <w:tcW w:w="2374" w:type="dxa"/>
          </w:tcPr>
          <w:p w:rsidR="00000000" w:rsidRDefault="00000000">
            <w:pPr>
              <w:spacing w:before="60" w:after="60"/>
              <w:jc w:val="right"/>
            </w:pPr>
            <w:r>
              <w:t>645 200</w:t>
            </w:r>
          </w:p>
        </w:tc>
        <w:tc>
          <w:tcPr>
            <w:tcW w:w="2374" w:type="dxa"/>
          </w:tcPr>
          <w:p w:rsidR="00000000" w:rsidRDefault="00000000">
            <w:pPr>
              <w:spacing w:before="60" w:after="60"/>
              <w:jc w:val="right"/>
            </w:pPr>
            <w:r>
              <w:t>659 400</w:t>
            </w:r>
          </w:p>
        </w:tc>
      </w:tr>
      <w:tr w:rsidR="00000000">
        <w:tblPrEx>
          <w:tblCellMar>
            <w:top w:w="0" w:type="dxa"/>
            <w:bottom w:w="0" w:type="dxa"/>
          </w:tblCellMar>
        </w:tblPrEx>
        <w:tc>
          <w:tcPr>
            <w:tcW w:w="2374" w:type="dxa"/>
          </w:tcPr>
          <w:p w:rsidR="00000000" w:rsidRDefault="00000000">
            <w:pPr>
              <w:spacing w:before="60" w:after="60"/>
              <w:jc w:val="center"/>
            </w:pPr>
            <w:r>
              <w:t>35 à 39 ans</w:t>
            </w:r>
          </w:p>
        </w:tc>
        <w:tc>
          <w:tcPr>
            <w:tcW w:w="2374" w:type="dxa"/>
          </w:tcPr>
          <w:p w:rsidR="00000000" w:rsidRDefault="00000000">
            <w:pPr>
              <w:spacing w:before="60" w:after="60"/>
              <w:jc w:val="right"/>
            </w:pPr>
            <w:r>
              <w:t>717 300</w:t>
            </w:r>
          </w:p>
        </w:tc>
        <w:tc>
          <w:tcPr>
            <w:tcW w:w="2374" w:type="dxa"/>
          </w:tcPr>
          <w:p w:rsidR="00000000" w:rsidRDefault="00000000">
            <w:pPr>
              <w:spacing w:before="60" w:after="60"/>
              <w:jc w:val="right"/>
            </w:pPr>
            <w:r>
              <w:t>699 500</w:t>
            </w:r>
          </w:p>
        </w:tc>
        <w:tc>
          <w:tcPr>
            <w:tcW w:w="2374" w:type="dxa"/>
          </w:tcPr>
          <w:p w:rsidR="00000000" w:rsidRDefault="00000000">
            <w:pPr>
              <w:spacing w:before="60" w:after="60"/>
              <w:jc w:val="right"/>
            </w:pPr>
            <w:r>
              <w:t>674 800</w:t>
            </w:r>
          </w:p>
        </w:tc>
      </w:tr>
      <w:tr w:rsidR="00000000">
        <w:tblPrEx>
          <w:tblCellMar>
            <w:top w:w="0" w:type="dxa"/>
            <w:bottom w:w="0" w:type="dxa"/>
          </w:tblCellMar>
        </w:tblPrEx>
        <w:tc>
          <w:tcPr>
            <w:tcW w:w="2374" w:type="dxa"/>
          </w:tcPr>
          <w:p w:rsidR="00000000" w:rsidRDefault="00000000">
            <w:pPr>
              <w:spacing w:before="60" w:after="60"/>
              <w:jc w:val="center"/>
            </w:pPr>
            <w:r>
              <w:t>40 à 44 ans</w:t>
            </w:r>
          </w:p>
        </w:tc>
        <w:tc>
          <w:tcPr>
            <w:tcW w:w="2374" w:type="dxa"/>
          </w:tcPr>
          <w:p w:rsidR="00000000" w:rsidRDefault="00000000">
            <w:pPr>
              <w:spacing w:before="60" w:after="60"/>
              <w:jc w:val="right"/>
            </w:pPr>
            <w:r>
              <w:t>636 000</w:t>
            </w:r>
          </w:p>
        </w:tc>
        <w:tc>
          <w:tcPr>
            <w:tcW w:w="2374" w:type="dxa"/>
          </w:tcPr>
          <w:p w:rsidR="00000000" w:rsidRDefault="00000000">
            <w:pPr>
              <w:spacing w:before="60" w:after="60"/>
              <w:jc w:val="right"/>
            </w:pPr>
            <w:r>
              <w:t>648 900</w:t>
            </w:r>
          </w:p>
        </w:tc>
        <w:tc>
          <w:tcPr>
            <w:tcW w:w="2374" w:type="dxa"/>
          </w:tcPr>
          <w:p w:rsidR="00000000" w:rsidRDefault="00000000">
            <w:pPr>
              <w:spacing w:before="60" w:after="60"/>
              <w:jc w:val="right"/>
            </w:pPr>
            <w:r>
              <w:t>661 600</w:t>
            </w:r>
          </w:p>
        </w:tc>
      </w:tr>
      <w:tr w:rsidR="00000000">
        <w:tblPrEx>
          <w:tblCellMar>
            <w:top w:w="0" w:type="dxa"/>
            <w:bottom w:w="0" w:type="dxa"/>
          </w:tblCellMar>
        </w:tblPrEx>
        <w:tc>
          <w:tcPr>
            <w:tcW w:w="2374" w:type="dxa"/>
          </w:tcPr>
          <w:p w:rsidR="00000000" w:rsidRDefault="00000000">
            <w:pPr>
              <w:spacing w:before="60" w:after="60"/>
              <w:jc w:val="center"/>
            </w:pPr>
            <w:r>
              <w:t>45 à 49 ans</w:t>
            </w:r>
          </w:p>
        </w:tc>
        <w:tc>
          <w:tcPr>
            <w:tcW w:w="2374" w:type="dxa"/>
          </w:tcPr>
          <w:p w:rsidR="00000000" w:rsidRDefault="00000000">
            <w:pPr>
              <w:spacing w:before="60" w:after="60"/>
              <w:jc w:val="right"/>
            </w:pPr>
            <w:r>
              <w:t>534 400</w:t>
            </w:r>
          </w:p>
        </w:tc>
        <w:tc>
          <w:tcPr>
            <w:tcW w:w="2374" w:type="dxa"/>
          </w:tcPr>
          <w:p w:rsidR="00000000" w:rsidRDefault="00000000">
            <w:pPr>
              <w:spacing w:before="60" w:after="60"/>
              <w:jc w:val="right"/>
            </w:pPr>
            <w:r>
              <w:t>541 200</w:t>
            </w:r>
          </w:p>
        </w:tc>
        <w:tc>
          <w:tcPr>
            <w:tcW w:w="2374" w:type="dxa"/>
          </w:tcPr>
          <w:p w:rsidR="00000000" w:rsidRDefault="00000000">
            <w:pPr>
              <w:spacing w:before="60" w:after="60"/>
              <w:jc w:val="right"/>
            </w:pPr>
            <w:r>
              <w:t>547 700</w:t>
            </w:r>
          </w:p>
        </w:tc>
      </w:tr>
      <w:tr w:rsidR="00000000">
        <w:tblPrEx>
          <w:tblCellMar>
            <w:top w:w="0" w:type="dxa"/>
            <w:bottom w:w="0" w:type="dxa"/>
          </w:tblCellMar>
        </w:tblPrEx>
        <w:tc>
          <w:tcPr>
            <w:tcW w:w="2374" w:type="dxa"/>
          </w:tcPr>
          <w:p w:rsidR="00000000" w:rsidRDefault="00000000">
            <w:pPr>
              <w:spacing w:before="60" w:after="60"/>
              <w:jc w:val="center"/>
            </w:pPr>
            <w:r>
              <w:t>50 à 54 ans</w:t>
            </w:r>
          </w:p>
        </w:tc>
        <w:tc>
          <w:tcPr>
            <w:tcW w:w="2374" w:type="dxa"/>
          </w:tcPr>
          <w:p w:rsidR="00000000" w:rsidRDefault="00000000">
            <w:pPr>
              <w:spacing w:before="60" w:after="60"/>
              <w:jc w:val="right"/>
            </w:pPr>
            <w:r>
              <w:t>328 600</w:t>
            </w:r>
          </w:p>
        </w:tc>
        <w:tc>
          <w:tcPr>
            <w:tcW w:w="2374" w:type="dxa"/>
          </w:tcPr>
          <w:p w:rsidR="00000000" w:rsidRDefault="00000000">
            <w:pPr>
              <w:spacing w:before="60" w:after="60"/>
              <w:jc w:val="right"/>
            </w:pPr>
            <w:r>
              <w:t>384 900</w:t>
            </w:r>
          </w:p>
        </w:tc>
        <w:tc>
          <w:tcPr>
            <w:tcW w:w="2374" w:type="dxa"/>
          </w:tcPr>
          <w:p w:rsidR="00000000" w:rsidRDefault="00000000">
            <w:pPr>
              <w:spacing w:before="60" w:after="60"/>
              <w:jc w:val="right"/>
            </w:pPr>
            <w:r>
              <w:t>434 000</w:t>
            </w:r>
          </w:p>
        </w:tc>
      </w:tr>
      <w:tr w:rsidR="00000000">
        <w:tblPrEx>
          <w:tblCellMar>
            <w:top w:w="0" w:type="dxa"/>
            <w:bottom w:w="0" w:type="dxa"/>
          </w:tblCellMar>
        </w:tblPrEx>
        <w:tc>
          <w:tcPr>
            <w:tcW w:w="2374" w:type="dxa"/>
          </w:tcPr>
          <w:p w:rsidR="00000000" w:rsidRDefault="00000000">
            <w:pPr>
              <w:spacing w:before="60" w:after="60"/>
              <w:jc w:val="center"/>
            </w:pPr>
            <w:r>
              <w:t>55 à 59 ans</w:t>
            </w:r>
          </w:p>
        </w:tc>
        <w:tc>
          <w:tcPr>
            <w:tcW w:w="2374" w:type="dxa"/>
          </w:tcPr>
          <w:p w:rsidR="00000000" w:rsidRDefault="00000000">
            <w:pPr>
              <w:spacing w:before="60" w:after="60"/>
              <w:jc w:val="right"/>
            </w:pPr>
            <w:r>
              <w:t>317 200</w:t>
            </w:r>
          </w:p>
        </w:tc>
        <w:tc>
          <w:tcPr>
            <w:tcW w:w="2374" w:type="dxa"/>
          </w:tcPr>
          <w:p w:rsidR="00000000" w:rsidRDefault="00000000">
            <w:pPr>
              <w:spacing w:before="60" w:after="60"/>
              <w:jc w:val="right"/>
            </w:pPr>
            <w:r>
              <w:t>263 300</w:t>
            </w:r>
          </w:p>
        </w:tc>
        <w:tc>
          <w:tcPr>
            <w:tcW w:w="2374" w:type="dxa"/>
          </w:tcPr>
          <w:p w:rsidR="00000000" w:rsidRDefault="00000000">
            <w:pPr>
              <w:spacing w:before="60" w:after="60"/>
              <w:jc w:val="right"/>
            </w:pPr>
            <w:r>
              <w:t>223 600</w:t>
            </w:r>
          </w:p>
        </w:tc>
      </w:tr>
      <w:tr w:rsidR="00000000">
        <w:tblPrEx>
          <w:tblCellMar>
            <w:top w:w="0" w:type="dxa"/>
            <w:bottom w:w="0" w:type="dxa"/>
          </w:tblCellMar>
        </w:tblPrEx>
        <w:tc>
          <w:tcPr>
            <w:tcW w:w="2374" w:type="dxa"/>
          </w:tcPr>
          <w:p w:rsidR="00000000" w:rsidRDefault="00000000">
            <w:pPr>
              <w:spacing w:before="60" w:after="60"/>
              <w:jc w:val="center"/>
            </w:pPr>
            <w:r>
              <w:t>60 à 64 ans</w:t>
            </w:r>
          </w:p>
        </w:tc>
        <w:tc>
          <w:tcPr>
            <w:tcW w:w="2374" w:type="dxa"/>
          </w:tcPr>
          <w:p w:rsidR="00000000" w:rsidRDefault="00000000">
            <w:pPr>
              <w:spacing w:before="60" w:after="60"/>
              <w:jc w:val="right"/>
            </w:pPr>
            <w:r>
              <w:t>328 700</w:t>
            </w:r>
          </w:p>
        </w:tc>
        <w:tc>
          <w:tcPr>
            <w:tcW w:w="2374" w:type="dxa"/>
          </w:tcPr>
          <w:p w:rsidR="00000000" w:rsidRDefault="00000000">
            <w:pPr>
              <w:spacing w:before="60" w:after="60"/>
              <w:jc w:val="right"/>
            </w:pPr>
            <w:r>
              <w:t>354 200</w:t>
            </w:r>
          </w:p>
        </w:tc>
        <w:tc>
          <w:tcPr>
            <w:tcW w:w="2374" w:type="dxa"/>
          </w:tcPr>
          <w:p w:rsidR="00000000" w:rsidRDefault="00000000">
            <w:pPr>
              <w:spacing w:before="60" w:after="60"/>
              <w:jc w:val="right"/>
            </w:pPr>
            <w:r>
              <w:t>360 400</w:t>
            </w:r>
          </w:p>
        </w:tc>
      </w:tr>
      <w:tr w:rsidR="00000000">
        <w:tblPrEx>
          <w:tblCellMar>
            <w:top w:w="0" w:type="dxa"/>
            <w:bottom w:w="0" w:type="dxa"/>
          </w:tblCellMar>
        </w:tblPrEx>
        <w:tc>
          <w:tcPr>
            <w:tcW w:w="2374" w:type="dxa"/>
          </w:tcPr>
          <w:p w:rsidR="00000000" w:rsidRDefault="00000000">
            <w:pPr>
              <w:spacing w:before="60" w:after="60"/>
              <w:jc w:val="center"/>
            </w:pPr>
            <w:r>
              <w:t>65 ans et plus</w:t>
            </w:r>
          </w:p>
        </w:tc>
        <w:tc>
          <w:tcPr>
            <w:tcW w:w="2374" w:type="dxa"/>
          </w:tcPr>
          <w:p w:rsidR="00000000" w:rsidRDefault="00000000">
            <w:pPr>
              <w:spacing w:before="60" w:after="60"/>
              <w:jc w:val="right"/>
            </w:pPr>
            <w:r>
              <w:t>594 900</w:t>
            </w:r>
          </w:p>
        </w:tc>
        <w:tc>
          <w:tcPr>
            <w:tcW w:w="2374" w:type="dxa"/>
          </w:tcPr>
          <w:p w:rsidR="00000000" w:rsidRDefault="00000000">
            <w:pPr>
              <w:spacing w:before="60" w:after="60"/>
              <w:jc w:val="right"/>
            </w:pPr>
            <w:r>
              <w:t>586 400</w:t>
            </w:r>
          </w:p>
        </w:tc>
        <w:tc>
          <w:tcPr>
            <w:tcW w:w="2374" w:type="dxa"/>
          </w:tcPr>
          <w:p w:rsidR="00000000" w:rsidRDefault="00000000">
            <w:pPr>
              <w:spacing w:before="60" w:after="60"/>
              <w:jc w:val="right"/>
            </w:pPr>
            <w:r>
              <w:t>585 900</w:t>
            </w:r>
          </w:p>
        </w:tc>
      </w:tr>
    </w:tbl>
    <w:p w:rsidR="00000000" w:rsidRDefault="00000000">
      <w:pPr>
        <w:keepNext/>
        <w:spacing w:after="240"/>
        <w:jc w:val="center"/>
        <w:rPr>
          <w:b/>
          <w:bCs/>
        </w:rPr>
      </w:pPr>
      <w:r>
        <w:rPr>
          <w:b/>
          <w:bCs/>
        </w:rPr>
        <w:t>Tableau 5</w:t>
      </w:r>
    </w:p>
    <w:p w:rsidR="00000000" w:rsidRDefault="00000000">
      <w:pPr>
        <w:keepNext/>
        <w:spacing w:after="240"/>
        <w:jc w:val="center"/>
        <w:rPr>
          <w:b/>
          <w:bCs/>
        </w:rPr>
      </w:pPr>
      <w:r>
        <w:rPr>
          <w:b/>
          <w:bCs/>
        </w:rPr>
        <w:t>Population rurale ventilée par âge</w:t>
      </w:r>
      <w:r>
        <w:rPr>
          <w:b/>
          <w:bCs/>
        </w:rPr>
        <w:br/>
        <w:t>(situation au début de l’année indiquée)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Pr>
          <w:p w:rsidR="00000000" w:rsidRDefault="00000000">
            <w:pPr>
              <w:spacing w:before="60" w:after="60"/>
              <w:jc w:val="center"/>
            </w:pPr>
            <w:r>
              <w:t>Âge</w:t>
            </w:r>
          </w:p>
        </w:tc>
        <w:tc>
          <w:tcPr>
            <w:tcW w:w="2374" w:type="dxa"/>
          </w:tcPr>
          <w:p w:rsidR="00000000" w:rsidRDefault="00000000">
            <w:pPr>
              <w:spacing w:before="60" w:after="60"/>
              <w:jc w:val="center"/>
            </w:pPr>
            <w:r>
              <w:t>1999</w:t>
            </w:r>
          </w:p>
        </w:tc>
        <w:tc>
          <w:tcPr>
            <w:tcW w:w="2374" w:type="dxa"/>
          </w:tcPr>
          <w:p w:rsidR="00000000" w:rsidRDefault="00000000">
            <w:pPr>
              <w:spacing w:before="60" w:after="60"/>
              <w:jc w:val="center"/>
            </w:pPr>
            <w:r>
              <w:t>2000</w:t>
            </w:r>
          </w:p>
        </w:tc>
        <w:tc>
          <w:tcPr>
            <w:tcW w:w="2374" w:type="dxa"/>
          </w:tcPr>
          <w:p w:rsidR="00000000" w:rsidRDefault="00000000">
            <w:pPr>
              <w:spacing w:before="60" w:after="60"/>
              <w:jc w:val="center"/>
            </w:pPr>
            <w:r>
              <w:t>2001</w:t>
            </w:r>
          </w:p>
        </w:tc>
      </w:tr>
      <w:tr w:rsidR="00000000">
        <w:tblPrEx>
          <w:tblCellMar>
            <w:top w:w="0" w:type="dxa"/>
            <w:bottom w:w="0" w:type="dxa"/>
          </w:tblCellMar>
        </w:tblPrEx>
        <w:tc>
          <w:tcPr>
            <w:tcW w:w="2374" w:type="dxa"/>
          </w:tcPr>
          <w:p w:rsidR="00000000" w:rsidRDefault="00000000">
            <w:pPr>
              <w:spacing w:before="60" w:after="60"/>
              <w:jc w:val="center"/>
            </w:pPr>
            <w:r>
              <w:t>Moins de 1 an</w:t>
            </w:r>
          </w:p>
        </w:tc>
        <w:tc>
          <w:tcPr>
            <w:tcW w:w="2374" w:type="dxa"/>
          </w:tcPr>
          <w:p w:rsidR="00000000" w:rsidRDefault="00000000">
            <w:pPr>
              <w:spacing w:before="60" w:after="60"/>
              <w:jc w:val="right"/>
            </w:pPr>
            <w:r>
              <w:t>108 600</w:t>
            </w:r>
          </w:p>
        </w:tc>
        <w:tc>
          <w:tcPr>
            <w:tcW w:w="2374" w:type="dxa"/>
          </w:tcPr>
          <w:p w:rsidR="00000000" w:rsidRDefault="00000000">
            <w:pPr>
              <w:spacing w:before="60" w:after="60"/>
              <w:jc w:val="right"/>
            </w:pPr>
            <w:r>
              <w:t>102 100</w:t>
            </w:r>
          </w:p>
        </w:tc>
        <w:tc>
          <w:tcPr>
            <w:tcW w:w="2374" w:type="dxa"/>
          </w:tcPr>
          <w:p w:rsidR="00000000" w:rsidRDefault="00000000">
            <w:pPr>
              <w:spacing w:before="60" w:after="60"/>
              <w:jc w:val="right"/>
            </w:pPr>
            <w:r>
              <w:t>104 500</w:t>
            </w:r>
          </w:p>
        </w:tc>
      </w:tr>
      <w:tr w:rsidR="00000000">
        <w:tblPrEx>
          <w:tblCellMar>
            <w:top w:w="0" w:type="dxa"/>
            <w:bottom w:w="0" w:type="dxa"/>
          </w:tblCellMar>
        </w:tblPrEx>
        <w:tc>
          <w:tcPr>
            <w:tcW w:w="2374" w:type="dxa"/>
          </w:tcPr>
          <w:p w:rsidR="00000000" w:rsidRDefault="00000000">
            <w:pPr>
              <w:spacing w:before="60" w:after="60"/>
              <w:jc w:val="center"/>
            </w:pPr>
            <w:r>
              <w:t>1 à 4 ans</w:t>
            </w:r>
          </w:p>
        </w:tc>
        <w:tc>
          <w:tcPr>
            <w:tcW w:w="2374" w:type="dxa"/>
          </w:tcPr>
          <w:p w:rsidR="00000000" w:rsidRDefault="00000000">
            <w:pPr>
              <w:spacing w:before="60" w:after="60"/>
              <w:jc w:val="right"/>
            </w:pPr>
            <w:r>
              <w:t>512 000</w:t>
            </w:r>
          </w:p>
        </w:tc>
        <w:tc>
          <w:tcPr>
            <w:tcW w:w="2374" w:type="dxa"/>
          </w:tcPr>
          <w:p w:rsidR="00000000" w:rsidRDefault="00000000">
            <w:pPr>
              <w:spacing w:before="60" w:after="60"/>
              <w:jc w:val="right"/>
            </w:pPr>
            <w:r>
              <w:t>471 400</w:t>
            </w:r>
          </w:p>
        </w:tc>
        <w:tc>
          <w:tcPr>
            <w:tcW w:w="2374" w:type="dxa"/>
          </w:tcPr>
          <w:p w:rsidR="00000000" w:rsidRDefault="00000000">
            <w:pPr>
              <w:spacing w:before="60" w:after="60"/>
              <w:jc w:val="right"/>
            </w:pPr>
            <w:r>
              <w:t>436 900</w:t>
            </w:r>
          </w:p>
        </w:tc>
      </w:tr>
      <w:tr w:rsidR="00000000">
        <w:tblPrEx>
          <w:tblCellMar>
            <w:top w:w="0" w:type="dxa"/>
            <w:bottom w:w="0" w:type="dxa"/>
          </w:tblCellMar>
        </w:tblPrEx>
        <w:tc>
          <w:tcPr>
            <w:tcW w:w="2374" w:type="dxa"/>
          </w:tcPr>
          <w:p w:rsidR="00000000" w:rsidRDefault="00000000">
            <w:pPr>
              <w:spacing w:before="60" w:after="60"/>
              <w:jc w:val="center"/>
            </w:pPr>
            <w:r>
              <w:t>5 à 9 ans</w:t>
            </w:r>
          </w:p>
        </w:tc>
        <w:tc>
          <w:tcPr>
            <w:tcW w:w="2374" w:type="dxa"/>
          </w:tcPr>
          <w:p w:rsidR="00000000" w:rsidRDefault="00000000">
            <w:pPr>
              <w:spacing w:before="60" w:after="60"/>
              <w:jc w:val="right"/>
            </w:pPr>
            <w:r>
              <w:t>766 200</w:t>
            </w:r>
          </w:p>
        </w:tc>
        <w:tc>
          <w:tcPr>
            <w:tcW w:w="2374" w:type="dxa"/>
          </w:tcPr>
          <w:p w:rsidR="00000000" w:rsidRDefault="00000000">
            <w:pPr>
              <w:spacing w:before="60" w:after="60"/>
              <w:jc w:val="right"/>
            </w:pPr>
            <w:r>
              <w:t>752 500</w:t>
            </w:r>
          </w:p>
        </w:tc>
        <w:tc>
          <w:tcPr>
            <w:tcW w:w="2374" w:type="dxa"/>
          </w:tcPr>
          <w:p w:rsidR="00000000" w:rsidRDefault="00000000">
            <w:pPr>
              <w:spacing w:before="60" w:after="60"/>
              <w:jc w:val="right"/>
            </w:pPr>
            <w:r>
              <w:t>728 500</w:t>
            </w:r>
          </w:p>
        </w:tc>
      </w:tr>
      <w:tr w:rsidR="00000000">
        <w:tblPrEx>
          <w:tblCellMar>
            <w:top w:w="0" w:type="dxa"/>
            <w:bottom w:w="0" w:type="dxa"/>
          </w:tblCellMar>
        </w:tblPrEx>
        <w:tc>
          <w:tcPr>
            <w:tcW w:w="2374" w:type="dxa"/>
          </w:tcPr>
          <w:p w:rsidR="00000000" w:rsidRDefault="00000000">
            <w:pPr>
              <w:spacing w:before="60" w:after="60"/>
              <w:jc w:val="center"/>
            </w:pPr>
            <w:r>
              <w:t>10 à 14 ans</w:t>
            </w:r>
          </w:p>
        </w:tc>
        <w:tc>
          <w:tcPr>
            <w:tcW w:w="2374" w:type="dxa"/>
          </w:tcPr>
          <w:p w:rsidR="00000000" w:rsidRDefault="00000000">
            <w:pPr>
              <w:spacing w:before="60" w:after="60"/>
              <w:jc w:val="right"/>
            </w:pPr>
            <w:r>
              <w:t>800 300</w:t>
            </w:r>
          </w:p>
        </w:tc>
        <w:tc>
          <w:tcPr>
            <w:tcW w:w="2374" w:type="dxa"/>
          </w:tcPr>
          <w:p w:rsidR="00000000" w:rsidRDefault="00000000">
            <w:pPr>
              <w:spacing w:before="60" w:after="60"/>
              <w:jc w:val="right"/>
            </w:pPr>
            <w:r>
              <w:t>794 000</w:t>
            </w:r>
          </w:p>
        </w:tc>
        <w:tc>
          <w:tcPr>
            <w:tcW w:w="2374" w:type="dxa"/>
          </w:tcPr>
          <w:p w:rsidR="00000000" w:rsidRDefault="00000000">
            <w:pPr>
              <w:spacing w:before="60" w:after="60"/>
              <w:jc w:val="right"/>
            </w:pPr>
            <w:r>
              <w:t>786 500</w:t>
            </w:r>
          </w:p>
        </w:tc>
      </w:tr>
      <w:tr w:rsidR="00000000">
        <w:tblPrEx>
          <w:tblCellMar>
            <w:top w:w="0" w:type="dxa"/>
            <w:bottom w:w="0" w:type="dxa"/>
          </w:tblCellMar>
        </w:tblPrEx>
        <w:tc>
          <w:tcPr>
            <w:tcW w:w="2374" w:type="dxa"/>
          </w:tcPr>
          <w:p w:rsidR="00000000" w:rsidRDefault="00000000">
            <w:pPr>
              <w:spacing w:before="60" w:after="60"/>
              <w:jc w:val="center"/>
            </w:pPr>
            <w:r>
              <w:t>15 à 19 ans</w:t>
            </w:r>
          </w:p>
        </w:tc>
        <w:tc>
          <w:tcPr>
            <w:tcW w:w="2374" w:type="dxa"/>
          </w:tcPr>
          <w:p w:rsidR="00000000" w:rsidRDefault="00000000">
            <w:pPr>
              <w:spacing w:before="60" w:after="60"/>
              <w:jc w:val="right"/>
            </w:pPr>
            <w:r>
              <w:t>695 400</w:t>
            </w:r>
          </w:p>
        </w:tc>
        <w:tc>
          <w:tcPr>
            <w:tcW w:w="2374" w:type="dxa"/>
          </w:tcPr>
          <w:p w:rsidR="00000000" w:rsidRDefault="00000000">
            <w:pPr>
              <w:spacing w:before="60" w:after="60"/>
              <w:jc w:val="right"/>
            </w:pPr>
            <w:r>
              <w:t>709 000</w:t>
            </w:r>
          </w:p>
        </w:tc>
        <w:tc>
          <w:tcPr>
            <w:tcW w:w="2374" w:type="dxa"/>
          </w:tcPr>
          <w:p w:rsidR="00000000" w:rsidRDefault="00000000">
            <w:pPr>
              <w:spacing w:before="60" w:after="60"/>
              <w:jc w:val="right"/>
            </w:pPr>
            <w:r>
              <w:t>723 400</w:t>
            </w:r>
          </w:p>
        </w:tc>
      </w:tr>
      <w:tr w:rsidR="00000000">
        <w:tblPrEx>
          <w:tblCellMar>
            <w:top w:w="0" w:type="dxa"/>
            <w:bottom w:w="0" w:type="dxa"/>
          </w:tblCellMar>
        </w:tblPrEx>
        <w:tc>
          <w:tcPr>
            <w:tcW w:w="2374" w:type="dxa"/>
          </w:tcPr>
          <w:p w:rsidR="00000000" w:rsidRDefault="00000000">
            <w:pPr>
              <w:spacing w:before="60" w:after="60"/>
              <w:jc w:val="center"/>
            </w:pPr>
            <w:r>
              <w:t>20 à 24 ans</w:t>
            </w:r>
          </w:p>
        </w:tc>
        <w:tc>
          <w:tcPr>
            <w:tcW w:w="2374" w:type="dxa"/>
          </w:tcPr>
          <w:p w:rsidR="00000000" w:rsidRDefault="00000000">
            <w:pPr>
              <w:spacing w:before="60" w:after="60"/>
              <w:jc w:val="right"/>
            </w:pPr>
            <w:r>
              <w:t>573 900</w:t>
            </w:r>
          </w:p>
        </w:tc>
        <w:tc>
          <w:tcPr>
            <w:tcW w:w="2374" w:type="dxa"/>
          </w:tcPr>
          <w:p w:rsidR="00000000" w:rsidRDefault="00000000">
            <w:pPr>
              <w:spacing w:before="60" w:after="60"/>
              <w:jc w:val="right"/>
            </w:pPr>
            <w:r>
              <w:t>594 200</w:t>
            </w:r>
          </w:p>
        </w:tc>
        <w:tc>
          <w:tcPr>
            <w:tcW w:w="2374" w:type="dxa"/>
          </w:tcPr>
          <w:p w:rsidR="00000000" w:rsidRDefault="00000000">
            <w:pPr>
              <w:spacing w:before="60" w:after="60"/>
              <w:jc w:val="right"/>
            </w:pPr>
            <w:r>
              <w:t>608 400</w:t>
            </w:r>
          </w:p>
        </w:tc>
      </w:tr>
      <w:tr w:rsidR="00000000">
        <w:tblPrEx>
          <w:tblCellMar>
            <w:top w:w="0" w:type="dxa"/>
            <w:bottom w:w="0" w:type="dxa"/>
          </w:tblCellMar>
        </w:tblPrEx>
        <w:tc>
          <w:tcPr>
            <w:tcW w:w="2374" w:type="dxa"/>
          </w:tcPr>
          <w:p w:rsidR="00000000" w:rsidRDefault="00000000">
            <w:pPr>
              <w:spacing w:before="60" w:after="60"/>
              <w:jc w:val="center"/>
            </w:pPr>
            <w:r>
              <w:t>25 à 29 ans</w:t>
            </w:r>
          </w:p>
        </w:tc>
        <w:tc>
          <w:tcPr>
            <w:tcW w:w="2374" w:type="dxa"/>
          </w:tcPr>
          <w:p w:rsidR="00000000" w:rsidRDefault="00000000">
            <w:pPr>
              <w:spacing w:before="60" w:after="60"/>
              <w:jc w:val="right"/>
            </w:pPr>
            <w:r>
              <w:t>417 400</w:t>
            </w:r>
          </w:p>
        </w:tc>
        <w:tc>
          <w:tcPr>
            <w:tcW w:w="2374" w:type="dxa"/>
          </w:tcPr>
          <w:p w:rsidR="00000000" w:rsidRDefault="00000000">
            <w:pPr>
              <w:spacing w:before="60" w:after="60"/>
              <w:jc w:val="right"/>
            </w:pPr>
            <w:r>
              <w:t>433 600</w:t>
            </w:r>
          </w:p>
        </w:tc>
        <w:tc>
          <w:tcPr>
            <w:tcW w:w="2374" w:type="dxa"/>
          </w:tcPr>
          <w:p w:rsidR="00000000" w:rsidRDefault="00000000">
            <w:pPr>
              <w:spacing w:before="60" w:after="60"/>
              <w:jc w:val="right"/>
            </w:pPr>
            <w:r>
              <w:t>455 800</w:t>
            </w:r>
          </w:p>
        </w:tc>
      </w:tr>
      <w:tr w:rsidR="00000000">
        <w:tblPrEx>
          <w:tblCellMar>
            <w:top w:w="0" w:type="dxa"/>
            <w:bottom w:w="0" w:type="dxa"/>
          </w:tblCellMar>
        </w:tblPrEx>
        <w:tc>
          <w:tcPr>
            <w:tcW w:w="2374" w:type="dxa"/>
          </w:tcPr>
          <w:p w:rsidR="00000000" w:rsidRDefault="00000000">
            <w:pPr>
              <w:spacing w:before="60" w:after="60"/>
              <w:jc w:val="center"/>
            </w:pPr>
            <w:r>
              <w:t>30 à 34 ans</w:t>
            </w:r>
          </w:p>
        </w:tc>
        <w:tc>
          <w:tcPr>
            <w:tcW w:w="2374" w:type="dxa"/>
          </w:tcPr>
          <w:p w:rsidR="00000000" w:rsidRDefault="00000000">
            <w:pPr>
              <w:spacing w:before="60" w:after="60"/>
              <w:jc w:val="right"/>
            </w:pPr>
            <w:r>
              <w:t>428 100</w:t>
            </w:r>
          </w:p>
        </w:tc>
        <w:tc>
          <w:tcPr>
            <w:tcW w:w="2374" w:type="dxa"/>
          </w:tcPr>
          <w:p w:rsidR="00000000" w:rsidRDefault="00000000">
            <w:pPr>
              <w:spacing w:before="60" w:after="60"/>
              <w:jc w:val="right"/>
            </w:pPr>
            <w:r>
              <w:t>409 100</w:t>
            </w:r>
          </w:p>
        </w:tc>
        <w:tc>
          <w:tcPr>
            <w:tcW w:w="2374" w:type="dxa"/>
          </w:tcPr>
          <w:p w:rsidR="00000000" w:rsidRDefault="00000000">
            <w:pPr>
              <w:spacing w:before="60" w:after="60"/>
              <w:jc w:val="right"/>
            </w:pPr>
            <w:r>
              <w:t>392 900</w:t>
            </w:r>
          </w:p>
        </w:tc>
      </w:tr>
      <w:tr w:rsidR="00000000">
        <w:tblPrEx>
          <w:tblCellMar>
            <w:top w:w="0" w:type="dxa"/>
            <w:bottom w:w="0" w:type="dxa"/>
          </w:tblCellMar>
        </w:tblPrEx>
        <w:tc>
          <w:tcPr>
            <w:tcW w:w="2374" w:type="dxa"/>
          </w:tcPr>
          <w:p w:rsidR="00000000" w:rsidRDefault="00000000">
            <w:pPr>
              <w:spacing w:before="60" w:after="60"/>
              <w:jc w:val="center"/>
            </w:pPr>
            <w:r>
              <w:t>35 à 39 ans</w:t>
            </w:r>
          </w:p>
        </w:tc>
        <w:tc>
          <w:tcPr>
            <w:tcW w:w="2374" w:type="dxa"/>
          </w:tcPr>
          <w:p w:rsidR="00000000" w:rsidRDefault="00000000">
            <w:pPr>
              <w:spacing w:before="60" w:after="60"/>
              <w:jc w:val="right"/>
            </w:pPr>
            <w:r>
              <w:t>484 300</w:t>
            </w:r>
          </w:p>
        </w:tc>
        <w:tc>
          <w:tcPr>
            <w:tcW w:w="2374" w:type="dxa"/>
          </w:tcPr>
          <w:p w:rsidR="00000000" w:rsidRDefault="00000000">
            <w:pPr>
              <w:spacing w:before="60" w:after="60"/>
              <w:jc w:val="right"/>
            </w:pPr>
            <w:r>
              <w:t>476 000</w:t>
            </w:r>
          </w:p>
        </w:tc>
        <w:tc>
          <w:tcPr>
            <w:tcW w:w="2374" w:type="dxa"/>
          </w:tcPr>
          <w:p w:rsidR="00000000" w:rsidRDefault="00000000">
            <w:pPr>
              <w:spacing w:before="60" w:after="60"/>
              <w:jc w:val="right"/>
            </w:pPr>
            <w:r>
              <w:t>458 700</w:t>
            </w:r>
          </w:p>
        </w:tc>
      </w:tr>
      <w:tr w:rsidR="00000000">
        <w:tblPrEx>
          <w:tblCellMar>
            <w:top w:w="0" w:type="dxa"/>
            <w:bottom w:w="0" w:type="dxa"/>
          </w:tblCellMar>
        </w:tblPrEx>
        <w:tc>
          <w:tcPr>
            <w:tcW w:w="2374" w:type="dxa"/>
          </w:tcPr>
          <w:p w:rsidR="00000000" w:rsidRDefault="00000000">
            <w:pPr>
              <w:spacing w:before="60" w:after="60"/>
              <w:jc w:val="center"/>
            </w:pPr>
            <w:r>
              <w:t>40 à 44 ans</w:t>
            </w:r>
          </w:p>
        </w:tc>
        <w:tc>
          <w:tcPr>
            <w:tcW w:w="2374" w:type="dxa"/>
          </w:tcPr>
          <w:p w:rsidR="00000000" w:rsidRDefault="00000000">
            <w:pPr>
              <w:spacing w:before="60" w:after="60"/>
              <w:jc w:val="right"/>
            </w:pPr>
            <w:r>
              <w:t>401 600</w:t>
            </w:r>
          </w:p>
        </w:tc>
        <w:tc>
          <w:tcPr>
            <w:tcW w:w="2374" w:type="dxa"/>
          </w:tcPr>
          <w:p w:rsidR="00000000" w:rsidRDefault="00000000">
            <w:pPr>
              <w:spacing w:before="60" w:after="60"/>
              <w:jc w:val="right"/>
            </w:pPr>
            <w:r>
              <w:t>414 900</w:t>
            </w:r>
          </w:p>
        </w:tc>
        <w:tc>
          <w:tcPr>
            <w:tcW w:w="2374" w:type="dxa"/>
          </w:tcPr>
          <w:p w:rsidR="00000000" w:rsidRDefault="00000000">
            <w:pPr>
              <w:spacing w:before="60" w:after="60"/>
              <w:jc w:val="right"/>
            </w:pPr>
            <w:r>
              <w:t>430 500</w:t>
            </w:r>
          </w:p>
        </w:tc>
      </w:tr>
      <w:tr w:rsidR="00000000">
        <w:tblPrEx>
          <w:tblCellMar>
            <w:top w:w="0" w:type="dxa"/>
            <w:bottom w:w="0" w:type="dxa"/>
          </w:tblCellMar>
        </w:tblPrEx>
        <w:tc>
          <w:tcPr>
            <w:tcW w:w="2374" w:type="dxa"/>
          </w:tcPr>
          <w:p w:rsidR="00000000" w:rsidRDefault="00000000">
            <w:pPr>
              <w:spacing w:before="60" w:after="60"/>
              <w:jc w:val="center"/>
            </w:pPr>
            <w:r>
              <w:t>45 à 49 ans</w:t>
            </w:r>
          </w:p>
        </w:tc>
        <w:tc>
          <w:tcPr>
            <w:tcW w:w="2374" w:type="dxa"/>
          </w:tcPr>
          <w:p w:rsidR="00000000" w:rsidRDefault="00000000">
            <w:pPr>
              <w:spacing w:before="60" w:after="60"/>
              <w:jc w:val="right"/>
            </w:pPr>
            <w:r>
              <w:t>321 000</w:t>
            </w:r>
          </w:p>
        </w:tc>
        <w:tc>
          <w:tcPr>
            <w:tcW w:w="2374" w:type="dxa"/>
          </w:tcPr>
          <w:p w:rsidR="00000000" w:rsidRDefault="00000000">
            <w:pPr>
              <w:spacing w:before="60" w:after="60"/>
              <w:jc w:val="right"/>
            </w:pPr>
            <w:r>
              <w:t>328 700</w:t>
            </w:r>
          </w:p>
        </w:tc>
        <w:tc>
          <w:tcPr>
            <w:tcW w:w="2374" w:type="dxa"/>
          </w:tcPr>
          <w:p w:rsidR="00000000" w:rsidRDefault="00000000">
            <w:pPr>
              <w:spacing w:before="60" w:after="60"/>
              <w:jc w:val="right"/>
            </w:pPr>
            <w:r>
              <w:t>335 900</w:t>
            </w:r>
          </w:p>
        </w:tc>
      </w:tr>
      <w:tr w:rsidR="00000000">
        <w:tblPrEx>
          <w:tblCellMar>
            <w:top w:w="0" w:type="dxa"/>
            <w:bottom w:w="0" w:type="dxa"/>
          </w:tblCellMar>
        </w:tblPrEx>
        <w:tc>
          <w:tcPr>
            <w:tcW w:w="2374" w:type="dxa"/>
          </w:tcPr>
          <w:p w:rsidR="00000000" w:rsidRDefault="00000000">
            <w:pPr>
              <w:spacing w:before="60" w:after="60"/>
              <w:jc w:val="center"/>
            </w:pPr>
            <w:r>
              <w:t>50 à 54 ans</w:t>
            </w:r>
          </w:p>
        </w:tc>
        <w:tc>
          <w:tcPr>
            <w:tcW w:w="2374" w:type="dxa"/>
          </w:tcPr>
          <w:p w:rsidR="00000000" w:rsidRDefault="00000000">
            <w:pPr>
              <w:spacing w:before="60" w:after="60"/>
              <w:jc w:val="right"/>
            </w:pPr>
            <w:r>
              <w:t>197 100</w:t>
            </w:r>
          </w:p>
        </w:tc>
        <w:tc>
          <w:tcPr>
            <w:tcW w:w="2374" w:type="dxa"/>
          </w:tcPr>
          <w:p w:rsidR="00000000" w:rsidRDefault="00000000">
            <w:pPr>
              <w:spacing w:before="60" w:after="60"/>
              <w:jc w:val="right"/>
            </w:pPr>
            <w:r>
              <w:t>229 000</w:t>
            </w:r>
          </w:p>
        </w:tc>
        <w:tc>
          <w:tcPr>
            <w:tcW w:w="2374" w:type="dxa"/>
          </w:tcPr>
          <w:p w:rsidR="00000000" w:rsidRDefault="00000000">
            <w:pPr>
              <w:spacing w:before="60" w:after="60"/>
              <w:jc w:val="right"/>
            </w:pPr>
            <w:r>
              <w:t>257 600</w:t>
            </w:r>
          </w:p>
        </w:tc>
      </w:tr>
      <w:tr w:rsidR="00000000">
        <w:tblPrEx>
          <w:tblCellMar>
            <w:top w:w="0" w:type="dxa"/>
            <w:bottom w:w="0" w:type="dxa"/>
          </w:tblCellMar>
        </w:tblPrEx>
        <w:tc>
          <w:tcPr>
            <w:tcW w:w="2374" w:type="dxa"/>
          </w:tcPr>
          <w:p w:rsidR="00000000" w:rsidRDefault="00000000">
            <w:pPr>
              <w:spacing w:before="60" w:after="60"/>
              <w:jc w:val="center"/>
            </w:pPr>
            <w:r>
              <w:t>55 à 59 ans</w:t>
            </w:r>
          </w:p>
        </w:tc>
        <w:tc>
          <w:tcPr>
            <w:tcW w:w="2374" w:type="dxa"/>
          </w:tcPr>
          <w:p w:rsidR="00000000" w:rsidRDefault="00000000">
            <w:pPr>
              <w:spacing w:before="60" w:after="60"/>
              <w:jc w:val="right"/>
            </w:pPr>
            <w:r>
              <w:t>235 800</w:t>
            </w:r>
          </w:p>
        </w:tc>
        <w:tc>
          <w:tcPr>
            <w:tcW w:w="2374" w:type="dxa"/>
          </w:tcPr>
          <w:p w:rsidR="00000000" w:rsidRDefault="00000000">
            <w:pPr>
              <w:spacing w:before="60" w:after="60"/>
              <w:jc w:val="right"/>
            </w:pPr>
            <w:r>
              <w:t>195 700</w:t>
            </w:r>
          </w:p>
        </w:tc>
        <w:tc>
          <w:tcPr>
            <w:tcW w:w="2374" w:type="dxa"/>
          </w:tcPr>
          <w:p w:rsidR="00000000" w:rsidRDefault="00000000">
            <w:pPr>
              <w:spacing w:before="60" w:after="60"/>
              <w:jc w:val="right"/>
            </w:pPr>
            <w:r>
              <w:t>163 400</w:t>
            </w:r>
          </w:p>
        </w:tc>
      </w:tr>
      <w:tr w:rsidR="00000000">
        <w:tblPrEx>
          <w:tblCellMar>
            <w:top w:w="0" w:type="dxa"/>
            <w:bottom w:w="0" w:type="dxa"/>
          </w:tblCellMar>
        </w:tblPrEx>
        <w:tc>
          <w:tcPr>
            <w:tcW w:w="2374" w:type="dxa"/>
          </w:tcPr>
          <w:p w:rsidR="00000000" w:rsidRDefault="00000000">
            <w:pPr>
              <w:spacing w:before="60" w:after="60"/>
              <w:jc w:val="center"/>
            </w:pPr>
            <w:r>
              <w:t>60 à 64 ans</w:t>
            </w:r>
          </w:p>
        </w:tc>
        <w:tc>
          <w:tcPr>
            <w:tcW w:w="2374" w:type="dxa"/>
          </w:tcPr>
          <w:p w:rsidR="00000000" w:rsidRDefault="00000000">
            <w:pPr>
              <w:spacing w:before="60" w:after="60"/>
              <w:jc w:val="right"/>
            </w:pPr>
            <w:r>
              <w:t>232 900</w:t>
            </w:r>
          </w:p>
        </w:tc>
        <w:tc>
          <w:tcPr>
            <w:tcW w:w="2374" w:type="dxa"/>
          </w:tcPr>
          <w:p w:rsidR="00000000" w:rsidRDefault="00000000">
            <w:pPr>
              <w:spacing w:before="60" w:after="60"/>
              <w:jc w:val="right"/>
            </w:pPr>
            <w:r>
              <w:t>252 100</w:t>
            </w:r>
          </w:p>
        </w:tc>
        <w:tc>
          <w:tcPr>
            <w:tcW w:w="2374" w:type="dxa"/>
          </w:tcPr>
          <w:p w:rsidR="00000000" w:rsidRDefault="00000000">
            <w:pPr>
              <w:spacing w:before="60" w:after="60"/>
              <w:jc w:val="right"/>
            </w:pPr>
            <w:r>
              <w:t>260 700</w:t>
            </w:r>
          </w:p>
        </w:tc>
      </w:tr>
      <w:tr w:rsidR="00000000">
        <w:tblPrEx>
          <w:tblCellMar>
            <w:top w:w="0" w:type="dxa"/>
            <w:bottom w:w="0" w:type="dxa"/>
          </w:tblCellMar>
        </w:tblPrEx>
        <w:tc>
          <w:tcPr>
            <w:tcW w:w="2374" w:type="dxa"/>
          </w:tcPr>
          <w:p w:rsidR="00000000" w:rsidRDefault="00000000">
            <w:pPr>
              <w:spacing w:before="60" w:after="60"/>
              <w:jc w:val="center"/>
            </w:pPr>
            <w:r>
              <w:t>65 ans et plus</w:t>
            </w:r>
          </w:p>
        </w:tc>
        <w:tc>
          <w:tcPr>
            <w:tcW w:w="2374" w:type="dxa"/>
          </w:tcPr>
          <w:p w:rsidR="00000000" w:rsidRDefault="00000000">
            <w:pPr>
              <w:spacing w:before="60" w:after="60"/>
              <w:jc w:val="right"/>
            </w:pPr>
            <w:r>
              <w:t>414 400</w:t>
            </w:r>
          </w:p>
        </w:tc>
        <w:tc>
          <w:tcPr>
            <w:tcW w:w="2374" w:type="dxa"/>
          </w:tcPr>
          <w:p w:rsidR="00000000" w:rsidRDefault="00000000">
            <w:pPr>
              <w:spacing w:before="60" w:after="60"/>
              <w:jc w:val="right"/>
            </w:pPr>
            <w:r>
              <w:t>411 600</w:t>
            </w:r>
          </w:p>
        </w:tc>
        <w:tc>
          <w:tcPr>
            <w:tcW w:w="2374" w:type="dxa"/>
          </w:tcPr>
          <w:p w:rsidR="00000000" w:rsidRDefault="00000000">
            <w:pPr>
              <w:spacing w:before="60" w:after="60"/>
              <w:jc w:val="right"/>
            </w:pPr>
            <w:r>
              <w:t>414 900</w:t>
            </w:r>
          </w:p>
        </w:tc>
      </w:tr>
    </w:tbl>
    <w:p w:rsidR="00000000" w:rsidRDefault="00000000">
      <w:pPr>
        <w:keepNext/>
        <w:spacing w:before="240" w:after="240"/>
        <w:jc w:val="center"/>
        <w:rPr>
          <w:b/>
          <w:bCs/>
        </w:rPr>
      </w:pPr>
      <w:r>
        <w:rPr>
          <w:b/>
          <w:bCs/>
        </w:rPr>
        <w:t>Espérance de vie</w:t>
      </w:r>
    </w:p>
    <w:p w:rsidR="00000000" w:rsidRDefault="00000000">
      <w:pPr>
        <w:spacing w:after="240"/>
      </w:pPr>
      <w:r>
        <w:t>5.</w:t>
      </w:r>
      <w:r>
        <w:tab/>
        <w:t>En 2001, l’espérance de vie moyenne était de 65,6 ans, soit 71,1 ans pour les femmes et 60,2 ans pour les hommes.</w:t>
      </w:r>
    </w:p>
    <w:p w:rsidR="00000000" w:rsidRDefault="00000000">
      <w:pPr>
        <w:keepNext/>
        <w:spacing w:after="240"/>
        <w:jc w:val="center"/>
        <w:rPr>
          <w:b/>
          <w:bCs/>
        </w:rPr>
      </w:pPr>
      <w:r>
        <w:rPr>
          <w:b/>
          <w:bCs/>
        </w:rPr>
        <w:t>Tableau 6</w:t>
      </w:r>
    </w:p>
    <w:p w:rsidR="00000000" w:rsidRDefault="00000000">
      <w:pPr>
        <w:keepNext/>
        <w:spacing w:after="240"/>
        <w:jc w:val="center"/>
      </w:pPr>
      <w:r>
        <w:rPr>
          <w:b/>
          <w:bCs/>
        </w:rPr>
        <w:t>Espérance de vie à la naissance (en années)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Pr>
          <w:p w:rsidR="00000000" w:rsidRDefault="00000000">
            <w:pPr>
              <w:spacing w:before="60" w:after="60"/>
            </w:pPr>
          </w:p>
        </w:tc>
        <w:tc>
          <w:tcPr>
            <w:tcW w:w="2374" w:type="dxa"/>
          </w:tcPr>
          <w:p w:rsidR="00000000" w:rsidRDefault="00000000">
            <w:pPr>
              <w:spacing w:before="60" w:after="60"/>
              <w:jc w:val="center"/>
            </w:pPr>
            <w:r>
              <w:t>1999</w:t>
            </w:r>
          </w:p>
        </w:tc>
        <w:tc>
          <w:tcPr>
            <w:tcW w:w="2374" w:type="dxa"/>
          </w:tcPr>
          <w:p w:rsidR="00000000" w:rsidRDefault="00000000">
            <w:pPr>
              <w:spacing w:before="60" w:after="60"/>
              <w:jc w:val="center"/>
            </w:pPr>
            <w:r>
              <w:t>2000</w:t>
            </w:r>
          </w:p>
        </w:tc>
        <w:tc>
          <w:tcPr>
            <w:tcW w:w="2374" w:type="dxa"/>
          </w:tcPr>
          <w:p w:rsidR="00000000" w:rsidRDefault="00000000">
            <w:pPr>
              <w:spacing w:before="60" w:after="60"/>
              <w:jc w:val="center"/>
            </w:pPr>
            <w:r>
              <w:t>2001</w:t>
            </w:r>
          </w:p>
        </w:tc>
      </w:tr>
      <w:tr w:rsidR="00000000">
        <w:tblPrEx>
          <w:tblCellMar>
            <w:top w:w="0" w:type="dxa"/>
            <w:bottom w:w="0" w:type="dxa"/>
          </w:tblCellMar>
        </w:tblPrEx>
        <w:tc>
          <w:tcPr>
            <w:tcW w:w="2374" w:type="dxa"/>
          </w:tcPr>
          <w:p w:rsidR="00000000" w:rsidRDefault="00000000">
            <w:pPr>
              <w:spacing w:before="60" w:after="60"/>
            </w:pPr>
            <w:r>
              <w:t>Population totale</w:t>
            </w:r>
          </w:p>
        </w:tc>
        <w:tc>
          <w:tcPr>
            <w:tcW w:w="2374" w:type="dxa"/>
          </w:tcPr>
          <w:p w:rsidR="00000000" w:rsidRDefault="00000000">
            <w:pPr>
              <w:spacing w:before="60" w:after="60"/>
              <w:jc w:val="center"/>
            </w:pPr>
            <w:r>
              <w:t>65,5</w:t>
            </w:r>
          </w:p>
        </w:tc>
        <w:tc>
          <w:tcPr>
            <w:tcW w:w="2374" w:type="dxa"/>
          </w:tcPr>
          <w:p w:rsidR="00000000" w:rsidRDefault="00000000">
            <w:pPr>
              <w:spacing w:before="60" w:after="60"/>
              <w:jc w:val="center"/>
            </w:pPr>
            <w:r>
              <w:t>65,4</w:t>
            </w:r>
          </w:p>
        </w:tc>
        <w:tc>
          <w:tcPr>
            <w:tcW w:w="2374" w:type="dxa"/>
          </w:tcPr>
          <w:p w:rsidR="00000000" w:rsidRDefault="00000000">
            <w:pPr>
              <w:spacing w:before="60" w:after="60"/>
              <w:jc w:val="center"/>
            </w:pPr>
            <w:r>
              <w:t>65,6</w:t>
            </w:r>
          </w:p>
        </w:tc>
      </w:tr>
      <w:tr w:rsidR="00000000">
        <w:tblPrEx>
          <w:tblCellMar>
            <w:top w:w="0" w:type="dxa"/>
            <w:bottom w:w="0" w:type="dxa"/>
          </w:tblCellMar>
        </w:tblPrEx>
        <w:tc>
          <w:tcPr>
            <w:tcW w:w="2374" w:type="dxa"/>
          </w:tcPr>
          <w:p w:rsidR="00000000" w:rsidRDefault="00000000">
            <w:pPr>
              <w:spacing w:before="60" w:after="60"/>
            </w:pPr>
            <w:r>
              <w:t>Hommes</w:t>
            </w:r>
          </w:p>
        </w:tc>
        <w:tc>
          <w:tcPr>
            <w:tcW w:w="2374" w:type="dxa"/>
          </w:tcPr>
          <w:p w:rsidR="00000000" w:rsidRDefault="00000000">
            <w:pPr>
              <w:spacing w:before="60" w:after="60"/>
              <w:jc w:val="center"/>
            </w:pPr>
            <w:r>
              <w:t>60,3</w:t>
            </w:r>
          </w:p>
        </w:tc>
        <w:tc>
          <w:tcPr>
            <w:tcW w:w="2374" w:type="dxa"/>
          </w:tcPr>
          <w:p w:rsidR="00000000" w:rsidRDefault="00000000">
            <w:pPr>
              <w:spacing w:before="60" w:after="60"/>
              <w:jc w:val="center"/>
            </w:pPr>
            <w:r>
              <w:t>59,8</w:t>
            </w:r>
          </w:p>
        </w:tc>
        <w:tc>
          <w:tcPr>
            <w:tcW w:w="2374" w:type="dxa"/>
          </w:tcPr>
          <w:p w:rsidR="00000000" w:rsidRDefault="00000000">
            <w:pPr>
              <w:spacing w:before="60" w:after="60"/>
              <w:jc w:val="center"/>
            </w:pPr>
            <w:r>
              <w:t>60,2</w:t>
            </w:r>
          </w:p>
        </w:tc>
      </w:tr>
      <w:tr w:rsidR="00000000">
        <w:tblPrEx>
          <w:tblCellMar>
            <w:top w:w="0" w:type="dxa"/>
            <w:bottom w:w="0" w:type="dxa"/>
          </w:tblCellMar>
        </w:tblPrEx>
        <w:tc>
          <w:tcPr>
            <w:tcW w:w="2374" w:type="dxa"/>
          </w:tcPr>
          <w:p w:rsidR="00000000" w:rsidRDefault="00000000">
            <w:pPr>
              <w:spacing w:before="60" w:after="60"/>
            </w:pPr>
            <w:r>
              <w:t>Femmes</w:t>
            </w:r>
          </w:p>
        </w:tc>
        <w:tc>
          <w:tcPr>
            <w:tcW w:w="2374" w:type="dxa"/>
          </w:tcPr>
          <w:p w:rsidR="00000000" w:rsidRDefault="00000000">
            <w:pPr>
              <w:spacing w:before="60" w:after="60"/>
              <w:jc w:val="center"/>
            </w:pPr>
            <w:r>
              <w:t>71,0</w:t>
            </w:r>
          </w:p>
        </w:tc>
        <w:tc>
          <w:tcPr>
            <w:tcW w:w="2374" w:type="dxa"/>
          </w:tcPr>
          <w:p w:rsidR="00000000" w:rsidRDefault="00000000">
            <w:pPr>
              <w:spacing w:before="60" w:after="60"/>
              <w:jc w:val="center"/>
            </w:pPr>
            <w:r>
              <w:t>71,3</w:t>
            </w:r>
          </w:p>
        </w:tc>
        <w:tc>
          <w:tcPr>
            <w:tcW w:w="2374" w:type="dxa"/>
          </w:tcPr>
          <w:p w:rsidR="00000000" w:rsidRDefault="00000000">
            <w:pPr>
              <w:spacing w:before="60" w:after="60"/>
              <w:jc w:val="center"/>
            </w:pPr>
            <w:r>
              <w:t>71,1</w:t>
            </w:r>
          </w:p>
        </w:tc>
      </w:tr>
    </w:tbl>
    <w:p w:rsidR="00000000" w:rsidRDefault="00000000">
      <w:pPr>
        <w:spacing w:before="240" w:after="240"/>
      </w:pPr>
    </w:p>
    <w:p w:rsidR="00000000" w:rsidRDefault="00000000">
      <w:pPr>
        <w:keepNext/>
        <w:spacing w:before="240" w:after="240"/>
      </w:pPr>
      <w:r>
        <w:t>Taux de natalité et de mortalité générale (par milliers d’habitants)</w:t>
      </w:r>
    </w:p>
    <w:p w:rsidR="00000000" w:rsidRDefault="00000000">
      <w:pPr>
        <w:spacing w:after="240"/>
      </w:pPr>
      <w:r>
        <w:t>1999:</w:t>
      </w:r>
    </w:p>
    <w:p w:rsidR="00000000" w:rsidRDefault="00000000">
      <w:pPr>
        <w:spacing w:after="240"/>
      </w:pPr>
      <w:r>
        <w:tab/>
        <w:t>Taux de natalité: 14,5 ‰</w:t>
      </w:r>
    </w:p>
    <w:p w:rsidR="00000000" w:rsidRDefault="00000000">
      <w:pPr>
        <w:spacing w:after="240"/>
      </w:pPr>
      <w:r>
        <w:tab/>
        <w:t>Taux de mortalité: 9,9 ‰</w:t>
      </w:r>
    </w:p>
    <w:p w:rsidR="00000000" w:rsidRDefault="00000000">
      <w:pPr>
        <w:keepNext/>
        <w:spacing w:after="240"/>
      </w:pPr>
      <w:r>
        <w:t>2000:</w:t>
      </w:r>
    </w:p>
    <w:p w:rsidR="00000000" w:rsidRDefault="00000000">
      <w:pPr>
        <w:spacing w:after="240"/>
      </w:pPr>
      <w:r>
        <w:tab/>
        <w:t>Taux de natalité: 14,8 ‰</w:t>
      </w:r>
    </w:p>
    <w:p w:rsidR="00000000" w:rsidRDefault="00000000">
      <w:pPr>
        <w:spacing w:after="240"/>
      </w:pPr>
      <w:r>
        <w:tab/>
        <w:t>Taux de mortalité: 10,1 ‰</w:t>
      </w:r>
    </w:p>
    <w:p w:rsidR="00000000" w:rsidRDefault="00000000">
      <w:pPr>
        <w:keepNext/>
        <w:spacing w:after="240"/>
      </w:pPr>
      <w:r>
        <w:t>2001:</w:t>
      </w:r>
    </w:p>
    <w:p w:rsidR="00000000" w:rsidRDefault="00000000">
      <w:pPr>
        <w:spacing w:after="240"/>
      </w:pPr>
      <w:r>
        <w:tab/>
        <w:t>Taux de natalité: 14,8 ‰</w:t>
      </w:r>
    </w:p>
    <w:p w:rsidR="00000000" w:rsidRDefault="00000000">
      <w:pPr>
        <w:spacing w:after="240"/>
      </w:pPr>
      <w:r>
        <w:tab/>
        <w:t>Taux de mortalité: 10 ‰</w:t>
      </w:r>
    </w:p>
    <w:p w:rsidR="00000000" w:rsidRDefault="00000000">
      <w:pPr>
        <w:spacing w:after="240"/>
      </w:pPr>
      <w:r>
        <w:tab/>
        <w:t>Le taux de croissance naturel de la population a donc été de 4,6 ‰ en 1999, 4,7 ‰ en 2000 et 4,8 ‰ en 2001.</w:t>
      </w:r>
    </w:p>
    <w:p w:rsidR="00000000" w:rsidRDefault="00000000">
      <w:pPr>
        <w:keepNext/>
        <w:spacing w:after="240"/>
        <w:jc w:val="center"/>
      </w:pPr>
      <w:r>
        <w:rPr>
          <w:b/>
          <w:bCs/>
        </w:rPr>
        <w:t>Mortalité infantile</w:t>
      </w:r>
    </w:p>
    <w:p w:rsidR="00000000" w:rsidRDefault="00000000">
      <w:pPr>
        <w:spacing w:after="240"/>
      </w:pPr>
      <w:r>
        <w:t>6.</w:t>
      </w:r>
      <w:r>
        <w:tab/>
        <w:t>En 2001, 4 238 enfants âgés de moins de un an sont décédés, soit 2 526 garçons et 1 712 filles.</w:t>
      </w:r>
    </w:p>
    <w:p w:rsidR="00000000" w:rsidRDefault="00000000">
      <w:pPr>
        <w:keepNext/>
        <w:spacing w:after="240"/>
        <w:jc w:val="center"/>
        <w:rPr>
          <w:b/>
          <w:bCs/>
        </w:rPr>
      </w:pPr>
      <w:r>
        <w:rPr>
          <w:b/>
          <w:bCs/>
        </w:rPr>
        <w:t>Tableau 7</w:t>
      </w:r>
    </w:p>
    <w:p w:rsidR="00000000" w:rsidRDefault="00000000">
      <w:pPr>
        <w:keepNext/>
        <w:spacing w:after="240"/>
        <w:jc w:val="center"/>
      </w:pPr>
      <w:r>
        <w:rPr>
          <w:b/>
          <w:bCs/>
        </w:rPr>
        <w:t>La mortalité infantile (nombre de décès)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Pr>
          <w:p w:rsidR="00000000" w:rsidRDefault="00000000">
            <w:pPr>
              <w:spacing w:before="60" w:after="60"/>
            </w:pPr>
          </w:p>
        </w:tc>
        <w:tc>
          <w:tcPr>
            <w:tcW w:w="2374" w:type="dxa"/>
          </w:tcPr>
          <w:p w:rsidR="00000000" w:rsidRDefault="00000000">
            <w:pPr>
              <w:spacing w:before="60" w:after="60"/>
              <w:jc w:val="center"/>
            </w:pPr>
            <w:r>
              <w:t>1999</w:t>
            </w:r>
          </w:p>
        </w:tc>
        <w:tc>
          <w:tcPr>
            <w:tcW w:w="2374" w:type="dxa"/>
          </w:tcPr>
          <w:p w:rsidR="00000000" w:rsidRDefault="00000000">
            <w:pPr>
              <w:spacing w:before="60" w:after="60"/>
              <w:jc w:val="center"/>
            </w:pPr>
            <w:r>
              <w:t>2000</w:t>
            </w:r>
          </w:p>
        </w:tc>
        <w:tc>
          <w:tcPr>
            <w:tcW w:w="2374" w:type="dxa"/>
          </w:tcPr>
          <w:p w:rsidR="00000000" w:rsidRDefault="00000000">
            <w:pPr>
              <w:spacing w:before="60" w:after="60"/>
              <w:jc w:val="center"/>
            </w:pPr>
            <w:r>
              <w:t>2001</w:t>
            </w:r>
          </w:p>
        </w:tc>
      </w:tr>
      <w:tr w:rsidR="00000000">
        <w:tblPrEx>
          <w:tblCellMar>
            <w:top w:w="0" w:type="dxa"/>
            <w:bottom w:w="0" w:type="dxa"/>
          </w:tblCellMar>
        </w:tblPrEx>
        <w:tc>
          <w:tcPr>
            <w:tcW w:w="2374" w:type="dxa"/>
          </w:tcPr>
          <w:p w:rsidR="00000000" w:rsidRDefault="00000000">
            <w:pPr>
              <w:spacing w:before="60" w:after="60"/>
            </w:pPr>
            <w:r>
              <w:t>Filles et garçons</w:t>
            </w:r>
          </w:p>
        </w:tc>
        <w:tc>
          <w:tcPr>
            <w:tcW w:w="2374" w:type="dxa"/>
          </w:tcPr>
          <w:p w:rsidR="00000000" w:rsidRDefault="00000000">
            <w:pPr>
              <w:spacing w:before="60" w:after="60"/>
              <w:jc w:val="center"/>
            </w:pPr>
            <w:r>
              <w:t>4 444</w:t>
            </w:r>
          </w:p>
        </w:tc>
        <w:tc>
          <w:tcPr>
            <w:tcW w:w="2374" w:type="dxa"/>
          </w:tcPr>
          <w:p w:rsidR="00000000" w:rsidRDefault="00000000">
            <w:pPr>
              <w:spacing w:before="60" w:after="60"/>
              <w:jc w:val="center"/>
            </w:pPr>
            <w:r>
              <w:t>4 158</w:t>
            </w:r>
          </w:p>
        </w:tc>
        <w:tc>
          <w:tcPr>
            <w:tcW w:w="2374" w:type="dxa"/>
          </w:tcPr>
          <w:p w:rsidR="00000000" w:rsidRDefault="00000000">
            <w:pPr>
              <w:spacing w:before="60" w:after="60"/>
              <w:jc w:val="center"/>
            </w:pPr>
            <w:r>
              <w:t>4 238</w:t>
            </w:r>
          </w:p>
        </w:tc>
      </w:tr>
      <w:tr w:rsidR="00000000">
        <w:tblPrEx>
          <w:tblCellMar>
            <w:top w:w="0" w:type="dxa"/>
            <w:bottom w:w="0" w:type="dxa"/>
          </w:tblCellMar>
        </w:tblPrEx>
        <w:tc>
          <w:tcPr>
            <w:tcW w:w="2374" w:type="dxa"/>
          </w:tcPr>
          <w:p w:rsidR="00000000" w:rsidRDefault="00000000">
            <w:pPr>
              <w:spacing w:before="60" w:after="60"/>
            </w:pPr>
            <w:r>
              <w:t>Garçons</w:t>
            </w:r>
          </w:p>
        </w:tc>
        <w:tc>
          <w:tcPr>
            <w:tcW w:w="2374" w:type="dxa"/>
          </w:tcPr>
          <w:p w:rsidR="00000000" w:rsidRDefault="00000000">
            <w:pPr>
              <w:spacing w:before="60" w:after="60"/>
              <w:jc w:val="center"/>
            </w:pPr>
            <w:r>
              <w:t>2 616</w:t>
            </w:r>
          </w:p>
        </w:tc>
        <w:tc>
          <w:tcPr>
            <w:tcW w:w="2374" w:type="dxa"/>
          </w:tcPr>
          <w:p w:rsidR="00000000" w:rsidRDefault="00000000">
            <w:pPr>
              <w:spacing w:before="60" w:after="60"/>
              <w:jc w:val="center"/>
            </w:pPr>
            <w:r>
              <w:t>2 448</w:t>
            </w:r>
          </w:p>
        </w:tc>
        <w:tc>
          <w:tcPr>
            <w:tcW w:w="2374" w:type="dxa"/>
          </w:tcPr>
          <w:p w:rsidR="00000000" w:rsidRDefault="00000000">
            <w:pPr>
              <w:spacing w:before="60" w:after="60"/>
              <w:jc w:val="center"/>
            </w:pPr>
            <w:r>
              <w:t>2 526</w:t>
            </w:r>
          </w:p>
        </w:tc>
      </w:tr>
      <w:tr w:rsidR="00000000">
        <w:tblPrEx>
          <w:tblCellMar>
            <w:top w:w="0" w:type="dxa"/>
            <w:bottom w:w="0" w:type="dxa"/>
          </w:tblCellMar>
        </w:tblPrEx>
        <w:tc>
          <w:tcPr>
            <w:tcW w:w="2374" w:type="dxa"/>
          </w:tcPr>
          <w:p w:rsidR="00000000" w:rsidRDefault="00000000">
            <w:pPr>
              <w:spacing w:before="60" w:after="60"/>
            </w:pPr>
            <w:r>
              <w:t>Filles</w:t>
            </w:r>
          </w:p>
        </w:tc>
        <w:tc>
          <w:tcPr>
            <w:tcW w:w="2374" w:type="dxa"/>
          </w:tcPr>
          <w:p w:rsidR="00000000" w:rsidRDefault="00000000">
            <w:pPr>
              <w:spacing w:before="60" w:after="60"/>
              <w:jc w:val="center"/>
            </w:pPr>
            <w:r>
              <w:t>1 828</w:t>
            </w:r>
          </w:p>
        </w:tc>
        <w:tc>
          <w:tcPr>
            <w:tcW w:w="2374" w:type="dxa"/>
          </w:tcPr>
          <w:p w:rsidR="00000000" w:rsidRDefault="00000000">
            <w:pPr>
              <w:spacing w:before="60" w:after="60"/>
              <w:jc w:val="center"/>
            </w:pPr>
            <w:r>
              <w:t>1 710</w:t>
            </w:r>
          </w:p>
        </w:tc>
        <w:tc>
          <w:tcPr>
            <w:tcW w:w="2374" w:type="dxa"/>
          </w:tcPr>
          <w:p w:rsidR="00000000" w:rsidRDefault="00000000">
            <w:pPr>
              <w:spacing w:before="60" w:after="60"/>
              <w:jc w:val="center"/>
            </w:pPr>
            <w:r>
              <w:t>1 712</w:t>
            </w:r>
          </w:p>
        </w:tc>
      </w:tr>
    </w:tbl>
    <w:p w:rsidR="00000000" w:rsidRDefault="00000000">
      <w:pPr>
        <w:keepNext/>
        <w:spacing w:before="240" w:after="240"/>
        <w:jc w:val="center"/>
        <w:rPr>
          <w:b/>
          <w:bCs/>
        </w:rPr>
      </w:pPr>
      <w:r>
        <w:rPr>
          <w:b/>
          <w:bCs/>
        </w:rPr>
        <w:t>Taux de mortalité infantile (pour 1 000 naissances vivantes)</w:t>
      </w:r>
    </w:p>
    <w:p w:rsidR="00000000" w:rsidRDefault="00000000">
      <w:pPr>
        <w:spacing w:after="240"/>
      </w:pPr>
      <w:r>
        <w:t>7.</w:t>
      </w:r>
      <w:r>
        <w:tab/>
        <w:t>Le taux de mortalité infantile pour 1 000 naissances vivantes a été de 22,6 en 1999, 20,9 en 2000 et 20,8 en 2001.</w:t>
      </w:r>
    </w:p>
    <w:p w:rsidR="00000000" w:rsidRDefault="00000000">
      <w:pPr>
        <w:keepNext/>
        <w:spacing w:after="240"/>
        <w:jc w:val="center"/>
        <w:rPr>
          <w:b/>
          <w:bCs/>
        </w:rPr>
      </w:pPr>
      <w:r>
        <w:rPr>
          <w:b/>
          <w:bCs/>
        </w:rPr>
        <w:t>Tableau 8</w:t>
      </w:r>
    </w:p>
    <w:p w:rsidR="00000000" w:rsidRDefault="00000000">
      <w:pPr>
        <w:keepNext/>
        <w:spacing w:after="240"/>
        <w:jc w:val="center"/>
        <w:rPr>
          <w:b/>
          <w:bCs/>
        </w:rPr>
      </w:pPr>
      <w:r>
        <w:rPr>
          <w:b/>
          <w:bCs/>
        </w:rPr>
        <w:t xml:space="preserve">Nombre de naissances et de décès par sexe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5"/>
        <w:gridCol w:w="1134"/>
        <w:gridCol w:w="1134"/>
        <w:gridCol w:w="1134"/>
        <w:gridCol w:w="1134"/>
        <w:gridCol w:w="1134"/>
        <w:gridCol w:w="1134"/>
      </w:tblGrid>
      <w:tr w:rsidR="00000000">
        <w:tblPrEx>
          <w:tblCellMar>
            <w:top w:w="0" w:type="dxa"/>
            <w:bottom w:w="0" w:type="dxa"/>
          </w:tblCellMar>
        </w:tblPrEx>
        <w:trPr>
          <w:cantSplit/>
        </w:trPr>
        <w:tc>
          <w:tcPr>
            <w:tcW w:w="2665" w:type="dxa"/>
            <w:vMerge w:val="restart"/>
          </w:tcPr>
          <w:p w:rsidR="00000000" w:rsidRDefault="00000000">
            <w:pPr>
              <w:keepNext/>
              <w:spacing w:before="60" w:after="60"/>
            </w:pPr>
          </w:p>
        </w:tc>
        <w:tc>
          <w:tcPr>
            <w:tcW w:w="3402" w:type="dxa"/>
            <w:gridSpan w:val="3"/>
          </w:tcPr>
          <w:p w:rsidR="00000000" w:rsidRDefault="00000000">
            <w:pPr>
              <w:keepNext/>
              <w:spacing w:before="60" w:after="60"/>
              <w:jc w:val="center"/>
            </w:pPr>
            <w:r>
              <w:t>Naissances</w:t>
            </w:r>
          </w:p>
        </w:tc>
        <w:tc>
          <w:tcPr>
            <w:tcW w:w="3402" w:type="dxa"/>
            <w:gridSpan w:val="3"/>
          </w:tcPr>
          <w:p w:rsidR="00000000" w:rsidRDefault="00000000">
            <w:pPr>
              <w:keepNext/>
              <w:spacing w:before="60" w:after="60"/>
              <w:jc w:val="center"/>
            </w:pPr>
            <w:r>
              <w:t>Décès</w:t>
            </w:r>
          </w:p>
        </w:tc>
      </w:tr>
      <w:tr w:rsidR="00000000">
        <w:tblPrEx>
          <w:tblCellMar>
            <w:top w:w="0" w:type="dxa"/>
            <w:bottom w:w="0" w:type="dxa"/>
          </w:tblCellMar>
        </w:tblPrEx>
        <w:trPr>
          <w:cantSplit/>
        </w:trPr>
        <w:tc>
          <w:tcPr>
            <w:tcW w:w="2665" w:type="dxa"/>
            <w:vMerge/>
          </w:tcPr>
          <w:p w:rsidR="00000000" w:rsidRDefault="00000000">
            <w:pPr>
              <w:spacing w:before="60" w:after="60"/>
            </w:pPr>
          </w:p>
        </w:tc>
        <w:tc>
          <w:tcPr>
            <w:tcW w:w="1134" w:type="dxa"/>
          </w:tcPr>
          <w:p w:rsidR="00000000" w:rsidRDefault="00000000">
            <w:pPr>
              <w:spacing w:before="60" w:after="60"/>
              <w:jc w:val="center"/>
            </w:pPr>
            <w:r>
              <w:t>1999</w:t>
            </w:r>
          </w:p>
        </w:tc>
        <w:tc>
          <w:tcPr>
            <w:tcW w:w="1134" w:type="dxa"/>
          </w:tcPr>
          <w:p w:rsidR="00000000" w:rsidRDefault="00000000">
            <w:pPr>
              <w:spacing w:before="60" w:after="60"/>
              <w:jc w:val="center"/>
            </w:pPr>
            <w:r>
              <w:t>2000</w:t>
            </w:r>
          </w:p>
        </w:tc>
        <w:tc>
          <w:tcPr>
            <w:tcW w:w="1134" w:type="dxa"/>
          </w:tcPr>
          <w:p w:rsidR="00000000" w:rsidRDefault="00000000">
            <w:pPr>
              <w:spacing w:before="60" w:after="60"/>
              <w:jc w:val="center"/>
            </w:pPr>
            <w:r>
              <w:t>2001</w:t>
            </w:r>
          </w:p>
        </w:tc>
        <w:tc>
          <w:tcPr>
            <w:tcW w:w="1134" w:type="dxa"/>
          </w:tcPr>
          <w:p w:rsidR="00000000" w:rsidRDefault="00000000">
            <w:pPr>
              <w:spacing w:before="60" w:after="60"/>
              <w:jc w:val="center"/>
            </w:pPr>
            <w:r>
              <w:t>1999</w:t>
            </w:r>
          </w:p>
        </w:tc>
        <w:tc>
          <w:tcPr>
            <w:tcW w:w="1134" w:type="dxa"/>
          </w:tcPr>
          <w:p w:rsidR="00000000" w:rsidRDefault="00000000">
            <w:pPr>
              <w:spacing w:before="60" w:after="60"/>
              <w:jc w:val="center"/>
            </w:pPr>
            <w:r>
              <w:t>2000</w:t>
            </w:r>
          </w:p>
        </w:tc>
        <w:tc>
          <w:tcPr>
            <w:tcW w:w="1134" w:type="dxa"/>
          </w:tcPr>
          <w:p w:rsidR="00000000" w:rsidRDefault="00000000">
            <w:pPr>
              <w:spacing w:before="60" w:after="60"/>
              <w:jc w:val="center"/>
            </w:pPr>
            <w:r>
              <w:t>2001</w:t>
            </w:r>
          </w:p>
        </w:tc>
      </w:tr>
      <w:tr w:rsidR="00000000">
        <w:tblPrEx>
          <w:tblCellMar>
            <w:top w:w="0" w:type="dxa"/>
            <w:bottom w:w="0" w:type="dxa"/>
          </w:tblCellMar>
        </w:tblPrEx>
        <w:tc>
          <w:tcPr>
            <w:tcW w:w="2665" w:type="dxa"/>
          </w:tcPr>
          <w:p w:rsidR="00000000" w:rsidRDefault="00000000">
            <w:pPr>
              <w:spacing w:before="60" w:after="60"/>
            </w:pPr>
            <w:r>
              <w:t>Hommes et femmes</w:t>
            </w:r>
          </w:p>
        </w:tc>
        <w:tc>
          <w:tcPr>
            <w:tcW w:w="1134" w:type="dxa"/>
          </w:tcPr>
          <w:p w:rsidR="00000000" w:rsidRDefault="00000000">
            <w:pPr>
              <w:spacing w:before="60" w:after="60"/>
              <w:jc w:val="right"/>
            </w:pPr>
            <w:r>
              <w:t>216 027</w:t>
            </w:r>
          </w:p>
        </w:tc>
        <w:tc>
          <w:tcPr>
            <w:tcW w:w="1134" w:type="dxa"/>
          </w:tcPr>
          <w:p w:rsidR="00000000" w:rsidRDefault="00000000">
            <w:pPr>
              <w:spacing w:before="60" w:after="60"/>
              <w:jc w:val="right"/>
            </w:pPr>
            <w:r>
              <w:t>220 350</w:t>
            </w:r>
          </w:p>
        </w:tc>
        <w:tc>
          <w:tcPr>
            <w:tcW w:w="1134" w:type="dxa"/>
          </w:tcPr>
          <w:p w:rsidR="00000000" w:rsidRDefault="00000000">
            <w:pPr>
              <w:spacing w:before="60" w:after="60"/>
              <w:jc w:val="right"/>
            </w:pPr>
            <w:r>
              <w:t>219 319</w:t>
            </w:r>
          </w:p>
        </w:tc>
        <w:tc>
          <w:tcPr>
            <w:tcW w:w="1134" w:type="dxa"/>
          </w:tcPr>
          <w:p w:rsidR="00000000" w:rsidRDefault="00000000">
            <w:pPr>
              <w:spacing w:before="60" w:after="60"/>
              <w:jc w:val="right"/>
            </w:pPr>
            <w:r>
              <w:t>147 404</w:t>
            </w:r>
          </w:p>
        </w:tc>
        <w:tc>
          <w:tcPr>
            <w:tcW w:w="1134" w:type="dxa"/>
          </w:tcPr>
          <w:p w:rsidR="00000000" w:rsidRDefault="00000000">
            <w:pPr>
              <w:spacing w:before="60" w:after="60"/>
              <w:jc w:val="right"/>
            </w:pPr>
            <w:r>
              <w:t>149 707</w:t>
            </w:r>
          </w:p>
        </w:tc>
        <w:tc>
          <w:tcPr>
            <w:tcW w:w="1134" w:type="dxa"/>
          </w:tcPr>
          <w:p w:rsidR="00000000" w:rsidRDefault="00000000">
            <w:pPr>
              <w:spacing w:before="60" w:after="60"/>
              <w:jc w:val="right"/>
            </w:pPr>
            <w:r>
              <w:t>147 831</w:t>
            </w:r>
          </w:p>
        </w:tc>
      </w:tr>
      <w:tr w:rsidR="00000000">
        <w:tblPrEx>
          <w:tblCellMar>
            <w:top w:w="0" w:type="dxa"/>
            <w:bottom w:w="0" w:type="dxa"/>
          </w:tblCellMar>
        </w:tblPrEx>
        <w:tc>
          <w:tcPr>
            <w:tcW w:w="2665" w:type="dxa"/>
          </w:tcPr>
          <w:p w:rsidR="00000000" w:rsidRDefault="00000000">
            <w:pPr>
              <w:spacing w:before="60" w:after="60"/>
            </w:pPr>
            <w:r>
              <w:t>Hommes</w:t>
            </w:r>
          </w:p>
        </w:tc>
        <w:tc>
          <w:tcPr>
            <w:tcW w:w="1134" w:type="dxa"/>
          </w:tcPr>
          <w:p w:rsidR="00000000" w:rsidRDefault="00000000">
            <w:pPr>
              <w:spacing w:before="60" w:after="60"/>
              <w:jc w:val="right"/>
            </w:pPr>
            <w:r>
              <w:t>111 677</w:t>
            </w:r>
          </w:p>
        </w:tc>
        <w:tc>
          <w:tcPr>
            <w:tcW w:w="1134" w:type="dxa"/>
          </w:tcPr>
          <w:p w:rsidR="00000000" w:rsidRDefault="00000000">
            <w:pPr>
              <w:spacing w:before="60" w:after="60"/>
              <w:jc w:val="right"/>
            </w:pPr>
            <w:r>
              <w:t>112 928</w:t>
            </w:r>
          </w:p>
        </w:tc>
        <w:tc>
          <w:tcPr>
            <w:tcW w:w="1134" w:type="dxa"/>
          </w:tcPr>
          <w:p w:rsidR="00000000" w:rsidRDefault="00000000">
            <w:pPr>
              <w:spacing w:before="60" w:after="60"/>
              <w:jc w:val="right"/>
            </w:pPr>
            <w:r>
              <w:t>112 935</w:t>
            </w:r>
          </w:p>
        </w:tc>
        <w:tc>
          <w:tcPr>
            <w:tcW w:w="1134" w:type="dxa"/>
          </w:tcPr>
          <w:p w:rsidR="00000000" w:rsidRDefault="00000000">
            <w:pPr>
              <w:spacing w:before="60" w:after="60"/>
              <w:jc w:val="right"/>
            </w:pPr>
            <w:r>
              <w:t>80 692</w:t>
            </w:r>
          </w:p>
        </w:tc>
        <w:tc>
          <w:tcPr>
            <w:tcW w:w="1134" w:type="dxa"/>
          </w:tcPr>
          <w:p w:rsidR="00000000" w:rsidRDefault="00000000">
            <w:pPr>
              <w:spacing w:before="60" w:after="60"/>
              <w:jc w:val="right"/>
            </w:pPr>
            <w:r>
              <w:t>83 780</w:t>
            </w:r>
          </w:p>
        </w:tc>
        <w:tc>
          <w:tcPr>
            <w:tcW w:w="1134" w:type="dxa"/>
          </w:tcPr>
          <w:p w:rsidR="00000000" w:rsidRDefault="00000000">
            <w:pPr>
              <w:spacing w:before="60" w:after="60"/>
              <w:jc w:val="right"/>
            </w:pPr>
            <w:r>
              <w:t>82 516</w:t>
            </w:r>
          </w:p>
        </w:tc>
      </w:tr>
      <w:tr w:rsidR="00000000">
        <w:tblPrEx>
          <w:tblCellMar>
            <w:top w:w="0" w:type="dxa"/>
            <w:bottom w:w="0" w:type="dxa"/>
          </w:tblCellMar>
        </w:tblPrEx>
        <w:tc>
          <w:tcPr>
            <w:tcW w:w="2665" w:type="dxa"/>
          </w:tcPr>
          <w:p w:rsidR="00000000" w:rsidRDefault="00000000">
            <w:pPr>
              <w:spacing w:before="60" w:after="60"/>
            </w:pPr>
            <w:r>
              <w:t>Femmes</w:t>
            </w:r>
          </w:p>
        </w:tc>
        <w:tc>
          <w:tcPr>
            <w:tcW w:w="1134" w:type="dxa"/>
          </w:tcPr>
          <w:p w:rsidR="00000000" w:rsidRDefault="00000000">
            <w:pPr>
              <w:spacing w:before="60" w:after="60"/>
              <w:jc w:val="right"/>
            </w:pPr>
            <w:r>
              <w:t>104 350</w:t>
            </w:r>
          </w:p>
        </w:tc>
        <w:tc>
          <w:tcPr>
            <w:tcW w:w="1134" w:type="dxa"/>
          </w:tcPr>
          <w:p w:rsidR="00000000" w:rsidRDefault="00000000">
            <w:pPr>
              <w:spacing w:before="60" w:after="60"/>
              <w:jc w:val="right"/>
            </w:pPr>
            <w:r>
              <w:t>107 422</w:t>
            </w:r>
          </w:p>
        </w:tc>
        <w:tc>
          <w:tcPr>
            <w:tcW w:w="1134" w:type="dxa"/>
          </w:tcPr>
          <w:p w:rsidR="00000000" w:rsidRDefault="00000000">
            <w:pPr>
              <w:spacing w:before="60" w:after="60"/>
              <w:jc w:val="right"/>
            </w:pPr>
            <w:r>
              <w:t>106 384</w:t>
            </w:r>
          </w:p>
        </w:tc>
        <w:tc>
          <w:tcPr>
            <w:tcW w:w="1134" w:type="dxa"/>
          </w:tcPr>
          <w:p w:rsidR="00000000" w:rsidRDefault="00000000">
            <w:pPr>
              <w:spacing w:before="60" w:after="60"/>
              <w:jc w:val="right"/>
            </w:pPr>
            <w:r>
              <w:t>66 712</w:t>
            </w:r>
          </w:p>
        </w:tc>
        <w:tc>
          <w:tcPr>
            <w:tcW w:w="1134" w:type="dxa"/>
          </w:tcPr>
          <w:p w:rsidR="00000000" w:rsidRDefault="00000000">
            <w:pPr>
              <w:spacing w:before="60" w:after="60"/>
              <w:jc w:val="right"/>
            </w:pPr>
            <w:r>
              <w:t>65 927</w:t>
            </w:r>
          </w:p>
        </w:tc>
        <w:tc>
          <w:tcPr>
            <w:tcW w:w="1134" w:type="dxa"/>
          </w:tcPr>
          <w:p w:rsidR="00000000" w:rsidRDefault="00000000">
            <w:pPr>
              <w:spacing w:before="60" w:after="60"/>
              <w:jc w:val="right"/>
            </w:pPr>
            <w:r>
              <w:t>65 315</w:t>
            </w:r>
          </w:p>
        </w:tc>
      </w:tr>
    </w:tbl>
    <w:p w:rsidR="00000000" w:rsidRDefault="00000000">
      <w:pPr>
        <w:keepNext/>
        <w:spacing w:before="240" w:after="240"/>
        <w:jc w:val="center"/>
        <w:rPr>
          <w:b/>
          <w:bCs/>
        </w:rPr>
      </w:pPr>
      <w:r>
        <w:rPr>
          <w:b/>
          <w:bCs/>
        </w:rPr>
        <w:t>Tableau 9</w:t>
      </w:r>
    </w:p>
    <w:p w:rsidR="00000000" w:rsidRDefault="00000000">
      <w:pPr>
        <w:keepNext/>
        <w:spacing w:after="240"/>
        <w:jc w:val="center"/>
        <w:rPr>
          <w:b/>
          <w:bCs/>
        </w:rPr>
      </w:pPr>
      <w:r>
        <w:rPr>
          <w:b/>
          <w:bCs/>
        </w:rPr>
        <w:t xml:space="preserve">Nombre de naissances et de décès par sexe dans les zones urbaines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5"/>
        <w:gridCol w:w="1134"/>
        <w:gridCol w:w="1134"/>
        <w:gridCol w:w="1134"/>
        <w:gridCol w:w="1134"/>
        <w:gridCol w:w="1134"/>
        <w:gridCol w:w="1134"/>
      </w:tblGrid>
      <w:tr w:rsidR="00000000">
        <w:tblPrEx>
          <w:tblCellMar>
            <w:top w:w="0" w:type="dxa"/>
            <w:bottom w:w="0" w:type="dxa"/>
          </w:tblCellMar>
        </w:tblPrEx>
        <w:trPr>
          <w:cantSplit/>
        </w:trPr>
        <w:tc>
          <w:tcPr>
            <w:tcW w:w="2665" w:type="dxa"/>
            <w:vMerge w:val="restart"/>
          </w:tcPr>
          <w:p w:rsidR="00000000" w:rsidRDefault="00000000">
            <w:pPr>
              <w:spacing w:before="60" w:after="60"/>
            </w:pPr>
          </w:p>
        </w:tc>
        <w:tc>
          <w:tcPr>
            <w:tcW w:w="3402" w:type="dxa"/>
            <w:gridSpan w:val="3"/>
          </w:tcPr>
          <w:p w:rsidR="00000000" w:rsidRDefault="00000000">
            <w:pPr>
              <w:spacing w:before="60" w:after="60"/>
              <w:jc w:val="center"/>
            </w:pPr>
            <w:r>
              <w:t>Naissances</w:t>
            </w:r>
          </w:p>
        </w:tc>
        <w:tc>
          <w:tcPr>
            <w:tcW w:w="3402" w:type="dxa"/>
            <w:gridSpan w:val="3"/>
          </w:tcPr>
          <w:p w:rsidR="00000000" w:rsidRDefault="00000000">
            <w:pPr>
              <w:spacing w:before="60" w:after="60"/>
              <w:jc w:val="center"/>
            </w:pPr>
            <w:r>
              <w:t>Décès</w:t>
            </w:r>
          </w:p>
        </w:tc>
      </w:tr>
      <w:tr w:rsidR="00000000">
        <w:tblPrEx>
          <w:tblCellMar>
            <w:top w:w="0" w:type="dxa"/>
            <w:bottom w:w="0" w:type="dxa"/>
          </w:tblCellMar>
        </w:tblPrEx>
        <w:trPr>
          <w:cantSplit/>
        </w:trPr>
        <w:tc>
          <w:tcPr>
            <w:tcW w:w="2665" w:type="dxa"/>
            <w:vMerge/>
          </w:tcPr>
          <w:p w:rsidR="00000000" w:rsidRDefault="00000000">
            <w:pPr>
              <w:spacing w:before="60" w:after="60"/>
            </w:pPr>
          </w:p>
        </w:tc>
        <w:tc>
          <w:tcPr>
            <w:tcW w:w="1134" w:type="dxa"/>
          </w:tcPr>
          <w:p w:rsidR="00000000" w:rsidRDefault="00000000">
            <w:pPr>
              <w:spacing w:before="60" w:after="60"/>
              <w:jc w:val="center"/>
            </w:pPr>
            <w:r>
              <w:t>1999</w:t>
            </w:r>
          </w:p>
        </w:tc>
        <w:tc>
          <w:tcPr>
            <w:tcW w:w="1134" w:type="dxa"/>
          </w:tcPr>
          <w:p w:rsidR="00000000" w:rsidRDefault="00000000">
            <w:pPr>
              <w:spacing w:before="60" w:after="60"/>
              <w:jc w:val="center"/>
            </w:pPr>
            <w:r>
              <w:t>2000</w:t>
            </w:r>
          </w:p>
        </w:tc>
        <w:tc>
          <w:tcPr>
            <w:tcW w:w="1134" w:type="dxa"/>
          </w:tcPr>
          <w:p w:rsidR="00000000" w:rsidRDefault="00000000">
            <w:pPr>
              <w:spacing w:before="60" w:after="60"/>
              <w:jc w:val="center"/>
            </w:pPr>
            <w:r>
              <w:t>2001</w:t>
            </w:r>
          </w:p>
        </w:tc>
        <w:tc>
          <w:tcPr>
            <w:tcW w:w="1134" w:type="dxa"/>
          </w:tcPr>
          <w:p w:rsidR="00000000" w:rsidRDefault="00000000">
            <w:pPr>
              <w:spacing w:before="60" w:after="60"/>
              <w:jc w:val="center"/>
            </w:pPr>
            <w:r>
              <w:t>1999</w:t>
            </w:r>
          </w:p>
        </w:tc>
        <w:tc>
          <w:tcPr>
            <w:tcW w:w="1134" w:type="dxa"/>
          </w:tcPr>
          <w:p w:rsidR="00000000" w:rsidRDefault="00000000">
            <w:pPr>
              <w:spacing w:before="60" w:after="60"/>
              <w:jc w:val="center"/>
            </w:pPr>
            <w:r>
              <w:t>2000</w:t>
            </w:r>
          </w:p>
        </w:tc>
        <w:tc>
          <w:tcPr>
            <w:tcW w:w="1134" w:type="dxa"/>
          </w:tcPr>
          <w:p w:rsidR="00000000" w:rsidRDefault="00000000">
            <w:pPr>
              <w:spacing w:before="60" w:after="60"/>
              <w:jc w:val="center"/>
            </w:pPr>
            <w:r>
              <w:t>2001</w:t>
            </w:r>
          </w:p>
        </w:tc>
      </w:tr>
      <w:tr w:rsidR="00000000">
        <w:tblPrEx>
          <w:tblCellMar>
            <w:top w:w="0" w:type="dxa"/>
            <w:bottom w:w="0" w:type="dxa"/>
          </w:tblCellMar>
        </w:tblPrEx>
        <w:tc>
          <w:tcPr>
            <w:tcW w:w="2665" w:type="dxa"/>
          </w:tcPr>
          <w:p w:rsidR="00000000" w:rsidRDefault="00000000">
            <w:pPr>
              <w:spacing w:before="60" w:after="60"/>
            </w:pPr>
            <w:r>
              <w:t>Hommes et femmes</w:t>
            </w:r>
          </w:p>
        </w:tc>
        <w:tc>
          <w:tcPr>
            <w:tcW w:w="1134" w:type="dxa"/>
          </w:tcPr>
          <w:p w:rsidR="00000000" w:rsidRDefault="00000000">
            <w:pPr>
              <w:spacing w:before="60" w:after="60"/>
              <w:jc w:val="right"/>
            </w:pPr>
            <w:r>
              <w:t>109 323</w:t>
            </w:r>
          </w:p>
        </w:tc>
        <w:tc>
          <w:tcPr>
            <w:tcW w:w="1134" w:type="dxa"/>
          </w:tcPr>
          <w:p w:rsidR="00000000" w:rsidRDefault="00000000">
            <w:pPr>
              <w:spacing w:before="60" w:after="60"/>
              <w:jc w:val="right"/>
            </w:pPr>
            <w:r>
              <w:t>113 540</w:t>
            </w:r>
          </w:p>
        </w:tc>
        <w:tc>
          <w:tcPr>
            <w:tcW w:w="1134" w:type="dxa"/>
          </w:tcPr>
          <w:p w:rsidR="00000000" w:rsidRDefault="00000000">
            <w:pPr>
              <w:spacing w:before="60" w:after="60"/>
              <w:jc w:val="right"/>
            </w:pPr>
            <w:r>
              <w:t>114 095</w:t>
            </w:r>
          </w:p>
        </w:tc>
        <w:tc>
          <w:tcPr>
            <w:tcW w:w="1134" w:type="dxa"/>
          </w:tcPr>
          <w:p w:rsidR="00000000" w:rsidRDefault="00000000">
            <w:pPr>
              <w:spacing w:before="60" w:after="60"/>
              <w:jc w:val="right"/>
            </w:pPr>
            <w:r>
              <w:t>92 510</w:t>
            </w:r>
          </w:p>
        </w:tc>
        <w:tc>
          <w:tcPr>
            <w:tcW w:w="1134" w:type="dxa"/>
          </w:tcPr>
          <w:p w:rsidR="00000000" w:rsidRDefault="00000000">
            <w:pPr>
              <w:spacing w:before="60" w:after="60"/>
              <w:jc w:val="right"/>
            </w:pPr>
            <w:r>
              <w:t>94 530</w:t>
            </w:r>
          </w:p>
        </w:tc>
        <w:tc>
          <w:tcPr>
            <w:tcW w:w="1134" w:type="dxa"/>
          </w:tcPr>
          <w:p w:rsidR="00000000" w:rsidRDefault="00000000">
            <w:pPr>
              <w:spacing w:before="60" w:after="60"/>
              <w:jc w:val="right"/>
            </w:pPr>
            <w:r>
              <w:t>94 129</w:t>
            </w:r>
          </w:p>
        </w:tc>
      </w:tr>
      <w:tr w:rsidR="00000000">
        <w:tblPrEx>
          <w:tblCellMar>
            <w:top w:w="0" w:type="dxa"/>
            <w:bottom w:w="0" w:type="dxa"/>
          </w:tblCellMar>
        </w:tblPrEx>
        <w:tc>
          <w:tcPr>
            <w:tcW w:w="2665" w:type="dxa"/>
          </w:tcPr>
          <w:p w:rsidR="00000000" w:rsidRDefault="00000000">
            <w:pPr>
              <w:spacing w:before="60" w:after="60"/>
            </w:pPr>
            <w:r>
              <w:t>Hommes</w:t>
            </w:r>
          </w:p>
        </w:tc>
        <w:tc>
          <w:tcPr>
            <w:tcW w:w="1134" w:type="dxa"/>
          </w:tcPr>
          <w:p w:rsidR="00000000" w:rsidRDefault="00000000">
            <w:pPr>
              <w:spacing w:before="60" w:after="60"/>
              <w:jc w:val="right"/>
            </w:pPr>
            <w:r>
              <w:t>56 578</w:t>
            </w:r>
          </w:p>
        </w:tc>
        <w:tc>
          <w:tcPr>
            <w:tcW w:w="1134" w:type="dxa"/>
          </w:tcPr>
          <w:p w:rsidR="00000000" w:rsidRDefault="00000000">
            <w:pPr>
              <w:spacing w:before="60" w:after="60"/>
              <w:jc w:val="right"/>
            </w:pPr>
            <w:r>
              <w:t>58 125</w:t>
            </w:r>
          </w:p>
        </w:tc>
        <w:tc>
          <w:tcPr>
            <w:tcW w:w="1134" w:type="dxa"/>
          </w:tcPr>
          <w:p w:rsidR="00000000" w:rsidRDefault="00000000">
            <w:pPr>
              <w:spacing w:before="60" w:after="60"/>
              <w:jc w:val="right"/>
            </w:pPr>
            <w:r>
              <w:t>58 863</w:t>
            </w:r>
          </w:p>
        </w:tc>
        <w:tc>
          <w:tcPr>
            <w:tcW w:w="1134" w:type="dxa"/>
          </w:tcPr>
          <w:p w:rsidR="00000000" w:rsidRDefault="00000000">
            <w:pPr>
              <w:spacing w:before="60" w:after="60"/>
              <w:jc w:val="right"/>
            </w:pPr>
            <w:r>
              <w:t>50 869</w:t>
            </w:r>
          </w:p>
        </w:tc>
        <w:tc>
          <w:tcPr>
            <w:tcW w:w="1134" w:type="dxa"/>
          </w:tcPr>
          <w:p w:rsidR="00000000" w:rsidRDefault="00000000">
            <w:pPr>
              <w:spacing w:before="60" w:after="60"/>
              <w:jc w:val="right"/>
            </w:pPr>
            <w:r>
              <w:t>53 134</w:t>
            </w:r>
          </w:p>
        </w:tc>
        <w:tc>
          <w:tcPr>
            <w:tcW w:w="1134" w:type="dxa"/>
          </w:tcPr>
          <w:p w:rsidR="00000000" w:rsidRDefault="00000000">
            <w:pPr>
              <w:spacing w:before="60" w:after="60"/>
              <w:jc w:val="right"/>
            </w:pPr>
            <w:r>
              <w:t>52 747</w:t>
            </w:r>
          </w:p>
        </w:tc>
      </w:tr>
      <w:tr w:rsidR="00000000">
        <w:tblPrEx>
          <w:tblCellMar>
            <w:top w:w="0" w:type="dxa"/>
            <w:bottom w:w="0" w:type="dxa"/>
          </w:tblCellMar>
        </w:tblPrEx>
        <w:tc>
          <w:tcPr>
            <w:tcW w:w="2665" w:type="dxa"/>
          </w:tcPr>
          <w:p w:rsidR="00000000" w:rsidRDefault="00000000">
            <w:pPr>
              <w:spacing w:before="60" w:after="60"/>
            </w:pPr>
            <w:r>
              <w:t>Femmes</w:t>
            </w:r>
          </w:p>
        </w:tc>
        <w:tc>
          <w:tcPr>
            <w:tcW w:w="1134" w:type="dxa"/>
          </w:tcPr>
          <w:p w:rsidR="00000000" w:rsidRDefault="00000000">
            <w:pPr>
              <w:spacing w:before="60" w:after="60"/>
              <w:jc w:val="right"/>
            </w:pPr>
            <w:r>
              <w:t>52 745</w:t>
            </w:r>
          </w:p>
        </w:tc>
        <w:tc>
          <w:tcPr>
            <w:tcW w:w="1134" w:type="dxa"/>
          </w:tcPr>
          <w:p w:rsidR="00000000" w:rsidRDefault="00000000">
            <w:pPr>
              <w:spacing w:before="60" w:after="60"/>
              <w:jc w:val="right"/>
            </w:pPr>
            <w:r>
              <w:t>55 415</w:t>
            </w:r>
          </w:p>
        </w:tc>
        <w:tc>
          <w:tcPr>
            <w:tcW w:w="1134" w:type="dxa"/>
          </w:tcPr>
          <w:p w:rsidR="00000000" w:rsidRDefault="00000000">
            <w:pPr>
              <w:spacing w:before="60" w:after="60"/>
              <w:jc w:val="right"/>
            </w:pPr>
            <w:r>
              <w:t>55 232</w:t>
            </w:r>
          </w:p>
        </w:tc>
        <w:tc>
          <w:tcPr>
            <w:tcW w:w="1134" w:type="dxa"/>
          </w:tcPr>
          <w:p w:rsidR="00000000" w:rsidRDefault="00000000">
            <w:pPr>
              <w:spacing w:before="60" w:after="60"/>
              <w:jc w:val="right"/>
            </w:pPr>
            <w:r>
              <w:t>41 641</w:t>
            </w:r>
          </w:p>
        </w:tc>
        <w:tc>
          <w:tcPr>
            <w:tcW w:w="1134" w:type="dxa"/>
          </w:tcPr>
          <w:p w:rsidR="00000000" w:rsidRDefault="00000000">
            <w:pPr>
              <w:spacing w:before="60" w:after="60"/>
              <w:jc w:val="right"/>
            </w:pPr>
            <w:r>
              <w:t>41 396</w:t>
            </w:r>
          </w:p>
        </w:tc>
        <w:tc>
          <w:tcPr>
            <w:tcW w:w="1134" w:type="dxa"/>
          </w:tcPr>
          <w:p w:rsidR="00000000" w:rsidRDefault="00000000">
            <w:pPr>
              <w:spacing w:before="60" w:after="60"/>
              <w:jc w:val="right"/>
            </w:pPr>
            <w:r>
              <w:t>41 382</w:t>
            </w:r>
          </w:p>
        </w:tc>
      </w:tr>
    </w:tbl>
    <w:p w:rsidR="00000000" w:rsidRDefault="00000000">
      <w:pPr>
        <w:keepNext/>
        <w:spacing w:before="240" w:after="240"/>
        <w:jc w:val="center"/>
        <w:rPr>
          <w:b/>
          <w:bCs/>
        </w:rPr>
      </w:pPr>
      <w:r>
        <w:rPr>
          <w:b/>
          <w:bCs/>
        </w:rPr>
        <w:t>Tableau 10</w:t>
      </w:r>
    </w:p>
    <w:p w:rsidR="00000000" w:rsidRDefault="00000000">
      <w:pPr>
        <w:keepNext/>
        <w:spacing w:after="240"/>
        <w:jc w:val="center"/>
        <w:rPr>
          <w:b/>
          <w:bCs/>
        </w:rPr>
      </w:pPr>
      <w:r>
        <w:rPr>
          <w:b/>
          <w:bCs/>
        </w:rPr>
        <w:t xml:space="preserve">Nombre de naissances et de décès par sexe dans les zones rurales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5"/>
        <w:gridCol w:w="1134"/>
        <w:gridCol w:w="1134"/>
        <w:gridCol w:w="1134"/>
        <w:gridCol w:w="1134"/>
        <w:gridCol w:w="1134"/>
        <w:gridCol w:w="1134"/>
      </w:tblGrid>
      <w:tr w:rsidR="00000000">
        <w:tblPrEx>
          <w:tblCellMar>
            <w:top w:w="0" w:type="dxa"/>
            <w:bottom w:w="0" w:type="dxa"/>
          </w:tblCellMar>
        </w:tblPrEx>
        <w:trPr>
          <w:cantSplit/>
        </w:trPr>
        <w:tc>
          <w:tcPr>
            <w:tcW w:w="2665" w:type="dxa"/>
            <w:vMerge w:val="restart"/>
          </w:tcPr>
          <w:p w:rsidR="00000000" w:rsidRDefault="00000000">
            <w:pPr>
              <w:spacing w:before="60" w:after="60"/>
            </w:pPr>
          </w:p>
        </w:tc>
        <w:tc>
          <w:tcPr>
            <w:tcW w:w="3402" w:type="dxa"/>
            <w:gridSpan w:val="3"/>
          </w:tcPr>
          <w:p w:rsidR="00000000" w:rsidRDefault="00000000">
            <w:pPr>
              <w:spacing w:before="60" w:after="60"/>
              <w:jc w:val="center"/>
            </w:pPr>
            <w:r>
              <w:t>Naissances</w:t>
            </w:r>
          </w:p>
        </w:tc>
        <w:tc>
          <w:tcPr>
            <w:tcW w:w="3402" w:type="dxa"/>
            <w:gridSpan w:val="3"/>
          </w:tcPr>
          <w:p w:rsidR="00000000" w:rsidRDefault="00000000">
            <w:pPr>
              <w:spacing w:before="60" w:after="60"/>
              <w:jc w:val="center"/>
            </w:pPr>
            <w:r>
              <w:t>Décès</w:t>
            </w:r>
          </w:p>
        </w:tc>
      </w:tr>
      <w:tr w:rsidR="00000000">
        <w:tblPrEx>
          <w:tblCellMar>
            <w:top w:w="0" w:type="dxa"/>
            <w:bottom w:w="0" w:type="dxa"/>
          </w:tblCellMar>
        </w:tblPrEx>
        <w:trPr>
          <w:cantSplit/>
        </w:trPr>
        <w:tc>
          <w:tcPr>
            <w:tcW w:w="2665" w:type="dxa"/>
            <w:vMerge/>
          </w:tcPr>
          <w:p w:rsidR="00000000" w:rsidRDefault="00000000">
            <w:pPr>
              <w:spacing w:before="60" w:after="60"/>
            </w:pPr>
          </w:p>
        </w:tc>
        <w:tc>
          <w:tcPr>
            <w:tcW w:w="1134" w:type="dxa"/>
          </w:tcPr>
          <w:p w:rsidR="00000000" w:rsidRDefault="00000000">
            <w:pPr>
              <w:spacing w:before="60" w:after="60"/>
              <w:jc w:val="center"/>
            </w:pPr>
            <w:r>
              <w:t>1999</w:t>
            </w:r>
          </w:p>
        </w:tc>
        <w:tc>
          <w:tcPr>
            <w:tcW w:w="1134" w:type="dxa"/>
          </w:tcPr>
          <w:p w:rsidR="00000000" w:rsidRDefault="00000000">
            <w:pPr>
              <w:spacing w:before="60" w:after="60"/>
              <w:jc w:val="center"/>
            </w:pPr>
            <w:r>
              <w:t>2000</w:t>
            </w:r>
          </w:p>
        </w:tc>
        <w:tc>
          <w:tcPr>
            <w:tcW w:w="1134" w:type="dxa"/>
          </w:tcPr>
          <w:p w:rsidR="00000000" w:rsidRDefault="00000000">
            <w:pPr>
              <w:spacing w:before="60" w:after="60"/>
              <w:jc w:val="center"/>
            </w:pPr>
            <w:r>
              <w:t>2001</w:t>
            </w:r>
          </w:p>
        </w:tc>
        <w:tc>
          <w:tcPr>
            <w:tcW w:w="1134" w:type="dxa"/>
          </w:tcPr>
          <w:p w:rsidR="00000000" w:rsidRDefault="00000000">
            <w:pPr>
              <w:spacing w:before="60" w:after="60"/>
              <w:jc w:val="center"/>
            </w:pPr>
            <w:r>
              <w:t>1999</w:t>
            </w:r>
          </w:p>
        </w:tc>
        <w:tc>
          <w:tcPr>
            <w:tcW w:w="1134" w:type="dxa"/>
          </w:tcPr>
          <w:p w:rsidR="00000000" w:rsidRDefault="00000000">
            <w:pPr>
              <w:spacing w:before="60" w:after="60"/>
              <w:jc w:val="center"/>
            </w:pPr>
            <w:r>
              <w:t>2000</w:t>
            </w:r>
          </w:p>
        </w:tc>
        <w:tc>
          <w:tcPr>
            <w:tcW w:w="1134" w:type="dxa"/>
          </w:tcPr>
          <w:p w:rsidR="00000000" w:rsidRDefault="00000000">
            <w:pPr>
              <w:spacing w:before="60" w:after="60"/>
              <w:jc w:val="center"/>
            </w:pPr>
            <w:r>
              <w:t>2001</w:t>
            </w:r>
          </w:p>
        </w:tc>
      </w:tr>
      <w:tr w:rsidR="00000000">
        <w:tblPrEx>
          <w:tblCellMar>
            <w:top w:w="0" w:type="dxa"/>
            <w:bottom w:w="0" w:type="dxa"/>
          </w:tblCellMar>
        </w:tblPrEx>
        <w:tc>
          <w:tcPr>
            <w:tcW w:w="2665" w:type="dxa"/>
          </w:tcPr>
          <w:p w:rsidR="00000000" w:rsidRDefault="00000000">
            <w:pPr>
              <w:spacing w:before="60" w:after="60"/>
            </w:pPr>
            <w:r>
              <w:t>Hommes et femmes</w:t>
            </w:r>
          </w:p>
        </w:tc>
        <w:tc>
          <w:tcPr>
            <w:tcW w:w="1134" w:type="dxa"/>
          </w:tcPr>
          <w:p w:rsidR="00000000" w:rsidRDefault="00000000">
            <w:pPr>
              <w:spacing w:before="60" w:after="60"/>
              <w:jc w:val="right"/>
            </w:pPr>
            <w:r>
              <w:t>106 704</w:t>
            </w:r>
          </w:p>
        </w:tc>
        <w:tc>
          <w:tcPr>
            <w:tcW w:w="1134" w:type="dxa"/>
          </w:tcPr>
          <w:p w:rsidR="00000000" w:rsidRDefault="00000000">
            <w:pPr>
              <w:spacing w:before="60" w:after="60"/>
              <w:jc w:val="right"/>
            </w:pPr>
            <w:r>
              <w:t>106 810</w:t>
            </w:r>
          </w:p>
        </w:tc>
        <w:tc>
          <w:tcPr>
            <w:tcW w:w="1134" w:type="dxa"/>
          </w:tcPr>
          <w:p w:rsidR="00000000" w:rsidRDefault="00000000">
            <w:pPr>
              <w:spacing w:before="60" w:after="60"/>
              <w:jc w:val="right"/>
            </w:pPr>
            <w:r>
              <w:t>105 224</w:t>
            </w:r>
          </w:p>
        </w:tc>
        <w:tc>
          <w:tcPr>
            <w:tcW w:w="1134" w:type="dxa"/>
          </w:tcPr>
          <w:p w:rsidR="00000000" w:rsidRDefault="00000000">
            <w:pPr>
              <w:spacing w:before="60" w:after="60"/>
              <w:jc w:val="right"/>
            </w:pPr>
            <w:r>
              <w:t>54 894</w:t>
            </w:r>
          </w:p>
        </w:tc>
        <w:tc>
          <w:tcPr>
            <w:tcW w:w="1134" w:type="dxa"/>
          </w:tcPr>
          <w:p w:rsidR="00000000" w:rsidRDefault="00000000">
            <w:pPr>
              <w:spacing w:before="60" w:after="60"/>
              <w:jc w:val="right"/>
            </w:pPr>
            <w:r>
              <w:t>55 177</w:t>
            </w:r>
          </w:p>
        </w:tc>
        <w:tc>
          <w:tcPr>
            <w:tcW w:w="1134" w:type="dxa"/>
          </w:tcPr>
          <w:p w:rsidR="00000000" w:rsidRDefault="00000000">
            <w:pPr>
              <w:spacing w:before="60" w:after="60"/>
              <w:jc w:val="right"/>
            </w:pPr>
            <w:r>
              <w:t>53 702</w:t>
            </w:r>
          </w:p>
        </w:tc>
      </w:tr>
      <w:tr w:rsidR="00000000">
        <w:tblPrEx>
          <w:tblCellMar>
            <w:top w:w="0" w:type="dxa"/>
            <w:bottom w:w="0" w:type="dxa"/>
          </w:tblCellMar>
        </w:tblPrEx>
        <w:tc>
          <w:tcPr>
            <w:tcW w:w="2665" w:type="dxa"/>
          </w:tcPr>
          <w:p w:rsidR="00000000" w:rsidRDefault="00000000">
            <w:pPr>
              <w:spacing w:before="60" w:after="60"/>
            </w:pPr>
            <w:r>
              <w:t>Hommes</w:t>
            </w:r>
          </w:p>
        </w:tc>
        <w:tc>
          <w:tcPr>
            <w:tcW w:w="1134" w:type="dxa"/>
          </w:tcPr>
          <w:p w:rsidR="00000000" w:rsidRDefault="00000000">
            <w:pPr>
              <w:spacing w:before="60" w:after="60"/>
              <w:jc w:val="right"/>
            </w:pPr>
            <w:r>
              <w:t>55 099</w:t>
            </w:r>
          </w:p>
        </w:tc>
        <w:tc>
          <w:tcPr>
            <w:tcW w:w="1134" w:type="dxa"/>
          </w:tcPr>
          <w:p w:rsidR="00000000" w:rsidRDefault="00000000">
            <w:pPr>
              <w:spacing w:before="60" w:after="60"/>
              <w:jc w:val="right"/>
            </w:pPr>
            <w:r>
              <w:t>54 803</w:t>
            </w:r>
          </w:p>
        </w:tc>
        <w:tc>
          <w:tcPr>
            <w:tcW w:w="1134" w:type="dxa"/>
          </w:tcPr>
          <w:p w:rsidR="00000000" w:rsidRDefault="00000000">
            <w:pPr>
              <w:spacing w:before="60" w:after="60"/>
              <w:jc w:val="right"/>
            </w:pPr>
            <w:r>
              <w:t>54 072</w:t>
            </w:r>
          </w:p>
        </w:tc>
        <w:tc>
          <w:tcPr>
            <w:tcW w:w="1134" w:type="dxa"/>
          </w:tcPr>
          <w:p w:rsidR="00000000" w:rsidRDefault="00000000">
            <w:pPr>
              <w:spacing w:before="60" w:after="60"/>
              <w:jc w:val="right"/>
            </w:pPr>
            <w:r>
              <w:t>29 823</w:t>
            </w:r>
          </w:p>
        </w:tc>
        <w:tc>
          <w:tcPr>
            <w:tcW w:w="1134" w:type="dxa"/>
          </w:tcPr>
          <w:p w:rsidR="00000000" w:rsidRDefault="00000000">
            <w:pPr>
              <w:spacing w:before="60" w:after="60"/>
              <w:jc w:val="right"/>
            </w:pPr>
            <w:r>
              <w:t>30 646</w:t>
            </w:r>
          </w:p>
        </w:tc>
        <w:tc>
          <w:tcPr>
            <w:tcW w:w="1134" w:type="dxa"/>
          </w:tcPr>
          <w:p w:rsidR="00000000" w:rsidRDefault="00000000">
            <w:pPr>
              <w:spacing w:before="60" w:after="60"/>
              <w:jc w:val="right"/>
            </w:pPr>
            <w:r>
              <w:t>29 769</w:t>
            </w:r>
          </w:p>
        </w:tc>
      </w:tr>
      <w:tr w:rsidR="00000000">
        <w:tblPrEx>
          <w:tblCellMar>
            <w:top w:w="0" w:type="dxa"/>
            <w:bottom w:w="0" w:type="dxa"/>
          </w:tblCellMar>
        </w:tblPrEx>
        <w:tc>
          <w:tcPr>
            <w:tcW w:w="2665" w:type="dxa"/>
          </w:tcPr>
          <w:p w:rsidR="00000000" w:rsidRDefault="00000000">
            <w:pPr>
              <w:spacing w:before="60" w:after="60"/>
            </w:pPr>
            <w:r>
              <w:t>Femmes</w:t>
            </w:r>
          </w:p>
        </w:tc>
        <w:tc>
          <w:tcPr>
            <w:tcW w:w="1134" w:type="dxa"/>
          </w:tcPr>
          <w:p w:rsidR="00000000" w:rsidRDefault="00000000">
            <w:pPr>
              <w:spacing w:before="60" w:after="60"/>
              <w:jc w:val="right"/>
            </w:pPr>
            <w:r>
              <w:t>51 605</w:t>
            </w:r>
          </w:p>
        </w:tc>
        <w:tc>
          <w:tcPr>
            <w:tcW w:w="1134" w:type="dxa"/>
          </w:tcPr>
          <w:p w:rsidR="00000000" w:rsidRDefault="00000000">
            <w:pPr>
              <w:spacing w:before="60" w:after="60"/>
              <w:jc w:val="right"/>
            </w:pPr>
            <w:r>
              <w:t>52 007</w:t>
            </w:r>
          </w:p>
        </w:tc>
        <w:tc>
          <w:tcPr>
            <w:tcW w:w="1134" w:type="dxa"/>
          </w:tcPr>
          <w:p w:rsidR="00000000" w:rsidRDefault="00000000">
            <w:pPr>
              <w:spacing w:before="60" w:after="60"/>
              <w:jc w:val="right"/>
            </w:pPr>
            <w:r>
              <w:t>51 152</w:t>
            </w:r>
          </w:p>
        </w:tc>
        <w:tc>
          <w:tcPr>
            <w:tcW w:w="1134" w:type="dxa"/>
          </w:tcPr>
          <w:p w:rsidR="00000000" w:rsidRDefault="00000000">
            <w:pPr>
              <w:spacing w:before="60" w:after="60"/>
              <w:jc w:val="right"/>
            </w:pPr>
            <w:r>
              <w:t>25 071</w:t>
            </w:r>
          </w:p>
        </w:tc>
        <w:tc>
          <w:tcPr>
            <w:tcW w:w="1134" w:type="dxa"/>
          </w:tcPr>
          <w:p w:rsidR="00000000" w:rsidRDefault="00000000">
            <w:pPr>
              <w:spacing w:before="60" w:after="60"/>
              <w:jc w:val="right"/>
            </w:pPr>
            <w:r>
              <w:t>24 531</w:t>
            </w:r>
          </w:p>
        </w:tc>
        <w:tc>
          <w:tcPr>
            <w:tcW w:w="1134" w:type="dxa"/>
          </w:tcPr>
          <w:p w:rsidR="00000000" w:rsidRDefault="00000000">
            <w:pPr>
              <w:spacing w:before="60" w:after="60"/>
              <w:jc w:val="right"/>
            </w:pPr>
            <w:r>
              <w:t>23 933</w:t>
            </w:r>
          </w:p>
        </w:tc>
      </w:tr>
    </w:tbl>
    <w:p w:rsidR="00000000" w:rsidRDefault="00000000">
      <w:pPr>
        <w:keepNext/>
        <w:spacing w:before="240" w:after="240"/>
        <w:jc w:val="center"/>
        <w:rPr>
          <w:b/>
          <w:bCs/>
        </w:rPr>
      </w:pPr>
      <w:r>
        <w:rPr>
          <w:b/>
          <w:bCs/>
        </w:rPr>
        <w:t>Taux de mortalité</w:t>
      </w:r>
    </w:p>
    <w:p w:rsidR="00000000" w:rsidRDefault="00000000">
      <w:pPr>
        <w:spacing w:after="240"/>
      </w:pPr>
      <w:r>
        <w:t>8.</w:t>
      </w:r>
      <w:r>
        <w:tab/>
        <w:t>En 2001, 147 831 personnes sont décédées, dont 82 516 hommes et 65 315 femmes.</w:t>
      </w:r>
    </w:p>
    <w:p w:rsidR="00000000" w:rsidRDefault="00000000">
      <w:pPr>
        <w:keepNext/>
        <w:spacing w:after="240"/>
        <w:jc w:val="center"/>
        <w:rPr>
          <w:b/>
          <w:bCs/>
        </w:rPr>
      </w:pPr>
      <w:r>
        <w:rPr>
          <w:b/>
          <w:bCs/>
        </w:rPr>
        <w:t>Tableau 11</w:t>
      </w:r>
    </w:p>
    <w:p w:rsidR="00000000" w:rsidRDefault="00000000">
      <w:pPr>
        <w:keepNext/>
        <w:spacing w:after="240"/>
        <w:jc w:val="center"/>
        <w:rPr>
          <w:b/>
          <w:bCs/>
        </w:rPr>
      </w:pPr>
      <w:r>
        <w:rPr>
          <w:b/>
          <w:bCs/>
        </w:rPr>
        <w:t>Nombre de décès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Pr>
          <w:p w:rsidR="00000000" w:rsidRDefault="00000000">
            <w:pPr>
              <w:keepNext/>
              <w:spacing w:before="60" w:after="60"/>
            </w:pPr>
          </w:p>
        </w:tc>
        <w:tc>
          <w:tcPr>
            <w:tcW w:w="2374" w:type="dxa"/>
          </w:tcPr>
          <w:p w:rsidR="00000000" w:rsidRDefault="00000000">
            <w:pPr>
              <w:keepNext/>
              <w:spacing w:before="60" w:after="60"/>
              <w:jc w:val="center"/>
            </w:pPr>
            <w:r>
              <w:t>1999</w:t>
            </w:r>
          </w:p>
        </w:tc>
        <w:tc>
          <w:tcPr>
            <w:tcW w:w="2374" w:type="dxa"/>
          </w:tcPr>
          <w:p w:rsidR="00000000" w:rsidRDefault="00000000">
            <w:pPr>
              <w:keepNext/>
              <w:spacing w:before="60" w:after="60"/>
              <w:jc w:val="center"/>
            </w:pPr>
            <w:r>
              <w:t>2000</w:t>
            </w:r>
          </w:p>
        </w:tc>
        <w:tc>
          <w:tcPr>
            <w:tcW w:w="2374" w:type="dxa"/>
          </w:tcPr>
          <w:p w:rsidR="00000000" w:rsidRDefault="00000000">
            <w:pPr>
              <w:keepNext/>
              <w:spacing w:before="60" w:after="60"/>
              <w:jc w:val="center"/>
            </w:pPr>
            <w:r>
              <w:t>2001</w:t>
            </w:r>
          </w:p>
        </w:tc>
      </w:tr>
      <w:tr w:rsidR="00000000">
        <w:tblPrEx>
          <w:tblCellMar>
            <w:top w:w="0" w:type="dxa"/>
            <w:bottom w:w="0" w:type="dxa"/>
          </w:tblCellMar>
        </w:tblPrEx>
        <w:tc>
          <w:tcPr>
            <w:tcW w:w="2374" w:type="dxa"/>
          </w:tcPr>
          <w:p w:rsidR="00000000" w:rsidRDefault="00000000">
            <w:pPr>
              <w:keepNext/>
              <w:spacing w:before="60" w:after="60"/>
            </w:pPr>
            <w:r>
              <w:t>Hommes et femmes</w:t>
            </w:r>
          </w:p>
        </w:tc>
        <w:tc>
          <w:tcPr>
            <w:tcW w:w="2374" w:type="dxa"/>
          </w:tcPr>
          <w:p w:rsidR="00000000" w:rsidRDefault="00000000">
            <w:pPr>
              <w:keepNext/>
              <w:spacing w:before="60" w:after="60"/>
              <w:jc w:val="right"/>
            </w:pPr>
            <w:r>
              <w:t>147 404</w:t>
            </w:r>
          </w:p>
        </w:tc>
        <w:tc>
          <w:tcPr>
            <w:tcW w:w="2374" w:type="dxa"/>
          </w:tcPr>
          <w:p w:rsidR="00000000" w:rsidRDefault="00000000">
            <w:pPr>
              <w:keepNext/>
              <w:spacing w:before="60" w:after="60"/>
              <w:jc w:val="right"/>
            </w:pPr>
            <w:r>
              <w:t>149 707</w:t>
            </w:r>
          </w:p>
        </w:tc>
        <w:tc>
          <w:tcPr>
            <w:tcW w:w="2374" w:type="dxa"/>
          </w:tcPr>
          <w:p w:rsidR="00000000" w:rsidRDefault="00000000">
            <w:pPr>
              <w:keepNext/>
              <w:spacing w:before="60" w:after="60"/>
              <w:jc w:val="right"/>
            </w:pPr>
            <w:r>
              <w:t>147 831</w:t>
            </w:r>
          </w:p>
        </w:tc>
      </w:tr>
      <w:tr w:rsidR="00000000">
        <w:tblPrEx>
          <w:tblCellMar>
            <w:top w:w="0" w:type="dxa"/>
            <w:bottom w:w="0" w:type="dxa"/>
          </w:tblCellMar>
        </w:tblPrEx>
        <w:tc>
          <w:tcPr>
            <w:tcW w:w="2374" w:type="dxa"/>
          </w:tcPr>
          <w:p w:rsidR="00000000" w:rsidRDefault="00000000">
            <w:pPr>
              <w:spacing w:before="60" w:after="60"/>
            </w:pPr>
            <w:r>
              <w:t>Hommes</w:t>
            </w:r>
          </w:p>
        </w:tc>
        <w:tc>
          <w:tcPr>
            <w:tcW w:w="2374" w:type="dxa"/>
          </w:tcPr>
          <w:p w:rsidR="00000000" w:rsidRDefault="00000000">
            <w:pPr>
              <w:spacing w:before="60" w:after="60"/>
              <w:jc w:val="right"/>
            </w:pPr>
            <w:r>
              <w:t>80 692</w:t>
            </w:r>
          </w:p>
        </w:tc>
        <w:tc>
          <w:tcPr>
            <w:tcW w:w="2374" w:type="dxa"/>
          </w:tcPr>
          <w:p w:rsidR="00000000" w:rsidRDefault="00000000">
            <w:pPr>
              <w:spacing w:before="60" w:after="60"/>
              <w:jc w:val="right"/>
            </w:pPr>
            <w:r>
              <w:t>83 780</w:t>
            </w:r>
          </w:p>
        </w:tc>
        <w:tc>
          <w:tcPr>
            <w:tcW w:w="2374" w:type="dxa"/>
          </w:tcPr>
          <w:p w:rsidR="00000000" w:rsidRDefault="00000000">
            <w:pPr>
              <w:spacing w:before="60" w:after="60"/>
              <w:jc w:val="right"/>
            </w:pPr>
            <w:r>
              <w:t>82 516</w:t>
            </w:r>
          </w:p>
        </w:tc>
      </w:tr>
      <w:tr w:rsidR="00000000">
        <w:tblPrEx>
          <w:tblCellMar>
            <w:top w:w="0" w:type="dxa"/>
            <w:bottom w:w="0" w:type="dxa"/>
          </w:tblCellMar>
        </w:tblPrEx>
        <w:tc>
          <w:tcPr>
            <w:tcW w:w="2374" w:type="dxa"/>
          </w:tcPr>
          <w:p w:rsidR="00000000" w:rsidRDefault="00000000">
            <w:pPr>
              <w:spacing w:before="60" w:after="60"/>
            </w:pPr>
            <w:r>
              <w:t>Femmes</w:t>
            </w:r>
          </w:p>
        </w:tc>
        <w:tc>
          <w:tcPr>
            <w:tcW w:w="2374" w:type="dxa"/>
          </w:tcPr>
          <w:p w:rsidR="00000000" w:rsidRDefault="00000000">
            <w:pPr>
              <w:spacing w:before="60" w:after="60"/>
              <w:jc w:val="right"/>
            </w:pPr>
            <w:r>
              <w:t>66 712</w:t>
            </w:r>
          </w:p>
        </w:tc>
        <w:tc>
          <w:tcPr>
            <w:tcW w:w="2374" w:type="dxa"/>
          </w:tcPr>
          <w:p w:rsidR="00000000" w:rsidRDefault="00000000">
            <w:pPr>
              <w:spacing w:before="60" w:after="60"/>
              <w:jc w:val="right"/>
            </w:pPr>
            <w:r>
              <w:t>65 927</w:t>
            </w:r>
          </w:p>
        </w:tc>
        <w:tc>
          <w:tcPr>
            <w:tcW w:w="2374" w:type="dxa"/>
          </w:tcPr>
          <w:p w:rsidR="00000000" w:rsidRDefault="00000000">
            <w:pPr>
              <w:spacing w:before="60" w:after="60"/>
              <w:jc w:val="right"/>
            </w:pPr>
            <w:r>
              <w:t>65 315</w:t>
            </w:r>
          </w:p>
        </w:tc>
      </w:tr>
    </w:tbl>
    <w:p w:rsidR="00000000" w:rsidRDefault="00000000">
      <w:pPr>
        <w:keepNext/>
        <w:spacing w:before="240" w:after="240"/>
        <w:jc w:val="center"/>
        <w:rPr>
          <w:b/>
          <w:bCs/>
        </w:rPr>
      </w:pPr>
      <w:r>
        <w:rPr>
          <w:b/>
          <w:bCs/>
        </w:rPr>
        <w:t>Tableau 12</w:t>
      </w:r>
    </w:p>
    <w:p w:rsidR="00000000" w:rsidRDefault="00000000">
      <w:pPr>
        <w:keepNext/>
        <w:spacing w:after="240"/>
        <w:jc w:val="center"/>
        <w:rPr>
          <w:b/>
          <w:bCs/>
        </w:rPr>
      </w:pPr>
      <w:r>
        <w:rPr>
          <w:b/>
          <w:bCs/>
        </w:rPr>
        <w:t>Causes des décès (nombre de décès)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28"/>
        <w:gridCol w:w="929"/>
        <w:gridCol w:w="929"/>
        <w:gridCol w:w="928"/>
        <w:gridCol w:w="914"/>
        <w:gridCol w:w="914"/>
        <w:gridCol w:w="914"/>
        <w:gridCol w:w="913"/>
        <w:gridCol w:w="913"/>
        <w:gridCol w:w="913"/>
      </w:tblGrid>
      <w:tr w:rsidR="00000000">
        <w:tblPrEx>
          <w:tblCellMar>
            <w:top w:w="0" w:type="dxa"/>
            <w:bottom w:w="0" w:type="dxa"/>
          </w:tblCellMar>
        </w:tblPrEx>
        <w:trPr>
          <w:cantSplit/>
        </w:trPr>
        <w:tc>
          <w:tcPr>
            <w:tcW w:w="1229" w:type="dxa"/>
            <w:vMerge w:val="restart"/>
          </w:tcPr>
          <w:p w:rsidR="00000000" w:rsidRDefault="00000000">
            <w:pPr>
              <w:spacing w:before="60" w:after="60"/>
              <w:rPr>
                <w:sz w:val="22"/>
              </w:rPr>
            </w:pPr>
          </w:p>
        </w:tc>
        <w:tc>
          <w:tcPr>
            <w:tcW w:w="2786" w:type="dxa"/>
            <w:gridSpan w:val="3"/>
            <w:vMerge w:val="restart"/>
            <w:vAlign w:val="center"/>
          </w:tcPr>
          <w:p w:rsidR="00000000" w:rsidRDefault="00000000">
            <w:pPr>
              <w:spacing w:before="60" w:after="60"/>
              <w:jc w:val="center"/>
              <w:rPr>
                <w:sz w:val="22"/>
              </w:rPr>
            </w:pPr>
            <w:r>
              <w:rPr>
                <w:sz w:val="22"/>
              </w:rPr>
              <w:t>Hommes et femmes</w:t>
            </w:r>
          </w:p>
        </w:tc>
        <w:tc>
          <w:tcPr>
            <w:tcW w:w="5481" w:type="dxa"/>
            <w:gridSpan w:val="6"/>
          </w:tcPr>
          <w:p w:rsidR="00000000" w:rsidRDefault="00000000">
            <w:pPr>
              <w:spacing w:before="60" w:after="60"/>
              <w:jc w:val="center"/>
              <w:rPr>
                <w:sz w:val="22"/>
              </w:rPr>
            </w:pPr>
            <w:r>
              <w:rPr>
                <w:sz w:val="22"/>
              </w:rPr>
              <w:t>dont:</w:t>
            </w:r>
          </w:p>
        </w:tc>
      </w:tr>
      <w:tr w:rsidR="00000000">
        <w:tblPrEx>
          <w:tblCellMar>
            <w:top w:w="0" w:type="dxa"/>
            <w:bottom w:w="0" w:type="dxa"/>
          </w:tblCellMar>
        </w:tblPrEx>
        <w:trPr>
          <w:cantSplit/>
        </w:trPr>
        <w:tc>
          <w:tcPr>
            <w:tcW w:w="1229" w:type="dxa"/>
            <w:vMerge/>
          </w:tcPr>
          <w:p w:rsidR="00000000" w:rsidRDefault="00000000">
            <w:pPr>
              <w:spacing w:before="60" w:after="60"/>
              <w:rPr>
                <w:sz w:val="22"/>
              </w:rPr>
            </w:pPr>
          </w:p>
        </w:tc>
        <w:tc>
          <w:tcPr>
            <w:tcW w:w="2786" w:type="dxa"/>
            <w:gridSpan w:val="3"/>
            <w:vMerge/>
          </w:tcPr>
          <w:p w:rsidR="00000000" w:rsidRDefault="00000000">
            <w:pPr>
              <w:spacing w:before="60" w:after="60"/>
              <w:rPr>
                <w:sz w:val="22"/>
              </w:rPr>
            </w:pPr>
          </w:p>
        </w:tc>
        <w:tc>
          <w:tcPr>
            <w:tcW w:w="2742" w:type="dxa"/>
            <w:gridSpan w:val="3"/>
          </w:tcPr>
          <w:p w:rsidR="00000000" w:rsidRDefault="00000000">
            <w:pPr>
              <w:spacing w:before="60" w:after="60"/>
              <w:jc w:val="center"/>
              <w:rPr>
                <w:sz w:val="22"/>
              </w:rPr>
            </w:pPr>
            <w:r>
              <w:rPr>
                <w:sz w:val="22"/>
              </w:rPr>
              <w:t>Hommes</w:t>
            </w:r>
          </w:p>
        </w:tc>
        <w:tc>
          <w:tcPr>
            <w:tcW w:w="2739" w:type="dxa"/>
            <w:gridSpan w:val="3"/>
          </w:tcPr>
          <w:p w:rsidR="00000000" w:rsidRDefault="00000000">
            <w:pPr>
              <w:spacing w:before="60" w:after="60"/>
              <w:jc w:val="center"/>
              <w:rPr>
                <w:sz w:val="22"/>
              </w:rPr>
            </w:pPr>
            <w:r>
              <w:rPr>
                <w:sz w:val="22"/>
              </w:rPr>
              <w:t>Femmes</w:t>
            </w:r>
          </w:p>
        </w:tc>
      </w:tr>
      <w:tr w:rsidR="00000000">
        <w:tblPrEx>
          <w:tblCellMar>
            <w:top w:w="0" w:type="dxa"/>
            <w:bottom w:w="0" w:type="dxa"/>
          </w:tblCellMar>
        </w:tblPrEx>
        <w:trPr>
          <w:cantSplit/>
        </w:trPr>
        <w:tc>
          <w:tcPr>
            <w:tcW w:w="1229" w:type="dxa"/>
            <w:vMerge/>
          </w:tcPr>
          <w:p w:rsidR="00000000" w:rsidRDefault="00000000">
            <w:pPr>
              <w:spacing w:before="60" w:after="60"/>
              <w:rPr>
                <w:sz w:val="22"/>
              </w:rPr>
            </w:pPr>
          </w:p>
        </w:tc>
        <w:tc>
          <w:tcPr>
            <w:tcW w:w="929" w:type="dxa"/>
          </w:tcPr>
          <w:p w:rsidR="00000000" w:rsidRDefault="00000000">
            <w:pPr>
              <w:spacing w:before="60" w:after="60"/>
              <w:jc w:val="center"/>
              <w:rPr>
                <w:sz w:val="22"/>
              </w:rPr>
            </w:pPr>
            <w:r>
              <w:rPr>
                <w:sz w:val="22"/>
              </w:rPr>
              <w:t>1999</w:t>
            </w:r>
          </w:p>
        </w:tc>
        <w:tc>
          <w:tcPr>
            <w:tcW w:w="929" w:type="dxa"/>
          </w:tcPr>
          <w:p w:rsidR="00000000" w:rsidRDefault="00000000">
            <w:pPr>
              <w:spacing w:before="60" w:after="60"/>
              <w:jc w:val="center"/>
              <w:rPr>
                <w:sz w:val="22"/>
              </w:rPr>
            </w:pPr>
            <w:r>
              <w:rPr>
                <w:sz w:val="22"/>
              </w:rPr>
              <w:t>2000</w:t>
            </w:r>
          </w:p>
        </w:tc>
        <w:tc>
          <w:tcPr>
            <w:tcW w:w="928" w:type="dxa"/>
          </w:tcPr>
          <w:p w:rsidR="00000000" w:rsidRDefault="00000000">
            <w:pPr>
              <w:spacing w:before="60" w:after="60"/>
              <w:jc w:val="center"/>
              <w:rPr>
                <w:sz w:val="22"/>
              </w:rPr>
            </w:pPr>
            <w:r>
              <w:rPr>
                <w:sz w:val="22"/>
              </w:rPr>
              <w:t>2001</w:t>
            </w:r>
          </w:p>
        </w:tc>
        <w:tc>
          <w:tcPr>
            <w:tcW w:w="914" w:type="dxa"/>
          </w:tcPr>
          <w:p w:rsidR="00000000" w:rsidRDefault="00000000">
            <w:pPr>
              <w:spacing w:before="60" w:after="60"/>
              <w:jc w:val="center"/>
              <w:rPr>
                <w:sz w:val="22"/>
              </w:rPr>
            </w:pPr>
            <w:r>
              <w:rPr>
                <w:sz w:val="22"/>
              </w:rPr>
              <w:t>1999</w:t>
            </w:r>
          </w:p>
        </w:tc>
        <w:tc>
          <w:tcPr>
            <w:tcW w:w="914" w:type="dxa"/>
          </w:tcPr>
          <w:p w:rsidR="00000000" w:rsidRDefault="00000000">
            <w:pPr>
              <w:spacing w:before="60" w:after="60"/>
              <w:jc w:val="center"/>
              <w:rPr>
                <w:sz w:val="22"/>
              </w:rPr>
            </w:pPr>
            <w:r>
              <w:rPr>
                <w:sz w:val="22"/>
              </w:rPr>
              <w:t>2000</w:t>
            </w:r>
          </w:p>
        </w:tc>
        <w:tc>
          <w:tcPr>
            <w:tcW w:w="914" w:type="dxa"/>
          </w:tcPr>
          <w:p w:rsidR="00000000" w:rsidRDefault="00000000">
            <w:pPr>
              <w:spacing w:before="60" w:after="60"/>
              <w:jc w:val="center"/>
              <w:rPr>
                <w:sz w:val="22"/>
              </w:rPr>
            </w:pPr>
            <w:r>
              <w:rPr>
                <w:sz w:val="22"/>
              </w:rPr>
              <w:t>2001</w:t>
            </w:r>
          </w:p>
        </w:tc>
        <w:tc>
          <w:tcPr>
            <w:tcW w:w="913" w:type="dxa"/>
          </w:tcPr>
          <w:p w:rsidR="00000000" w:rsidRDefault="00000000">
            <w:pPr>
              <w:spacing w:before="60" w:after="60"/>
              <w:jc w:val="center"/>
              <w:rPr>
                <w:sz w:val="22"/>
              </w:rPr>
            </w:pPr>
            <w:r>
              <w:rPr>
                <w:sz w:val="22"/>
              </w:rPr>
              <w:t>1999</w:t>
            </w:r>
          </w:p>
        </w:tc>
        <w:tc>
          <w:tcPr>
            <w:tcW w:w="913" w:type="dxa"/>
          </w:tcPr>
          <w:p w:rsidR="00000000" w:rsidRDefault="00000000">
            <w:pPr>
              <w:spacing w:before="60" w:after="60"/>
              <w:jc w:val="center"/>
              <w:rPr>
                <w:sz w:val="22"/>
              </w:rPr>
            </w:pPr>
            <w:r>
              <w:rPr>
                <w:sz w:val="22"/>
              </w:rPr>
              <w:t>2000</w:t>
            </w:r>
          </w:p>
        </w:tc>
        <w:tc>
          <w:tcPr>
            <w:tcW w:w="913" w:type="dxa"/>
          </w:tcPr>
          <w:p w:rsidR="00000000" w:rsidRDefault="00000000">
            <w:pPr>
              <w:spacing w:before="60" w:after="60"/>
              <w:jc w:val="center"/>
              <w:rPr>
                <w:sz w:val="22"/>
              </w:rPr>
            </w:pPr>
            <w:r>
              <w:rPr>
                <w:sz w:val="22"/>
              </w:rPr>
              <w:t>2001</w:t>
            </w:r>
          </w:p>
        </w:tc>
      </w:tr>
      <w:tr w:rsidR="00000000">
        <w:tblPrEx>
          <w:tblCellMar>
            <w:top w:w="0" w:type="dxa"/>
            <w:bottom w:w="0" w:type="dxa"/>
          </w:tblCellMar>
        </w:tblPrEx>
        <w:tc>
          <w:tcPr>
            <w:tcW w:w="1229" w:type="dxa"/>
          </w:tcPr>
          <w:p w:rsidR="00000000" w:rsidRDefault="00000000">
            <w:pPr>
              <w:spacing w:before="60" w:after="60"/>
              <w:rPr>
                <w:sz w:val="22"/>
              </w:rPr>
            </w:pPr>
            <w:r>
              <w:rPr>
                <w:sz w:val="22"/>
              </w:rPr>
              <w:t>Maladies de l’appareil circulatoire</w:t>
            </w:r>
          </w:p>
        </w:tc>
        <w:tc>
          <w:tcPr>
            <w:tcW w:w="929" w:type="dxa"/>
            <w:vAlign w:val="bottom"/>
          </w:tcPr>
          <w:p w:rsidR="00000000" w:rsidRDefault="00000000">
            <w:pPr>
              <w:spacing w:before="60" w:after="60"/>
              <w:jc w:val="right"/>
              <w:rPr>
                <w:sz w:val="22"/>
              </w:rPr>
            </w:pPr>
            <w:r>
              <w:rPr>
                <w:sz w:val="22"/>
              </w:rPr>
              <w:t>73 350</w:t>
            </w:r>
          </w:p>
        </w:tc>
        <w:tc>
          <w:tcPr>
            <w:tcW w:w="929" w:type="dxa"/>
            <w:vAlign w:val="bottom"/>
          </w:tcPr>
          <w:p w:rsidR="00000000" w:rsidRDefault="00000000">
            <w:pPr>
              <w:spacing w:before="60" w:after="60"/>
              <w:jc w:val="right"/>
              <w:rPr>
                <w:sz w:val="22"/>
              </w:rPr>
            </w:pPr>
            <w:r>
              <w:rPr>
                <w:sz w:val="22"/>
              </w:rPr>
              <w:t>74 620</w:t>
            </w:r>
          </w:p>
        </w:tc>
        <w:tc>
          <w:tcPr>
            <w:tcW w:w="928" w:type="dxa"/>
            <w:vAlign w:val="bottom"/>
          </w:tcPr>
          <w:p w:rsidR="00000000" w:rsidRDefault="00000000">
            <w:pPr>
              <w:spacing w:before="60" w:after="60"/>
              <w:jc w:val="right"/>
              <w:rPr>
                <w:sz w:val="22"/>
              </w:rPr>
            </w:pPr>
            <w:r>
              <w:rPr>
                <w:sz w:val="22"/>
              </w:rPr>
              <w:t>73 583</w:t>
            </w:r>
          </w:p>
        </w:tc>
        <w:tc>
          <w:tcPr>
            <w:tcW w:w="914" w:type="dxa"/>
            <w:vAlign w:val="bottom"/>
          </w:tcPr>
          <w:p w:rsidR="00000000" w:rsidRDefault="00000000">
            <w:pPr>
              <w:spacing w:before="60" w:after="60"/>
              <w:jc w:val="right"/>
              <w:rPr>
                <w:sz w:val="22"/>
              </w:rPr>
            </w:pPr>
            <w:r>
              <w:rPr>
                <w:sz w:val="22"/>
              </w:rPr>
              <w:t>34 108</w:t>
            </w:r>
          </w:p>
        </w:tc>
        <w:tc>
          <w:tcPr>
            <w:tcW w:w="914" w:type="dxa"/>
            <w:vAlign w:val="bottom"/>
          </w:tcPr>
          <w:p w:rsidR="00000000" w:rsidRDefault="00000000">
            <w:pPr>
              <w:spacing w:before="60" w:after="60"/>
              <w:jc w:val="right"/>
              <w:rPr>
                <w:sz w:val="22"/>
              </w:rPr>
            </w:pPr>
            <w:r>
              <w:rPr>
                <w:sz w:val="22"/>
              </w:rPr>
              <w:t>35 711</w:t>
            </w:r>
          </w:p>
        </w:tc>
        <w:tc>
          <w:tcPr>
            <w:tcW w:w="914" w:type="dxa"/>
            <w:vAlign w:val="bottom"/>
          </w:tcPr>
          <w:p w:rsidR="00000000" w:rsidRDefault="00000000">
            <w:pPr>
              <w:spacing w:before="60" w:after="60"/>
              <w:jc w:val="right"/>
              <w:rPr>
                <w:sz w:val="22"/>
              </w:rPr>
            </w:pPr>
            <w:r>
              <w:rPr>
                <w:sz w:val="22"/>
              </w:rPr>
              <w:t>35 160</w:t>
            </w:r>
          </w:p>
        </w:tc>
        <w:tc>
          <w:tcPr>
            <w:tcW w:w="913" w:type="dxa"/>
            <w:vAlign w:val="bottom"/>
          </w:tcPr>
          <w:p w:rsidR="00000000" w:rsidRDefault="00000000">
            <w:pPr>
              <w:spacing w:before="60" w:after="60"/>
              <w:jc w:val="right"/>
              <w:rPr>
                <w:sz w:val="22"/>
              </w:rPr>
            </w:pPr>
            <w:r>
              <w:rPr>
                <w:sz w:val="22"/>
              </w:rPr>
              <w:t>39 242</w:t>
            </w:r>
          </w:p>
        </w:tc>
        <w:tc>
          <w:tcPr>
            <w:tcW w:w="913" w:type="dxa"/>
            <w:vAlign w:val="bottom"/>
          </w:tcPr>
          <w:p w:rsidR="00000000" w:rsidRDefault="00000000">
            <w:pPr>
              <w:spacing w:before="60" w:after="60"/>
              <w:jc w:val="right"/>
              <w:rPr>
                <w:sz w:val="22"/>
              </w:rPr>
            </w:pPr>
            <w:r>
              <w:rPr>
                <w:sz w:val="22"/>
              </w:rPr>
              <w:t>38 909</w:t>
            </w:r>
          </w:p>
        </w:tc>
        <w:tc>
          <w:tcPr>
            <w:tcW w:w="913" w:type="dxa"/>
            <w:vAlign w:val="bottom"/>
          </w:tcPr>
          <w:p w:rsidR="00000000" w:rsidRDefault="00000000">
            <w:pPr>
              <w:spacing w:before="60" w:after="60"/>
              <w:jc w:val="right"/>
              <w:rPr>
                <w:sz w:val="22"/>
              </w:rPr>
            </w:pPr>
            <w:r>
              <w:rPr>
                <w:sz w:val="22"/>
              </w:rPr>
              <w:t>38 423</w:t>
            </w:r>
          </w:p>
        </w:tc>
      </w:tr>
      <w:tr w:rsidR="00000000">
        <w:tblPrEx>
          <w:tblCellMar>
            <w:top w:w="0" w:type="dxa"/>
            <w:bottom w:w="0" w:type="dxa"/>
          </w:tblCellMar>
        </w:tblPrEx>
        <w:tc>
          <w:tcPr>
            <w:tcW w:w="1229" w:type="dxa"/>
          </w:tcPr>
          <w:p w:rsidR="00000000" w:rsidRDefault="00000000">
            <w:pPr>
              <w:spacing w:before="60" w:after="60"/>
              <w:rPr>
                <w:sz w:val="22"/>
              </w:rPr>
            </w:pPr>
            <w:r>
              <w:rPr>
                <w:sz w:val="22"/>
              </w:rPr>
              <w:t>Tumeurs malignes</w:t>
            </w:r>
          </w:p>
        </w:tc>
        <w:tc>
          <w:tcPr>
            <w:tcW w:w="929" w:type="dxa"/>
            <w:vAlign w:val="bottom"/>
          </w:tcPr>
          <w:p w:rsidR="00000000" w:rsidRDefault="00000000">
            <w:pPr>
              <w:spacing w:before="60" w:after="60"/>
              <w:jc w:val="right"/>
              <w:rPr>
                <w:sz w:val="22"/>
              </w:rPr>
            </w:pPr>
            <w:r>
              <w:rPr>
                <w:sz w:val="22"/>
              </w:rPr>
              <w:t>19 533</w:t>
            </w:r>
          </w:p>
        </w:tc>
        <w:tc>
          <w:tcPr>
            <w:tcW w:w="929" w:type="dxa"/>
            <w:vAlign w:val="bottom"/>
          </w:tcPr>
          <w:p w:rsidR="00000000" w:rsidRDefault="00000000">
            <w:pPr>
              <w:spacing w:before="60" w:after="60"/>
              <w:jc w:val="right"/>
              <w:rPr>
                <w:sz w:val="22"/>
              </w:rPr>
            </w:pPr>
            <w:r>
              <w:rPr>
                <w:sz w:val="22"/>
              </w:rPr>
              <w:t>19 387</w:t>
            </w:r>
          </w:p>
        </w:tc>
        <w:tc>
          <w:tcPr>
            <w:tcW w:w="928" w:type="dxa"/>
            <w:vAlign w:val="bottom"/>
          </w:tcPr>
          <w:p w:rsidR="00000000" w:rsidRDefault="00000000">
            <w:pPr>
              <w:spacing w:before="60" w:after="60"/>
              <w:jc w:val="right"/>
              <w:rPr>
                <w:sz w:val="22"/>
              </w:rPr>
            </w:pPr>
            <w:r>
              <w:rPr>
                <w:sz w:val="22"/>
              </w:rPr>
              <w:t>19 183</w:t>
            </w:r>
          </w:p>
        </w:tc>
        <w:tc>
          <w:tcPr>
            <w:tcW w:w="914" w:type="dxa"/>
            <w:vAlign w:val="bottom"/>
          </w:tcPr>
          <w:p w:rsidR="00000000" w:rsidRDefault="00000000">
            <w:pPr>
              <w:spacing w:before="60" w:after="60"/>
              <w:jc w:val="right"/>
              <w:rPr>
                <w:sz w:val="22"/>
              </w:rPr>
            </w:pPr>
            <w:r>
              <w:rPr>
                <w:sz w:val="22"/>
              </w:rPr>
              <w:t>10 761</w:t>
            </w:r>
          </w:p>
        </w:tc>
        <w:tc>
          <w:tcPr>
            <w:tcW w:w="914" w:type="dxa"/>
            <w:vAlign w:val="bottom"/>
          </w:tcPr>
          <w:p w:rsidR="00000000" w:rsidRDefault="00000000">
            <w:pPr>
              <w:spacing w:before="60" w:after="60"/>
              <w:jc w:val="right"/>
              <w:rPr>
                <w:sz w:val="22"/>
              </w:rPr>
            </w:pPr>
            <w:r>
              <w:rPr>
                <w:sz w:val="22"/>
              </w:rPr>
              <w:t>10 655</w:t>
            </w:r>
          </w:p>
        </w:tc>
        <w:tc>
          <w:tcPr>
            <w:tcW w:w="914" w:type="dxa"/>
            <w:vAlign w:val="bottom"/>
          </w:tcPr>
          <w:p w:rsidR="00000000" w:rsidRDefault="00000000">
            <w:pPr>
              <w:spacing w:before="60" w:after="60"/>
              <w:jc w:val="right"/>
              <w:rPr>
                <w:sz w:val="22"/>
              </w:rPr>
            </w:pPr>
            <w:r>
              <w:rPr>
                <w:sz w:val="22"/>
              </w:rPr>
              <w:t>10 508</w:t>
            </w:r>
          </w:p>
        </w:tc>
        <w:tc>
          <w:tcPr>
            <w:tcW w:w="913" w:type="dxa"/>
            <w:vAlign w:val="bottom"/>
          </w:tcPr>
          <w:p w:rsidR="00000000" w:rsidRDefault="00000000">
            <w:pPr>
              <w:spacing w:before="60" w:after="60"/>
              <w:jc w:val="right"/>
              <w:rPr>
                <w:sz w:val="22"/>
              </w:rPr>
            </w:pPr>
            <w:r>
              <w:rPr>
                <w:sz w:val="22"/>
              </w:rPr>
              <w:t>8 772</w:t>
            </w:r>
          </w:p>
        </w:tc>
        <w:tc>
          <w:tcPr>
            <w:tcW w:w="913" w:type="dxa"/>
            <w:vAlign w:val="bottom"/>
          </w:tcPr>
          <w:p w:rsidR="00000000" w:rsidRDefault="00000000">
            <w:pPr>
              <w:spacing w:before="60" w:after="60"/>
              <w:jc w:val="right"/>
              <w:rPr>
                <w:sz w:val="22"/>
              </w:rPr>
            </w:pPr>
            <w:r>
              <w:rPr>
                <w:sz w:val="22"/>
              </w:rPr>
              <w:t>8 732</w:t>
            </w:r>
          </w:p>
        </w:tc>
        <w:tc>
          <w:tcPr>
            <w:tcW w:w="913" w:type="dxa"/>
            <w:vAlign w:val="bottom"/>
          </w:tcPr>
          <w:p w:rsidR="00000000" w:rsidRDefault="00000000">
            <w:pPr>
              <w:spacing w:before="60" w:after="60"/>
              <w:jc w:val="right"/>
              <w:rPr>
                <w:sz w:val="22"/>
              </w:rPr>
            </w:pPr>
            <w:r>
              <w:rPr>
                <w:sz w:val="22"/>
              </w:rPr>
              <w:t>8 675</w:t>
            </w:r>
          </w:p>
        </w:tc>
      </w:tr>
      <w:tr w:rsidR="00000000">
        <w:tblPrEx>
          <w:tblCellMar>
            <w:top w:w="0" w:type="dxa"/>
            <w:bottom w:w="0" w:type="dxa"/>
          </w:tblCellMar>
        </w:tblPrEx>
        <w:tc>
          <w:tcPr>
            <w:tcW w:w="1229" w:type="dxa"/>
          </w:tcPr>
          <w:p w:rsidR="00000000" w:rsidRDefault="00000000">
            <w:pPr>
              <w:spacing w:before="60" w:after="60"/>
              <w:rPr>
                <w:sz w:val="22"/>
              </w:rPr>
            </w:pPr>
            <w:r>
              <w:rPr>
                <w:sz w:val="22"/>
              </w:rPr>
              <w:t>Accidents et blessures</w:t>
            </w:r>
          </w:p>
        </w:tc>
        <w:tc>
          <w:tcPr>
            <w:tcW w:w="929" w:type="dxa"/>
            <w:vAlign w:val="bottom"/>
          </w:tcPr>
          <w:p w:rsidR="00000000" w:rsidRDefault="00000000">
            <w:pPr>
              <w:spacing w:before="60" w:after="60"/>
              <w:jc w:val="right"/>
              <w:rPr>
                <w:sz w:val="22"/>
              </w:rPr>
            </w:pPr>
            <w:r>
              <w:rPr>
                <w:sz w:val="22"/>
              </w:rPr>
              <w:t>19 547</w:t>
            </w:r>
          </w:p>
        </w:tc>
        <w:tc>
          <w:tcPr>
            <w:tcW w:w="929" w:type="dxa"/>
            <w:vAlign w:val="bottom"/>
          </w:tcPr>
          <w:p w:rsidR="00000000" w:rsidRDefault="00000000">
            <w:pPr>
              <w:spacing w:before="60" w:after="60"/>
              <w:jc w:val="right"/>
              <w:rPr>
                <w:sz w:val="22"/>
              </w:rPr>
            </w:pPr>
            <w:r>
              <w:rPr>
                <w:sz w:val="22"/>
              </w:rPr>
              <w:t>21 258</w:t>
            </w:r>
          </w:p>
        </w:tc>
        <w:tc>
          <w:tcPr>
            <w:tcW w:w="928" w:type="dxa"/>
            <w:vAlign w:val="bottom"/>
          </w:tcPr>
          <w:p w:rsidR="00000000" w:rsidRDefault="00000000">
            <w:pPr>
              <w:spacing w:before="60" w:after="60"/>
              <w:jc w:val="right"/>
              <w:rPr>
                <w:sz w:val="22"/>
              </w:rPr>
            </w:pPr>
            <w:r>
              <w:rPr>
                <w:sz w:val="22"/>
              </w:rPr>
              <w:t>21 701</w:t>
            </w:r>
          </w:p>
        </w:tc>
        <w:tc>
          <w:tcPr>
            <w:tcW w:w="914" w:type="dxa"/>
            <w:vAlign w:val="bottom"/>
          </w:tcPr>
          <w:p w:rsidR="00000000" w:rsidRDefault="00000000">
            <w:pPr>
              <w:spacing w:before="60" w:after="60"/>
              <w:jc w:val="right"/>
              <w:rPr>
                <w:sz w:val="22"/>
              </w:rPr>
            </w:pPr>
            <w:r>
              <w:rPr>
                <w:sz w:val="22"/>
              </w:rPr>
              <w:t>15 134</w:t>
            </w:r>
          </w:p>
        </w:tc>
        <w:tc>
          <w:tcPr>
            <w:tcW w:w="914" w:type="dxa"/>
            <w:vAlign w:val="bottom"/>
          </w:tcPr>
          <w:p w:rsidR="00000000" w:rsidRDefault="00000000">
            <w:pPr>
              <w:spacing w:before="60" w:after="60"/>
              <w:jc w:val="right"/>
              <w:rPr>
                <w:sz w:val="22"/>
              </w:rPr>
            </w:pPr>
            <w:r>
              <w:rPr>
                <w:sz w:val="22"/>
              </w:rPr>
              <w:t>16 760</w:t>
            </w:r>
          </w:p>
        </w:tc>
        <w:tc>
          <w:tcPr>
            <w:tcW w:w="914" w:type="dxa"/>
            <w:vAlign w:val="bottom"/>
          </w:tcPr>
          <w:p w:rsidR="00000000" w:rsidRDefault="00000000">
            <w:pPr>
              <w:spacing w:before="60" w:after="60"/>
              <w:jc w:val="right"/>
              <w:rPr>
                <w:sz w:val="22"/>
              </w:rPr>
            </w:pPr>
            <w:r>
              <w:rPr>
                <w:sz w:val="22"/>
              </w:rPr>
              <w:t>16 956</w:t>
            </w:r>
          </w:p>
        </w:tc>
        <w:tc>
          <w:tcPr>
            <w:tcW w:w="913" w:type="dxa"/>
            <w:vAlign w:val="bottom"/>
          </w:tcPr>
          <w:p w:rsidR="00000000" w:rsidRDefault="00000000">
            <w:pPr>
              <w:spacing w:before="60" w:after="60"/>
              <w:jc w:val="right"/>
              <w:rPr>
                <w:sz w:val="22"/>
              </w:rPr>
            </w:pPr>
            <w:r>
              <w:rPr>
                <w:sz w:val="22"/>
              </w:rPr>
              <w:t>4 413</w:t>
            </w:r>
          </w:p>
        </w:tc>
        <w:tc>
          <w:tcPr>
            <w:tcW w:w="913" w:type="dxa"/>
            <w:vAlign w:val="bottom"/>
          </w:tcPr>
          <w:p w:rsidR="00000000" w:rsidRDefault="00000000">
            <w:pPr>
              <w:spacing w:before="60" w:after="60"/>
              <w:jc w:val="right"/>
              <w:rPr>
                <w:sz w:val="22"/>
              </w:rPr>
            </w:pPr>
            <w:r>
              <w:rPr>
                <w:sz w:val="22"/>
              </w:rPr>
              <w:t>4 498</w:t>
            </w:r>
          </w:p>
        </w:tc>
        <w:tc>
          <w:tcPr>
            <w:tcW w:w="913" w:type="dxa"/>
            <w:vAlign w:val="bottom"/>
          </w:tcPr>
          <w:p w:rsidR="00000000" w:rsidRDefault="00000000">
            <w:pPr>
              <w:spacing w:before="60" w:after="60"/>
              <w:jc w:val="right"/>
              <w:rPr>
                <w:sz w:val="22"/>
              </w:rPr>
            </w:pPr>
            <w:r>
              <w:rPr>
                <w:sz w:val="22"/>
              </w:rPr>
              <w:t>4 745</w:t>
            </w:r>
          </w:p>
        </w:tc>
      </w:tr>
      <w:tr w:rsidR="00000000">
        <w:tblPrEx>
          <w:tblCellMar>
            <w:top w:w="0" w:type="dxa"/>
            <w:bottom w:w="0" w:type="dxa"/>
          </w:tblCellMar>
        </w:tblPrEx>
        <w:tc>
          <w:tcPr>
            <w:tcW w:w="1229" w:type="dxa"/>
          </w:tcPr>
          <w:p w:rsidR="00000000" w:rsidRDefault="00000000">
            <w:pPr>
              <w:spacing w:before="60" w:after="60"/>
              <w:rPr>
                <w:sz w:val="22"/>
              </w:rPr>
            </w:pPr>
            <w:r>
              <w:rPr>
                <w:sz w:val="22"/>
              </w:rPr>
              <w:t>Maladies pulmonaires</w:t>
            </w:r>
          </w:p>
        </w:tc>
        <w:tc>
          <w:tcPr>
            <w:tcW w:w="929" w:type="dxa"/>
            <w:vAlign w:val="bottom"/>
          </w:tcPr>
          <w:p w:rsidR="00000000" w:rsidRDefault="00000000">
            <w:pPr>
              <w:spacing w:before="60" w:after="60"/>
              <w:jc w:val="right"/>
              <w:rPr>
                <w:sz w:val="22"/>
              </w:rPr>
            </w:pPr>
            <w:r>
              <w:rPr>
                <w:sz w:val="22"/>
              </w:rPr>
              <w:t>10 248</w:t>
            </w:r>
          </w:p>
        </w:tc>
        <w:tc>
          <w:tcPr>
            <w:tcW w:w="929" w:type="dxa"/>
            <w:vAlign w:val="bottom"/>
          </w:tcPr>
          <w:p w:rsidR="00000000" w:rsidRDefault="00000000">
            <w:pPr>
              <w:spacing w:before="60" w:after="60"/>
              <w:jc w:val="right"/>
              <w:rPr>
                <w:sz w:val="22"/>
              </w:rPr>
            </w:pPr>
            <w:r>
              <w:rPr>
                <w:sz w:val="22"/>
              </w:rPr>
              <w:t>10 615</w:t>
            </w:r>
          </w:p>
        </w:tc>
        <w:tc>
          <w:tcPr>
            <w:tcW w:w="928" w:type="dxa"/>
            <w:vAlign w:val="bottom"/>
          </w:tcPr>
          <w:p w:rsidR="00000000" w:rsidRDefault="00000000">
            <w:pPr>
              <w:spacing w:before="60" w:after="60"/>
              <w:jc w:val="right"/>
              <w:rPr>
                <w:sz w:val="22"/>
              </w:rPr>
            </w:pPr>
            <w:r>
              <w:rPr>
                <w:sz w:val="22"/>
              </w:rPr>
              <w:t>9 727</w:t>
            </w:r>
          </w:p>
        </w:tc>
        <w:tc>
          <w:tcPr>
            <w:tcW w:w="914" w:type="dxa"/>
            <w:vAlign w:val="bottom"/>
          </w:tcPr>
          <w:p w:rsidR="00000000" w:rsidRDefault="00000000">
            <w:pPr>
              <w:spacing w:before="60" w:after="60"/>
              <w:jc w:val="right"/>
              <w:rPr>
                <w:sz w:val="22"/>
              </w:rPr>
            </w:pPr>
            <w:r>
              <w:rPr>
                <w:sz w:val="22"/>
              </w:rPr>
              <w:t>5 397</w:t>
            </w:r>
          </w:p>
        </w:tc>
        <w:tc>
          <w:tcPr>
            <w:tcW w:w="914" w:type="dxa"/>
            <w:vAlign w:val="bottom"/>
          </w:tcPr>
          <w:p w:rsidR="00000000" w:rsidRDefault="00000000">
            <w:pPr>
              <w:spacing w:before="60" w:after="60"/>
              <w:jc w:val="right"/>
              <w:rPr>
                <w:sz w:val="22"/>
              </w:rPr>
            </w:pPr>
            <w:r>
              <w:rPr>
                <w:sz w:val="22"/>
              </w:rPr>
              <w:t>6 767</w:t>
            </w:r>
          </w:p>
        </w:tc>
        <w:tc>
          <w:tcPr>
            <w:tcW w:w="914" w:type="dxa"/>
            <w:vAlign w:val="bottom"/>
          </w:tcPr>
          <w:p w:rsidR="00000000" w:rsidRDefault="00000000">
            <w:pPr>
              <w:spacing w:before="60" w:after="60"/>
              <w:jc w:val="right"/>
              <w:rPr>
                <w:sz w:val="22"/>
              </w:rPr>
            </w:pPr>
            <w:r>
              <w:rPr>
                <w:sz w:val="22"/>
              </w:rPr>
              <w:t>6 140</w:t>
            </w:r>
          </w:p>
        </w:tc>
        <w:tc>
          <w:tcPr>
            <w:tcW w:w="913" w:type="dxa"/>
            <w:vAlign w:val="bottom"/>
          </w:tcPr>
          <w:p w:rsidR="00000000" w:rsidRDefault="00000000">
            <w:pPr>
              <w:spacing w:before="60" w:after="60"/>
              <w:jc w:val="right"/>
              <w:rPr>
                <w:sz w:val="22"/>
              </w:rPr>
            </w:pPr>
            <w:r>
              <w:rPr>
                <w:sz w:val="22"/>
              </w:rPr>
              <w:t>3 851</w:t>
            </w:r>
          </w:p>
        </w:tc>
        <w:tc>
          <w:tcPr>
            <w:tcW w:w="913" w:type="dxa"/>
            <w:vAlign w:val="bottom"/>
          </w:tcPr>
          <w:p w:rsidR="00000000" w:rsidRDefault="00000000">
            <w:pPr>
              <w:spacing w:before="60" w:after="60"/>
              <w:jc w:val="right"/>
              <w:rPr>
                <w:sz w:val="22"/>
              </w:rPr>
            </w:pPr>
            <w:r>
              <w:rPr>
                <w:sz w:val="22"/>
              </w:rPr>
              <w:t>3 848</w:t>
            </w:r>
          </w:p>
        </w:tc>
        <w:tc>
          <w:tcPr>
            <w:tcW w:w="913" w:type="dxa"/>
            <w:vAlign w:val="bottom"/>
          </w:tcPr>
          <w:p w:rsidR="00000000" w:rsidRDefault="00000000">
            <w:pPr>
              <w:spacing w:before="60" w:after="60"/>
              <w:jc w:val="right"/>
              <w:rPr>
                <w:sz w:val="22"/>
              </w:rPr>
            </w:pPr>
            <w:r>
              <w:rPr>
                <w:sz w:val="22"/>
              </w:rPr>
              <w:t>3 587</w:t>
            </w:r>
          </w:p>
        </w:tc>
      </w:tr>
      <w:tr w:rsidR="00000000">
        <w:tblPrEx>
          <w:tblCellMar>
            <w:top w:w="0" w:type="dxa"/>
            <w:bottom w:w="0" w:type="dxa"/>
          </w:tblCellMar>
        </w:tblPrEx>
        <w:tc>
          <w:tcPr>
            <w:tcW w:w="1229" w:type="dxa"/>
          </w:tcPr>
          <w:p w:rsidR="00000000" w:rsidRDefault="00000000">
            <w:pPr>
              <w:spacing w:before="60" w:after="60"/>
              <w:rPr>
                <w:sz w:val="22"/>
              </w:rPr>
            </w:pPr>
            <w:r>
              <w:rPr>
                <w:sz w:val="22"/>
              </w:rPr>
              <w:t>Maladies de l’appareil digestif</w:t>
            </w:r>
          </w:p>
        </w:tc>
        <w:tc>
          <w:tcPr>
            <w:tcW w:w="929" w:type="dxa"/>
            <w:vAlign w:val="bottom"/>
          </w:tcPr>
          <w:p w:rsidR="00000000" w:rsidRDefault="00000000">
            <w:pPr>
              <w:spacing w:before="60" w:after="60"/>
              <w:jc w:val="right"/>
              <w:rPr>
                <w:sz w:val="22"/>
              </w:rPr>
            </w:pPr>
            <w:r>
              <w:rPr>
                <w:sz w:val="22"/>
              </w:rPr>
              <w:t>5 342</w:t>
            </w:r>
          </w:p>
        </w:tc>
        <w:tc>
          <w:tcPr>
            <w:tcW w:w="929" w:type="dxa"/>
            <w:vAlign w:val="bottom"/>
          </w:tcPr>
          <w:p w:rsidR="00000000" w:rsidRDefault="00000000">
            <w:pPr>
              <w:spacing w:before="60" w:after="60"/>
              <w:jc w:val="right"/>
              <w:rPr>
                <w:sz w:val="22"/>
              </w:rPr>
            </w:pPr>
            <w:r>
              <w:rPr>
                <w:sz w:val="22"/>
              </w:rPr>
              <w:t>5 657</w:t>
            </w:r>
          </w:p>
        </w:tc>
        <w:tc>
          <w:tcPr>
            <w:tcW w:w="928" w:type="dxa"/>
            <w:vAlign w:val="bottom"/>
          </w:tcPr>
          <w:p w:rsidR="00000000" w:rsidRDefault="00000000">
            <w:pPr>
              <w:spacing w:before="60" w:after="60"/>
              <w:jc w:val="right"/>
              <w:rPr>
                <w:sz w:val="22"/>
              </w:rPr>
            </w:pPr>
            <w:r>
              <w:rPr>
                <w:sz w:val="22"/>
              </w:rPr>
              <w:t>6 031</w:t>
            </w:r>
          </w:p>
        </w:tc>
        <w:tc>
          <w:tcPr>
            <w:tcW w:w="914" w:type="dxa"/>
            <w:vAlign w:val="bottom"/>
          </w:tcPr>
          <w:p w:rsidR="00000000" w:rsidRDefault="00000000">
            <w:pPr>
              <w:spacing w:before="60" w:after="60"/>
              <w:jc w:val="right"/>
              <w:rPr>
                <w:sz w:val="22"/>
              </w:rPr>
            </w:pPr>
            <w:r>
              <w:rPr>
                <w:sz w:val="22"/>
              </w:rPr>
              <w:t>3 154</w:t>
            </w:r>
          </w:p>
        </w:tc>
        <w:tc>
          <w:tcPr>
            <w:tcW w:w="914" w:type="dxa"/>
            <w:vAlign w:val="bottom"/>
          </w:tcPr>
          <w:p w:rsidR="00000000" w:rsidRDefault="00000000">
            <w:pPr>
              <w:spacing w:before="60" w:after="60"/>
              <w:jc w:val="right"/>
              <w:rPr>
                <w:sz w:val="22"/>
              </w:rPr>
            </w:pPr>
            <w:r>
              <w:rPr>
                <w:sz w:val="22"/>
              </w:rPr>
              <w:t>3 294</w:t>
            </w:r>
          </w:p>
        </w:tc>
        <w:tc>
          <w:tcPr>
            <w:tcW w:w="914" w:type="dxa"/>
            <w:vAlign w:val="bottom"/>
          </w:tcPr>
          <w:p w:rsidR="00000000" w:rsidRDefault="00000000">
            <w:pPr>
              <w:spacing w:before="60" w:after="60"/>
              <w:jc w:val="right"/>
              <w:rPr>
                <w:sz w:val="22"/>
              </w:rPr>
            </w:pPr>
            <w:r>
              <w:rPr>
                <w:sz w:val="22"/>
              </w:rPr>
              <w:t>3 632</w:t>
            </w:r>
          </w:p>
        </w:tc>
        <w:tc>
          <w:tcPr>
            <w:tcW w:w="913" w:type="dxa"/>
            <w:vAlign w:val="bottom"/>
          </w:tcPr>
          <w:p w:rsidR="00000000" w:rsidRDefault="00000000">
            <w:pPr>
              <w:spacing w:before="60" w:after="60"/>
              <w:jc w:val="right"/>
              <w:rPr>
                <w:sz w:val="22"/>
              </w:rPr>
            </w:pPr>
            <w:r>
              <w:rPr>
                <w:sz w:val="22"/>
              </w:rPr>
              <w:t>2 188</w:t>
            </w:r>
          </w:p>
        </w:tc>
        <w:tc>
          <w:tcPr>
            <w:tcW w:w="913" w:type="dxa"/>
            <w:vAlign w:val="bottom"/>
          </w:tcPr>
          <w:p w:rsidR="00000000" w:rsidRDefault="00000000">
            <w:pPr>
              <w:spacing w:before="60" w:after="60"/>
              <w:jc w:val="right"/>
              <w:rPr>
                <w:sz w:val="22"/>
              </w:rPr>
            </w:pPr>
            <w:r>
              <w:rPr>
                <w:sz w:val="22"/>
              </w:rPr>
              <w:t>2 363</w:t>
            </w:r>
          </w:p>
        </w:tc>
        <w:tc>
          <w:tcPr>
            <w:tcW w:w="913" w:type="dxa"/>
            <w:vAlign w:val="bottom"/>
          </w:tcPr>
          <w:p w:rsidR="00000000" w:rsidRDefault="00000000">
            <w:pPr>
              <w:spacing w:before="60" w:after="60"/>
              <w:jc w:val="right"/>
              <w:rPr>
                <w:sz w:val="22"/>
              </w:rPr>
            </w:pPr>
            <w:r>
              <w:rPr>
                <w:sz w:val="22"/>
              </w:rPr>
              <w:t>2 399</w:t>
            </w:r>
          </w:p>
        </w:tc>
      </w:tr>
      <w:tr w:rsidR="00000000">
        <w:tblPrEx>
          <w:tblCellMar>
            <w:top w:w="0" w:type="dxa"/>
            <w:bottom w:w="0" w:type="dxa"/>
          </w:tblCellMar>
        </w:tblPrEx>
        <w:tc>
          <w:tcPr>
            <w:tcW w:w="1229" w:type="dxa"/>
          </w:tcPr>
          <w:p w:rsidR="00000000" w:rsidRDefault="00000000">
            <w:pPr>
              <w:spacing w:before="60" w:after="60"/>
              <w:rPr>
                <w:sz w:val="22"/>
              </w:rPr>
            </w:pPr>
            <w:r>
              <w:rPr>
                <w:sz w:val="22"/>
              </w:rPr>
              <w:t>Infections et maladies parasitaires</w:t>
            </w:r>
          </w:p>
        </w:tc>
        <w:tc>
          <w:tcPr>
            <w:tcW w:w="929" w:type="dxa"/>
            <w:vAlign w:val="bottom"/>
          </w:tcPr>
          <w:p w:rsidR="00000000" w:rsidRDefault="00000000">
            <w:pPr>
              <w:spacing w:before="60" w:after="60"/>
              <w:jc w:val="right"/>
              <w:rPr>
                <w:sz w:val="22"/>
              </w:rPr>
            </w:pPr>
            <w:r>
              <w:rPr>
                <w:sz w:val="22"/>
              </w:rPr>
              <w:t>5 816</w:t>
            </w:r>
          </w:p>
        </w:tc>
        <w:tc>
          <w:tcPr>
            <w:tcW w:w="929" w:type="dxa"/>
            <w:vAlign w:val="bottom"/>
          </w:tcPr>
          <w:p w:rsidR="00000000" w:rsidRDefault="00000000">
            <w:pPr>
              <w:spacing w:before="60" w:after="60"/>
              <w:jc w:val="right"/>
              <w:rPr>
                <w:sz w:val="22"/>
              </w:rPr>
            </w:pPr>
            <w:r>
              <w:rPr>
                <w:sz w:val="22"/>
              </w:rPr>
              <w:t>5 099</w:t>
            </w:r>
          </w:p>
        </w:tc>
        <w:tc>
          <w:tcPr>
            <w:tcW w:w="928" w:type="dxa"/>
            <w:vAlign w:val="bottom"/>
          </w:tcPr>
          <w:p w:rsidR="00000000" w:rsidRDefault="00000000">
            <w:pPr>
              <w:spacing w:before="60" w:after="60"/>
              <w:jc w:val="right"/>
              <w:rPr>
                <w:sz w:val="22"/>
              </w:rPr>
            </w:pPr>
            <w:r>
              <w:rPr>
                <w:sz w:val="22"/>
              </w:rPr>
              <w:t>4 545</w:t>
            </w:r>
          </w:p>
        </w:tc>
        <w:tc>
          <w:tcPr>
            <w:tcW w:w="914" w:type="dxa"/>
            <w:vAlign w:val="bottom"/>
          </w:tcPr>
          <w:p w:rsidR="00000000" w:rsidRDefault="00000000">
            <w:pPr>
              <w:spacing w:before="60" w:after="60"/>
              <w:jc w:val="right"/>
              <w:rPr>
                <w:sz w:val="22"/>
              </w:rPr>
            </w:pPr>
            <w:r>
              <w:rPr>
                <w:sz w:val="22"/>
              </w:rPr>
              <w:t>4 345</w:t>
            </w:r>
          </w:p>
        </w:tc>
        <w:tc>
          <w:tcPr>
            <w:tcW w:w="914" w:type="dxa"/>
            <w:vAlign w:val="bottom"/>
          </w:tcPr>
          <w:p w:rsidR="00000000" w:rsidRDefault="00000000">
            <w:pPr>
              <w:spacing w:before="60" w:after="60"/>
              <w:jc w:val="right"/>
              <w:rPr>
                <w:sz w:val="22"/>
              </w:rPr>
            </w:pPr>
            <w:r>
              <w:rPr>
                <w:sz w:val="22"/>
              </w:rPr>
              <w:t>3 812</w:t>
            </w:r>
          </w:p>
        </w:tc>
        <w:tc>
          <w:tcPr>
            <w:tcW w:w="914" w:type="dxa"/>
            <w:vAlign w:val="bottom"/>
          </w:tcPr>
          <w:p w:rsidR="00000000" w:rsidRDefault="00000000">
            <w:pPr>
              <w:spacing w:before="60" w:after="60"/>
              <w:jc w:val="right"/>
              <w:rPr>
                <w:sz w:val="22"/>
              </w:rPr>
            </w:pPr>
            <w:r>
              <w:rPr>
                <w:sz w:val="22"/>
              </w:rPr>
              <w:t>3 422</w:t>
            </w:r>
          </w:p>
        </w:tc>
        <w:tc>
          <w:tcPr>
            <w:tcW w:w="913" w:type="dxa"/>
            <w:vAlign w:val="bottom"/>
          </w:tcPr>
          <w:p w:rsidR="00000000" w:rsidRDefault="00000000">
            <w:pPr>
              <w:spacing w:before="60" w:after="60"/>
              <w:jc w:val="right"/>
              <w:rPr>
                <w:sz w:val="22"/>
              </w:rPr>
            </w:pPr>
            <w:r>
              <w:rPr>
                <w:sz w:val="22"/>
              </w:rPr>
              <w:t>1 471</w:t>
            </w:r>
          </w:p>
        </w:tc>
        <w:tc>
          <w:tcPr>
            <w:tcW w:w="913" w:type="dxa"/>
            <w:vAlign w:val="bottom"/>
          </w:tcPr>
          <w:p w:rsidR="00000000" w:rsidRDefault="00000000">
            <w:pPr>
              <w:spacing w:before="60" w:after="60"/>
              <w:jc w:val="right"/>
              <w:rPr>
                <w:sz w:val="22"/>
              </w:rPr>
            </w:pPr>
            <w:r>
              <w:rPr>
                <w:sz w:val="22"/>
              </w:rPr>
              <w:t>1 287</w:t>
            </w:r>
          </w:p>
        </w:tc>
        <w:tc>
          <w:tcPr>
            <w:tcW w:w="913" w:type="dxa"/>
            <w:vAlign w:val="bottom"/>
          </w:tcPr>
          <w:p w:rsidR="00000000" w:rsidRDefault="00000000">
            <w:pPr>
              <w:spacing w:before="60" w:after="60"/>
              <w:jc w:val="right"/>
              <w:rPr>
                <w:sz w:val="22"/>
              </w:rPr>
            </w:pPr>
            <w:r>
              <w:rPr>
                <w:sz w:val="22"/>
              </w:rPr>
              <w:t>1 123</w:t>
            </w:r>
          </w:p>
        </w:tc>
      </w:tr>
    </w:tbl>
    <w:p w:rsidR="00000000" w:rsidRDefault="00000000">
      <w:pPr>
        <w:keepNext/>
        <w:spacing w:before="240" w:after="240"/>
        <w:jc w:val="center"/>
        <w:rPr>
          <w:b/>
          <w:bCs/>
        </w:rPr>
      </w:pPr>
      <w:r>
        <w:rPr>
          <w:b/>
          <w:bCs/>
        </w:rPr>
        <w:t>Mortalité maternelle</w:t>
      </w:r>
    </w:p>
    <w:p w:rsidR="00000000" w:rsidRDefault="00000000">
      <w:pPr>
        <w:spacing w:after="240"/>
      </w:pPr>
      <w:r>
        <w:t>9.</w:t>
      </w:r>
      <w:r>
        <w:tab/>
        <w:t>En chiffres absolus, la mortalité maternelle diminue au Kazakhstan. Le nombre des femmes qui sont mortes par suite de complications liées à la grossesse, à l’accouchement et à la postnatalité s’est établi à 105 en 1999, 97 en 2000 et 87 en 2001.</w:t>
      </w:r>
    </w:p>
    <w:p w:rsidR="00000000" w:rsidRDefault="00000000">
      <w:pPr>
        <w:keepNext/>
        <w:spacing w:after="240"/>
        <w:jc w:val="center"/>
        <w:rPr>
          <w:b/>
          <w:bCs/>
        </w:rPr>
      </w:pPr>
      <w:r>
        <w:rPr>
          <w:b/>
          <w:bCs/>
        </w:rPr>
        <w:t>Taux de mortalité maternelle</w:t>
      </w:r>
    </w:p>
    <w:p w:rsidR="00000000" w:rsidRDefault="00000000">
      <w:pPr>
        <w:spacing w:after="240"/>
      </w:pPr>
      <w:r>
        <w:t>10.</w:t>
      </w:r>
      <w:r>
        <w:tab/>
        <w:t>Le taux de mortalité maternelle (pour 100 000 naissances) s’est établi à 49,6 en 1999, 44,2 en 2000 et 39,6 en 2001.</w:t>
      </w:r>
    </w:p>
    <w:p w:rsidR="00000000" w:rsidRDefault="00000000">
      <w:pPr>
        <w:keepNext/>
        <w:spacing w:after="240"/>
        <w:jc w:val="center"/>
        <w:rPr>
          <w:b/>
          <w:bCs/>
        </w:rPr>
      </w:pPr>
      <w:r>
        <w:rPr>
          <w:b/>
          <w:bCs/>
        </w:rPr>
        <w:t>Structure des familles</w:t>
      </w:r>
    </w:p>
    <w:p w:rsidR="00000000" w:rsidRDefault="00000000">
      <w:pPr>
        <w:spacing w:after="240"/>
      </w:pPr>
      <w:r>
        <w:t>11.</w:t>
      </w:r>
      <w:r>
        <w:tab/>
        <w:t>Les renseignements concernant les familles sont généralement tirés des recensements. D’après le recensement de 1999, il y avait 3 527 256 familles au Kazakhstan. Les familles comptaient en moyenne quatre personnes, soit 3,6 dans les zones urbaines et 4,6 dans les zones rurales.</w:t>
      </w:r>
    </w:p>
    <w:p w:rsidR="00000000" w:rsidRDefault="00000000">
      <w:pPr>
        <w:keepNext/>
        <w:spacing w:after="240"/>
        <w:jc w:val="center"/>
        <w:rPr>
          <w:b/>
          <w:bCs/>
        </w:rPr>
      </w:pPr>
      <w:r>
        <w:rPr>
          <w:b/>
          <w:bCs/>
        </w:rPr>
        <w:t>Tableau 13</w:t>
      </w:r>
    </w:p>
    <w:p w:rsidR="00000000" w:rsidRDefault="00000000">
      <w:pPr>
        <w:keepNext/>
        <w:spacing w:after="240"/>
        <w:jc w:val="center"/>
      </w:pPr>
      <w:r>
        <w:rPr>
          <w:b/>
          <w:bCs/>
        </w:rPr>
        <w:t>Nombre de familles et taille moyenne des familles</w:t>
      </w:r>
      <w:r>
        <w:rPr>
          <w:b/>
          <w:bCs/>
        </w:rPr>
        <w:br/>
        <w:t>(d’après le recensement de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0"/>
        <w:gridCol w:w="1260"/>
        <w:gridCol w:w="1260"/>
        <w:gridCol w:w="1440"/>
        <w:gridCol w:w="1440"/>
        <w:gridCol w:w="1232"/>
        <w:gridCol w:w="1233"/>
      </w:tblGrid>
      <w:tr w:rsidR="00000000">
        <w:tblPrEx>
          <w:tblCellMar>
            <w:top w:w="0" w:type="dxa"/>
            <w:bottom w:w="0" w:type="dxa"/>
          </w:tblCellMar>
        </w:tblPrEx>
        <w:trPr>
          <w:cantSplit/>
          <w:tblHeader/>
        </w:trPr>
        <w:tc>
          <w:tcPr>
            <w:tcW w:w="1630" w:type="dxa"/>
            <w:vMerge w:val="restart"/>
          </w:tcPr>
          <w:p w:rsidR="00000000" w:rsidRDefault="00000000">
            <w:pPr>
              <w:spacing w:before="60" w:after="60"/>
              <w:rPr>
                <w:sz w:val="20"/>
              </w:rPr>
            </w:pPr>
          </w:p>
        </w:tc>
        <w:tc>
          <w:tcPr>
            <w:tcW w:w="2520" w:type="dxa"/>
            <w:gridSpan w:val="2"/>
            <w:vMerge w:val="restart"/>
            <w:vAlign w:val="center"/>
          </w:tcPr>
          <w:p w:rsidR="00000000" w:rsidRDefault="00000000">
            <w:pPr>
              <w:spacing w:before="60" w:after="60"/>
              <w:jc w:val="center"/>
              <w:rPr>
                <w:sz w:val="20"/>
              </w:rPr>
            </w:pPr>
            <w:r>
              <w:rPr>
                <w:sz w:val="20"/>
              </w:rPr>
              <w:t>Total dans les zones urbaines et rurales</w:t>
            </w:r>
          </w:p>
        </w:tc>
        <w:tc>
          <w:tcPr>
            <w:tcW w:w="5345" w:type="dxa"/>
            <w:gridSpan w:val="4"/>
          </w:tcPr>
          <w:p w:rsidR="00000000" w:rsidRDefault="00000000">
            <w:pPr>
              <w:spacing w:before="60" w:after="60"/>
              <w:jc w:val="center"/>
              <w:rPr>
                <w:sz w:val="20"/>
              </w:rPr>
            </w:pPr>
            <w:r>
              <w:rPr>
                <w:sz w:val="20"/>
              </w:rPr>
              <w:t>dont:</w:t>
            </w:r>
          </w:p>
        </w:tc>
      </w:tr>
      <w:tr w:rsidR="00000000">
        <w:tblPrEx>
          <w:tblCellMar>
            <w:top w:w="0" w:type="dxa"/>
            <w:bottom w:w="0" w:type="dxa"/>
          </w:tblCellMar>
        </w:tblPrEx>
        <w:trPr>
          <w:cantSplit/>
          <w:tblHeader/>
        </w:trPr>
        <w:tc>
          <w:tcPr>
            <w:tcW w:w="1630" w:type="dxa"/>
            <w:vMerge/>
          </w:tcPr>
          <w:p w:rsidR="00000000" w:rsidRDefault="00000000">
            <w:pPr>
              <w:spacing w:before="60" w:after="60"/>
              <w:rPr>
                <w:sz w:val="20"/>
              </w:rPr>
            </w:pPr>
          </w:p>
        </w:tc>
        <w:tc>
          <w:tcPr>
            <w:tcW w:w="2520" w:type="dxa"/>
            <w:gridSpan w:val="2"/>
            <w:vMerge/>
          </w:tcPr>
          <w:p w:rsidR="00000000" w:rsidRDefault="00000000">
            <w:pPr>
              <w:spacing w:before="60" w:after="60"/>
              <w:rPr>
                <w:sz w:val="20"/>
              </w:rPr>
            </w:pPr>
          </w:p>
        </w:tc>
        <w:tc>
          <w:tcPr>
            <w:tcW w:w="2880" w:type="dxa"/>
            <w:gridSpan w:val="2"/>
          </w:tcPr>
          <w:p w:rsidR="00000000" w:rsidRDefault="00000000">
            <w:pPr>
              <w:spacing w:before="60" w:after="60"/>
              <w:jc w:val="center"/>
              <w:rPr>
                <w:sz w:val="20"/>
              </w:rPr>
            </w:pPr>
            <w:r>
              <w:rPr>
                <w:sz w:val="20"/>
              </w:rPr>
              <w:t>Zones urbaines</w:t>
            </w:r>
          </w:p>
        </w:tc>
        <w:tc>
          <w:tcPr>
            <w:tcW w:w="2465" w:type="dxa"/>
            <w:gridSpan w:val="2"/>
          </w:tcPr>
          <w:p w:rsidR="00000000" w:rsidRDefault="00000000">
            <w:pPr>
              <w:spacing w:before="60" w:after="60"/>
              <w:jc w:val="center"/>
              <w:rPr>
                <w:sz w:val="20"/>
              </w:rPr>
            </w:pPr>
            <w:r>
              <w:rPr>
                <w:sz w:val="20"/>
              </w:rPr>
              <w:t>Zones rurales</w:t>
            </w:r>
          </w:p>
        </w:tc>
      </w:tr>
      <w:tr w:rsidR="00000000">
        <w:tblPrEx>
          <w:tblCellMar>
            <w:top w:w="0" w:type="dxa"/>
            <w:bottom w:w="0" w:type="dxa"/>
          </w:tblCellMar>
        </w:tblPrEx>
        <w:trPr>
          <w:cantSplit/>
          <w:tblHeader/>
        </w:trPr>
        <w:tc>
          <w:tcPr>
            <w:tcW w:w="1630" w:type="dxa"/>
            <w:vMerge/>
          </w:tcPr>
          <w:p w:rsidR="00000000" w:rsidRDefault="00000000">
            <w:pPr>
              <w:spacing w:before="60" w:after="60"/>
              <w:rPr>
                <w:sz w:val="20"/>
              </w:rPr>
            </w:pPr>
          </w:p>
        </w:tc>
        <w:tc>
          <w:tcPr>
            <w:tcW w:w="1260" w:type="dxa"/>
            <w:vAlign w:val="center"/>
          </w:tcPr>
          <w:p w:rsidR="00000000" w:rsidRDefault="00000000">
            <w:pPr>
              <w:spacing w:before="60" w:after="60"/>
              <w:jc w:val="center"/>
              <w:rPr>
                <w:sz w:val="20"/>
              </w:rPr>
            </w:pPr>
            <w:r>
              <w:rPr>
                <w:sz w:val="20"/>
              </w:rPr>
              <w:t>Nombre de familles</w:t>
            </w:r>
          </w:p>
        </w:tc>
        <w:tc>
          <w:tcPr>
            <w:tcW w:w="1260" w:type="dxa"/>
            <w:vAlign w:val="center"/>
          </w:tcPr>
          <w:p w:rsidR="00000000" w:rsidRDefault="00000000">
            <w:pPr>
              <w:spacing w:before="60" w:after="60"/>
              <w:jc w:val="center"/>
              <w:rPr>
                <w:sz w:val="20"/>
              </w:rPr>
            </w:pPr>
            <w:r>
              <w:rPr>
                <w:sz w:val="20"/>
              </w:rPr>
              <w:t>Taille moyenne des familles</w:t>
            </w:r>
          </w:p>
        </w:tc>
        <w:tc>
          <w:tcPr>
            <w:tcW w:w="1440" w:type="dxa"/>
            <w:vAlign w:val="center"/>
          </w:tcPr>
          <w:p w:rsidR="00000000" w:rsidRDefault="00000000">
            <w:pPr>
              <w:spacing w:before="60" w:after="60"/>
              <w:jc w:val="center"/>
              <w:rPr>
                <w:sz w:val="20"/>
              </w:rPr>
            </w:pPr>
            <w:r>
              <w:rPr>
                <w:sz w:val="20"/>
              </w:rPr>
              <w:t>Nombre de familles</w:t>
            </w:r>
          </w:p>
        </w:tc>
        <w:tc>
          <w:tcPr>
            <w:tcW w:w="1440" w:type="dxa"/>
            <w:vAlign w:val="center"/>
          </w:tcPr>
          <w:p w:rsidR="00000000" w:rsidRDefault="00000000">
            <w:pPr>
              <w:spacing w:before="60" w:after="60"/>
              <w:jc w:val="center"/>
              <w:rPr>
                <w:sz w:val="20"/>
              </w:rPr>
            </w:pPr>
            <w:r>
              <w:rPr>
                <w:sz w:val="20"/>
              </w:rPr>
              <w:t>Taille moyenne des familles</w:t>
            </w:r>
          </w:p>
        </w:tc>
        <w:tc>
          <w:tcPr>
            <w:tcW w:w="1232" w:type="dxa"/>
            <w:vAlign w:val="center"/>
          </w:tcPr>
          <w:p w:rsidR="00000000" w:rsidRDefault="00000000">
            <w:pPr>
              <w:spacing w:before="60" w:after="60"/>
              <w:jc w:val="center"/>
              <w:rPr>
                <w:sz w:val="20"/>
              </w:rPr>
            </w:pPr>
            <w:r>
              <w:rPr>
                <w:sz w:val="20"/>
              </w:rPr>
              <w:t>Nombre de familles</w:t>
            </w:r>
          </w:p>
        </w:tc>
        <w:tc>
          <w:tcPr>
            <w:tcW w:w="1233" w:type="dxa"/>
            <w:vAlign w:val="center"/>
          </w:tcPr>
          <w:p w:rsidR="00000000" w:rsidRDefault="00000000">
            <w:pPr>
              <w:spacing w:before="60" w:after="60"/>
              <w:jc w:val="center"/>
              <w:rPr>
                <w:sz w:val="20"/>
              </w:rPr>
            </w:pPr>
            <w:r>
              <w:rPr>
                <w:sz w:val="20"/>
              </w:rPr>
              <w:t>Taille moyenne des familles</w:t>
            </w:r>
          </w:p>
        </w:tc>
      </w:tr>
      <w:tr w:rsidR="00000000">
        <w:tblPrEx>
          <w:tblCellMar>
            <w:top w:w="0" w:type="dxa"/>
            <w:bottom w:w="0" w:type="dxa"/>
          </w:tblCellMar>
        </w:tblPrEx>
        <w:tc>
          <w:tcPr>
            <w:tcW w:w="1630" w:type="dxa"/>
          </w:tcPr>
          <w:p w:rsidR="00000000" w:rsidRDefault="00000000">
            <w:pPr>
              <w:spacing w:before="60" w:after="60"/>
              <w:rPr>
                <w:sz w:val="20"/>
              </w:rPr>
            </w:pPr>
            <w:r>
              <w:rPr>
                <w:sz w:val="20"/>
              </w:rPr>
              <w:t>Ensemble du Kazakhstan</w:t>
            </w:r>
          </w:p>
        </w:tc>
        <w:tc>
          <w:tcPr>
            <w:tcW w:w="1260" w:type="dxa"/>
            <w:vAlign w:val="bottom"/>
          </w:tcPr>
          <w:p w:rsidR="00000000" w:rsidRDefault="00000000">
            <w:pPr>
              <w:spacing w:before="60" w:after="60"/>
              <w:jc w:val="right"/>
              <w:rPr>
                <w:sz w:val="20"/>
              </w:rPr>
            </w:pPr>
            <w:r>
              <w:rPr>
                <w:sz w:val="20"/>
              </w:rPr>
              <w:t>3 527 256</w:t>
            </w:r>
          </w:p>
        </w:tc>
        <w:tc>
          <w:tcPr>
            <w:tcW w:w="1260" w:type="dxa"/>
            <w:vAlign w:val="bottom"/>
          </w:tcPr>
          <w:p w:rsidR="00000000" w:rsidRDefault="00000000">
            <w:pPr>
              <w:spacing w:before="60" w:after="60"/>
              <w:jc w:val="right"/>
              <w:rPr>
                <w:sz w:val="20"/>
              </w:rPr>
            </w:pPr>
            <w:r>
              <w:rPr>
                <w:sz w:val="20"/>
              </w:rPr>
              <w:t>4,0</w:t>
            </w:r>
          </w:p>
        </w:tc>
        <w:tc>
          <w:tcPr>
            <w:tcW w:w="1440" w:type="dxa"/>
            <w:vAlign w:val="bottom"/>
          </w:tcPr>
          <w:p w:rsidR="00000000" w:rsidRDefault="00000000">
            <w:pPr>
              <w:spacing w:before="60" w:after="60"/>
              <w:jc w:val="right"/>
              <w:rPr>
                <w:sz w:val="20"/>
              </w:rPr>
            </w:pPr>
            <w:r>
              <w:rPr>
                <w:sz w:val="20"/>
              </w:rPr>
              <w:t>2 144 546</w:t>
            </w:r>
          </w:p>
        </w:tc>
        <w:tc>
          <w:tcPr>
            <w:tcW w:w="1440" w:type="dxa"/>
            <w:vAlign w:val="bottom"/>
          </w:tcPr>
          <w:p w:rsidR="00000000" w:rsidRDefault="00000000">
            <w:pPr>
              <w:spacing w:before="60" w:after="60"/>
              <w:jc w:val="right"/>
              <w:rPr>
                <w:sz w:val="20"/>
              </w:rPr>
            </w:pPr>
            <w:r>
              <w:rPr>
                <w:sz w:val="20"/>
              </w:rPr>
              <w:t>3,6</w:t>
            </w:r>
          </w:p>
        </w:tc>
        <w:tc>
          <w:tcPr>
            <w:tcW w:w="1232" w:type="dxa"/>
            <w:vAlign w:val="bottom"/>
          </w:tcPr>
          <w:p w:rsidR="00000000" w:rsidRDefault="00000000">
            <w:pPr>
              <w:spacing w:before="60" w:after="60"/>
              <w:jc w:val="right"/>
              <w:rPr>
                <w:sz w:val="20"/>
              </w:rPr>
            </w:pPr>
            <w:r>
              <w:rPr>
                <w:sz w:val="20"/>
              </w:rPr>
              <w:t>1 382 710</w:t>
            </w:r>
          </w:p>
        </w:tc>
        <w:tc>
          <w:tcPr>
            <w:tcW w:w="1233" w:type="dxa"/>
            <w:vAlign w:val="bottom"/>
          </w:tcPr>
          <w:p w:rsidR="00000000" w:rsidRDefault="00000000">
            <w:pPr>
              <w:spacing w:before="60" w:after="60"/>
              <w:jc w:val="right"/>
              <w:rPr>
                <w:sz w:val="20"/>
              </w:rPr>
            </w:pPr>
            <w:r>
              <w:rPr>
                <w:sz w:val="20"/>
              </w:rPr>
              <w:t>4,6</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Oblaste d’Akmola</w:t>
            </w:r>
          </w:p>
        </w:tc>
        <w:tc>
          <w:tcPr>
            <w:tcW w:w="1260" w:type="dxa"/>
            <w:vAlign w:val="bottom"/>
          </w:tcPr>
          <w:p w:rsidR="00000000" w:rsidRDefault="00000000">
            <w:pPr>
              <w:spacing w:before="60" w:after="60"/>
              <w:jc w:val="right"/>
              <w:rPr>
                <w:sz w:val="20"/>
              </w:rPr>
            </w:pPr>
            <w:r>
              <w:rPr>
                <w:sz w:val="20"/>
              </w:rPr>
              <w:t>214 582</w:t>
            </w:r>
          </w:p>
        </w:tc>
        <w:tc>
          <w:tcPr>
            <w:tcW w:w="1260" w:type="dxa"/>
            <w:vAlign w:val="bottom"/>
          </w:tcPr>
          <w:p w:rsidR="00000000" w:rsidRDefault="00000000">
            <w:pPr>
              <w:spacing w:before="60" w:after="60"/>
              <w:jc w:val="right"/>
              <w:rPr>
                <w:sz w:val="20"/>
              </w:rPr>
            </w:pPr>
            <w:r>
              <w:rPr>
                <w:sz w:val="20"/>
              </w:rPr>
              <w:t>3,6</w:t>
            </w:r>
          </w:p>
        </w:tc>
        <w:tc>
          <w:tcPr>
            <w:tcW w:w="1440" w:type="dxa"/>
            <w:vAlign w:val="bottom"/>
          </w:tcPr>
          <w:p w:rsidR="00000000" w:rsidRDefault="00000000">
            <w:pPr>
              <w:spacing w:before="60" w:after="60"/>
              <w:jc w:val="right"/>
              <w:rPr>
                <w:sz w:val="20"/>
              </w:rPr>
            </w:pPr>
            <w:r>
              <w:rPr>
                <w:sz w:val="20"/>
              </w:rPr>
              <w:t>103 601</w:t>
            </w:r>
          </w:p>
        </w:tc>
        <w:tc>
          <w:tcPr>
            <w:tcW w:w="1440" w:type="dxa"/>
            <w:vAlign w:val="bottom"/>
          </w:tcPr>
          <w:p w:rsidR="00000000" w:rsidRDefault="00000000">
            <w:pPr>
              <w:spacing w:before="60" w:after="60"/>
              <w:jc w:val="right"/>
              <w:rPr>
                <w:sz w:val="20"/>
              </w:rPr>
            </w:pPr>
            <w:r>
              <w:rPr>
                <w:sz w:val="20"/>
              </w:rPr>
              <w:t>3,3</w:t>
            </w:r>
          </w:p>
        </w:tc>
        <w:tc>
          <w:tcPr>
            <w:tcW w:w="1232" w:type="dxa"/>
            <w:vAlign w:val="bottom"/>
          </w:tcPr>
          <w:p w:rsidR="00000000" w:rsidRDefault="00000000">
            <w:pPr>
              <w:spacing w:before="60" w:after="60"/>
              <w:jc w:val="right"/>
              <w:rPr>
                <w:sz w:val="20"/>
              </w:rPr>
            </w:pPr>
            <w:r>
              <w:rPr>
                <w:sz w:val="20"/>
              </w:rPr>
              <w:t>110 981</w:t>
            </w:r>
          </w:p>
        </w:tc>
        <w:tc>
          <w:tcPr>
            <w:tcW w:w="1233" w:type="dxa"/>
            <w:vAlign w:val="bottom"/>
          </w:tcPr>
          <w:p w:rsidR="00000000" w:rsidRDefault="00000000">
            <w:pPr>
              <w:spacing w:before="60" w:after="60"/>
              <w:jc w:val="right"/>
              <w:rPr>
                <w:sz w:val="20"/>
              </w:rPr>
            </w:pPr>
            <w:r>
              <w:rPr>
                <w:sz w:val="20"/>
              </w:rPr>
              <w:t>3,9</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d’Aktobe</w:t>
            </w:r>
          </w:p>
        </w:tc>
        <w:tc>
          <w:tcPr>
            <w:tcW w:w="1260" w:type="dxa"/>
            <w:vAlign w:val="bottom"/>
          </w:tcPr>
          <w:p w:rsidR="00000000" w:rsidRDefault="00000000">
            <w:pPr>
              <w:spacing w:before="60" w:after="60"/>
              <w:jc w:val="right"/>
              <w:rPr>
                <w:sz w:val="20"/>
              </w:rPr>
            </w:pPr>
            <w:r>
              <w:rPr>
                <w:sz w:val="20"/>
              </w:rPr>
              <w:t>156 906</w:t>
            </w:r>
          </w:p>
        </w:tc>
        <w:tc>
          <w:tcPr>
            <w:tcW w:w="1260" w:type="dxa"/>
            <w:vAlign w:val="bottom"/>
          </w:tcPr>
          <w:p w:rsidR="00000000" w:rsidRDefault="00000000">
            <w:pPr>
              <w:spacing w:before="60" w:after="60"/>
              <w:jc w:val="right"/>
              <w:rPr>
                <w:sz w:val="20"/>
              </w:rPr>
            </w:pPr>
            <w:r>
              <w:rPr>
                <w:sz w:val="20"/>
              </w:rPr>
              <w:t>4,1</w:t>
            </w:r>
          </w:p>
        </w:tc>
        <w:tc>
          <w:tcPr>
            <w:tcW w:w="1440" w:type="dxa"/>
            <w:vAlign w:val="bottom"/>
          </w:tcPr>
          <w:p w:rsidR="00000000" w:rsidRDefault="00000000">
            <w:pPr>
              <w:spacing w:before="60" w:after="60"/>
              <w:jc w:val="right"/>
              <w:rPr>
                <w:sz w:val="20"/>
              </w:rPr>
            </w:pPr>
            <w:r>
              <w:rPr>
                <w:sz w:val="20"/>
              </w:rPr>
              <w:t>95 743</w:t>
            </w:r>
          </w:p>
        </w:tc>
        <w:tc>
          <w:tcPr>
            <w:tcW w:w="1440" w:type="dxa"/>
            <w:vAlign w:val="bottom"/>
          </w:tcPr>
          <w:p w:rsidR="00000000" w:rsidRDefault="00000000">
            <w:pPr>
              <w:spacing w:before="60" w:after="60"/>
              <w:jc w:val="right"/>
              <w:rPr>
                <w:sz w:val="20"/>
              </w:rPr>
            </w:pPr>
            <w:r>
              <w:rPr>
                <w:sz w:val="20"/>
              </w:rPr>
              <w:t>3,7</w:t>
            </w:r>
          </w:p>
        </w:tc>
        <w:tc>
          <w:tcPr>
            <w:tcW w:w="1232" w:type="dxa"/>
            <w:vAlign w:val="bottom"/>
          </w:tcPr>
          <w:p w:rsidR="00000000" w:rsidRDefault="00000000">
            <w:pPr>
              <w:spacing w:before="60" w:after="60"/>
              <w:jc w:val="right"/>
              <w:rPr>
                <w:sz w:val="20"/>
              </w:rPr>
            </w:pPr>
            <w:r>
              <w:rPr>
                <w:sz w:val="20"/>
              </w:rPr>
              <w:t>61 163</w:t>
            </w:r>
          </w:p>
        </w:tc>
        <w:tc>
          <w:tcPr>
            <w:tcW w:w="1233" w:type="dxa"/>
            <w:vAlign w:val="bottom"/>
          </w:tcPr>
          <w:p w:rsidR="00000000" w:rsidRDefault="00000000">
            <w:pPr>
              <w:spacing w:before="60" w:after="60"/>
              <w:jc w:val="right"/>
              <w:rPr>
                <w:sz w:val="20"/>
              </w:rPr>
            </w:pPr>
            <w:r>
              <w:rPr>
                <w:sz w:val="20"/>
              </w:rPr>
              <w:t>4,8</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d’Almaty</w:t>
            </w:r>
          </w:p>
        </w:tc>
        <w:tc>
          <w:tcPr>
            <w:tcW w:w="1260" w:type="dxa"/>
            <w:vAlign w:val="bottom"/>
          </w:tcPr>
          <w:p w:rsidR="00000000" w:rsidRDefault="00000000">
            <w:pPr>
              <w:spacing w:before="60" w:after="60"/>
              <w:jc w:val="right"/>
              <w:rPr>
                <w:sz w:val="20"/>
              </w:rPr>
            </w:pPr>
            <w:r>
              <w:rPr>
                <w:sz w:val="20"/>
              </w:rPr>
              <w:t>347 877</w:t>
            </w:r>
          </w:p>
        </w:tc>
        <w:tc>
          <w:tcPr>
            <w:tcW w:w="1260" w:type="dxa"/>
            <w:vAlign w:val="bottom"/>
          </w:tcPr>
          <w:p w:rsidR="00000000" w:rsidRDefault="00000000">
            <w:pPr>
              <w:spacing w:before="60" w:after="60"/>
              <w:jc w:val="right"/>
              <w:rPr>
                <w:sz w:val="20"/>
              </w:rPr>
            </w:pPr>
            <w:r>
              <w:rPr>
                <w:sz w:val="20"/>
              </w:rPr>
              <w:t>4,3</w:t>
            </w:r>
          </w:p>
        </w:tc>
        <w:tc>
          <w:tcPr>
            <w:tcW w:w="1440" w:type="dxa"/>
            <w:vAlign w:val="bottom"/>
          </w:tcPr>
          <w:p w:rsidR="00000000" w:rsidRDefault="00000000">
            <w:pPr>
              <w:spacing w:before="60" w:after="60"/>
              <w:jc w:val="right"/>
              <w:rPr>
                <w:sz w:val="20"/>
              </w:rPr>
            </w:pPr>
            <w:r>
              <w:rPr>
                <w:sz w:val="20"/>
              </w:rPr>
              <w:t>117 869</w:t>
            </w:r>
          </w:p>
        </w:tc>
        <w:tc>
          <w:tcPr>
            <w:tcW w:w="1440" w:type="dxa"/>
            <w:vAlign w:val="bottom"/>
          </w:tcPr>
          <w:p w:rsidR="00000000" w:rsidRDefault="00000000">
            <w:pPr>
              <w:spacing w:before="60" w:after="60"/>
              <w:jc w:val="right"/>
              <w:rPr>
                <w:sz w:val="20"/>
              </w:rPr>
            </w:pPr>
            <w:r>
              <w:rPr>
                <w:sz w:val="20"/>
              </w:rPr>
              <w:t>3,6</w:t>
            </w:r>
          </w:p>
        </w:tc>
        <w:tc>
          <w:tcPr>
            <w:tcW w:w="1232" w:type="dxa"/>
            <w:vAlign w:val="bottom"/>
          </w:tcPr>
          <w:p w:rsidR="00000000" w:rsidRDefault="00000000">
            <w:pPr>
              <w:spacing w:before="60" w:after="60"/>
              <w:jc w:val="right"/>
              <w:rPr>
                <w:sz w:val="20"/>
              </w:rPr>
            </w:pPr>
            <w:r>
              <w:rPr>
                <w:sz w:val="20"/>
              </w:rPr>
              <w:t>230 008</w:t>
            </w:r>
          </w:p>
        </w:tc>
        <w:tc>
          <w:tcPr>
            <w:tcW w:w="1233" w:type="dxa"/>
            <w:vAlign w:val="bottom"/>
          </w:tcPr>
          <w:p w:rsidR="00000000" w:rsidRDefault="00000000">
            <w:pPr>
              <w:spacing w:before="60" w:after="60"/>
              <w:jc w:val="right"/>
              <w:rPr>
                <w:sz w:val="20"/>
              </w:rPr>
            </w:pPr>
            <w:r>
              <w:rPr>
                <w:sz w:val="20"/>
              </w:rPr>
              <w:t>4,6</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d’Atyrau</w:t>
            </w:r>
          </w:p>
        </w:tc>
        <w:tc>
          <w:tcPr>
            <w:tcW w:w="1260" w:type="dxa"/>
            <w:vAlign w:val="bottom"/>
          </w:tcPr>
          <w:p w:rsidR="00000000" w:rsidRDefault="00000000">
            <w:pPr>
              <w:spacing w:before="60" w:after="60"/>
              <w:jc w:val="right"/>
              <w:rPr>
                <w:sz w:val="20"/>
              </w:rPr>
            </w:pPr>
            <w:r>
              <w:rPr>
                <w:sz w:val="20"/>
              </w:rPr>
              <w:t>86 581</w:t>
            </w:r>
          </w:p>
        </w:tc>
        <w:tc>
          <w:tcPr>
            <w:tcW w:w="1260" w:type="dxa"/>
            <w:vAlign w:val="bottom"/>
          </w:tcPr>
          <w:p w:rsidR="00000000" w:rsidRDefault="00000000">
            <w:pPr>
              <w:spacing w:before="60" w:after="60"/>
              <w:jc w:val="right"/>
              <w:rPr>
                <w:sz w:val="20"/>
              </w:rPr>
            </w:pPr>
            <w:r>
              <w:rPr>
                <w:sz w:val="20"/>
              </w:rPr>
              <w:t>4,9</w:t>
            </w:r>
          </w:p>
        </w:tc>
        <w:tc>
          <w:tcPr>
            <w:tcW w:w="1440" w:type="dxa"/>
            <w:vAlign w:val="bottom"/>
          </w:tcPr>
          <w:p w:rsidR="00000000" w:rsidRDefault="00000000">
            <w:pPr>
              <w:spacing w:before="60" w:after="60"/>
              <w:jc w:val="right"/>
              <w:rPr>
                <w:sz w:val="20"/>
              </w:rPr>
            </w:pPr>
            <w:r>
              <w:rPr>
                <w:sz w:val="20"/>
              </w:rPr>
              <w:t>54 592</w:t>
            </w:r>
          </w:p>
        </w:tc>
        <w:tc>
          <w:tcPr>
            <w:tcW w:w="1440" w:type="dxa"/>
            <w:vAlign w:val="bottom"/>
          </w:tcPr>
          <w:p w:rsidR="00000000" w:rsidRDefault="00000000">
            <w:pPr>
              <w:spacing w:before="60" w:after="60"/>
              <w:jc w:val="right"/>
              <w:rPr>
                <w:sz w:val="20"/>
              </w:rPr>
            </w:pPr>
            <w:r>
              <w:rPr>
                <w:sz w:val="20"/>
              </w:rPr>
              <w:t>4,5</w:t>
            </w:r>
          </w:p>
        </w:tc>
        <w:tc>
          <w:tcPr>
            <w:tcW w:w="1232" w:type="dxa"/>
            <w:vAlign w:val="bottom"/>
          </w:tcPr>
          <w:p w:rsidR="00000000" w:rsidRDefault="00000000">
            <w:pPr>
              <w:spacing w:before="60" w:after="60"/>
              <w:jc w:val="right"/>
              <w:rPr>
                <w:sz w:val="20"/>
              </w:rPr>
            </w:pPr>
            <w:r>
              <w:rPr>
                <w:sz w:val="20"/>
              </w:rPr>
              <w:t>31 989</w:t>
            </w:r>
          </w:p>
        </w:tc>
        <w:tc>
          <w:tcPr>
            <w:tcW w:w="1233" w:type="dxa"/>
            <w:vAlign w:val="bottom"/>
          </w:tcPr>
          <w:p w:rsidR="00000000" w:rsidRDefault="00000000">
            <w:pPr>
              <w:spacing w:before="60" w:after="60"/>
              <w:jc w:val="right"/>
              <w:rPr>
                <w:sz w:val="20"/>
              </w:rPr>
            </w:pPr>
            <w:r>
              <w:rPr>
                <w:sz w:val="20"/>
              </w:rPr>
              <w:t>5,6</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du Kazakhstan oriental</w:t>
            </w:r>
          </w:p>
        </w:tc>
        <w:tc>
          <w:tcPr>
            <w:tcW w:w="1260" w:type="dxa"/>
            <w:vAlign w:val="bottom"/>
          </w:tcPr>
          <w:p w:rsidR="00000000" w:rsidRDefault="00000000">
            <w:pPr>
              <w:spacing w:before="60" w:after="60"/>
              <w:jc w:val="right"/>
              <w:rPr>
                <w:sz w:val="20"/>
              </w:rPr>
            </w:pPr>
            <w:r>
              <w:rPr>
                <w:sz w:val="20"/>
              </w:rPr>
              <w:t>391 608</w:t>
            </w:r>
          </w:p>
        </w:tc>
        <w:tc>
          <w:tcPr>
            <w:tcW w:w="1260" w:type="dxa"/>
            <w:vAlign w:val="bottom"/>
          </w:tcPr>
          <w:p w:rsidR="00000000" w:rsidRDefault="00000000">
            <w:pPr>
              <w:spacing w:before="60" w:after="60"/>
              <w:jc w:val="right"/>
              <w:rPr>
                <w:sz w:val="20"/>
              </w:rPr>
            </w:pPr>
            <w:r>
              <w:rPr>
                <w:sz w:val="20"/>
              </w:rPr>
              <w:t>3,6</w:t>
            </w:r>
          </w:p>
        </w:tc>
        <w:tc>
          <w:tcPr>
            <w:tcW w:w="1440" w:type="dxa"/>
            <w:vAlign w:val="bottom"/>
          </w:tcPr>
          <w:p w:rsidR="00000000" w:rsidRDefault="00000000">
            <w:pPr>
              <w:spacing w:before="60" w:after="60"/>
              <w:jc w:val="right"/>
              <w:rPr>
                <w:sz w:val="20"/>
              </w:rPr>
            </w:pPr>
            <w:r>
              <w:rPr>
                <w:sz w:val="20"/>
              </w:rPr>
              <w:t>245 895</w:t>
            </w:r>
          </w:p>
        </w:tc>
        <w:tc>
          <w:tcPr>
            <w:tcW w:w="1440" w:type="dxa"/>
            <w:vAlign w:val="bottom"/>
          </w:tcPr>
          <w:p w:rsidR="00000000" w:rsidRDefault="00000000">
            <w:pPr>
              <w:spacing w:before="60" w:after="60"/>
              <w:jc w:val="right"/>
              <w:rPr>
                <w:sz w:val="20"/>
              </w:rPr>
            </w:pPr>
            <w:r>
              <w:rPr>
                <w:sz w:val="20"/>
              </w:rPr>
              <w:t>3,3</w:t>
            </w:r>
          </w:p>
        </w:tc>
        <w:tc>
          <w:tcPr>
            <w:tcW w:w="1232" w:type="dxa"/>
            <w:vAlign w:val="bottom"/>
          </w:tcPr>
          <w:p w:rsidR="00000000" w:rsidRDefault="00000000">
            <w:pPr>
              <w:spacing w:before="60" w:after="60"/>
              <w:jc w:val="right"/>
              <w:rPr>
                <w:sz w:val="20"/>
              </w:rPr>
            </w:pPr>
            <w:r>
              <w:rPr>
                <w:sz w:val="20"/>
              </w:rPr>
              <w:t>145 713</w:t>
            </w:r>
          </w:p>
        </w:tc>
        <w:tc>
          <w:tcPr>
            <w:tcW w:w="1233" w:type="dxa"/>
            <w:vAlign w:val="bottom"/>
          </w:tcPr>
          <w:p w:rsidR="00000000" w:rsidRDefault="00000000">
            <w:pPr>
              <w:spacing w:before="60" w:after="60"/>
              <w:jc w:val="right"/>
              <w:rPr>
                <w:sz w:val="20"/>
              </w:rPr>
            </w:pPr>
            <w:r>
              <w:rPr>
                <w:sz w:val="20"/>
              </w:rPr>
              <w:t>4,2</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de Zhambyl</w:t>
            </w:r>
          </w:p>
        </w:tc>
        <w:tc>
          <w:tcPr>
            <w:tcW w:w="1260" w:type="dxa"/>
            <w:vAlign w:val="bottom"/>
          </w:tcPr>
          <w:p w:rsidR="00000000" w:rsidRDefault="00000000">
            <w:pPr>
              <w:spacing w:before="60" w:after="60"/>
              <w:jc w:val="right"/>
              <w:rPr>
                <w:sz w:val="20"/>
              </w:rPr>
            </w:pPr>
            <w:r>
              <w:rPr>
                <w:sz w:val="20"/>
              </w:rPr>
              <w:t>211 885</w:t>
            </w:r>
          </w:p>
        </w:tc>
        <w:tc>
          <w:tcPr>
            <w:tcW w:w="1260" w:type="dxa"/>
            <w:vAlign w:val="bottom"/>
          </w:tcPr>
          <w:p w:rsidR="00000000" w:rsidRDefault="00000000">
            <w:pPr>
              <w:spacing w:before="60" w:after="60"/>
              <w:jc w:val="right"/>
              <w:rPr>
                <w:sz w:val="20"/>
              </w:rPr>
            </w:pPr>
            <w:r>
              <w:rPr>
                <w:sz w:val="20"/>
              </w:rPr>
              <w:t>4,5</w:t>
            </w:r>
          </w:p>
        </w:tc>
        <w:tc>
          <w:tcPr>
            <w:tcW w:w="1440" w:type="dxa"/>
            <w:vAlign w:val="bottom"/>
          </w:tcPr>
          <w:p w:rsidR="00000000" w:rsidRDefault="00000000">
            <w:pPr>
              <w:spacing w:before="60" w:after="60"/>
              <w:jc w:val="right"/>
              <w:rPr>
                <w:sz w:val="20"/>
              </w:rPr>
            </w:pPr>
            <w:r>
              <w:rPr>
                <w:sz w:val="20"/>
              </w:rPr>
              <w:t>108 761</w:t>
            </w:r>
          </w:p>
        </w:tc>
        <w:tc>
          <w:tcPr>
            <w:tcW w:w="1440" w:type="dxa"/>
            <w:vAlign w:val="bottom"/>
          </w:tcPr>
          <w:p w:rsidR="00000000" w:rsidRDefault="00000000">
            <w:pPr>
              <w:spacing w:before="60" w:after="60"/>
              <w:jc w:val="right"/>
              <w:rPr>
                <w:sz w:val="20"/>
              </w:rPr>
            </w:pPr>
            <w:r>
              <w:rPr>
                <w:sz w:val="20"/>
              </w:rPr>
              <w:t>3,9</w:t>
            </w:r>
          </w:p>
        </w:tc>
        <w:tc>
          <w:tcPr>
            <w:tcW w:w="1232" w:type="dxa"/>
            <w:vAlign w:val="bottom"/>
          </w:tcPr>
          <w:p w:rsidR="00000000" w:rsidRDefault="00000000">
            <w:pPr>
              <w:spacing w:before="60" w:after="60"/>
              <w:jc w:val="right"/>
              <w:rPr>
                <w:sz w:val="20"/>
              </w:rPr>
            </w:pPr>
            <w:r>
              <w:rPr>
                <w:sz w:val="20"/>
              </w:rPr>
              <w:t>103 124</w:t>
            </w:r>
          </w:p>
        </w:tc>
        <w:tc>
          <w:tcPr>
            <w:tcW w:w="1233" w:type="dxa"/>
            <w:vAlign w:val="bottom"/>
          </w:tcPr>
          <w:p w:rsidR="00000000" w:rsidRDefault="00000000">
            <w:pPr>
              <w:spacing w:before="60" w:after="60"/>
              <w:jc w:val="right"/>
              <w:rPr>
                <w:sz w:val="20"/>
              </w:rPr>
            </w:pPr>
            <w:r>
              <w:rPr>
                <w:sz w:val="20"/>
              </w:rPr>
              <w:t>5,0</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du Kazakhstan occidental</w:t>
            </w:r>
          </w:p>
        </w:tc>
        <w:tc>
          <w:tcPr>
            <w:tcW w:w="1260" w:type="dxa"/>
            <w:vAlign w:val="bottom"/>
          </w:tcPr>
          <w:p w:rsidR="00000000" w:rsidRDefault="00000000">
            <w:pPr>
              <w:spacing w:before="60" w:after="60"/>
              <w:jc w:val="right"/>
              <w:rPr>
                <w:sz w:val="20"/>
              </w:rPr>
            </w:pPr>
            <w:r>
              <w:rPr>
                <w:sz w:val="20"/>
              </w:rPr>
              <w:t>147 513</w:t>
            </w:r>
          </w:p>
        </w:tc>
        <w:tc>
          <w:tcPr>
            <w:tcW w:w="1260" w:type="dxa"/>
            <w:vAlign w:val="bottom"/>
          </w:tcPr>
          <w:p w:rsidR="00000000" w:rsidRDefault="00000000">
            <w:pPr>
              <w:spacing w:before="60" w:after="60"/>
              <w:jc w:val="right"/>
              <w:rPr>
                <w:sz w:val="20"/>
              </w:rPr>
            </w:pPr>
            <w:r>
              <w:rPr>
                <w:sz w:val="20"/>
              </w:rPr>
              <w:t>4,0</w:t>
            </w:r>
          </w:p>
        </w:tc>
        <w:tc>
          <w:tcPr>
            <w:tcW w:w="1440" w:type="dxa"/>
            <w:vAlign w:val="bottom"/>
          </w:tcPr>
          <w:p w:rsidR="00000000" w:rsidRDefault="00000000">
            <w:pPr>
              <w:spacing w:before="60" w:after="60"/>
              <w:jc w:val="right"/>
              <w:rPr>
                <w:sz w:val="20"/>
              </w:rPr>
            </w:pPr>
            <w:r>
              <w:rPr>
                <w:sz w:val="20"/>
              </w:rPr>
              <w:t>67 871</w:t>
            </w:r>
          </w:p>
        </w:tc>
        <w:tc>
          <w:tcPr>
            <w:tcW w:w="1440" w:type="dxa"/>
            <w:vAlign w:val="bottom"/>
          </w:tcPr>
          <w:p w:rsidR="00000000" w:rsidRDefault="00000000">
            <w:pPr>
              <w:spacing w:before="60" w:after="60"/>
              <w:jc w:val="right"/>
              <w:rPr>
                <w:sz w:val="20"/>
              </w:rPr>
            </w:pPr>
            <w:r>
              <w:rPr>
                <w:sz w:val="20"/>
              </w:rPr>
              <w:t>3,4</w:t>
            </w:r>
          </w:p>
        </w:tc>
        <w:tc>
          <w:tcPr>
            <w:tcW w:w="1232" w:type="dxa"/>
            <w:vAlign w:val="bottom"/>
          </w:tcPr>
          <w:p w:rsidR="00000000" w:rsidRDefault="00000000">
            <w:pPr>
              <w:spacing w:before="60" w:after="60"/>
              <w:jc w:val="right"/>
              <w:rPr>
                <w:sz w:val="20"/>
              </w:rPr>
            </w:pPr>
            <w:r>
              <w:rPr>
                <w:sz w:val="20"/>
              </w:rPr>
              <w:t>79 642</w:t>
            </w:r>
          </w:p>
        </w:tc>
        <w:tc>
          <w:tcPr>
            <w:tcW w:w="1233" w:type="dxa"/>
            <w:vAlign w:val="bottom"/>
          </w:tcPr>
          <w:p w:rsidR="00000000" w:rsidRDefault="00000000">
            <w:pPr>
              <w:spacing w:before="60" w:after="60"/>
              <w:jc w:val="right"/>
              <w:rPr>
                <w:sz w:val="20"/>
              </w:rPr>
            </w:pPr>
            <w:r>
              <w:rPr>
                <w:sz w:val="20"/>
              </w:rPr>
              <w:t>4,5</w:t>
            </w:r>
          </w:p>
        </w:tc>
      </w:tr>
      <w:tr w:rsidR="00000000">
        <w:tblPrEx>
          <w:tblCellMar>
            <w:top w:w="0" w:type="dxa"/>
            <w:bottom w:w="0" w:type="dxa"/>
          </w:tblCellMar>
        </w:tblPrEx>
        <w:tc>
          <w:tcPr>
            <w:tcW w:w="1630" w:type="dxa"/>
          </w:tcPr>
          <w:p w:rsidR="00000000" w:rsidRDefault="00000000">
            <w:pPr>
              <w:spacing w:before="60" w:after="60"/>
              <w:rPr>
                <w:sz w:val="20"/>
                <w:lang w:val="nl-NL"/>
              </w:rPr>
            </w:pPr>
            <w:r>
              <w:rPr>
                <w:sz w:val="20"/>
                <w:lang w:val="nl-NL"/>
              </w:rPr>
              <w:t>O. de Karaganda</w:t>
            </w:r>
          </w:p>
        </w:tc>
        <w:tc>
          <w:tcPr>
            <w:tcW w:w="1260" w:type="dxa"/>
            <w:vAlign w:val="bottom"/>
          </w:tcPr>
          <w:p w:rsidR="00000000" w:rsidRDefault="00000000">
            <w:pPr>
              <w:spacing w:before="60" w:after="60"/>
              <w:jc w:val="right"/>
              <w:rPr>
                <w:sz w:val="20"/>
                <w:lang w:val="nl-NL"/>
              </w:rPr>
            </w:pPr>
            <w:r>
              <w:rPr>
                <w:sz w:val="20"/>
                <w:lang w:val="nl-NL"/>
              </w:rPr>
              <w:t>369 759</w:t>
            </w:r>
          </w:p>
        </w:tc>
        <w:tc>
          <w:tcPr>
            <w:tcW w:w="1260" w:type="dxa"/>
            <w:vAlign w:val="bottom"/>
          </w:tcPr>
          <w:p w:rsidR="00000000" w:rsidRDefault="00000000">
            <w:pPr>
              <w:spacing w:before="60" w:after="60"/>
              <w:jc w:val="right"/>
              <w:rPr>
                <w:sz w:val="20"/>
                <w:lang w:val="nl-NL"/>
              </w:rPr>
            </w:pPr>
            <w:r>
              <w:rPr>
                <w:sz w:val="20"/>
                <w:lang w:val="nl-NL"/>
              </w:rPr>
              <w:t>3,5</w:t>
            </w:r>
          </w:p>
        </w:tc>
        <w:tc>
          <w:tcPr>
            <w:tcW w:w="1440" w:type="dxa"/>
            <w:vAlign w:val="bottom"/>
          </w:tcPr>
          <w:p w:rsidR="00000000" w:rsidRDefault="00000000">
            <w:pPr>
              <w:spacing w:before="60" w:after="60"/>
              <w:jc w:val="right"/>
              <w:rPr>
                <w:sz w:val="20"/>
                <w:lang w:val="nl-NL"/>
              </w:rPr>
            </w:pPr>
            <w:r>
              <w:rPr>
                <w:sz w:val="20"/>
                <w:lang w:val="nl-NL"/>
              </w:rPr>
              <w:t>315 109</w:t>
            </w:r>
          </w:p>
        </w:tc>
        <w:tc>
          <w:tcPr>
            <w:tcW w:w="1440" w:type="dxa"/>
            <w:vAlign w:val="bottom"/>
          </w:tcPr>
          <w:p w:rsidR="00000000" w:rsidRDefault="00000000">
            <w:pPr>
              <w:spacing w:before="60" w:after="60"/>
              <w:jc w:val="right"/>
              <w:rPr>
                <w:sz w:val="20"/>
                <w:lang w:val="nl-NL"/>
              </w:rPr>
            </w:pPr>
            <w:r>
              <w:rPr>
                <w:sz w:val="20"/>
                <w:lang w:val="nl-NL"/>
              </w:rPr>
              <w:t>3,3</w:t>
            </w:r>
          </w:p>
        </w:tc>
        <w:tc>
          <w:tcPr>
            <w:tcW w:w="1232" w:type="dxa"/>
            <w:vAlign w:val="bottom"/>
          </w:tcPr>
          <w:p w:rsidR="00000000" w:rsidRDefault="00000000">
            <w:pPr>
              <w:spacing w:before="60" w:after="60"/>
              <w:jc w:val="right"/>
              <w:rPr>
                <w:sz w:val="20"/>
                <w:lang w:val="nl-NL"/>
              </w:rPr>
            </w:pPr>
            <w:r>
              <w:rPr>
                <w:sz w:val="20"/>
                <w:lang w:val="nl-NL"/>
              </w:rPr>
              <w:t>54 650</w:t>
            </w:r>
          </w:p>
        </w:tc>
        <w:tc>
          <w:tcPr>
            <w:tcW w:w="1233" w:type="dxa"/>
            <w:vAlign w:val="bottom"/>
          </w:tcPr>
          <w:p w:rsidR="00000000" w:rsidRDefault="00000000">
            <w:pPr>
              <w:spacing w:before="60" w:after="60"/>
              <w:jc w:val="right"/>
              <w:rPr>
                <w:sz w:val="20"/>
                <w:lang w:val="nl-NL"/>
              </w:rPr>
            </w:pPr>
            <w:r>
              <w:rPr>
                <w:sz w:val="20"/>
                <w:lang w:val="nl-NL"/>
              </w:rPr>
              <w:t>4,4</w:t>
            </w:r>
          </w:p>
        </w:tc>
      </w:tr>
      <w:tr w:rsidR="00000000">
        <w:tblPrEx>
          <w:tblCellMar>
            <w:top w:w="0" w:type="dxa"/>
            <w:bottom w:w="0" w:type="dxa"/>
          </w:tblCellMar>
        </w:tblPrEx>
        <w:tc>
          <w:tcPr>
            <w:tcW w:w="1630" w:type="dxa"/>
          </w:tcPr>
          <w:p w:rsidR="00000000" w:rsidRDefault="00000000">
            <w:pPr>
              <w:spacing w:before="60" w:after="60"/>
              <w:rPr>
                <w:sz w:val="20"/>
                <w:lang w:val="nl-NL"/>
              </w:rPr>
            </w:pPr>
            <w:r>
              <w:rPr>
                <w:sz w:val="20"/>
                <w:lang w:val="nl-NL"/>
              </w:rPr>
              <w:t>O. de Kostanai</w:t>
            </w:r>
          </w:p>
        </w:tc>
        <w:tc>
          <w:tcPr>
            <w:tcW w:w="1260" w:type="dxa"/>
            <w:vAlign w:val="bottom"/>
          </w:tcPr>
          <w:p w:rsidR="00000000" w:rsidRDefault="00000000">
            <w:pPr>
              <w:spacing w:before="60" w:after="60"/>
              <w:jc w:val="right"/>
              <w:rPr>
                <w:sz w:val="20"/>
                <w:lang w:val="nl-NL"/>
              </w:rPr>
            </w:pPr>
            <w:r>
              <w:rPr>
                <w:sz w:val="20"/>
                <w:lang w:val="nl-NL"/>
              </w:rPr>
              <w:t>272 328</w:t>
            </w:r>
          </w:p>
        </w:tc>
        <w:tc>
          <w:tcPr>
            <w:tcW w:w="1260" w:type="dxa"/>
            <w:vAlign w:val="bottom"/>
          </w:tcPr>
          <w:p w:rsidR="00000000" w:rsidRDefault="00000000">
            <w:pPr>
              <w:spacing w:before="60" w:after="60"/>
              <w:jc w:val="right"/>
              <w:rPr>
                <w:sz w:val="20"/>
                <w:lang w:val="nl-NL"/>
              </w:rPr>
            </w:pPr>
            <w:r>
              <w:rPr>
                <w:sz w:val="20"/>
                <w:lang w:val="nl-NL"/>
              </w:rPr>
              <w:t>3,4</w:t>
            </w:r>
          </w:p>
        </w:tc>
        <w:tc>
          <w:tcPr>
            <w:tcW w:w="1440" w:type="dxa"/>
            <w:vAlign w:val="bottom"/>
          </w:tcPr>
          <w:p w:rsidR="00000000" w:rsidRDefault="00000000">
            <w:pPr>
              <w:spacing w:before="60" w:after="60"/>
              <w:jc w:val="right"/>
              <w:rPr>
                <w:sz w:val="20"/>
                <w:lang w:val="nl-NL"/>
              </w:rPr>
            </w:pPr>
            <w:r>
              <w:rPr>
                <w:sz w:val="20"/>
                <w:lang w:val="nl-NL"/>
              </w:rPr>
              <w:t>155 770</w:t>
            </w:r>
          </w:p>
        </w:tc>
        <w:tc>
          <w:tcPr>
            <w:tcW w:w="1440" w:type="dxa"/>
            <w:vAlign w:val="bottom"/>
          </w:tcPr>
          <w:p w:rsidR="00000000" w:rsidRDefault="00000000">
            <w:pPr>
              <w:spacing w:before="60" w:after="60"/>
              <w:jc w:val="right"/>
              <w:rPr>
                <w:sz w:val="20"/>
                <w:lang w:val="nl-NL"/>
              </w:rPr>
            </w:pPr>
            <w:r>
              <w:rPr>
                <w:sz w:val="20"/>
                <w:lang w:val="nl-NL"/>
              </w:rPr>
              <w:t>3,2</w:t>
            </w:r>
          </w:p>
        </w:tc>
        <w:tc>
          <w:tcPr>
            <w:tcW w:w="1232" w:type="dxa"/>
            <w:vAlign w:val="bottom"/>
          </w:tcPr>
          <w:p w:rsidR="00000000" w:rsidRDefault="00000000">
            <w:pPr>
              <w:spacing w:before="60" w:after="60"/>
              <w:jc w:val="right"/>
              <w:rPr>
                <w:sz w:val="20"/>
                <w:lang w:val="nl-NL"/>
              </w:rPr>
            </w:pPr>
            <w:r>
              <w:rPr>
                <w:sz w:val="20"/>
                <w:lang w:val="nl-NL"/>
              </w:rPr>
              <w:t>116 558</w:t>
            </w:r>
          </w:p>
        </w:tc>
        <w:tc>
          <w:tcPr>
            <w:tcW w:w="1233" w:type="dxa"/>
            <w:vAlign w:val="bottom"/>
          </w:tcPr>
          <w:p w:rsidR="00000000" w:rsidRDefault="00000000">
            <w:pPr>
              <w:spacing w:before="60" w:after="60"/>
              <w:jc w:val="right"/>
              <w:rPr>
                <w:sz w:val="20"/>
                <w:lang w:val="nl-NL"/>
              </w:rPr>
            </w:pPr>
            <w:r>
              <w:rPr>
                <w:sz w:val="20"/>
                <w:lang w:val="nl-NL"/>
              </w:rPr>
              <w:t>3,8</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de Kyzyl</w:t>
            </w:r>
            <w:r>
              <w:rPr>
                <w:sz w:val="20"/>
              </w:rPr>
              <w:noBreakHyphen/>
              <w:t>orda</w:t>
            </w:r>
          </w:p>
        </w:tc>
        <w:tc>
          <w:tcPr>
            <w:tcW w:w="1260" w:type="dxa"/>
            <w:vAlign w:val="bottom"/>
          </w:tcPr>
          <w:p w:rsidR="00000000" w:rsidRDefault="00000000">
            <w:pPr>
              <w:spacing w:before="60" w:after="60"/>
              <w:jc w:val="right"/>
              <w:rPr>
                <w:sz w:val="20"/>
              </w:rPr>
            </w:pPr>
            <w:r>
              <w:rPr>
                <w:sz w:val="20"/>
              </w:rPr>
              <w:t>109 896</w:t>
            </w:r>
          </w:p>
        </w:tc>
        <w:tc>
          <w:tcPr>
            <w:tcW w:w="1260" w:type="dxa"/>
            <w:vAlign w:val="bottom"/>
          </w:tcPr>
          <w:p w:rsidR="00000000" w:rsidRDefault="00000000">
            <w:pPr>
              <w:spacing w:before="60" w:after="60"/>
              <w:jc w:val="right"/>
              <w:rPr>
                <w:sz w:val="20"/>
              </w:rPr>
            </w:pPr>
            <w:r>
              <w:rPr>
                <w:sz w:val="20"/>
              </w:rPr>
              <w:t>5,3</w:t>
            </w:r>
          </w:p>
        </w:tc>
        <w:tc>
          <w:tcPr>
            <w:tcW w:w="1440" w:type="dxa"/>
            <w:vAlign w:val="bottom"/>
          </w:tcPr>
          <w:p w:rsidR="00000000" w:rsidRDefault="00000000">
            <w:pPr>
              <w:spacing w:before="60" w:after="60"/>
              <w:jc w:val="right"/>
              <w:rPr>
                <w:sz w:val="20"/>
              </w:rPr>
            </w:pPr>
            <w:r>
              <w:rPr>
                <w:sz w:val="20"/>
              </w:rPr>
              <w:t>70 686</w:t>
            </w:r>
          </w:p>
        </w:tc>
        <w:tc>
          <w:tcPr>
            <w:tcW w:w="1440" w:type="dxa"/>
            <w:vAlign w:val="bottom"/>
          </w:tcPr>
          <w:p w:rsidR="00000000" w:rsidRDefault="00000000">
            <w:pPr>
              <w:spacing w:before="60" w:after="60"/>
              <w:jc w:val="right"/>
              <w:rPr>
                <w:sz w:val="20"/>
              </w:rPr>
            </w:pPr>
            <w:r>
              <w:rPr>
                <w:sz w:val="20"/>
              </w:rPr>
              <w:t>5,0</w:t>
            </w:r>
          </w:p>
        </w:tc>
        <w:tc>
          <w:tcPr>
            <w:tcW w:w="1232" w:type="dxa"/>
            <w:vAlign w:val="bottom"/>
          </w:tcPr>
          <w:p w:rsidR="00000000" w:rsidRDefault="00000000">
            <w:pPr>
              <w:spacing w:before="60" w:after="60"/>
              <w:jc w:val="right"/>
              <w:rPr>
                <w:sz w:val="20"/>
              </w:rPr>
            </w:pPr>
            <w:r>
              <w:rPr>
                <w:sz w:val="20"/>
              </w:rPr>
              <w:t>39 210</w:t>
            </w:r>
          </w:p>
        </w:tc>
        <w:tc>
          <w:tcPr>
            <w:tcW w:w="1233" w:type="dxa"/>
            <w:vAlign w:val="bottom"/>
          </w:tcPr>
          <w:p w:rsidR="00000000" w:rsidRDefault="00000000">
            <w:pPr>
              <w:spacing w:before="60" w:after="60"/>
              <w:jc w:val="right"/>
              <w:rPr>
                <w:sz w:val="20"/>
              </w:rPr>
            </w:pPr>
            <w:r>
              <w:rPr>
                <w:sz w:val="20"/>
              </w:rPr>
              <w:t>5,9</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de Mangistau</w:t>
            </w:r>
          </w:p>
        </w:tc>
        <w:tc>
          <w:tcPr>
            <w:tcW w:w="1260" w:type="dxa"/>
            <w:vAlign w:val="bottom"/>
          </w:tcPr>
          <w:p w:rsidR="00000000" w:rsidRDefault="00000000">
            <w:pPr>
              <w:spacing w:before="60" w:after="60"/>
              <w:jc w:val="right"/>
              <w:rPr>
                <w:sz w:val="20"/>
              </w:rPr>
            </w:pPr>
            <w:r>
              <w:rPr>
                <w:sz w:val="20"/>
              </w:rPr>
              <w:t>67 465</w:t>
            </w:r>
          </w:p>
        </w:tc>
        <w:tc>
          <w:tcPr>
            <w:tcW w:w="1260" w:type="dxa"/>
            <w:vAlign w:val="bottom"/>
          </w:tcPr>
          <w:p w:rsidR="00000000" w:rsidRDefault="00000000">
            <w:pPr>
              <w:spacing w:before="60" w:after="60"/>
              <w:jc w:val="right"/>
              <w:rPr>
                <w:sz w:val="20"/>
              </w:rPr>
            </w:pPr>
            <w:r>
              <w:rPr>
                <w:sz w:val="20"/>
              </w:rPr>
              <w:t>4,4</w:t>
            </w:r>
          </w:p>
        </w:tc>
        <w:tc>
          <w:tcPr>
            <w:tcW w:w="1440" w:type="dxa"/>
            <w:vAlign w:val="bottom"/>
          </w:tcPr>
          <w:p w:rsidR="00000000" w:rsidRDefault="00000000">
            <w:pPr>
              <w:spacing w:before="60" w:after="60"/>
              <w:jc w:val="right"/>
              <w:rPr>
                <w:sz w:val="20"/>
              </w:rPr>
            </w:pPr>
            <w:r>
              <w:rPr>
                <w:sz w:val="20"/>
              </w:rPr>
              <w:t>56 299</w:t>
            </w:r>
          </w:p>
        </w:tc>
        <w:tc>
          <w:tcPr>
            <w:tcW w:w="1440" w:type="dxa"/>
            <w:vAlign w:val="bottom"/>
          </w:tcPr>
          <w:p w:rsidR="00000000" w:rsidRDefault="00000000">
            <w:pPr>
              <w:spacing w:before="60" w:after="60"/>
              <w:jc w:val="right"/>
              <w:rPr>
                <w:sz w:val="20"/>
              </w:rPr>
            </w:pPr>
            <w:r>
              <w:rPr>
                <w:sz w:val="20"/>
              </w:rPr>
              <w:t>4,1</w:t>
            </w:r>
          </w:p>
        </w:tc>
        <w:tc>
          <w:tcPr>
            <w:tcW w:w="1232" w:type="dxa"/>
            <w:vAlign w:val="bottom"/>
          </w:tcPr>
          <w:p w:rsidR="00000000" w:rsidRDefault="00000000">
            <w:pPr>
              <w:spacing w:before="60" w:after="60"/>
              <w:jc w:val="right"/>
              <w:rPr>
                <w:sz w:val="20"/>
              </w:rPr>
            </w:pPr>
            <w:r>
              <w:rPr>
                <w:sz w:val="20"/>
              </w:rPr>
              <w:t>11 166</w:t>
            </w:r>
          </w:p>
        </w:tc>
        <w:tc>
          <w:tcPr>
            <w:tcW w:w="1233" w:type="dxa"/>
            <w:vAlign w:val="bottom"/>
          </w:tcPr>
          <w:p w:rsidR="00000000" w:rsidRDefault="00000000">
            <w:pPr>
              <w:spacing w:before="60" w:after="60"/>
              <w:jc w:val="right"/>
              <w:rPr>
                <w:sz w:val="20"/>
              </w:rPr>
            </w:pPr>
            <w:r>
              <w:rPr>
                <w:sz w:val="20"/>
              </w:rPr>
              <w:t>6,0</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de Pavlodar</w:t>
            </w:r>
          </w:p>
        </w:tc>
        <w:tc>
          <w:tcPr>
            <w:tcW w:w="1260" w:type="dxa"/>
            <w:vAlign w:val="bottom"/>
          </w:tcPr>
          <w:p w:rsidR="00000000" w:rsidRDefault="00000000">
            <w:pPr>
              <w:spacing w:before="60" w:after="60"/>
              <w:jc w:val="right"/>
              <w:rPr>
                <w:sz w:val="20"/>
              </w:rPr>
            </w:pPr>
            <w:r>
              <w:rPr>
                <w:sz w:val="20"/>
              </w:rPr>
              <w:t>211 845</w:t>
            </w:r>
          </w:p>
        </w:tc>
        <w:tc>
          <w:tcPr>
            <w:tcW w:w="1260" w:type="dxa"/>
            <w:vAlign w:val="bottom"/>
          </w:tcPr>
          <w:p w:rsidR="00000000" w:rsidRDefault="00000000">
            <w:pPr>
              <w:spacing w:before="60" w:after="60"/>
              <w:jc w:val="right"/>
              <w:rPr>
                <w:sz w:val="20"/>
              </w:rPr>
            </w:pPr>
            <w:r>
              <w:rPr>
                <w:sz w:val="20"/>
              </w:rPr>
              <w:t>3,5</w:t>
            </w:r>
          </w:p>
        </w:tc>
        <w:tc>
          <w:tcPr>
            <w:tcW w:w="1440" w:type="dxa"/>
            <w:vAlign w:val="bottom"/>
          </w:tcPr>
          <w:p w:rsidR="00000000" w:rsidRDefault="00000000">
            <w:pPr>
              <w:spacing w:before="60" w:after="60"/>
              <w:jc w:val="right"/>
              <w:rPr>
                <w:sz w:val="20"/>
              </w:rPr>
            </w:pPr>
            <w:r>
              <w:rPr>
                <w:sz w:val="20"/>
              </w:rPr>
              <w:t>140 910</w:t>
            </w:r>
          </w:p>
        </w:tc>
        <w:tc>
          <w:tcPr>
            <w:tcW w:w="1440" w:type="dxa"/>
            <w:vAlign w:val="bottom"/>
          </w:tcPr>
          <w:p w:rsidR="00000000" w:rsidRDefault="00000000">
            <w:pPr>
              <w:spacing w:before="60" w:after="60"/>
              <w:jc w:val="right"/>
              <w:rPr>
                <w:sz w:val="20"/>
              </w:rPr>
            </w:pPr>
            <w:r>
              <w:rPr>
                <w:sz w:val="20"/>
              </w:rPr>
              <w:t>3,3</w:t>
            </w:r>
          </w:p>
        </w:tc>
        <w:tc>
          <w:tcPr>
            <w:tcW w:w="1232" w:type="dxa"/>
            <w:vAlign w:val="bottom"/>
          </w:tcPr>
          <w:p w:rsidR="00000000" w:rsidRDefault="00000000">
            <w:pPr>
              <w:spacing w:before="60" w:after="60"/>
              <w:jc w:val="right"/>
              <w:rPr>
                <w:sz w:val="20"/>
              </w:rPr>
            </w:pPr>
            <w:r>
              <w:rPr>
                <w:sz w:val="20"/>
              </w:rPr>
              <w:t>70 935</w:t>
            </w:r>
          </w:p>
        </w:tc>
        <w:tc>
          <w:tcPr>
            <w:tcW w:w="1233" w:type="dxa"/>
            <w:vAlign w:val="bottom"/>
          </w:tcPr>
          <w:p w:rsidR="00000000" w:rsidRDefault="00000000">
            <w:pPr>
              <w:spacing w:before="60" w:after="60"/>
              <w:jc w:val="right"/>
              <w:rPr>
                <w:sz w:val="20"/>
              </w:rPr>
            </w:pPr>
            <w:r>
              <w:rPr>
                <w:sz w:val="20"/>
              </w:rPr>
              <w:t>4,0</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du Kazakhstan du nord</w:t>
            </w:r>
          </w:p>
        </w:tc>
        <w:tc>
          <w:tcPr>
            <w:tcW w:w="1260" w:type="dxa"/>
            <w:vAlign w:val="bottom"/>
          </w:tcPr>
          <w:p w:rsidR="00000000" w:rsidRDefault="00000000">
            <w:pPr>
              <w:spacing w:before="60" w:after="60"/>
              <w:jc w:val="right"/>
              <w:rPr>
                <w:sz w:val="20"/>
              </w:rPr>
            </w:pPr>
            <w:r>
              <w:rPr>
                <w:sz w:val="20"/>
              </w:rPr>
              <w:t>192 895</w:t>
            </w:r>
          </w:p>
        </w:tc>
        <w:tc>
          <w:tcPr>
            <w:tcW w:w="1260" w:type="dxa"/>
            <w:vAlign w:val="bottom"/>
          </w:tcPr>
          <w:p w:rsidR="00000000" w:rsidRDefault="00000000">
            <w:pPr>
              <w:spacing w:before="60" w:after="60"/>
              <w:jc w:val="right"/>
              <w:rPr>
                <w:sz w:val="20"/>
              </w:rPr>
            </w:pPr>
            <w:r>
              <w:rPr>
                <w:sz w:val="20"/>
              </w:rPr>
              <w:t>3,5</w:t>
            </w:r>
          </w:p>
        </w:tc>
        <w:tc>
          <w:tcPr>
            <w:tcW w:w="1440" w:type="dxa"/>
            <w:vAlign w:val="bottom"/>
          </w:tcPr>
          <w:p w:rsidR="00000000" w:rsidRDefault="00000000">
            <w:pPr>
              <w:spacing w:before="60" w:after="60"/>
              <w:jc w:val="right"/>
              <w:rPr>
                <w:sz w:val="20"/>
              </w:rPr>
            </w:pPr>
            <w:r>
              <w:rPr>
                <w:sz w:val="20"/>
              </w:rPr>
              <w:t>77 452</w:t>
            </w:r>
          </w:p>
        </w:tc>
        <w:tc>
          <w:tcPr>
            <w:tcW w:w="1440" w:type="dxa"/>
            <w:vAlign w:val="bottom"/>
          </w:tcPr>
          <w:p w:rsidR="00000000" w:rsidRDefault="00000000">
            <w:pPr>
              <w:spacing w:before="60" w:after="60"/>
              <w:jc w:val="right"/>
              <w:rPr>
                <w:sz w:val="20"/>
              </w:rPr>
            </w:pPr>
            <w:r>
              <w:rPr>
                <w:sz w:val="20"/>
              </w:rPr>
              <w:t>3,2</w:t>
            </w:r>
          </w:p>
        </w:tc>
        <w:tc>
          <w:tcPr>
            <w:tcW w:w="1232" w:type="dxa"/>
            <w:vAlign w:val="bottom"/>
          </w:tcPr>
          <w:p w:rsidR="00000000" w:rsidRDefault="00000000">
            <w:pPr>
              <w:spacing w:before="60" w:after="60"/>
              <w:jc w:val="right"/>
              <w:rPr>
                <w:sz w:val="20"/>
              </w:rPr>
            </w:pPr>
            <w:r>
              <w:rPr>
                <w:sz w:val="20"/>
              </w:rPr>
              <w:t>115 443</w:t>
            </w:r>
          </w:p>
        </w:tc>
        <w:tc>
          <w:tcPr>
            <w:tcW w:w="1233" w:type="dxa"/>
            <w:vAlign w:val="bottom"/>
          </w:tcPr>
          <w:p w:rsidR="00000000" w:rsidRDefault="00000000">
            <w:pPr>
              <w:spacing w:before="60" w:after="60"/>
              <w:jc w:val="right"/>
              <w:rPr>
                <w:sz w:val="20"/>
              </w:rPr>
            </w:pPr>
            <w:r>
              <w:rPr>
                <w:sz w:val="20"/>
              </w:rPr>
              <w:t>3,7</w:t>
            </w:r>
          </w:p>
        </w:tc>
      </w:tr>
      <w:tr w:rsidR="00000000">
        <w:tblPrEx>
          <w:tblCellMar>
            <w:top w:w="0" w:type="dxa"/>
            <w:bottom w:w="0" w:type="dxa"/>
          </w:tblCellMar>
        </w:tblPrEx>
        <w:tc>
          <w:tcPr>
            <w:tcW w:w="1630" w:type="dxa"/>
          </w:tcPr>
          <w:p w:rsidR="00000000" w:rsidRDefault="00000000">
            <w:pPr>
              <w:spacing w:before="60" w:after="60"/>
              <w:rPr>
                <w:sz w:val="20"/>
              </w:rPr>
            </w:pPr>
            <w:r>
              <w:rPr>
                <w:sz w:val="20"/>
              </w:rPr>
              <w:t>O. du Kazakhstan du sud</w:t>
            </w:r>
          </w:p>
        </w:tc>
        <w:tc>
          <w:tcPr>
            <w:tcW w:w="1260" w:type="dxa"/>
            <w:vAlign w:val="bottom"/>
          </w:tcPr>
          <w:p w:rsidR="00000000" w:rsidRDefault="00000000">
            <w:pPr>
              <w:spacing w:before="60" w:after="60"/>
              <w:jc w:val="right"/>
              <w:rPr>
                <w:sz w:val="20"/>
              </w:rPr>
            </w:pPr>
            <w:r>
              <w:rPr>
                <w:sz w:val="20"/>
              </w:rPr>
              <w:t>370 473</w:t>
            </w:r>
          </w:p>
        </w:tc>
        <w:tc>
          <w:tcPr>
            <w:tcW w:w="1260" w:type="dxa"/>
            <w:vAlign w:val="bottom"/>
          </w:tcPr>
          <w:p w:rsidR="00000000" w:rsidRDefault="00000000">
            <w:pPr>
              <w:spacing w:before="60" w:after="60"/>
              <w:jc w:val="right"/>
              <w:rPr>
                <w:sz w:val="20"/>
              </w:rPr>
            </w:pPr>
            <w:r>
              <w:rPr>
                <w:sz w:val="20"/>
              </w:rPr>
              <w:t>5,2</w:t>
            </w:r>
          </w:p>
        </w:tc>
        <w:tc>
          <w:tcPr>
            <w:tcW w:w="1440" w:type="dxa"/>
            <w:vAlign w:val="bottom"/>
          </w:tcPr>
          <w:p w:rsidR="00000000" w:rsidRDefault="00000000">
            <w:pPr>
              <w:spacing w:before="60" w:after="60"/>
              <w:jc w:val="right"/>
              <w:rPr>
                <w:sz w:val="20"/>
              </w:rPr>
            </w:pPr>
            <w:r>
              <w:rPr>
                <w:sz w:val="20"/>
              </w:rPr>
              <w:t>158 345</w:t>
            </w:r>
          </w:p>
        </w:tc>
        <w:tc>
          <w:tcPr>
            <w:tcW w:w="1440" w:type="dxa"/>
            <w:vAlign w:val="bottom"/>
          </w:tcPr>
          <w:p w:rsidR="00000000" w:rsidRDefault="00000000">
            <w:pPr>
              <w:spacing w:before="60" w:after="60"/>
              <w:jc w:val="right"/>
              <w:rPr>
                <w:sz w:val="20"/>
              </w:rPr>
            </w:pPr>
            <w:r>
              <w:rPr>
                <w:sz w:val="20"/>
              </w:rPr>
              <w:t>4,3</w:t>
            </w:r>
          </w:p>
        </w:tc>
        <w:tc>
          <w:tcPr>
            <w:tcW w:w="1232" w:type="dxa"/>
            <w:vAlign w:val="bottom"/>
          </w:tcPr>
          <w:p w:rsidR="00000000" w:rsidRDefault="00000000">
            <w:pPr>
              <w:spacing w:before="60" w:after="60"/>
              <w:jc w:val="right"/>
              <w:rPr>
                <w:sz w:val="20"/>
              </w:rPr>
            </w:pPr>
            <w:r>
              <w:rPr>
                <w:sz w:val="20"/>
              </w:rPr>
              <w:t>212 128</w:t>
            </w:r>
          </w:p>
        </w:tc>
        <w:tc>
          <w:tcPr>
            <w:tcW w:w="1233" w:type="dxa"/>
            <w:vAlign w:val="bottom"/>
          </w:tcPr>
          <w:p w:rsidR="00000000" w:rsidRDefault="00000000">
            <w:pPr>
              <w:spacing w:before="60" w:after="60"/>
              <w:jc w:val="right"/>
              <w:rPr>
                <w:sz w:val="20"/>
              </w:rPr>
            </w:pPr>
            <w:r>
              <w:rPr>
                <w:sz w:val="20"/>
              </w:rPr>
              <w:t>5,8</w:t>
            </w:r>
          </w:p>
        </w:tc>
      </w:tr>
      <w:tr w:rsidR="00000000">
        <w:tblPrEx>
          <w:tblCellMar>
            <w:top w:w="0" w:type="dxa"/>
            <w:bottom w:w="0" w:type="dxa"/>
          </w:tblCellMar>
        </w:tblPrEx>
        <w:tc>
          <w:tcPr>
            <w:tcW w:w="1630" w:type="dxa"/>
          </w:tcPr>
          <w:p w:rsidR="00000000" w:rsidRDefault="00000000">
            <w:pPr>
              <w:spacing w:before="60" w:after="60"/>
              <w:rPr>
                <w:sz w:val="20"/>
              </w:rPr>
            </w:pPr>
            <w:r>
              <w:rPr>
                <w:sz w:val="20"/>
              </w:rPr>
              <w:t>Ville d’Almaty</w:t>
            </w:r>
          </w:p>
        </w:tc>
        <w:tc>
          <w:tcPr>
            <w:tcW w:w="1260" w:type="dxa"/>
            <w:vAlign w:val="bottom"/>
          </w:tcPr>
          <w:p w:rsidR="00000000" w:rsidRDefault="00000000">
            <w:pPr>
              <w:spacing w:before="60" w:after="60"/>
              <w:jc w:val="right"/>
              <w:rPr>
                <w:sz w:val="20"/>
              </w:rPr>
            </w:pPr>
            <w:r>
              <w:rPr>
                <w:sz w:val="20"/>
              </w:rPr>
              <w:t>79 491</w:t>
            </w:r>
          </w:p>
        </w:tc>
        <w:tc>
          <w:tcPr>
            <w:tcW w:w="1260" w:type="dxa"/>
            <w:vAlign w:val="bottom"/>
          </w:tcPr>
          <w:p w:rsidR="00000000" w:rsidRDefault="00000000">
            <w:pPr>
              <w:spacing w:before="60" w:after="60"/>
              <w:jc w:val="right"/>
              <w:rPr>
                <w:sz w:val="20"/>
              </w:rPr>
            </w:pPr>
            <w:r>
              <w:rPr>
                <w:sz w:val="20"/>
              </w:rPr>
              <w:t>3,7</w:t>
            </w:r>
          </w:p>
        </w:tc>
        <w:tc>
          <w:tcPr>
            <w:tcW w:w="1440" w:type="dxa"/>
            <w:vAlign w:val="bottom"/>
          </w:tcPr>
          <w:p w:rsidR="00000000" w:rsidRDefault="00000000">
            <w:pPr>
              <w:spacing w:before="60" w:after="60"/>
              <w:jc w:val="right"/>
              <w:rPr>
                <w:sz w:val="20"/>
              </w:rPr>
            </w:pPr>
            <w:r>
              <w:rPr>
                <w:sz w:val="20"/>
              </w:rPr>
              <w:t>79 491</w:t>
            </w:r>
          </w:p>
        </w:tc>
        <w:tc>
          <w:tcPr>
            <w:tcW w:w="1440" w:type="dxa"/>
            <w:vAlign w:val="bottom"/>
          </w:tcPr>
          <w:p w:rsidR="00000000" w:rsidRDefault="00000000">
            <w:pPr>
              <w:spacing w:before="60" w:after="60"/>
              <w:jc w:val="right"/>
              <w:rPr>
                <w:sz w:val="20"/>
              </w:rPr>
            </w:pPr>
            <w:r>
              <w:rPr>
                <w:sz w:val="20"/>
              </w:rPr>
              <w:t>3,7</w:t>
            </w:r>
          </w:p>
        </w:tc>
        <w:tc>
          <w:tcPr>
            <w:tcW w:w="1232" w:type="dxa"/>
            <w:vAlign w:val="bottom"/>
          </w:tcPr>
          <w:p w:rsidR="00000000" w:rsidRDefault="00000000">
            <w:pPr>
              <w:spacing w:before="60" w:after="60"/>
              <w:jc w:val="right"/>
              <w:rPr>
                <w:sz w:val="20"/>
              </w:rPr>
            </w:pPr>
            <w:r>
              <w:rPr>
                <w:sz w:val="20"/>
              </w:rPr>
              <w:t>−</w:t>
            </w:r>
          </w:p>
        </w:tc>
        <w:tc>
          <w:tcPr>
            <w:tcW w:w="1233" w:type="dxa"/>
            <w:vAlign w:val="bottom"/>
          </w:tcPr>
          <w:p w:rsidR="00000000" w:rsidRDefault="00000000">
            <w:pPr>
              <w:spacing w:before="60" w:after="60"/>
              <w:jc w:val="right"/>
              <w:rPr>
                <w:sz w:val="20"/>
              </w:rPr>
            </w:pPr>
            <w:r>
              <w:rPr>
                <w:sz w:val="20"/>
              </w:rPr>
              <w:t>−</w:t>
            </w:r>
          </w:p>
        </w:tc>
      </w:tr>
      <w:tr w:rsidR="00000000">
        <w:tblPrEx>
          <w:tblCellMar>
            <w:top w:w="0" w:type="dxa"/>
            <w:bottom w:w="0" w:type="dxa"/>
          </w:tblCellMar>
        </w:tblPrEx>
        <w:tc>
          <w:tcPr>
            <w:tcW w:w="1630" w:type="dxa"/>
          </w:tcPr>
          <w:p w:rsidR="00000000" w:rsidRDefault="00000000">
            <w:pPr>
              <w:spacing w:before="60" w:after="60"/>
              <w:rPr>
                <w:sz w:val="20"/>
              </w:rPr>
            </w:pPr>
            <w:r>
              <w:rPr>
                <w:sz w:val="20"/>
              </w:rPr>
              <w:t>Ville d’Astana</w:t>
            </w:r>
          </w:p>
        </w:tc>
        <w:tc>
          <w:tcPr>
            <w:tcW w:w="1260" w:type="dxa"/>
            <w:vAlign w:val="bottom"/>
          </w:tcPr>
          <w:p w:rsidR="00000000" w:rsidRDefault="00000000">
            <w:pPr>
              <w:spacing w:before="60" w:after="60"/>
              <w:jc w:val="right"/>
              <w:rPr>
                <w:sz w:val="20"/>
              </w:rPr>
            </w:pPr>
            <w:r>
              <w:rPr>
                <w:sz w:val="20"/>
              </w:rPr>
              <w:t>296 152</w:t>
            </w:r>
          </w:p>
        </w:tc>
        <w:tc>
          <w:tcPr>
            <w:tcW w:w="1260" w:type="dxa"/>
            <w:vAlign w:val="bottom"/>
          </w:tcPr>
          <w:p w:rsidR="00000000" w:rsidRDefault="00000000">
            <w:pPr>
              <w:spacing w:before="60" w:after="60"/>
              <w:jc w:val="right"/>
              <w:rPr>
                <w:sz w:val="20"/>
              </w:rPr>
            </w:pPr>
            <w:r>
              <w:rPr>
                <w:sz w:val="20"/>
              </w:rPr>
              <w:t>3,0</w:t>
            </w:r>
          </w:p>
        </w:tc>
        <w:tc>
          <w:tcPr>
            <w:tcW w:w="1440" w:type="dxa"/>
            <w:vAlign w:val="bottom"/>
          </w:tcPr>
          <w:p w:rsidR="00000000" w:rsidRDefault="00000000">
            <w:pPr>
              <w:spacing w:before="60" w:after="60"/>
              <w:jc w:val="right"/>
              <w:rPr>
                <w:sz w:val="20"/>
              </w:rPr>
            </w:pPr>
            <w:r>
              <w:rPr>
                <w:sz w:val="20"/>
              </w:rPr>
              <w:t>296 152</w:t>
            </w:r>
          </w:p>
        </w:tc>
        <w:tc>
          <w:tcPr>
            <w:tcW w:w="1440" w:type="dxa"/>
            <w:vAlign w:val="bottom"/>
          </w:tcPr>
          <w:p w:rsidR="00000000" w:rsidRDefault="00000000">
            <w:pPr>
              <w:spacing w:before="60" w:after="60"/>
              <w:jc w:val="right"/>
              <w:rPr>
                <w:sz w:val="20"/>
              </w:rPr>
            </w:pPr>
            <w:r>
              <w:rPr>
                <w:sz w:val="20"/>
              </w:rPr>
              <w:t>3,0</w:t>
            </w:r>
          </w:p>
        </w:tc>
        <w:tc>
          <w:tcPr>
            <w:tcW w:w="1232" w:type="dxa"/>
            <w:vAlign w:val="bottom"/>
          </w:tcPr>
          <w:p w:rsidR="00000000" w:rsidRDefault="00000000">
            <w:pPr>
              <w:spacing w:before="60" w:after="60"/>
              <w:jc w:val="right"/>
              <w:rPr>
                <w:sz w:val="20"/>
              </w:rPr>
            </w:pPr>
            <w:r>
              <w:rPr>
                <w:sz w:val="20"/>
              </w:rPr>
              <w:t>−</w:t>
            </w:r>
          </w:p>
        </w:tc>
        <w:tc>
          <w:tcPr>
            <w:tcW w:w="1233" w:type="dxa"/>
            <w:vAlign w:val="bottom"/>
          </w:tcPr>
          <w:p w:rsidR="00000000" w:rsidRDefault="00000000">
            <w:pPr>
              <w:spacing w:before="60" w:after="60"/>
              <w:jc w:val="right"/>
              <w:rPr>
                <w:sz w:val="20"/>
              </w:rPr>
            </w:pPr>
            <w:r>
              <w:rPr>
                <w:sz w:val="20"/>
              </w:rPr>
              <w:t>−</w:t>
            </w:r>
          </w:p>
        </w:tc>
      </w:tr>
    </w:tbl>
    <w:p w:rsidR="00000000" w:rsidRDefault="00000000">
      <w:pPr>
        <w:spacing w:before="240" w:after="240"/>
      </w:pPr>
    </w:p>
    <w:p w:rsidR="00000000" w:rsidRDefault="00000000">
      <w:pPr>
        <w:keepNext/>
        <w:spacing w:before="240" w:after="240"/>
        <w:jc w:val="center"/>
        <w:rPr>
          <w:b/>
          <w:bCs/>
        </w:rPr>
      </w:pPr>
      <w:r>
        <w:rPr>
          <w:b/>
          <w:bCs/>
        </w:rPr>
        <w:t>Mariages et divorces</w:t>
      </w:r>
    </w:p>
    <w:p w:rsidR="00000000" w:rsidRDefault="00000000">
      <w:pPr>
        <w:spacing w:after="240"/>
      </w:pPr>
      <w:r>
        <w:t>12.</w:t>
      </w:r>
      <w:r>
        <w:tab/>
        <w:t>Le taux de nuptialité pour 1 000 habitants s’est établi à 5,8 en 1999 et 6,3 en 2001.</w:t>
      </w:r>
    </w:p>
    <w:p w:rsidR="00000000" w:rsidRDefault="00000000">
      <w:pPr>
        <w:keepNext/>
        <w:spacing w:after="240"/>
        <w:jc w:val="center"/>
        <w:rPr>
          <w:b/>
          <w:bCs/>
        </w:rPr>
      </w:pPr>
      <w:r>
        <w:rPr>
          <w:b/>
          <w:bCs/>
        </w:rPr>
        <w:t>Tableau 14</w:t>
      </w:r>
    </w:p>
    <w:p w:rsidR="00000000" w:rsidRDefault="00000000">
      <w:pPr>
        <w:keepNext/>
        <w:spacing w:after="240"/>
        <w:jc w:val="center"/>
        <w:rPr>
          <w:b/>
          <w:bCs/>
        </w:rPr>
      </w:pPr>
      <w:r>
        <w:rPr>
          <w:b/>
          <w:bCs/>
        </w:rPr>
        <w:t>Nombre de mariages et de divorces et taux de nuptialité et de divortialité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5"/>
        <w:gridCol w:w="1356"/>
        <w:gridCol w:w="1356"/>
        <w:gridCol w:w="1357"/>
        <w:gridCol w:w="1357"/>
        <w:gridCol w:w="1357"/>
        <w:gridCol w:w="1357"/>
      </w:tblGrid>
      <w:tr w:rsidR="00000000">
        <w:tblPrEx>
          <w:tblCellMar>
            <w:top w:w="0" w:type="dxa"/>
            <w:bottom w:w="0" w:type="dxa"/>
          </w:tblCellMar>
        </w:tblPrEx>
        <w:trPr>
          <w:cantSplit/>
        </w:trPr>
        <w:tc>
          <w:tcPr>
            <w:tcW w:w="1356" w:type="dxa"/>
            <w:vMerge w:val="restart"/>
          </w:tcPr>
          <w:p w:rsidR="00000000" w:rsidRDefault="00000000">
            <w:pPr>
              <w:spacing w:before="60" w:after="60"/>
            </w:pPr>
          </w:p>
        </w:tc>
        <w:tc>
          <w:tcPr>
            <w:tcW w:w="4069" w:type="dxa"/>
            <w:gridSpan w:val="3"/>
          </w:tcPr>
          <w:p w:rsidR="00000000" w:rsidRDefault="00000000">
            <w:pPr>
              <w:spacing w:before="60" w:after="60"/>
              <w:jc w:val="center"/>
            </w:pPr>
            <w:r>
              <w:t>Nombre</w:t>
            </w:r>
          </w:p>
        </w:tc>
        <w:tc>
          <w:tcPr>
            <w:tcW w:w="4071" w:type="dxa"/>
            <w:gridSpan w:val="3"/>
          </w:tcPr>
          <w:p w:rsidR="00000000" w:rsidRDefault="00000000">
            <w:pPr>
              <w:spacing w:before="60" w:after="60"/>
              <w:jc w:val="center"/>
            </w:pPr>
            <w:r>
              <w:t>Pour 1 000 habitants</w:t>
            </w:r>
          </w:p>
        </w:tc>
      </w:tr>
      <w:tr w:rsidR="00000000">
        <w:tblPrEx>
          <w:tblCellMar>
            <w:top w:w="0" w:type="dxa"/>
            <w:bottom w:w="0" w:type="dxa"/>
          </w:tblCellMar>
        </w:tblPrEx>
        <w:trPr>
          <w:cantSplit/>
        </w:trPr>
        <w:tc>
          <w:tcPr>
            <w:tcW w:w="1356" w:type="dxa"/>
            <w:vMerge/>
          </w:tcPr>
          <w:p w:rsidR="00000000" w:rsidRDefault="00000000">
            <w:pPr>
              <w:spacing w:before="60" w:after="60"/>
            </w:pPr>
          </w:p>
        </w:tc>
        <w:tc>
          <w:tcPr>
            <w:tcW w:w="1356" w:type="dxa"/>
          </w:tcPr>
          <w:p w:rsidR="00000000" w:rsidRDefault="00000000">
            <w:pPr>
              <w:spacing w:before="60" w:after="60"/>
              <w:jc w:val="center"/>
            </w:pPr>
            <w:r>
              <w:t>1999</w:t>
            </w:r>
          </w:p>
        </w:tc>
        <w:tc>
          <w:tcPr>
            <w:tcW w:w="1356" w:type="dxa"/>
          </w:tcPr>
          <w:p w:rsidR="00000000" w:rsidRDefault="00000000">
            <w:pPr>
              <w:spacing w:before="60" w:after="60"/>
              <w:jc w:val="center"/>
            </w:pPr>
            <w:r>
              <w:t>2000</w:t>
            </w:r>
          </w:p>
        </w:tc>
        <w:tc>
          <w:tcPr>
            <w:tcW w:w="1357" w:type="dxa"/>
          </w:tcPr>
          <w:p w:rsidR="00000000" w:rsidRDefault="00000000">
            <w:pPr>
              <w:spacing w:before="60" w:after="60"/>
              <w:jc w:val="center"/>
            </w:pPr>
            <w:r>
              <w:t>2001</w:t>
            </w:r>
          </w:p>
        </w:tc>
        <w:tc>
          <w:tcPr>
            <w:tcW w:w="1357" w:type="dxa"/>
          </w:tcPr>
          <w:p w:rsidR="00000000" w:rsidRDefault="00000000">
            <w:pPr>
              <w:spacing w:before="60" w:after="60"/>
              <w:jc w:val="center"/>
            </w:pPr>
            <w:r>
              <w:t>1999</w:t>
            </w:r>
          </w:p>
        </w:tc>
        <w:tc>
          <w:tcPr>
            <w:tcW w:w="1357" w:type="dxa"/>
          </w:tcPr>
          <w:p w:rsidR="00000000" w:rsidRDefault="00000000">
            <w:pPr>
              <w:spacing w:before="60" w:after="60"/>
              <w:jc w:val="center"/>
            </w:pPr>
            <w:r>
              <w:t>2000</w:t>
            </w:r>
          </w:p>
        </w:tc>
        <w:tc>
          <w:tcPr>
            <w:tcW w:w="1357" w:type="dxa"/>
          </w:tcPr>
          <w:p w:rsidR="00000000" w:rsidRDefault="00000000">
            <w:pPr>
              <w:spacing w:before="60" w:after="60"/>
              <w:jc w:val="center"/>
            </w:pPr>
            <w:r>
              <w:t>2001</w:t>
            </w:r>
          </w:p>
        </w:tc>
      </w:tr>
      <w:tr w:rsidR="00000000">
        <w:tblPrEx>
          <w:tblCellMar>
            <w:top w:w="0" w:type="dxa"/>
            <w:bottom w:w="0" w:type="dxa"/>
          </w:tblCellMar>
        </w:tblPrEx>
        <w:tc>
          <w:tcPr>
            <w:tcW w:w="1356" w:type="dxa"/>
          </w:tcPr>
          <w:p w:rsidR="00000000" w:rsidRDefault="00000000">
            <w:pPr>
              <w:spacing w:before="60" w:after="60"/>
            </w:pPr>
            <w:r>
              <w:t>Mariages</w:t>
            </w:r>
          </w:p>
        </w:tc>
        <w:tc>
          <w:tcPr>
            <w:tcW w:w="1356" w:type="dxa"/>
          </w:tcPr>
          <w:p w:rsidR="00000000" w:rsidRDefault="00000000">
            <w:pPr>
              <w:spacing w:before="60" w:after="60"/>
              <w:jc w:val="right"/>
            </w:pPr>
            <w:r>
              <w:t>85 872</w:t>
            </w:r>
          </w:p>
        </w:tc>
        <w:tc>
          <w:tcPr>
            <w:tcW w:w="1356" w:type="dxa"/>
          </w:tcPr>
          <w:p w:rsidR="00000000" w:rsidRDefault="00000000">
            <w:pPr>
              <w:spacing w:before="60" w:after="60"/>
              <w:jc w:val="right"/>
            </w:pPr>
            <w:r>
              <w:t>90 873</w:t>
            </w:r>
          </w:p>
        </w:tc>
        <w:tc>
          <w:tcPr>
            <w:tcW w:w="1357" w:type="dxa"/>
          </w:tcPr>
          <w:p w:rsidR="00000000" w:rsidRDefault="00000000">
            <w:pPr>
              <w:spacing w:before="60" w:after="60"/>
              <w:jc w:val="right"/>
            </w:pPr>
            <w:r>
              <w:t>92 852</w:t>
            </w:r>
          </w:p>
        </w:tc>
        <w:tc>
          <w:tcPr>
            <w:tcW w:w="1357" w:type="dxa"/>
          </w:tcPr>
          <w:p w:rsidR="00000000" w:rsidRDefault="00000000">
            <w:pPr>
              <w:spacing w:before="60" w:after="60"/>
              <w:jc w:val="right"/>
            </w:pPr>
            <w:r>
              <w:t>5,8</w:t>
            </w:r>
          </w:p>
        </w:tc>
        <w:tc>
          <w:tcPr>
            <w:tcW w:w="1357" w:type="dxa"/>
          </w:tcPr>
          <w:p w:rsidR="00000000" w:rsidRDefault="00000000">
            <w:pPr>
              <w:spacing w:before="60" w:after="60"/>
              <w:jc w:val="right"/>
            </w:pPr>
            <w:r>
              <w:t>6,1</w:t>
            </w:r>
          </w:p>
        </w:tc>
        <w:tc>
          <w:tcPr>
            <w:tcW w:w="1357" w:type="dxa"/>
          </w:tcPr>
          <w:p w:rsidR="00000000" w:rsidRDefault="00000000">
            <w:pPr>
              <w:spacing w:before="60" w:after="60"/>
              <w:jc w:val="right"/>
            </w:pPr>
            <w:r>
              <w:t>6,3</w:t>
            </w:r>
          </w:p>
        </w:tc>
      </w:tr>
      <w:tr w:rsidR="00000000">
        <w:tblPrEx>
          <w:tblCellMar>
            <w:top w:w="0" w:type="dxa"/>
            <w:bottom w:w="0" w:type="dxa"/>
          </w:tblCellMar>
        </w:tblPrEx>
        <w:tc>
          <w:tcPr>
            <w:tcW w:w="1356" w:type="dxa"/>
          </w:tcPr>
          <w:p w:rsidR="00000000" w:rsidRDefault="00000000">
            <w:pPr>
              <w:spacing w:before="60" w:after="60"/>
            </w:pPr>
            <w:r>
              <w:t>Divorces</w:t>
            </w:r>
          </w:p>
        </w:tc>
        <w:tc>
          <w:tcPr>
            <w:tcW w:w="1356" w:type="dxa"/>
          </w:tcPr>
          <w:p w:rsidR="00000000" w:rsidRDefault="00000000">
            <w:pPr>
              <w:spacing w:before="60" w:after="60"/>
              <w:jc w:val="right"/>
            </w:pPr>
            <w:r>
              <w:t>25 583</w:t>
            </w:r>
          </w:p>
        </w:tc>
        <w:tc>
          <w:tcPr>
            <w:tcW w:w="1356" w:type="dxa"/>
          </w:tcPr>
          <w:p w:rsidR="00000000" w:rsidRDefault="00000000">
            <w:pPr>
              <w:spacing w:before="60" w:after="60"/>
              <w:jc w:val="right"/>
            </w:pPr>
            <w:r>
              <w:t>27 391</w:t>
            </w:r>
          </w:p>
        </w:tc>
        <w:tc>
          <w:tcPr>
            <w:tcW w:w="1357" w:type="dxa"/>
          </w:tcPr>
          <w:p w:rsidR="00000000" w:rsidRDefault="00000000">
            <w:pPr>
              <w:spacing w:before="60" w:after="60"/>
              <w:jc w:val="right"/>
            </w:pPr>
            <w:r>
              <w:t>29 599</w:t>
            </w:r>
          </w:p>
        </w:tc>
        <w:tc>
          <w:tcPr>
            <w:tcW w:w="1357" w:type="dxa"/>
          </w:tcPr>
          <w:p w:rsidR="00000000" w:rsidRDefault="00000000">
            <w:pPr>
              <w:spacing w:before="60" w:after="60"/>
              <w:jc w:val="right"/>
            </w:pPr>
            <w:r>
              <w:t>1,7</w:t>
            </w:r>
          </w:p>
        </w:tc>
        <w:tc>
          <w:tcPr>
            <w:tcW w:w="1357" w:type="dxa"/>
          </w:tcPr>
          <w:p w:rsidR="00000000" w:rsidRDefault="00000000">
            <w:pPr>
              <w:spacing w:before="60" w:after="60"/>
              <w:jc w:val="right"/>
            </w:pPr>
            <w:r>
              <w:t>1,8</w:t>
            </w:r>
          </w:p>
        </w:tc>
        <w:tc>
          <w:tcPr>
            <w:tcW w:w="1357" w:type="dxa"/>
          </w:tcPr>
          <w:p w:rsidR="00000000" w:rsidRDefault="00000000">
            <w:pPr>
              <w:spacing w:before="60" w:after="60"/>
              <w:jc w:val="right"/>
            </w:pPr>
            <w:r>
              <w:t>2,0</w:t>
            </w:r>
          </w:p>
        </w:tc>
      </w:tr>
    </w:tbl>
    <w:p w:rsidR="00000000" w:rsidRDefault="00000000">
      <w:pPr>
        <w:keepNext/>
        <w:spacing w:before="240" w:after="240"/>
        <w:jc w:val="center"/>
        <w:rPr>
          <w:b/>
          <w:bCs/>
        </w:rPr>
      </w:pPr>
      <w:r>
        <w:rPr>
          <w:b/>
          <w:bCs/>
        </w:rPr>
        <w:t>Éducation</w:t>
      </w:r>
    </w:p>
    <w:p w:rsidR="00000000" w:rsidRDefault="00000000">
      <w:pPr>
        <w:keepNext/>
        <w:spacing w:after="240"/>
        <w:jc w:val="center"/>
        <w:rPr>
          <w:b/>
          <w:bCs/>
        </w:rPr>
      </w:pPr>
      <w:r>
        <w:rPr>
          <w:b/>
          <w:bCs/>
        </w:rPr>
        <w:t>Tableau 15</w:t>
      </w:r>
    </w:p>
    <w:p w:rsidR="00000000" w:rsidRDefault="00000000">
      <w:pPr>
        <w:keepNext/>
        <w:spacing w:after="240"/>
        <w:jc w:val="center"/>
        <w:rPr>
          <w:b/>
          <w:bCs/>
        </w:rPr>
      </w:pPr>
      <w:r>
        <w:rPr>
          <w:b/>
          <w:bCs/>
        </w:rPr>
        <w:t>Taux d’alphabétisation des personnes âgées de plus de 15 ans</w:t>
      </w:r>
      <w:r>
        <w:rPr>
          <w:b/>
          <w:bCs/>
        </w:rPr>
        <w:br/>
        <w:t>établis par le recensement de 1999</w:t>
      </w:r>
      <w:r>
        <w:rPr>
          <w:b/>
          <w:bCs/>
        </w:rPr>
        <w:br/>
        <w:t>(en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7"/>
        <w:gridCol w:w="938"/>
        <w:gridCol w:w="938"/>
        <w:gridCol w:w="900"/>
        <w:gridCol w:w="938"/>
        <w:gridCol w:w="938"/>
        <w:gridCol w:w="900"/>
        <w:gridCol w:w="938"/>
        <w:gridCol w:w="938"/>
        <w:gridCol w:w="900"/>
      </w:tblGrid>
      <w:tr w:rsidR="00000000">
        <w:tblPrEx>
          <w:tblCellMar>
            <w:top w:w="0" w:type="dxa"/>
            <w:bottom w:w="0" w:type="dxa"/>
          </w:tblCellMar>
        </w:tblPrEx>
        <w:trPr>
          <w:cantSplit/>
          <w:tblHeader/>
        </w:trPr>
        <w:tc>
          <w:tcPr>
            <w:tcW w:w="1168" w:type="dxa"/>
            <w:vMerge w:val="restart"/>
          </w:tcPr>
          <w:p w:rsidR="00000000" w:rsidRDefault="00000000">
            <w:pPr>
              <w:spacing w:before="60" w:after="60"/>
              <w:rPr>
                <w:sz w:val="22"/>
              </w:rPr>
            </w:pPr>
          </w:p>
        </w:tc>
        <w:tc>
          <w:tcPr>
            <w:tcW w:w="2776" w:type="dxa"/>
            <w:gridSpan w:val="3"/>
          </w:tcPr>
          <w:p w:rsidR="00000000" w:rsidRDefault="00000000">
            <w:pPr>
              <w:spacing w:before="60" w:after="60"/>
              <w:jc w:val="center"/>
              <w:rPr>
                <w:sz w:val="22"/>
              </w:rPr>
            </w:pPr>
            <w:r>
              <w:rPr>
                <w:sz w:val="22"/>
              </w:rPr>
              <w:t>Population totale</w:t>
            </w:r>
          </w:p>
        </w:tc>
        <w:tc>
          <w:tcPr>
            <w:tcW w:w="2776" w:type="dxa"/>
            <w:gridSpan w:val="3"/>
          </w:tcPr>
          <w:p w:rsidR="00000000" w:rsidRDefault="00000000">
            <w:pPr>
              <w:spacing w:before="60" w:after="60"/>
              <w:jc w:val="center"/>
              <w:rPr>
                <w:sz w:val="22"/>
              </w:rPr>
            </w:pPr>
            <w:r>
              <w:rPr>
                <w:sz w:val="22"/>
              </w:rPr>
              <w:t>Population urbaine</w:t>
            </w:r>
          </w:p>
        </w:tc>
        <w:tc>
          <w:tcPr>
            <w:tcW w:w="2776" w:type="dxa"/>
            <w:gridSpan w:val="3"/>
          </w:tcPr>
          <w:p w:rsidR="00000000" w:rsidRDefault="00000000">
            <w:pPr>
              <w:spacing w:before="60" w:after="60"/>
              <w:jc w:val="center"/>
              <w:rPr>
                <w:sz w:val="22"/>
              </w:rPr>
            </w:pPr>
            <w:r>
              <w:rPr>
                <w:sz w:val="22"/>
              </w:rPr>
              <w:t>Population rurale</w:t>
            </w:r>
          </w:p>
        </w:tc>
      </w:tr>
      <w:tr w:rsidR="00000000">
        <w:tblPrEx>
          <w:tblCellMar>
            <w:top w:w="0" w:type="dxa"/>
            <w:bottom w:w="0" w:type="dxa"/>
          </w:tblCellMar>
        </w:tblPrEx>
        <w:trPr>
          <w:cantSplit/>
          <w:tblHeader/>
        </w:trPr>
        <w:tc>
          <w:tcPr>
            <w:tcW w:w="1168" w:type="dxa"/>
            <w:vMerge/>
          </w:tcPr>
          <w:p w:rsidR="00000000" w:rsidRDefault="00000000">
            <w:pPr>
              <w:spacing w:before="60" w:after="60"/>
              <w:rPr>
                <w:sz w:val="22"/>
              </w:rPr>
            </w:pPr>
          </w:p>
        </w:tc>
        <w:tc>
          <w:tcPr>
            <w:tcW w:w="938" w:type="dxa"/>
            <w:vMerge w:val="restart"/>
            <w:vAlign w:val="center"/>
          </w:tcPr>
          <w:p w:rsidR="00000000" w:rsidRDefault="00000000">
            <w:pPr>
              <w:spacing w:before="60" w:after="60"/>
              <w:jc w:val="center"/>
              <w:rPr>
                <w:sz w:val="22"/>
              </w:rPr>
            </w:pPr>
            <w:r>
              <w:rPr>
                <w:sz w:val="22"/>
              </w:rPr>
              <w:t>Hommes et femmes</w:t>
            </w:r>
          </w:p>
        </w:tc>
        <w:tc>
          <w:tcPr>
            <w:tcW w:w="1838" w:type="dxa"/>
            <w:gridSpan w:val="2"/>
          </w:tcPr>
          <w:p w:rsidR="00000000" w:rsidRDefault="00000000">
            <w:pPr>
              <w:spacing w:before="60" w:after="60"/>
              <w:jc w:val="center"/>
              <w:rPr>
                <w:sz w:val="22"/>
              </w:rPr>
            </w:pPr>
            <w:r>
              <w:rPr>
                <w:sz w:val="22"/>
              </w:rPr>
              <w:t>dont:</w:t>
            </w:r>
          </w:p>
        </w:tc>
        <w:tc>
          <w:tcPr>
            <w:tcW w:w="938" w:type="dxa"/>
            <w:vMerge w:val="restart"/>
            <w:vAlign w:val="center"/>
          </w:tcPr>
          <w:p w:rsidR="00000000" w:rsidRDefault="00000000">
            <w:pPr>
              <w:spacing w:before="60" w:after="60"/>
              <w:jc w:val="center"/>
              <w:rPr>
                <w:sz w:val="22"/>
              </w:rPr>
            </w:pPr>
            <w:r>
              <w:rPr>
                <w:sz w:val="22"/>
              </w:rPr>
              <w:t>Hommes et femmes</w:t>
            </w:r>
          </w:p>
        </w:tc>
        <w:tc>
          <w:tcPr>
            <w:tcW w:w="1838" w:type="dxa"/>
            <w:gridSpan w:val="2"/>
          </w:tcPr>
          <w:p w:rsidR="00000000" w:rsidRDefault="00000000">
            <w:pPr>
              <w:spacing w:before="60" w:after="60"/>
              <w:jc w:val="center"/>
              <w:rPr>
                <w:sz w:val="22"/>
              </w:rPr>
            </w:pPr>
            <w:r>
              <w:rPr>
                <w:sz w:val="22"/>
              </w:rPr>
              <w:t>dont:</w:t>
            </w:r>
          </w:p>
        </w:tc>
        <w:tc>
          <w:tcPr>
            <w:tcW w:w="938" w:type="dxa"/>
            <w:vMerge w:val="restart"/>
            <w:vAlign w:val="center"/>
          </w:tcPr>
          <w:p w:rsidR="00000000" w:rsidRDefault="00000000">
            <w:pPr>
              <w:spacing w:before="60" w:after="60"/>
              <w:jc w:val="center"/>
              <w:rPr>
                <w:sz w:val="22"/>
              </w:rPr>
            </w:pPr>
            <w:r>
              <w:rPr>
                <w:sz w:val="22"/>
              </w:rPr>
              <w:t>Hommes et femmes</w:t>
            </w:r>
          </w:p>
        </w:tc>
        <w:tc>
          <w:tcPr>
            <w:tcW w:w="1838" w:type="dxa"/>
            <w:gridSpan w:val="2"/>
          </w:tcPr>
          <w:p w:rsidR="00000000" w:rsidRDefault="00000000">
            <w:pPr>
              <w:spacing w:before="60" w:after="60"/>
              <w:jc w:val="center"/>
              <w:rPr>
                <w:sz w:val="22"/>
              </w:rPr>
            </w:pPr>
            <w:r>
              <w:rPr>
                <w:sz w:val="22"/>
              </w:rPr>
              <w:t>dont:</w:t>
            </w:r>
          </w:p>
        </w:tc>
      </w:tr>
      <w:tr w:rsidR="00000000">
        <w:tblPrEx>
          <w:tblCellMar>
            <w:top w:w="0" w:type="dxa"/>
            <w:bottom w:w="0" w:type="dxa"/>
          </w:tblCellMar>
        </w:tblPrEx>
        <w:trPr>
          <w:cantSplit/>
          <w:tblHeader/>
        </w:trPr>
        <w:tc>
          <w:tcPr>
            <w:tcW w:w="1168" w:type="dxa"/>
            <w:vMerge/>
          </w:tcPr>
          <w:p w:rsidR="00000000" w:rsidRDefault="00000000">
            <w:pPr>
              <w:spacing w:before="60" w:after="60"/>
              <w:rPr>
                <w:sz w:val="22"/>
              </w:rPr>
            </w:pPr>
          </w:p>
        </w:tc>
        <w:tc>
          <w:tcPr>
            <w:tcW w:w="938" w:type="dxa"/>
            <w:vMerge/>
          </w:tcPr>
          <w:p w:rsidR="00000000" w:rsidRDefault="00000000">
            <w:pPr>
              <w:spacing w:before="60" w:after="60"/>
              <w:rPr>
                <w:sz w:val="22"/>
              </w:rPr>
            </w:pPr>
          </w:p>
        </w:tc>
        <w:tc>
          <w:tcPr>
            <w:tcW w:w="938" w:type="dxa"/>
            <w:vAlign w:val="center"/>
          </w:tcPr>
          <w:p w:rsidR="00000000" w:rsidRDefault="00000000">
            <w:pPr>
              <w:spacing w:before="60" w:after="60"/>
              <w:jc w:val="center"/>
              <w:rPr>
                <w:sz w:val="22"/>
              </w:rPr>
            </w:pPr>
            <w:r>
              <w:rPr>
                <w:sz w:val="22"/>
              </w:rPr>
              <w:t>Hommes</w:t>
            </w:r>
          </w:p>
        </w:tc>
        <w:tc>
          <w:tcPr>
            <w:tcW w:w="900" w:type="dxa"/>
            <w:vAlign w:val="center"/>
          </w:tcPr>
          <w:p w:rsidR="00000000" w:rsidRDefault="00000000">
            <w:pPr>
              <w:spacing w:before="60" w:after="60"/>
              <w:jc w:val="center"/>
              <w:rPr>
                <w:sz w:val="22"/>
              </w:rPr>
            </w:pPr>
            <w:r>
              <w:rPr>
                <w:sz w:val="22"/>
              </w:rPr>
              <w:t>Femmes</w:t>
            </w:r>
          </w:p>
        </w:tc>
        <w:tc>
          <w:tcPr>
            <w:tcW w:w="938" w:type="dxa"/>
            <w:vMerge/>
          </w:tcPr>
          <w:p w:rsidR="00000000" w:rsidRDefault="00000000">
            <w:pPr>
              <w:spacing w:before="60" w:after="60"/>
              <w:rPr>
                <w:sz w:val="22"/>
              </w:rPr>
            </w:pPr>
          </w:p>
        </w:tc>
        <w:tc>
          <w:tcPr>
            <w:tcW w:w="938" w:type="dxa"/>
            <w:vAlign w:val="center"/>
          </w:tcPr>
          <w:p w:rsidR="00000000" w:rsidRDefault="00000000">
            <w:pPr>
              <w:spacing w:before="60" w:after="60"/>
              <w:jc w:val="center"/>
              <w:rPr>
                <w:sz w:val="22"/>
              </w:rPr>
            </w:pPr>
            <w:r>
              <w:rPr>
                <w:sz w:val="22"/>
              </w:rPr>
              <w:t>Hommes</w:t>
            </w:r>
          </w:p>
        </w:tc>
        <w:tc>
          <w:tcPr>
            <w:tcW w:w="900" w:type="dxa"/>
            <w:vAlign w:val="center"/>
          </w:tcPr>
          <w:p w:rsidR="00000000" w:rsidRDefault="00000000">
            <w:pPr>
              <w:spacing w:before="60" w:after="60"/>
              <w:jc w:val="center"/>
              <w:rPr>
                <w:sz w:val="22"/>
              </w:rPr>
            </w:pPr>
            <w:r>
              <w:rPr>
                <w:sz w:val="22"/>
              </w:rPr>
              <w:t>Femmes</w:t>
            </w:r>
          </w:p>
        </w:tc>
        <w:tc>
          <w:tcPr>
            <w:tcW w:w="938" w:type="dxa"/>
            <w:vMerge/>
          </w:tcPr>
          <w:p w:rsidR="00000000" w:rsidRDefault="00000000">
            <w:pPr>
              <w:spacing w:before="60" w:after="60"/>
              <w:jc w:val="center"/>
              <w:rPr>
                <w:sz w:val="22"/>
              </w:rPr>
            </w:pPr>
          </w:p>
        </w:tc>
        <w:tc>
          <w:tcPr>
            <w:tcW w:w="938" w:type="dxa"/>
            <w:vAlign w:val="center"/>
          </w:tcPr>
          <w:p w:rsidR="00000000" w:rsidRDefault="00000000">
            <w:pPr>
              <w:spacing w:before="60" w:after="60"/>
              <w:jc w:val="center"/>
              <w:rPr>
                <w:sz w:val="22"/>
              </w:rPr>
            </w:pPr>
            <w:r>
              <w:rPr>
                <w:sz w:val="22"/>
              </w:rPr>
              <w:t>Hommes</w:t>
            </w:r>
          </w:p>
        </w:tc>
        <w:tc>
          <w:tcPr>
            <w:tcW w:w="900" w:type="dxa"/>
            <w:vAlign w:val="center"/>
          </w:tcPr>
          <w:p w:rsidR="00000000" w:rsidRDefault="00000000">
            <w:pPr>
              <w:spacing w:before="60" w:after="60"/>
              <w:jc w:val="center"/>
              <w:rPr>
                <w:sz w:val="22"/>
              </w:rPr>
            </w:pPr>
            <w:r>
              <w:rPr>
                <w:sz w:val="22"/>
              </w:rPr>
              <w:t>Femmes</w:t>
            </w:r>
          </w:p>
        </w:tc>
      </w:tr>
      <w:tr w:rsidR="00000000">
        <w:tblPrEx>
          <w:tblCellMar>
            <w:top w:w="0" w:type="dxa"/>
            <w:bottom w:w="0" w:type="dxa"/>
          </w:tblCellMar>
        </w:tblPrEx>
        <w:tc>
          <w:tcPr>
            <w:tcW w:w="1168" w:type="dxa"/>
          </w:tcPr>
          <w:p w:rsidR="00000000" w:rsidRDefault="00000000">
            <w:pPr>
              <w:spacing w:before="60" w:after="60"/>
              <w:rPr>
                <w:sz w:val="22"/>
              </w:rPr>
            </w:pPr>
            <w:r>
              <w:rPr>
                <w:sz w:val="22"/>
              </w:rPr>
              <w:t>Ensemble du Kazakhstan</w:t>
            </w:r>
          </w:p>
        </w:tc>
        <w:tc>
          <w:tcPr>
            <w:tcW w:w="938"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99,3</w:t>
            </w:r>
          </w:p>
        </w:tc>
        <w:tc>
          <w:tcPr>
            <w:tcW w:w="938"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99,3</w:t>
            </w:r>
          </w:p>
        </w:tc>
        <w:tc>
          <w:tcPr>
            <w:tcW w:w="938" w:type="dxa"/>
            <w:vAlign w:val="bottom"/>
          </w:tcPr>
          <w:p w:rsidR="00000000" w:rsidRDefault="00000000">
            <w:pPr>
              <w:spacing w:before="60" w:after="60"/>
              <w:jc w:val="right"/>
              <w:rPr>
                <w:sz w:val="22"/>
              </w:rPr>
            </w:pPr>
            <w:r>
              <w:rPr>
                <w:sz w:val="22"/>
              </w:rPr>
              <w:t>99,7</w:t>
            </w:r>
          </w:p>
        </w:tc>
        <w:tc>
          <w:tcPr>
            <w:tcW w:w="900" w:type="dxa"/>
            <w:vAlign w:val="bottom"/>
          </w:tcPr>
          <w:p w:rsidR="00000000" w:rsidRDefault="00000000">
            <w:pPr>
              <w:spacing w:before="60" w:after="60"/>
              <w:jc w:val="right"/>
              <w:rPr>
                <w:sz w:val="22"/>
              </w:rPr>
            </w:pPr>
            <w:r>
              <w:rPr>
                <w:sz w:val="22"/>
              </w:rPr>
              <w:t>99,0</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Oblaste d’Akmola</w:t>
            </w:r>
          </w:p>
        </w:tc>
        <w:tc>
          <w:tcPr>
            <w:tcW w:w="938" w:type="dxa"/>
            <w:vAlign w:val="bottom"/>
          </w:tcPr>
          <w:p w:rsidR="00000000" w:rsidRDefault="00000000">
            <w:pPr>
              <w:spacing w:before="60" w:after="60"/>
              <w:jc w:val="right"/>
              <w:rPr>
                <w:sz w:val="22"/>
              </w:rPr>
            </w:pPr>
            <w:r>
              <w:rPr>
                <w:sz w:val="22"/>
              </w:rPr>
              <w:t>99,4</w:t>
            </w:r>
          </w:p>
        </w:tc>
        <w:tc>
          <w:tcPr>
            <w:tcW w:w="938" w:type="dxa"/>
            <w:vAlign w:val="bottom"/>
          </w:tcPr>
          <w:p w:rsidR="00000000" w:rsidRDefault="00000000">
            <w:pPr>
              <w:spacing w:before="60" w:after="60"/>
              <w:jc w:val="right"/>
              <w:rPr>
                <w:sz w:val="22"/>
              </w:rPr>
            </w:pPr>
            <w:r>
              <w:rPr>
                <w:sz w:val="22"/>
              </w:rPr>
              <w:t>99,7</w:t>
            </w:r>
          </w:p>
        </w:tc>
        <w:tc>
          <w:tcPr>
            <w:tcW w:w="900" w:type="dxa"/>
            <w:vAlign w:val="bottom"/>
          </w:tcPr>
          <w:p w:rsidR="00000000" w:rsidRDefault="00000000">
            <w:pPr>
              <w:spacing w:before="60" w:after="60"/>
              <w:jc w:val="right"/>
              <w:rPr>
                <w:sz w:val="22"/>
              </w:rPr>
            </w:pPr>
            <w:r>
              <w:rPr>
                <w:sz w:val="22"/>
              </w:rPr>
              <w:t>99,1</w:t>
            </w:r>
          </w:p>
        </w:tc>
        <w:tc>
          <w:tcPr>
            <w:tcW w:w="938"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99,3</w:t>
            </w:r>
          </w:p>
        </w:tc>
        <w:tc>
          <w:tcPr>
            <w:tcW w:w="938" w:type="dxa"/>
            <w:vAlign w:val="bottom"/>
          </w:tcPr>
          <w:p w:rsidR="00000000" w:rsidRDefault="00000000">
            <w:pPr>
              <w:spacing w:before="60" w:after="60"/>
              <w:jc w:val="right"/>
              <w:rPr>
                <w:sz w:val="22"/>
              </w:rPr>
            </w:pPr>
            <w:r>
              <w:rPr>
                <w:sz w:val="22"/>
              </w:rPr>
              <w:t>99,2</w:t>
            </w:r>
          </w:p>
        </w:tc>
        <w:tc>
          <w:tcPr>
            <w:tcW w:w="938" w:type="dxa"/>
            <w:vAlign w:val="bottom"/>
          </w:tcPr>
          <w:p w:rsidR="00000000" w:rsidRDefault="00000000">
            <w:pPr>
              <w:spacing w:before="60" w:after="60"/>
              <w:jc w:val="right"/>
              <w:rPr>
                <w:sz w:val="22"/>
              </w:rPr>
            </w:pPr>
            <w:r>
              <w:rPr>
                <w:sz w:val="22"/>
              </w:rPr>
              <w:t>99,6</w:t>
            </w:r>
          </w:p>
        </w:tc>
        <w:tc>
          <w:tcPr>
            <w:tcW w:w="900" w:type="dxa"/>
            <w:vAlign w:val="bottom"/>
          </w:tcPr>
          <w:p w:rsidR="00000000" w:rsidRDefault="00000000">
            <w:pPr>
              <w:spacing w:before="60" w:after="60"/>
              <w:jc w:val="right"/>
              <w:rPr>
                <w:sz w:val="22"/>
              </w:rPr>
            </w:pPr>
            <w:r>
              <w:rPr>
                <w:sz w:val="22"/>
              </w:rPr>
              <w:t>99,8</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 d’Aktobe</w:t>
            </w:r>
          </w:p>
        </w:tc>
        <w:tc>
          <w:tcPr>
            <w:tcW w:w="938" w:type="dxa"/>
            <w:vAlign w:val="bottom"/>
          </w:tcPr>
          <w:p w:rsidR="00000000" w:rsidRDefault="00000000">
            <w:pPr>
              <w:spacing w:before="60" w:after="60"/>
              <w:jc w:val="right"/>
              <w:rPr>
                <w:sz w:val="22"/>
              </w:rPr>
            </w:pPr>
            <w:r>
              <w:rPr>
                <w:sz w:val="22"/>
              </w:rPr>
              <w:t>99,7</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99,7</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99,3</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 d’Almaty</w:t>
            </w:r>
          </w:p>
        </w:tc>
        <w:tc>
          <w:tcPr>
            <w:tcW w:w="938" w:type="dxa"/>
            <w:vAlign w:val="bottom"/>
          </w:tcPr>
          <w:p w:rsidR="00000000" w:rsidRDefault="00000000">
            <w:pPr>
              <w:spacing w:before="60" w:after="60"/>
              <w:jc w:val="right"/>
              <w:rPr>
                <w:sz w:val="22"/>
              </w:rPr>
            </w:pPr>
            <w:r>
              <w:rPr>
                <w:sz w:val="22"/>
              </w:rPr>
              <w:t>99,4</w:t>
            </w:r>
          </w:p>
        </w:tc>
        <w:tc>
          <w:tcPr>
            <w:tcW w:w="938" w:type="dxa"/>
            <w:vAlign w:val="bottom"/>
          </w:tcPr>
          <w:p w:rsidR="00000000" w:rsidRDefault="00000000">
            <w:pPr>
              <w:spacing w:before="60" w:after="60"/>
              <w:jc w:val="right"/>
              <w:rPr>
                <w:sz w:val="22"/>
              </w:rPr>
            </w:pPr>
            <w:r>
              <w:rPr>
                <w:sz w:val="22"/>
              </w:rPr>
              <w:t>99,7</w:t>
            </w:r>
          </w:p>
        </w:tc>
        <w:tc>
          <w:tcPr>
            <w:tcW w:w="900" w:type="dxa"/>
            <w:vAlign w:val="bottom"/>
          </w:tcPr>
          <w:p w:rsidR="00000000" w:rsidRDefault="00000000">
            <w:pPr>
              <w:spacing w:before="60" w:after="60"/>
              <w:jc w:val="right"/>
              <w:rPr>
                <w:sz w:val="22"/>
              </w:rPr>
            </w:pPr>
            <w:r>
              <w:rPr>
                <w:sz w:val="22"/>
              </w:rPr>
              <w:t>99,0</w:t>
            </w:r>
          </w:p>
        </w:tc>
        <w:tc>
          <w:tcPr>
            <w:tcW w:w="938"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99,4</w:t>
            </w:r>
          </w:p>
        </w:tc>
        <w:tc>
          <w:tcPr>
            <w:tcW w:w="938" w:type="dxa"/>
            <w:vAlign w:val="bottom"/>
          </w:tcPr>
          <w:p w:rsidR="00000000" w:rsidRDefault="00000000">
            <w:pPr>
              <w:spacing w:before="60" w:after="60"/>
              <w:jc w:val="right"/>
              <w:rPr>
                <w:sz w:val="22"/>
              </w:rPr>
            </w:pPr>
            <w:r>
              <w:rPr>
                <w:sz w:val="22"/>
              </w:rPr>
              <w:t>99,3</w:t>
            </w:r>
          </w:p>
        </w:tc>
        <w:tc>
          <w:tcPr>
            <w:tcW w:w="938" w:type="dxa"/>
            <w:vAlign w:val="bottom"/>
          </w:tcPr>
          <w:p w:rsidR="00000000" w:rsidRDefault="00000000">
            <w:pPr>
              <w:spacing w:before="60" w:after="60"/>
              <w:jc w:val="right"/>
              <w:rPr>
                <w:sz w:val="22"/>
              </w:rPr>
            </w:pPr>
            <w:r>
              <w:rPr>
                <w:sz w:val="22"/>
              </w:rPr>
              <w:t>99,6</w:t>
            </w:r>
          </w:p>
        </w:tc>
        <w:tc>
          <w:tcPr>
            <w:tcW w:w="900" w:type="dxa"/>
            <w:vAlign w:val="bottom"/>
          </w:tcPr>
          <w:p w:rsidR="00000000" w:rsidRDefault="00000000">
            <w:pPr>
              <w:spacing w:before="60" w:after="60"/>
              <w:jc w:val="right"/>
              <w:rPr>
                <w:sz w:val="22"/>
              </w:rPr>
            </w:pPr>
            <w:r>
              <w:rPr>
                <w:sz w:val="22"/>
              </w:rPr>
              <w:t>98,9</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 d’Atyrau</w:t>
            </w:r>
          </w:p>
        </w:tc>
        <w:tc>
          <w:tcPr>
            <w:tcW w:w="938" w:type="dxa"/>
            <w:vAlign w:val="bottom"/>
          </w:tcPr>
          <w:p w:rsidR="00000000" w:rsidRDefault="00000000">
            <w:pPr>
              <w:spacing w:before="60" w:after="60"/>
              <w:jc w:val="right"/>
              <w:rPr>
                <w:sz w:val="22"/>
              </w:rPr>
            </w:pPr>
            <w:r>
              <w:rPr>
                <w:sz w:val="22"/>
              </w:rPr>
              <w:t>99,7</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99,7</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99,4</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 du Kazakhstan oriental</w:t>
            </w:r>
          </w:p>
        </w:tc>
        <w:tc>
          <w:tcPr>
            <w:tcW w:w="938" w:type="dxa"/>
            <w:vAlign w:val="bottom"/>
          </w:tcPr>
          <w:p w:rsidR="00000000" w:rsidRDefault="00000000">
            <w:pPr>
              <w:spacing w:before="60" w:after="60"/>
              <w:jc w:val="right"/>
              <w:rPr>
                <w:sz w:val="22"/>
              </w:rPr>
            </w:pPr>
            <w:r>
              <w:rPr>
                <w:sz w:val="22"/>
              </w:rPr>
              <w:t>99,2</w:t>
            </w:r>
          </w:p>
        </w:tc>
        <w:tc>
          <w:tcPr>
            <w:tcW w:w="938" w:type="dxa"/>
            <w:vAlign w:val="bottom"/>
          </w:tcPr>
          <w:p w:rsidR="00000000" w:rsidRDefault="00000000">
            <w:pPr>
              <w:spacing w:before="60" w:after="60"/>
              <w:jc w:val="right"/>
              <w:rPr>
                <w:sz w:val="22"/>
              </w:rPr>
            </w:pPr>
            <w:r>
              <w:rPr>
                <w:sz w:val="22"/>
              </w:rPr>
              <w:t>99,6</w:t>
            </w:r>
          </w:p>
        </w:tc>
        <w:tc>
          <w:tcPr>
            <w:tcW w:w="900" w:type="dxa"/>
            <w:vAlign w:val="bottom"/>
          </w:tcPr>
          <w:p w:rsidR="00000000" w:rsidRDefault="00000000">
            <w:pPr>
              <w:spacing w:before="60" w:after="60"/>
              <w:jc w:val="right"/>
              <w:rPr>
                <w:sz w:val="22"/>
              </w:rPr>
            </w:pPr>
            <w:r>
              <w:rPr>
                <w:sz w:val="22"/>
              </w:rPr>
              <w:t>98,8</w:t>
            </w:r>
          </w:p>
        </w:tc>
        <w:tc>
          <w:tcPr>
            <w:tcW w:w="938"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99,3</w:t>
            </w:r>
          </w:p>
        </w:tc>
        <w:tc>
          <w:tcPr>
            <w:tcW w:w="938" w:type="dxa"/>
            <w:vAlign w:val="bottom"/>
          </w:tcPr>
          <w:p w:rsidR="00000000" w:rsidRDefault="00000000">
            <w:pPr>
              <w:spacing w:before="60" w:after="60"/>
              <w:jc w:val="right"/>
              <w:rPr>
                <w:sz w:val="22"/>
              </w:rPr>
            </w:pPr>
            <w:r>
              <w:rPr>
                <w:sz w:val="22"/>
              </w:rPr>
              <w:t>98,7</w:t>
            </w:r>
          </w:p>
        </w:tc>
        <w:tc>
          <w:tcPr>
            <w:tcW w:w="938" w:type="dxa"/>
            <w:vAlign w:val="bottom"/>
          </w:tcPr>
          <w:p w:rsidR="00000000" w:rsidRDefault="00000000">
            <w:pPr>
              <w:spacing w:before="60" w:after="60"/>
              <w:jc w:val="right"/>
              <w:rPr>
                <w:sz w:val="22"/>
              </w:rPr>
            </w:pPr>
            <w:r>
              <w:rPr>
                <w:sz w:val="22"/>
              </w:rPr>
              <w:t>99,4</w:t>
            </w:r>
          </w:p>
        </w:tc>
        <w:tc>
          <w:tcPr>
            <w:tcW w:w="900" w:type="dxa"/>
            <w:vAlign w:val="bottom"/>
          </w:tcPr>
          <w:p w:rsidR="00000000" w:rsidRDefault="00000000">
            <w:pPr>
              <w:spacing w:before="60" w:after="60"/>
              <w:jc w:val="right"/>
              <w:rPr>
                <w:sz w:val="22"/>
              </w:rPr>
            </w:pPr>
            <w:r>
              <w:rPr>
                <w:sz w:val="22"/>
              </w:rPr>
              <w:t>98,1</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 de Zhambyl</w:t>
            </w:r>
          </w:p>
        </w:tc>
        <w:tc>
          <w:tcPr>
            <w:tcW w:w="938" w:type="dxa"/>
            <w:vAlign w:val="bottom"/>
          </w:tcPr>
          <w:p w:rsidR="00000000" w:rsidRDefault="00000000">
            <w:pPr>
              <w:spacing w:before="60" w:after="60"/>
              <w:jc w:val="right"/>
              <w:rPr>
                <w:sz w:val="22"/>
              </w:rPr>
            </w:pPr>
            <w:r>
              <w:rPr>
                <w:sz w:val="22"/>
              </w:rPr>
              <w:t>99,7</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99,8</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99,7</w:t>
            </w:r>
          </w:p>
        </w:tc>
        <w:tc>
          <w:tcPr>
            <w:tcW w:w="938"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99,3</w:t>
            </w:r>
          </w:p>
        </w:tc>
      </w:tr>
      <w:tr w:rsidR="00000000">
        <w:tblPrEx>
          <w:tblCellMar>
            <w:top w:w="0" w:type="dxa"/>
            <w:bottom w:w="0" w:type="dxa"/>
          </w:tblCellMar>
        </w:tblPrEx>
        <w:tc>
          <w:tcPr>
            <w:tcW w:w="1168" w:type="dxa"/>
          </w:tcPr>
          <w:p w:rsidR="00000000" w:rsidRDefault="00000000">
            <w:pPr>
              <w:keepNext/>
              <w:spacing w:before="60" w:after="60"/>
              <w:rPr>
                <w:sz w:val="22"/>
              </w:rPr>
            </w:pPr>
            <w:r>
              <w:rPr>
                <w:sz w:val="22"/>
              </w:rPr>
              <w:t>O. du Kazakhstan occidental</w:t>
            </w:r>
          </w:p>
        </w:tc>
        <w:tc>
          <w:tcPr>
            <w:tcW w:w="938" w:type="dxa"/>
            <w:vAlign w:val="bottom"/>
          </w:tcPr>
          <w:p w:rsidR="00000000" w:rsidRDefault="00000000">
            <w:pPr>
              <w:spacing w:before="60" w:after="60"/>
              <w:jc w:val="right"/>
              <w:rPr>
                <w:sz w:val="22"/>
                <w:lang w:val="nl-NL"/>
              </w:rPr>
            </w:pPr>
            <w:r>
              <w:rPr>
                <w:sz w:val="22"/>
                <w:lang w:val="nl-NL"/>
              </w:rPr>
              <w:t>99,4</w:t>
            </w:r>
          </w:p>
        </w:tc>
        <w:tc>
          <w:tcPr>
            <w:tcW w:w="938" w:type="dxa"/>
            <w:vAlign w:val="bottom"/>
          </w:tcPr>
          <w:p w:rsidR="00000000" w:rsidRDefault="00000000">
            <w:pPr>
              <w:spacing w:before="60" w:after="60"/>
              <w:jc w:val="right"/>
              <w:rPr>
                <w:sz w:val="22"/>
                <w:lang w:val="nl-NL"/>
              </w:rPr>
            </w:pPr>
            <w:r>
              <w:rPr>
                <w:sz w:val="22"/>
                <w:lang w:val="nl-NL"/>
              </w:rPr>
              <w:t>99,7</w:t>
            </w:r>
          </w:p>
        </w:tc>
        <w:tc>
          <w:tcPr>
            <w:tcW w:w="900" w:type="dxa"/>
            <w:vAlign w:val="bottom"/>
          </w:tcPr>
          <w:p w:rsidR="00000000" w:rsidRDefault="00000000">
            <w:pPr>
              <w:spacing w:before="60" w:after="60"/>
              <w:jc w:val="right"/>
              <w:rPr>
                <w:sz w:val="22"/>
                <w:lang w:val="nl-NL"/>
              </w:rPr>
            </w:pPr>
            <w:r>
              <w:rPr>
                <w:sz w:val="22"/>
                <w:lang w:val="nl-NL"/>
              </w:rPr>
              <w:t>99,1</w:t>
            </w:r>
          </w:p>
        </w:tc>
        <w:tc>
          <w:tcPr>
            <w:tcW w:w="938" w:type="dxa"/>
            <w:vAlign w:val="bottom"/>
          </w:tcPr>
          <w:p w:rsidR="00000000" w:rsidRDefault="00000000">
            <w:pPr>
              <w:spacing w:before="60" w:after="60"/>
              <w:jc w:val="right"/>
              <w:rPr>
                <w:sz w:val="22"/>
                <w:lang w:val="nl-NL"/>
              </w:rPr>
            </w:pPr>
            <w:r>
              <w:rPr>
                <w:sz w:val="22"/>
                <w:lang w:val="nl-NL"/>
              </w:rPr>
              <w:t>99,6</w:t>
            </w:r>
          </w:p>
        </w:tc>
        <w:tc>
          <w:tcPr>
            <w:tcW w:w="938" w:type="dxa"/>
            <w:vAlign w:val="bottom"/>
          </w:tcPr>
          <w:p w:rsidR="00000000" w:rsidRDefault="00000000">
            <w:pPr>
              <w:spacing w:before="60" w:after="60"/>
              <w:jc w:val="right"/>
              <w:rPr>
                <w:sz w:val="22"/>
                <w:lang w:val="nl-NL"/>
              </w:rPr>
            </w:pPr>
            <w:r>
              <w:rPr>
                <w:sz w:val="22"/>
                <w:lang w:val="nl-NL"/>
              </w:rPr>
              <w:t>99,7</w:t>
            </w:r>
          </w:p>
        </w:tc>
        <w:tc>
          <w:tcPr>
            <w:tcW w:w="900" w:type="dxa"/>
            <w:vAlign w:val="bottom"/>
          </w:tcPr>
          <w:p w:rsidR="00000000" w:rsidRDefault="00000000">
            <w:pPr>
              <w:spacing w:before="60" w:after="60"/>
              <w:jc w:val="right"/>
              <w:rPr>
                <w:sz w:val="22"/>
                <w:lang w:val="nl-NL"/>
              </w:rPr>
            </w:pPr>
            <w:r>
              <w:rPr>
                <w:sz w:val="22"/>
                <w:lang w:val="nl-NL"/>
              </w:rPr>
              <w:t>99,5</w:t>
            </w:r>
          </w:p>
        </w:tc>
        <w:tc>
          <w:tcPr>
            <w:tcW w:w="938" w:type="dxa"/>
            <w:vAlign w:val="bottom"/>
          </w:tcPr>
          <w:p w:rsidR="00000000" w:rsidRDefault="00000000">
            <w:pPr>
              <w:spacing w:before="60" w:after="60"/>
              <w:jc w:val="right"/>
              <w:rPr>
                <w:sz w:val="22"/>
                <w:lang w:val="nl-NL"/>
              </w:rPr>
            </w:pPr>
            <w:r>
              <w:rPr>
                <w:sz w:val="22"/>
                <w:lang w:val="nl-NL"/>
              </w:rPr>
              <w:t>99,2</w:t>
            </w:r>
          </w:p>
        </w:tc>
        <w:tc>
          <w:tcPr>
            <w:tcW w:w="938" w:type="dxa"/>
            <w:vAlign w:val="bottom"/>
          </w:tcPr>
          <w:p w:rsidR="00000000" w:rsidRDefault="00000000">
            <w:pPr>
              <w:spacing w:before="60" w:after="60"/>
              <w:jc w:val="right"/>
              <w:rPr>
                <w:sz w:val="22"/>
                <w:lang w:val="nl-NL"/>
              </w:rPr>
            </w:pPr>
            <w:r>
              <w:rPr>
                <w:sz w:val="22"/>
                <w:lang w:val="nl-NL"/>
              </w:rPr>
              <w:t>99,7</w:t>
            </w:r>
          </w:p>
        </w:tc>
        <w:tc>
          <w:tcPr>
            <w:tcW w:w="900" w:type="dxa"/>
            <w:vAlign w:val="bottom"/>
          </w:tcPr>
          <w:p w:rsidR="00000000" w:rsidRDefault="00000000">
            <w:pPr>
              <w:spacing w:before="60" w:after="60"/>
              <w:jc w:val="right"/>
              <w:rPr>
                <w:sz w:val="22"/>
                <w:lang w:val="nl-NL"/>
              </w:rPr>
            </w:pPr>
            <w:r>
              <w:rPr>
                <w:sz w:val="22"/>
                <w:lang w:val="nl-NL"/>
              </w:rPr>
              <w:t>98,8</w:t>
            </w:r>
          </w:p>
        </w:tc>
      </w:tr>
      <w:tr w:rsidR="00000000">
        <w:tblPrEx>
          <w:tblCellMar>
            <w:top w:w="0" w:type="dxa"/>
            <w:bottom w:w="0" w:type="dxa"/>
          </w:tblCellMar>
        </w:tblPrEx>
        <w:tc>
          <w:tcPr>
            <w:tcW w:w="1168" w:type="dxa"/>
          </w:tcPr>
          <w:p w:rsidR="00000000" w:rsidRDefault="00000000">
            <w:pPr>
              <w:spacing w:before="60" w:after="60"/>
              <w:rPr>
                <w:sz w:val="22"/>
                <w:lang w:val="nl-NL"/>
              </w:rPr>
            </w:pPr>
            <w:r>
              <w:rPr>
                <w:sz w:val="22"/>
                <w:lang w:val="nl-NL"/>
              </w:rPr>
              <w:t>O. de Karaganda</w:t>
            </w:r>
          </w:p>
        </w:tc>
        <w:tc>
          <w:tcPr>
            <w:tcW w:w="938" w:type="dxa"/>
            <w:vAlign w:val="bottom"/>
          </w:tcPr>
          <w:p w:rsidR="00000000" w:rsidRDefault="00000000">
            <w:pPr>
              <w:spacing w:before="60" w:after="60"/>
              <w:jc w:val="right"/>
              <w:rPr>
                <w:sz w:val="22"/>
                <w:lang w:val="nl-NL"/>
              </w:rPr>
            </w:pPr>
            <w:r>
              <w:rPr>
                <w:sz w:val="22"/>
                <w:lang w:val="nl-NL"/>
              </w:rPr>
              <w:t>99,5</w:t>
            </w:r>
          </w:p>
        </w:tc>
        <w:tc>
          <w:tcPr>
            <w:tcW w:w="938" w:type="dxa"/>
            <w:vAlign w:val="bottom"/>
          </w:tcPr>
          <w:p w:rsidR="00000000" w:rsidRDefault="00000000">
            <w:pPr>
              <w:spacing w:before="60" w:after="60"/>
              <w:jc w:val="right"/>
              <w:rPr>
                <w:sz w:val="22"/>
                <w:lang w:val="nl-NL"/>
              </w:rPr>
            </w:pPr>
            <w:r>
              <w:rPr>
                <w:sz w:val="22"/>
                <w:lang w:val="nl-NL"/>
              </w:rPr>
              <w:t>99,7</w:t>
            </w:r>
          </w:p>
        </w:tc>
        <w:tc>
          <w:tcPr>
            <w:tcW w:w="900" w:type="dxa"/>
            <w:vAlign w:val="bottom"/>
          </w:tcPr>
          <w:p w:rsidR="00000000" w:rsidRDefault="00000000">
            <w:pPr>
              <w:spacing w:before="60" w:after="60"/>
              <w:jc w:val="right"/>
              <w:rPr>
                <w:sz w:val="22"/>
                <w:lang w:val="nl-NL"/>
              </w:rPr>
            </w:pPr>
            <w:r>
              <w:rPr>
                <w:sz w:val="22"/>
                <w:lang w:val="nl-NL"/>
              </w:rPr>
              <w:t>99,3</w:t>
            </w:r>
          </w:p>
        </w:tc>
        <w:tc>
          <w:tcPr>
            <w:tcW w:w="938" w:type="dxa"/>
            <w:vAlign w:val="bottom"/>
          </w:tcPr>
          <w:p w:rsidR="00000000" w:rsidRDefault="00000000">
            <w:pPr>
              <w:spacing w:before="60" w:after="60"/>
              <w:jc w:val="right"/>
              <w:rPr>
                <w:sz w:val="22"/>
                <w:lang w:val="nl-NL"/>
              </w:rPr>
            </w:pPr>
            <w:r>
              <w:rPr>
                <w:sz w:val="22"/>
                <w:lang w:val="nl-NL"/>
              </w:rPr>
              <w:t>99,5</w:t>
            </w:r>
          </w:p>
        </w:tc>
        <w:tc>
          <w:tcPr>
            <w:tcW w:w="938" w:type="dxa"/>
            <w:vAlign w:val="bottom"/>
          </w:tcPr>
          <w:p w:rsidR="00000000" w:rsidRDefault="00000000">
            <w:pPr>
              <w:spacing w:before="60" w:after="60"/>
              <w:jc w:val="right"/>
              <w:rPr>
                <w:sz w:val="22"/>
                <w:lang w:val="nl-NL"/>
              </w:rPr>
            </w:pPr>
            <w:r>
              <w:rPr>
                <w:sz w:val="22"/>
                <w:lang w:val="nl-NL"/>
              </w:rPr>
              <w:t>99,8</w:t>
            </w:r>
          </w:p>
        </w:tc>
        <w:tc>
          <w:tcPr>
            <w:tcW w:w="900" w:type="dxa"/>
            <w:vAlign w:val="bottom"/>
          </w:tcPr>
          <w:p w:rsidR="00000000" w:rsidRDefault="00000000">
            <w:pPr>
              <w:spacing w:before="60" w:after="60"/>
              <w:jc w:val="right"/>
              <w:rPr>
                <w:sz w:val="22"/>
                <w:lang w:val="nl-NL"/>
              </w:rPr>
            </w:pPr>
            <w:r>
              <w:rPr>
                <w:sz w:val="22"/>
                <w:lang w:val="nl-NL"/>
              </w:rPr>
              <w:t>99,3</w:t>
            </w:r>
          </w:p>
        </w:tc>
        <w:tc>
          <w:tcPr>
            <w:tcW w:w="938" w:type="dxa"/>
            <w:vAlign w:val="bottom"/>
          </w:tcPr>
          <w:p w:rsidR="00000000" w:rsidRDefault="00000000">
            <w:pPr>
              <w:spacing w:before="60" w:after="60"/>
              <w:jc w:val="right"/>
              <w:rPr>
                <w:sz w:val="22"/>
                <w:lang w:val="nl-NL"/>
              </w:rPr>
            </w:pPr>
            <w:r>
              <w:rPr>
                <w:sz w:val="22"/>
                <w:lang w:val="nl-NL"/>
              </w:rPr>
              <w:t>99,2</w:t>
            </w:r>
          </w:p>
        </w:tc>
        <w:tc>
          <w:tcPr>
            <w:tcW w:w="938" w:type="dxa"/>
            <w:vAlign w:val="bottom"/>
          </w:tcPr>
          <w:p w:rsidR="00000000" w:rsidRDefault="00000000">
            <w:pPr>
              <w:spacing w:before="60" w:after="60"/>
              <w:jc w:val="right"/>
              <w:rPr>
                <w:sz w:val="22"/>
                <w:lang w:val="nl-NL"/>
              </w:rPr>
            </w:pPr>
            <w:r>
              <w:rPr>
                <w:sz w:val="22"/>
                <w:lang w:val="nl-NL"/>
              </w:rPr>
              <w:t>99,5</w:t>
            </w:r>
          </w:p>
        </w:tc>
        <w:tc>
          <w:tcPr>
            <w:tcW w:w="900" w:type="dxa"/>
            <w:vAlign w:val="bottom"/>
          </w:tcPr>
          <w:p w:rsidR="00000000" w:rsidRDefault="00000000">
            <w:pPr>
              <w:spacing w:before="60" w:after="60"/>
              <w:jc w:val="right"/>
              <w:rPr>
                <w:sz w:val="22"/>
                <w:lang w:val="nl-NL"/>
              </w:rPr>
            </w:pPr>
            <w:r>
              <w:rPr>
                <w:sz w:val="22"/>
                <w:lang w:val="nl-NL"/>
              </w:rPr>
              <w:t>98,9</w:t>
            </w:r>
          </w:p>
        </w:tc>
      </w:tr>
      <w:tr w:rsidR="00000000">
        <w:tblPrEx>
          <w:tblCellMar>
            <w:top w:w="0" w:type="dxa"/>
            <w:bottom w:w="0" w:type="dxa"/>
          </w:tblCellMar>
        </w:tblPrEx>
        <w:tc>
          <w:tcPr>
            <w:tcW w:w="1168" w:type="dxa"/>
          </w:tcPr>
          <w:p w:rsidR="00000000" w:rsidRDefault="00000000">
            <w:pPr>
              <w:spacing w:before="60" w:after="60"/>
              <w:rPr>
                <w:sz w:val="22"/>
                <w:lang w:val="nl-NL"/>
              </w:rPr>
            </w:pPr>
            <w:r>
              <w:rPr>
                <w:sz w:val="22"/>
                <w:lang w:val="nl-NL"/>
              </w:rPr>
              <w:t>O. de Kostanai</w:t>
            </w:r>
          </w:p>
        </w:tc>
        <w:tc>
          <w:tcPr>
            <w:tcW w:w="938" w:type="dxa"/>
            <w:vAlign w:val="bottom"/>
          </w:tcPr>
          <w:p w:rsidR="00000000" w:rsidRDefault="00000000">
            <w:pPr>
              <w:spacing w:before="60" w:after="60"/>
              <w:jc w:val="right"/>
              <w:rPr>
                <w:sz w:val="22"/>
              </w:rPr>
            </w:pPr>
            <w:r>
              <w:rPr>
                <w:sz w:val="22"/>
              </w:rPr>
              <w:t>99,4</w:t>
            </w:r>
          </w:p>
        </w:tc>
        <w:tc>
          <w:tcPr>
            <w:tcW w:w="938" w:type="dxa"/>
            <w:vAlign w:val="bottom"/>
          </w:tcPr>
          <w:p w:rsidR="00000000" w:rsidRDefault="00000000">
            <w:pPr>
              <w:spacing w:before="60" w:after="60"/>
              <w:jc w:val="right"/>
              <w:rPr>
                <w:sz w:val="22"/>
              </w:rPr>
            </w:pPr>
            <w:r>
              <w:rPr>
                <w:sz w:val="22"/>
              </w:rPr>
              <w:t>99,7</w:t>
            </w:r>
          </w:p>
        </w:tc>
        <w:tc>
          <w:tcPr>
            <w:tcW w:w="900" w:type="dxa"/>
            <w:vAlign w:val="bottom"/>
          </w:tcPr>
          <w:p w:rsidR="00000000" w:rsidRDefault="00000000">
            <w:pPr>
              <w:spacing w:before="60" w:after="60"/>
              <w:jc w:val="right"/>
              <w:rPr>
                <w:sz w:val="22"/>
              </w:rPr>
            </w:pPr>
            <w:r>
              <w:rPr>
                <w:sz w:val="22"/>
              </w:rPr>
              <w:t>99,1</w:t>
            </w:r>
          </w:p>
        </w:tc>
        <w:tc>
          <w:tcPr>
            <w:tcW w:w="938"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99,7</w:t>
            </w:r>
          </w:p>
        </w:tc>
        <w:tc>
          <w:tcPr>
            <w:tcW w:w="900" w:type="dxa"/>
            <w:vAlign w:val="bottom"/>
          </w:tcPr>
          <w:p w:rsidR="00000000" w:rsidRDefault="00000000">
            <w:pPr>
              <w:spacing w:before="60" w:after="60"/>
              <w:jc w:val="right"/>
              <w:rPr>
                <w:sz w:val="22"/>
              </w:rPr>
            </w:pPr>
            <w:r>
              <w:rPr>
                <w:sz w:val="22"/>
              </w:rPr>
              <w:t>99,4</w:t>
            </w:r>
          </w:p>
        </w:tc>
        <w:tc>
          <w:tcPr>
            <w:tcW w:w="938" w:type="dxa"/>
            <w:vAlign w:val="bottom"/>
          </w:tcPr>
          <w:p w:rsidR="00000000" w:rsidRDefault="00000000">
            <w:pPr>
              <w:spacing w:before="60" w:after="60"/>
              <w:jc w:val="right"/>
              <w:rPr>
                <w:sz w:val="22"/>
              </w:rPr>
            </w:pPr>
            <w:r>
              <w:rPr>
                <w:sz w:val="22"/>
              </w:rPr>
              <w:t>99,2</w:t>
            </w:r>
          </w:p>
        </w:tc>
        <w:tc>
          <w:tcPr>
            <w:tcW w:w="938" w:type="dxa"/>
            <w:vAlign w:val="bottom"/>
          </w:tcPr>
          <w:p w:rsidR="00000000" w:rsidRDefault="00000000">
            <w:pPr>
              <w:spacing w:before="60" w:after="60"/>
              <w:jc w:val="right"/>
              <w:rPr>
                <w:sz w:val="22"/>
              </w:rPr>
            </w:pPr>
            <w:r>
              <w:rPr>
                <w:sz w:val="22"/>
              </w:rPr>
              <w:t>99,7</w:t>
            </w:r>
          </w:p>
        </w:tc>
        <w:tc>
          <w:tcPr>
            <w:tcW w:w="900" w:type="dxa"/>
            <w:vAlign w:val="bottom"/>
          </w:tcPr>
          <w:p w:rsidR="00000000" w:rsidRDefault="00000000">
            <w:pPr>
              <w:spacing w:before="60" w:after="60"/>
              <w:jc w:val="right"/>
              <w:rPr>
                <w:sz w:val="22"/>
              </w:rPr>
            </w:pPr>
            <w:r>
              <w:rPr>
                <w:sz w:val="22"/>
              </w:rPr>
              <w:t>98,8</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 de Kyzyl</w:t>
            </w:r>
            <w:r>
              <w:rPr>
                <w:sz w:val="22"/>
              </w:rPr>
              <w:noBreakHyphen/>
              <w:t>orda</w:t>
            </w:r>
          </w:p>
        </w:tc>
        <w:tc>
          <w:tcPr>
            <w:tcW w:w="938"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99,4</w:t>
            </w:r>
          </w:p>
        </w:tc>
        <w:tc>
          <w:tcPr>
            <w:tcW w:w="938"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99,7</w:t>
            </w:r>
          </w:p>
        </w:tc>
        <w:tc>
          <w:tcPr>
            <w:tcW w:w="900"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99,2</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 de Mangistau</w:t>
            </w:r>
          </w:p>
        </w:tc>
        <w:tc>
          <w:tcPr>
            <w:tcW w:w="938"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99,2</w:t>
            </w:r>
          </w:p>
        </w:tc>
        <w:tc>
          <w:tcPr>
            <w:tcW w:w="938" w:type="dxa"/>
            <w:vAlign w:val="bottom"/>
          </w:tcPr>
          <w:p w:rsidR="00000000" w:rsidRDefault="00000000">
            <w:pPr>
              <w:spacing w:before="60" w:after="60"/>
              <w:jc w:val="right"/>
              <w:rPr>
                <w:sz w:val="22"/>
              </w:rPr>
            </w:pPr>
            <w:r>
              <w:rPr>
                <w:sz w:val="22"/>
              </w:rPr>
              <w:t>99,5</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99,3</w:t>
            </w:r>
          </w:p>
        </w:tc>
        <w:tc>
          <w:tcPr>
            <w:tcW w:w="938" w:type="dxa"/>
            <w:vAlign w:val="bottom"/>
          </w:tcPr>
          <w:p w:rsidR="00000000" w:rsidRDefault="00000000">
            <w:pPr>
              <w:spacing w:before="60" w:after="60"/>
              <w:jc w:val="right"/>
              <w:rPr>
                <w:sz w:val="22"/>
              </w:rPr>
            </w:pPr>
            <w:r>
              <w:rPr>
                <w:sz w:val="22"/>
              </w:rPr>
              <w:t>99,3</w:t>
            </w:r>
          </w:p>
        </w:tc>
        <w:tc>
          <w:tcPr>
            <w:tcW w:w="938" w:type="dxa"/>
            <w:vAlign w:val="bottom"/>
          </w:tcPr>
          <w:p w:rsidR="00000000" w:rsidRDefault="00000000">
            <w:pPr>
              <w:spacing w:before="60" w:after="60"/>
              <w:jc w:val="right"/>
              <w:rPr>
                <w:sz w:val="22"/>
              </w:rPr>
            </w:pPr>
            <w:r>
              <w:rPr>
                <w:sz w:val="22"/>
              </w:rPr>
              <w:t>99,7</w:t>
            </w:r>
          </w:p>
        </w:tc>
        <w:tc>
          <w:tcPr>
            <w:tcW w:w="900" w:type="dxa"/>
            <w:vAlign w:val="bottom"/>
          </w:tcPr>
          <w:p w:rsidR="00000000" w:rsidRDefault="00000000">
            <w:pPr>
              <w:spacing w:before="60" w:after="60"/>
              <w:jc w:val="right"/>
              <w:rPr>
                <w:sz w:val="22"/>
              </w:rPr>
            </w:pPr>
            <w:r>
              <w:rPr>
                <w:sz w:val="22"/>
              </w:rPr>
              <w:t>98,9</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 de Pavlodar</w:t>
            </w:r>
          </w:p>
        </w:tc>
        <w:tc>
          <w:tcPr>
            <w:tcW w:w="938" w:type="dxa"/>
            <w:vAlign w:val="bottom"/>
          </w:tcPr>
          <w:p w:rsidR="00000000" w:rsidRDefault="00000000">
            <w:pPr>
              <w:spacing w:before="60" w:after="60"/>
              <w:jc w:val="right"/>
              <w:rPr>
                <w:sz w:val="22"/>
              </w:rPr>
            </w:pPr>
            <w:r>
              <w:rPr>
                <w:sz w:val="22"/>
              </w:rPr>
              <w:t>99,4</w:t>
            </w:r>
          </w:p>
        </w:tc>
        <w:tc>
          <w:tcPr>
            <w:tcW w:w="938" w:type="dxa"/>
            <w:vAlign w:val="bottom"/>
          </w:tcPr>
          <w:p w:rsidR="00000000" w:rsidRDefault="00000000">
            <w:pPr>
              <w:spacing w:before="60" w:after="60"/>
              <w:jc w:val="right"/>
              <w:rPr>
                <w:sz w:val="22"/>
              </w:rPr>
            </w:pPr>
            <w:r>
              <w:rPr>
                <w:sz w:val="22"/>
              </w:rPr>
              <w:t>99,8</w:t>
            </w:r>
          </w:p>
        </w:tc>
        <w:tc>
          <w:tcPr>
            <w:tcW w:w="900" w:type="dxa"/>
            <w:vAlign w:val="bottom"/>
          </w:tcPr>
          <w:p w:rsidR="00000000" w:rsidRDefault="00000000">
            <w:pPr>
              <w:spacing w:before="60" w:after="60"/>
              <w:jc w:val="right"/>
              <w:rPr>
                <w:sz w:val="22"/>
              </w:rPr>
            </w:pPr>
            <w:r>
              <w:rPr>
                <w:sz w:val="22"/>
              </w:rPr>
              <w:t>99,2</w:t>
            </w:r>
          </w:p>
        </w:tc>
        <w:tc>
          <w:tcPr>
            <w:tcW w:w="938"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99,2</w:t>
            </w:r>
          </w:p>
        </w:tc>
        <w:tc>
          <w:tcPr>
            <w:tcW w:w="938" w:type="dxa"/>
            <w:vAlign w:val="bottom"/>
          </w:tcPr>
          <w:p w:rsidR="00000000" w:rsidRDefault="00000000">
            <w:pPr>
              <w:spacing w:before="60" w:after="60"/>
              <w:jc w:val="right"/>
              <w:rPr>
                <w:sz w:val="22"/>
              </w:rPr>
            </w:pPr>
            <w:r>
              <w:rPr>
                <w:sz w:val="22"/>
              </w:rPr>
              <w:t>99,1</w:t>
            </w:r>
          </w:p>
        </w:tc>
        <w:tc>
          <w:tcPr>
            <w:tcW w:w="938" w:type="dxa"/>
            <w:vAlign w:val="bottom"/>
          </w:tcPr>
          <w:p w:rsidR="00000000" w:rsidRDefault="00000000">
            <w:pPr>
              <w:spacing w:before="60" w:after="60"/>
              <w:jc w:val="right"/>
              <w:rPr>
                <w:sz w:val="22"/>
              </w:rPr>
            </w:pPr>
            <w:r>
              <w:rPr>
                <w:sz w:val="22"/>
              </w:rPr>
              <w:t>99,6</w:t>
            </w:r>
          </w:p>
        </w:tc>
        <w:tc>
          <w:tcPr>
            <w:tcW w:w="900" w:type="dxa"/>
            <w:vAlign w:val="bottom"/>
          </w:tcPr>
          <w:p w:rsidR="00000000" w:rsidRDefault="00000000">
            <w:pPr>
              <w:spacing w:before="60" w:after="60"/>
              <w:jc w:val="right"/>
              <w:rPr>
                <w:sz w:val="22"/>
              </w:rPr>
            </w:pPr>
            <w:r>
              <w:rPr>
                <w:sz w:val="22"/>
              </w:rPr>
              <w:t>98,6</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 du Kazakhstan du nord</w:t>
            </w:r>
          </w:p>
        </w:tc>
        <w:tc>
          <w:tcPr>
            <w:tcW w:w="938" w:type="dxa"/>
            <w:vAlign w:val="bottom"/>
          </w:tcPr>
          <w:p w:rsidR="00000000" w:rsidRDefault="00000000">
            <w:pPr>
              <w:spacing w:before="60" w:after="60"/>
              <w:jc w:val="right"/>
              <w:rPr>
                <w:sz w:val="22"/>
              </w:rPr>
            </w:pPr>
            <w:r>
              <w:rPr>
                <w:sz w:val="22"/>
              </w:rPr>
              <w:t>99,2</w:t>
            </w:r>
          </w:p>
        </w:tc>
        <w:tc>
          <w:tcPr>
            <w:tcW w:w="938" w:type="dxa"/>
            <w:vAlign w:val="bottom"/>
          </w:tcPr>
          <w:p w:rsidR="00000000" w:rsidRDefault="00000000">
            <w:pPr>
              <w:spacing w:before="60" w:after="60"/>
              <w:jc w:val="right"/>
              <w:rPr>
                <w:sz w:val="22"/>
              </w:rPr>
            </w:pPr>
            <w:r>
              <w:rPr>
                <w:sz w:val="22"/>
              </w:rPr>
              <w:t>99,5</w:t>
            </w:r>
          </w:p>
        </w:tc>
        <w:tc>
          <w:tcPr>
            <w:tcW w:w="900" w:type="dxa"/>
            <w:vAlign w:val="bottom"/>
          </w:tcPr>
          <w:p w:rsidR="00000000" w:rsidRDefault="00000000">
            <w:pPr>
              <w:spacing w:before="60" w:after="60"/>
              <w:jc w:val="right"/>
              <w:rPr>
                <w:sz w:val="22"/>
              </w:rPr>
            </w:pPr>
            <w:r>
              <w:rPr>
                <w:sz w:val="22"/>
              </w:rPr>
              <w:t>98,9</w:t>
            </w:r>
          </w:p>
        </w:tc>
        <w:tc>
          <w:tcPr>
            <w:tcW w:w="938" w:type="dxa"/>
            <w:vAlign w:val="bottom"/>
          </w:tcPr>
          <w:p w:rsidR="00000000" w:rsidRDefault="00000000">
            <w:pPr>
              <w:spacing w:before="60" w:after="60"/>
              <w:jc w:val="right"/>
              <w:rPr>
                <w:sz w:val="22"/>
              </w:rPr>
            </w:pPr>
            <w:r>
              <w:rPr>
                <w:sz w:val="22"/>
              </w:rPr>
              <w:t>99,4</w:t>
            </w:r>
          </w:p>
        </w:tc>
        <w:tc>
          <w:tcPr>
            <w:tcW w:w="938" w:type="dxa"/>
            <w:vAlign w:val="bottom"/>
          </w:tcPr>
          <w:p w:rsidR="00000000" w:rsidRDefault="00000000">
            <w:pPr>
              <w:spacing w:before="60" w:after="60"/>
              <w:jc w:val="right"/>
              <w:rPr>
                <w:sz w:val="22"/>
              </w:rPr>
            </w:pPr>
            <w:r>
              <w:rPr>
                <w:sz w:val="22"/>
              </w:rPr>
              <w:t>99,6</w:t>
            </w:r>
          </w:p>
        </w:tc>
        <w:tc>
          <w:tcPr>
            <w:tcW w:w="900" w:type="dxa"/>
            <w:vAlign w:val="bottom"/>
          </w:tcPr>
          <w:p w:rsidR="00000000" w:rsidRDefault="00000000">
            <w:pPr>
              <w:spacing w:before="60" w:after="60"/>
              <w:jc w:val="right"/>
              <w:rPr>
                <w:sz w:val="22"/>
              </w:rPr>
            </w:pPr>
            <w:r>
              <w:rPr>
                <w:sz w:val="22"/>
              </w:rPr>
              <w:t>99,2</w:t>
            </w:r>
          </w:p>
        </w:tc>
        <w:tc>
          <w:tcPr>
            <w:tcW w:w="938" w:type="dxa"/>
            <w:vAlign w:val="bottom"/>
          </w:tcPr>
          <w:p w:rsidR="00000000" w:rsidRDefault="00000000">
            <w:pPr>
              <w:spacing w:before="60" w:after="60"/>
              <w:jc w:val="right"/>
              <w:rPr>
                <w:sz w:val="22"/>
              </w:rPr>
            </w:pPr>
            <w:r>
              <w:rPr>
                <w:sz w:val="22"/>
              </w:rPr>
              <w:t>99,1</w:t>
            </w:r>
          </w:p>
        </w:tc>
        <w:tc>
          <w:tcPr>
            <w:tcW w:w="938" w:type="dxa"/>
            <w:vAlign w:val="bottom"/>
          </w:tcPr>
          <w:p w:rsidR="00000000" w:rsidRDefault="00000000">
            <w:pPr>
              <w:spacing w:before="60" w:after="60"/>
              <w:jc w:val="right"/>
              <w:rPr>
                <w:sz w:val="22"/>
              </w:rPr>
            </w:pPr>
            <w:r>
              <w:rPr>
                <w:sz w:val="22"/>
              </w:rPr>
              <w:t>99,5</w:t>
            </w:r>
          </w:p>
        </w:tc>
        <w:tc>
          <w:tcPr>
            <w:tcW w:w="900" w:type="dxa"/>
            <w:vAlign w:val="bottom"/>
          </w:tcPr>
          <w:p w:rsidR="00000000" w:rsidRDefault="00000000">
            <w:pPr>
              <w:spacing w:before="60" w:after="60"/>
              <w:jc w:val="right"/>
              <w:rPr>
                <w:sz w:val="22"/>
              </w:rPr>
            </w:pPr>
            <w:r>
              <w:rPr>
                <w:sz w:val="22"/>
              </w:rPr>
              <w:t>98,7</w:t>
            </w:r>
          </w:p>
        </w:tc>
      </w:tr>
      <w:tr w:rsidR="00000000">
        <w:tblPrEx>
          <w:tblCellMar>
            <w:top w:w="0" w:type="dxa"/>
            <w:bottom w:w="0" w:type="dxa"/>
          </w:tblCellMar>
        </w:tblPrEx>
        <w:tc>
          <w:tcPr>
            <w:tcW w:w="1168" w:type="dxa"/>
          </w:tcPr>
          <w:p w:rsidR="00000000" w:rsidRDefault="00000000">
            <w:pPr>
              <w:spacing w:before="60" w:after="60"/>
              <w:rPr>
                <w:sz w:val="22"/>
              </w:rPr>
            </w:pPr>
            <w:r>
              <w:rPr>
                <w:sz w:val="22"/>
              </w:rPr>
              <w:t>O. du Kazakhstan du sud</w:t>
            </w:r>
          </w:p>
        </w:tc>
        <w:tc>
          <w:tcPr>
            <w:tcW w:w="938" w:type="dxa"/>
            <w:vAlign w:val="bottom"/>
          </w:tcPr>
          <w:p w:rsidR="00000000" w:rsidRDefault="00000000">
            <w:pPr>
              <w:spacing w:before="60" w:after="60"/>
              <w:jc w:val="right"/>
              <w:rPr>
                <w:sz w:val="22"/>
              </w:rPr>
            </w:pPr>
            <w:r>
              <w:rPr>
                <w:sz w:val="22"/>
              </w:rPr>
              <w:t>99,9</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99,8</w:t>
            </w:r>
          </w:p>
        </w:tc>
        <w:tc>
          <w:tcPr>
            <w:tcW w:w="938" w:type="dxa"/>
            <w:vAlign w:val="bottom"/>
          </w:tcPr>
          <w:p w:rsidR="00000000" w:rsidRDefault="00000000">
            <w:pPr>
              <w:spacing w:before="60" w:after="60"/>
              <w:jc w:val="right"/>
              <w:rPr>
                <w:sz w:val="22"/>
              </w:rPr>
            </w:pPr>
            <w:r>
              <w:rPr>
                <w:sz w:val="22"/>
              </w:rPr>
              <w:t>99,9</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99,9</w:t>
            </w:r>
          </w:p>
        </w:tc>
        <w:tc>
          <w:tcPr>
            <w:tcW w:w="938" w:type="dxa"/>
            <w:vAlign w:val="bottom"/>
          </w:tcPr>
          <w:p w:rsidR="00000000" w:rsidRDefault="00000000">
            <w:pPr>
              <w:spacing w:before="60" w:after="60"/>
              <w:jc w:val="right"/>
              <w:rPr>
                <w:sz w:val="22"/>
              </w:rPr>
            </w:pPr>
            <w:r>
              <w:rPr>
                <w:sz w:val="22"/>
              </w:rPr>
              <w:t>99,8</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99,7</w:t>
            </w:r>
          </w:p>
        </w:tc>
      </w:tr>
      <w:tr w:rsidR="00000000">
        <w:tblPrEx>
          <w:tblCellMar>
            <w:top w:w="0" w:type="dxa"/>
            <w:bottom w:w="0" w:type="dxa"/>
          </w:tblCellMar>
        </w:tblPrEx>
        <w:tc>
          <w:tcPr>
            <w:tcW w:w="1168" w:type="dxa"/>
          </w:tcPr>
          <w:p w:rsidR="00000000" w:rsidRDefault="00000000">
            <w:pPr>
              <w:spacing w:before="60" w:after="60"/>
              <w:rPr>
                <w:sz w:val="22"/>
              </w:rPr>
            </w:pPr>
            <w:r>
              <w:rPr>
                <w:sz w:val="22"/>
              </w:rPr>
              <w:t>Ville d’Almaty</w:t>
            </w:r>
          </w:p>
        </w:tc>
        <w:tc>
          <w:tcPr>
            <w:tcW w:w="938" w:type="dxa"/>
            <w:vAlign w:val="bottom"/>
          </w:tcPr>
          <w:p w:rsidR="00000000" w:rsidRDefault="00000000">
            <w:pPr>
              <w:spacing w:before="60" w:after="60"/>
              <w:jc w:val="right"/>
              <w:rPr>
                <w:sz w:val="22"/>
              </w:rPr>
            </w:pPr>
            <w:r>
              <w:rPr>
                <w:sz w:val="22"/>
              </w:rPr>
              <w:t>99,7</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99,7</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99,6</w:t>
            </w:r>
          </w:p>
        </w:tc>
        <w:tc>
          <w:tcPr>
            <w:tcW w:w="938" w:type="dxa"/>
            <w:vAlign w:val="bottom"/>
          </w:tcPr>
          <w:p w:rsidR="00000000" w:rsidRDefault="00000000">
            <w:pPr>
              <w:spacing w:before="60" w:after="60"/>
              <w:jc w:val="right"/>
              <w:rPr>
                <w:sz w:val="22"/>
              </w:rPr>
            </w:pPr>
            <w:r>
              <w:rPr>
                <w:sz w:val="22"/>
              </w:rPr>
              <w:t>−</w:t>
            </w:r>
          </w:p>
        </w:tc>
        <w:tc>
          <w:tcPr>
            <w:tcW w:w="938" w:type="dxa"/>
            <w:vAlign w:val="bottom"/>
          </w:tcPr>
          <w:p w:rsidR="00000000" w:rsidRDefault="00000000">
            <w:pPr>
              <w:spacing w:before="60" w:after="60"/>
              <w:jc w:val="right"/>
              <w:rPr>
                <w:sz w:val="22"/>
              </w:rPr>
            </w:pPr>
            <w:r>
              <w:rPr>
                <w:sz w:val="22"/>
              </w:rPr>
              <w:t>−</w:t>
            </w:r>
          </w:p>
        </w:tc>
        <w:tc>
          <w:tcPr>
            <w:tcW w:w="900" w:type="dxa"/>
            <w:vAlign w:val="bottom"/>
          </w:tcPr>
          <w:p w:rsidR="00000000" w:rsidRDefault="00000000">
            <w:pPr>
              <w:spacing w:before="60" w:after="60"/>
              <w:jc w:val="right"/>
              <w:rPr>
                <w:sz w:val="22"/>
              </w:rPr>
            </w:pPr>
            <w:r>
              <w:rPr>
                <w:sz w:val="22"/>
              </w:rPr>
              <w:t>−</w:t>
            </w:r>
          </w:p>
        </w:tc>
      </w:tr>
      <w:tr w:rsidR="00000000">
        <w:tblPrEx>
          <w:tblCellMar>
            <w:top w:w="0" w:type="dxa"/>
            <w:bottom w:w="0" w:type="dxa"/>
          </w:tblCellMar>
        </w:tblPrEx>
        <w:tc>
          <w:tcPr>
            <w:tcW w:w="1168" w:type="dxa"/>
          </w:tcPr>
          <w:p w:rsidR="00000000" w:rsidRDefault="00000000">
            <w:pPr>
              <w:spacing w:before="60" w:after="60"/>
              <w:rPr>
                <w:sz w:val="22"/>
              </w:rPr>
            </w:pPr>
            <w:r>
              <w:rPr>
                <w:sz w:val="22"/>
              </w:rPr>
              <w:t>Ville d’Astana</w:t>
            </w:r>
          </w:p>
        </w:tc>
        <w:tc>
          <w:tcPr>
            <w:tcW w:w="938" w:type="dxa"/>
            <w:vAlign w:val="bottom"/>
          </w:tcPr>
          <w:p w:rsidR="00000000" w:rsidRDefault="00000000">
            <w:pPr>
              <w:spacing w:before="60" w:after="60"/>
              <w:jc w:val="right"/>
              <w:rPr>
                <w:sz w:val="22"/>
              </w:rPr>
            </w:pPr>
            <w:r>
              <w:rPr>
                <w:sz w:val="22"/>
              </w:rPr>
              <w:t>99,8</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99,7</w:t>
            </w:r>
          </w:p>
        </w:tc>
        <w:tc>
          <w:tcPr>
            <w:tcW w:w="938" w:type="dxa"/>
            <w:vAlign w:val="bottom"/>
          </w:tcPr>
          <w:p w:rsidR="00000000" w:rsidRDefault="00000000">
            <w:pPr>
              <w:spacing w:before="60" w:after="60"/>
              <w:jc w:val="right"/>
              <w:rPr>
                <w:sz w:val="22"/>
              </w:rPr>
            </w:pPr>
            <w:r>
              <w:rPr>
                <w:sz w:val="22"/>
              </w:rPr>
              <w:t>99,8</w:t>
            </w:r>
          </w:p>
        </w:tc>
        <w:tc>
          <w:tcPr>
            <w:tcW w:w="938" w:type="dxa"/>
            <w:vAlign w:val="bottom"/>
          </w:tcPr>
          <w:p w:rsidR="00000000" w:rsidRDefault="00000000">
            <w:pPr>
              <w:spacing w:before="60" w:after="60"/>
              <w:jc w:val="right"/>
              <w:rPr>
                <w:sz w:val="22"/>
              </w:rPr>
            </w:pPr>
            <w:r>
              <w:rPr>
                <w:sz w:val="22"/>
              </w:rPr>
              <w:t>99,9</w:t>
            </w:r>
          </w:p>
        </w:tc>
        <w:tc>
          <w:tcPr>
            <w:tcW w:w="900" w:type="dxa"/>
            <w:vAlign w:val="bottom"/>
          </w:tcPr>
          <w:p w:rsidR="00000000" w:rsidRDefault="00000000">
            <w:pPr>
              <w:spacing w:before="60" w:after="60"/>
              <w:jc w:val="right"/>
              <w:rPr>
                <w:sz w:val="22"/>
              </w:rPr>
            </w:pPr>
            <w:r>
              <w:rPr>
                <w:sz w:val="22"/>
              </w:rPr>
              <w:t>99,7</w:t>
            </w:r>
          </w:p>
        </w:tc>
        <w:tc>
          <w:tcPr>
            <w:tcW w:w="938" w:type="dxa"/>
            <w:vAlign w:val="bottom"/>
          </w:tcPr>
          <w:p w:rsidR="00000000" w:rsidRDefault="00000000">
            <w:pPr>
              <w:spacing w:before="60" w:after="60"/>
              <w:jc w:val="right"/>
              <w:rPr>
                <w:sz w:val="22"/>
              </w:rPr>
            </w:pPr>
            <w:r>
              <w:rPr>
                <w:sz w:val="22"/>
              </w:rPr>
              <w:t>−</w:t>
            </w:r>
          </w:p>
        </w:tc>
        <w:tc>
          <w:tcPr>
            <w:tcW w:w="938" w:type="dxa"/>
            <w:vAlign w:val="bottom"/>
          </w:tcPr>
          <w:p w:rsidR="00000000" w:rsidRDefault="00000000">
            <w:pPr>
              <w:spacing w:before="60" w:after="60"/>
              <w:jc w:val="right"/>
              <w:rPr>
                <w:sz w:val="22"/>
              </w:rPr>
            </w:pPr>
            <w:r>
              <w:rPr>
                <w:sz w:val="22"/>
              </w:rPr>
              <w:t>−</w:t>
            </w:r>
          </w:p>
        </w:tc>
        <w:tc>
          <w:tcPr>
            <w:tcW w:w="900" w:type="dxa"/>
            <w:vAlign w:val="bottom"/>
          </w:tcPr>
          <w:p w:rsidR="00000000" w:rsidRDefault="00000000">
            <w:pPr>
              <w:spacing w:before="60" w:after="60"/>
              <w:jc w:val="right"/>
              <w:rPr>
                <w:sz w:val="22"/>
              </w:rPr>
            </w:pPr>
            <w:r>
              <w:rPr>
                <w:sz w:val="22"/>
              </w:rPr>
              <w:t>−</w:t>
            </w:r>
          </w:p>
        </w:tc>
      </w:tr>
    </w:tbl>
    <w:p w:rsidR="00000000" w:rsidRDefault="00000000">
      <w:pPr>
        <w:keepNext/>
        <w:spacing w:before="240" w:after="240"/>
        <w:jc w:val="center"/>
        <w:rPr>
          <w:b/>
          <w:bCs/>
        </w:rPr>
      </w:pPr>
      <w:r>
        <w:rPr>
          <w:b/>
          <w:bCs/>
        </w:rPr>
        <w:t>Tableau 16 a)</w:t>
      </w:r>
    </w:p>
    <w:p w:rsidR="00000000" w:rsidRDefault="00000000">
      <w:pPr>
        <w:keepNext/>
        <w:spacing w:after="240"/>
        <w:jc w:val="center"/>
      </w:pPr>
      <w:r>
        <w:rPr>
          <w:b/>
          <w:bCs/>
        </w:rPr>
        <w:t>Établissements préscolaires (situation à la fin de l’année indiquée)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7"/>
        <w:gridCol w:w="831"/>
        <w:gridCol w:w="906"/>
        <w:gridCol w:w="889"/>
        <w:gridCol w:w="833"/>
        <w:gridCol w:w="908"/>
        <w:gridCol w:w="890"/>
        <w:gridCol w:w="833"/>
        <w:gridCol w:w="908"/>
        <w:gridCol w:w="890"/>
      </w:tblGrid>
      <w:tr w:rsidR="00000000">
        <w:tblPrEx>
          <w:tblCellMar>
            <w:top w:w="0" w:type="dxa"/>
            <w:bottom w:w="0" w:type="dxa"/>
          </w:tblCellMar>
        </w:tblPrEx>
        <w:trPr>
          <w:cantSplit/>
        </w:trPr>
        <w:tc>
          <w:tcPr>
            <w:tcW w:w="949" w:type="dxa"/>
            <w:vMerge w:val="restart"/>
          </w:tcPr>
          <w:p w:rsidR="00000000" w:rsidRDefault="00000000">
            <w:pPr>
              <w:keepNext/>
              <w:spacing w:before="60" w:after="60"/>
              <w:rPr>
                <w:sz w:val="22"/>
              </w:rPr>
            </w:pPr>
          </w:p>
        </w:tc>
        <w:tc>
          <w:tcPr>
            <w:tcW w:w="2847" w:type="dxa"/>
            <w:gridSpan w:val="3"/>
          </w:tcPr>
          <w:p w:rsidR="00000000" w:rsidRDefault="00000000">
            <w:pPr>
              <w:keepNext/>
              <w:spacing w:before="60" w:after="60"/>
              <w:jc w:val="center"/>
              <w:rPr>
                <w:sz w:val="22"/>
              </w:rPr>
            </w:pPr>
            <w:r>
              <w:rPr>
                <w:sz w:val="22"/>
              </w:rPr>
              <w:t>1999</w:t>
            </w:r>
          </w:p>
        </w:tc>
        <w:tc>
          <w:tcPr>
            <w:tcW w:w="2850" w:type="dxa"/>
            <w:gridSpan w:val="3"/>
          </w:tcPr>
          <w:p w:rsidR="00000000" w:rsidRDefault="00000000">
            <w:pPr>
              <w:keepNext/>
              <w:spacing w:before="60" w:after="60"/>
              <w:jc w:val="center"/>
              <w:rPr>
                <w:sz w:val="22"/>
              </w:rPr>
            </w:pPr>
            <w:r>
              <w:rPr>
                <w:sz w:val="22"/>
              </w:rPr>
              <w:t>2000</w:t>
            </w:r>
          </w:p>
        </w:tc>
        <w:tc>
          <w:tcPr>
            <w:tcW w:w="2850" w:type="dxa"/>
            <w:gridSpan w:val="3"/>
          </w:tcPr>
          <w:p w:rsidR="00000000" w:rsidRDefault="00000000">
            <w:pPr>
              <w:keepNext/>
              <w:spacing w:before="60" w:after="60"/>
              <w:jc w:val="center"/>
              <w:rPr>
                <w:sz w:val="22"/>
              </w:rPr>
            </w:pPr>
            <w:r>
              <w:rPr>
                <w:sz w:val="22"/>
              </w:rPr>
              <w:t>2001</w:t>
            </w:r>
          </w:p>
        </w:tc>
      </w:tr>
      <w:tr w:rsidR="00000000">
        <w:tblPrEx>
          <w:tblCellMar>
            <w:top w:w="0" w:type="dxa"/>
            <w:bottom w:w="0" w:type="dxa"/>
          </w:tblCellMar>
        </w:tblPrEx>
        <w:trPr>
          <w:cantSplit/>
        </w:trPr>
        <w:tc>
          <w:tcPr>
            <w:tcW w:w="949" w:type="dxa"/>
            <w:vMerge/>
          </w:tcPr>
          <w:p w:rsidR="00000000" w:rsidRDefault="00000000">
            <w:pPr>
              <w:keepNext/>
              <w:spacing w:before="60" w:after="60"/>
              <w:rPr>
                <w:sz w:val="22"/>
              </w:rPr>
            </w:pPr>
          </w:p>
        </w:tc>
        <w:tc>
          <w:tcPr>
            <w:tcW w:w="949" w:type="dxa"/>
            <w:vMerge w:val="restart"/>
            <w:vAlign w:val="center"/>
          </w:tcPr>
          <w:p w:rsidR="00000000" w:rsidRDefault="00000000">
            <w:pPr>
              <w:keepNext/>
              <w:spacing w:before="60" w:after="60"/>
              <w:jc w:val="center"/>
              <w:rPr>
                <w:sz w:val="22"/>
              </w:rPr>
            </w:pPr>
            <w:r>
              <w:rPr>
                <w:sz w:val="22"/>
              </w:rPr>
              <w:t>Total</w:t>
            </w:r>
          </w:p>
        </w:tc>
        <w:tc>
          <w:tcPr>
            <w:tcW w:w="1898" w:type="dxa"/>
            <w:gridSpan w:val="2"/>
          </w:tcPr>
          <w:p w:rsidR="00000000" w:rsidRDefault="00000000">
            <w:pPr>
              <w:keepNext/>
              <w:spacing w:before="60" w:after="60"/>
              <w:jc w:val="center"/>
              <w:rPr>
                <w:sz w:val="22"/>
              </w:rPr>
            </w:pPr>
            <w:r>
              <w:rPr>
                <w:sz w:val="22"/>
              </w:rPr>
              <w:t>dont:</w:t>
            </w:r>
          </w:p>
        </w:tc>
        <w:tc>
          <w:tcPr>
            <w:tcW w:w="950" w:type="dxa"/>
            <w:vMerge w:val="restart"/>
            <w:vAlign w:val="center"/>
          </w:tcPr>
          <w:p w:rsidR="00000000" w:rsidRDefault="00000000">
            <w:pPr>
              <w:keepNext/>
              <w:spacing w:before="60" w:after="60"/>
              <w:jc w:val="center"/>
              <w:rPr>
                <w:sz w:val="22"/>
              </w:rPr>
            </w:pPr>
            <w:r>
              <w:rPr>
                <w:sz w:val="22"/>
              </w:rPr>
              <w:t>Total</w:t>
            </w:r>
          </w:p>
        </w:tc>
        <w:tc>
          <w:tcPr>
            <w:tcW w:w="1900" w:type="dxa"/>
            <w:gridSpan w:val="2"/>
          </w:tcPr>
          <w:p w:rsidR="00000000" w:rsidRDefault="00000000">
            <w:pPr>
              <w:keepNext/>
              <w:spacing w:before="60" w:after="60"/>
              <w:jc w:val="center"/>
              <w:rPr>
                <w:sz w:val="22"/>
              </w:rPr>
            </w:pPr>
            <w:r>
              <w:rPr>
                <w:sz w:val="22"/>
              </w:rPr>
              <w:t>dont:</w:t>
            </w:r>
          </w:p>
        </w:tc>
        <w:tc>
          <w:tcPr>
            <w:tcW w:w="950" w:type="dxa"/>
            <w:vMerge w:val="restart"/>
            <w:vAlign w:val="center"/>
          </w:tcPr>
          <w:p w:rsidR="00000000" w:rsidRDefault="00000000">
            <w:pPr>
              <w:keepNext/>
              <w:spacing w:before="60" w:after="60"/>
              <w:jc w:val="center"/>
              <w:rPr>
                <w:sz w:val="22"/>
              </w:rPr>
            </w:pPr>
            <w:r>
              <w:rPr>
                <w:sz w:val="22"/>
              </w:rPr>
              <w:t>Total</w:t>
            </w:r>
          </w:p>
        </w:tc>
        <w:tc>
          <w:tcPr>
            <w:tcW w:w="1900" w:type="dxa"/>
            <w:gridSpan w:val="2"/>
          </w:tcPr>
          <w:p w:rsidR="00000000" w:rsidRDefault="00000000">
            <w:pPr>
              <w:keepNext/>
              <w:spacing w:before="60" w:after="60"/>
              <w:jc w:val="center"/>
              <w:rPr>
                <w:sz w:val="22"/>
              </w:rPr>
            </w:pPr>
            <w:r>
              <w:rPr>
                <w:sz w:val="22"/>
              </w:rPr>
              <w:t>dont:</w:t>
            </w:r>
          </w:p>
        </w:tc>
      </w:tr>
      <w:tr w:rsidR="00000000">
        <w:tblPrEx>
          <w:tblCellMar>
            <w:top w:w="0" w:type="dxa"/>
            <w:bottom w:w="0" w:type="dxa"/>
          </w:tblCellMar>
        </w:tblPrEx>
        <w:trPr>
          <w:cantSplit/>
        </w:trPr>
        <w:tc>
          <w:tcPr>
            <w:tcW w:w="949" w:type="dxa"/>
            <w:vMerge/>
          </w:tcPr>
          <w:p w:rsidR="00000000" w:rsidRDefault="00000000">
            <w:pPr>
              <w:keepNext/>
              <w:spacing w:before="60" w:after="60"/>
              <w:rPr>
                <w:sz w:val="22"/>
              </w:rPr>
            </w:pPr>
          </w:p>
        </w:tc>
        <w:tc>
          <w:tcPr>
            <w:tcW w:w="949" w:type="dxa"/>
            <w:vMerge/>
          </w:tcPr>
          <w:p w:rsidR="00000000" w:rsidRDefault="00000000">
            <w:pPr>
              <w:keepNext/>
              <w:spacing w:before="60" w:after="60"/>
              <w:rPr>
                <w:sz w:val="22"/>
              </w:rPr>
            </w:pPr>
          </w:p>
        </w:tc>
        <w:tc>
          <w:tcPr>
            <w:tcW w:w="949" w:type="dxa"/>
          </w:tcPr>
          <w:p w:rsidR="00000000" w:rsidRDefault="00000000">
            <w:pPr>
              <w:keepNext/>
              <w:spacing w:before="60" w:after="60"/>
              <w:jc w:val="center"/>
              <w:rPr>
                <w:sz w:val="22"/>
              </w:rPr>
            </w:pPr>
            <w:r>
              <w:rPr>
                <w:sz w:val="22"/>
              </w:rPr>
              <w:t>Urbains</w:t>
            </w:r>
          </w:p>
        </w:tc>
        <w:tc>
          <w:tcPr>
            <w:tcW w:w="949" w:type="dxa"/>
          </w:tcPr>
          <w:p w:rsidR="00000000" w:rsidRDefault="00000000">
            <w:pPr>
              <w:keepNext/>
              <w:spacing w:before="60" w:after="60"/>
              <w:jc w:val="center"/>
              <w:rPr>
                <w:sz w:val="22"/>
              </w:rPr>
            </w:pPr>
            <w:r>
              <w:rPr>
                <w:sz w:val="22"/>
              </w:rPr>
              <w:t>Ruraux</w:t>
            </w:r>
          </w:p>
        </w:tc>
        <w:tc>
          <w:tcPr>
            <w:tcW w:w="950" w:type="dxa"/>
            <w:vMerge/>
          </w:tcPr>
          <w:p w:rsidR="00000000" w:rsidRDefault="00000000">
            <w:pPr>
              <w:keepNext/>
              <w:spacing w:before="60" w:after="60"/>
              <w:jc w:val="center"/>
              <w:rPr>
                <w:sz w:val="22"/>
              </w:rPr>
            </w:pPr>
          </w:p>
        </w:tc>
        <w:tc>
          <w:tcPr>
            <w:tcW w:w="950" w:type="dxa"/>
          </w:tcPr>
          <w:p w:rsidR="00000000" w:rsidRDefault="00000000">
            <w:pPr>
              <w:keepNext/>
              <w:spacing w:before="60" w:after="60"/>
              <w:jc w:val="center"/>
              <w:rPr>
                <w:sz w:val="22"/>
              </w:rPr>
            </w:pPr>
            <w:r>
              <w:rPr>
                <w:sz w:val="22"/>
              </w:rPr>
              <w:t>Urbains</w:t>
            </w:r>
          </w:p>
        </w:tc>
        <w:tc>
          <w:tcPr>
            <w:tcW w:w="950" w:type="dxa"/>
          </w:tcPr>
          <w:p w:rsidR="00000000" w:rsidRDefault="00000000">
            <w:pPr>
              <w:keepNext/>
              <w:spacing w:before="60" w:after="60"/>
              <w:jc w:val="center"/>
              <w:rPr>
                <w:sz w:val="22"/>
              </w:rPr>
            </w:pPr>
            <w:r>
              <w:rPr>
                <w:sz w:val="22"/>
              </w:rPr>
              <w:t>Ruraux</w:t>
            </w:r>
          </w:p>
        </w:tc>
        <w:tc>
          <w:tcPr>
            <w:tcW w:w="950" w:type="dxa"/>
            <w:vMerge/>
          </w:tcPr>
          <w:p w:rsidR="00000000" w:rsidRDefault="00000000">
            <w:pPr>
              <w:keepNext/>
              <w:spacing w:before="60" w:after="60"/>
              <w:rPr>
                <w:sz w:val="22"/>
              </w:rPr>
            </w:pPr>
          </w:p>
        </w:tc>
        <w:tc>
          <w:tcPr>
            <w:tcW w:w="950" w:type="dxa"/>
          </w:tcPr>
          <w:p w:rsidR="00000000" w:rsidRDefault="00000000">
            <w:pPr>
              <w:keepNext/>
              <w:spacing w:before="60" w:after="60"/>
              <w:jc w:val="center"/>
              <w:rPr>
                <w:sz w:val="22"/>
              </w:rPr>
            </w:pPr>
            <w:r>
              <w:rPr>
                <w:sz w:val="22"/>
              </w:rPr>
              <w:t>Urbains</w:t>
            </w:r>
          </w:p>
        </w:tc>
        <w:tc>
          <w:tcPr>
            <w:tcW w:w="950" w:type="dxa"/>
          </w:tcPr>
          <w:p w:rsidR="00000000" w:rsidRDefault="00000000">
            <w:pPr>
              <w:keepNext/>
              <w:spacing w:before="60" w:after="60"/>
              <w:jc w:val="center"/>
              <w:rPr>
                <w:sz w:val="22"/>
              </w:rPr>
            </w:pPr>
            <w:r>
              <w:rPr>
                <w:sz w:val="22"/>
              </w:rPr>
              <w:t>Ruraux</w:t>
            </w:r>
          </w:p>
        </w:tc>
      </w:tr>
      <w:tr w:rsidR="00000000">
        <w:tblPrEx>
          <w:tblCellMar>
            <w:top w:w="0" w:type="dxa"/>
            <w:bottom w:w="0" w:type="dxa"/>
          </w:tblCellMar>
        </w:tblPrEx>
        <w:tc>
          <w:tcPr>
            <w:tcW w:w="949" w:type="dxa"/>
          </w:tcPr>
          <w:p w:rsidR="00000000" w:rsidRDefault="00000000">
            <w:pPr>
              <w:spacing w:before="60" w:after="60"/>
              <w:rPr>
                <w:sz w:val="22"/>
              </w:rPr>
            </w:pPr>
            <w:r>
              <w:rPr>
                <w:sz w:val="22"/>
              </w:rPr>
              <w:t>Nombre total d’établissements</w:t>
            </w:r>
          </w:p>
        </w:tc>
        <w:tc>
          <w:tcPr>
            <w:tcW w:w="949" w:type="dxa"/>
            <w:vAlign w:val="bottom"/>
          </w:tcPr>
          <w:p w:rsidR="00000000" w:rsidRDefault="00000000">
            <w:pPr>
              <w:spacing w:before="60" w:after="60"/>
              <w:jc w:val="right"/>
              <w:rPr>
                <w:sz w:val="22"/>
              </w:rPr>
            </w:pPr>
            <w:r>
              <w:rPr>
                <w:sz w:val="22"/>
              </w:rPr>
              <w:t>1 102</w:t>
            </w:r>
          </w:p>
        </w:tc>
        <w:tc>
          <w:tcPr>
            <w:tcW w:w="949" w:type="dxa"/>
            <w:vAlign w:val="bottom"/>
          </w:tcPr>
          <w:p w:rsidR="00000000" w:rsidRDefault="00000000">
            <w:pPr>
              <w:spacing w:before="60" w:after="60"/>
              <w:jc w:val="right"/>
              <w:rPr>
                <w:sz w:val="22"/>
              </w:rPr>
            </w:pPr>
            <w:r>
              <w:rPr>
                <w:sz w:val="22"/>
              </w:rPr>
              <w:t>859</w:t>
            </w:r>
          </w:p>
        </w:tc>
        <w:tc>
          <w:tcPr>
            <w:tcW w:w="949" w:type="dxa"/>
            <w:vAlign w:val="bottom"/>
          </w:tcPr>
          <w:p w:rsidR="00000000" w:rsidRDefault="00000000">
            <w:pPr>
              <w:spacing w:before="60" w:after="60"/>
              <w:jc w:val="right"/>
              <w:rPr>
                <w:sz w:val="22"/>
              </w:rPr>
            </w:pPr>
            <w:r>
              <w:rPr>
                <w:sz w:val="22"/>
              </w:rPr>
              <w:t>243</w:t>
            </w:r>
          </w:p>
        </w:tc>
        <w:tc>
          <w:tcPr>
            <w:tcW w:w="950" w:type="dxa"/>
            <w:vAlign w:val="bottom"/>
          </w:tcPr>
          <w:p w:rsidR="00000000" w:rsidRDefault="00000000">
            <w:pPr>
              <w:spacing w:before="60" w:after="60"/>
              <w:jc w:val="right"/>
              <w:rPr>
                <w:sz w:val="22"/>
              </w:rPr>
            </w:pPr>
            <w:r>
              <w:rPr>
                <w:sz w:val="22"/>
              </w:rPr>
              <w:t>1 089</w:t>
            </w:r>
          </w:p>
        </w:tc>
        <w:tc>
          <w:tcPr>
            <w:tcW w:w="950" w:type="dxa"/>
            <w:vAlign w:val="bottom"/>
          </w:tcPr>
          <w:p w:rsidR="00000000" w:rsidRDefault="00000000">
            <w:pPr>
              <w:spacing w:before="60" w:after="60"/>
              <w:jc w:val="right"/>
              <w:rPr>
                <w:sz w:val="22"/>
              </w:rPr>
            </w:pPr>
            <w:r>
              <w:rPr>
                <w:sz w:val="22"/>
              </w:rPr>
              <w:t>912</w:t>
            </w:r>
          </w:p>
        </w:tc>
        <w:tc>
          <w:tcPr>
            <w:tcW w:w="950" w:type="dxa"/>
            <w:vAlign w:val="bottom"/>
          </w:tcPr>
          <w:p w:rsidR="00000000" w:rsidRDefault="00000000">
            <w:pPr>
              <w:spacing w:before="60" w:after="60"/>
              <w:jc w:val="right"/>
              <w:rPr>
                <w:sz w:val="22"/>
              </w:rPr>
            </w:pPr>
            <w:r>
              <w:rPr>
                <w:sz w:val="22"/>
              </w:rPr>
              <w:t>177</w:t>
            </w:r>
          </w:p>
        </w:tc>
        <w:tc>
          <w:tcPr>
            <w:tcW w:w="950" w:type="dxa"/>
            <w:vAlign w:val="bottom"/>
          </w:tcPr>
          <w:p w:rsidR="00000000" w:rsidRDefault="00000000">
            <w:pPr>
              <w:spacing w:before="60" w:after="60"/>
              <w:jc w:val="right"/>
              <w:rPr>
                <w:sz w:val="22"/>
              </w:rPr>
            </w:pPr>
            <w:r>
              <w:rPr>
                <w:sz w:val="22"/>
              </w:rPr>
              <w:t>1 103</w:t>
            </w:r>
          </w:p>
        </w:tc>
        <w:tc>
          <w:tcPr>
            <w:tcW w:w="950" w:type="dxa"/>
            <w:vAlign w:val="bottom"/>
          </w:tcPr>
          <w:p w:rsidR="00000000" w:rsidRDefault="00000000">
            <w:pPr>
              <w:spacing w:before="60" w:after="60"/>
              <w:jc w:val="right"/>
              <w:rPr>
                <w:sz w:val="22"/>
              </w:rPr>
            </w:pPr>
            <w:r>
              <w:rPr>
                <w:sz w:val="22"/>
              </w:rPr>
              <w:t>886</w:t>
            </w:r>
          </w:p>
        </w:tc>
        <w:tc>
          <w:tcPr>
            <w:tcW w:w="950" w:type="dxa"/>
            <w:vAlign w:val="bottom"/>
          </w:tcPr>
          <w:p w:rsidR="00000000" w:rsidRDefault="00000000">
            <w:pPr>
              <w:spacing w:before="60" w:after="60"/>
              <w:jc w:val="right"/>
              <w:rPr>
                <w:sz w:val="22"/>
              </w:rPr>
            </w:pPr>
            <w:r>
              <w:rPr>
                <w:sz w:val="22"/>
              </w:rPr>
              <w:t>217</w:t>
            </w:r>
          </w:p>
        </w:tc>
      </w:tr>
      <w:tr w:rsidR="00000000">
        <w:tblPrEx>
          <w:tblCellMar>
            <w:top w:w="0" w:type="dxa"/>
            <w:bottom w:w="0" w:type="dxa"/>
          </w:tblCellMar>
        </w:tblPrEx>
        <w:tc>
          <w:tcPr>
            <w:tcW w:w="949" w:type="dxa"/>
          </w:tcPr>
          <w:p w:rsidR="00000000" w:rsidRDefault="00000000">
            <w:pPr>
              <w:spacing w:before="60" w:after="60"/>
              <w:rPr>
                <w:sz w:val="22"/>
              </w:rPr>
            </w:pPr>
            <w:r>
              <w:rPr>
                <w:sz w:val="22"/>
              </w:rPr>
              <w:t>Nombre d’enfants en milliers</w:t>
            </w:r>
          </w:p>
        </w:tc>
        <w:tc>
          <w:tcPr>
            <w:tcW w:w="949" w:type="dxa"/>
            <w:vAlign w:val="bottom"/>
          </w:tcPr>
          <w:p w:rsidR="00000000" w:rsidRDefault="00000000">
            <w:pPr>
              <w:spacing w:before="60" w:after="60"/>
              <w:jc w:val="right"/>
              <w:rPr>
                <w:sz w:val="22"/>
              </w:rPr>
            </w:pPr>
            <w:r>
              <w:rPr>
                <w:sz w:val="22"/>
              </w:rPr>
              <w:t>124,4</w:t>
            </w:r>
          </w:p>
        </w:tc>
        <w:tc>
          <w:tcPr>
            <w:tcW w:w="949" w:type="dxa"/>
            <w:vAlign w:val="bottom"/>
          </w:tcPr>
          <w:p w:rsidR="00000000" w:rsidRDefault="00000000">
            <w:pPr>
              <w:spacing w:before="60" w:after="60"/>
              <w:jc w:val="right"/>
              <w:rPr>
                <w:sz w:val="22"/>
              </w:rPr>
            </w:pPr>
            <w:r>
              <w:rPr>
                <w:sz w:val="22"/>
              </w:rPr>
              <w:t>112,8</w:t>
            </w:r>
          </w:p>
        </w:tc>
        <w:tc>
          <w:tcPr>
            <w:tcW w:w="949" w:type="dxa"/>
            <w:vAlign w:val="bottom"/>
          </w:tcPr>
          <w:p w:rsidR="00000000" w:rsidRDefault="00000000">
            <w:pPr>
              <w:spacing w:before="60" w:after="60"/>
              <w:jc w:val="right"/>
              <w:rPr>
                <w:sz w:val="22"/>
              </w:rPr>
            </w:pPr>
            <w:r>
              <w:rPr>
                <w:sz w:val="22"/>
              </w:rPr>
              <w:t>11,6</w:t>
            </w:r>
          </w:p>
        </w:tc>
        <w:tc>
          <w:tcPr>
            <w:tcW w:w="950" w:type="dxa"/>
            <w:vAlign w:val="bottom"/>
          </w:tcPr>
          <w:p w:rsidR="00000000" w:rsidRDefault="00000000">
            <w:pPr>
              <w:spacing w:before="60" w:after="60"/>
              <w:jc w:val="right"/>
              <w:rPr>
                <w:sz w:val="22"/>
              </w:rPr>
            </w:pPr>
            <w:r>
              <w:rPr>
                <w:sz w:val="22"/>
              </w:rPr>
              <w:t>133,2</w:t>
            </w:r>
          </w:p>
        </w:tc>
        <w:tc>
          <w:tcPr>
            <w:tcW w:w="950" w:type="dxa"/>
            <w:vAlign w:val="bottom"/>
          </w:tcPr>
          <w:p w:rsidR="00000000" w:rsidRDefault="00000000">
            <w:pPr>
              <w:spacing w:before="60" w:after="60"/>
              <w:jc w:val="right"/>
              <w:rPr>
                <w:sz w:val="22"/>
              </w:rPr>
            </w:pPr>
            <w:r>
              <w:rPr>
                <w:sz w:val="22"/>
              </w:rPr>
              <w:t>123,9</w:t>
            </w:r>
          </w:p>
        </w:tc>
        <w:tc>
          <w:tcPr>
            <w:tcW w:w="950" w:type="dxa"/>
            <w:vAlign w:val="bottom"/>
          </w:tcPr>
          <w:p w:rsidR="00000000" w:rsidRDefault="00000000">
            <w:pPr>
              <w:spacing w:before="60" w:after="60"/>
              <w:jc w:val="right"/>
              <w:rPr>
                <w:sz w:val="22"/>
              </w:rPr>
            </w:pPr>
            <w:r>
              <w:rPr>
                <w:sz w:val="22"/>
              </w:rPr>
              <w:t>9,3</w:t>
            </w:r>
          </w:p>
        </w:tc>
        <w:tc>
          <w:tcPr>
            <w:tcW w:w="950" w:type="dxa"/>
            <w:vAlign w:val="bottom"/>
          </w:tcPr>
          <w:p w:rsidR="00000000" w:rsidRDefault="00000000">
            <w:pPr>
              <w:spacing w:before="60" w:after="60"/>
              <w:jc w:val="right"/>
              <w:rPr>
                <w:sz w:val="22"/>
              </w:rPr>
            </w:pPr>
            <w:r>
              <w:rPr>
                <w:sz w:val="22"/>
              </w:rPr>
              <w:t>140,4</w:t>
            </w:r>
          </w:p>
        </w:tc>
        <w:tc>
          <w:tcPr>
            <w:tcW w:w="950" w:type="dxa"/>
            <w:vAlign w:val="bottom"/>
          </w:tcPr>
          <w:p w:rsidR="00000000" w:rsidRDefault="00000000">
            <w:pPr>
              <w:spacing w:before="60" w:after="60"/>
              <w:jc w:val="right"/>
              <w:rPr>
                <w:sz w:val="22"/>
              </w:rPr>
            </w:pPr>
            <w:r>
              <w:rPr>
                <w:sz w:val="22"/>
              </w:rPr>
              <w:t>128,0</w:t>
            </w:r>
          </w:p>
        </w:tc>
        <w:tc>
          <w:tcPr>
            <w:tcW w:w="950" w:type="dxa"/>
            <w:vAlign w:val="bottom"/>
          </w:tcPr>
          <w:p w:rsidR="00000000" w:rsidRDefault="00000000">
            <w:pPr>
              <w:spacing w:before="60" w:after="60"/>
              <w:jc w:val="right"/>
              <w:rPr>
                <w:sz w:val="22"/>
              </w:rPr>
            </w:pPr>
            <w:r>
              <w:rPr>
                <w:sz w:val="22"/>
              </w:rPr>
              <w:t>12,4</w:t>
            </w:r>
          </w:p>
        </w:tc>
      </w:tr>
    </w:tbl>
    <w:p w:rsidR="00000000" w:rsidRDefault="00000000">
      <w:pPr>
        <w:spacing w:before="240" w:after="240"/>
      </w:pPr>
    </w:p>
    <w:p w:rsidR="00000000" w:rsidRDefault="00000000">
      <w:pPr>
        <w:keepNext/>
        <w:spacing w:before="240" w:after="240"/>
        <w:jc w:val="center"/>
        <w:rPr>
          <w:b/>
          <w:bCs/>
        </w:rPr>
      </w:pPr>
      <w:r>
        <w:rPr>
          <w:b/>
          <w:bCs/>
        </w:rPr>
        <w:t>Tableau 16 b)</w:t>
      </w:r>
    </w:p>
    <w:p w:rsidR="00000000" w:rsidRDefault="00000000">
      <w:pPr>
        <w:keepNext/>
        <w:spacing w:after="240"/>
        <w:jc w:val="center"/>
      </w:pPr>
      <w:r>
        <w:rPr>
          <w:b/>
          <w:bCs/>
        </w:rPr>
        <w:t>Écoles publiques d’enseignement général (situation au début de l’année scolaire indiquée)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7"/>
        <w:gridCol w:w="801"/>
        <w:gridCol w:w="942"/>
        <w:gridCol w:w="885"/>
        <w:gridCol w:w="802"/>
        <w:gridCol w:w="943"/>
        <w:gridCol w:w="885"/>
        <w:gridCol w:w="802"/>
        <w:gridCol w:w="943"/>
        <w:gridCol w:w="885"/>
      </w:tblGrid>
      <w:tr w:rsidR="00000000">
        <w:tblPrEx>
          <w:tblCellMar>
            <w:top w:w="0" w:type="dxa"/>
            <w:bottom w:w="0" w:type="dxa"/>
          </w:tblCellMar>
        </w:tblPrEx>
        <w:trPr>
          <w:cantSplit/>
        </w:trPr>
        <w:tc>
          <w:tcPr>
            <w:tcW w:w="949" w:type="dxa"/>
            <w:vMerge w:val="restart"/>
          </w:tcPr>
          <w:p w:rsidR="00000000" w:rsidRDefault="00000000">
            <w:pPr>
              <w:spacing w:before="60" w:after="60"/>
              <w:rPr>
                <w:sz w:val="22"/>
              </w:rPr>
            </w:pPr>
          </w:p>
        </w:tc>
        <w:tc>
          <w:tcPr>
            <w:tcW w:w="2847" w:type="dxa"/>
            <w:gridSpan w:val="3"/>
          </w:tcPr>
          <w:p w:rsidR="00000000" w:rsidRDefault="00000000">
            <w:pPr>
              <w:spacing w:before="60" w:after="60"/>
              <w:jc w:val="center"/>
              <w:rPr>
                <w:sz w:val="22"/>
              </w:rPr>
            </w:pPr>
            <w:r>
              <w:rPr>
                <w:sz w:val="22"/>
              </w:rPr>
              <w:t>1999/2000</w:t>
            </w:r>
          </w:p>
        </w:tc>
        <w:tc>
          <w:tcPr>
            <w:tcW w:w="2850" w:type="dxa"/>
            <w:gridSpan w:val="3"/>
          </w:tcPr>
          <w:p w:rsidR="00000000" w:rsidRDefault="00000000">
            <w:pPr>
              <w:spacing w:before="60" w:after="60"/>
              <w:jc w:val="center"/>
              <w:rPr>
                <w:sz w:val="22"/>
              </w:rPr>
            </w:pPr>
            <w:r>
              <w:rPr>
                <w:sz w:val="22"/>
              </w:rPr>
              <w:t>2000/2001</w:t>
            </w:r>
          </w:p>
        </w:tc>
        <w:tc>
          <w:tcPr>
            <w:tcW w:w="2850" w:type="dxa"/>
            <w:gridSpan w:val="3"/>
          </w:tcPr>
          <w:p w:rsidR="00000000" w:rsidRDefault="00000000">
            <w:pPr>
              <w:spacing w:before="60" w:after="60"/>
              <w:jc w:val="center"/>
              <w:rPr>
                <w:sz w:val="22"/>
              </w:rPr>
            </w:pPr>
            <w:r>
              <w:rPr>
                <w:sz w:val="22"/>
              </w:rPr>
              <w:t>2001/2002</w:t>
            </w:r>
          </w:p>
        </w:tc>
      </w:tr>
      <w:tr w:rsidR="00000000">
        <w:tblPrEx>
          <w:tblCellMar>
            <w:top w:w="0" w:type="dxa"/>
            <w:bottom w:w="0" w:type="dxa"/>
          </w:tblCellMar>
        </w:tblPrEx>
        <w:trPr>
          <w:cantSplit/>
        </w:trPr>
        <w:tc>
          <w:tcPr>
            <w:tcW w:w="949" w:type="dxa"/>
            <w:vMerge/>
          </w:tcPr>
          <w:p w:rsidR="00000000" w:rsidRDefault="00000000">
            <w:pPr>
              <w:spacing w:before="60" w:after="60"/>
              <w:rPr>
                <w:sz w:val="22"/>
              </w:rPr>
            </w:pPr>
          </w:p>
        </w:tc>
        <w:tc>
          <w:tcPr>
            <w:tcW w:w="949" w:type="dxa"/>
            <w:vMerge w:val="restart"/>
            <w:vAlign w:val="center"/>
          </w:tcPr>
          <w:p w:rsidR="00000000" w:rsidRDefault="00000000">
            <w:pPr>
              <w:spacing w:before="60" w:after="60"/>
              <w:jc w:val="center"/>
              <w:rPr>
                <w:sz w:val="22"/>
              </w:rPr>
            </w:pPr>
            <w:r>
              <w:rPr>
                <w:sz w:val="22"/>
              </w:rPr>
              <w:t>Total</w:t>
            </w:r>
          </w:p>
        </w:tc>
        <w:tc>
          <w:tcPr>
            <w:tcW w:w="1898" w:type="dxa"/>
            <w:gridSpan w:val="2"/>
          </w:tcPr>
          <w:p w:rsidR="00000000" w:rsidRDefault="00000000">
            <w:pPr>
              <w:spacing w:before="60" w:after="60"/>
              <w:jc w:val="center"/>
              <w:rPr>
                <w:sz w:val="22"/>
              </w:rPr>
            </w:pPr>
            <w:r>
              <w:rPr>
                <w:sz w:val="22"/>
              </w:rPr>
              <w:t>dont:</w:t>
            </w:r>
          </w:p>
        </w:tc>
        <w:tc>
          <w:tcPr>
            <w:tcW w:w="950" w:type="dxa"/>
            <w:vMerge w:val="restart"/>
            <w:vAlign w:val="center"/>
          </w:tcPr>
          <w:p w:rsidR="00000000" w:rsidRDefault="00000000">
            <w:pPr>
              <w:spacing w:before="60" w:after="60"/>
              <w:jc w:val="center"/>
              <w:rPr>
                <w:sz w:val="22"/>
              </w:rPr>
            </w:pPr>
            <w:r>
              <w:rPr>
                <w:sz w:val="22"/>
              </w:rPr>
              <w:t>Total</w:t>
            </w:r>
          </w:p>
        </w:tc>
        <w:tc>
          <w:tcPr>
            <w:tcW w:w="1900" w:type="dxa"/>
            <w:gridSpan w:val="2"/>
          </w:tcPr>
          <w:p w:rsidR="00000000" w:rsidRDefault="00000000">
            <w:pPr>
              <w:spacing w:before="60" w:after="60"/>
              <w:jc w:val="center"/>
              <w:rPr>
                <w:sz w:val="22"/>
              </w:rPr>
            </w:pPr>
            <w:r>
              <w:rPr>
                <w:sz w:val="22"/>
              </w:rPr>
              <w:t>dont:</w:t>
            </w:r>
          </w:p>
        </w:tc>
        <w:tc>
          <w:tcPr>
            <w:tcW w:w="950" w:type="dxa"/>
            <w:vMerge w:val="restart"/>
            <w:vAlign w:val="center"/>
          </w:tcPr>
          <w:p w:rsidR="00000000" w:rsidRDefault="00000000">
            <w:pPr>
              <w:spacing w:before="60" w:after="60"/>
              <w:jc w:val="center"/>
              <w:rPr>
                <w:sz w:val="22"/>
              </w:rPr>
            </w:pPr>
            <w:r>
              <w:rPr>
                <w:sz w:val="22"/>
              </w:rPr>
              <w:t>Total</w:t>
            </w:r>
          </w:p>
        </w:tc>
        <w:tc>
          <w:tcPr>
            <w:tcW w:w="1900" w:type="dxa"/>
            <w:gridSpan w:val="2"/>
          </w:tcPr>
          <w:p w:rsidR="00000000" w:rsidRDefault="00000000">
            <w:pPr>
              <w:spacing w:before="60" w:after="60"/>
              <w:jc w:val="center"/>
              <w:rPr>
                <w:sz w:val="22"/>
              </w:rPr>
            </w:pPr>
            <w:r>
              <w:rPr>
                <w:sz w:val="22"/>
              </w:rPr>
              <w:t>dont:</w:t>
            </w:r>
          </w:p>
        </w:tc>
      </w:tr>
      <w:tr w:rsidR="00000000">
        <w:tblPrEx>
          <w:tblCellMar>
            <w:top w:w="0" w:type="dxa"/>
            <w:bottom w:w="0" w:type="dxa"/>
          </w:tblCellMar>
        </w:tblPrEx>
        <w:trPr>
          <w:cantSplit/>
        </w:trPr>
        <w:tc>
          <w:tcPr>
            <w:tcW w:w="949" w:type="dxa"/>
            <w:vMerge/>
          </w:tcPr>
          <w:p w:rsidR="00000000" w:rsidRDefault="00000000">
            <w:pPr>
              <w:spacing w:before="60" w:after="60"/>
              <w:rPr>
                <w:sz w:val="22"/>
              </w:rPr>
            </w:pPr>
          </w:p>
        </w:tc>
        <w:tc>
          <w:tcPr>
            <w:tcW w:w="949" w:type="dxa"/>
            <w:vMerge/>
          </w:tcPr>
          <w:p w:rsidR="00000000" w:rsidRDefault="00000000">
            <w:pPr>
              <w:spacing w:before="60" w:after="60"/>
              <w:rPr>
                <w:sz w:val="22"/>
              </w:rPr>
            </w:pPr>
          </w:p>
        </w:tc>
        <w:tc>
          <w:tcPr>
            <w:tcW w:w="949" w:type="dxa"/>
          </w:tcPr>
          <w:p w:rsidR="00000000" w:rsidRDefault="00000000">
            <w:pPr>
              <w:spacing w:before="60" w:after="60"/>
              <w:jc w:val="center"/>
              <w:rPr>
                <w:sz w:val="22"/>
              </w:rPr>
            </w:pPr>
            <w:r>
              <w:rPr>
                <w:sz w:val="22"/>
              </w:rPr>
              <w:t>Urbaines</w:t>
            </w:r>
          </w:p>
        </w:tc>
        <w:tc>
          <w:tcPr>
            <w:tcW w:w="949" w:type="dxa"/>
          </w:tcPr>
          <w:p w:rsidR="00000000" w:rsidRDefault="00000000">
            <w:pPr>
              <w:spacing w:before="60" w:after="60"/>
              <w:jc w:val="center"/>
              <w:rPr>
                <w:sz w:val="22"/>
              </w:rPr>
            </w:pPr>
            <w:r>
              <w:rPr>
                <w:sz w:val="22"/>
              </w:rPr>
              <w:t>Rurales</w:t>
            </w:r>
          </w:p>
        </w:tc>
        <w:tc>
          <w:tcPr>
            <w:tcW w:w="950" w:type="dxa"/>
            <w:vMerge/>
          </w:tcPr>
          <w:p w:rsidR="00000000" w:rsidRDefault="00000000">
            <w:pPr>
              <w:spacing w:before="60" w:after="60"/>
              <w:jc w:val="center"/>
              <w:rPr>
                <w:sz w:val="22"/>
              </w:rPr>
            </w:pPr>
          </w:p>
        </w:tc>
        <w:tc>
          <w:tcPr>
            <w:tcW w:w="950" w:type="dxa"/>
          </w:tcPr>
          <w:p w:rsidR="00000000" w:rsidRDefault="00000000">
            <w:pPr>
              <w:spacing w:before="60" w:after="60"/>
              <w:jc w:val="center"/>
              <w:rPr>
                <w:sz w:val="22"/>
              </w:rPr>
            </w:pPr>
            <w:r>
              <w:rPr>
                <w:sz w:val="22"/>
              </w:rPr>
              <w:t>Urbaines</w:t>
            </w:r>
          </w:p>
        </w:tc>
        <w:tc>
          <w:tcPr>
            <w:tcW w:w="950" w:type="dxa"/>
          </w:tcPr>
          <w:p w:rsidR="00000000" w:rsidRDefault="00000000">
            <w:pPr>
              <w:spacing w:before="60" w:after="60"/>
              <w:jc w:val="center"/>
              <w:rPr>
                <w:sz w:val="22"/>
              </w:rPr>
            </w:pPr>
            <w:r>
              <w:rPr>
                <w:sz w:val="22"/>
              </w:rPr>
              <w:t>Rurales</w:t>
            </w:r>
          </w:p>
        </w:tc>
        <w:tc>
          <w:tcPr>
            <w:tcW w:w="950" w:type="dxa"/>
            <w:vMerge/>
          </w:tcPr>
          <w:p w:rsidR="00000000" w:rsidRDefault="00000000">
            <w:pPr>
              <w:spacing w:before="60" w:after="60"/>
              <w:rPr>
                <w:sz w:val="22"/>
              </w:rPr>
            </w:pPr>
          </w:p>
        </w:tc>
        <w:tc>
          <w:tcPr>
            <w:tcW w:w="950" w:type="dxa"/>
          </w:tcPr>
          <w:p w:rsidR="00000000" w:rsidRDefault="00000000">
            <w:pPr>
              <w:spacing w:before="60" w:after="60"/>
              <w:jc w:val="center"/>
              <w:rPr>
                <w:sz w:val="22"/>
              </w:rPr>
            </w:pPr>
            <w:r>
              <w:rPr>
                <w:sz w:val="22"/>
              </w:rPr>
              <w:t>Urbaines</w:t>
            </w:r>
          </w:p>
        </w:tc>
        <w:tc>
          <w:tcPr>
            <w:tcW w:w="950" w:type="dxa"/>
          </w:tcPr>
          <w:p w:rsidR="00000000" w:rsidRDefault="00000000">
            <w:pPr>
              <w:spacing w:before="60" w:after="60"/>
              <w:jc w:val="center"/>
              <w:rPr>
                <w:sz w:val="22"/>
              </w:rPr>
            </w:pPr>
            <w:r>
              <w:rPr>
                <w:sz w:val="22"/>
              </w:rPr>
              <w:t>Rurales</w:t>
            </w:r>
          </w:p>
        </w:tc>
      </w:tr>
      <w:tr w:rsidR="00000000">
        <w:tblPrEx>
          <w:tblCellMar>
            <w:top w:w="0" w:type="dxa"/>
            <w:bottom w:w="0" w:type="dxa"/>
          </w:tblCellMar>
        </w:tblPrEx>
        <w:tc>
          <w:tcPr>
            <w:tcW w:w="949" w:type="dxa"/>
          </w:tcPr>
          <w:p w:rsidR="00000000" w:rsidRDefault="00000000">
            <w:pPr>
              <w:spacing w:before="60" w:after="60"/>
              <w:rPr>
                <w:sz w:val="22"/>
              </w:rPr>
            </w:pPr>
            <w:r>
              <w:rPr>
                <w:sz w:val="22"/>
              </w:rPr>
              <w:t>Nombre total d’établissements</w:t>
            </w:r>
          </w:p>
        </w:tc>
        <w:tc>
          <w:tcPr>
            <w:tcW w:w="949" w:type="dxa"/>
            <w:vAlign w:val="bottom"/>
          </w:tcPr>
          <w:p w:rsidR="00000000" w:rsidRDefault="00000000">
            <w:pPr>
              <w:spacing w:before="60" w:after="60"/>
              <w:jc w:val="right"/>
              <w:rPr>
                <w:sz w:val="22"/>
              </w:rPr>
            </w:pPr>
            <w:r>
              <w:rPr>
                <w:sz w:val="22"/>
              </w:rPr>
              <w:t>8 091</w:t>
            </w:r>
          </w:p>
        </w:tc>
        <w:tc>
          <w:tcPr>
            <w:tcW w:w="949" w:type="dxa"/>
            <w:vAlign w:val="bottom"/>
          </w:tcPr>
          <w:p w:rsidR="00000000" w:rsidRDefault="00000000">
            <w:pPr>
              <w:spacing w:before="60" w:after="60"/>
              <w:jc w:val="right"/>
              <w:rPr>
                <w:sz w:val="22"/>
              </w:rPr>
            </w:pPr>
            <w:r>
              <w:rPr>
                <w:sz w:val="22"/>
              </w:rPr>
              <w:t>1 921</w:t>
            </w:r>
          </w:p>
        </w:tc>
        <w:tc>
          <w:tcPr>
            <w:tcW w:w="949" w:type="dxa"/>
            <w:vAlign w:val="bottom"/>
          </w:tcPr>
          <w:p w:rsidR="00000000" w:rsidRDefault="00000000">
            <w:pPr>
              <w:spacing w:before="60" w:after="60"/>
              <w:jc w:val="right"/>
              <w:rPr>
                <w:sz w:val="22"/>
              </w:rPr>
            </w:pPr>
            <w:r>
              <w:rPr>
                <w:sz w:val="22"/>
              </w:rPr>
              <w:t>6 170</w:t>
            </w:r>
          </w:p>
        </w:tc>
        <w:tc>
          <w:tcPr>
            <w:tcW w:w="950" w:type="dxa"/>
            <w:vAlign w:val="bottom"/>
          </w:tcPr>
          <w:p w:rsidR="00000000" w:rsidRDefault="00000000">
            <w:pPr>
              <w:spacing w:before="60" w:after="60"/>
              <w:jc w:val="right"/>
              <w:rPr>
                <w:sz w:val="22"/>
              </w:rPr>
            </w:pPr>
            <w:r>
              <w:rPr>
                <w:sz w:val="22"/>
              </w:rPr>
              <w:t>8 153</w:t>
            </w:r>
          </w:p>
        </w:tc>
        <w:tc>
          <w:tcPr>
            <w:tcW w:w="950" w:type="dxa"/>
            <w:vAlign w:val="bottom"/>
          </w:tcPr>
          <w:p w:rsidR="00000000" w:rsidRDefault="00000000">
            <w:pPr>
              <w:spacing w:before="60" w:after="60"/>
              <w:jc w:val="right"/>
              <w:rPr>
                <w:sz w:val="22"/>
              </w:rPr>
            </w:pPr>
            <w:r>
              <w:rPr>
                <w:sz w:val="22"/>
              </w:rPr>
              <w:t>1 902</w:t>
            </w:r>
          </w:p>
        </w:tc>
        <w:tc>
          <w:tcPr>
            <w:tcW w:w="950" w:type="dxa"/>
            <w:vAlign w:val="bottom"/>
          </w:tcPr>
          <w:p w:rsidR="00000000" w:rsidRDefault="00000000">
            <w:pPr>
              <w:spacing w:before="60" w:after="60"/>
              <w:jc w:val="right"/>
              <w:rPr>
                <w:sz w:val="22"/>
              </w:rPr>
            </w:pPr>
            <w:r>
              <w:rPr>
                <w:sz w:val="22"/>
              </w:rPr>
              <w:t>6 251</w:t>
            </w:r>
          </w:p>
        </w:tc>
        <w:tc>
          <w:tcPr>
            <w:tcW w:w="950" w:type="dxa"/>
            <w:vAlign w:val="bottom"/>
          </w:tcPr>
          <w:p w:rsidR="00000000" w:rsidRDefault="00000000">
            <w:pPr>
              <w:spacing w:before="60" w:after="60"/>
              <w:jc w:val="right"/>
              <w:rPr>
                <w:sz w:val="22"/>
              </w:rPr>
            </w:pPr>
            <w:r>
              <w:rPr>
                <w:sz w:val="22"/>
              </w:rPr>
              <w:t>8 240</w:t>
            </w:r>
          </w:p>
        </w:tc>
        <w:tc>
          <w:tcPr>
            <w:tcW w:w="950" w:type="dxa"/>
            <w:vAlign w:val="bottom"/>
          </w:tcPr>
          <w:p w:rsidR="00000000" w:rsidRDefault="00000000">
            <w:pPr>
              <w:spacing w:before="60" w:after="60"/>
              <w:jc w:val="right"/>
              <w:rPr>
                <w:sz w:val="22"/>
              </w:rPr>
            </w:pPr>
            <w:r>
              <w:rPr>
                <w:sz w:val="22"/>
              </w:rPr>
              <w:t>2 015</w:t>
            </w:r>
          </w:p>
        </w:tc>
        <w:tc>
          <w:tcPr>
            <w:tcW w:w="950" w:type="dxa"/>
            <w:vAlign w:val="bottom"/>
          </w:tcPr>
          <w:p w:rsidR="00000000" w:rsidRDefault="00000000">
            <w:pPr>
              <w:spacing w:before="60" w:after="60"/>
              <w:jc w:val="right"/>
              <w:rPr>
                <w:sz w:val="22"/>
              </w:rPr>
            </w:pPr>
            <w:r>
              <w:rPr>
                <w:sz w:val="22"/>
              </w:rPr>
              <w:t>6 225</w:t>
            </w:r>
          </w:p>
        </w:tc>
      </w:tr>
      <w:tr w:rsidR="00000000">
        <w:tblPrEx>
          <w:tblCellMar>
            <w:top w:w="0" w:type="dxa"/>
            <w:bottom w:w="0" w:type="dxa"/>
          </w:tblCellMar>
        </w:tblPrEx>
        <w:tc>
          <w:tcPr>
            <w:tcW w:w="949" w:type="dxa"/>
          </w:tcPr>
          <w:p w:rsidR="00000000" w:rsidRDefault="00000000">
            <w:pPr>
              <w:spacing w:before="60" w:after="60"/>
              <w:rPr>
                <w:sz w:val="22"/>
              </w:rPr>
            </w:pPr>
            <w:r>
              <w:rPr>
                <w:sz w:val="22"/>
              </w:rPr>
              <w:t>Nombre d’élèves en milliers</w:t>
            </w:r>
          </w:p>
        </w:tc>
        <w:tc>
          <w:tcPr>
            <w:tcW w:w="949" w:type="dxa"/>
            <w:vAlign w:val="bottom"/>
          </w:tcPr>
          <w:p w:rsidR="00000000" w:rsidRDefault="00000000">
            <w:pPr>
              <w:spacing w:before="60" w:after="60"/>
              <w:jc w:val="right"/>
              <w:rPr>
                <w:sz w:val="22"/>
              </w:rPr>
            </w:pPr>
            <w:r>
              <w:rPr>
                <w:sz w:val="22"/>
              </w:rPr>
              <w:t>3 101,4</w:t>
            </w:r>
          </w:p>
        </w:tc>
        <w:tc>
          <w:tcPr>
            <w:tcW w:w="949" w:type="dxa"/>
            <w:vAlign w:val="bottom"/>
          </w:tcPr>
          <w:p w:rsidR="00000000" w:rsidRDefault="00000000">
            <w:pPr>
              <w:spacing w:before="60" w:after="60"/>
              <w:jc w:val="right"/>
              <w:rPr>
                <w:sz w:val="22"/>
              </w:rPr>
            </w:pPr>
            <w:r>
              <w:rPr>
                <w:sz w:val="22"/>
              </w:rPr>
              <w:t>1 606,7</w:t>
            </w:r>
          </w:p>
        </w:tc>
        <w:tc>
          <w:tcPr>
            <w:tcW w:w="949" w:type="dxa"/>
            <w:vAlign w:val="bottom"/>
          </w:tcPr>
          <w:p w:rsidR="00000000" w:rsidRDefault="00000000">
            <w:pPr>
              <w:spacing w:before="60" w:after="60"/>
              <w:jc w:val="right"/>
              <w:rPr>
                <w:sz w:val="22"/>
              </w:rPr>
            </w:pPr>
            <w:r>
              <w:rPr>
                <w:sz w:val="22"/>
              </w:rPr>
              <w:t>1 494,6</w:t>
            </w:r>
          </w:p>
        </w:tc>
        <w:tc>
          <w:tcPr>
            <w:tcW w:w="950" w:type="dxa"/>
            <w:vAlign w:val="bottom"/>
          </w:tcPr>
          <w:p w:rsidR="00000000" w:rsidRDefault="00000000">
            <w:pPr>
              <w:spacing w:before="60" w:after="60"/>
              <w:jc w:val="right"/>
              <w:rPr>
                <w:sz w:val="22"/>
              </w:rPr>
            </w:pPr>
            <w:r>
              <w:rPr>
                <w:sz w:val="22"/>
              </w:rPr>
              <w:t>3 229,1</w:t>
            </w:r>
          </w:p>
        </w:tc>
        <w:tc>
          <w:tcPr>
            <w:tcW w:w="950" w:type="dxa"/>
            <w:vAlign w:val="bottom"/>
          </w:tcPr>
          <w:p w:rsidR="00000000" w:rsidRDefault="00000000">
            <w:pPr>
              <w:spacing w:before="60" w:after="60"/>
              <w:jc w:val="right"/>
              <w:rPr>
                <w:sz w:val="22"/>
              </w:rPr>
            </w:pPr>
            <w:r>
              <w:rPr>
                <w:sz w:val="22"/>
              </w:rPr>
              <w:t>1 622,7</w:t>
            </w:r>
          </w:p>
        </w:tc>
        <w:tc>
          <w:tcPr>
            <w:tcW w:w="950" w:type="dxa"/>
            <w:vAlign w:val="bottom"/>
          </w:tcPr>
          <w:p w:rsidR="00000000" w:rsidRDefault="00000000">
            <w:pPr>
              <w:spacing w:before="60" w:after="60"/>
              <w:jc w:val="right"/>
              <w:rPr>
                <w:sz w:val="22"/>
              </w:rPr>
            </w:pPr>
            <w:r>
              <w:rPr>
                <w:sz w:val="22"/>
              </w:rPr>
              <w:t>1 606,4</w:t>
            </w:r>
          </w:p>
        </w:tc>
        <w:tc>
          <w:tcPr>
            <w:tcW w:w="950" w:type="dxa"/>
            <w:vAlign w:val="bottom"/>
          </w:tcPr>
          <w:p w:rsidR="00000000" w:rsidRDefault="00000000">
            <w:pPr>
              <w:spacing w:before="60" w:after="60"/>
              <w:jc w:val="right"/>
              <w:rPr>
                <w:sz w:val="22"/>
              </w:rPr>
            </w:pPr>
            <w:r>
              <w:rPr>
                <w:sz w:val="22"/>
              </w:rPr>
              <w:t>3 063,7</w:t>
            </w:r>
          </w:p>
        </w:tc>
        <w:tc>
          <w:tcPr>
            <w:tcW w:w="950" w:type="dxa"/>
            <w:vAlign w:val="bottom"/>
          </w:tcPr>
          <w:p w:rsidR="00000000" w:rsidRDefault="00000000">
            <w:pPr>
              <w:spacing w:before="60" w:after="60"/>
              <w:jc w:val="right"/>
              <w:rPr>
                <w:sz w:val="22"/>
              </w:rPr>
            </w:pPr>
            <w:r>
              <w:rPr>
                <w:sz w:val="22"/>
              </w:rPr>
              <w:t>1 604,90</w:t>
            </w:r>
          </w:p>
        </w:tc>
        <w:tc>
          <w:tcPr>
            <w:tcW w:w="950" w:type="dxa"/>
            <w:vAlign w:val="bottom"/>
          </w:tcPr>
          <w:p w:rsidR="00000000" w:rsidRDefault="00000000">
            <w:pPr>
              <w:spacing w:before="60" w:after="60"/>
              <w:jc w:val="right"/>
              <w:rPr>
                <w:sz w:val="22"/>
              </w:rPr>
            </w:pPr>
            <w:r>
              <w:rPr>
                <w:sz w:val="22"/>
              </w:rPr>
              <w:t>1 458,8</w:t>
            </w:r>
          </w:p>
        </w:tc>
      </w:tr>
    </w:tbl>
    <w:p w:rsidR="00000000" w:rsidRDefault="00000000">
      <w:pPr>
        <w:keepNext/>
        <w:spacing w:before="240" w:after="240"/>
        <w:jc w:val="center"/>
        <w:rPr>
          <w:b/>
          <w:bCs/>
        </w:rPr>
      </w:pPr>
      <w:r>
        <w:rPr>
          <w:b/>
          <w:bCs/>
        </w:rPr>
        <w:t>Tableau 17</w:t>
      </w:r>
    </w:p>
    <w:p w:rsidR="00000000" w:rsidRDefault="00000000">
      <w:pPr>
        <w:keepNext/>
        <w:spacing w:after="240"/>
        <w:jc w:val="center"/>
      </w:pPr>
      <w:r>
        <w:rPr>
          <w:b/>
          <w:bCs/>
        </w:rPr>
        <w:t>Nombre d’élèves fréquentant les écoles d’enseignement général par langue d’enseignement</w:t>
      </w:r>
      <w:r>
        <w:rPr>
          <w:b/>
          <w:bCs/>
        </w:rPr>
        <w:br/>
        <w:t>(situation au début de l’année scolaire indiquée)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Pr>
          <w:p w:rsidR="00000000" w:rsidRDefault="00000000">
            <w:pPr>
              <w:spacing w:before="60" w:after="60"/>
              <w:rPr>
                <w:sz w:val="22"/>
              </w:rPr>
            </w:pPr>
          </w:p>
        </w:tc>
        <w:tc>
          <w:tcPr>
            <w:tcW w:w="2374" w:type="dxa"/>
          </w:tcPr>
          <w:p w:rsidR="00000000" w:rsidRDefault="00000000">
            <w:pPr>
              <w:spacing w:before="60" w:after="60"/>
              <w:jc w:val="center"/>
              <w:rPr>
                <w:sz w:val="22"/>
                <w:lang w:val="en-GB"/>
              </w:rPr>
            </w:pPr>
            <w:r>
              <w:rPr>
                <w:sz w:val="22"/>
                <w:lang w:val="en-GB"/>
              </w:rPr>
              <w:t>1999/2000</w:t>
            </w:r>
          </w:p>
        </w:tc>
        <w:tc>
          <w:tcPr>
            <w:tcW w:w="2374" w:type="dxa"/>
          </w:tcPr>
          <w:p w:rsidR="00000000" w:rsidRDefault="00000000">
            <w:pPr>
              <w:spacing w:before="60" w:after="60"/>
              <w:jc w:val="center"/>
              <w:rPr>
                <w:sz w:val="22"/>
                <w:lang w:val="en-GB"/>
              </w:rPr>
            </w:pPr>
            <w:r>
              <w:rPr>
                <w:sz w:val="22"/>
                <w:lang w:val="en-GB"/>
              </w:rPr>
              <w:t>2000/2001</w:t>
            </w:r>
          </w:p>
        </w:tc>
        <w:tc>
          <w:tcPr>
            <w:tcW w:w="2374" w:type="dxa"/>
          </w:tcPr>
          <w:p w:rsidR="00000000" w:rsidRDefault="00000000">
            <w:pPr>
              <w:spacing w:before="60" w:after="60"/>
              <w:jc w:val="center"/>
              <w:rPr>
                <w:sz w:val="22"/>
                <w:lang w:val="en-GB"/>
              </w:rPr>
            </w:pPr>
            <w:r>
              <w:rPr>
                <w:sz w:val="22"/>
                <w:lang w:val="en-GB"/>
              </w:rPr>
              <w:t>2001/2002</w:t>
            </w:r>
          </w:p>
        </w:tc>
      </w:tr>
      <w:tr w:rsidR="00000000">
        <w:tblPrEx>
          <w:tblCellMar>
            <w:top w:w="0" w:type="dxa"/>
            <w:bottom w:w="0" w:type="dxa"/>
          </w:tblCellMar>
        </w:tblPrEx>
        <w:tc>
          <w:tcPr>
            <w:tcW w:w="2374" w:type="dxa"/>
          </w:tcPr>
          <w:p w:rsidR="00000000" w:rsidRDefault="00000000">
            <w:pPr>
              <w:spacing w:before="60" w:after="60"/>
              <w:rPr>
                <w:sz w:val="22"/>
                <w:lang w:val="en-GB"/>
              </w:rPr>
            </w:pPr>
            <w:r>
              <w:rPr>
                <w:sz w:val="22"/>
                <w:lang w:val="en-GB"/>
              </w:rPr>
              <w:t>Kazakhs</w:t>
            </w:r>
          </w:p>
        </w:tc>
        <w:tc>
          <w:tcPr>
            <w:tcW w:w="2374" w:type="dxa"/>
          </w:tcPr>
          <w:p w:rsidR="00000000" w:rsidRDefault="00000000">
            <w:pPr>
              <w:spacing w:before="60" w:after="60"/>
              <w:jc w:val="right"/>
              <w:rPr>
                <w:sz w:val="22"/>
                <w:lang w:val="en-GB"/>
              </w:rPr>
            </w:pPr>
            <w:r>
              <w:rPr>
                <w:sz w:val="22"/>
                <w:lang w:val="en-GB"/>
              </w:rPr>
              <w:t>1 568 900</w:t>
            </w:r>
          </w:p>
        </w:tc>
        <w:tc>
          <w:tcPr>
            <w:tcW w:w="2374" w:type="dxa"/>
          </w:tcPr>
          <w:p w:rsidR="00000000" w:rsidRDefault="00000000">
            <w:pPr>
              <w:spacing w:before="60" w:after="60"/>
              <w:jc w:val="right"/>
              <w:rPr>
                <w:sz w:val="22"/>
                <w:lang w:val="en-GB"/>
              </w:rPr>
            </w:pPr>
            <w:r>
              <w:rPr>
                <w:sz w:val="22"/>
                <w:lang w:val="en-GB"/>
              </w:rPr>
              <w:t>1 692 700</w:t>
            </w:r>
          </w:p>
        </w:tc>
        <w:tc>
          <w:tcPr>
            <w:tcW w:w="2374" w:type="dxa"/>
          </w:tcPr>
          <w:p w:rsidR="00000000" w:rsidRDefault="00000000">
            <w:pPr>
              <w:spacing w:before="60" w:after="60"/>
              <w:jc w:val="right"/>
              <w:rPr>
                <w:sz w:val="22"/>
                <w:lang w:val="en-GB"/>
              </w:rPr>
            </w:pPr>
            <w:r>
              <w:rPr>
                <w:sz w:val="22"/>
                <w:lang w:val="en-GB"/>
              </w:rPr>
              <w:t>1 631 500</w:t>
            </w:r>
          </w:p>
        </w:tc>
      </w:tr>
      <w:tr w:rsidR="00000000">
        <w:tblPrEx>
          <w:tblCellMar>
            <w:top w:w="0" w:type="dxa"/>
            <w:bottom w:w="0" w:type="dxa"/>
          </w:tblCellMar>
        </w:tblPrEx>
        <w:tc>
          <w:tcPr>
            <w:tcW w:w="2374" w:type="dxa"/>
          </w:tcPr>
          <w:p w:rsidR="00000000" w:rsidRDefault="00000000">
            <w:pPr>
              <w:spacing w:before="60" w:after="60"/>
              <w:rPr>
                <w:sz w:val="22"/>
                <w:lang w:val="en-GB"/>
              </w:rPr>
            </w:pPr>
            <w:r>
              <w:rPr>
                <w:sz w:val="22"/>
                <w:lang w:val="en-GB"/>
              </w:rPr>
              <w:t>Russes</w:t>
            </w:r>
          </w:p>
        </w:tc>
        <w:tc>
          <w:tcPr>
            <w:tcW w:w="2374" w:type="dxa"/>
          </w:tcPr>
          <w:p w:rsidR="00000000" w:rsidRDefault="00000000">
            <w:pPr>
              <w:spacing w:before="60" w:after="60"/>
              <w:jc w:val="right"/>
              <w:rPr>
                <w:sz w:val="22"/>
                <w:lang w:val="en-GB"/>
              </w:rPr>
            </w:pPr>
            <w:r>
              <w:rPr>
                <w:sz w:val="22"/>
                <w:lang w:val="en-GB"/>
              </w:rPr>
              <w:t>1 422 700</w:t>
            </w:r>
          </w:p>
        </w:tc>
        <w:tc>
          <w:tcPr>
            <w:tcW w:w="2374" w:type="dxa"/>
          </w:tcPr>
          <w:p w:rsidR="00000000" w:rsidRDefault="00000000">
            <w:pPr>
              <w:spacing w:before="60" w:after="60"/>
              <w:jc w:val="right"/>
              <w:rPr>
                <w:sz w:val="22"/>
                <w:lang w:val="en-GB"/>
              </w:rPr>
            </w:pPr>
            <w:r>
              <w:rPr>
                <w:sz w:val="22"/>
                <w:lang w:val="en-GB"/>
              </w:rPr>
              <w:t>1 441 500</w:t>
            </w:r>
          </w:p>
        </w:tc>
        <w:tc>
          <w:tcPr>
            <w:tcW w:w="2374" w:type="dxa"/>
          </w:tcPr>
          <w:p w:rsidR="00000000" w:rsidRDefault="00000000">
            <w:pPr>
              <w:spacing w:before="60" w:after="60"/>
              <w:jc w:val="right"/>
              <w:rPr>
                <w:sz w:val="22"/>
                <w:lang w:val="en-GB"/>
              </w:rPr>
            </w:pPr>
            <w:r>
              <w:rPr>
                <w:sz w:val="22"/>
                <w:lang w:val="en-GB"/>
              </w:rPr>
              <w:t>1 326 500</w:t>
            </w:r>
          </w:p>
        </w:tc>
      </w:tr>
      <w:tr w:rsidR="00000000">
        <w:tblPrEx>
          <w:tblCellMar>
            <w:top w:w="0" w:type="dxa"/>
            <w:bottom w:w="0" w:type="dxa"/>
          </w:tblCellMar>
        </w:tblPrEx>
        <w:tc>
          <w:tcPr>
            <w:tcW w:w="2374" w:type="dxa"/>
          </w:tcPr>
          <w:p w:rsidR="00000000" w:rsidRDefault="00000000">
            <w:pPr>
              <w:spacing w:before="60" w:after="60"/>
              <w:rPr>
                <w:sz w:val="22"/>
                <w:lang w:val="en-GB"/>
              </w:rPr>
            </w:pPr>
            <w:r>
              <w:rPr>
                <w:sz w:val="22"/>
                <w:lang w:val="en-GB"/>
              </w:rPr>
              <w:t>Ouzbeks</w:t>
            </w:r>
          </w:p>
        </w:tc>
        <w:tc>
          <w:tcPr>
            <w:tcW w:w="2374" w:type="dxa"/>
          </w:tcPr>
          <w:p w:rsidR="00000000" w:rsidRDefault="00000000">
            <w:pPr>
              <w:spacing w:before="60" w:after="60"/>
              <w:jc w:val="right"/>
              <w:rPr>
                <w:sz w:val="22"/>
                <w:lang w:val="en-GB"/>
              </w:rPr>
            </w:pPr>
            <w:r>
              <w:rPr>
                <w:sz w:val="22"/>
                <w:lang w:val="en-GB"/>
              </w:rPr>
              <w:t>79 600</w:t>
            </w:r>
          </w:p>
        </w:tc>
        <w:tc>
          <w:tcPr>
            <w:tcW w:w="2374" w:type="dxa"/>
          </w:tcPr>
          <w:p w:rsidR="00000000" w:rsidRDefault="00000000">
            <w:pPr>
              <w:spacing w:before="60" w:after="60"/>
              <w:jc w:val="right"/>
              <w:rPr>
                <w:sz w:val="22"/>
                <w:lang w:val="en-GB"/>
              </w:rPr>
            </w:pPr>
            <w:r>
              <w:rPr>
                <w:sz w:val="22"/>
                <w:lang w:val="en-GB"/>
              </w:rPr>
              <w:t>87 100</w:t>
            </w:r>
          </w:p>
        </w:tc>
        <w:tc>
          <w:tcPr>
            <w:tcW w:w="2374" w:type="dxa"/>
          </w:tcPr>
          <w:p w:rsidR="00000000" w:rsidRDefault="00000000">
            <w:pPr>
              <w:spacing w:before="60" w:after="60"/>
              <w:jc w:val="right"/>
              <w:rPr>
                <w:sz w:val="22"/>
                <w:lang w:val="en-GB"/>
              </w:rPr>
            </w:pPr>
            <w:r>
              <w:rPr>
                <w:sz w:val="22"/>
                <w:lang w:val="en-GB"/>
              </w:rPr>
              <w:t>83 200</w:t>
            </w:r>
          </w:p>
        </w:tc>
      </w:tr>
      <w:tr w:rsidR="00000000">
        <w:tblPrEx>
          <w:tblCellMar>
            <w:top w:w="0" w:type="dxa"/>
            <w:bottom w:w="0" w:type="dxa"/>
          </w:tblCellMar>
        </w:tblPrEx>
        <w:tc>
          <w:tcPr>
            <w:tcW w:w="2374" w:type="dxa"/>
          </w:tcPr>
          <w:p w:rsidR="00000000" w:rsidRDefault="00000000">
            <w:pPr>
              <w:spacing w:before="60" w:after="60"/>
              <w:rPr>
                <w:sz w:val="22"/>
                <w:lang w:val="en-GB"/>
              </w:rPr>
            </w:pPr>
            <w:r>
              <w:rPr>
                <w:sz w:val="22"/>
                <w:lang w:val="en-GB"/>
              </w:rPr>
              <w:t>Ouighours</w:t>
            </w:r>
          </w:p>
        </w:tc>
        <w:tc>
          <w:tcPr>
            <w:tcW w:w="2374" w:type="dxa"/>
          </w:tcPr>
          <w:p w:rsidR="00000000" w:rsidRDefault="00000000">
            <w:pPr>
              <w:spacing w:before="60" w:after="60"/>
              <w:jc w:val="right"/>
              <w:rPr>
                <w:sz w:val="22"/>
              </w:rPr>
            </w:pPr>
            <w:r>
              <w:rPr>
                <w:sz w:val="22"/>
              </w:rPr>
              <w:t>22 300</w:t>
            </w:r>
          </w:p>
        </w:tc>
        <w:tc>
          <w:tcPr>
            <w:tcW w:w="2374" w:type="dxa"/>
          </w:tcPr>
          <w:p w:rsidR="00000000" w:rsidRDefault="00000000">
            <w:pPr>
              <w:spacing w:before="60" w:after="60"/>
              <w:jc w:val="right"/>
              <w:rPr>
                <w:sz w:val="22"/>
              </w:rPr>
            </w:pPr>
            <w:r>
              <w:rPr>
                <w:sz w:val="22"/>
              </w:rPr>
              <w:t>22 400</w:t>
            </w:r>
          </w:p>
        </w:tc>
        <w:tc>
          <w:tcPr>
            <w:tcW w:w="2374" w:type="dxa"/>
          </w:tcPr>
          <w:p w:rsidR="00000000" w:rsidRDefault="00000000">
            <w:pPr>
              <w:spacing w:before="60" w:after="60"/>
              <w:jc w:val="right"/>
              <w:rPr>
                <w:sz w:val="22"/>
              </w:rPr>
            </w:pPr>
            <w:r>
              <w:rPr>
                <w:sz w:val="22"/>
              </w:rPr>
              <w:t>21 700</w:t>
            </w:r>
          </w:p>
        </w:tc>
      </w:tr>
      <w:tr w:rsidR="00000000">
        <w:tblPrEx>
          <w:tblCellMar>
            <w:top w:w="0" w:type="dxa"/>
            <w:bottom w:w="0" w:type="dxa"/>
          </w:tblCellMar>
        </w:tblPrEx>
        <w:tc>
          <w:tcPr>
            <w:tcW w:w="2374" w:type="dxa"/>
          </w:tcPr>
          <w:p w:rsidR="00000000" w:rsidRDefault="00000000">
            <w:pPr>
              <w:spacing w:before="60" w:after="60"/>
              <w:rPr>
                <w:sz w:val="22"/>
              </w:rPr>
            </w:pPr>
            <w:r>
              <w:rPr>
                <w:sz w:val="22"/>
              </w:rPr>
              <w:t>Tadjiks</w:t>
            </w:r>
          </w:p>
        </w:tc>
        <w:tc>
          <w:tcPr>
            <w:tcW w:w="2374" w:type="dxa"/>
          </w:tcPr>
          <w:p w:rsidR="00000000" w:rsidRDefault="00000000">
            <w:pPr>
              <w:spacing w:before="60" w:after="60"/>
              <w:jc w:val="right"/>
              <w:rPr>
                <w:sz w:val="22"/>
              </w:rPr>
            </w:pPr>
            <w:r>
              <w:rPr>
                <w:sz w:val="22"/>
              </w:rPr>
              <w:t>2 600</w:t>
            </w:r>
          </w:p>
        </w:tc>
        <w:tc>
          <w:tcPr>
            <w:tcW w:w="2374" w:type="dxa"/>
          </w:tcPr>
          <w:p w:rsidR="00000000" w:rsidRDefault="00000000">
            <w:pPr>
              <w:spacing w:before="60" w:after="60"/>
              <w:jc w:val="right"/>
              <w:rPr>
                <w:sz w:val="22"/>
              </w:rPr>
            </w:pPr>
            <w:r>
              <w:rPr>
                <w:sz w:val="22"/>
              </w:rPr>
              <w:t>2 800</w:t>
            </w:r>
          </w:p>
        </w:tc>
        <w:tc>
          <w:tcPr>
            <w:tcW w:w="2374" w:type="dxa"/>
          </w:tcPr>
          <w:p w:rsidR="00000000" w:rsidRDefault="00000000">
            <w:pPr>
              <w:spacing w:before="60" w:after="60"/>
              <w:jc w:val="right"/>
              <w:rPr>
                <w:sz w:val="22"/>
              </w:rPr>
            </w:pPr>
            <w:r>
              <w:rPr>
                <w:sz w:val="22"/>
              </w:rPr>
              <w:t>2 700</w:t>
            </w:r>
          </w:p>
        </w:tc>
      </w:tr>
      <w:tr w:rsidR="00000000">
        <w:tblPrEx>
          <w:tblCellMar>
            <w:top w:w="0" w:type="dxa"/>
            <w:bottom w:w="0" w:type="dxa"/>
          </w:tblCellMar>
        </w:tblPrEx>
        <w:tc>
          <w:tcPr>
            <w:tcW w:w="2374" w:type="dxa"/>
          </w:tcPr>
          <w:p w:rsidR="00000000" w:rsidRDefault="00000000">
            <w:pPr>
              <w:spacing w:before="60" w:after="60"/>
              <w:rPr>
                <w:sz w:val="22"/>
              </w:rPr>
            </w:pPr>
            <w:r>
              <w:rPr>
                <w:sz w:val="22"/>
              </w:rPr>
              <w:t>Allemands</w:t>
            </w:r>
          </w:p>
        </w:tc>
        <w:tc>
          <w:tcPr>
            <w:tcW w:w="2374" w:type="dxa"/>
          </w:tcPr>
          <w:p w:rsidR="00000000" w:rsidRDefault="00000000">
            <w:pPr>
              <w:spacing w:before="60" w:after="60"/>
              <w:jc w:val="right"/>
              <w:rPr>
                <w:sz w:val="22"/>
              </w:rPr>
            </w:pPr>
            <w:r>
              <w:rPr>
                <w:sz w:val="22"/>
              </w:rPr>
              <w:t>600</w:t>
            </w:r>
          </w:p>
        </w:tc>
        <w:tc>
          <w:tcPr>
            <w:tcW w:w="2374" w:type="dxa"/>
          </w:tcPr>
          <w:p w:rsidR="00000000" w:rsidRDefault="00000000">
            <w:pPr>
              <w:spacing w:before="60" w:after="60"/>
              <w:jc w:val="right"/>
              <w:rPr>
                <w:sz w:val="22"/>
              </w:rPr>
            </w:pPr>
            <w:r>
              <w:rPr>
                <w:sz w:val="22"/>
              </w:rPr>
              <w:t>400</w:t>
            </w:r>
          </w:p>
        </w:tc>
        <w:tc>
          <w:tcPr>
            <w:tcW w:w="2374" w:type="dxa"/>
          </w:tcPr>
          <w:p w:rsidR="00000000" w:rsidRDefault="00000000">
            <w:pPr>
              <w:spacing w:before="60" w:after="60"/>
              <w:jc w:val="right"/>
              <w:rPr>
                <w:sz w:val="22"/>
              </w:rPr>
            </w:pPr>
            <w:r>
              <w:rPr>
                <w:sz w:val="22"/>
              </w:rPr>
              <w:t>300</w:t>
            </w:r>
          </w:p>
        </w:tc>
      </w:tr>
      <w:tr w:rsidR="00000000">
        <w:tblPrEx>
          <w:tblCellMar>
            <w:top w:w="0" w:type="dxa"/>
            <w:bottom w:w="0" w:type="dxa"/>
          </w:tblCellMar>
        </w:tblPrEx>
        <w:tc>
          <w:tcPr>
            <w:tcW w:w="2374" w:type="dxa"/>
          </w:tcPr>
          <w:p w:rsidR="00000000" w:rsidRDefault="00000000">
            <w:pPr>
              <w:spacing w:before="60" w:after="60"/>
              <w:rPr>
                <w:sz w:val="22"/>
              </w:rPr>
            </w:pPr>
            <w:r>
              <w:rPr>
                <w:sz w:val="22"/>
              </w:rPr>
              <w:t>Tatars</w:t>
            </w:r>
          </w:p>
        </w:tc>
        <w:tc>
          <w:tcPr>
            <w:tcW w:w="2374" w:type="dxa"/>
          </w:tcPr>
          <w:p w:rsidR="00000000" w:rsidRDefault="00000000">
            <w:pPr>
              <w:spacing w:before="60" w:after="60"/>
              <w:jc w:val="right"/>
              <w:rPr>
                <w:sz w:val="22"/>
              </w:rPr>
            </w:pPr>
            <w:r>
              <w:rPr>
                <w:sz w:val="22"/>
              </w:rPr>
              <w:t>100</w:t>
            </w:r>
          </w:p>
        </w:tc>
        <w:tc>
          <w:tcPr>
            <w:tcW w:w="2374" w:type="dxa"/>
          </w:tcPr>
          <w:p w:rsidR="00000000" w:rsidRDefault="00000000">
            <w:pPr>
              <w:spacing w:before="60" w:after="60"/>
              <w:jc w:val="right"/>
              <w:rPr>
                <w:sz w:val="22"/>
              </w:rPr>
            </w:pPr>
            <w:r>
              <w:rPr>
                <w:sz w:val="22"/>
              </w:rPr>
              <w:t>0</w:t>
            </w:r>
          </w:p>
        </w:tc>
        <w:tc>
          <w:tcPr>
            <w:tcW w:w="2374" w:type="dxa"/>
          </w:tcPr>
          <w:p w:rsidR="00000000" w:rsidRDefault="00000000">
            <w:pPr>
              <w:spacing w:before="60" w:after="60"/>
              <w:jc w:val="right"/>
              <w:rPr>
                <w:sz w:val="22"/>
              </w:rPr>
            </w:pPr>
            <w:r>
              <w:rPr>
                <w:sz w:val="22"/>
              </w:rPr>
              <w:t>0</w:t>
            </w:r>
          </w:p>
        </w:tc>
      </w:tr>
    </w:tbl>
    <w:p w:rsidR="00000000" w:rsidRDefault="00000000">
      <w:pPr>
        <w:keepNext/>
        <w:spacing w:before="240" w:after="240"/>
        <w:jc w:val="center"/>
        <w:rPr>
          <w:b/>
          <w:bCs/>
        </w:rPr>
      </w:pPr>
      <w:r>
        <w:rPr>
          <w:b/>
          <w:bCs/>
        </w:rPr>
        <w:t>Tableau 18</w:t>
      </w:r>
    </w:p>
    <w:p w:rsidR="00000000" w:rsidRDefault="00000000">
      <w:pPr>
        <w:keepNext/>
        <w:spacing w:after="240"/>
        <w:jc w:val="center"/>
      </w:pPr>
      <w:r>
        <w:rPr>
          <w:b/>
          <w:bCs/>
        </w:rPr>
        <w:t>Nombre d’étudiants faisant des études</w:t>
      </w:r>
      <w:r>
        <w:rPr>
          <w:b/>
          <w:bCs/>
        </w:rPr>
        <w:br/>
        <w:t>supérieures par nationalité</w:t>
      </w:r>
      <w:r>
        <w:rPr>
          <w:b/>
          <w:bCs/>
        </w:rPr>
        <w:br/>
        <w:t>(situation au début de l’année universitaire indiquée)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rPr>
          <w:cantSplit/>
          <w:tblHeader/>
        </w:trPr>
        <w:tc>
          <w:tcPr>
            <w:tcW w:w="1899" w:type="dxa"/>
            <w:vMerge w:val="restart"/>
            <w:vAlign w:val="center"/>
          </w:tcPr>
          <w:p w:rsidR="00000000" w:rsidRDefault="00000000">
            <w:pPr>
              <w:spacing w:before="60" w:after="60"/>
              <w:jc w:val="center"/>
              <w:rPr>
                <w:sz w:val="22"/>
              </w:rPr>
            </w:pPr>
            <w:r>
              <w:rPr>
                <w:sz w:val="22"/>
              </w:rPr>
              <w:t>Nombre d’étudiants</w:t>
            </w:r>
          </w:p>
        </w:tc>
        <w:tc>
          <w:tcPr>
            <w:tcW w:w="1899" w:type="dxa"/>
            <w:vMerge w:val="restart"/>
            <w:vAlign w:val="center"/>
          </w:tcPr>
          <w:p w:rsidR="00000000" w:rsidRDefault="00000000">
            <w:pPr>
              <w:spacing w:before="60" w:after="60"/>
              <w:jc w:val="center"/>
              <w:rPr>
                <w:sz w:val="22"/>
              </w:rPr>
            </w:pPr>
            <w:r>
              <w:rPr>
                <w:sz w:val="22"/>
              </w:rPr>
              <w:t>Total</w:t>
            </w:r>
          </w:p>
        </w:tc>
        <w:tc>
          <w:tcPr>
            <w:tcW w:w="5698" w:type="dxa"/>
            <w:gridSpan w:val="3"/>
          </w:tcPr>
          <w:p w:rsidR="00000000" w:rsidRDefault="00000000">
            <w:pPr>
              <w:spacing w:before="60" w:after="60"/>
              <w:jc w:val="center"/>
              <w:rPr>
                <w:sz w:val="22"/>
              </w:rPr>
            </w:pPr>
            <w:r>
              <w:rPr>
                <w:sz w:val="22"/>
              </w:rPr>
              <w:t>Type d’enseignement</w:t>
            </w:r>
          </w:p>
        </w:tc>
      </w:tr>
      <w:tr w:rsidR="00000000">
        <w:tblPrEx>
          <w:tblCellMar>
            <w:top w:w="0" w:type="dxa"/>
            <w:bottom w:w="0" w:type="dxa"/>
          </w:tblCellMar>
        </w:tblPrEx>
        <w:trPr>
          <w:cantSplit/>
          <w:tblHeader/>
        </w:trPr>
        <w:tc>
          <w:tcPr>
            <w:tcW w:w="1899" w:type="dxa"/>
            <w:vMerge/>
          </w:tcPr>
          <w:p w:rsidR="00000000" w:rsidRDefault="00000000">
            <w:pPr>
              <w:spacing w:before="60" w:after="60"/>
              <w:rPr>
                <w:sz w:val="22"/>
              </w:rPr>
            </w:pPr>
          </w:p>
        </w:tc>
        <w:tc>
          <w:tcPr>
            <w:tcW w:w="1899" w:type="dxa"/>
            <w:vMerge/>
          </w:tcPr>
          <w:p w:rsidR="00000000" w:rsidRDefault="00000000">
            <w:pPr>
              <w:spacing w:before="60" w:after="60"/>
              <w:rPr>
                <w:sz w:val="22"/>
              </w:rPr>
            </w:pPr>
          </w:p>
        </w:tc>
        <w:tc>
          <w:tcPr>
            <w:tcW w:w="1899" w:type="dxa"/>
            <w:vAlign w:val="center"/>
          </w:tcPr>
          <w:p w:rsidR="00000000" w:rsidRDefault="00000000">
            <w:pPr>
              <w:spacing w:before="60" w:after="60"/>
              <w:jc w:val="center"/>
              <w:rPr>
                <w:sz w:val="22"/>
              </w:rPr>
            </w:pPr>
            <w:r>
              <w:rPr>
                <w:sz w:val="22"/>
              </w:rPr>
              <w:t>Cours du jour</w:t>
            </w:r>
          </w:p>
        </w:tc>
        <w:tc>
          <w:tcPr>
            <w:tcW w:w="1899" w:type="dxa"/>
            <w:vAlign w:val="center"/>
          </w:tcPr>
          <w:p w:rsidR="00000000" w:rsidRDefault="00000000">
            <w:pPr>
              <w:spacing w:before="60" w:after="60"/>
              <w:jc w:val="center"/>
              <w:rPr>
                <w:sz w:val="22"/>
              </w:rPr>
            </w:pPr>
            <w:r>
              <w:rPr>
                <w:sz w:val="22"/>
              </w:rPr>
              <w:t>Cours du soir</w:t>
            </w:r>
          </w:p>
        </w:tc>
        <w:tc>
          <w:tcPr>
            <w:tcW w:w="1900" w:type="dxa"/>
            <w:vAlign w:val="center"/>
          </w:tcPr>
          <w:p w:rsidR="00000000" w:rsidRDefault="00000000">
            <w:pPr>
              <w:spacing w:before="60" w:after="60"/>
              <w:jc w:val="center"/>
              <w:rPr>
                <w:sz w:val="22"/>
              </w:rPr>
            </w:pPr>
            <w:r>
              <w:rPr>
                <w:sz w:val="22"/>
              </w:rPr>
              <w:t>Cours par correspondance</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lang w:val="de-CH"/>
              </w:rPr>
            </w:pPr>
            <w:r>
              <w:rPr>
                <w:sz w:val="22"/>
                <w:lang w:val="de-CH"/>
              </w:rPr>
              <w:t>1999/2000</w:t>
            </w:r>
          </w:p>
        </w:tc>
        <w:tc>
          <w:tcPr>
            <w:tcW w:w="1899" w:type="dxa"/>
            <w:tcBorders>
              <w:bottom w:val="nil"/>
            </w:tcBorders>
          </w:tcPr>
          <w:p w:rsidR="00000000" w:rsidRDefault="00000000">
            <w:pPr>
              <w:spacing w:before="60" w:after="60"/>
              <w:jc w:val="right"/>
              <w:rPr>
                <w:sz w:val="22"/>
                <w:lang w:val="de-CH"/>
              </w:rPr>
            </w:pPr>
            <w:r>
              <w:rPr>
                <w:sz w:val="22"/>
                <w:lang w:val="de-CH"/>
              </w:rPr>
              <w:t>365 385</w:t>
            </w:r>
          </w:p>
        </w:tc>
        <w:tc>
          <w:tcPr>
            <w:tcW w:w="1899" w:type="dxa"/>
            <w:tcBorders>
              <w:bottom w:val="nil"/>
            </w:tcBorders>
          </w:tcPr>
          <w:p w:rsidR="00000000" w:rsidRDefault="00000000">
            <w:pPr>
              <w:spacing w:before="60" w:after="60"/>
              <w:jc w:val="right"/>
              <w:rPr>
                <w:sz w:val="22"/>
                <w:lang w:val="de-CH"/>
              </w:rPr>
            </w:pPr>
            <w:r>
              <w:rPr>
                <w:sz w:val="22"/>
                <w:lang w:val="de-CH"/>
              </w:rPr>
              <w:t>226 185</w:t>
            </w:r>
          </w:p>
        </w:tc>
        <w:tc>
          <w:tcPr>
            <w:tcW w:w="1899" w:type="dxa"/>
            <w:tcBorders>
              <w:bottom w:val="nil"/>
            </w:tcBorders>
          </w:tcPr>
          <w:p w:rsidR="00000000" w:rsidRDefault="00000000">
            <w:pPr>
              <w:spacing w:before="60" w:after="60"/>
              <w:jc w:val="right"/>
              <w:rPr>
                <w:sz w:val="22"/>
                <w:lang w:val="de-CH"/>
              </w:rPr>
            </w:pPr>
            <w:r>
              <w:rPr>
                <w:sz w:val="22"/>
                <w:lang w:val="de-CH"/>
              </w:rPr>
              <w:t>2 780</w:t>
            </w:r>
          </w:p>
        </w:tc>
        <w:tc>
          <w:tcPr>
            <w:tcW w:w="1900" w:type="dxa"/>
            <w:tcBorders>
              <w:bottom w:val="nil"/>
            </w:tcBorders>
          </w:tcPr>
          <w:p w:rsidR="00000000" w:rsidRDefault="00000000">
            <w:pPr>
              <w:spacing w:before="60" w:after="60"/>
              <w:jc w:val="right"/>
              <w:rPr>
                <w:sz w:val="22"/>
                <w:lang w:val="de-CH"/>
              </w:rPr>
            </w:pPr>
            <w:r>
              <w:rPr>
                <w:sz w:val="22"/>
                <w:lang w:val="de-CH"/>
              </w:rPr>
              <w:t>136 420</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lang w:val="de-CH"/>
              </w:rPr>
            </w:pPr>
            <w:r>
              <w:rPr>
                <w:sz w:val="22"/>
                <w:lang w:val="de-CH"/>
              </w:rPr>
              <w:t>2000/2001</w:t>
            </w:r>
          </w:p>
        </w:tc>
        <w:tc>
          <w:tcPr>
            <w:tcW w:w="1899" w:type="dxa"/>
            <w:tcBorders>
              <w:top w:val="nil"/>
              <w:bottom w:val="nil"/>
            </w:tcBorders>
          </w:tcPr>
          <w:p w:rsidR="00000000" w:rsidRDefault="00000000">
            <w:pPr>
              <w:spacing w:before="60" w:after="60"/>
              <w:jc w:val="right"/>
              <w:rPr>
                <w:sz w:val="22"/>
                <w:lang w:val="de-CH"/>
              </w:rPr>
            </w:pPr>
            <w:r>
              <w:rPr>
                <w:sz w:val="22"/>
                <w:lang w:val="de-CH"/>
              </w:rPr>
              <w:t>440 715</w:t>
            </w:r>
          </w:p>
        </w:tc>
        <w:tc>
          <w:tcPr>
            <w:tcW w:w="1899" w:type="dxa"/>
            <w:tcBorders>
              <w:top w:val="nil"/>
              <w:bottom w:val="nil"/>
            </w:tcBorders>
          </w:tcPr>
          <w:p w:rsidR="00000000" w:rsidRDefault="00000000">
            <w:pPr>
              <w:spacing w:before="60" w:after="60"/>
              <w:jc w:val="right"/>
              <w:rPr>
                <w:sz w:val="22"/>
                <w:lang w:val="de-CH"/>
              </w:rPr>
            </w:pPr>
            <w:r>
              <w:rPr>
                <w:sz w:val="22"/>
                <w:lang w:val="de-CH"/>
              </w:rPr>
              <w:t>254 569</w:t>
            </w:r>
          </w:p>
        </w:tc>
        <w:tc>
          <w:tcPr>
            <w:tcW w:w="1899" w:type="dxa"/>
            <w:tcBorders>
              <w:top w:val="nil"/>
              <w:bottom w:val="nil"/>
            </w:tcBorders>
          </w:tcPr>
          <w:p w:rsidR="00000000" w:rsidRDefault="00000000">
            <w:pPr>
              <w:spacing w:before="60" w:after="60"/>
              <w:jc w:val="right"/>
              <w:rPr>
                <w:sz w:val="22"/>
                <w:lang w:val="de-CH"/>
              </w:rPr>
            </w:pPr>
            <w:r>
              <w:rPr>
                <w:sz w:val="22"/>
                <w:lang w:val="de-CH"/>
              </w:rPr>
              <w:t>2 073</w:t>
            </w:r>
          </w:p>
        </w:tc>
        <w:tc>
          <w:tcPr>
            <w:tcW w:w="1900" w:type="dxa"/>
            <w:tcBorders>
              <w:top w:val="nil"/>
              <w:bottom w:val="nil"/>
            </w:tcBorders>
          </w:tcPr>
          <w:p w:rsidR="00000000" w:rsidRDefault="00000000">
            <w:pPr>
              <w:spacing w:before="60" w:after="60"/>
              <w:jc w:val="right"/>
              <w:rPr>
                <w:sz w:val="22"/>
                <w:lang w:val="de-CH"/>
              </w:rPr>
            </w:pPr>
            <w:r>
              <w:rPr>
                <w:sz w:val="22"/>
                <w:lang w:val="de-CH"/>
              </w:rPr>
              <w:t>184 076</w:t>
            </w:r>
          </w:p>
        </w:tc>
      </w:tr>
      <w:tr w:rsidR="00000000">
        <w:tblPrEx>
          <w:tblCellMar>
            <w:top w:w="0" w:type="dxa"/>
            <w:bottom w:w="0" w:type="dxa"/>
          </w:tblCellMar>
        </w:tblPrEx>
        <w:tc>
          <w:tcPr>
            <w:tcW w:w="1899" w:type="dxa"/>
            <w:tcBorders>
              <w:top w:val="nil"/>
            </w:tcBorders>
          </w:tcPr>
          <w:p w:rsidR="00000000" w:rsidRDefault="00000000">
            <w:pPr>
              <w:spacing w:before="60" w:after="60"/>
              <w:rPr>
                <w:sz w:val="22"/>
                <w:lang w:val="de-CH"/>
              </w:rPr>
            </w:pPr>
            <w:r>
              <w:rPr>
                <w:sz w:val="22"/>
                <w:lang w:val="de-CH"/>
              </w:rPr>
              <w:t>2001/2002</w:t>
            </w:r>
          </w:p>
        </w:tc>
        <w:tc>
          <w:tcPr>
            <w:tcW w:w="1899" w:type="dxa"/>
            <w:tcBorders>
              <w:top w:val="nil"/>
            </w:tcBorders>
          </w:tcPr>
          <w:p w:rsidR="00000000" w:rsidRDefault="00000000">
            <w:pPr>
              <w:spacing w:before="60" w:after="60"/>
              <w:jc w:val="right"/>
              <w:rPr>
                <w:sz w:val="22"/>
                <w:lang w:val="de-CH"/>
              </w:rPr>
            </w:pPr>
            <w:r>
              <w:rPr>
                <w:sz w:val="22"/>
                <w:lang w:val="de-CH"/>
              </w:rPr>
              <w:t>514 738</w:t>
            </w:r>
          </w:p>
        </w:tc>
        <w:tc>
          <w:tcPr>
            <w:tcW w:w="1899" w:type="dxa"/>
            <w:tcBorders>
              <w:top w:val="nil"/>
            </w:tcBorders>
          </w:tcPr>
          <w:p w:rsidR="00000000" w:rsidRDefault="00000000">
            <w:pPr>
              <w:spacing w:before="60" w:after="60"/>
              <w:jc w:val="right"/>
              <w:rPr>
                <w:sz w:val="22"/>
                <w:lang w:val="de-CH"/>
              </w:rPr>
            </w:pPr>
            <w:r>
              <w:rPr>
                <w:sz w:val="22"/>
                <w:lang w:val="de-CH"/>
              </w:rPr>
              <w:t>288 247</w:t>
            </w:r>
          </w:p>
        </w:tc>
        <w:tc>
          <w:tcPr>
            <w:tcW w:w="1899" w:type="dxa"/>
            <w:tcBorders>
              <w:top w:val="nil"/>
            </w:tcBorders>
          </w:tcPr>
          <w:p w:rsidR="00000000" w:rsidRDefault="00000000">
            <w:pPr>
              <w:spacing w:before="60" w:after="60"/>
              <w:jc w:val="right"/>
              <w:rPr>
                <w:sz w:val="22"/>
                <w:lang w:val="de-CH"/>
              </w:rPr>
            </w:pPr>
            <w:r>
              <w:rPr>
                <w:sz w:val="22"/>
                <w:lang w:val="de-CH"/>
              </w:rPr>
              <w:t>1 905</w:t>
            </w:r>
          </w:p>
        </w:tc>
        <w:tc>
          <w:tcPr>
            <w:tcW w:w="1900" w:type="dxa"/>
            <w:tcBorders>
              <w:top w:val="nil"/>
            </w:tcBorders>
          </w:tcPr>
          <w:p w:rsidR="00000000" w:rsidRDefault="00000000">
            <w:pPr>
              <w:spacing w:before="60" w:after="60"/>
              <w:jc w:val="right"/>
              <w:rPr>
                <w:sz w:val="22"/>
                <w:lang w:val="de-CH"/>
              </w:rPr>
            </w:pPr>
            <w:r>
              <w:rPr>
                <w:sz w:val="22"/>
                <w:lang w:val="de-CH"/>
              </w:rPr>
              <w:t>224 586</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lang w:val="de-CH"/>
              </w:rPr>
            </w:pPr>
            <w:r>
              <w:rPr>
                <w:sz w:val="22"/>
                <w:lang w:val="de-CH"/>
              </w:rPr>
              <w:t>Kazakhs</w:t>
            </w:r>
          </w:p>
        </w:tc>
        <w:tc>
          <w:tcPr>
            <w:tcW w:w="1899" w:type="dxa"/>
            <w:tcBorders>
              <w:bottom w:val="nil"/>
            </w:tcBorders>
          </w:tcPr>
          <w:p w:rsidR="00000000" w:rsidRDefault="00000000">
            <w:pPr>
              <w:spacing w:before="60" w:after="60"/>
              <w:jc w:val="right"/>
              <w:rPr>
                <w:sz w:val="22"/>
                <w:lang w:val="de-CH"/>
              </w:rPr>
            </w:pPr>
          </w:p>
        </w:tc>
        <w:tc>
          <w:tcPr>
            <w:tcW w:w="1899" w:type="dxa"/>
            <w:tcBorders>
              <w:bottom w:val="nil"/>
            </w:tcBorders>
          </w:tcPr>
          <w:p w:rsidR="00000000" w:rsidRDefault="00000000">
            <w:pPr>
              <w:spacing w:before="60" w:after="60"/>
              <w:jc w:val="right"/>
              <w:rPr>
                <w:sz w:val="22"/>
                <w:lang w:val="de-CH"/>
              </w:rPr>
            </w:pPr>
          </w:p>
        </w:tc>
        <w:tc>
          <w:tcPr>
            <w:tcW w:w="1899" w:type="dxa"/>
            <w:tcBorders>
              <w:bottom w:val="nil"/>
            </w:tcBorders>
          </w:tcPr>
          <w:p w:rsidR="00000000" w:rsidRDefault="00000000">
            <w:pPr>
              <w:spacing w:before="60" w:after="60"/>
              <w:jc w:val="right"/>
              <w:rPr>
                <w:sz w:val="22"/>
                <w:lang w:val="de-CH"/>
              </w:rPr>
            </w:pPr>
          </w:p>
        </w:tc>
        <w:tc>
          <w:tcPr>
            <w:tcW w:w="1900" w:type="dxa"/>
            <w:tcBorders>
              <w:bottom w:val="nil"/>
            </w:tcBorders>
          </w:tcPr>
          <w:p w:rsidR="00000000" w:rsidRDefault="00000000">
            <w:pPr>
              <w:spacing w:before="60" w:after="60"/>
              <w:jc w:val="right"/>
              <w:rPr>
                <w:sz w:val="22"/>
                <w:lang w:val="de-CH"/>
              </w:rPr>
            </w:pPr>
          </w:p>
        </w:tc>
      </w:tr>
      <w:tr w:rsidR="00000000">
        <w:tblPrEx>
          <w:tblCellMar>
            <w:top w:w="0" w:type="dxa"/>
            <w:bottom w:w="0" w:type="dxa"/>
          </w:tblCellMar>
        </w:tblPrEx>
        <w:tc>
          <w:tcPr>
            <w:tcW w:w="1899" w:type="dxa"/>
            <w:tcBorders>
              <w:top w:val="nil"/>
              <w:bottom w:val="single" w:sz="4" w:space="0" w:color="auto"/>
            </w:tcBorders>
          </w:tcPr>
          <w:p w:rsidR="00000000" w:rsidRDefault="00000000">
            <w:pPr>
              <w:spacing w:before="60" w:after="60"/>
              <w:rPr>
                <w:sz w:val="22"/>
                <w:lang w:val="de-CH"/>
              </w:rPr>
            </w:pPr>
            <w:r>
              <w:rPr>
                <w:sz w:val="22"/>
                <w:lang w:val="de-CH"/>
              </w:rPr>
              <w:t>1999/2000</w:t>
            </w:r>
          </w:p>
        </w:tc>
        <w:tc>
          <w:tcPr>
            <w:tcW w:w="1899" w:type="dxa"/>
            <w:tcBorders>
              <w:top w:val="nil"/>
              <w:bottom w:val="single" w:sz="4" w:space="0" w:color="auto"/>
            </w:tcBorders>
          </w:tcPr>
          <w:p w:rsidR="00000000" w:rsidRDefault="00000000">
            <w:pPr>
              <w:spacing w:before="60" w:after="60"/>
              <w:jc w:val="right"/>
              <w:rPr>
                <w:sz w:val="22"/>
                <w:lang w:val="de-CH"/>
              </w:rPr>
            </w:pPr>
            <w:r>
              <w:rPr>
                <w:sz w:val="22"/>
                <w:lang w:val="de-CH"/>
              </w:rPr>
              <w:t>243 765</w:t>
            </w:r>
          </w:p>
        </w:tc>
        <w:tc>
          <w:tcPr>
            <w:tcW w:w="1899" w:type="dxa"/>
            <w:tcBorders>
              <w:top w:val="nil"/>
              <w:bottom w:val="single" w:sz="4" w:space="0" w:color="auto"/>
            </w:tcBorders>
          </w:tcPr>
          <w:p w:rsidR="00000000" w:rsidRDefault="00000000">
            <w:pPr>
              <w:spacing w:before="60" w:after="60"/>
              <w:jc w:val="right"/>
              <w:rPr>
                <w:sz w:val="22"/>
                <w:lang w:val="de-CH"/>
              </w:rPr>
            </w:pPr>
            <w:r>
              <w:rPr>
                <w:sz w:val="22"/>
                <w:lang w:val="de-CH"/>
              </w:rPr>
              <w:t>149 830</w:t>
            </w:r>
          </w:p>
        </w:tc>
        <w:tc>
          <w:tcPr>
            <w:tcW w:w="1899" w:type="dxa"/>
            <w:tcBorders>
              <w:top w:val="nil"/>
              <w:bottom w:val="single" w:sz="4" w:space="0" w:color="auto"/>
            </w:tcBorders>
          </w:tcPr>
          <w:p w:rsidR="00000000" w:rsidRDefault="00000000">
            <w:pPr>
              <w:spacing w:before="60" w:after="60"/>
              <w:jc w:val="right"/>
              <w:rPr>
                <w:sz w:val="22"/>
                <w:lang w:val="de-CH"/>
              </w:rPr>
            </w:pPr>
            <w:r>
              <w:rPr>
                <w:sz w:val="22"/>
                <w:lang w:val="de-CH"/>
              </w:rPr>
              <w:t>1 244</w:t>
            </w:r>
          </w:p>
        </w:tc>
        <w:tc>
          <w:tcPr>
            <w:tcW w:w="1900" w:type="dxa"/>
            <w:tcBorders>
              <w:top w:val="nil"/>
              <w:bottom w:val="single" w:sz="4" w:space="0" w:color="auto"/>
            </w:tcBorders>
          </w:tcPr>
          <w:p w:rsidR="00000000" w:rsidRDefault="00000000">
            <w:pPr>
              <w:spacing w:before="60" w:after="60"/>
              <w:jc w:val="right"/>
              <w:rPr>
                <w:sz w:val="22"/>
                <w:lang w:val="de-CH"/>
              </w:rPr>
            </w:pPr>
            <w:r>
              <w:rPr>
                <w:sz w:val="22"/>
                <w:lang w:val="de-CH"/>
              </w:rPr>
              <w:t>92 691</w:t>
            </w:r>
          </w:p>
        </w:tc>
      </w:tr>
      <w:tr w:rsidR="00000000">
        <w:tblPrEx>
          <w:tblCellMar>
            <w:top w:w="0" w:type="dxa"/>
            <w:bottom w:w="0" w:type="dxa"/>
          </w:tblCellMar>
        </w:tblPrEx>
        <w:tc>
          <w:tcPr>
            <w:tcW w:w="1899" w:type="dxa"/>
            <w:tcBorders>
              <w:top w:val="single" w:sz="4" w:space="0" w:color="auto"/>
              <w:bottom w:val="nil"/>
            </w:tcBorders>
          </w:tcPr>
          <w:p w:rsidR="00000000" w:rsidRDefault="00000000">
            <w:pPr>
              <w:spacing w:before="60" w:after="60"/>
              <w:rPr>
                <w:sz w:val="22"/>
                <w:lang w:val="de-CH"/>
              </w:rPr>
            </w:pPr>
            <w:r>
              <w:rPr>
                <w:sz w:val="22"/>
                <w:lang w:val="de-CH"/>
              </w:rPr>
              <w:t>2000/2001</w:t>
            </w:r>
          </w:p>
        </w:tc>
        <w:tc>
          <w:tcPr>
            <w:tcW w:w="1899" w:type="dxa"/>
            <w:tcBorders>
              <w:top w:val="single" w:sz="4" w:space="0" w:color="auto"/>
              <w:bottom w:val="nil"/>
            </w:tcBorders>
          </w:tcPr>
          <w:p w:rsidR="00000000" w:rsidRDefault="00000000">
            <w:pPr>
              <w:spacing w:before="60" w:after="60"/>
              <w:jc w:val="right"/>
              <w:rPr>
                <w:sz w:val="22"/>
                <w:lang w:val="de-CH"/>
              </w:rPr>
            </w:pPr>
            <w:r>
              <w:rPr>
                <w:sz w:val="22"/>
                <w:lang w:val="de-CH"/>
              </w:rPr>
              <w:t>298 903</w:t>
            </w:r>
          </w:p>
        </w:tc>
        <w:tc>
          <w:tcPr>
            <w:tcW w:w="1899" w:type="dxa"/>
            <w:tcBorders>
              <w:top w:val="single" w:sz="4" w:space="0" w:color="auto"/>
              <w:bottom w:val="nil"/>
            </w:tcBorders>
          </w:tcPr>
          <w:p w:rsidR="00000000" w:rsidRDefault="00000000">
            <w:pPr>
              <w:spacing w:before="60" w:after="60"/>
              <w:jc w:val="right"/>
              <w:rPr>
                <w:sz w:val="22"/>
                <w:lang w:val="de-CH"/>
              </w:rPr>
            </w:pPr>
            <w:r>
              <w:rPr>
                <w:sz w:val="22"/>
                <w:lang w:val="de-CH"/>
              </w:rPr>
              <w:t>168 807</w:t>
            </w:r>
          </w:p>
        </w:tc>
        <w:tc>
          <w:tcPr>
            <w:tcW w:w="1899" w:type="dxa"/>
            <w:tcBorders>
              <w:top w:val="single" w:sz="4" w:space="0" w:color="auto"/>
              <w:bottom w:val="nil"/>
            </w:tcBorders>
          </w:tcPr>
          <w:p w:rsidR="00000000" w:rsidRDefault="00000000">
            <w:pPr>
              <w:spacing w:before="60" w:after="60"/>
              <w:jc w:val="right"/>
              <w:rPr>
                <w:sz w:val="22"/>
                <w:lang w:val="de-CH"/>
              </w:rPr>
            </w:pPr>
            <w:r>
              <w:rPr>
                <w:sz w:val="22"/>
                <w:lang w:val="de-CH"/>
              </w:rPr>
              <w:t>890</w:t>
            </w:r>
          </w:p>
        </w:tc>
        <w:tc>
          <w:tcPr>
            <w:tcW w:w="1900" w:type="dxa"/>
            <w:tcBorders>
              <w:top w:val="single" w:sz="4" w:space="0" w:color="auto"/>
              <w:bottom w:val="nil"/>
            </w:tcBorders>
          </w:tcPr>
          <w:p w:rsidR="00000000" w:rsidRDefault="00000000">
            <w:pPr>
              <w:spacing w:before="60" w:after="60"/>
              <w:jc w:val="right"/>
              <w:rPr>
                <w:sz w:val="22"/>
                <w:lang w:val="de-CH"/>
              </w:rPr>
            </w:pPr>
            <w:r>
              <w:rPr>
                <w:sz w:val="22"/>
                <w:lang w:val="de-CH"/>
              </w:rPr>
              <w:t>129 206</w:t>
            </w:r>
          </w:p>
        </w:tc>
      </w:tr>
      <w:tr w:rsidR="00000000">
        <w:tblPrEx>
          <w:tblCellMar>
            <w:top w:w="0" w:type="dxa"/>
            <w:bottom w:w="0" w:type="dxa"/>
          </w:tblCellMar>
        </w:tblPrEx>
        <w:tc>
          <w:tcPr>
            <w:tcW w:w="1899" w:type="dxa"/>
            <w:tcBorders>
              <w:top w:val="nil"/>
            </w:tcBorders>
          </w:tcPr>
          <w:p w:rsidR="00000000" w:rsidRDefault="00000000">
            <w:pPr>
              <w:spacing w:before="60" w:after="60"/>
              <w:rPr>
                <w:sz w:val="22"/>
                <w:lang w:val="de-CH"/>
              </w:rPr>
            </w:pPr>
            <w:r>
              <w:rPr>
                <w:sz w:val="22"/>
                <w:lang w:val="de-CH"/>
              </w:rPr>
              <w:t>2001/2002</w:t>
            </w:r>
          </w:p>
        </w:tc>
        <w:tc>
          <w:tcPr>
            <w:tcW w:w="1899" w:type="dxa"/>
            <w:tcBorders>
              <w:top w:val="nil"/>
            </w:tcBorders>
          </w:tcPr>
          <w:p w:rsidR="00000000" w:rsidRDefault="00000000">
            <w:pPr>
              <w:spacing w:before="60" w:after="60"/>
              <w:jc w:val="right"/>
              <w:rPr>
                <w:sz w:val="22"/>
                <w:lang w:val="de-CH"/>
              </w:rPr>
            </w:pPr>
            <w:r>
              <w:rPr>
                <w:sz w:val="22"/>
                <w:lang w:val="de-CH"/>
              </w:rPr>
              <w:t>353 673</w:t>
            </w:r>
          </w:p>
        </w:tc>
        <w:tc>
          <w:tcPr>
            <w:tcW w:w="1899" w:type="dxa"/>
            <w:tcBorders>
              <w:top w:val="nil"/>
            </w:tcBorders>
          </w:tcPr>
          <w:p w:rsidR="00000000" w:rsidRDefault="00000000">
            <w:pPr>
              <w:spacing w:before="60" w:after="60"/>
              <w:jc w:val="right"/>
              <w:rPr>
                <w:sz w:val="22"/>
                <w:lang w:val="de-CH"/>
              </w:rPr>
            </w:pPr>
            <w:r>
              <w:rPr>
                <w:sz w:val="22"/>
                <w:lang w:val="de-CH"/>
              </w:rPr>
              <w:t>197 449</w:t>
            </w:r>
          </w:p>
        </w:tc>
        <w:tc>
          <w:tcPr>
            <w:tcW w:w="1899" w:type="dxa"/>
            <w:tcBorders>
              <w:top w:val="nil"/>
            </w:tcBorders>
          </w:tcPr>
          <w:p w:rsidR="00000000" w:rsidRDefault="00000000">
            <w:pPr>
              <w:spacing w:before="60" w:after="60"/>
              <w:jc w:val="right"/>
              <w:rPr>
                <w:sz w:val="22"/>
                <w:lang w:val="de-CH"/>
              </w:rPr>
            </w:pPr>
            <w:r>
              <w:rPr>
                <w:sz w:val="22"/>
                <w:lang w:val="de-CH"/>
              </w:rPr>
              <w:t>949</w:t>
            </w:r>
          </w:p>
        </w:tc>
        <w:tc>
          <w:tcPr>
            <w:tcW w:w="1900" w:type="dxa"/>
            <w:tcBorders>
              <w:top w:val="nil"/>
            </w:tcBorders>
          </w:tcPr>
          <w:p w:rsidR="00000000" w:rsidRDefault="00000000">
            <w:pPr>
              <w:spacing w:before="60" w:after="60"/>
              <w:jc w:val="right"/>
              <w:rPr>
                <w:sz w:val="22"/>
                <w:lang w:val="de-CH"/>
              </w:rPr>
            </w:pPr>
            <w:r>
              <w:rPr>
                <w:sz w:val="22"/>
                <w:lang w:val="de-CH"/>
              </w:rPr>
              <w:t>155 275</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lang w:val="de-CH"/>
              </w:rPr>
            </w:pPr>
            <w:r>
              <w:rPr>
                <w:sz w:val="22"/>
                <w:lang w:val="de-CH"/>
              </w:rPr>
              <w:t>Russes</w:t>
            </w:r>
          </w:p>
        </w:tc>
        <w:tc>
          <w:tcPr>
            <w:tcW w:w="1899" w:type="dxa"/>
            <w:tcBorders>
              <w:bottom w:val="nil"/>
            </w:tcBorders>
          </w:tcPr>
          <w:p w:rsidR="00000000" w:rsidRDefault="00000000">
            <w:pPr>
              <w:spacing w:before="60" w:after="60"/>
              <w:jc w:val="right"/>
              <w:rPr>
                <w:sz w:val="22"/>
                <w:lang w:val="de-CH"/>
              </w:rPr>
            </w:pPr>
          </w:p>
        </w:tc>
        <w:tc>
          <w:tcPr>
            <w:tcW w:w="1899" w:type="dxa"/>
            <w:tcBorders>
              <w:bottom w:val="nil"/>
            </w:tcBorders>
          </w:tcPr>
          <w:p w:rsidR="00000000" w:rsidRDefault="00000000">
            <w:pPr>
              <w:spacing w:before="60" w:after="60"/>
              <w:jc w:val="right"/>
              <w:rPr>
                <w:sz w:val="22"/>
                <w:lang w:val="de-CH"/>
              </w:rPr>
            </w:pPr>
          </w:p>
        </w:tc>
        <w:tc>
          <w:tcPr>
            <w:tcW w:w="1899" w:type="dxa"/>
            <w:tcBorders>
              <w:bottom w:val="nil"/>
            </w:tcBorders>
          </w:tcPr>
          <w:p w:rsidR="00000000" w:rsidRDefault="00000000">
            <w:pPr>
              <w:spacing w:before="60" w:after="60"/>
              <w:jc w:val="right"/>
              <w:rPr>
                <w:sz w:val="22"/>
                <w:lang w:val="de-CH"/>
              </w:rPr>
            </w:pPr>
          </w:p>
        </w:tc>
        <w:tc>
          <w:tcPr>
            <w:tcW w:w="1900" w:type="dxa"/>
            <w:tcBorders>
              <w:bottom w:val="nil"/>
            </w:tcBorders>
          </w:tcPr>
          <w:p w:rsidR="00000000" w:rsidRDefault="00000000">
            <w:pPr>
              <w:spacing w:before="60" w:after="60"/>
              <w:jc w:val="right"/>
              <w:rPr>
                <w:sz w:val="22"/>
                <w:lang w:val="de-CH"/>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lang w:val="de-CH"/>
              </w:rPr>
            </w:pPr>
            <w:r>
              <w:rPr>
                <w:sz w:val="22"/>
                <w:lang w:val="de-CH"/>
              </w:rPr>
              <w:t>1999/2000</w:t>
            </w:r>
          </w:p>
        </w:tc>
        <w:tc>
          <w:tcPr>
            <w:tcW w:w="1899" w:type="dxa"/>
            <w:tcBorders>
              <w:top w:val="nil"/>
              <w:bottom w:val="nil"/>
            </w:tcBorders>
          </w:tcPr>
          <w:p w:rsidR="00000000" w:rsidRDefault="00000000">
            <w:pPr>
              <w:spacing w:before="60" w:after="60"/>
              <w:jc w:val="right"/>
              <w:rPr>
                <w:sz w:val="22"/>
                <w:lang w:val="de-CH"/>
              </w:rPr>
            </w:pPr>
            <w:r>
              <w:rPr>
                <w:sz w:val="22"/>
                <w:lang w:val="de-CH"/>
              </w:rPr>
              <w:t>86 377</w:t>
            </w:r>
          </w:p>
        </w:tc>
        <w:tc>
          <w:tcPr>
            <w:tcW w:w="1899" w:type="dxa"/>
            <w:tcBorders>
              <w:top w:val="nil"/>
              <w:bottom w:val="nil"/>
            </w:tcBorders>
          </w:tcPr>
          <w:p w:rsidR="00000000" w:rsidRDefault="00000000">
            <w:pPr>
              <w:spacing w:before="60" w:after="60"/>
              <w:jc w:val="right"/>
              <w:rPr>
                <w:sz w:val="22"/>
                <w:lang w:val="de-CH"/>
              </w:rPr>
            </w:pPr>
            <w:r>
              <w:rPr>
                <w:sz w:val="22"/>
                <w:lang w:val="de-CH"/>
              </w:rPr>
              <w:t>52 554</w:t>
            </w:r>
          </w:p>
        </w:tc>
        <w:tc>
          <w:tcPr>
            <w:tcW w:w="1899" w:type="dxa"/>
            <w:tcBorders>
              <w:top w:val="nil"/>
              <w:bottom w:val="nil"/>
            </w:tcBorders>
          </w:tcPr>
          <w:p w:rsidR="00000000" w:rsidRDefault="00000000">
            <w:pPr>
              <w:spacing w:before="60" w:after="60"/>
              <w:jc w:val="right"/>
              <w:rPr>
                <w:sz w:val="22"/>
                <w:lang w:val="de-CH"/>
              </w:rPr>
            </w:pPr>
            <w:r>
              <w:rPr>
                <w:sz w:val="22"/>
                <w:lang w:val="de-CH"/>
              </w:rPr>
              <w:t>1 258</w:t>
            </w:r>
          </w:p>
        </w:tc>
        <w:tc>
          <w:tcPr>
            <w:tcW w:w="1900" w:type="dxa"/>
            <w:tcBorders>
              <w:top w:val="nil"/>
              <w:bottom w:val="nil"/>
            </w:tcBorders>
          </w:tcPr>
          <w:p w:rsidR="00000000" w:rsidRDefault="00000000">
            <w:pPr>
              <w:spacing w:before="60" w:after="60"/>
              <w:jc w:val="right"/>
              <w:rPr>
                <w:sz w:val="22"/>
                <w:lang w:val="de-CH"/>
              </w:rPr>
            </w:pPr>
            <w:r>
              <w:rPr>
                <w:sz w:val="22"/>
                <w:lang w:val="de-CH"/>
              </w:rPr>
              <w:t>32 565</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lang w:val="de-CH"/>
              </w:rPr>
            </w:pPr>
            <w:r>
              <w:rPr>
                <w:sz w:val="22"/>
                <w:lang w:val="de-CH"/>
              </w:rPr>
              <w:t>2000/2001</w:t>
            </w:r>
          </w:p>
        </w:tc>
        <w:tc>
          <w:tcPr>
            <w:tcW w:w="1899" w:type="dxa"/>
            <w:tcBorders>
              <w:top w:val="nil"/>
              <w:bottom w:val="nil"/>
            </w:tcBorders>
          </w:tcPr>
          <w:p w:rsidR="00000000" w:rsidRDefault="00000000">
            <w:pPr>
              <w:spacing w:before="60" w:after="60"/>
              <w:jc w:val="right"/>
              <w:rPr>
                <w:sz w:val="22"/>
                <w:lang w:val="de-CH"/>
              </w:rPr>
            </w:pPr>
            <w:r>
              <w:rPr>
                <w:sz w:val="22"/>
                <w:lang w:val="de-CH"/>
              </w:rPr>
              <w:t>100 538</w:t>
            </w:r>
          </w:p>
        </w:tc>
        <w:tc>
          <w:tcPr>
            <w:tcW w:w="1899" w:type="dxa"/>
            <w:tcBorders>
              <w:top w:val="nil"/>
              <w:bottom w:val="nil"/>
            </w:tcBorders>
          </w:tcPr>
          <w:p w:rsidR="00000000" w:rsidRDefault="00000000">
            <w:pPr>
              <w:spacing w:before="60" w:after="60"/>
              <w:jc w:val="right"/>
              <w:rPr>
                <w:sz w:val="22"/>
                <w:lang w:val="de-CH"/>
              </w:rPr>
            </w:pPr>
            <w:r>
              <w:rPr>
                <w:sz w:val="22"/>
                <w:lang w:val="de-CH"/>
              </w:rPr>
              <w:t>59 208</w:t>
            </w:r>
          </w:p>
        </w:tc>
        <w:tc>
          <w:tcPr>
            <w:tcW w:w="1899" w:type="dxa"/>
            <w:tcBorders>
              <w:top w:val="nil"/>
              <w:bottom w:val="nil"/>
            </w:tcBorders>
          </w:tcPr>
          <w:p w:rsidR="00000000" w:rsidRDefault="00000000">
            <w:pPr>
              <w:spacing w:before="60" w:after="60"/>
              <w:jc w:val="right"/>
              <w:rPr>
                <w:sz w:val="22"/>
                <w:lang w:val="de-CH"/>
              </w:rPr>
            </w:pPr>
            <w:r>
              <w:rPr>
                <w:sz w:val="22"/>
                <w:lang w:val="de-CH"/>
              </w:rPr>
              <w:t>999</w:t>
            </w:r>
          </w:p>
        </w:tc>
        <w:tc>
          <w:tcPr>
            <w:tcW w:w="1900" w:type="dxa"/>
            <w:tcBorders>
              <w:top w:val="nil"/>
              <w:bottom w:val="nil"/>
            </w:tcBorders>
          </w:tcPr>
          <w:p w:rsidR="00000000" w:rsidRDefault="00000000">
            <w:pPr>
              <w:spacing w:before="60" w:after="60"/>
              <w:jc w:val="right"/>
              <w:rPr>
                <w:sz w:val="22"/>
                <w:lang w:val="de-CH"/>
              </w:rPr>
            </w:pPr>
            <w:r>
              <w:rPr>
                <w:sz w:val="22"/>
                <w:lang w:val="de-CH"/>
              </w:rPr>
              <w:t>44 331</w:t>
            </w:r>
          </w:p>
        </w:tc>
      </w:tr>
      <w:tr w:rsidR="00000000">
        <w:tblPrEx>
          <w:tblCellMar>
            <w:top w:w="0" w:type="dxa"/>
            <w:bottom w:w="0" w:type="dxa"/>
          </w:tblCellMar>
        </w:tblPrEx>
        <w:tc>
          <w:tcPr>
            <w:tcW w:w="1899" w:type="dxa"/>
            <w:tcBorders>
              <w:top w:val="nil"/>
            </w:tcBorders>
          </w:tcPr>
          <w:p w:rsidR="00000000" w:rsidRDefault="00000000">
            <w:pPr>
              <w:spacing w:before="60" w:after="60"/>
              <w:rPr>
                <w:sz w:val="22"/>
                <w:lang w:val="de-CH"/>
              </w:rPr>
            </w:pPr>
            <w:r>
              <w:rPr>
                <w:sz w:val="22"/>
                <w:lang w:val="de-CH"/>
              </w:rPr>
              <w:t>2001/2002</w:t>
            </w:r>
          </w:p>
        </w:tc>
        <w:tc>
          <w:tcPr>
            <w:tcW w:w="1899" w:type="dxa"/>
            <w:tcBorders>
              <w:top w:val="nil"/>
            </w:tcBorders>
          </w:tcPr>
          <w:p w:rsidR="00000000" w:rsidRDefault="00000000">
            <w:pPr>
              <w:spacing w:before="60" w:after="60"/>
              <w:jc w:val="right"/>
              <w:rPr>
                <w:sz w:val="22"/>
                <w:lang w:val="de-CH"/>
              </w:rPr>
            </w:pPr>
            <w:r>
              <w:rPr>
                <w:sz w:val="22"/>
                <w:lang w:val="de-CH"/>
              </w:rPr>
              <w:t>112 538</w:t>
            </w:r>
          </w:p>
        </w:tc>
        <w:tc>
          <w:tcPr>
            <w:tcW w:w="1899" w:type="dxa"/>
            <w:tcBorders>
              <w:top w:val="nil"/>
            </w:tcBorders>
          </w:tcPr>
          <w:p w:rsidR="00000000" w:rsidRDefault="00000000">
            <w:pPr>
              <w:spacing w:before="60" w:after="60"/>
              <w:jc w:val="right"/>
              <w:rPr>
                <w:sz w:val="22"/>
                <w:lang w:val="de-CH"/>
              </w:rPr>
            </w:pPr>
            <w:r>
              <w:rPr>
                <w:sz w:val="22"/>
                <w:lang w:val="de-CH"/>
              </w:rPr>
              <w:t>60 225</w:t>
            </w:r>
          </w:p>
        </w:tc>
        <w:tc>
          <w:tcPr>
            <w:tcW w:w="1899" w:type="dxa"/>
            <w:tcBorders>
              <w:top w:val="nil"/>
            </w:tcBorders>
          </w:tcPr>
          <w:p w:rsidR="00000000" w:rsidRDefault="00000000">
            <w:pPr>
              <w:spacing w:before="60" w:after="60"/>
              <w:jc w:val="right"/>
              <w:rPr>
                <w:sz w:val="22"/>
                <w:lang w:val="de-CH"/>
              </w:rPr>
            </w:pPr>
            <w:r>
              <w:rPr>
                <w:sz w:val="22"/>
                <w:lang w:val="de-CH"/>
              </w:rPr>
              <w:t>762</w:t>
            </w:r>
          </w:p>
        </w:tc>
        <w:tc>
          <w:tcPr>
            <w:tcW w:w="1900" w:type="dxa"/>
            <w:tcBorders>
              <w:top w:val="nil"/>
            </w:tcBorders>
          </w:tcPr>
          <w:p w:rsidR="00000000" w:rsidRDefault="00000000">
            <w:pPr>
              <w:spacing w:before="60" w:after="60"/>
              <w:jc w:val="right"/>
              <w:rPr>
                <w:sz w:val="22"/>
                <w:lang w:val="de-CH"/>
              </w:rPr>
            </w:pPr>
            <w:r>
              <w:rPr>
                <w:sz w:val="22"/>
                <w:lang w:val="de-CH"/>
              </w:rPr>
              <w:t>51 551</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lang w:val="de-CH"/>
              </w:rPr>
            </w:pPr>
            <w:r>
              <w:rPr>
                <w:sz w:val="22"/>
                <w:lang w:val="de-CH"/>
              </w:rPr>
              <w:t>Ukrainiens</w:t>
            </w:r>
          </w:p>
        </w:tc>
        <w:tc>
          <w:tcPr>
            <w:tcW w:w="1899" w:type="dxa"/>
            <w:tcBorders>
              <w:bottom w:val="nil"/>
            </w:tcBorders>
          </w:tcPr>
          <w:p w:rsidR="00000000" w:rsidRDefault="00000000">
            <w:pPr>
              <w:spacing w:before="60" w:after="60"/>
              <w:jc w:val="right"/>
              <w:rPr>
                <w:sz w:val="22"/>
                <w:lang w:val="de-CH"/>
              </w:rPr>
            </w:pPr>
          </w:p>
        </w:tc>
        <w:tc>
          <w:tcPr>
            <w:tcW w:w="1899" w:type="dxa"/>
            <w:tcBorders>
              <w:bottom w:val="nil"/>
            </w:tcBorders>
          </w:tcPr>
          <w:p w:rsidR="00000000" w:rsidRDefault="00000000">
            <w:pPr>
              <w:spacing w:before="60" w:after="60"/>
              <w:jc w:val="right"/>
              <w:rPr>
                <w:sz w:val="22"/>
                <w:lang w:val="de-CH"/>
              </w:rPr>
            </w:pPr>
          </w:p>
        </w:tc>
        <w:tc>
          <w:tcPr>
            <w:tcW w:w="1899" w:type="dxa"/>
            <w:tcBorders>
              <w:bottom w:val="nil"/>
            </w:tcBorders>
          </w:tcPr>
          <w:p w:rsidR="00000000" w:rsidRDefault="00000000">
            <w:pPr>
              <w:spacing w:before="60" w:after="60"/>
              <w:jc w:val="right"/>
              <w:rPr>
                <w:sz w:val="22"/>
                <w:lang w:val="de-CH"/>
              </w:rPr>
            </w:pPr>
          </w:p>
        </w:tc>
        <w:tc>
          <w:tcPr>
            <w:tcW w:w="1900" w:type="dxa"/>
            <w:tcBorders>
              <w:bottom w:val="nil"/>
            </w:tcBorders>
          </w:tcPr>
          <w:p w:rsidR="00000000" w:rsidRDefault="00000000">
            <w:pPr>
              <w:spacing w:before="60" w:after="60"/>
              <w:jc w:val="right"/>
              <w:rPr>
                <w:sz w:val="22"/>
                <w:lang w:val="de-CH"/>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6 691</w:t>
            </w:r>
          </w:p>
        </w:tc>
        <w:tc>
          <w:tcPr>
            <w:tcW w:w="1899" w:type="dxa"/>
            <w:tcBorders>
              <w:top w:val="nil"/>
              <w:bottom w:val="nil"/>
            </w:tcBorders>
          </w:tcPr>
          <w:p w:rsidR="00000000" w:rsidRDefault="00000000">
            <w:pPr>
              <w:spacing w:before="60" w:after="60"/>
              <w:jc w:val="right"/>
              <w:rPr>
                <w:sz w:val="22"/>
              </w:rPr>
            </w:pPr>
            <w:r>
              <w:rPr>
                <w:sz w:val="22"/>
              </w:rPr>
              <w:t>4 160</w:t>
            </w:r>
          </w:p>
        </w:tc>
        <w:tc>
          <w:tcPr>
            <w:tcW w:w="1899" w:type="dxa"/>
            <w:tcBorders>
              <w:top w:val="nil"/>
              <w:bottom w:val="nil"/>
            </w:tcBorders>
          </w:tcPr>
          <w:p w:rsidR="00000000" w:rsidRDefault="00000000">
            <w:pPr>
              <w:spacing w:before="60" w:after="60"/>
              <w:jc w:val="right"/>
              <w:rPr>
                <w:sz w:val="22"/>
              </w:rPr>
            </w:pPr>
            <w:r>
              <w:rPr>
                <w:sz w:val="22"/>
              </w:rPr>
              <w:t>46</w:t>
            </w:r>
          </w:p>
        </w:tc>
        <w:tc>
          <w:tcPr>
            <w:tcW w:w="1900" w:type="dxa"/>
            <w:tcBorders>
              <w:top w:val="nil"/>
              <w:bottom w:val="nil"/>
            </w:tcBorders>
          </w:tcPr>
          <w:p w:rsidR="00000000" w:rsidRDefault="00000000">
            <w:pPr>
              <w:spacing w:before="60" w:after="60"/>
              <w:jc w:val="right"/>
              <w:rPr>
                <w:sz w:val="22"/>
              </w:rPr>
            </w:pPr>
            <w:r>
              <w:rPr>
                <w:sz w:val="22"/>
              </w:rPr>
              <w:t>2 485</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7 447</w:t>
            </w:r>
          </w:p>
        </w:tc>
        <w:tc>
          <w:tcPr>
            <w:tcW w:w="1899" w:type="dxa"/>
            <w:tcBorders>
              <w:top w:val="nil"/>
              <w:bottom w:val="nil"/>
            </w:tcBorders>
          </w:tcPr>
          <w:p w:rsidR="00000000" w:rsidRDefault="00000000">
            <w:pPr>
              <w:spacing w:before="60" w:after="60"/>
              <w:jc w:val="right"/>
              <w:rPr>
                <w:sz w:val="22"/>
              </w:rPr>
            </w:pPr>
            <w:r>
              <w:rPr>
                <w:sz w:val="22"/>
              </w:rPr>
              <w:t>4 331</w:t>
            </w:r>
          </w:p>
        </w:tc>
        <w:tc>
          <w:tcPr>
            <w:tcW w:w="1899" w:type="dxa"/>
            <w:tcBorders>
              <w:top w:val="nil"/>
              <w:bottom w:val="nil"/>
            </w:tcBorders>
          </w:tcPr>
          <w:p w:rsidR="00000000" w:rsidRDefault="00000000">
            <w:pPr>
              <w:spacing w:before="60" w:after="60"/>
              <w:jc w:val="right"/>
              <w:rPr>
                <w:sz w:val="22"/>
              </w:rPr>
            </w:pPr>
            <w:r>
              <w:rPr>
                <w:sz w:val="22"/>
              </w:rPr>
              <w:t>30</w:t>
            </w:r>
          </w:p>
        </w:tc>
        <w:tc>
          <w:tcPr>
            <w:tcW w:w="1900" w:type="dxa"/>
            <w:tcBorders>
              <w:top w:val="nil"/>
              <w:bottom w:val="nil"/>
            </w:tcBorders>
          </w:tcPr>
          <w:p w:rsidR="00000000" w:rsidRDefault="00000000">
            <w:pPr>
              <w:spacing w:before="60" w:after="60"/>
              <w:jc w:val="right"/>
              <w:rPr>
                <w:sz w:val="22"/>
              </w:rPr>
            </w:pPr>
            <w:r>
              <w:rPr>
                <w:sz w:val="22"/>
              </w:rPr>
              <w:t>3 086</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9 088</w:t>
            </w:r>
          </w:p>
        </w:tc>
        <w:tc>
          <w:tcPr>
            <w:tcW w:w="1899" w:type="dxa"/>
            <w:tcBorders>
              <w:top w:val="nil"/>
            </w:tcBorders>
          </w:tcPr>
          <w:p w:rsidR="00000000" w:rsidRDefault="00000000">
            <w:pPr>
              <w:spacing w:before="60" w:after="60"/>
              <w:jc w:val="right"/>
              <w:rPr>
                <w:sz w:val="22"/>
              </w:rPr>
            </w:pPr>
            <w:r>
              <w:rPr>
                <w:sz w:val="22"/>
              </w:rPr>
              <w:t>4 958</w:t>
            </w:r>
          </w:p>
        </w:tc>
        <w:tc>
          <w:tcPr>
            <w:tcW w:w="1899" w:type="dxa"/>
            <w:tcBorders>
              <w:top w:val="nil"/>
            </w:tcBorders>
          </w:tcPr>
          <w:p w:rsidR="00000000" w:rsidRDefault="00000000">
            <w:pPr>
              <w:spacing w:before="60" w:after="60"/>
              <w:jc w:val="right"/>
              <w:rPr>
                <w:sz w:val="22"/>
              </w:rPr>
            </w:pPr>
            <w:r>
              <w:rPr>
                <w:sz w:val="22"/>
              </w:rPr>
              <w:t>22</w:t>
            </w:r>
          </w:p>
        </w:tc>
        <w:tc>
          <w:tcPr>
            <w:tcW w:w="1900" w:type="dxa"/>
            <w:tcBorders>
              <w:top w:val="nil"/>
            </w:tcBorders>
          </w:tcPr>
          <w:p w:rsidR="00000000" w:rsidRDefault="00000000">
            <w:pPr>
              <w:spacing w:before="60" w:after="60"/>
              <w:jc w:val="right"/>
              <w:rPr>
                <w:sz w:val="22"/>
              </w:rPr>
            </w:pPr>
            <w:r>
              <w:rPr>
                <w:sz w:val="22"/>
              </w:rPr>
              <w:t>4 108</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Bélarussiens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1 184</w:t>
            </w:r>
          </w:p>
        </w:tc>
        <w:tc>
          <w:tcPr>
            <w:tcW w:w="1899" w:type="dxa"/>
            <w:tcBorders>
              <w:top w:val="nil"/>
              <w:bottom w:val="nil"/>
            </w:tcBorders>
          </w:tcPr>
          <w:p w:rsidR="00000000" w:rsidRDefault="00000000">
            <w:pPr>
              <w:spacing w:before="60" w:after="60"/>
              <w:jc w:val="right"/>
              <w:rPr>
                <w:sz w:val="22"/>
              </w:rPr>
            </w:pPr>
            <w:r>
              <w:rPr>
                <w:sz w:val="22"/>
              </w:rPr>
              <w:t>685</w:t>
            </w:r>
          </w:p>
        </w:tc>
        <w:tc>
          <w:tcPr>
            <w:tcW w:w="1899" w:type="dxa"/>
            <w:tcBorders>
              <w:top w:val="nil"/>
              <w:bottom w:val="nil"/>
            </w:tcBorders>
          </w:tcPr>
          <w:p w:rsidR="00000000" w:rsidRDefault="00000000">
            <w:pPr>
              <w:spacing w:before="60" w:after="60"/>
              <w:jc w:val="right"/>
              <w:rPr>
                <w:sz w:val="22"/>
              </w:rPr>
            </w:pPr>
            <w:r>
              <w:rPr>
                <w:sz w:val="22"/>
              </w:rPr>
              <w:t>8</w:t>
            </w:r>
          </w:p>
        </w:tc>
        <w:tc>
          <w:tcPr>
            <w:tcW w:w="1900" w:type="dxa"/>
            <w:tcBorders>
              <w:top w:val="nil"/>
              <w:bottom w:val="nil"/>
            </w:tcBorders>
          </w:tcPr>
          <w:p w:rsidR="00000000" w:rsidRDefault="00000000">
            <w:pPr>
              <w:spacing w:before="60" w:after="60"/>
              <w:jc w:val="right"/>
              <w:rPr>
                <w:sz w:val="22"/>
              </w:rPr>
            </w:pPr>
            <w:r>
              <w:rPr>
                <w:sz w:val="22"/>
              </w:rPr>
              <w:t>491</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1 229</w:t>
            </w:r>
          </w:p>
        </w:tc>
        <w:tc>
          <w:tcPr>
            <w:tcW w:w="1899" w:type="dxa"/>
            <w:tcBorders>
              <w:top w:val="nil"/>
              <w:bottom w:val="nil"/>
            </w:tcBorders>
          </w:tcPr>
          <w:p w:rsidR="00000000" w:rsidRDefault="00000000">
            <w:pPr>
              <w:spacing w:before="60" w:after="60"/>
              <w:jc w:val="right"/>
              <w:rPr>
                <w:sz w:val="22"/>
              </w:rPr>
            </w:pPr>
            <w:r>
              <w:rPr>
                <w:sz w:val="22"/>
              </w:rPr>
              <w:t>641</w:t>
            </w:r>
          </w:p>
        </w:tc>
        <w:tc>
          <w:tcPr>
            <w:tcW w:w="1899" w:type="dxa"/>
            <w:tcBorders>
              <w:top w:val="nil"/>
              <w:bottom w:val="nil"/>
            </w:tcBorders>
          </w:tcPr>
          <w:p w:rsidR="00000000" w:rsidRDefault="00000000">
            <w:pPr>
              <w:spacing w:before="60" w:after="60"/>
              <w:jc w:val="right"/>
              <w:rPr>
                <w:sz w:val="22"/>
              </w:rPr>
            </w:pPr>
            <w:r>
              <w:rPr>
                <w:sz w:val="22"/>
              </w:rPr>
              <w:t>8</w:t>
            </w:r>
          </w:p>
        </w:tc>
        <w:tc>
          <w:tcPr>
            <w:tcW w:w="1900" w:type="dxa"/>
            <w:tcBorders>
              <w:top w:val="nil"/>
              <w:bottom w:val="nil"/>
            </w:tcBorders>
          </w:tcPr>
          <w:p w:rsidR="00000000" w:rsidRDefault="00000000">
            <w:pPr>
              <w:spacing w:before="60" w:after="60"/>
              <w:jc w:val="right"/>
              <w:rPr>
                <w:sz w:val="22"/>
              </w:rPr>
            </w:pPr>
            <w:r>
              <w:rPr>
                <w:sz w:val="22"/>
              </w:rPr>
              <w:t>580</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1 526</w:t>
            </w:r>
          </w:p>
        </w:tc>
        <w:tc>
          <w:tcPr>
            <w:tcW w:w="1899" w:type="dxa"/>
            <w:tcBorders>
              <w:top w:val="nil"/>
            </w:tcBorders>
          </w:tcPr>
          <w:p w:rsidR="00000000" w:rsidRDefault="00000000">
            <w:pPr>
              <w:spacing w:before="60" w:after="60"/>
              <w:jc w:val="right"/>
              <w:rPr>
                <w:sz w:val="22"/>
              </w:rPr>
            </w:pPr>
            <w:r>
              <w:rPr>
                <w:sz w:val="22"/>
              </w:rPr>
              <w:t>715</w:t>
            </w:r>
          </w:p>
        </w:tc>
        <w:tc>
          <w:tcPr>
            <w:tcW w:w="1899" w:type="dxa"/>
            <w:tcBorders>
              <w:top w:val="nil"/>
            </w:tcBorders>
          </w:tcPr>
          <w:p w:rsidR="00000000" w:rsidRDefault="00000000">
            <w:pPr>
              <w:spacing w:before="60" w:after="60"/>
              <w:jc w:val="right"/>
              <w:rPr>
                <w:sz w:val="22"/>
              </w:rPr>
            </w:pPr>
            <w:r>
              <w:rPr>
                <w:sz w:val="22"/>
              </w:rPr>
              <w:t>3</w:t>
            </w:r>
          </w:p>
        </w:tc>
        <w:tc>
          <w:tcPr>
            <w:tcW w:w="1900" w:type="dxa"/>
            <w:tcBorders>
              <w:top w:val="nil"/>
            </w:tcBorders>
          </w:tcPr>
          <w:p w:rsidR="00000000" w:rsidRDefault="00000000">
            <w:pPr>
              <w:spacing w:before="60" w:after="60"/>
              <w:jc w:val="right"/>
              <w:rPr>
                <w:sz w:val="22"/>
              </w:rPr>
            </w:pPr>
            <w:r>
              <w:rPr>
                <w:sz w:val="22"/>
              </w:rPr>
              <w:t>808</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Ouzbeks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3 075</w:t>
            </w:r>
          </w:p>
        </w:tc>
        <w:tc>
          <w:tcPr>
            <w:tcW w:w="1899" w:type="dxa"/>
            <w:tcBorders>
              <w:top w:val="nil"/>
              <w:bottom w:val="nil"/>
            </w:tcBorders>
          </w:tcPr>
          <w:p w:rsidR="00000000" w:rsidRDefault="00000000">
            <w:pPr>
              <w:spacing w:before="60" w:after="60"/>
              <w:jc w:val="right"/>
              <w:rPr>
                <w:sz w:val="22"/>
              </w:rPr>
            </w:pPr>
            <w:r>
              <w:rPr>
                <w:sz w:val="22"/>
              </w:rPr>
              <w:t>1 785</w:t>
            </w:r>
          </w:p>
        </w:tc>
        <w:tc>
          <w:tcPr>
            <w:tcW w:w="1899" w:type="dxa"/>
            <w:tcBorders>
              <w:top w:val="nil"/>
              <w:bottom w:val="nil"/>
            </w:tcBorders>
          </w:tcPr>
          <w:p w:rsidR="00000000" w:rsidRDefault="00000000">
            <w:pPr>
              <w:spacing w:before="60" w:after="60"/>
              <w:jc w:val="right"/>
              <w:rPr>
                <w:sz w:val="22"/>
              </w:rPr>
            </w:pPr>
            <w:r>
              <w:rPr>
                <w:sz w:val="22"/>
              </w:rPr>
              <w:t>3</w:t>
            </w:r>
          </w:p>
        </w:tc>
        <w:tc>
          <w:tcPr>
            <w:tcW w:w="1900" w:type="dxa"/>
            <w:tcBorders>
              <w:top w:val="nil"/>
              <w:bottom w:val="nil"/>
            </w:tcBorders>
          </w:tcPr>
          <w:p w:rsidR="00000000" w:rsidRDefault="00000000">
            <w:pPr>
              <w:spacing w:before="60" w:after="60"/>
              <w:jc w:val="right"/>
              <w:rPr>
                <w:sz w:val="22"/>
              </w:rPr>
            </w:pPr>
            <w:r>
              <w:rPr>
                <w:sz w:val="22"/>
              </w:rPr>
              <w:t>1 287</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3 389</w:t>
            </w:r>
          </w:p>
        </w:tc>
        <w:tc>
          <w:tcPr>
            <w:tcW w:w="1899" w:type="dxa"/>
            <w:tcBorders>
              <w:top w:val="nil"/>
              <w:bottom w:val="nil"/>
            </w:tcBorders>
          </w:tcPr>
          <w:p w:rsidR="00000000" w:rsidRDefault="00000000">
            <w:pPr>
              <w:spacing w:before="60" w:after="60"/>
              <w:jc w:val="right"/>
              <w:rPr>
                <w:sz w:val="22"/>
              </w:rPr>
            </w:pPr>
            <w:r>
              <w:rPr>
                <w:sz w:val="22"/>
              </w:rPr>
              <w:t>1 943</w:t>
            </w:r>
          </w:p>
        </w:tc>
        <w:tc>
          <w:tcPr>
            <w:tcW w:w="1899" w:type="dxa"/>
            <w:tcBorders>
              <w:top w:val="nil"/>
              <w:bottom w:val="nil"/>
            </w:tcBorders>
          </w:tcPr>
          <w:p w:rsidR="00000000" w:rsidRDefault="00000000">
            <w:pPr>
              <w:spacing w:before="60" w:after="60"/>
              <w:jc w:val="right"/>
              <w:rPr>
                <w:sz w:val="22"/>
              </w:rPr>
            </w:pPr>
            <w:r>
              <w:rPr>
                <w:sz w:val="22"/>
              </w:rPr>
              <w:t>3</w:t>
            </w:r>
          </w:p>
        </w:tc>
        <w:tc>
          <w:tcPr>
            <w:tcW w:w="1900" w:type="dxa"/>
            <w:tcBorders>
              <w:top w:val="nil"/>
              <w:bottom w:val="nil"/>
            </w:tcBorders>
          </w:tcPr>
          <w:p w:rsidR="00000000" w:rsidRDefault="00000000">
            <w:pPr>
              <w:spacing w:before="60" w:after="60"/>
              <w:jc w:val="right"/>
              <w:rPr>
                <w:sz w:val="22"/>
              </w:rPr>
            </w:pPr>
            <w:r>
              <w:rPr>
                <w:sz w:val="22"/>
              </w:rPr>
              <w:t>1 443</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5 050</w:t>
            </w:r>
          </w:p>
        </w:tc>
        <w:tc>
          <w:tcPr>
            <w:tcW w:w="1899" w:type="dxa"/>
            <w:tcBorders>
              <w:top w:val="nil"/>
            </w:tcBorders>
          </w:tcPr>
          <w:p w:rsidR="00000000" w:rsidRDefault="00000000">
            <w:pPr>
              <w:spacing w:before="60" w:after="60"/>
              <w:jc w:val="right"/>
              <w:rPr>
                <w:sz w:val="22"/>
              </w:rPr>
            </w:pPr>
            <w:r>
              <w:rPr>
                <w:sz w:val="22"/>
              </w:rPr>
              <w:t>2 550</w:t>
            </w:r>
          </w:p>
        </w:tc>
        <w:tc>
          <w:tcPr>
            <w:tcW w:w="1899" w:type="dxa"/>
            <w:tcBorders>
              <w:top w:val="nil"/>
            </w:tcBorders>
          </w:tcPr>
          <w:p w:rsidR="00000000" w:rsidRDefault="00000000">
            <w:pPr>
              <w:spacing w:before="60" w:after="60"/>
              <w:jc w:val="right"/>
              <w:rPr>
                <w:sz w:val="22"/>
              </w:rPr>
            </w:pPr>
            <w:r>
              <w:rPr>
                <w:sz w:val="22"/>
              </w:rPr>
              <w:t>7</w:t>
            </w:r>
          </w:p>
        </w:tc>
        <w:tc>
          <w:tcPr>
            <w:tcW w:w="1900" w:type="dxa"/>
            <w:tcBorders>
              <w:top w:val="nil"/>
            </w:tcBorders>
          </w:tcPr>
          <w:p w:rsidR="00000000" w:rsidRDefault="00000000">
            <w:pPr>
              <w:spacing w:before="60" w:after="60"/>
              <w:jc w:val="right"/>
              <w:rPr>
                <w:sz w:val="22"/>
              </w:rPr>
            </w:pPr>
            <w:r>
              <w:rPr>
                <w:sz w:val="22"/>
              </w:rPr>
              <w:t>2 493</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Azerbaïdjanais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803</w:t>
            </w:r>
          </w:p>
        </w:tc>
        <w:tc>
          <w:tcPr>
            <w:tcW w:w="1899" w:type="dxa"/>
            <w:tcBorders>
              <w:top w:val="nil"/>
              <w:bottom w:val="nil"/>
            </w:tcBorders>
          </w:tcPr>
          <w:p w:rsidR="00000000" w:rsidRDefault="00000000">
            <w:pPr>
              <w:spacing w:before="60" w:after="60"/>
              <w:jc w:val="right"/>
              <w:rPr>
                <w:sz w:val="22"/>
              </w:rPr>
            </w:pPr>
            <w:r>
              <w:rPr>
                <w:sz w:val="22"/>
              </w:rPr>
              <w:t>525</w:t>
            </w:r>
          </w:p>
        </w:tc>
        <w:tc>
          <w:tcPr>
            <w:tcW w:w="1899" w:type="dxa"/>
            <w:tcBorders>
              <w:top w:val="nil"/>
              <w:bottom w:val="nil"/>
            </w:tcBorders>
          </w:tcPr>
          <w:p w:rsidR="00000000" w:rsidRDefault="00000000">
            <w:pPr>
              <w:spacing w:before="60" w:after="60"/>
              <w:jc w:val="right"/>
              <w:rPr>
                <w:sz w:val="22"/>
              </w:rPr>
            </w:pPr>
            <w:r>
              <w:rPr>
                <w:sz w:val="22"/>
              </w:rPr>
              <w:t>10</w:t>
            </w:r>
          </w:p>
        </w:tc>
        <w:tc>
          <w:tcPr>
            <w:tcW w:w="1900" w:type="dxa"/>
            <w:tcBorders>
              <w:top w:val="nil"/>
              <w:bottom w:val="nil"/>
            </w:tcBorders>
          </w:tcPr>
          <w:p w:rsidR="00000000" w:rsidRDefault="00000000">
            <w:pPr>
              <w:spacing w:before="60" w:after="60"/>
              <w:jc w:val="right"/>
              <w:rPr>
                <w:sz w:val="22"/>
              </w:rPr>
            </w:pPr>
            <w:r>
              <w:rPr>
                <w:sz w:val="22"/>
              </w:rPr>
              <w:t>268</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913</w:t>
            </w:r>
          </w:p>
        </w:tc>
        <w:tc>
          <w:tcPr>
            <w:tcW w:w="1899" w:type="dxa"/>
            <w:tcBorders>
              <w:top w:val="nil"/>
              <w:bottom w:val="nil"/>
            </w:tcBorders>
          </w:tcPr>
          <w:p w:rsidR="00000000" w:rsidRDefault="00000000">
            <w:pPr>
              <w:spacing w:before="60" w:after="60"/>
              <w:jc w:val="right"/>
              <w:rPr>
                <w:sz w:val="22"/>
              </w:rPr>
            </w:pPr>
            <w:r>
              <w:rPr>
                <w:sz w:val="22"/>
              </w:rPr>
              <w:t>649</w:t>
            </w:r>
          </w:p>
        </w:tc>
        <w:tc>
          <w:tcPr>
            <w:tcW w:w="1899" w:type="dxa"/>
            <w:tcBorders>
              <w:top w:val="nil"/>
              <w:bottom w:val="nil"/>
            </w:tcBorders>
          </w:tcPr>
          <w:p w:rsidR="00000000" w:rsidRDefault="00000000">
            <w:pPr>
              <w:spacing w:before="60" w:after="60"/>
              <w:jc w:val="right"/>
              <w:rPr>
                <w:sz w:val="22"/>
              </w:rPr>
            </w:pPr>
            <w:r>
              <w:rPr>
                <w:sz w:val="22"/>
              </w:rPr>
              <w:t>9</w:t>
            </w:r>
          </w:p>
        </w:tc>
        <w:tc>
          <w:tcPr>
            <w:tcW w:w="1900" w:type="dxa"/>
            <w:tcBorders>
              <w:top w:val="nil"/>
              <w:bottom w:val="nil"/>
            </w:tcBorders>
          </w:tcPr>
          <w:p w:rsidR="00000000" w:rsidRDefault="00000000">
            <w:pPr>
              <w:spacing w:before="60" w:after="60"/>
              <w:jc w:val="right"/>
              <w:rPr>
                <w:sz w:val="22"/>
              </w:rPr>
            </w:pPr>
            <w:r>
              <w:rPr>
                <w:sz w:val="22"/>
              </w:rPr>
              <w:t>255</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1 187</w:t>
            </w:r>
          </w:p>
        </w:tc>
        <w:tc>
          <w:tcPr>
            <w:tcW w:w="1899" w:type="dxa"/>
            <w:tcBorders>
              <w:top w:val="nil"/>
            </w:tcBorders>
          </w:tcPr>
          <w:p w:rsidR="00000000" w:rsidRDefault="00000000">
            <w:pPr>
              <w:spacing w:before="60" w:after="60"/>
              <w:jc w:val="right"/>
              <w:rPr>
                <w:sz w:val="22"/>
              </w:rPr>
            </w:pPr>
            <w:r>
              <w:rPr>
                <w:sz w:val="22"/>
              </w:rPr>
              <w:t>792</w:t>
            </w:r>
          </w:p>
        </w:tc>
        <w:tc>
          <w:tcPr>
            <w:tcW w:w="1899" w:type="dxa"/>
            <w:tcBorders>
              <w:top w:val="nil"/>
            </w:tcBorders>
          </w:tcPr>
          <w:p w:rsidR="00000000" w:rsidRDefault="00000000">
            <w:pPr>
              <w:spacing w:before="60" w:after="60"/>
              <w:jc w:val="right"/>
              <w:rPr>
                <w:sz w:val="22"/>
              </w:rPr>
            </w:pPr>
            <w:r>
              <w:rPr>
                <w:sz w:val="22"/>
              </w:rPr>
              <w:t>10</w:t>
            </w:r>
          </w:p>
        </w:tc>
        <w:tc>
          <w:tcPr>
            <w:tcW w:w="1900" w:type="dxa"/>
            <w:tcBorders>
              <w:top w:val="nil"/>
            </w:tcBorders>
          </w:tcPr>
          <w:p w:rsidR="00000000" w:rsidRDefault="00000000">
            <w:pPr>
              <w:spacing w:before="60" w:after="60"/>
              <w:jc w:val="right"/>
              <w:rPr>
                <w:sz w:val="22"/>
              </w:rPr>
            </w:pPr>
            <w:r>
              <w:rPr>
                <w:sz w:val="22"/>
              </w:rPr>
              <w:t>385</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Kirghizes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200</w:t>
            </w:r>
          </w:p>
        </w:tc>
        <w:tc>
          <w:tcPr>
            <w:tcW w:w="1899" w:type="dxa"/>
            <w:tcBorders>
              <w:top w:val="nil"/>
              <w:bottom w:val="nil"/>
            </w:tcBorders>
          </w:tcPr>
          <w:p w:rsidR="00000000" w:rsidRDefault="00000000">
            <w:pPr>
              <w:spacing w:before="60" w:after="60"/>
              <w:jc w:val="right"/>
              <w:rPr>
                <w:sz w:val="22"/>
              </w:rPr>
            </w:pPr>
            <w:r>
              <w:rPr>
                <w:sz w:val="22"/>
              </w:rPr>
              <w:t>124</w:t>
            </w:r>
          </w:p>
        </w:tc>
        <w:tc>
          <w:tcPr>
            <w:tcW w:w="1899" w:type="dxa"/>
            <w:tcBorders>
              <w:top w:val="nil"/>
              <w:bottom w:val="nil"/>
            </w:tcBorders>
          </w:tcPr>
          <w:p w:rsidR="00000000" w:rsidRDefault="00000000">
            <w:pPr>
              <w:spacing w:before="60" w:after="60"/>
              <w:jc w:val="right"/>
              <w:rPr>
                <w:sz w:val="22"/>
              </w:rPr>
            </w:pPr>
            <w:r>
              <w:rPr>
                <w:sz w:val="22"/>
              </w:rPr>
              <w:t>1</w:t>
            </w:r>
          </w:p>
        </w:tc>
        <w:tc>
          <w:tcPr>
            <w:tcW w:w="1900" w:type="dxa"/>
            <w:tcBorders>
              <w:top w:val="nil"/>
              <w:bottom w:val="nil"/>
            </w:tcBorders>
          </w:tcPr>
          <w:p w:rsidR="00000000" w:rsidRDefault="00000000">
            <w:pPr>
              <w:spacing w:before="60" w:after="60"/>
              <w:jc w:val="right"/>
              <w:rPr>
                <w:sz w:val="22"/>
              </w:rPr>
            </w:pPr>
            <w:r>
              <w:rPr>
                <w:sz w:val="22"/>
              </w:rPr>
              <w:t>75</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303</w:t>
            </w:r>
          </w:p>
        </w:tc>
        <w:tc>
          <w:tcPr>
            <w:tcW w:w="1899" w:type="dxa"/>
            <w:tcBorders>
              <w:top w:val="nil"/>
              <w:bottom w:val="nil"/>
            </w:tcBorders>
          </w:tcPr>
          <w:p w:rsidR="00000000" w:rsidRDefault="00000000">
            <w:pPr>
              <w:spacing w:before="60" w:after="60"/>
              <w:jc w:val="right"/>
              <w:rPr>
                <w:sz w:val="22"/>
              </w:rPr>
            </w:pPr>
            <w:r>
              <w:rPr>
                <w:sz w:val="22"/>
              </w:rPr>
              <w:t>230</w:t>
            </w:r>
          </w:p>
        </w:tc>
        <w:tc>
          <w:tcPr>
            <w:tcW w:w="1899" w:type="dxa"/>
            <w:tcBorders>
              <w:top w:val="nil"/>
              <w:bottom w:val="nil"/>
            </w:tcBorders>
          </w:tcPr>
          <w:p w:rsidR="00000000" w:rsidRDefault="00000000">
            <w:pPr>
              <w:spacing w:before="60" w:after="60"/>
              <w:jc w:val="right"/>
              <w:rPr>
                <w:sz w:val="22"/>
              </w:rPr>
            </w:pPr>
            <w:r>
              <w:rPr>
                <w:sz w:val="22"/>
              </w:rPr>
              <w:t>2</w:t>
            </w:r>
          </w:p>
        </w:tc>
        <w:tc>
          <w:tcPr>
            <w:tcW w:w="1900" w:type="dxa"/>
            <w:tcBorders>
              <w:top w:val="nil"/>
              <w:bottom w:val="nil"/>
            </w:tcBorders>
          </w:tcPr>
          <w:p w:rsidR="00000000" w:rsidRDefault="00000000">
            <w:pPr>
              <w:spacing w:before="60" w:after="60"/>
              <w:jc w:val="right"/>
              <w:rPr>
                <w:sz w:val="22"/>
              </w:rPr>
            </w:pPr>
            <w:r>
              <w:rPr>
                <w:sz w:val="22"/>
              </w:rPr>
              <w:t>71</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264</w:t>
            </w:r>
          </w:p>
        </w:tc>
        <w:tc>
          <w:tcPr>
            <w:tcW w:w="1899" w:type="dxa"/>
            <w:tcBorders>
              <w:top w:val="nil"/>
            </w:tcBorders>
          </w:tcPr>
          <w:p w:rsidR="00000000" w:rsidRDefault="00000000">
            <w:pPr>
              <w:spacing w:before="60" w:after="60"/>
              <w:jc w:val="right"/>
              <w:rPr>
                <w:sz w:val="22"/>
              </w:rPr>
            </w:pPr>
            <w:r>
              <w:rPr>
                <w:sz w:val="22"/>
              </w:rPr>
              <w:t>208</w:t>
            </w:r>
          </w:p>
        </w:tc>
        <w:tc>
          <w:tcPr>
            <w:tcW w:w="1899" w:type="dxa"/>
            <w:tcBorders>
              <w:top w:val="nil"/>
            </w:tcBorders>
          </w:tcPr>
          <w:p w:rsidR="00000000" w:rsidRDefault="00000000">
            <w:pPr>
              <w:spacing w:before="60" w:after="60"/>
              <w:jc w:val="right"/>
              <w:rPr>
                <w:sz w:val="22"/>
              </w:rPr>
            </w:pPr>
            <w:r>
              <w:rPr>
                <w:sz w:val="22"/>
              </w:rPr>
              <w:t>2</w:t>
            </w:r>
          </w:p>
        </w:tc>
        <w:tc>
          <w:tcPr>
            <w:tcW w:w="1900" w:type="dxa"/>
            <w:tcBorders>
              <w:top w:val="nil"/>
            </w:tcBorders>
          </w:tcPr>
          <w:p w:rsidR="00000000" w:rsidRDefault="00000000">
            <w:pPr>
              <w:spacing w:before="60" w:after="60"/>
              <w:jc w:val="right"/>
              <w:rPr>
                <w:sz w:val="22"/>
              </w:rPr>
            </w:pPr>
            <w:r>
              <w:rPr>
                <w:sz w:val="22"/>
              </w:rPr>
              <w:t>54</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Tadjiks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148</w:t>
            </w:r>
          </w:p>
        </w:tc>
        <w:tc>
          <w:tcPr>
            <w:tcW w:w="1899" w:type="dxa"/>
            <w:tcBorders>
              <w:top w:val="nil"/>
              <w:bottom w:val="nil"/>
            </w:tcBorders>
          </w:tcPr>
          <w:p w:rsidR="00000000" w:rsidRDefault="00000000">
            <w:pPr>
              <w:spacing w:before="60" w:after="60"/>
              <w:jc w:val="right"/>
              <w:rPr>
                <w:sz w:val="22"/>
              </w:rPr>
            </w:pPr>
            <w:r>
              <w:rPr>
                <w:sz w:val="22"/>
              </w:rPr>
              <w:t>97</w:t>
            </w:r>
          </w:p>
        </w:tc>
        <w:tc>
          <w:tcPr>
            <w:tcW w:w="1899" w:type="dxa"/>
            <w:tcBorders>
              <w:top w:val="nil"/>
              <w:bottom w:val="nil"/>
            </w:tcBorders>
          </w:tcPr>
          <w:p w:rsidR="00000000" w:rsidRDefault="00000000">
            <w:pPr>
              <w:spacing w:before="60" w:after="60"/>
              <w:jc w:val="right"/>
              <w:rPr>
                <w:sz w:val="22"/>
              </w:rPr>
            </w:pPr>
            <w:r>
              <w:rPr>
                <w:sz w:val="22"/>
              </w:rPr>
              <w:t>2</w:t>
            </w:r>
          </w:p>
        </w:tc>
        <w:tc>
          <w:tcPr>
            <w:tcW w:w="1900" w:type="dxa"/>
            <w:tcBorders>
              <w:top w:val="nil"/>
              <w:bottom w:val="nil"/>
            </w:tcBorders>
          </w:tcPr>
          <w:p w:rsidR="00000000" w:rsidRDefault="00000000">
            <w:pPr>
              <w:spacing w:before="60" w:after="60"/>
              <w:jc w:val="right"/>
              <w:rPr>
                <w:sz w:val="22"/>
              </w:rPr>
            </w:pPr>
            <w:r>
              <w:rPr>
                <w:sz w:val="22"/>
              </w:rPr>
              <w:t>49</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153</w:t>
            </w:r>
          </w:p>
        </w:tc>
        <w:tc>
          <w:tcPr>
            <w:tcW w:w="1899" w:type="dxa"/>
            <w:tcBorders>
              <w:top w:val="nil"/>
              <w:bottom w:val="nil"/>
            </w:tcBorders>
          </w:tcPr>
          <w:p w:rsidR="00000000" w:rsidRDefault="00000000">
            <w:pPr>
              <w:spacing w:before="60" w:after="60"/>
              <w:jc w:val="right"/>
              <w:rPr>
                <w:sz w:val="22"/>
              </w:rPr>
            </w:pPr>
            <w:r>
              <w:rPr>
                <w:sz w:val="22"/>
              </w:rPr>
              <w:t>87</w:t>
            </w:r>
          </w:p>
        </w:tc>
        <w:tc>
          <w:tcPr>
            <w:tcW w:w="1899" w:type="dxa"/>
            <w:tcBorders>
              <w:top w:val="nil"/>
              <w:bottom w:val="nil"/>
            </w:tcBorders>
          </w:tcPr>
          <w:p w:rsidR="00000000" w:rsidRDefault="00000000">
            <w:pPr>
              <w:spacing w:before="60" w:after="60"/>
              <w:jc w:val="right"/>
              <w:rPr>
                <w:sz w:val="22"/>
              </w:rPr>
            </w:pPr>
            <w:r>
              <w:rPr>
                <w:sz w:val="22"/>
              </w:rPr>
              <w:t>2</w:t>
            </w:r>
          </w:p>
        </w:tc>
        <w:tc>
          <w:tcPr>
            <w:tcW w:w="1900" w:type="dxa"/>
            <w:tcBorders>
              <w:top w:val="nil"/>
              <w:bottom w:val="nil"/>
            </w:tcBorders>
          </w:tcPr>
          <w:p w:rsidR="00000000" w:rsidRDefault="00000000">
            <w:pPr>
              <w:spacing w:before="60" w:after="60"/>
              <w:jc w:val="right"/>
              <w:rPr>
                <w:sz w:val="22"/>
              </w:rPr>
            </w:pPr>
            <w:r>
              <w:rPr>
                <w:sz w:val="22"/>
              </w:rPr>
              <w:t>64</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252</w:t>
            </w:r>
          </w:p>
        </w:tc>
        <w:tc>
          <w:tcPr>
            <w:tcW w:w="1899" w:type="dxa"/>
            <w:tcBorders>
              <w:top w:val="nil"/>
            </w:tcBorders>
          </w:tcPr>
          <w:p w:rsidR="00000000" w:rsidRDefault="00000000">
            <w:pPr>
              <w:spacing w:before="60" w:after="60"/>
              <w:jc w:val="right"/>
              <w:rPr>
                <w:sz w:val="22"/>
              </w:rPr>
            </w:pPr>
            <w:r>
              <w:rPr>
                <w:sz w:val="22"/>
              </w:rPr>
              <w:t>166</w:t>
            </w:r>
          </w:p>
        </w:tc>
        <w:tc>
          <w:tcPr>
            <w:tcW w:w="1899" w:type="dxa"/>
            <w:tcBorders>
              <w:top w:val="nil"/>
            </w:tcBorders>
          </w:tcPr>
          <w:p w:rsidR="00000000" w:rsidRDefault="00000000">
            <w:pPr>
              <w:spacing w:before="60" w:after="60"/>
              <w:jc w:val="right"/>
              <w:rPr>
                <w:sz w:val="22"/>
              </w:rPr>
            </w:pPr>
            <w:r>
              <w:rPr>
                <w:sz w:val="20"/>
              </w:rPr>
              <w:t>−</w:t>
            </w:r>
          </w:p>
        </w:tc>
        <w:tc>
          <w:tcPr>
            <w:tcW w:w="1900" w:type="dxa"/>
            <w:tcBorders>
              <w:top w:val="nil"/>
            </w:tcBorders>
          </w:tcPr>
          <w:p w:rsidR="00000000" w:rsidRDefault="00000000">
            <w:pPr>
              <w:spacing w:before="60" w:after="60"/>
              <w:jc w:val="right"/>
              <w:rPr>
                <w:sz w:val="22"/>
              </w:rPr>
            </w:pPr>
            <w:r>
              <w:rPr>
                <w:sz w:val="22"/>
              </w:rPr>
              <w:t>86</w:t>
            </w:r>
          </w:p>
        </w:tc>
      </w:tr>
      <w:tr w:rsidR="00000000">
        <w:tblPrEx>
          <w:tblCellMar>
            <w:top w:w="0" w:type="dxa"/>
            <w:bottom w:w="0" w:type="dxa"/>
          </w:tblCellMar>
        </w:tblPrEx>
        <w:tc>
          <w:tcPr>
            <w:tcW w:w="1899" w:type="dxa"/>
            <w:tcBorders>
              <w:bottom w:val="nil"/>
            </w:tcBorders>
          </w:tcPr>
          <w:p w:rsidR="00000000" w:rsidRDefault="00000000">
            <w:pPr>
              <w:keepNext/>
              <w:spacing w:before="60" w:after="60"/>
              <w:rPr>
                <w:sz w:val="22"/>
              </w:rPr>
            </w:pPr>
            <w:r>
              <w:rPr>
                <w:sz w:val="22"/>
              </w:rPr>
              <w:t>Turkmènes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single" w:sz="4" w:space="0" w:color="auto"/>
            </w:tcBorders>
          </w:tcPr>
          <w:p w:rsidR="00000000" w:rsidRDefault="00000000">
            <w:pPr>
              <w:spacing w:before="60" w:after="60"/>
              <w:rPr>
                <w:sz w:val="22"/>
              </w:rPr>
            </w:pPr>
            <w:r>
              <w:rPr>
                <w:sz w:val="22"/>
              </w:rPr>
              <w:t>1999/2000</w:t>
            </w:r>
          </w:p>
        </w:tc>
        <w:tc>
          <w:tcPr>
            <w:tcW w:w="1899" w:type="dxa"/>
            <w:tcBorders>
              <w:top w:val="nil"/>
              <w:bottom w:val="single" w:sz="4" w:space="0" w:color="auto"/>
            </w:tcBorders>
          </w:tcPr>
          <w:p w:rsidR="00000000" w:rsidRDefault="00000000">
            <w:pPr>
              <w:spacing w:before="60" w:after="60"/>
              <w:jc w:val="right"/>
              <w:rPr>
                <w:sz w:val="22"/>
              </w:rPr>
            </w:pPr>
            <w:r>
              <w:rPr>
                <w:sz w:val="22"/>
              </w:rPr>
              <w:t>230</w:t>
            </w:r>
          </w:p>
        </w:tc>
        <w:tc>
          <w:tcPr>
            <w:tcW w:w="1899" w:type="dxa"/>
            <w:tcBorders>
              <w:top w:val="nil"/>
              <w:bottom w:val="single" w:sz="4" w:space="0" w:color="auto"/>
            </w:tcBorders>
          </w:tcPr>
          <w:p w:rsidR="00000000" w:rsidRDefault="00000000">
            <w:pPr>
              <w:spacing w:before="60" w:after="60"/>
              <w:jc w:val="right"/>
              <w:rPr>
                <w:sz w:val="22"/>
              </w:rPr>
            </w:pPr>
            <w:r>
              <w:rPr>
                <w:sz w:val="22"/>
              </w:rPr>
              <w:t>145</w:t>
            </w:r>
          </w:p>
        </w:tc>
        <w:tc>
          <w:tcPr>
            <w:tcW w:w="1899" w:type="dxa"/>
            <w:tcBorders>
              <w:top w:val="nil"/>
              <w:bottom w:val="single" w:sz="4" w:space="0" w:color="auto"/>
            </w:tcBorders>
          </w:tcPr>
          <w:p w:rsidR="00000000" w:rsidRDefault="00000000">
            <w:pPr>
              <w:spacing w:before="60" w:after="60"/>
              <w:jc w:val="right"/>
              <w:rPr>
                <w:sz w:val="22"/>
              </w:rPr>
            </w:pPr>
            <w:r>
              <w:rPr>
                <w:sz w:val="20"/>
              </w:rPr>
              <w:t>−</w:t>
            </w:r>
          </w:p>
        </w:tc>
        <w:tc>
          <w:tcPr>
            <w:tcW w:w="1900" w:type="dxa"/>
            <w:tcBorders>
              <w:top w:val="nil"/>
              <w:bottom w:val="single" w:sz="4" w:space="0" w:color="auto"/>
            </w:tcBorders>
          </w:tcPr>
          <w:p w:rsidR="00000000" w:rsidRDefault="00000000">
            <w:pPr>
              <w:spacing w:before="60" w:after="60"/>
              <w:jc w:val="right"/>
              <w:rPr>
                <w:sz w:val="22"/>
              </w:rPr>
            </w:pPr>
            <w:r>
              <w:rPr>
                <w:sz w:val="22"/>
              </w:rPr>
              <w:t>85</w:t>
            </w:r>
          </w:p>
        </w:tc>
      </w:tr>
      <w:tr w:rsidR="00000000">
        <w:tblPrEx>
          <w:tblCellMar>
            <w:top w:w="0" w:type="dxa"/>
            <w:bottom w:w="0" w:type="dxa"/>
          </w:tblCellMar>
        </w:tblPrEx>
        <w:tc>
          <w:tcPr>
            <w:tcW w:w="1899" w:type="dxa"/>
            <w:tcBorders>
              <w:top w:val="single" w:sz="4" w:space="0" w:color="auto"/>
              <w:bottom w:val="nil"/>
            </w:tcBorders>
          </w:tcPr>
          <w:p w:rsidR="00000000" w:rsidRDefault="00000000">
            <w:pPr>
              <w:spacing w:before="60" w:after="60"/>
              <w:rPr>
                <w:sz w:val="22"/>
              </w:rPr>
            </w:pPr>
            <w:r>
              <w:rPr>
                <w:sz w:val="22"/>
              </w:rPr>
              <w:t>2000/2001</w:t>
            </w:r>
          </w:p>
        </w:tc>
        <w:tc>
          <w:tcPr>
            <w:tcW w:w="1899" w:type="dxa"/>
            <w:tcBorders>
              <w:top w:val="single" w:sz="4" w:space="0" w:color="auto"/>
              <w:bottom w:val="nil"/>
            </w:tcBorders>
          </w:tcPr>
          <w:p w:rsidR="00000000" w:rsidRDefault="00000000">
            <w:pPr>
              <w:spacing w:before="60" w:after="60"/>
              <w:jc w:val="right"/>
              <w:rPr>
                <w:sz w:val="22"/>
              </w:rPr>
            </w:pPr>
            <w:r>
              <w:rPr>
                <w:sz w:val="22"/>
              </w:rPr>
              <w:t>704</w:t>
            </w:r>
          </w:p>
        </w:tc>
        <w:tc>
          <w:tcPr>
            <w:tcW w:w="1899" w:type="dxa"/>
            <w:tcBorders>
              <w:top w:val="single" w:sz="4" w:space="0" w:color="auto"/>
              <w:bottom w:val="nil"/>
            </w:tcBorders>
          </w:tcPr>
          <w:p w:rsidR="00000000" w:rsidRDefault="00000000">
            <w:pPr>
              <w:spacing w:before="60" w:after="60"/>
              <w:jc w:val="right"/>
              <w:rPr>
                <w:sz w:val="22"/>
              </w:rPr>
            </w:pPr>
            <w:r>
              <w:rPr>
                <w:sz w:val="22"/>
              </w:rPr>
              <w:t>96</w:t>
            </w:r>
          </w:p>
        </w:tc>
        <w:tc>
          <w:tcPr>
            <w:tcW w:w="1899" w:type="dxa"/>
            <w:tcBorders>
              <w:top w:val="single" w:sz="4" w:space="0" w:color="auto"/>
              <w:bottom w:val="nil"/>
            </w:tcBorders>
          </w:tcPr>
          <w:p w:rsidR="00000000" w:rsidRDefault="00000000">
            <w:pPr>
              <w:spacing w:before="60" w:after="60"/>
              <w:jc w:val="right"/>
              <w:rPr>
                <w:sz w:val="22"/>
              </w:rPr>
            </w:pPr>
            <w:r>
              <w:rPr>
                <w:sz w:val="20"/>
              </w:rPr>
              <w:t>−</w:t>
            </w:r>
          </w:p>
        </w:tc>
        <w:tc>
          <w:tcPr>
            <w:tcW w:w="1900" w:type="dxa"/>
            <w:tcBorders>
              <w:top w:val="single" w:sz="4" w:space="0" w:color="auto"/>
              <w:bottom w:val="nil"/>
            </w:tcBorders>
          </w:tcPr>
          <w:p w:rsidR="00000000" w:rsidRDefault="00000000">
            <w:pPr>
              <w:spacing w:before="60" w:after="60"/>
              <w:jc w:val="right"/>
              <w:rPr>
                <w:sz w:val="22"/>
              </w:rPr>
            </w:pPr>
            <w:r>
              <w:rPr>
                <w:sz w:val="22"/>
              </w:rPr>
              <w:t>608</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661</w:t>
            </w:r>
          </w:p>
        </w:tc>
        <w:tc>
          <w:tcPr>
            <w:tcW w:w="1899" w:type="dxa"/>
            <w:tcBorders>
              <w:top w:val="nil"/>
            </w:tcBorders>
          </w:tcPr>
          <w:p w:rsidR="00000000" w:rsidRDefault="00000000">
            <w:pPr>
              <w:spacing w:before="60" w:after="60"/>
              <w:jc w:val="right"/>
              <w:rPr>
                <w:sz w:val="22"/>
              </w:rPr>
            </w:pPr>
            <w:r>
              <w:rPr>
                <w:sz w:val="22"/>
              </w:rPr>
              <w:t>421</w:t>
            </w:r>
          </w:p>
        </w:tc>
        <w:tc>
          <w:tcPr>
            <w:tcW w:w="1899" w:type="dxa"/>
            <w:tcBorders>
              <w:top w:val="nil"/>
            </w:tcBorders>
          </w:tcPr>
          <w:p w:rsidR="00000000" w:rsidRDefault="00000000">
            <w:pPr>
              <w:spacing w:before="60" w:after="60"/>
              <w:jc w:val="right"/>
              <w:rPr>
                <w:sz w:val="22"/>
              </w:rPr>
            </w:pPr>
            <w:r>
              <w:rPr>
                <w:sz w:val="22"/>
              </w:rPr>
              <w:t>1</w:t>
            </w:r>
          </w:p>
        </w:tc>
        <w:tc>
          <w:tcPr>
            <w:tcW w:w="1900" w:type="dxa"/>
            <w:tcBorders>
              <w:top w:val="nil"/>
            </w:tcBorders>
          </w:tcPr>
          <w:p w:rsidR="00000000" w:rsidRDefault="00000000">
            <w:pPr>
              <w:spacing w:before="60" w:after="60"/>
              <w:jc w:val="right"/>
              <w:rPr>
                <w:sz w:val="22"/>
              </w:rPr>
            </w:pPr>
            <w:r>
              <w:rPr>
                <w:sz w:val="22"/>
              </w:rPr>
              <w:t>239</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Bachkirs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280</w:t>
            </w:r>
          </w:p>
        </w:tc>
        <w:tc>
          <w:tcPr>
            <w:tcW w:w="1899" w:type="dxa"/>
            <w:tcBorders>
              <w:top w:val="nil"/>
              <w:bottom w:val="nil"/>
            </w:tcBorders>
          </w:tcPr>
          <w:p w:rsidR="00000000" w:rsidRDefault="00000000">
            <w:pPr>
              <w:spacing w:before="60" w:after="60"/>
              <w:jc w:val="right"/>
              <w:rPr>
                <w:sz w:val="22"/>
              </w:rPr>
            </w:pPr>
            <w:r>
              <w:rPr>
                <w:sz w:val="22"/>
              </w:rPr>
              <w:t>159</w:t>
            </w:r>
          </w:p>
        </w:tc>
        <w:tc>
          <w:tcPr>
            <w:tcW w:w="1899" w:type="dxa"/>
            <w:tcBorders>
              <w:top w:val="nil"/>
              <w:bottom w:val="nil"/>
            </w:tcBorders>
          </w:tcPr>
          <w:p w:rsidR="00000000" w:rsidRDefault="00000000">
            <w:pPr>
              <w:spacing w:before="60" w:after="60"/>
              <w:jc w:val="right"/>
              <w:rPr>
                <w:sz w:val="22"/>
              </w:rPr>
            </w:pPr>
            <w:r>
              <w:rPr>
                <w:sz w:val="22"/>
              </w:rPr>
              <w:t>-</w:t>
            </w:r>
          </w:p>
        </w:tc>
        <w:tc>
          <w:tcPr>
            <w:tcW w:w="1900" w:type="dxa"/>
            <w:tcBorders>
              <w:top w:val="nil"/>
              <w:bottom w:val="nil"/>
            </w:tcBorders>
          </w:tcPr>
          <w:p w:rsidR="00000000" w:rsidRDefault="00000000">
            <w:pPr>
              <w:spacing w:before="60" w:after="60"/>
              <w:jc w:val="right"/>
              <w:rPr>
                <w:sz w:val="22"/>
              </w:rPr>
            </w:pPr>
            <w:r>
              <w:rPr>
                <w:sz w:val="22"/>
              </w:rPr>
              <w:t>121</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294</w:t>
            </w:r>
          </w:p>
        </w:tc>
        <w:tc>
          <w:tcPr>
            <w:tcW w:w="1899" w:type="dxa"/>
            <w:tcBorders>
              <w:top w:val="nil"/>
              <w:bottom w:val="nil"/>
            </w:tcBorders>
          </w:tcPr>
          <w:p w:rsidR="00000000" w:rsidRDefault="00000000">
            <w:pPr>
              <w:spacing w:before="60" w:after="60"/>
              <w:jc w:val="right"/>
              <w:rPr>
                <w:sz w:val="22"/>
              </w:rPr>
            </w:pPr>
            <w:r>
              <w:rPr>
                <w:sz w:val="22"/>
              </w:rPr>
              <w:t>176</w:t>
            </w:r>
          </w:p>
        </w:tc>
        <w:tc>
          <w:tcPr>
            <w:tcW w:w="1899" w:type="dxa"/>
            <w:tcBorders>
              <w:top w:val="nil"/>
              <w:bottom w:val="nil"/>
            </w:tcBorders>
          </w:tcPr>
          <w:p w:rsidR="00000000" w:rsidRDefault="00000000">
            <w:pPr>
              <w:spacing w:before="60" w:after="60"/>
              <w:jc w:val="right"/>
              <w:rPr>
                <w:sz w:val="22"/>
              </w:rPr>
            </w:pPr>
            <w:r>
              <w:rPr>
                <w:sz w:val="22"/>
              </w:rPr>
              <w:t>1</w:t>
            </w:r>
          </w:p>
        </w:tc>
        <w:tc>
          <w:tcPr>
            <w:tcW w:w="1900" w:type="dxa"/>
            <w:tcBorders>
              <w:top w:val="nil"/>
              <w:bottom w:val="nil"/>
            </w:tcBorders>
          </w:tcPr>
          <w:p w:rsidR="00000000" w:rsidRDefault="00000000">
            <w:pPr>
              <w:spacing w:before="60" w:after="60"/>
              <w:jc w:val="right"/>
              <w:rPr>
                <w:sz w:val="22"/>
              </w:rPr>
            </w:pPr>
            <w:r>
              <w:rPr>
                <w:sz w:val="22"/>
              </w:rPr>
              <w:t>117</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291</w:t>
            </w:r>
          </w:p>
        </w:tc>
        <w:tc>
          <w:tcPr>
            <w:tcW w:w="1899" w:type="dxa"/>
            <w:tcBorders>
              <w:top w:val="nil"/>
            </w:tcBorders>
          </w:tcPr>
          <w:p w:rsidR="00000000" w:rsidRDefault="00000000">
            <w:pPr>
              <w:spacing w:before="60" w:after="60"/>
              <w:jc w:val="right"/>
              <w:rPr>
                <w:sz w:val="22"/>
              </w:rPr>
            </w:pPr>
            <w:r>
              <w:rPr>
                <w:sz w:val="22"/>
              </w:rPr>
              <w:t>154</w:t>
            </w:r>
          </w:p>
        </w:tc>
        <w:tc>
          <w:tcPr>
            <w:tcW w:w="1899" w:type="dxa"/>
            <w:tcBorders>
              <w:top w:val="nil"/>
            </w:tcBorders>
          </w:tcPr>
          <w:p w:rsidR="00000000" w:rsidRDefault="00000000">
            <w:pPr>
              <w:spacing w:before="60" w:after="60"/>
              <w:jc w:val="right"/>
              <w:rPr>
                <w:sz w:val="22"/>
              </w:rPr>
            </w:pPr>
            <w:r>
              <w:rPr>
                <w:sz w:val="20"/>
              </w:rPr>
              <w:t>−</w:t>
            </w:r>
          </w:p>
        </w:tc>
        <w:tc>
          <w:tcPr>
            <w:tcW w:w="1900" w:type="dxa"/>
            <w:tcBorders>
              <w:top w:val="nil"/>
            </w:tcBorders>
          </w:tcPr>
          <w:p w:rsidR="00000000" w:rsidRDefault="00000000">
            <w:pPr>
              <w:spacing w:before="60" w:after="60"/>
              <w:jc w:val="right"/>
              <w:rPr>
                <w:sz w:val="22"/>
              </w:rPr>
            </w:pPr>
            <w:r>
              <w:rPr>
                <w:sz w:val="22"/>
              </w:rPr>
              <w:t>137</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Ingouches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395</w:t>
            </w:r>
          </w:p>
        </w:tc>
        <w:tc>
          <w:tcPr>
            <w:tcW w:w="1899" w:type="dxa"/>
            <w:tcBorders>
              <w:top w:val="nil"/>
              <w:bottom w:val="nil"/>
            </w:tcBorders>
          </w:tcPr>
          <w:p w:rsidR="00000000" w:rsidRDefault="00000000">
            <w:pPr>
              <w:spacing w:before="60" w:after="60"/>
              <w:jc w:val="right"/>
              <w:rPr>
                <w:sz w:val="22"/>
              </w:rPr>
            </w:pPr>
            <w:r>
              <w:rPr>
                <w:sz w:val="22"/>
              </w:rPr>
              <w:t>249</w:t>
            </w:r>
          </w:p>
        </w:tc>
        <w:tc>
          <w:tcPr>
            <w:tcW w:w="1899" w:type="dxa"/>
            <w:tcBorders>
              <w:top w:val="nil"/>
              <w:bottom w:val="nil"/>
            </w:tcBorders>
          </w:tcPr>
          <w:p w:rsidR="00000000" w:rsidRDefault="00000000">
            <w:pPr>
              <w:spacing w:before="60" w:after="60"/>
              <w:jc w:val="right"/>
              <w:rPr>
                <w:sz w:val="22"/>
              </w:rPr>
            </w:pPr>
            <w:r>
              <w:rPr>
                <w:sz w:val="22"/>
              </w:rPr>
              <w:t>1</w:t>
            </w:r>
          </w:p>
        </w:tc>
        <w:tc>
          <w:tcPr>
            <w:tcW w:w="1900" w:type="dxa"/>
            <w:tcBorders>
              <w:top w:val="nil"/>
              <w:bottom w:val="nil"/>
            </w:tcBorders>
          </w:tcPr>
          <w:p w:rsidR="00000000" w:rsidRDefault="00000000">
            <w:pPr>
              <w:spacing w:before="60" w:after="60"/>
              <w:jc w:val="right"/>
              <w:rPr>
                <w:sz w:val="22"/>
              </w:rPr>
            </w:pPr>
            <w:r>
              <w:rPr>
                <w:sz w:val="22"/>
              </w:rPr>
              <w:t>145</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449</w:t>
            </w:r>
          </w:p>
        </w:tc>
        <w:tc>
          <w:tcPr>
            <w:tcW w:w="1899" w:type="dxa"/>
            <w:tcBorders>
              <w:top w:val="nil"/>
              <w:bottom w:val="nil"/>
            </w:tcBorders>
          </w:tcPr>
          <w:p w:rsidR="00000000" w:rsidRDefault="00000000">
            <w:pPr>
              <w:spacing w:before="60" w:after="60"/>
              <w:jc w:val="right"/>
              <w:rPr>
                <w:sz w:val="22"/>
              </w:rPr>
            </w:pPr>
            <w:r>
              <w:rPr>
                <w:sz w:val="22"/>
              </w:rPr>
              <w:t>280</w:t>
            </w:r>
          </w:p>
        </w:tc>
        <w:tc>
          <w:tcPr>
            <w:tcW w:w="1899" w:type="dxa"/>
            <w:tcBorders>
              <w:top w:val="nil"/>
              <w:bottom w:val="nil"/>
            </w:tcBorders>
          </w:tcPr>
          <w:p w:rsidR="00000000" w:rsidRDefault="00000000">
            <w:pPr>
              <w:spacing w:before="60" w:after="60"/>
              <w:jc w:val="right"/>
              <w:rPr>
                <w:sz w:val="22"/>
              </w:rPr>
            </w:pPr>
            <w:r>
              <w:rPr>
                <w:sz w:val="22"/>
              </w:rPr>
              <w:t>1</w:t>
            </w:r>
          </w:p>
        </w:tc>
        <w:tc>
          <w:tcPr>
            <w:tcW w:w="1900" w:type="dxa"/>
            <w:tcBorders>
              <w:top w:val="nil"/>
              <w:bottom w:val="nil"/>
            </w:tcBorders>
          </w:tcPr>
          <w:p w:rsidR="00000000" w:rsidRDefault="00000000">
            <w:pPr>
              <w:spacing w:before="60" w:after="60"/>
              <w:jc w:val="right"/>
              <w:rPr>
                <w:sz w:val="22"/>
              </w:rPr>
            </w:pPr>
            <w:r>
              <w:rPr>
                <w:sz w:val="22"/>
              </w:rPr>
              <w:t>168</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491</w:t>
            </w:r>
          </w:p>
        </w:tc>
        <w:tc>
          <w:tcPr>
            <w:tcW w:w="1899" w:type="dxa"/>
            <w:tcBorders>
              <w:top w:val="nil"/>
            </w:tcBorders>
          </w:tcPr>
          <w:p w:rsidR="00000000" w:rsidRDefault="00000000">
            <w:pPr>
              <w:spacing w:before="60" w:after="60"/>
              <w:jc w:val="right"/>
              <w:rPr>
                <w:sz w:val="22"/>
              </w:rPr>
            </w:pPr>
            <w:r>
              <w:rPr>
                <w:sz w:val="22"/>
              </w:rPr>
              <w:t>329</w:t>
            </w:r>
          </w:p>
        </w:tc>
        <w:tc>
          <w:tcPr>
            <w:tcW w:w="1899" w:type="dxa"/>
            <w:tcBorders>
              <w:top w:val="nil"/>
            </w:tcBorders>
          </w:tcPr>
          <w:p w:rsidR="00000000" w:rsidRDefault="00000000">
            <w:pPr>
              <w:spacing w:before="60" w:after="60"/>
              <w:jc w:val="right"/>
              <w:rPr>
                <w:sz w:val="22"/>
              </w:rPr>
            </w:pPr>
            <w:r>
              <w:rPr>
                <w:sz w:val="22"/>
              </w:rPr>
              <w:t>1</w:t>
            </w:r>
          </w:p>
        </w:tc>
        <w:tc>
          <w:tcPr>
            <w:tcW w:w="1900" w:type="dxa"/>
            <w:tcBorders>
              <w:top w:val="nil"/>
            </w:tcBorders>
          </w:tcPr>
          <w:p w:rsidR="00000000" w:rsidRDefault="00000000">
            <w:pPr>
              <w:spacing w:before="60" w:after="60"/>
              <w:jc w:val="right"/>
              <w:rPr>
                <w:sz w:val="22"/>
              </w:rPr>
            </w:pPr>
            <w:r>
              <w:rPr>
                <w:sz w:val="22"/>
              </w:rPr>
              <w:t>161</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Tatars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4 666</w:t>
            </w:r>
          </w:p>
        </w:tc>
        <w:tc>
          <w:tcPr>
            <w:tcW w:w="1899" w:type="dxa"/>
            <w:tcBorders>
              <w:top w:val="nil"/>
              <w:bottom w:val="nil"/>
            </w:tcBorders>
          </w:tcPr>
          <w:p w:rsidR="00000000" w:rsidRDefault="00000000">
            <w:pPr>
              <w:spacing w:before="60" w:after="60"/>
              <w:jc w:val="right"/>
              <w:rPr>
                <w:sz w:val="22"/>
              </w:rPr>
            </w:pPr>
            <w:r>
              <w:rPr>
                <w:sz w:val="22"/>
              </w:rPr>
              <w:t>3 050</w:t>
            </w:r>
          </w:p>
        </w:tc>
        <w:tc>
          <w:tcPr>
            <w:tcW w:w="1899" w:type="dxa"/>
            <w:tcBorders>
              <w:top w:val="nil"/>
              <w:bottom w:val="nil"/>
            </w:tcBorders>
          </w:tcPr>
          <w:p w:rsidR="00000000" w:rsidRDefault="00000000">
            <w:pPr>
              <w:spacing w:before="60" w:after="60"/>
              <w:jc w:val="right"/>
              <w:rPr>
                <w:sz w:val="22"/>
              </w:rPr>
            </w:pPr>
            <w:r>
              <w:rPr>
                <w:sz w:val="22"/>
              </w:rPr>
              <w:t>36</w:t>
            </w:r>
          </w:p>
        </w:tc>
        <w:tc>
          <w:tcPr>
            <w:tcW w:w="1900" w:type="dxa"/>
            <w:tcBorders>
              <w:top w:val="nil"/>
              <w:bottom w:val="nil"/>
            </w:tcBorders>
          </w:tcPr>
          <w:p w:rsidR="00000000" w:rsidRDefault="00000000">
            <w:pPr>
              <w:spacing w:before="60" w:after="60"/>
              <w:jc w:val="right"/>
              <w:rPr>
                <w:sz w:val="22"/>
              </w:rPr>
            </w:pPr>
            <w:r>
              <w:rPr>
                <w:sz w:val="22"/>
              </w:rPr>
              <w:t>1 580</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6 005</w:t>
            </w:r>
          </w:p>
        </w:tc>
        <w:tc>
          <w:tcPr>
            <w:tcW w:w="1899" w:type="dxa"/>
            <w:tcBorders>
              <w:top w:val="nil"/>
              <w:bottom w:val="nil"/>
            </w:tcBorders>
          </w:tcPr>
          <w:p w:rsidR="00000000" w:rsidRDefault="00000000">
            <w:pPr>
              <w:spacing w:before="60" w:after="60"/>
              <w:jc w:val="right"/>
              <w:rPr>
                <w:sz w:val="22"/>
              </w:rPr>
            </w:pPr>
            <w:r>
              <w:rPr>
                <w:sz w:val="22"/>
              </w:rPr>
              <w:t>3 718</w:t>
            </w:r>
          </w:p>
        </w:tc>
        <w:tc>
          <w:tcPr>
            <w:tcW w:w="1899" w:type="dxa"/>
            <w:tcBorders>
              <w:top w:val="nil"/>
              <w:bottom w:val="nil"/>
            </w:tcBorders>
          </w:tcPr>
          <w:p w:rsidR="00000000" w:rsidRDefault="00000000">
            <w:pPr>
              <w:spacing w:before="60" w:after="60"/>
              <w:jc w:val="right"/>
              <w:rPr>
                <w:sz w:val="22"/>
              </w:rPr>
            </w:pPr>
            <w:r>
              <w:rPr>
                <w:sz w:val="22"/>
              </w:rPr>
              <w:t>44</w:t>
            </w:r>
          </w:p>
        </w:tc>
        <w:tc>
          <w:tcPr>
            <w:tcW w:w="1900" w:type="dxa"/>
            <w:tcBorders>
              <w:top w:val="nil"/>
              <w:bottom w:val="nil"/>
            </w:tcBorders>
          </w:tcPr>
          <w:p w:rsidR="00000000" w:rsidRDefault="00000000">
            <w:pPr>
              <w:spacing w:before="60" w:after="60"/>
              <w:jc w:val="right"/>
              <w:rPr>
                <w:sz w:val="22"/>
              </w:rPr>
            </w:pPr>
            <w:r>
              <w:rPr>
                <w:sz w:val="22"/>
              </w:rPr>
              <w:t>2 243</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6 715</w:t>
            </w:r>
          </w:p>
        </w:tc>
        <w:tc>
          <w:tcPr>
            <w:tcW w:w="1899" w:type="dxa"/>
            <w:tcBorders>
              <w:top w:val="nil"/>
            </w:tcBorders>
          </w:tcPr>
          <w:p w:rsidR="00000000" w:rsidRDefault="00000000">
            <w:pPr>
              <w:spacing w:before="60" w:after="60"/>
              <w:jc w:val="right"/>
              <w:rPr>
                <w:sz w:val="22"/>
              </w:rPr>
            </w:pPr>
            <w:r>
              <w:rPr>
                <w:sz w:val="22"/>
              </w:rPr>
              <w:t>3 901</w:t>
            </w:r>
          </w:p>
        </w:tc>
        <w:tc>
          <w:tcPr>
            <w:tcW w:w="1899" w:type="dxa"/>
            <w:tcBorders>
              <w:top w:val="nil"/>
            </w:tcBorders>
          </w:tcPr>
          <w:p w:rsidR="00000000" w:rsidRDefault="00000000">
            <w:pPr>
              <w:spacing w:before="60" w:after="60"/>
              <w:jc w:val="right"/>
              <w:rPr>
                <w:sz w:val="22"/>
              </w:rPr>
            </w:pPr>
            <w:r>
              <w:rPr>
                <w:sz w:val="22"/>
              </w:rPr>
              <w:t>38</w:t>
            </w:r>
          </w:p>
        </w:tc>
        <w:tc>
          <w:tcPr>
            <w:tcW w:w="1900" w:type="dxa"/>
            <w:tcBorders>
              <w:top w:val="nil"/>
            </w:tcBorders>
          </w:tcPr>
          <w:p w:rsidR="00000000" w:rsidRDefault="00000000">
            <w:pPr>
              <w:spacing w:before="60" w:after="60"/>
              <w:jc w:val="right"/>
              <w:rPr>
                <w:sz w:val="22"/>
              </w:rPr>
            </w:pPr>
            <w:r>
              <w:rPr>
                <w:sz w:val="22"/>
              </w:rPr>
              <w:t>2 776</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Grecs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305</w:t>
            </w:r>
          </w:p>
        </w:tc>
        <w:tc>
          <w:tcPr>
            <w:tcW w:w="1899" w:type="dxa"/>
            <w:tcBorders>
              <w:top w:val="nil"/>
              <w:bottom w:val="nil"/>
            </w:tcBorders>
          </w:tcPr>
          <w:p w:rsidR="00000000" w:rsidRDefault="00000000">
            <w:pPr>
              <w:spacing w:before="60" w:after="60"/>
              <w:jc w:val="right"/>
              <w:rPr>
                <w:sz w:val="22"/>
              </w:rPr>
            </w:pPr>
            <w:r>
              <w:rPr>
                <w:sz w:val="22"/>
              </w:rPr>
              <w:t>251</w:t>
            </w:r>
          </w:p>
        </w:tc>
        <w:tc>
          <w:tcPr>
            <w:tcW w:w="1899" w:type="dxa"/>
            <w:tcBorders>
              <w:top w:val="nil"/>
              <w:bottom w:val="nil"/>
            </w:tcBorders>
          </w:tcPr>
          <w:p w:rsidR="00000000" w:rsidRDefault="00000000">
            <w:pPr>
              <w:spacing w:before="60" w:after="60"/>
              <w:jc w:val="right"/>
              <w:rPr>
                <w:sz w:val="22"/>
              </w:rPr>
            </w:pPr>
            <w:r>
              <w:rPr>
                <w:sz w:val="22"/>
              </w:rPr>
              <w:t>4</w:t>
            </w:r>
          </w:p>
        </w:tc>
        <w:tc>
          <w:tcPr>
            <w:tcW w:w="1900" w:type="dxa"/>
            <w:tcBorders>
              <w:top w:val="nil"/>
              <w:bottom w:val="nil"/>
            </w:tcBorders>
          </w:tcPr>
          <w:p w:rsidR="00000000" w:rsidRDefault="00000000">
            <w:pPr>
              <w:spacing w:before="60" w:after="60"/>
              <w:jc w:val="right"/>
              <w:rPr>
                <w:sz w:val="22"/>
              </w:rPr>
            </w:pPr>
            <w:r>
              <w:rPr>
                <w:sz w:val="22"/>
              </w:rPr>
              <w:t>50</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220</w:t>
            </w:r>
          </w:p>
        </w:tc>
        <w:tc>
          <w:tcPr>
            <w:tcW w:w="1899" w:type="dxa"/>
            <w:tcBorders>
              <w:top w:val="nil"/>
              <w:bottom w:val="nil"/>
            </w:tcBorders>
          </w:tcPr>
          <w:p w:rsidR="00000000" w:rsidRDefault="00000000">
            <w:pPr>
              <w:spacing w:before="60" w:after="60"/>
              <w:jc w:val="right"/>
              <w:rPr>
                <w:sz w:val="22"/>
              </w:rPr>
            </w:pPr>
            <w:r>
              <w:rPr>
                <w:sz w:val="22"/>
              </w:rPr>
              <w:t>172</w:t>
            </w:r>
          </w:p>
        </w:tc>
        <w:tc>
          <w:tcPr>
            <w:tcW w:w="1899" w:type="dxa"/>
            <w:tcBorders>
              <w:top w:val="nil"/>
              <w:bottom w:val="nil"/>
            </w:tcBorders>
          </w:tcPr>
          <w:p w:rsidR="00000000" w:rsidRDefault="00000000">
            <w:pPr>
              <w:spacing w:before="60" w:after="60"/>
              <w:jc w:val="right"/>
              <w:rPr>
                <w:sz w:val="22"/>
              </w:rPr>
            </w:pPr>
            <w:r>
              <w:rPr>
                <w:sz w:val="22"/>
              </w:rPr>
              <w:t>1</w:t>
            </w:r>
          </w:p>
        </w:tc>
        <w:tc>
          <w:tcPr>
            <w:tcW w:w="1900" w:type="dxa"/>
            <w:tcBorders>
              <w:top w:val="nil"/>
              <w:bottom w:val="nil"/>
            </w:tcBorders>
          </w:tcPr>
          <w:p w:rsidR="00000000" w:rsidRDefault="00000000">
            <w:pPr>
              <w:spacing w:before="60" w:after="60"/>
              <w:jc w:val="right"/>
              <w:rPr>
                <w:sz w:val="22"/>
              </w:rPr>
            </w:pPr>
            <w:r>
              <w:rPr>
                <w:sz w:val="22"/>
              </w:rPr>
              <w:t>47</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237</w:t>
            </w:r>
          </w:p>
        </w:tc>
        <w:tc>
          <w:tcPr>
            <w:tcW w:w="1899" w:type="dxa"/>
            <w:tcBorders>
              <w:top w:val="nil"/>
            </w:tcBorders>
          </w:tcPr>
          <w:p w:rsidR="00000000" w:rsidRDefault="00000000">
            <w:pPr>
              <w:spacing w:before="60" w:after="60"/>
              <w:jc w:val="right"/>
              <w:rPr>
                <w:sz w:val="22"/>
              </w:rPr>
            </w:pPr>
            <w:r>
              <w:rPr>
                <w:sz w:val="22"/>
              </w:rPr>
              <w:t>192</w:t>
            </w:r>
          </w:p>
        </w:tc>
        <w:tc>
          <w:tcPr>
            <w:tcW w:w="1899" w:type="dxa"/>
            <w:tcBorders>
              <w:top w:val="nil"/>
            </w:tcBorders>
          </w:tcPr>
          <w:p w:rsidR="00000000" w:rsidRDefault="00000000">
            <w:pPr>
              <w:spacing w:before="60" w:after="60"/>
              <w:jc w:val="right"/>
              <w:rPr>
                <w:sz w:val="22"/>
              </w:rPr>
            </w:pPr>
            <w:r>
              <w:rPr>
                <w:sz w:val="20"/>
              </w:rPr>
              <w:t>−</w:t>
            </w:r>
          </w:p>
        </w:tc>
        <w:tc>
          <w:tcPr>
            <w:tcW w:w="1900" w:type="dxa"/>
            <w:tcBorders>
              <w:top w:val="nil"/>
            </w:tcBorders>
          </w:tcPr>
          <w:p w:rsidR="00000000" w:rsidRDefault="00000000">
            <w:pPr>
              <w:spacing w:before="60" w:after="60"/>
              <w:jc w:val="right"/>
              <w:rPr>
                <w:sz w:val="22"/>
              </w:rPr>
            </w:pPr>
            <w:r>
              <w:rPr>
                <w:sz w:val="22"/>
              </w:rPr>
              <w:t>45</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Coréens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4 975</w:t>
            </w:r>
          </w:p>
        </w:tc>
        <w:tc>
          <w:tcPr>
            <w:tcW w:w="1899" w:type="dxa"/>
            <w:tcBorders>
              <w:top w:val="nil"/>
              <w:bottom w:val="nil"/>
            </w:tcBorders>
          </w:tcPr>
          <w:p w:rsidR="00000000" w:rsidRDefault="00000000">
            <w:pPr>
              <w:spacing w:before="60" w:after="60"/>
              <w:jc w:val="right"/>
              <w:rPr>
                <w:sz w:val="22"/>
              </w:rPr>
            </w:pPr>
            <w:r>
              <w:rPr>
                <w:sz w:val="22"/>
              </w:rPr>
              <w:t>3 522</w:t>
            </w:r>
          </w:p>
        </w:tc>
        <w:tc>
          <w:tcPr>
            <w:tcW w:w="1899" w:type="dxa"/>
            <w:tcBorders>
              <w:top w:val="nil"/>
              <w:bottom w:val="nil"/>
            </w:tcBorders>
          </w:tcPr>
          <w:p w:rsidR="00000000" w:rsidRDefault="00000000">
            <w:pPr>
              <w:spacing w:before="60" w:after="60"/>
              <w:jc w:val="right"/>
              <w:rPr>
                <w:sz w:val="22"/>
              </w:rPr>
            </w:pPr>
            <w:r>
              <w:rPr>
                <w:sz w:val="22"/>
              </w:rPr>
              <w:t>66</w:t>
            </w:r>
          </w:p>
        </w:tc>
        <w:tc>
          <w:tcPr>
            <w:tcW w:w="1900" w:type="dxa"/>
            <w:tcBorders>
              <w:top w:val="nil"/>
              <w:bottom w:val="nil"/>
            </w:tcBorders>
          </w:tcPr>
          <w:p w:rsidR="00000000" w:rsidRDefault="00000000">
            <w:pPr>
              <w:spacing w:before="60" w:after="60"/>
              <w:jc w:val="right"/>
              <w:rPr>
                <w:sz w:val="22"/>
              </w:rPr>
            </w:pPr>
            <w:r>
              <w:rPr>
                <w:sz w:val="22"/>
              </w:rPr>
              <w:t>1 387</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5 738</w:t>
            </w:r>
          </w:p>
        </w:tc>
        <w:tc>
          <w:tcPr>
            <w:tcW w:w="1899" w:type="dxa"/>
            <w:tcBorders>
              <w:top w:val="nil"/>
              <w:bottom w:val="nil"/>
            </w:tcBorders>
          </w:tcPr>
          <w:p w:rsidR="00000000" w:rsidRDefault="00000000">
            <w:pPr>
              <w:spacing w:before="60" w:after="60"/>
              <w:jc w:val="right"/>
              <w:rPr>
                <w:sz w:val="22"/>
              </w:rPr>
            </w:pPr>
            <w:r>
              <w:rPr>
                <w:sz w:val="22"/>
              </w:rPr>
              <w:t>3 759</w:t>
            </w:r>
          </w:p>
        </w:tc>
        <w:tc>
          <w:tcPr>
            <w:tcW w:w="1899" w:type="dxa"/>
            <w:tcBorders>
              <w:top w:val="nil"/>
              <w:bottom w:val="nil"/>
            </w:tcBorders>
          </w:tcPr>
          <w:p w:rsidR="00000000" w:rsidRDefault="00000000">
            <w:pPr>
              <w:spacing w:before="60" w:after="60"/>
              <w:jc w:val="right"/>
              <w:rPr>
                <w:sz w:val="22"/>
              </w:rPr>
            </w:pPr>
            <w:r>
              <w:rPr>
                <w:sz w:val="22"/>
              </w:rPr>
              <w:t>34</w:t>
            </w:r>
          </w:p>
        </w:tc>
        <w:tc>
          <w:tcPr>
            <w:tcW w:w="1900" w:type="dxa"/>
            <w:tcBorders>
              <w:top w:val="nil"/>
              <w:bottom w:val="nil"/>
            </w:tcBorders>
          </w:tcPr>
          <w:p w:rsidR="00000000" w:rsidRDefault="00000000">
            <w:pPr>
              <w:spacing w:before="60" w:after="60"/>
              <w:jc w:val="right"/>
              <w:rPr>
                <w:sz w:val="22"/>
              </w:rPr>
            </w:pPr>
            <w:r>
              <w:rPr>
                <w:sz w:val="22"/>
              </w:rPr>
              <w:t>1 945</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5 723</w:t>
            </w:r>
          </w:p>
        </w:tc>
        <w:tc>
          <w:tcPr>
            <w:tcW w:w="1899" w:type="dxa"/>
            <w:tcBorders>
              <w:top w:val="nil"/>
            </w:tcBorders>
          </w:tcPr>
          <w:p w:rsidR="00000000" w:rsidRDefault="00000000">
            <w:pPr>
              <w:spacing w:before="60" w:after="60"/>
              <w:jc w:val="right"/>
              <w:rPr>
                <w:sz w:val="22"/>
              </w:rPr>
            </w:pPr>
            <w:r>
              <w:rPr>
                <w:sz w:val="22"/>
              </w:rPr>
              <w:t>4 048</w:t>
            </w:r>
          </w:p>
        </w:tc>
        <w:tc>
          <w:tcPr>
            <w:tcW w:w="1899" w:type="dxa"/>
            <w:tcBorders>
              <w:top w:val="nil"/>
            </w:tcBorders>
          </w:tcPr>
          <w:p w:rsidR="00000000" w:rsidRDefault="00000000">
            <w:pPr>
              <w:spacing w:before="60" w:after="60"/>
              <w:jc w:val="right"/>
              <w:rPr>
                <w:sz w:val="22"/>
              </w:rPr>
            </w:pPr>
            <w:r>
              <w:rPr>
                <w:sz w:val="22"/>
              </w:rPr>
              <w:t>39</w:t>
            </w:r>
          </w:p>
        </w:tc>
        <w:tc>
          <w:tcPr>
            <w:tcW w:w="1900" w:type="dxa"/>
            <w:tcBorders>
              <w:top w:val="nil"/>
            </w:tcBorders>
          </w:tcPr>
          <w:p w:rsidR="00000000" w:rsidRDefault="00000000">
            <w:pPr>
              <w:spacing w:before="60" w:after="60"/>
              <w:jc w:val="right"/>
              <w:rPr>
                <w:sz w:val="22"/>
              </w:rPr>
            </w:pPr>
            <w:r>
              <w:rPr>
                <w:sz w:val="22"/>
              </w:rPr>
              <w:t>1 636</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Kurdes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196</w:t>
            </w:r>
          </w:p>
        </w:tc>
        <w:tc>
          <w:tcPr>
            <w:tcW w:w="1899" w:type="dxa"/>
            <w:tcBorders>
              <w:top w:val="nil"/>
              <w:bottom w:val="nil"/>
            </w:tcBorders>
          </w:tcPr>
          <w:p w:rsidR="00000000" w:rsidRDefault="00000000">
            <w:pPr>
              <w:spacing w:before="60" w:after="60"/>
              <w:jc w:val="right"/>
              <w:rPr>
                <w:sz w:val="22"/>
              </w:rPr>
            </w:pPr>
            <w:r>
              <w:rPr>
                <w:sz w:val="22"/>
              </w:rPr>
              <w:t>140</w:t>
            </w:r>
          </w:p>
        </w:tc>
        <w:tc>
          <w:tcPr>
            <w:tcW w:w="1899" w:type="dxa"/>
            <w:tcBorders>
              <w:top w:val="nil"/>
              <w:bottom w:val="nil"/>
            </w:tcBorders>
          </w:tcPr>
          <w:p w:rsidR="00000000" w:rsidRDefault="00000000">
            <w:pPr>
              <w:spacing w:before="60" w:after="60"/>
              <w:jc w:val="right"/>
              <w:rPr>
                <w:sz w:val="22"/>
              </w:rPr>
            </w:pPr>
            <w:r>
              <w:rPr>
                <w:sz w:val="22"/>
              </w:rPr>
              <w:t>4</w:t>
            </w:r>
          </w:p>
        </w:tc>
        <w:tc>
          <w:tcPr>
            <w:tcW w:w="1900" w:type="dxa"/>
            <w:tcBorders>
              <w:top w:val="nil"/>
              <w:bottom w:val="nil"/>
            </w:tcBorders>
          </w:tcPr>
          <w:p w:rsidR="00000000" w:rsidRDefault="00000000">
            <w:pPr>
              <w:spacing w:before="60" w:after="60"/>
              <w:jc w:val="right"/>
              <w:rPr>
                <w:sz w:val="22"/>
              </w:rPr>
            </w:pPr>
            <w:r>
              <w:rPr>
                <w:sz w:val="22"/>
              </w:rPr>
              <w:t>52</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198</w:t>
            </w:r>
          </w:p>
        </w:tc>
        <w:tc>
          <w:tcPr>
            <w:tcW w:w="1899" w:type="dxa"/>
            <w:tcBorders>
              <w:top w:val="nil"/>
              <w:bottom w:val="nil"/>
            </w:tcBorders>
          </w:tcPr>
          <w:p w:rsidR="00000000" w:rsidRDefault="00000000">
            <w:pPr>
              <w:spacing w:before="60" w:after="60"/>
              <w:jc w:val="right"/>
              <w:rPr>
                <w:sz w:val="22"/>
              </w:rPr>
            </w:pPr>
            <w:r>
              <w:rPr>
                <w:sz w:val="22"/>
              </w:rPr>
              <w:t>140</w:t>
            </w:r>
          </w:p>
        </w:tc>
        <w:tc>
          <w:tcPr>
            <w:tcW w:w="1899" w:type="dxa"/>
            <w:tcBorders>
              <w:top w:val="nil"/>
              <w:bottom w:val="nil"/>
            </w:tcBorders>
          </w:tcPr>
          <w:p w:rsidR="00000000" w:rsidRDefault="00000000">
            <w:pPr>
              <w:spacing w:before="60" w:after="60"/>
              <w:jc w:val="right"/>
              <w:rPr>
                <w:sz w:val="22"/>
              </w:rPr>
            </w:pPr>
            <w:r>
              <w:rPr>
                <w:sz w:val="22"/>
              </w:rPr>
              <w:t>1</w:t>
            </w:r>
          </w:p>
        </w:tc>
        <w:tc>
          <w:tcPr>
            <w:tcW w:w="1900" w:type="dxa"/>
            <w:tcBorders>
              <w:top w:val="nil"/>
              <w:bottom w:val="nil"/>
            </w:tcBorders>
          </w:tcPr>
          <w:p w:rsidR="00000000" w:rsidRDefault="00000000">
            <w:pPr>
              <w:spacing w:before="60" w:after="60"/>
              <w:jc w:val="right"/>
              <w:rPr>
                <w:sz w:val="22"/>
              </w:rPr>
            </w:pPr>
            <w:r>
              <w:rPr>
                <w:sz w:val="22"/>
              </w:rPr>
              <w:t>57</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299</w:t>
            </w:r>
          </w:p>
        </w:tc>
        <w:tc>
          <w:tcPr>
            <w:tcW w:w="1899" w:type="dxa"/>
            <w:tcBorders>
              <w:top w:val="nil"/>
            </w:tcBorders>
          </w:tcPr>
          <w:p w:rsidR="00000000" w:rsidRDefault="00000000">
            <w:pPr>
              <w:spacing w:before="60" w:after="60"/>
              <w:jc w:val="right"/>
              <w:rPr>
                <w:sz w:val="22"/>
              </w:rPr>
            </w:pPr>
            <w:r>
              <w:rPr>
                <w:sz w:val="22"/>
              </w:rPr>
              <w:t>207</w:t>
            </w:r>
          </w:p>
        </w:tc>
        <w:tc>
          <w:tcPr>
            <w:tcW w:w="1899" w:type="dxa"/>
            <w:tcBorders>
              <w:top w:val="nil"/>
            </w:tcBorders>
          </w:tcPr>
          <w:p w:rsidR="00000000" w:rsidRDefault="00000000">
            <w:pPr>
              <w:spacing w:before="60" w:after="60"/>
              <w:jc w:val="right"/>
              <w:rPr>
                <w:sz w:val="22"/>
              </w:rPr>
            </w:pPr>
            <w:r>
              <w:rPr>
                <w:sz w:val="22"/>
              </w:rPr>
              <w:t>1</w:t>
            </w:r>
          </w:p>
        </w:tc>
        <w:tc>
          <w:tcPr>
            <w:tcW w:w="1900" w:type="dxa"/>
            <w:tcBorders>
              <w:top w:val="nil"/>
            </w:tcBorders>
          </w:tcPr>
          <w:p w:rsidR="00000000" w:rsidRDefault="00000000">
            <w:pPr>
              <w:spacing w:before="60" w:after="60"/>
              <w:jc w:val="right"/>
              <w:rPr>
                <w:sz w:val="22"/>
              </w:rPr>
            </w:pPr>
            <w:r>
              <w:rPr>
                <w:sz w:val="22"/>
              </w:rPr>
              <w:t>91</w:t>
            </w:r>
          </w:p>
        </w:tc>
      </w:tr>
      <w:tr w:rsidR="00000000">
        <w:tblPrEx>
          <w:tblCellMar>
            <w:top w:w="0" w:type="dxa"/>
            <w:bottom w:w="0" w:type="dxa"/>
          </w:tblCellMar>
        </w:tblPrEx>
        <w:tc>
          <w:tcPr>
            <w:tcW w:w="1899" w:type="dxa"/>
            <w:tcBorders>
              <w:bottom w:val="nil"/>
            </w:tcBorders>
          </w:tcPr>
          <w:p w:rsidR="00000000" w:rsidRDefault="00000000">
            <w:pPr>
              <w:keepNext/>
              <w:spacing w:before="60" w:after="60"/>
              <w:rPr>
                <w:sz w:val="22"/>
              </w:rPr>
            </w:pPr>
            <w:r>
              <w:rPr>
                <w:sz w:val="22"/>
              </w:rPr>
              <w:t>Allemands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keepNext/>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4 391</w:t>
            </w:r>
          </w:p>
        </w:tc>
        <w:tc>
          <w:tcPr>
            <w:tcW w:w="1899" w:type="dxa"/>
            <w:tcBorders>
              <w:top w:val="nil"/>
              <w:bottom w:val="nil"/>
            </w:tcBorders>
          </w:tcPr>
          <w:p w:rsidR="00000000" w:rsidRDefault="00000000">
            <w:pPr>
              <w:spacing w:before="60" w:after="60"/>
              <w:jc w:val="right"/>
              <w:rPr>
                <w:sz w:val="22"/>
              </w:rPr>
            </w:pPr>
            <w:r>
              <w:rPr>
                <w:sz w:val="22"/>
              </w:rPr>
              <w:t>3 259</w:t>
            </w:r>
          </w:p>
        </w:tc>
        <w:tc>
          <w:tcPr>
            <w:tcW w:w="1899" w:type="dxa"/>
            <w:tcBorders>
              <w:top w:val="nil"/>
              <w:bottom w:val="nil"/>
            </w:tcBorders>
          </w:tcPr>
          <w:p w:rsidR="00000000" w:rsidRDefault="00000000">
            <w:pPr>
              <w:spacing w:before="60" w:after="60"/>
              <w:jc w:val="right"/>
              <w:rPr>
                <w:sz w:val="22"/>
              </w:rPr>
            </w:pPr>
            <w:r>
              <w:rPr>
                <w:sz w:val="22"/>
              </w:rPr>
              <w:t>19</w:t>
            </w:r>
          </w:p>
        </w:tc>
        <w:tc>
          <w:tcPr>
            <w:tcW w:w="1900" w:type="dxa"/>
            <w:tcBorders>
              <w:top w:val="nil"/>
              <w:bottom w:val="nil"/>
            </w:tcBorders>
          </w:tcPr>
          <w:p w:rsidR="00000000" w:rsidRDefault="00000000">
            <w:pPr>
              <w:spacing w:before="60" w:after="60"/>
              <w:jc w:val="right"/>
              <w:rPr>
                <w:sz w:val="22"/>
              </w:rPr>
            </w:pPr>
            <w:r>
              <w:rPr>
                <w:sz w:val="22"/>
              </w:rPr>
              <w:t>1 113</w:t>
            </w:r>
          </w:p>
        </w:tc>
      </w:tr>
      <w:tr w:rsidR="00000000">
        <w:tblPrEx>
          <w:tblCellMar>
            <w:top w:w="0" w:type="dxa"/>
            <w:bottom w:w="0" w:type="dxa"/>
          </w:tblCellMar>
        </w:tblPrEx>
        <w:tc>
          <w:tcPr>
            <w:tcW w:w="1899" w:type="dxa"/>
            <w:tcBorders>
              <w:top w:val="nil"/>
              <w:bottom w:val="nil"/>
            </w:tcBorders>
          </w:tcPr>
          <w:p w:rsidR="00000000" w:rsidRDefault="00000000">
            <w:pPr>
              <w:keepNext/>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5 275</w:t>
            </w:r>
          </w:p>
        </w:tc>
        <w:tc>
          <w:tcPr>
            <w:tcW w:w="1899" w:type="dxa"/>
            <w:tcBorders>
              <w:top w:val="nil"/>
              <w:bottom w:val="nil"/>
            </w:tcBorders>
          </w:tcPr>
          <w:p w:rsidR="00000000" w:rsidRDefault="00000000">
            <w:pPr>
              <w:spacing w:before="60" w:after="60"/>
              <w:jc w:val="right"/>
              <w:rPr>
                <w:sz w:val="22"/>
              </w:rPr>
            </w:pPr>
            <w:r>
              <w:rPr>
                <w:sz w:val="22"/>
              </w:rPr>
              <w:t>3 710</w:t>
            </w:r>
          </w:p>
        </w:tc>
        <w:tc>
          <w:tcPr>
            <w:tcW w:w="1899" w:type="dxa"/>
            <w:tcBorders>
              <w:top w:val="nil"/>
              <w:bottom w:val="nil"/>
            </w:tcBorders>
          </w:tcPr>
          <w:p w:rsidR="00000000" w:rsidRDefault="00000000">
            <w:pPr>
              <w:spacing w:before="60" w:after="60"/>
              <w:jc w:val="right"/>
              <w:rPr>
                <w:sz w:val="22"/>
              </w:rPr>
            </w:pPr>
            <w:r>
              <w:rPr>
                <w:sz w:val="22"/>
              </w:rPr>
              <w:t>13</w:t>
            </w:r>
          </w:p>
        </w:tc>
        <w:tc>
          <w:tcPr>
            <w:tcW w:w="1900" w:type="dxa"/>
            <w:tcBorders>
              <w:top w:val="nil"/>
              <w:bottom w:val="nil"/>
            </w:tcBorders>
          </w:tcPr>
          <w:p w:rsidR="00000000" w:rsidRDefault="00000000">
            <w:pPr>
              <w:spacing w:before="60" w:after="60"/>
              <w:jc w:val="right"/>
              <w:rPr>
                <w:sz w:val="22"/>
              </w:rPr>
            </w:pPr>
            <w:r>
              <w:rPr>
                <w:sz w:val="22"/>
              </w:rPr>
              <w:t>1 552</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5 954</w:t>
            </w:r>
          </w:p>
        </w:tc>
        <w:tc>
          <w:tcPr>
            <w:tcW w:w="1899" w:type="dxa"/>
            <w:tcBorders>
              <w:top w:val="nil"/>
            </w:tcBorders>
          </w:tcPr>
          <w:p w:rsidR="00000000" w:rsidRDefault="00000000">
            <w:pPr>
              <w:spacing w:before="60" w:after="60"/>
              <w:jc w:val="right"/>
              <w:rPr>
                <w:sz w:val="22"/>
              </w:rPr>
            </w:pPr>
            <w:r>
              <w:rPr>
                <w:sz w:val="22"/>
              </w:rPr>
              <w:t>3 871</w:t>
            </w:r>
          </w:p>
        </w:tc>
        <w:tc>
          <w:tcPr>
            <w:tcW w:w="1899" w:type="dxa"/>
            <w:tcBorders>
              <w:top w:val="nil"/>
            </w:tcBorders>
          </w:tcPr>
          <w:p w:rsidR="00000000" w:rsidRDefault="00000000">
            <w:pPr>
              <w:spacing w:before="60" w:after="60"/>
              <w:jc w:val="right"/>
              <w:rPr>
                <w:sz w:val="22"/>
              </w:rPr>
            </w:pPr>
            <w:r>
              <w:rPr>
                <w:sz w:val="22"/>
              </w:rPr>
              <w:t>18</w:t>
            </w:r>
          </w:p>
        </w:tc>
        <w:tc>
          <w:tcPr>
            <w:tcW w:w="1900" w:type="dxa"/>
            <w:tcBorders>
              <w:top w:val="nil"/>
            </w:tcBorders>
          </w:tcPr>
          <w:p w:rsidR="00000000" w:rsidRDefault="00000000">
            <w:pPr>
              <w:spacing w:before="60" w:after="60"/>
              <w:jc w:val="right"/>
              <w:rPr>
                <w:sz w:val="22"/>
              </w:rPr>
            </w:pPr>
            <w:r>
              <w:rPr>
                <w:sz w:val="22"/>
              </w:rPr>
              <w:t>2 065</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Polonais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single" w:sz="4" w:space="0" w:color="auto"/>
            </w:tcBorders>
          </w:tcPr>
          <w:p w:rsidR="00000000" w:rsidRDefault="00000000">
            <w:pPr>
              <w:spacing w:before="60" w:after="60"/>
              <w:rPr>
                <w:sz w:val="22"/>
              </w:rPr>
            </w:pPr>
            <w:r>
              <w:rPr>
                <w:sz w:val="22"/>
              </w:rPr>
              <w:t>1999/2000</w:t>
            </w:r>
          </w:p>
        </w:tc>
        <w:tc>
          <w:tcPr>
            <w:tcW w:w="1899" w:type="dxa"/>
            <w:tcBorders>
              <w:top w:val="nil"/>
              <w:bottom w:val="single" w:sz="4" w:space="0" w:color="auto"/>
            </w:tcBorders>
          </w:tcPr>
          <w:p w:rsidR="00000000" w:rsidRDefault="00000000">
            <w:pPr>
              <w:spacing w:before="60" w:after="60"/>
              <w:jc w:val="right"/>
              <w:rPr>
                <w:sz w:val="22"/>
              </w:rPr>
            </w:pPr>
            <w:r>
              <w:rPr>
                <w:sz w:val="22"/>
              </w:rPr>
              <w:t>603</w:t>
            </w:r>
          </w:p>
        </w:tc>
        <w:tc>
          <w:tcPr>
            <w:tcW w:w="1899" w:type="dxa"/>
            <w:tcBorders>
              <w:top w:val="nil"/>
              <w:bottom w:val="single" w:sz="4" w:space="0" w:color="auto"/>
            </w:tcBorders>
          </w:tcPr>
          <w:p w:rsidR="00000000" w:rsidRDefault="00000000">
            <w:pPr>
              <w:spacing w:before="60" w:after="60"/>
              <w:jc w:val="right"/>
              <w:rPr>
                <w:sz w:val="22"/>
              </w:rPr>
            </w:pPr>
            <w:r>
              <w:rPr>
                <w:sz w:val="22"/>
              </w:rPr>
              <w:t>454</w:t>
            </w:r>
          </w:p>
        </w:tc>
        <w:tc>
          <w:tcPr>
            <w:tcW w:w="1899" w:type="dxa"/>
            <w:tcBorders>
              <w:top w:val="nil"/>
              <w:bottom w:val="single" w:sz="4" w:space="0" w:color="auto"/>
            </w:tcBorders>
          </w:tcPr>
          <w:p w:rsidR="00000000" w:rsidRDefault="00000000">
            <w:pPr>
              <w:spacing w:before="60" w:after="60"/>
              <w:jc w:val="right"/>
              <w:rPr>
                <w:sz w:val="22"/>
              </w:rPr>
            </w:pPr>
            <w:r>
              <w:rPr>
                <w:sz w:val="22"/>
              </w:rPr>
              <w:t>1</w:t>
            </w:r>
          </w:p>
        </w:tc>
        <w:tc>
          <w:tcPr>
            <w:tcW w:w="1900" w:type="dxa"/>
            <w:tcBorders>
              <w:top w:val="nil"/>
              <w:bottom w:val="single" w:sz="4" w:space="0" w:color="auto"/>
            </w:tcBorders>
          </w:tcPr>
          <w:p w:rsidR="00000000" w:rsidRDefault="00000000">
            <w:pPr>
              <w:spacing w:before="60" w:after="60"/>
              <w:jc w:val="right"/>
              <w:rPr>
                <w:sz w:val="22"/>
              </w:rPr>
            </w:pPr>
            <w:r>
              <w:rPr>
                <w:sz w:val="22"/>
              </w:rPr>
              <w:t>148</w:t>
            </w:r>
          </w:p>
        </w:tc>
      </w:tr>
      <w:tr w:rsidR="00000000">
        <w:tblPrEx>
          <w:tblCellMar>
            <w:top w:w="0" w:type="dxa"/>
            <w:bottom w:w="0" w:type="dxa"/>
          </w:tblCellMar>
        </w:tblPrEx>
        <w:tc>
          <w:tcPr>
            <w:tcW w:w="1899" w:type="dxa"/>
            <w:tcBorders>
              <w:top w:val="single" w:sz="4" w:space="0" w:color="auto"/>
              <w:bottom w:val="nil"/>
            </w:tcBorders>
          </w:tcPr>
          <w:p w:rsidR="00000000" w:rsidRDefault="00000000">
            <w:pPr>
              <w:spacing w:before="60" w:after="60"/>
              <w:rPr>
                <w:sz w:val="22"/>
              </w:rPr>
            </w:pPr>
            <w:r>
              <w:rPr>
                <w:sz w:val="22"/>
              </w:rPr>
              <w:t>2000/2001</w:t>
            </w:r>
          </w:p>
        </w:tc>
        <w:tc>
          <w:tcPr>
            <w:tcW w:w="1899" w:type="dxa"/>
            <w:tcBorders>
              <w:top w:val="single" w:sz="4" w:space="0" w:color="auto"/>
              <w:bottom w:val="nil"/>
            </w:tcBorders>
          </w:tcPr>
          <w:p w:rsidR="00000000" w:rsidRDefault="00000000">
            <w:pPr>
              <w:spacing w:before="60" w:after="60"/>
              <w:jc w:val="right"/>
              <w:rPr>
                <w:sz w:val="22"/>
              </w:rPr>
            </w:pPr>
            <w:r>
              <w:rPr>
                <w:sz w:val="22"/>
              </w:rPr>
              <w:t>837</w:t>
            </w:r>
          </w:p>
        </w:tc>
        <w:tc>
          <w:tcPr>
            <w:tcW w:w="1899" w:type="dxa"/>
            <w:tcBorders>
              <w:top w:val="single" w:sz="4" w:space="0" w:color="auto"/>
              <w:bottom w:val="nil"/>
            </w:tcBorders>
          </w:tcPr>
          <w:p w:rsidR="00000000" w:rsidRDefault="00000000">
            <w:pPr>
              <w:spacing w:before="60" w:after="60"/>
              <w:jc w:val="right"/>
              <w:rPr>
                <w:sz w:val="22"/>
              </w:rPr>
            </w:pPr>
            <w:r>
              <w:rPr>
                <w:sz w:val="22"/>
              </w:rPr>
              <w:t>614</w:t>
            </w:r>
          </w:p>
        </w:tc>
        <w:tc>
          <w:tcPr>
            <w:tcW w:w="1899" w:type="dxa"/>
            <w:tcBorders>
              <w:top w:val="single" w:sz="4" w:space="0" w:color="auto"/>
              <w:bottom w:val="nil"/>
            </w:tcBorders>
          </w:tcPr>
          <w:p w:rsidR="00000000" w:rsidRDefault="00000000">
            <w:pPr>
              <w:spacing w:before="60" w:after="60"/>
              <w:jc w:val="right"/>
              <w:rPr>
                <w:sz w:val="22"/>
              </w:rPr>
            </w:pPr>
            <w:r>
              <w:rPr>
                <w:sz w:val="22"/>
              </w:rPr>
              <w:t>2</w:t>
            </w:r>
          </w:p>
        </w:tc>
        <w:tc>
          <w:tcPr>
            <w:tcW w:w="1900" w:type="dxa"/>
            <w:tcBorders>
              <w:top w:val="single" w:sz="4" w:space="0" w:color="auto"/>
              <w:bottom w:val="nil"/>
            </w:tcBorders>
          </w:tcPr>
          <w:p w:rsidR="00000000" w:rsidRDefault="00000000">
            <w:pPr>
              <w:spacing w:before="60" w:after="60"/>
              <w:jc w:val="right"/>
              <w:rPr>
                <w:sz w:val="22"/>
              </w:rPr>
            </w:pPr>
            <w:r>
              <w:rPr>
                <w:sz w:val="22"/>
              </w:rPr>
              <w:t>221</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921</w:t>
            </w:r>
          </w:p>
        </w:tc>
        <w:tc>
          <w:tcPr>
            <w:tcW w:w="1899" w:type="dxa"/>
            <w:tcBorders>
              <w:top w:val="nil"/>
            </w:tcBorders>
          </w:tcPr>
          <w:p w:rsidR="00000000" w:rsidRDefault="00000000">
            <w:pPr>
              <w:spacing w:before="60" w:after="60"/>
              <w:jc w:val="right"/>
              <w:rPr>
                <w:sz w:val="22"/>
              </w:rPr>
            </w:pPr>
            <w:r>
              <w:rPr>
                <w:sz w:val="22"/>
              </w:rPr>
              <w:t>582</w:t>
            </w:r>
          </w:p>
        </w:tc>
        <w:tc>
          <w:tcPr>
            <w:tcW w:w="1899" w:type="dxa"/>
            <w:tcBorders>
              <w:top w:val="nil"/>
            </w:tcBorders>
          </w:tcPr>
          <w:p w:rsidR="00000000" w:rsidRDefault="00000000">
            <w:pPr>
              <w:spacing w:before="60" w:after="60"/>
              <w:jc w:val="right"/>
              <w:rPr>
                <w:sz w:val="22"/>
              </w:rPr>
            </w:pPr>
            <w:r>
              <w:rPr>
                <w:sz w:val="22"/>
              </w:rPr>
              <w:t>6</w:t>
            </w:r>
          </w:p>
        </w:tc>
        <w:tc>
          <w:tcPr>
            <w:tcW w:w="1900" w:type="dxa"/>
            <w:tcBorders>
              <w:top w:val="nil"/>
            </w:tcBorders>
          </w:tcPr>
          <w:p w:rsidR="00000000" w:rsidRDefault="00000000">
            <w:pPr>
              <w:spacing w:before="60" w:after="60"/>
              <w:jc w:val="right"/>
              <w:rPr>
                <w:sz w:val="22"/>
              </w:rPr>
            </w:pPr>
            <w:r>
              <w:rPr>
                <w:sz w:val="22"/>
              </w:rPr>
              <w:t>333</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Turcs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1 232</w:t>
            </w:r>
          </w:p>
        </w:tc>
        <w:tc>
          <w:tcPr>
            <w:tcW w:w="1899" w:type="dxa"/>
            <w:tcBorders>
              <w:top w:val="nil"/>
              <w:bottom w:val="nil"/>
            </w:tcBorders>
          </w:tcPr>
          <w:p w:rsidR="00000000" w:rsidRDefault="00000000">
            <w:pPr>
              <w:spacing w:before="60" w:after="60"/>
              <w:jc w:val="right"/>
              <w:rPr>
                <w:sz w:val="22"/>
              </w:rPr>
            </w:pPr>
            <w:r>
              <w:rPr>
                <w:sz w:val="22"/>
              </w:rPr>
              <w:t>1 002</w:t>
            </w:r>
          </w:p>
        </w:tc>
        <w:tc>
          <w:tcPr>
            <w:tcW w:w="1899" w:type="dxa"/>
            <w:tcBorders>
              <w:top w:val="nil"/>
              <w:bottom w:val="nil"/>
            </w:tcBorders>
          </w:tcPr>
          <w:p w:rsidR="00000000" w:rsidRDefault="00000000">
            <w:pPr>
              <w:spacing w:before="60" w:after="60"/>
              <w:jc w:val="right"/>
              <w:rPr>
                <w:sz w:val="22"/>
              </w:rPr>
            </w:pPr>
            <w:r>
              <w:rPr>
                <w:sz w:val="20"/>
              </w:rPr>
              <w:t>−</w:t>
            </w:r>
          </w:p>
        </w:tc>
        <w:tc>
          <w:tcPr>
            <w:tcW w:w="1900" w:type="dxa"/>
            <w:tcBorders>
              <w:top w:val="nil"/>
              <w:bottom w:val="nil"/>
            </w:tcBorders>
          </w:tcPr>
          <w:p w:rsidR="00000000" w:rsidRDefault="00000000">
            <w:pPr>
              <w:spacing w:before="60" w:after="60"/>
              <w:jc w:val="right"/>
              <w:rPr>
                <w:sz w:val="22"/>
              </w:rPr>
            </w:pPr>
            <w:r>
              <w:rPr>
                <w:sz w:val="22"/>
              </w:rPr>
              <w:t>230</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1 465</w:t>
            </w:r>
          </w:p>
        </w:tc>
        <w:tc>
          <w:tcPr>
            <w:tcW w:w="1899" w:type="dxa"/>
            <w:tcBorders>
              <w:top w:val="nil"/>
              <w:bottom w:val="nil"/>
            </w:tcBorders>
          </w:tcPr>
          <w:p w:rsidR="00000000" w:rsidRDefault="00000000">
            <w:pPr>
              <w:spacing w:before="60" w:after="60"/>
              <w:jc w:val="right"/>
              <w:rPr>
                <w:sz w:val="22"/>
              </w:rPr>
            </w:pPr>
            <w:r>
              <w:rPr>
                <w:sz w:val="22"/>
              </w:rPr>
              <w:t>1 301</w:t>
            </w:r>
          </w:p>
        </w:tc>
        <w:tc>
          <w:tcPr>
            <w:tcW w:w="1899" w:type="dxa"/>
            <w:tcBorders>
              <w:top w:val="nil"/>
              <w:bottom w:val="nil"/>
            </w:tcBorders>
          </w:tcPr>
          <w:p w:rsidR="00000000" w:rsidRDefault="00000000">
            <w:pPr>
              <w:spacing w:before="60" w:after="60"/>
              <w:jc w:val="right"/>
              <w:rPr>
                <w:sz w:val="22"/>
              </w:rPr>
            </w:pPr>
            <w:r>
              <w:rPr>
                <w:sz w:val="22"/>
              </w:rPr>
              <w:t>1</w:t>
            </w:r>
          </w:p>
        </w:tc>
        <w:tc>
          <w:tcPr>
            <w:tcW w:w="1900" w:type="dxa"/>
            <w:tcBorders>
              <w:top w:val="nil"/>
              <w:bottom w:val="nil"/>
            </w:tcBorders>
          </w:tcPr>
          <w:p w:rsidR="00000000" w:rsidRDefault="00000000">
            <w:pPr>
              <w:spacing w:before="60" w:after="60"/>
              <w:jc w:val="right"/>
              <w:rPr>
                <w:sz w:val="22"/>
              </w:rPr>
            </w:pPr>
            <w:r>
              <w:rPr>
                <w:sz w:val="22"/>
              </w:rPr>
              <w:t>163</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1 213</w:t>
            </w:r>
          </w:p>
        </w:tc>
        <w:tc>
          <w:tcPr>
            <w:tcW w:w="1899" w:type="dxa"/>
            <w:tcBorders>
              <w:top w:val="nil"/>
            </w:tcBorders>
          </w:tcPr>
          <w:p w:rsidR="00000000" w:rsidRDefault="00000000">
            <w:pPr>
              <w:spacing w:before="60" w:after="60"/>
              <w:jc w:val="right"/>
              <w:rPr>
                <w:sz w:val="22"/>
              </w:rPr>
            </w:pPr>
            <w:r>
              <w:rPr>
                <w:sz w:val="22"/>
              </w:rPr>
              <w:t>1 015</w:t>
            </w:r>
          </w:p>
        </w:tc>
        <w:tc>
          <w:tcPr>
            <w:tcW w:w="1899" w:type="dxa"/>
            <w:tcBorders>
              <w:top w:val="nil"/>
            </w:tcBorders>
          </w:tcPr>
          <w:p w:rsidR="00000000" w:rsidRDefault="00000000">
            <w:pPr>
              <w:spacing w:before="60" w:after="60"/>
              <w:jc w:val="right"/>
              <w:rPr>
                <w:sz w:val="22"/>
              </w:rPr>
            </w:pPr>
            <w:r>
              <w:rPr>
                <w:sz w:val="22"/>
              </w:rPr>
              <w:t>8</w:t>
            </w:r>
          </w:p>
        </w:tc>
        <w:tc>
          <w:tcPr>
            <w:tcW w:w="1900" w:type="dxa"/>
            <w:tcBorders>
              <w:top w:val="nil"/>
            </w:tcBorders>
          </w:tcPr>
          <w:p w:rsidR="00000000" w:rsidRDefault="00000000">
            <w:pPr>
              <w:spacing w:before="60" w:after="60"/>
              <w:jc w:val="right"/>
              <w:rPr>
                <w:sz w:val="22"/>
              </w:rPr>
            </w:pPr>
            <w:r>
              <w:rPr>
                <w:sz w:val="22"/>
              </w:rPr>
              <w:t>190</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Ouighours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2 602</w:t>
            </w:r>
          </w:p>
        </w:tc>
        <w:tc>
          <w:tcPr>
            <w:tcW w:w="1899" w:type="dxa"/>
            <w:tcBorders>
              <w:top w:val="nil"/>
              <w:bottom w:val="nil"/>
            </w:tcBorders>
          </w:tcPr>
          <w:p w:rsidR="00000000" w:rsidRDefault="00000000">
            <w:pPr>
              <w:spacing w:before="60" w:after="60"/>
              <w:jc w:val="right"/>
              <w:rPr>
                <w:sz w:val="22"/>
              </w:rPr>
            </w:pPr>
            <w:r>
              <w:rPr>
                <w:sz w:val="22"/>
              </w:rPr>
              <w:t>1 693</w:t>
            </w:r>
          </w:p>
        </w:tc>
        <w:tc>
          <w:tcPr>
            <w:tcW w:w="1899" w:type="dxa"/>
            <w:tcBorders>
              <w:top w:val="nil"/>
              <w:bottom w:val="nil"/>
            </w:tcBorders>
          </w:tcPr>
          <w:p w:rsidR="00000000" w:rsidRDefault="00000000">
            <w:pPr>
              <w:spacing w:before="60" w:after="60"/>
              <w:jc w:val="right"/>
              <w:rPr>
                <w:sz w:val="22"/>
              </w:rPr>
            </w:pPr>
            <w:r>
              <w:rPr>
                <w:sz w:val="22"/>
              </w:rPr>
              <w:t>56</w:t>
            </w:r>
          </w:p>
        </w:tc>
        <w:tc>
          <w:tcPr>
            <w:tcW w:w="1900" w:type="dxa"/>
            <w:tcBorders>
              <w:top w:val="nil"/>
              <w:bottom w:val="nil"/>
            </w:tcBorders>
          </w:tcPr>
          <w:p w:rsidR="00000000" w:rsidRDefault="00000000">
            <w:pPr>
              <w:spacing w:before="60" w:after="60"/>
              <w:jc w:val="right"/>
              <w:rPr>
                <w:sz w:val="22"/>
              </w:rPr>
            </w:pPr>
            <w:r>
              <w:rPr>
                <w:sz w:val="22"/>
              </w:rPr>
              <w:t>853</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3 277</w:t>
            </w:r>
          </w:p>
        </w:tc>
        <w:tc>
          <w:tcPr>
            <w:tcW w:w="1899" w:type="dxa"/>
            <w:tcBorders>
              <w:top w:val="nil"/>
              <w:bottom w:val="nil"/>
            </w:tcBorders>
          </w:tcPr>
          <w:p w:rsidR="00000000" w:rsidRDefault="00000000">
            <w:pPr>
              <w:spacing w:before="60" w:after="60"/>
              <w:jc w:val="right"/>
              <w:rPr>
                <w:sz w:val="22"/>
              </w:rPr>
            </w:pPr>
            <w:r>
              <w:rPr>
                <w:sz w:val="22"/>
              </w:rPr>
              <w:t>2 071</w:t>
            </w:r>
          </w:p>
        </w:tc>
        <w:tc>
          <w:tcPr>
            <w:tcW w:w="1899" w:type="dxa"/>
            <w:tcBorders>
              <w:top w:val="nil"/>
              <w:bottom w:val="nil"/>
            </w:tcBorders>
          </w:tcPr>
          <w:p w:rsidR="00000000" w:rsidRDefault="00000000">
            <w:pPr>
              <w:spacing w:before="60" w:after="60"/>
              <w:jc w:val="right"/>
              <w:rPr>
                <w:sz w:val="22"/>
              </w:rPr>
            </w:pPr>
            <w:r>
              <w:rPr>
                <w:sz w:val="22"/>
              </w:rPr>
              <w:t>26</w:t>
            </w:r>
          </w:p>
        </w:tc>
        <w:tc>
          <w:tcPr>
            <w:tcW w:w="1900" w:type="dxa"/>
            <w:tcBorders>
              <w:top w:val="nil"/>
              <w:bottom w:val="nil"/>
            </w:tcBorders>
          </w:tcPr>
          <w:p w:rsidR="00000000" w:rsidRDefault="00000000">
            <w:pPr>
              <w:spacing w:before="60" w:after="60"/>
              <w:jc w:val="right"/>
              <w:rPr>
                <w:sz w:val="22"/>
              </w:rPr>
            </w:pPr>
            <w:r>
              <w:rPr>
                <w:sz w:val="22"/>
              </w:rPr>
              <w:t>1 180</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4 850</w:t>
            </w:r>
          </w:p>
        </w:tc>
        <w:tc>
          <w:tcPr>
            <w:tcW w:w="1899" w:type="dxa"/>
            <w:tcBorders>
              <w:top w:val="nil"/>
            </w:tcBorders>
          </w:tcPr>
          <w:p w:rsidR="00000000" w:rsidRDefault="00000000">
            <w:pPr>
              <w:spacing w:before="60" w:after="60"/>
              <w:jc w:val="right"/>
              <w:rPr>
                <w:sz w:val="22"/>
              </w:rPr>
            </w:pPr>
            <w:r>
              <w:rPr>
                <w:sz w:val="22"/>
              </w:rPr>
              <w:t>3 585</w:t>
            </w:r>
          </w:p>
        </w:tc>
        <w:tc>
          <w:tcPr>
            <w:tcW w:w="1899" w:type="dxa"/>
            <w:tcBorders>
              <w:top w:val="nil"/>
            </w:tcBorders>
          </w:tcPr>
          <w:p w:rsidR="00000000" w:rsidRDefault="00000000">
            <w:pPr>
              <w:spacing w:before="60" w:after="60"/>
              <w:jc w:val="right"/>
              <w:rPr>
                <w:sz w:val="22"/>
              </w:rPr>
            </w:pPr>
            <w:r>
              <w:rPr>
                <w:sz w:val="22"/>
              </w:rPr>
              <w:t>27</w:t>
            </w:r>
          </w:p>
        </w:tc>
        <w:tc>
          <w:tcPr>
            <w:tcW w:w="1900" w:type="dxa"/>
            <w:tcBorders>
              <w:top w:val="nil"/>
            </w:tcBorders>
          </w:tcPr>
          <w:p w:rsidR="00000000" w:rsidRDefault="00000000">
            <w:pPr>
              <w:spacing w:before="60" w:after="60"/>
              <w:jc w:val="right"/>
              <w:rPr>
                <w:sz w:val="22"/>
              </w:rPr>
            </w:pPr>
            <w:r>
              <w:rPr>
                <w:sz w:val="22"/>
              </w:rPr>
              <w:t>1 238</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Tchétchènes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456</w:t>
            </w:r>
          </w:p>
        </w:tc>
        <w:tc>
          <w:tcPr>
            <w:tcW w:w="1899" w:type="dxa"/>
            <w:tcBorders>
              <w:top w:val="nil"/>
              <w:bottom w:val="nil"/>
            </w:tcBorders>
          </w:tcPr>
          <w:p w:rsidR="00000000" w:rsidRDefault="00000000">
            <w:pPr>
              <w:spacing w:before="60" w:after="60"/>
              <w:jc w:val="right"/>
              <w:rPr>
                <w:sz w:val="22"/>
              </w:rPr>
            </w:pPr>
            <w:r>
              <w:rPr>
                <w:sz w:val="22"/>
              </w:rPr>
              <w:t>327</w:t>
            </w:r>
          </w:p>
        </w:tc>
        <w:tc>
          <w:tcPr>
            <w:tcW w:w="1899" w:type="dxa"/>
            <w:tcBorders>
              <w:top w:val="nil"/>
              <w:bottom w:val="nil"/>
            </w:tcBorders>
          </w:tcPr>
          <w:p w:rsidR="00000000" w:rsidRDefault="00000000">
            <w:pPr>
              <w:spacing w:before="60" w:after="60"/>
              <w:jc w:val="right"/>
              <w:rPr>
                <w:sz w:val="22"/>
              </w:rPr>
            </w:pPr>
            <w:r>
              <w:rPr>
                <w:sz w:val="22"/>
              </w:rPr>
              <w:t>2</w:t>
            </w:r>
          </w:p>
        </w:tc>
        <w:tc>
          <w:tcPr>
            <w:tcW w:w="1900" w:type="dxa"/>
            <w:tcBorders>
              <w:top w:val="nil"/>
              <w:bottom w:val="nil"/>
            </w:tcBorders>
          </w:tcPr>
          <w:p w:rsidR="00000000" w:rsidRDefault="00000000">
            <w:pPr>
              <w:spacing w:before="60" w:after="60"/>
              <w:jc w:val="right"/>
              <w:rPr>
                <w:sz w:val="22"/>
              </w:rPr>
            </w:pPr>
            <w:r>
              <w:rPr>
                <w:sz w:val="22"/>
              </w:rPr>
              <w:t>127</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456</w:t>
            </w:r>
          </w:p>
        </w:tc>
        <w:tc>
          <w:tcPr>
            <w:tcW w:w="1899" w:type="dxa"/>
            <w:tcBorders>
              <w:top w:val="nil"/>
              <w:bottom w:val="nil"/>
            </w:tcBorders>
          </w:tcPr>
          <w:p w:rsidR="00000000" w:rsidRDefault="00000000">
            <w:pPr>
              <w:spacing w:before="60" w:after="60"/>
              <w:jc w:val="right"/>
              <w:rPr>
                <w:sz w:val="22"/>
              </w:rPr>
            </w:pPr>
            <w:r>
              <w:rPr>
                <w:sz w:val="22"/>
              </w:rPr>
              <w:t>341</w:t>
            </w:r>
          </w:p>
        </w:tc>
        <w:tc>
          <w:tcPr>
            <w:tcW w:w="1899" w:type="dxa"/>
            <w:tcBorders>
              <w:top w:val="nil"/>
              <w:bottom w:val="nil"/>
            </w:tcBorders>
          </w:tcPr>
          <w:p w:rsidR="00000000" w:rsidRDefault="00000000">
            <w:pPr>
              <w:spacing w:before="60" w:after="60"/>
              <w:jc w:val="right"/>
              <w:rPr>
                <w:sz w:val="22"/>
              </w:rPr>
            </w:pPr>
            <w:r>
              <w:rPr>
                <w:sz w:val="22"/>
              </w:rPr>
              <w:t>1</w:t>
            </w:r>
          </w:p>
        </w:tc>
        <w:tc>
          <w:tcPr>
            <w:tcW w:w="1900" w:type="dxa"/>
            <w:tcBorders>
              <w:top w:val="nil"/>
              <w:bottom w:val="nil"/>
            </w:tcBorders>
          </w:tcPr>
          <w:p w:rsidR="00000000" w:rsidRDefault="00000000">
            <w:pPr>
              <w:spacing w:before="60" w:after="60"/>
              <w:jc w:val="right"/>
              <w:rPr>
                <w:sz w:val="22"/>
              </w:rPr>
            </w:pPr>
            <w:r>
              <w:rPr>
                <w:sz w:val="22"/>
              </w:rPr>
              <w:t>114</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633</w:t>
            </w:r>
          </w:p>
        </w:tc>
        <w:tc>
          <w:tcPr>
            <w:tcW w:w="1899" w:type="dxa"/>
            <w:tcBorders>
              <w:top w:val="nil"/>
            </w:tcBorders>
          </w:tcPr>
          <w:p w:rsidR="00000000" w:rsidRDefault="00000000">
            <w:pPr>
              <w:spacing w:before="60" w:after="60"/>
              <w:jc w:val="right"/>
              <w:rPr>
                <w:sz w:val="22"/>
              </w:rPr>
            </w:pPr>
            <w:r>
              <w:rPr>
                <w:sz w:val="22"/>
              </w:rPr>
              <w:t>429</w:t>
            </w:r>
          </w:p>
        </w:tc>
        <w:tc>
          <w:tcPr>
            <w:tcW w:w="1899" w:type="dxa"/>
            <w:tcBorders>
              <w:top w:val="nil"/>
            </w:tcBorders>
          </w:tcPr>
          <w:p w:rsidR="00000000" w:rsidRDefault="00000000">
            <w:pPr>
              <w:spacing w:before="60" w:after="60"/>
              <w:jc w:val="right"/>
              <w:rPr>
                <w:sz w:val="22"/>
              </w:rPr>
            </w:pPr>
            <w:r>
              <w:rPr>
                <w:sz w:val="22"/>
              </w:rPr>
              <w:t>4</w:t>
            </w:r>
          </w:p>
        </w:tc>
        <w:tc>
          <w:tcPr>
            <w:tcW w:w="1900" w:type="dxa"/>
            <w:tcBorders>
              <w:top w:val="nil"/>
            </w:tcBorders>
          </w:tcPr>
          <w:p w:rsidR="00000000" w:rsidRDefault="00000000">
            <w:pPr>
              <w:spacing w:before="60" w:after="60"/>
              <w:jc w:val="right"/>
              <w:rPr>
                <w:sz w:val="22"/>
              </w:rPr>
            </w:pPr>
            <w:r>
              <w:rPr>
                <w:sz w:val="22"/>
              </w:rPr>
              <w:t>200</w:t>
            </w:r>
          </w:p>
        </w:tc>
      </w:tr>
      <w:tr w:rsidR="00000000">
        <w:tblPrEx>
          <w:tblCellMar>
            <w:top w:w="0" w:type="dxa"/>
            <w:bottom w:w="0" w:type="dxa"/>
          </w:tblCellMar>
        </w:tblPrEx>
        <w:tc>
          <w:tcPr>
            <w:tcW w:w="1899" w:type="dxa"/>
            <w:tcBorders>
              <w:bottom w:val="nil"/>
            </w:tcBorders>
          </w:tcPr>
          <w:p w:rsidR="00000000" w:rsidRDefault="00000000">
            <w:pPr>
              <w:spacing w:before="60" w:after="60"/>
              <w:rPr>
                <w:sz w:val="22"/>
              </w:rPr>
            </w:pPr>
            <w:r>
              <w:rPr>
                <w:sz w:val="22"/>
              </w:rPr>
              <w:t>Autres nationalités</w:t>
            </w: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899" w:type="dxa"/>
            <w:tcBorders>
              <w:bottom w:val="nil"/>
            </w:tcBorders>
          </w:tcPr>
          <w:p w:rsidR="00000000" w:rsidRDefault="00000000">
            <w:pPr>
              <w:spacing w:before="60" w:after="60"/>
              <w:jc w:val="right"/>
              <w:rPr>
                <w:sz w:val="22"/>
              </w:rPr>
            </w:pPr>
          </w:p>
        </w:tc>
        <w:tc>
          <w:tcPr>
            <w:tcW w:w="1900"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1999/2000</w:t>
            </w:r>
          </w:p>
        </w:tc>
        <w:tc>
          <w:tcPr>
            <w:tcW w:w="1899" w:type="dxa"/>
            <w:tcBorders>
              <w:top w:val="nil"/>
              <w:bottom w:val="nil"/>
            </w:tcBorders>
          </w:tcPr>
          <w:p w:rsidR="00000000" w:rsidRDefault="00000000">
            <w:pPr>
              <w:spacing w:before="60" w:after="60"/>
              <w:jc w:val="right"/>
              <w:rPr>
                <w:sz w:val="22"/>
              </w:rPr>
            </w:pPr>
            <w:r>
              <w:rPr>
                <w:sz w:val="22"/>
              </w:rPr>
              <w:t>2 811</w:t>
            </w:r>
          </w:p>
        </w:tc>
        <w:tc>
          <w:tcPr>
            <w:tcW w:w="1899" w:type="dxa"/>
            <w:tcBorders>
              <w:top w:val="nil"/>
              <w:bottom w:val="nil"/>
            </w:tcBorders>
          </w:tcPr>
          <w:p w:rsidR="00000000" w:rsidRDefault="00000000">
            <w:pPr>
              <w:spacing w:before="60" w:after="60"/>
              <w:jc w:val="right"/>
              <w:rPr>
                <w:sz w:val="22"/>
              </w:rPr>
            </w:pPr>
            <w:r>
              <w:rPr>
                <w:sz w:val="22"/>
              </w:rPr>
              <w:t>2 174</w:t>
            </w:r>
          </w:p>
        </w:tc>
        <w:tc>
          <w:tcPr>
            <w:tcW w:w="1899" w:type="dxa"/>
            <w:tcBorders>
              <w:top w:val="nil"/>
              <w:bottom w:val="nil"/>
            </w:tcBorders>
          </w:tcPr>
          <w:p w:rsidR="00000000" w:rsidRDefault="00000000">
            <w:pPr>
              <w:spacing w:before="60" w:after="60"/>
              <w:jc w:val="right"/>
              <w:rPr>
                <w:sz w:val="22"/>
              </w:rPr>
            </w:pPr>
            <w:r>
              <w:rPr>
                <w:sz w:val="22"/>
              </w:rPr>
              <w:t>19</w:t>
            </w:r>
          </w:p>
        </w:tc>
        <w:tc>
          <w:tcPr>
            <w:tcW w:w="1900" w:type="dxa"/>
            <w:tcBorders>
              <w:top w:val="nil"/>
              <w:bottom w:val="nil"/>
            </w:tcBorders>
          </w:tcPr>
          <w:p w:rsidR="00000000" w:rsidRDefault="00000000">
            <w:pPr>
              <w:spacing w:before="60" w:after="60"/>
              <w:jc w:val="right"/>
              <w:rPr>
                <w:sz w:val="22"/>
              </w:rPr>
            </w:pPr>
            <w:r>
              <w:rPr>
                <w:sz w:val="22"/>
              </w:rPr>
              <w:t>618</w:t>
            </w:r>
          </w:p>
        </w:tc>
      </w:tr>
      <w:tr w:rsidR="00000000">
        <w:tblPrEx>
          <w:tblCellMar>
            <w:top w:w="0" w:type="dxa"/>
            <w:bottom w:w="0" w:type="dxa"/>
          </w:tblCellMar>
        </w:tblPrEx>
        <w:tc>
          <w:tcPr>
            <w:tcW w:w="1899" w:type="dxa"/>
            <w:tcBorders>
              <w:top w:val="nil"/>
              <w:bottom w:val="nil"/>
            </w:tcBorders>
          </w:tcPr>
          <w:p w:rsidR="00000000" w:rsidRDefault="00000000">
            <w:pPr>
              <w:spacing w:before="60" w:after="60"/>
              <w:rPr>
                <w:sz w:val="22"/>
              </w:rPr>
            </w:pPr>
            <w:r>
              <w:rPr>
                <w:sz w:val="22"/>
              </w:rPr>
              <w:t>2000/2001</w:t>
            </w:r>
          </w:p>
        </w:tc>
        <w:tc>
          <w:tcPr>
            <w:tcW w:w="1899" w:type="dxa"/>
            <w:tcBorders>
              <w:top w:val="nil"/>
              <w:bottom w:val="nil"/>
            </w:tcBorders>
          </w:tcPr>
          <w:p w:rsidR="00000000" w:rsidRDefault="00000000">
            <w:pPr>
              <w:spacing w:before="60" w:after="60"/>
              <w:jc w:val="right"/>
              <w:rPr>
                <w:sz w:val="22"/>
              </w:rPr>
            </w:pPr>
            <w:r>
              <w:rPr>
                <w:sz w:val="22"/>
              </w:rPr>
              <w:t>2 972</w:t>
            </w:r>
          </w:p>
        </w:tc>
        <w:tc>
          <w:tcPr>
            <w:tcW w:w="1899" w:type="dxa"/>
            <w:tcBorders>
              <w:top w:val="nil"/>
              <w:bottom w:val="nil"/>
            </w:tcBorders>
          </w:tcPr>
          <w:p w:rsidR="00000000" w:rsidRDefault="00000000">
            <w:pPr>
              <w:spacing w:before="60" w:after="60"/>
              <w:jc w:val="right"/>
              <w:rPr>
                <w:sz w:val="22"/>
              </w:rPr>
            </w:pPr>
            <w:r>
              <w:rPr>
                <w:sz w:val="22"/>
              </w:rPr>
              <w:t>2 290</w:t>
            </w:r>
          </w:p>
        </w:tc>
        <w:tc>
          <w:tcPr>
            <w:tcW w:w="1899" w:type="dxa"/>
            <w:tcBorders>
              <w:top w:val="nil"/>
              <w:bottom w:val="nil"/>
            </w:tcBorders>
          </w:tcPr>
          <w:p w:rsidR="00000000" w:rsidRDefault="00000000">
            <w:pPr>
              <w:spacing w:before="60" w:after="60"/>
              <w:jc w:val="right"/>
              <w:rPr>
                <w:sz w:val="22"/>
              </w:rPr>
            </w:pPr>
            <w:r>
              <w:rPr>
                <w:sz w:val="22"/>
              </w:rPr>
              <w:t>5</w:t>
            </w:r>
          </w:p>
        </w:tc>
        <w:tc>
          <w:tcPr>
            <w:tcW w:w="1900" w:type="dxa"/>
            <w:tcBorders>
              <w:top w:val="nil"/>
              <w:bottom w:val="nil"/>
            </w:tcBorders>
          </w:tcPr>
          <w:p w:rsidR="00000000" w:rsidRDefault="00000000">
            <w:pPr>
              <w:spacing w:before="60" w:after="60"/>
              <w:jc w:val="right"/>
              <w:rPr>
                <w:sz w:val="22"/>
              </w:rPr>
            </w:pPr>
            <w:r>
              <w:rPr>
                <w:sz w:val="22"/>
              </w:rPr>
              <w:t>677</w:t>
            </w:r>
          </w:p>
        </w:tc>
      </w:tr>
      <w:tr w:rsidR="00000000">
        <w:tblPrEx>
          <w:tblCellMar>
            <w:top w:w="0" w:type="dxa"/>
            <w:bottom w:w="0" w:type="dxa"/>
          </w:tblCellMar>
        </w:tblPrEx>
        <w:tc>
          <w:tcPr>
            <w:tcW w:w="1899" w:type="dxa"/>
            <w:tcBorders>
              <w:top w:val="nil"/>
            </w:tcBorders>
          </w:tcPr>
          <w:p w:rsidR="00000000" w:rsidRDefault="00000000">
            <w:pPr>
              <w:spacing w:before="60" w:after="60"/>
              <w:rPr>
                <w:sz w:val="22"/>
              </w:rPr>
            </w:pPr>
            <w:r>
              <w:rPr>
                <w:sz w:val="22"/>
              </w:rPr>
              <w:t>2001/2002</w:t>
            </w:r>
          </w:p>
        </w:tc>
        <w:tc>
          <w:tcPr>
            <w:tcW w:w="1899" w:type="dxa"/>
            <w:tcBorders>
              <w:top w:val="nil"/>
            </w:tcBorders>
          </w:tcPr>
          <w:p w:rsidR="00000000" w:rsidRDefault="00000000">
            <w:pPr>
              <w:spacing w:before="60" w:after="60"/>
              <w:jc w:val="right"/>
              <w:rPr>
                <w:sz w:val="22"/>
              </w:rPr>
            </w:pPr>
            <w:r>
              <w:rPr>
                <w:sz w:val="22"/>
              </w:rPr>
              <w:t>3 172</w:t>
            </w:r>
          </w:p>
        </w:tc>
        <w:tc>
          <w:tcPr>
            <w:tcW w:w="1899" w:type="dxa"/>
            <w:tcBorders>
              <w:top w:val="nil"/>
            </w:tcBorders>
          </w:tcPr>
          <w:p w:rsidR="00000000" w:rsidRDefault="00000000">
            <w:pPr>
              <w:spacing w:before="60" w:after="60"/>
              <w:jc w:val="right"/>
              <w:rPr>
                <w:sz w:val="22"/>
              </w:rPr>
            </w:pPr>
            <w:r>
              <w:rPr>
                <w:sz w:val="22"/>
              </w:rPr>
              <w:t>2 450</w:t>
            </w:r>
          </w:p>
        </w:tc>
        <w:tc>
          <w:tcPr>
            <w:tcW w:w="1899" w:type="dxa"/>
            <w:tcBorders>
              <w:top w:val="nil"/>
            </w:tcBorders>
          </w:tcPr>
          <w:p w:rsidR="00000000" w:rsidRDefault="00000000">
            <w:pPr>
              <w:spacing w:before="60" w:after="60"/>
              <w:jc w:val="right"/>
              <w:rPr>
                <w:sz w:val="22"/>
              </w:rPr>
            </w:pPr>
            <w:r>
              <w:rPr>
                <w:sz w:val="22"/>
              </w:rPr>
              <w:t>7</w:t>
            </w:r>
          </w:p>
        </w:tc>
        <w:tc>
          <w:tcPr>
            <w:tcW w:w="1900" w:type="dxa"/>
            <w:tcBorders>
              <w:top w:val="nil"/>
            </w:tcBorders>
          </w:tcPr>
          <w:p w:rsidR="00000000" w:rsidRDefault="00000000">
            <w:pPr>
              <w:spacing w:before="60" w:after="60"/>
              <w:jc w:val="right"/>
              <w:rPr>
                <w:sz w:val="22"/>
              </w:rPr>
            </w:pPr>
            <w:r>
              <w:rPr>
                <w:sz w:val="22"/>
              </w:rPr>
              <w:t>715</w:t>
            </w:r>
          </w:p>
        </w:tc>
      </w:tr>
    </w:tbl>
    <w:p w:rsidR="00000000" w:rsidRDefault="00000000">
      <w:pPr>
        <w:spacing w:after="240"/>
        <w:rPr>
          <w:b/>
          <w:bCs/>
        </w:rPr>
      </w:pPr>
    </w:p>
    <w:p w:rsidR="00000000" w:rsidRDefault="00000000">
      <w:pPr>
        <w:keepNext/>
        <w:spacing w:after="240"/>
        <w:jc w:val="center"/>
      </w:pPr>
      <w:r>
        <w:rPr>
          <w:b/>
          <w:bCs/>
        </w:rPr>
        <w:t>Population urbaine et rurale</w:t>
      </w:r>
    </w:p>
    <w:p w:rsidR="00000000" w:rsidRDefault="00000000">
      <w:pPr>
        <w:spacing w:after="240"/>
      </w:pPr>
      <w:r>
        <w:t>13.</w:t>
      </w:r>
      <w:r>
        <w:tab/>
        <w:t>En 2001, la population était composée de 56 % de personnes vivant dans les zones urbaines et de 44 % de personnes habitant dans les zones rurales.</w:t>
      </w:r>
    </w:p>
    <w:p w:rsidR="00000000" w:rsidRDefault="00000000">
      <w:pPr>
        <w:keepNext/>
        <w:spacing w:after="240"/>
        <w:ind w:left="567" w:hanging="567"/>
        <w:jc w:val="center"/>
        <w:rPr>
          <w:b/>
          <w:bCs/>
        </w:rPr>
      </w:pPr>
      <w:r>
        <w:rPr>
          <w:b/>
          <w:bCs/>
        </w:rPr>
        <w:t>Tableau 19</w:t>
      </w:r>
    </w:p>
    <w:p w:rsidR="00000000" w:rsidRDefault="00000000">
      <w:pPr>
        <w:keepNext/>
        <w:spacing w:after="240"/>
        <w:jc w:val="center"/>
      </w:pPr>
      <w:r>
        <w:rPr>
          <w:b/>
          <w:bCs/>
        </w:rPr>
        <w:t>Population urbaine et rurale (nombre d’habitants au début de l’année indiquée)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5"/>
        <w:gridCol w:w="1488"/>
        <w:gridCol w:w="1488"/>
        <w:gridCol w:w="1488"/>
        <w:gridCol w:w="1488"/>
        <w:gridCol w:w="1488"/>
      </w:tblGrid>
      <w:tr w:rsidR="00000000">
        <w:tblPrEx>
          <w:tblCellMar>
            <w:top w:w="0" w:type="dxa"/>
            <w:bottom w:w="0" w:type="dxa"/>
          </w:tblCellMar>
        </w:tblPrEx>
        <w:trPr>
          <w:cantSplit/>
        </w:trPr>
        <w:tc>
          <w:tcPr>
            <w:tcW w:w="1986" w:type="dxa"/>
            <w:vMerge w:val="restart"/>
            <w:vAlign w:val="center"/>
          </w:tcPr>
          <w:p w:rsidR="00000000" w:rsidRDefault="00000000">
            <w:pPr>
              <w:keepNext/>
              <w:spacing w:before="60" w:after="60"/>
              <w:jc w:val="center"/>
            </w:pPr>
            <w:r>
              <w:t>Année</w:t>
            </w:r>
          </w:p>
        </w:tc>
        <w:tc>
          <w:tcPr>
            <w:tcW w:w="1488" w:type="dxa"/>
            <w:vMerge w:val="restart"/>
            <w:vAlign w:val="center"/>
          </w:tcPr>
          <w:p w:rsidR="00000000" w:rsidRDefault="00000000">
            <w:pPr>
              <w:keepNext/>
              <w:spacing w:before="60" w:after="60"/>
              <w:jc w:val="center"/>
            </w:pPr>
            <w:r>
              <w:t>Population totale</w:t>
            </w:r>
          </w:p>
        </w:tc>
        <w:tc>
          <w:tcPr>
            <w:tcW w:w="2976" w:type="dxa"/>
            <w:gridSpan w:val="2"/>
          </w:tcPr>
          <w:p w:rsidR="00000000" w:rsidRDefault="00000000">
            <w:pPr>
              <w:keepNext/>
              <w:spacing w:before="60" w:after="60"/>
              <w:jc w:val="center"/>
            </w:pPr>
            <w:r>
              <w:t>dont:</w:t>
            </w:r>
          </w:p>
        </w:tc>
        <w:tc>
          <w:tcPr>
            <w:tcW w:w="2976" w:type="dxa"/>
            <w:gridSpan w:val="2"/>
          </w:tcPr>
          <w:p w:rsidR="00000000" w:rsidRDefault="00000000">
            <w:pPr>
              <w:keepNext/>
              <w:spacing w:before="60" w:after="60"/>
              <w:jc w:val="center"/>
            </w:pPr>
            <w:r>
              <w:t>Pourcentage de la population</w:t>
            </w:r>
          </w:p>
        </w:tc>
      </w:tr>
      <w:tr w:rsidR="00000000">
        <w:tblPrEx>
          <w:tblCellMar>
            <w:top w:w="0" w:type="dxa"/>
            <w:bottom w:w="0" w:type="dxa"/>
          </w:tblCellMar>
        </w:tblPrEx>
        <w:trPr>
          <w:cantSplit/>
        </w:trPr>
        <w:tc>
          <w:tcPr>
            <w:tcW w:w="1986" w:type="dxa"/>
            <w:vMerge/>
          </w:tcPr>
          <w:p w:rsidR="00000000" w:rsidRDefault="00000000">
            <w:pPr>
              <w:keepNext/>
              <w:spacing w:before="60" w:after="60"/>
              <w:jc w:val="center"/>
            </w:pPr>
          </w:p>
        </w:tc>
        <w:tc>
          <w:tcPr>
            <w:tcW w:w="1488" w:type="dxa"/>
            <w:vMerge/>
          </w:tcPr>
          <w:p w:rsidR="00000000" w:rsidRDefault="00000000">
            <w:pPr>
              <w:keepNext/>
              <w:spacing w:before="60" w:after="60"/>
            </w:pPr>
          </w:p>
        </w:tc>
        <w:tc>
          <w:tcPr>
            <w:tcW w:w="1488" w:type="dxa"/>
          </w:tcPr>
          <w:p w:rsidR="00000000" w:rsidRDefault="00000000">
            <w:pPr>
              <w:keepNext/>
              <w:spacing w:before="60" w:after="60"/>
              <w:jc w:val="center"/>
            </w:pPr>
            <w:r>
              <w:t>Urbaine</w:t>
            </w:r>
          </w:p>
        </w:tc>
        <w:tc>
          <w:tcPr>
            <w:tcW w:w="1488" w:type="dxa"/>
          </w:tcPr>
          <w:p w:rsidR="00000000" w:rsidRDefault="00000000">
            <w:pPr>
              <w:keepNext/>
              <w:spacing w:before="60" w:after="60"/>
              <w:jc w:val="center"/>
            </w:pPr>
            <w:r>
              <w:t>Rurale</w:t>
            </w:r>
          </w:p>
        </w:tc>
        <w:tc>
          <w:tcPr>
            <w:tcW w:w="1488" w:type="dxa"/>
          </w:tcPr>
          <w:p w:rsidR="00000000" w:rsidRDefault="00000000">
            <w:pPr>
              <w:keepNext/>
              <w:spacing w:before="60" w:after="60"/>
              <w:jc w:val="center"/>
            </w:pPr>
            <w:r>
              <w:t>Urbaine</w:t>
            </w:r>
          </w:p>
        </w:tc>
        <w:tc>
          <w:tcPr>
            <w:tcW w:w="1488" w:type="dxa"/>
          </w:tcPr>
          <w:p w:rsidR="00000000" w:rsidRDefault="00000000">
            <w:pPr>
              <w:keepNext/>
              <w:spacing w:before="60" w:after="60"/>
              <w:jc w:val="center"/>
            </w:pPr>
            <w:r>
              <w:t>Rurale</w:t>
            </w:r>
          </w:p>
        </w:tc>
      </w:tr>
      <w:tr w:rsidR="00000000">
        <w:tblPrEx>
          <w:tblCellMar>
            <w:top w:w="0" w:type="dxa"/>
            <w:bottom w:w="0" w:type="dxa"/>
          </w:tblCellMar>
        </w:tblPrEx>
        <w:tc>
          <w:tcPr>
            <w:tcW w:w="1986" w:type="dxa"/>
          </w:tcPr>
          <w:p w:rsidR="00000000" w:rsidRDefault="00000000">
            <w:pPr>
              <w:keepNext/>
              <w:spacing w:before="60" w:after="60"/>
            </w:pPr>
            <w:r>
              <w:t>1999</w:t>
            </w:r>
          </w:p>
        </w:tc>
        <w:tc>
          <w:tcPr>
            <w:tcW w:w="1488" w:type="dxa"/>
          </w:tcPr>
          <w:p w:rsidR="00000000" w:rsidRDefault="00000000">
            <w:pPr>
              <w:keepNext/>
              <w:spacing w:before="60" w:after="60"/>
              <w:jc w:val="right"/>
            </w:pPr>
            <w:r>
              <w:t>14 957 800</w:t>
            </w:r>
          </w:p>
        </w:tc>
        <w:tc>
          <w:tcPr>
            <w:tcW w:w="1488" w:type="dxa"/>
          </w:tcPr>
          <w:p w:rsidR="00000000" w:rsidRDefault="00000000">
            <w:pPr>
              <w:keepNext/>
              <w:spacing w:before="60" w:after="60"/>
              <w:jc w:val="right"/>
            </w:pPr>
            <w:r>
              <w:t>8 368 800</w:t>
            </w:r>
          </w:p>
        </w:tc>
        <w:tc>
          <w:tcPr>
            <w:tcW w:w="1488" w:type="dxa"/>
          </w:tcPr>
          <w:p w:rsidR="00000000" w:rsidRDefault="00000000">
            <w:pPr>
              <w:keepNext/>
              <w:spacing w:before="60" w:after="60"/>
              <w:jc w:val="right"/>
            </w:pPr>
            <w:r>
              <w:t>6 589 000</w:t>
            </w:r>
          </w:p>
        </w:tc>
        <w:tc>
          <w:tcPr>
            <w:tcW w:w="1488" w:type="dxa"/>
          </w:tcPr>
          <w:p w:rsidR="00000000" w:rsidRDefault="00000000">
            <w:pPr>
              <w:keepNext/>
              <w:spacing w:before="60" w:after="60"/>
              <w:jc w:val="right"/>
            </w:pPr>
            <w:r>
              <w:t>56,0</w:t>
            </w:r>
          </w:p>
        </w:tc>
        <w:tc>
          <w:tcPr>
            <w:tcW w:w="1488" w:type="dxa"/>
          </w:tcPr>
          <w:p w:rsidR="00000000" w:rsidRDefault="00000000">
            <w:pPr>
              <w:keepNext/>
              <w:spacing w:before="60" w:after="60"/>
              <w:jc w:val="right"/>
            </w:pPr>
            <w:r>
              <w:t>44,0</w:t>
            </w:r>
          </w:p>
        </w:tc>
      </w:tr>
      <w:tr w:rsidR="00000000">
        <w:tblPrEx>
          <w:tblCellMar>
            <w:top w:w="0" w:type="dxa"/>
            <w:bottom w:w="0" w:type="dxa"/>
          </w:tblCellMar>
        </w:tblPrEx>
        <w:tc>
          <w:tcPr>
            <w:tcW w:w="1986" w:type="dxa"/>
          </w:tcPr>
          <w:p w:rsidR="00000000" w:rsidRDefault="00000000">
            <w:pPr>
              <w:keepNext/>
              <w:spacing w:before="60" w:after="60"/>
            </w:pPr>
            <w:r>
              <w:t>2000</w:t>
            </w:r>
          </w:p>
        </w:tc>
        <w:tc>
          <w:tcPr>
            <w:tcW w:w="1488" w:type="dxa"/>
          </w:tcPr>
          <w:p w:rsidR="00000000" w:rsidRDefault="00000000">
            <w:pPr>
              <w:keepNext/>
              <w:spacing w:before="60" w:after="60"/>
              <w:jc w:val="right"/>
            </w:pPr>
            <w:r>
              <w:t>14 896 100</w:t>
            </w:r>
          </w:p>
        </w:tc>
        <w:tc>
          <w:tcPr>
            <w:tcW w:w="1488" w:type="dxa"/>
          </w:tcPr>
          <w:p w:rsidR="00000000" w:rsidRDefault="00000000">
            <w:pPr>
              <w:keepNext/>
              <w:spacing w:before="60" w:after="60"/>
              <w:jc w:val="right"/>
            </w:pPr>
            <w:r>
              <w:t>8 322 200</w:t>
            </w:r>
          </w:p>
        </w:tc>
        <w:tc>
          <w:tcPr>
            <w:tcW w:w="1488" w:type="dxa"/>
          </w:tcPr>
          <w:p w:rsidR="00000000" w:rsidRDefault="00000000">
            <w:pPr>
              <w:keepNext/>
              <w:spacing w:before="60" w:after="60"/>
              <w:jc w:val="right"/>
            </w:pPr>
            <w:r>
              <w:t>6 573 900</w:t>
            </w:r>
          </w:p>
        </w:tc>
        <w:tc>
          <w:tcPr>
            <w:tcW w:w="1488" w:type="dxa"/>
          </w:tcPr>
          <w:p w:rsidR="00000000" w:rsidRDefault="00000000">
            <w:pPr>
              <w:keepNext/>
              <w:spacing w:before="60" w:after="60"/>
              <w:jc w:val="right"/>
            </w:pPr>
            <w:r>
              <w:t>56,0</w:t>
            </w:r>
          </w:p>
        </w:tc>
        <w:tc>
          <w:tcPr>
            <w:tcW w:w="1488" w:type="dxa"/>
          </w:tcPr>
          <w:p w:rsidR="00000000" w:rsidRDefault="00000000">
            <w:pPr>
              <w:keepNext/>
              <w:spacing w:before="60" w:after="60"/>
              <w:jc w:val="right"/>
            </w:pPr>
            <w:r>
              <w:t>44,0</w:t>
            </w:r>
          </w:p>
        </w:tc>
      </w:tr>
      <w:tr w:rsidR="00000000">
        <w:tblPrEx>
          <w:tblCellMar>
            <w:top w:w="0" w:type="dxa"/>
            <w:bottom w:w="0" w:type="dxa"/>
          </w:tblCellMar>
        </w:tblPrEx>
        <w:tc>
          <w:tcPr>
            <w:tcW w:w="1986" w:type="dxa"/>
          </w:tcPr>
          <w:p w:rsidR="00000000" w:rsidRDefault="00000000">
            <w:pPr>
              <w:spacing w:before="60" w:after="60"/>
            </w:pPr>
            <w:r>
              <w:t>2001</w:t>
            </w:r>
          </w:p>
        </w:tc>
        <w:tc>
          <w:tcPr>
            <w:tcW w:w="1488" w:type="dxa"/>
          </w:tcPr>
          <w:p w:rsidR="00000000" w:rsidRDefault="00000000">
            <w:pPr>
              <w:spacing w:before="60" w:after="60"/>
              <w:jc w:val="right"/>
            </w:pPr>
            <w:r>
              <w:t>14 841 900</w:t>
            </w:r>
          </w:p>
        </w:tc>
        <w:tc>
          <w:tcPr>
            <w:tcW w:w="1488" w:type="dxa"/>
          </w:tcPr>
          <w:p w:rsidR="00000000" w:rsidRDefault="00000000">
            <w:pPr>
              <w:spacing w:before="60" w:after="60"/>
              <w:jc w:val="right"/>
            </w:pPr>
            <w:r>
              <w:t>8 283 200</w:t>
            </w:r>
          </w:p>
        </w:tc>
        <w:tc>
          <w:tcPr>
            <w:tcW w:w="1488" w:type="dxa"/>
          </w:tcPr>
          <w:p w:rsidR="00000000" w:rsidRDefault="00000000">
            <w:pPr>
              <w:spacing w:before="60" w:after="60"/>
              <w:jc w:val="right"/>
            </w:pPr>
            <w:r>
              <w:t>6 558 700</w:t>
            </w:r>
          </w:p>
        </w:tc>
        <w:tc>
          <w:tcPr>
            <w:tcW w:w="1488" w:type="dxa"/>
          </w:tcPr>
          <w:p w:rsidR="00000000" w:rsidRDefault="00000000">
            <w:pPr>
              <w:spacing w:before="60" w:after="60"/>
              <w:jc w:val="right"/>
            </w:pPr>
            <w:r>
              <w:t>56,0</w:t>
            </w:r>
          </w:p>
        </w:tc>
        <w:tc>
          <w:tcPr>
            <w:tcW w:w="1488" w:type="dxa"/>
          </w:tcPr>
          <w:p w:rsidR="00000000" w:rsidRDefault="00000000">
            <w:pPr>
              <w:spacing w:before="60" w:after="60"/>
              <w:jc w:val="right"/>
            </w:pPr>
            <w:r>
              <w:t>44,0</w:t>
            </w:r>
          </w:p>
        </w:tc>
      </w:tr>
    </w:tbl>
    <w:p w:rsidR="00000000" w:rsidRDefault="00000000">
      <w:pPr>
        <w:keepNext/>
        <w:spacing w:before="240" w:after="240"/>
        <w:jc w:val="center"/>
        <w:rPr>
          <w:b/>
          <w:bCs/>
        </w:rPr>
      </w:pPr>
      <w:r>
        <w:rPr>
          <w:b/>
          <w:bCs/>
        </w:rPr>
        <w:t>Migrations</w:t>
      </w:r>
    </w:p>
    <w:p w:rsidR="00000000" w:rsidRDefault="00000000">
      <w:pPr>
        <w:spacing w:after="240"/>
      </w:pPr>
      <w:r>
        <w:t>14.</w:t>
      </w:r>
      <w:r>
        <w:tab/>
        <w:t>La République du Kazakhstan a un déficit migratoire. En 2001, 414 984 personnes ont quitté son territoire et 326 824 y sont arrivées. Le déficit migratoire était donc de 88 160 personnes.</w:t>
      </w:r>
    </w:p>
    <w:p w:rsidR="00000000" w:rsidRDefault="00000000">
      <w:pPr>
        <w:keepNext/>
        <w:spacing w:after="240"/>
        <w:jc w:val="center"/>
        <w:rPr>
          <w:b/>
          <w:bCs/>
        </w:rPr>
      </w:pPr>
      <w:r>
        <w:rPr>
          <w:b/>
          <w:bCs/>
        </w:rPr>
        <w:t>Tableau 20</w:t>
      </w:r>
    </w:p>
    <w:p w:rsidR="00000000" w:rsidRDefault="00000000">
      <w:pPr>
        <w:keepNext/>
        <w:spacing w:after="240"/>
        <w:jc w:val="center"/>
        <w:rPr>
          <w:b/>
          <w:bCs/>
        </w:rPr>
      </w:pPr>
      <w:r>
        <w:rPr>
          <w:b/>
          <w:bCs/>
        </w:rPr>
        <w:t>Situation des migrations par nationalité (nombre de personnes)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tblHeader/>
        </w:trPr>
        <w:tc>
          <w:tcPr>
            <w:tcW w:w="2374" w:type="dxa"/>
          </w:tcPr>
          <w:p w:rsidR="00000000" w:rsidRDefault="00000000">
            <w:pPr>
              <w:spacing w:before="60" w:after="60"/>
              <w:rPr>
                <w:sz w:val="22"/>
              </w:rPr>
            </w:pPr>
          </w:p>
        </w:tc>
        <w:tc>
          <w:tcPr>
            <w:tcW w:w="2374" w:type="dxa"/>
            <w:vAlign w:val="center"/>
          </w:tcPr>
          <w:p w:rsidR="00000000" w:rsidRDefault="00000000">
            <w:pPr>
              <w:spacing w:before="60" w:after="60"/>
              <w:jc w:val="center"/>
              <w:rPr>
                <w:sz w:val="22"/>
              </w:rPr>
            </w:pPr>
            <w:r>
              <w:rPr>
                <w:sz w:val="22"/>
              </w:rPr>
              <w:t>Nombre d’arrivées</w:t>
            </w:r>
          </w:p>
        </w:tc>
        <w:tc>
          <w:tcPr>
            <w:tcW w:w="2374" w:type="dxa"/>
            <w:vAlign w:val="center"/>
          </w:tcPr>
          <w:p w:rsidR="00000000" w:rsidRDefault="00000000">
            <w:pPr>
              <w:spacing w:before="60" w:after="60"/>
              <w:jc w:val="center"/>
              <w:rPr>
                <w:sz w:val="22"/>
              </w:rPr>
            </w:pPr>
            <w:r>
              <w:rPr>
                <w:sz w:val="22"/>
              </w:rPr>
              <w:t>Nombre de départs</w:t>
            </w:r>
          </w:p>
        </w:tc>
        <w:tc>
          <w:tcPr>
            <w:tcW w:w="2374" w:type="dxa"/>
            <w:vAlign w:val="center"/>
          </w:tcPr>
          <w:p w:rsidR="00000000" w:rsidRDefault="00000000">
            <w:pPr>
              <w:spacing w:before="60" w:after="60"/>
              <w:jc w:val="center"/>
              <w:rPr>
                <w:sz w:val="22"/>
              </w:rPr>
            </w:pPr>
            <w:r>
              <w:rPr>
                <w:sz w:val="22"/>
              </w:rPr>
              <w:t>Balance migratoire</w:t>
            </w:r>
            <w:r>
              <w:rPr>
                <w:sz w:val="22"/>
              </w:rPr>
              <w:br/>
              <w:t>(+ ou -)</w:t>
            </w:r>
          </w:p>
        </w:tc>
      </w:tr>
      <w:tr w:rsidR="00000000">
        <w:tblPrEx>
          <w:tblCellMar>
            <w:top w:w="0" w:type="dxa"/>
            <w:bottom w:w="0" w:type="dxa"/>
          </w:tblCellMar>
        </w:tblPrEx>
        <w:tc>
          <w:tcPr>
            <w:tcW w:w="2374" w:type="dxa"/>
          </w:tcPr>
          <w:p w:rsidR="00000000" w:rsidRDefault="00000000">
            <w:pPr>
              <w:spacing w:before="60" w:after="60"/>
              <w:jc w:val="center"/>
              <w:rPr>
                <w:sz w:val="22"/>
              </w:rPr>
            </w:pPr>
            <w:r>
              <w:rPr>
                <w:sz w:val="22"/>
              </w:rPr>
              <w:t>Total</w:t>
            </w:r>
          </w:p>
        </w:tc>
        <w:tc>
          <w:tcPr>
            <w:tcW w:w="2374" w:type="dxa"/>
          </w:tcPr>
          <w:p w:rsidR="00000000" w:rsidRDefault="00000000">
            <w:pPr>
              <w:spacing w:before="60" w:after="60"/>
              <w:jc w:val="right"/>
              <w:rPr>
                <w:sz w:val="22"/>
              </w:rPr>
            </w:pPr>
          </w:p>
        </w:tc>
        <w:tc>
          <w:tcPr>
            <w:tcW w:w="2374" w:type="dxa"/>
          </w:tcPr>
          <w:p w:rsidR="00000000" w:rsidRDefault="00000000">
            <w:pPr>
              <w:spacing w:before="60" w:after="60"/>
              <w:jc w:val="right"/>
              <w:rPr>
                <w:sz w:val="22"/>
              </w:rPr>
            </w:pPr>
          </w:p>
        </w:tc>
        <w:tc>
          <w:tcPr>
            <w:tcW w:w="2374" w:type="dxa"/>
          </w:tcPr>
          <w:p w:rsidR="00000000" w:rsidRDefault="00000000">
            <w:pPr>
              <w:spacing w:before="60" w:after="60"/>
              <w:jc w:val="right"/>
              <w:rPr>
                <w:sz w:val="22"/>
              </w:rPr>
            </w:pPr>
          </w:p>
        </w:tc>
      </w:tr>
      <w:tr w:rsidR="00000000">
        <w:tblPrEx>
          <w:tblCellMar>
            <w:top w:w="0" w:type="dxa"/>
            <w:bottom w:w="0" w:type="dxa"/>
          </w:tblCellMar>
        </w:tblPrEx>
        <w:tc>
          <w:tcPr>
            <w:tcW w:w="2374" w:type="dxa"/>
            <w:tcBorders>
              <w:bottom w:val="nil"/>
            </w:tcBorders>
          </w:tcPr>
          <w:p w:rsidR="00000000" w:rsidRDefault="00000000">
            <w:pPr>
              <w:spacing w:before="60" w:after="60"/>
              <w:rPr>
                <w:sz w:val="22"/>
              </w:rPr>
            </w:pPr>
            <w:r>
              <w:rPr>
                <w:sz w:val="22"/>
              </w:rPr>
              <w:t>1999</w:t>
            </w:r>
          </w:p>
        </w:tc>
        <w:tc>
          <w:tcPr>
            <w:tcW w:w="2374" w:type="dxa"/>
            <w:tcBorders>
              <w:bottom w:val="nil"/>
            </w:tcBorders>
          </w:tcPr>
          <w:p w:rsidR="00000000" w:rsidRDefault="00000000">
            <w:pPr>
              <w:spacing w:before="60" w:after="60"/>
              <w:jc w:val="right"/>
              <w:rPr>
                <w:sz w:val="22"/>
              </w:rPr>
            </w:pPr>
            <w:r>
              <w:rPr>
                <w:sz w:val="22"/>
              </w:rPr>
              <w:t>274 954</w:t>
            </w:r>
          </w:p>
        </w:tc>
        <w:tc>
          <w:tcPr>
            <w:tcW w:w="2374" w:type="dxa"/>
            <w:tcBorders>
              <w:bottom w:val="nil"/>
            </w:tcBorders>
          </w:tcPr>
          <w:p w:rsidR="00000000" w:rsidRDefault="00000000">
            <w:pPr>
              <w:spacing w:before="60" w:after="60"/>
              <w:jc w:val="right"/>
              <w:rPr>
                <w:sz w:val="22"/>
              </w:rPr>
            </w:pPr>
            <w:r>
              <w:rPr>
                <w:sz w:val="22"/>
              </w:rPr>
              <w:t>398 581</w:t>
            </w:r>
          </w:p>
        </w:tc>
        <w:tc>
          <w:tcPr>
            <w:tcW w:w="2374" w:type="dxa"/>
            <w:tcBorders>
              <w:bottom w:val="nil"/>
            </w:tcBorders>
          </w:tcPr>
          <w:p w:rsidR="00000000" w:rsidRDefault="00000000">
            <w:pPr>
              <w:spacing w:before="60" w:after="60"/>
              <w:jc w:val="right"/>
              <w:rPr>
                <w:sz w:val="22"/>
              </w:rPr>
            </w:pPr>
            <w:r>
              <w:rPr>
                <w:sz w:val="22"/>
              </w:rPr>
              <w:t>-123 627</w:t>
            </w:r>
          </w:p>
        </w:tc>
      </w:tr>
      <w:tr w:rsidR="00000000">
        <w:tblPrEx>
          <w:tblCellMar>
            <w:top w:w="0" w:type="dxa"/>
            <w:bottom w:w="0" w:type="dxa"/>
          </w:tblCellMar>
        </w:tblPrEx>
        <w:tc>
          <w:tcPr>
            <w:tcW w:w="2374" w:type="dxa"/>
            <w:tcBorders>
              <w:top w:val="nil"/>
              <w:bottom w:val="nil"/>
            </w:tcBorders>
          </w:tcPr>
          <w:p w:rsidR="00000000" w:rsidRDefault="00000000">
            <w:pPr>
              <w:spacing w:before="60" w:after="60"/>
              <w:rPr>
                <w:sz w:val="22"/>
              </w:rPr>
            </w:pPr>
            <w:r>
              <w:rPr>
                <w:sz w:val="22"/>
              </w:rPr>
              <w:t>2000</w:t>
            </w:r>
          </w:p>
        </w:tc>
        <w:tc>
          <w:tcPr>
            <w:tcW w:w="2374" w:type="dxa"/>
            <w:tcBorders>
              <w:top w:val="nil"/>
              <w:bottom w:val="nil"/>
            </w:tcBorders>
          </w:tcPr>
          <w:p w:rsidR="00000000" w:rsidRDefault="00000000">
            <w:pPr>
              <w:spacing w:before="60" w:after="60"/>
              <w:jc w:val="right"/>
              <w:rPr>
                <w:sz w:val="22"/>
              </w:rPr>
            </w:pPr>
            <w:r>
              <w:rPr>
                <w:sz w:val="22"/>
              </w:rPr>
              <w:t>325 923</w:t>
            </w:r>
          </w:p>
        </w:tc>
        <w:tc>
          <w:tcPr>
            <w:tcW w:w="2374" w:type="dxa"/>
            <w:tcBorders>
              <w:top w:val="nil"/>
              <w:bottom w:val="nil"/>
            </w:tcBorders>
          </w:tcPr>
          <w:p w:rsidR="00000000" w:rsidRDefault="00000000">
            <w:pPr>
              <w:spacing w:before="60" w:after="60"/>
              <w:jc w:val="right"/>
              <w:rPr>
                <w:sz w:val="22"/>
              </w:rPr>
            </w:pPr>
            <w:r>
              <w:rPr>
                <w:sz w:val="22"/>
              </w:rPr>
              <w:t>434 230</w:t>
            </w:r>
          </w:p>
        </w:tc>
        <w:tc>
          <w:tcPr>
            <w:tcW w:w="2374" w:type="dxa"/>
            <w:tcBorders>
              <w:top w:val="nil"/>
              <w:bottom w:val="nil"/>
            </w:tcBorders>
          </w:tcPr>
          <w:p w:rsidR="00000000" w:rsidRDefault="00000000">
            <w:pPr>
              <w:spacing w:before="60" w:after="60"/>
              <w:jc w:val="right"/>
              <w:rPr>
                <w:sz w:val="22"/>
              </w:rPr>
            </w:pPr>
            <w:r>
              <w:rPr>
                <w:sz w:val="22"/>
              </w:rPr>
              <w:t>-108 160</w:t>
            </w:r>
          </w:p>
        </w:tc>
      </w:tr>
      <w:tr w:rsidR="00000000">
        <w:tblPrEx>
          <w:tblCellMar>
            <w:top w:w="0" w:type="dxa"/>
            <w:bottom w:w="0" w:type="dxa"/>
          </w:tblCellMar>
        </w:tblPrEx>
        <w:tc>
          <w:tcPr>
            <w:tcW w:w="2374" w:type="dxa"/>
            <w:tcBorders>
              <w:top w:val="nil"/>
            </w:tcBorders>
          </w:tcPr>
          <w:p w:rsidR="00000000" w:rsidRDefault="00000000">
            <w:pPr>
              <w:spacing w:before="60" w:after="60"/>
              <w:rPr>
                <w:sz w:val="22"/>
              </w:rPr>
            </w:pPr>
            <w:r>
              <w:rPr>
                <w:sz w:val="22"/>
              </w:rPr>
              <w:t>2001</w:t>
            </w:r>
          </w:p>
        </w:tc>
        <w:tc>
          <w:tcPr>
            <w:tcW w:w="2374" w:type="dxa"/>
            <w:tcBorders>
              <w:top w:val="nil"/>
            </w:tcBorders>
          </w:tcPr>
          <w:p w:rsidR="00000000" w:rsidRDefault="00000000">
            <w:pPr>
              <w:spacing w:before="60" w:after="60"/>
              <w:jc w:val="right"/>
              <w:rPr>
                <w:sz w:val="22"/>
              </w:rPr>
            </w:pPr>
            <w:r>
              <w:rPr>
                <w:sz w:val="22"/>
              </w:rPr>
              <w:t>326 824</w:t>
            </w:r>
          </w:p>
        </w:tc>
        <w:tc>
          <w:tcPr>
            <w:tcW w:w="2374" w:type="dxa"/>
            <w:tcBorders>
              <w:top w:val="nil"/>
            </w:tcBorders>
          </w:tcPr>
          <w:p w:rsidR="00000000" w:rsidRDefault="00000000">
            <w:pPr>
              <w:spacing w:before="60" w:after="60"/>
              <w:jc w:val="right"/>
              <w:rPr>
                <w:sz w:val="22"/>
              </w:rPr>
            </w:pPr>
            <w:r>
              <w:rPr>
                <w:sz w:val="22"/>
              </w:rPr>
              <w:t>414 984</w:t>
            </w:r>
          </w:p>
        </w:tc>
        <w:tc>
          <w:tcPr>
            <w:tcW w:w="2374" w:type="dxa"/>
            <w:tcBorders>
              <w:top w:val="nil"/>
            </w:tcBorders>
          </w:tcPr>
          <w:p w:rsidR="00000000" w:rsidRDefault="00000000">
            <w:pPr>
              <w:spacing w:before="60" w:after="60"/>
              <w:jc w:val="right"/>
              <w:rPr>
                <w:sz w:val="22"/>
              </w:rPr>
            </w:pPr>
            <w:r>
              <w:rPr>
                <w:sz w:val="22"/>
              </w:rPr>
              <w:t>-88 160</w:t>
            </w:r>
          </w:p>
        </w:tc>
      </w:tr>
      <w:tr w:rsidR="00000000">
        <w:tblPrEx>
          <w:tblCellMar>
            <w:top w:w="0" w:type="dxa"/>
            <w:bottom w:w="0" w:type="dxa"/>
          </w:tblCellMar>
        </w:tblPrEx>
        <w:tc>
          <w:tcPr>
            <w:tcW w:w="2374" w:type="dxa"/>
            <w:tcBorders>
              <w:bottom w:val="nil"/>
            </w:tcBorders>
          </w:tcPr>
          <w:p w:rsidR="00000000" w:rsidRDefault="00000000">
            <w:pPr>
              <w:spacing w:before="60" w:after="60"/>
              <w:rPr>
                <w:sz w:val="22"/>
              </w:rPr>
            </w:pPr>
            <w:r>
              <w:rPr>
                <w:sz w:val="22"/>
              </w:rPr>
              <w:t>Kazakhs</w:t>
            </w:r>
          </w:p>
        </w:tc>
        <w:tc>
          <w:tcPr>
            <w:tcW w:w="2374" w:type="dxa"/>
            <w:tcBorders>
              <w:bottom w:val="nil"/>
            </w:tcBorders>
          </w:tcPr>
          <w:p w:rsidR="00000000" w:rsidRDefault="00000000">
            <w:pPr>
              <w:spacing w:before="60" w:after="60"/>
              <w:jc w:val="right"/>
              <w:rPr>
                <w:sz w:val="22"/>
              </w:rPr>
            </w:pPr>
          </w:p>
        </w:tc>
        <w:tc>
          <w:tcPr>
            <w:tcW w:w="2374" w:type="dxa"/>
            <w:tcBorders>
              <w:bottom w:val="nil"/>
            </w:tcBorders>
          </w:tcPr>
          <w:p w:rsidR="00000000" w:rsidRDefault="00000000">
            <w:pPr>
              <w:spacing w:before="60" w:after="60"/>
              <w:jc w:val="right"/>
              <w:rPr>
                <w:sz w:val="22"/>
              </w:rPr>
            </w:pPr>
          </w:p>
        </w:tc>
        <w:tc>
          <w:tcPr>
            <w:tcW w:w="2374"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2374" w:type="dxa"/>
            <w:tcBorders>
              <w:top w:val="nil"/>
              <w:bottom w:val="nil"/>
            </w:tcBorders>
          </w:tcPr>
          <w:p w:rsidR="00000000" w:rsidRDefault="00000000">
            <w:pPr>
              <w:spacing w:before="60" w:after="60"/>
              <w:rPr>
                <w:sz w:val="22"/>
              </w:rPr>
            </w:pPr>
            <w:r>
              <w:rPr>
                <w:sz w:val="22"/>
              </w:rPr>
              <w:t>1999</w:t>
            </w:r>
          </w:p>
        </w:tc>
        <w:tc>
          <w:tcPr>
            <w:tcW w:w="2374" w:type="dxa"/>
            <w:tcBorders>
              <w:top w:val="nil"/>
              <w:bottom w:val="nil"/>
            </w:tcBorders>
          </w:tcPr>
          <w:p w:rsidR="00000000" w:rsidRDefault="00000000">
            <w:pPr>
              <w:spacing w:before="60" w:after="60"/>
              <w:jc w:val="right"/>
              <w:rPr>
                <w:sz w:val="22"/>
              </w:rPr>
            </w:pPr>
            <w:r>
              <w:rPr>
                <w:sz w:val="22"/>
              </w:rPr>
              <w:t>173 891</w:t>
            </w:r>
          </w:p>
        </w:tc>
        <w:tc>
          <w:tcPr>
            <w:tcW w:w="2374" w:type="dxa"/>
            <w:tcBorders>
              <w:top w:val="nil"/>
              <w:bottom w:val="nil"/>
            </w:tcBorders>
          </w:tcPr>
          <w:p w:rsidR="00000000" w:rsidRDefault="00000000">
            <w:pPr>
              <w:spacing w:before="60" w:after="60"/>
              <w:jc w:val="right"/>
              <w:rPr>
                <w:sz w:val="22"/>
              </w:rPr>
            </w:pPr>
            <w:r>
              <w:rPr>
                <w:sz w:val="22"/>
              </w:rPr>
              <w:t>171 247</w:t>
            </w:r>
          </w:p>
        </w:tc>
        <w:tc>
          <w:tcPr>
            <w:tcW w:w="2374" w:type="dxa"/>
            <w:tcBorders>
              <w:top w:val="nil"/>
              <w:bottom w:val="nil"/>
            </w:tcBorders>
          </w:tcPr>
          <w:p w:rsidR="00000000" w:rsidRDefault="00000000">
            <w:pPr>
              <w:spacing w:before="60" w:after="60"/>
              <w:jc w:val="right"/>
              <w:rPr>
                <w:sz w:val="22"/>
              </w:rPr>
            </w:pPr>
            <w:r>
              <w:rPr>
                <w:sz w:val="22"/>
              </w:rPr>
              <w:t>2 644</w:t>
            </w:r>
          </w:p>
        </w:tc>
      </w:tr>
      <w:tr w:rsidR="00000000">
        <w:tblPrEx>
          <w:tblCellMar>
            <w:top w:w="0" w:type="dxa"/>
            <w:bottom w:w="0" w:type="dxa"/>
          </w:tblCellMar>
        </w:tblPrEx>
        <w:tc>
          <w:tcPr>
            <w:tcW w:w="2374" w:type="dxa"/>
            <w:tcBorders>
              <w:top w:val="nil"/>
              <w:bottom w:val="nil"/>
            </w:tcBorders>
          </w:tcPr>
          <w:p w:rsidR="00000000" w:rsidRDefault="00000000">
            <w:pPr>
              <w:spacing w:before="60" w:after="60"/>
              <w:rPr>
                <w:sz w:val="22"/>
              </w:rPr>
            </w:pPr>
            <w:r>
              <w:rPr>
                <w:sz w:val="22"/>
              </w:rPr>
              <w:t>2000</w:t>
            </w:r>
          </w:p>
        </w:tc>
        <w:tc>
          <w:tcPr>
            <w:tcW w:w="2374" w:type="dxa"/>
            <w:tcBorders>
              <w:top w:val="nil"/>
              <w:bottom w:val="nil"/>
            </w:tcBorders>
          </w:tcPr>
          <w:p w:rsidR="00000000" w:rsidRDefault="00000000">
            <w:pPr>
              <w:spacing w:before="60" w:after="60"/>
              <w:jc w:val="right"/>
              <w:rPr>
                <w:sz w:val="22"/>
              </w:rPr>
            </w:pPr>
            <w:r>
              <w:rPr>
                <w:sz w:val="22"/>
              </w:rPr>
              <w:t>213 120</w:t>
            </w:r>
          </w:p>
        </w:tc>
        <w:tc>
          <w:tcPr>
            <w:tcW w:w="2374" w:type="dxa"/>
            <w:tcBorders>
              <w:top w:val="nil"/>
              <w:bottom w:val="nil"/>
            </w:tcBorders>
          </w:tcPr>
          <w:p w:rsidR="00000000" w:rsidRDefault="00000000">
            <w:pPr>
              <w:spacing w:before="60" w:after="60"/>
              <w:jc w:val="right"/>
              <w:rPr>
                <w:sz w:val="22"/>
              </w:rPr>
            </w:pPr>
            <w:r>
              <w:rPr>
                <w:sz w:val="22"/>
              </w:rPr>
              <w:t>202 440</w:t>
            </w:r>
          </w:p>
        </w:tc>
        <w:tc>
          <w:tcPr>
            <w:tcW w:w="2374" w:type="dxa"/>
            <w:tcBorders>
              <w:top w:val="nil"/>
              <w:bottom w:val="nil"/>
            </w:tcBorders>
          </w:tcPr>
          <w:p w:rsidR="00000000" w:rsidRDefault="00000000">
            <w:pPr>
              <w:spacing w:before="60" w:after="60"/>
              <w:jc w:val="right"/>
              <w:rPr>
                <w:sz w:val="22"/>
              </w:rPr>
            </w:pPr>
            <w:r>
              <w:rPr>
                <w:sz w:val="22"/>
              </w:rPr>
              <w:t>10 680</w:t>
            </w:r>
          </w:p>
        </w:tc>
      </w:tr>
      <w:tr w:rsidR="00000000">
        <w:tblPrEx>
          <w:tblCellMar>
            <w:top w:w="0" w:type="dxa"/>
            <w:bottom w:w="0" w:type="dxa"/>
          </w:tblCellMar>
        </w:tblPrEx>
        <w:tc>
          <w:tcPr>
            <w:tcW w:w="2374" w:type="dxa"/>
            <w:tcBorders>
              <w:top w:val="nil"/>
            </w:tcBorders>
          </w:tcPr>
          <w:p w:rsidR="00000000" w:rsidRDefault="00000000">
            <w:pPr>
              <w:spacing w:before="60" w:after="60"/>
              <w:rPr>
                <w:sz w:val="22"/>
              </w:rPr>
            </w:pPr>
            <w:r>
              <w:rPr>
                <w:sz w:val="22"/>
              </w:rPr>
              <w:t>2001</w:t>
            </w:r>
          </w:p>
        </w:tc>
        <w:tc>
          <w:tcPr>
            <w:tcW w:w="2374" w:type="dxa"/>
            <w:tcBorders>
              <w:top w:val="nil"/>
            </w:tcBorders>
          </w:tcPr>
          <w:p w:rsidR="00000000" w:rsidRDefault="00000000">
            <w:pPr>
              <w:spacing w:before="60" w:after="60"/>
              <w:jc w:val="right"/>
              <w:rPr>
                <w:sz w:val="22"/>
              </w:rPr>
            </w:pPr>
            <w:r>
              <w:rPr>
                <w:sz w:val="22"/>
              </w:rPr>
              <w:t>222 510</w:t>
            </w:r>
          </w:p>
        </w:tc>
        <w:tc>
          <w:tcPr>
            <w:tcW w:w="2374" w:type="dxa"/>
            <w:tcBorders>
              <w:top w:val="nil"/>
            </w:tcBorders>
          </w:tcPr>
          <w:p w:rsidR="00000000" w:rsidRDefault="00000000">
            <w:pPr>
              <w:spacing w:before="60" w:after="60"/>
              <w:jc w:val="right"/>
              <w:rPr>
                <w:sz w:val="22"/>
              </w:rPr>
            </w:pPr>
            <w:r>
              <w:rPr>
                <w:sz w:val="22"/>
              </w:rPr>
              <w:t>204 010</w:t>
            </w:r>
          </w:p>
        </w:tc>
        <w:tc>
          <w:tcPr>
            <w:tcW w:w="2374" w:type="dxa"/>
            <w:tcBorders>
              <w:top w:val="nil"/>
            </w:tcBorders>
          </w:tcPr>
          <w:p w:rsidR="00000000" w:rsidRDefault="00000000">
            <w:pPr>
              <w:spacing w:before="60" w:after="60"/>
              <w:jc w:val="right"/>
              <w:rPr>
                <w:sz w:val="22"/>
              </w:rPr>
            </w:pPr>
            <w:r>
              <w:rPr>
                <w:sz w:val="22"/>
              </w:rPr>
              <w:t>18 500</w:t>
            </w:r>
          </w:p>
        </w:tc>
      </w:tr>
      <w:tr w:rsidR="00000000">
        <w:tblPrEx>
          <w:tblCellMar>
            <w:top w:w="0" w:type="dxa"/>
            <w:bottom w:w="0" w:type="dxa"/>
          </w:tblCellMar>
        </w:tblPrEx>
        <w:tc>
          <w:tcPr>
            <w:tcW w:w="2374" w:type="dxa"/>
            <w:tcBorders>
              <w:bottom w:val="nil"/>
            </w:tcBorders>
          </w:tcPr>
          <w:p w:rsidR="00000000" w:rsidRDefault="00000000">
            <w:pPr>
              <w:spacing w:before="60" w:after="60"/>
              <w:rPr>
                <w:sz w:val="22"/>
              </w:rPr>
            </w:pPr>
            <w:r>
              <w:rPr>
                <w:sz w:val="22"/>
              </w:rPr>
              <w:t>Russes</w:t>
            </w:r>
          </w:p>
        </w:tc>
        <w:tc>
          <w:tcPr>
            <w:tcW w:w="2374" w:type="dxa"/>
            <w:tcBorders>
              <w:bottom w:val="nil"/>
            </w:tcBorders>
          </w:tcPr>
          <w:p w:rsidR="00000000" w:rsidRDefault="00000000">
            <w:pPr>
              <w:spacing w:before="60" w:after="60"/>
              <w:jc w:val="right"/>
              <w:rPr>
                <w:sz w:val="22"/>
              </w:rPr>
            </w:pPr>
          </w:p>
        </w:tc>
        <w:tc>
          <w:tcPr>
            <w:tcW w:w="2374" w:type="dxa"/>
            <w:tcBorders>
              <w:bottom w:val="nil"/>
            </w:tcBorders>
          </w:tcPr>
          <w:p w:rsidR="00000000" w:rsidRDefault="00000000">
            <w:pPr>
              <w:spacing w:before="60" w:after="60"/>
              <w:jc w:val="right"/>
              <w:rPr>
                <w:sz w:val="22"/>
              </w:rPr>
            </w:pPr>
          </w:p>
        </w:tc>
        <w:tc>
          <w:tcPr>
            <w:tcW w:w="2374" w:type="dxa"/>
            <w:tcBorders>
              <w:bottom w:val="nil"/>
            </w:tcBorders>
          </w:tcPr>
          <w:p w:rsidR="00000000" w:rsidRDefault="00000000">
            <w:pPr>
              <w:spacing w:before="60" w:after="60"/>
              <w:jc w:val="right"/>
              <w:rPr>
                <w:sz w:val="22"/>
              </w:rPr>
            </w:pPr>
          </w:p>
        </w:tc>
      </w:tr>
      <w:tr w:rsidR="00000000">
        <w:tblPrEx>
          <w:tblCellMar>
            <w:top w:w="0" w:type="dxa"/>
            <w:bottom w:w="0" w:type="dxa"/>
          </w:tblCellMar>
        </w:tblPrEx>
        <w:tc>
          <w:tcPr>
            <w:tcW w:w="2374" w:type="dxa"/>
            <w:tcBorders>
              <w:top w:val="nil"/>
              <w:bottom w:val="nil"/>
            </w:tcBorders>
          </w:tcPr>
          <w:p w:rsidR="00000000" w:rsidRDefault="00000000">
            <w:pPr>
              <w:spacing w:before="60" w:after="60"/>
              <w:rPr>
                <w:sz w:val="22"/>
              </w:rPr>
            </w:pPr>
            <w:r>
              <w:rPr>
                <w:sz w:val="22"/>
              </w:rPr>
              <w:t>1999</w:t>
            </w:r>
          </w:p>
        </w:tc>
        <w:tc>
          <w:tcPr>
            <w:tcW w:w="2374" w:type="dxa"/>
            <w:tcBorders>
              <w:top w:val="nil"/>
              <w:bottom w:val="nil"/>
            </w:tcBorders>
          </w:tcPr>
          <w:p w:rsidR="00000000" w:rsidRDefault="00000000">
            <w:pPr>
              <w:spacing w:before="60" w:after="60"/>
              <w:jc w:val="right"/>
              <w:rPr>
                <w:sz w:val="22"/>
              </w:rPr>
            </w:pPr>
            <w:r>
              <w:rPr>
                <w:sz w:val="22"/>
              </w:rPr>
              <w:t>64 962</w:t>
            </w:r>
          </w:p>
        </w:tc>
        <w:tc>
          <w:tcPr>
            <w:tcW w:w="2374" w:type="dxa"/>
            <w:tcBorders>
              <w:top w:val="nil"/>
              <w:bottom w:val="nil"/>
            </w:tcBorders>
          </w:tcPr>
          <w:p w:rsidR="00000000" w:rsidRDefault="00000000">
            <w:pPr>
              <w:spacing w:before="60" w:after="60"/>
              <w:jc w:val="right"/>
              <w:rPr>
                <w:sz w:val="22"/>
              </w:rPr>
            </w:pPr>
            <w:r>
              <w:rPr>
                <w:sz w:val="22"/>
              </w:rPr>
              <w:t>136 379</w:t>
            </w:r>
          </w:p>
        </w:tc>
        <w:tc>
          <w:tcPr>
            <w:tcW w:w="2374" w:type="dxa"/>
            <w:tcBorders>
              <w:top w:val="nil"/>
              <w:bottom w:val="nil"/>
            </w:tcBorders>
          </w:tcPr>
          <w:p w:rsidR="00000000" w:rsidRDefault="00000000">
            <w:pPr>
              <w:spacing w:before="60" w:after="60"/>
              <w:jc w:val="right"/>
              <w:rPr>
                <w:sz w:val="22"/>
              </w:rPr>
            </w:pPr>
            <w:r>
              <w:rPr>
                <w:sz w:val="22"/>
              </w:rPr>
              <w:t>-71 417</w:t>
            </w:r>
          </w:p>
        </w:tc>
      </w:tr>
      <w:tr w:rsidR="00000000">
        <w:tblPrEx>
          <w:tblCellMar>
            <w:top w:w="0" w:type="dxa"/>
            <w:bottom w:w="0" w:type="dxa"/>
          </w:tblCellMar>
        </w:tblPrEx>
        <w:tc>
          <w:tcPr>
            <w:tcW w:w="2374" w:type="dxa"/>
            <w:tcBorders>
              <w:top w:val="nil"/>
              <w:bottom w:val="nil"/>
            </w:tcBorders>
          </w:tcPr>
          <w:p w:rsidR="00000000" w:rsidRDefault="00000000">
            <w:pPr>
              <w:spacing w:before="60" w:after="60"/>
              <w:rPr>
                <w:sz w:val="22"/>
              </w:rPr>
            </w:pPr>
            <w:r>
              <w:rPr>
                <w:sz w:val="22"/>
              </w:rPr>
              <w:t>2000</w:t>
            </w:r>
          </w:p>
        </w:tc>
        <w:tc>
          <w:tcPr>
            <w:tcW w:w="2374" w:type="dxa"/>
            <w:tcBorders>
              <w:top w:val="nil"/>
              <w:bottom w:val="nil"/>
            </w:tcBorders>
          </w:tcPr>
          <w:p w:rsidR="00000000" w:rsidRDefault="00000000">
            <w:pPr>
              <w:spacing w:before="60" w:after="60"/>
              <w:jc w:val="right"/>
              <w:rPr>
                <w:sz w:val="22"/>
              </w:rPr>
            </w:pPr>
            <w:r>
              <w:rPr>
                <w:sz w:val="22"/>
              </w:rPr>
              <w:t>72 913</w:t>
            </w:r>
          </w:p>
        </w:tc>
        <w:tc>
          <w:tcPr>
            <w:tcW w:w="2374" w:type="dxa"/>
            <w:tcBorders>
              <w:top w:val="nil"/>
              <w:bottom w:val="nil"/>
            </w:tcBorders>
          </w:tcPr>
          <w:p w:rsidR="00000000" w:rsidRDefault="00000000">
            <w:pPr>
              <w:spacing w:before="60" w:after="60"/>
              <w:jc w:val="right"/>
              <w:rPr>
                <w:sz w:val="22"/>
              </w:rPr>
            </w:pPr>
            <w:r>
              <w:rPr>
                <w:sz w:val="22"/>
              </w:rPr>
              <w:t>145 697</w:t>
            </w:r>
          </w:p>
        </w:tc>
        <w:tc>
          <w:tcPr>
            <w:tcW w:w="2374" w:type="dxa"/>
            <w:tcBorders>
              <w:top w:val="nil"/>
              <w:bottom w:val="nil"/>
            </w:tcBorders>
          </w:tcPr>
          <w:p w:rsidR="00000000" w:rsidRDefault="00000000">
            <w:pPr>
              <w:spacing w:before="60" w:after="60"/>
              <w:jc w:val="right"/>
              <w:rPr>
                <w:sz w:val="22"/>
              </w:rPr>
            </w:pPr>
            <w:r>
              <w:rPr>
                <w:sz w:val="22"/>
              </w:rPr>
              <w:t>-72 784</w:t>
            </w:r>
          </w:p>
        </w:tc>
      </w:tr>
      <w:tr w:rsidR="00000000">
        <w:tblPrEx>
          <w:tblCellMar>
            <w:top w:w="0" w:type="dxa"/>
            <w:bottom w:w="0" w:type="dxa"/>
          </w:tblCellMar>
        </w:tblPrEx>
        <w:tc>
          <w:tcPr>
            <w:tcW w:w="2374" w:type="dxa"/>
            <w:tcBorders>
              <w:top w:val="nil"/>
            </w:tcBorders>
          </w:tcPr>
          <w:p w:rsidR="00000000" w:rsidRDefault="00000000">
            <w:pPr>
              <w:spacing w:before="60" w:after="60"/>
              <w:rPr>
                <w:sz w:val="22"/>
              </w:rPr>
            </w:pPr>
            <w:r>
              <w:rPr>
                <w:sz w:val="22"/>
              </w:rPr>
              <w:t>2001</w:t>
            </w:r>
          </w:p>
        </w:tc>
        <w:tc>
          <w:tcPr>
            <w:tcW w:w="2374" w:type="dxa"/>
            <w:tcBorders>
              <w:top w:val="nil"/>
            </w:tcBorders>
          </w:tcPr>
          <w:p w:rsidR="00000000" w:rsidRDefault="00000000">
            <w:pPr>
              <w:spacing w:before="60" w:after="60"/>
              <w:jc w:val="right"/>
              <w:rPr>
                <w:sz w:val="22"/>
              </w:rPr>
            </w:pPr>
            <w:r>
              <w:rPr>
                <w:sz w:val="22"/>
              </w:rPr>
              <w:t>65 005</w:t>
            </w:r>
          </w:p>
        </w:tc>
        <w:tc>
          <w:tcPr>
            <w:tcW w:w="2374" w:type="dxa"/>
            <w:tcBorders>
              <w:top w:val="nil"/>
            </w:tcBorders>
          </w:tcPr>
          <w:p w:rsidR="00000000" w:rsidRDefault="00000000">
            <w:pPr>
              <w:spacing w:before="60" w:after="60"/>
              <w:jc w:val="right"/>
              <w:rPr>
                <w:sz w:val="22"/>
              </w:rPr>
            </w:pPr>
            <w:r>
              <w:rPr>
                <w:sz w:val="22"/>
              </w:rPr>
              <w:t>130 484</w:t>
            </w:r>
          </w:p>
        </w:tc>
        <w:tc>
          <w:tcPr>
            <w:tcW w:w="2374" w:type="dxa"/>
            <w:tcBorders>
              <w:top w:val="nil"/>
            </w:tcBorders>
          </w:tcPr>
          <w:p w:rsidR="00000000" w:rsidRDefault="00000000">
            <w:pPr>
              <w:spacing w:before="60" w:after="60"/>
              <w:jc w:val="right"/>
              <w:rPr>
                <w:sz w:val="22"/>
              </w:rPr>
            </w:pPr>
            <w:r>
              <w:rPr>
                <w:sz w:val="22"/>
              </w:rPr>
              <w:t>-65 479</w:t>
            </w:r>
          </w:p>
        </w:tc>
      </w:tr>
      <w:tr w:rsidR="00000000">
        <w:tblPrEx>
          <w:tblCellMar>
            <w:top w:w="0" w:type="dxa"/>
            <w:bottom w:w="0" w:type="dxa"/>
          </w:tblCellMar>
        </w:tblPrEx>
        <w:tc>
          <w:tcPr>
            <w:tcW w:w="2374" w:type="dxa"/>
            <w:tcBorders>
              <w:bottom w:val="nil"/>
            </w:tcBorders>
          </w:tcPr>
          <w:p w:rsidR="00000000" w:rsidRDefault="00000000">
            <w:pPr>
              <w:keepNext/>
              <w:spacing w:before="60" w:after="60"/>
              <w:rPr>
                <w:sz w:val="22"/>
              </w:rPr>
            </w:pPr>
            <w:r>
              <w:rPr>
                <w:sz w:val="22"/>
              </w:rPr>
              <w:t>Allemands</w:t>
            </w:r>
          </w:p>
        </w:tc>
        <w:tc>
          <w:tcPr>
            <w:tcW w:w="2374" w:type="dxa"/>
            <w:tcBorders>
              <w:bottom w:val="nil"/>
            </w:tcBorders>
          </w:tcPr>
          <w:p w:rsidR="00000000" w:rsidRDefault="00000000">
            <w:pPr>
              <w:keepNext/>
              <w:spacing w:before="60" w:after="60"/>
              <w:jc w:val="right"/>
              <w:rPr>
                <w:sz w:val="22"/>
              </w:rPr>
            </w:pPr>
          </w:p>
        </w:tc>
        <w:tc>
          <w:tcPr>
            <w:tcW w:w="2374" w:type="dxa"/>
            <w:tcBorders>
              <w:bottom w:val="nil"/>
            </w:tcBorders>
          </w:tcPr>
          <w:p w:rsidR="00000000" w:rsidRDefault="00000000">
            <w:pPr>
              <w:keepNext/>
              <w:spacing w:before="60" w:after="60"/>
              <w:jc w:val="right"/>
              <w:rPr>
                <w:sz w:val="22"/>
              </w:rPr>
            </w:pPr>
          </w:p>
        </w:tc>
        <w:tc>
          <w:tcPr>
            <w:tcW w:w="2374" w:type="dxa"/>
            <w:tcBorders>
              <w:bottom w:val="nil"/>
            </w:tcBorders>
          </w:tcPr>
          <w:p w:rsidR="00000000" w:rsidRDefault="00000000">
            <w:pPr>
              <w:keepNext/>
              <w:spacing w:before="60" w:after="60"/>
              <w:jc w:val="right"/>
              <w:rPr>
                <w:sz w:val="22"/>
              </w:rPr>
            </w:pPr>
          </w:p>
        </w:tc>
      </w:tr>
      <w:tr w:rsidR="00000000">
        <w:tblPrEx>
          <w:tblCellMar>
            <w:top w:w="0" w:type="dxa"/>
            <w:bottom w:w="0" w:type="dxa"/>
          </w:tblCellMar>
        </w:tblPrEx>
        <w:tc>
          <w:tcPr>
            <w:tcW w:w="2374" w:type="dxa"/>
            <w:tcBorders>
              <w:top w:val="nil"/>
              <w:bottom w:val="nil"/>
            </w:tcBorders>
          </w:tcPr>
          <w:p w:rsidR="00000000" w:rsidRDefault="00000000">
            <w:pPr>
              <w:spacing w:before="60" w:after="60"/>
              <w:rPr>
                <w:sz w:val="22"/>
              </w:rPr>
            </w:pPr>
            <w:r>
              <w:rPr>
                <w:sz w:val="22"/>
              </w:rPr>
              <w:t>1999</w:t>
            </w:r>
          </w:p>
        </w:tc>
        <w:tc>
          <w:tcPr>
            <w:tcW w:w="2374" w:type="dxa"/>
            <w:tcBorders>
              <w:top w:val="nil"/>
              <w:bottom w:val="nil"/>
            </w:tcBorders>
          </w:tcPr>
          <w:p w:rsidR="00000000" w:rsidRDefault="00000000">
            <w:pPr>
              <w:spacing w:before="60" w:after="60"/>
              <w:jc w:val="right"/>
              <w:rPr>
                <w:sz w:val="22"/>
              </w:rPr>
            </w:pPr>
            <w:r>
              <w:rPr>
                <w:sz w:val="22"/>
              </w:rPr>
              <w:t>5 608</w:t>
            </w:r>
          </w:p>
        </w:tc>
        <w:tc>
          <w:tcPr>
            <w:tcW w:w="2374" w:type="dxa"/>
            <w:tcBorders>
              <w:top w:val="nil"/>
              <w:bottom w:val="nil"/>
            </w:tcBorders>
          </w:tcPr>
          <w:p w:rsidR="00000000" w:rsidRDefault="00000000">
            <w:pPr>
              <w:spacing w:before="60" w:after="60"/>
              <w:jc w:val="right"/>
              <w:rPr>
                <w:sz w:val="22"/>
              </w:rPr>
            </w:pPr>
            <w:r>
              <w:rPr>
                <w:sz w:val="22"/>
              </w:rPr>
              <w:t>37 119</w:t>
            </w:r>
          </w:p>
        </w:tc>
        <w:tc>
          <w:tcPr>
            <w:tcW w:w="2374" w:type="dxa"/>
            <w:tcBorders>
              <w:top w:val="nil"/>
              <w:bottom w:val="nil"/>
            </w:tcBorders>
          </w:tcPr>
          <w:p w:rsidR="00000000" w:rsidRDefault="00000000">
            <w:pPr>
              <w:spacing w:before="60" w:after="60"/>
              <w:jc w:val="right"/>
              <w:rPr>
                <w:sz w:val="22"/>
              </w:rPr>
            </w:pPr>
            <w:r>
              <w:rPr>
                <w:sz w:val="22"/>
              </w:rPr>
              <w:t>-31 511</w:t>
            </w:r>
          </w:p>
        </w:tc>
      </w:tr>
      <w:tr w:rsidR="00000000">
        <w:tblPrEx>
          <w:tblCellMar>
            <w:top w:w="0" w:type="dxa"/>
            <w:bottom w:w="0" w:type="dxa"/>
          </w:tblCellMar>
        </w:tblPrEx>
        <w:tc>
          <w:tcPr>
            <w:tcW w:w="2374" w:type="dxa"/>
            <w:tcBorders>
              <w:top w:val="nil"/>
              <w:bottom w:val="nil"/>
            </w:tcBorders>
          </w:tcPr>
          <w:p w:rsidR="00000000" w:rsidRDefault="00000000">
            <w:pPr>
              <w:spacing w:before="60" w:after="60"/>
              <w:rPr>
                <w:sz w:val="22"/>
              </w:rPr>
            </w:pPr>
            <w:r>
              <w:rPr>
                <w:sz w:val="22"/>
              </w:rPr>
              <w:t>2000</w:t>
            </w:r>
          </w:p>
        </w:tc>
        <w:tc>
          <w:tcPr>
            <w:tcW w:w="2374" w:type="dxa"/>
            <w:tcBorders>
              <w:top w:val="nil"/>
              <w:bottom w:val="nil"/>
            </w:tcBorders>
          </w:tcPr>
          <w:p w:rsidR="00000000" w:rsidRDefault="00000000">
            <w:pPr>
              <w:spacing w:before="60" w:after="60"/>
              <w:jc w:val="right"/>
              <w:rPr>
                <w:sz w:val="22"/>
              </w:rPr>
            </w:pPr>
            <w:r>
              <w:rPr>
                <w:sz w:val="22"/>
              </w:rPr>
              <w:t>5 405</w:t>
            </w:r>
          </w:p>
        </w:tc>
        <w:tc>
          <w:tcPr>
            <w:tcW w:w="2374" w:type="dxa"/>
            <w:tcBorders>
              <w:top w:val="nil"/>
              <w:bottom w:val="nil"/>
            </w:tcBorders>
          </w:tcPr>
          <w:p w:rsidR="00000000" w:rsidRDefault="00000000">
            <w:pPr>
              <w:spacing w:before="60" w:after="60"/>
              <w:jc w:val="right"/>
              <w:rPr>
                <w:sz w:val="22"/>
              </w:rPr>
            </w:pPr>
            <w:r>
              <w:rPr>
                <w:sz w:val="22"/>
              </w:rPr>
              <w:t>32 998</w:t>
            </w:r>
          </w:p>
        </w:tc>
        <w:tc>
          <w:tcPr>
            <w:tcW w:w="2374" w:type="dxa"/>
            <w:tcBorders>
              <w:top w:val="nil"/>
              <w:bottom w:val="nil"/>
            </w:tcBorders>
          </w:tcPr>
          <w:p w:rsidR="00000000" w:rsidRDefault="00000000">
            <w:pPr>
              <w:spacing w:before="60" w:after="60"/>
              <w:jc w:val="right"/>
              <w:rPr>
                <w:sz w:val="22"/>
              </w:rPr>
            </w:pPr>
            <w:r>
              <w:rPr>
                <w:sz w:val="22"/>
              </w:rPr>
              <w:t>-27 593</w:t>
            </w:r>
          </w:p>
        </w:tc>
      </w:tr>
      <w:tr w:rsidR="00000000">
        <w:tblPrEx>
          <w:tblCellMar>
            <w:top w:w="0" w:type="dxa"/>
            <w:bottom w:w="0" w:type="dxa"/>
          </w:tblCellMar>
        </w:tblPrEx>
        <w:tc>
          <w:tcPr>
            <w:tcW w:w="2374" w:type="dxa"/>
            <w:tcBorders>
              <w:top w:val="nil"/>
            </w:tcBorders>
          </w:tcPr>
          <w:p w:rsidR="00000000" w:rsidRDefault="00000000">
            <w:pPr>
              <w:spacing w:before="60" w:after="60"/>
              <w:rPr>
                <w:sz w:val="22"/>
              </w:rPr>
            </w:pPr>
            <w:r>
              <w:rPr>
                <w:sz w:val="22"/>
              </w:rPr>
              <w:t>2001</w:t>
            </w:r>
          </w:p>
        </w:tc>
        <w:tc>
          <w:tcPr>
            <w:tcW w:w="2374" w:type="dxa"/>
            <w:tcBorders>
              <w:top w:val="nil"/>
            </w:tcBorders>
          </w:tcPr>
          <w:p w:rsidR="00000000" w:rsidRDefault="00000000">
            <w:pPr>
              <w:spacing w:before="60" w:after="60"/>
              <w:jc w:val="right"/>
              <w:rPr>
                <w:sz w:val="22"/>
              </w:rPr>
            </w:pPr>
            <w:r>
              <w:rPr>
                <w:sz w:val="22"/>
              </w:rPr>
              <w:t>5 161</w:t>
            </w:r>
          </w:p>
        </w:tc>
        <w:tc>
          <w:tcPr>
            <w:tcW w:w="2374" w:type="dxa"/>
            <w:tcBorders>
              <w:top w:val="nil"/>
            </w:tcBorders>
          </w:tcPr>
          <w:p w:rsidR="00000000" w:rsidRDefault="00000000">
            <w:pPr>
              <w:spacing w:before="60" w:after="60"/>
              <w:jc w:val="right"/>
              <w:rPr>
                <w:sz w:val="22"/>
              </w:rPr>
            </w:pPr>
            <w:r>
              <w:rPr>
                <w:sz w:val="22"/>
              </w:rPr>
              <w:t>33 424</w:t>
            </w:r>
          </w:p>
        </w:tc>
        <w:tc>
          <w:tcPr>
            <w:tcW w:w="2374" w:type="dxa"/>
            <w:tcBorders>
              <w:top w:val="nil"/>
            </w:tcBorders>
          </w:tcPr>
          <w:p w:rsidR="00000000" w:rsidRDefault="00000000">
            <w:pPr>
              <w:spacing w:before="60" w:after="60"/>
              <w:jc w:val="right"/>
              <w:rPr>
                <w:sz w:val="22"/>
              </w:rPr>
            </w:pPr>
            <w:r>
              <w:rPr>
                <w:sz w:val="22"/>
              </w:rPr>
              <w:t>-28 263</w:t>
            </w:r>
          </w:p>
        </w:tc>
      </w:tr>
    </w:tbl>
    <w:p w:rsidR="00000000" w:rsidRDefault="00000000"/>
    <w:p w:rsidR="00000000" w:rsidRDefault="00000000">
      <w:pPr>
        <w:spacing w:before="240" w:after="240"/>
      </w:pPr>
      <w:r>
        <w:t>15.</w:t>
      </w:r>
      <w:r>
        <w:tab/>
        <w:t>Le statut juridique des réfugiés est régi par la loi sur les migrations de la population et d’autres textes législatifs applicables dans la République. En décembre 1998, le Kazakhstan a adhéré à la Convention de 1951 relative au statut des réfugiés et au Protocole de 1967 y relatif.</w:t>
      </w:r>
    </w:p>
    <w:p w:rsidR="00000000" w:rsidRDefault="00000000">
      <w:pPr>
        <w:spacing w:after="240"/>
        <w:jc w:val="center"/>
        <w:rPr>
          <w:b/>
          <w:bCs/>
        </w:rPr>
      </w:pPr>
      <w:r>
        <w:rPr>
          <w:b/>
          <w:bCs/>
        </w:rPr>
        <w:t>Systèmes politique et juridique</w:t>
      </w:r>
    </w:p>
    <w:p w:rsidR="00000000" w:rsidRDefault="00000000">
      <w:pPr>
        <w:spacing w:after="240"/>
        <w:jc w:val="center"/>
        <w:rPr>
          <w:b/>
          <w:bCs/>
        </w:rPr>
      </w:pPr>
      <w:r>
        <w:rPr>
          <w:b/>
          <w:bCs/>
        </w:rPr>
        <w:t>La Constitution</w:t>
      </w:r>
    </w:p>
    <w:p w:rsidR="00000000" w:rsidRDefault="00000000">
      <w:pPr>
        <w:spacing w:after="240"/>
      </w:pPr>
      <w:r>
        <w:t>16.</w:t>
      </w:r>
      <w:r>
        <w:tab/>
        <w:t xml:space="preserve">La Constitution actuelle est la deuxième en douze années d’indépendance. La Constitution précédente a été en vigueur du 28 janvier 1993 au 30 août 1995. La Constitution soviétique de la République socialiste soviétique kazakhe a été en vigueur au Kazakhstan jusqu’en 1993. </w:t>
      </w:r>
    </w:p>
    <w:p w:rsidR="00000000" w:rsidRDefault="00000000">
      <w:pPr>
        <w:spacing w:after="240"/>
      </w:pPr>
      <w:r>
        <w:tab/>
        <w:t xml:space="preserve">La Constitution actuelle a été adoptée par référendum le 30 août 1995 à la suite d’un débat national. Elle a été amendée le 7 octobre 1998, notamment afin de prolonger le mandat des parlementaires et du Président. </w:t>
      </w:r>
    </w:p>
    <w:p w:rsidR="00000000" w:rsidRDefault="00000000">
      <w:pPr>
        <w:spacing w:after="240"/>
      </w:pPr>
      <w:r>
        <w:tab/>
        <w:t xml:space="preserve">La Constitution garantit les droits de l’homme et les libertés fondamentales. </w:t>
      </w:r>
    </w:p>
    <w:p w:rsidR="00000000" w:rsidRDefault="00000000">
      <w:pPr>
        <w:spacing w:after="240"/>
      </w:pPr>
      <w:r>
        <w:tab/>
        <w:t>La Constitution peut être modifiée par le Parlement sur proposition du Président ou par référendum national.</w:t>
      </w:r>
    </w:p>
    <w:p w:rsidR="00000000" w:rsidRDefault="00000000">
      <w:pPr>
        <w:spacing w:after="240"/>
        <w:jc w:val="center"/>
        <w:rPr>
          <w:b/>
          <w:bCs/>
        </w:rPr>
      </w:pPr>
      <w:r>
        <w:rPr>
          <w:b/>
          <w:bCs/>
        </w:rPr>
        <w:t>Le Président</w:t>
      </w:r>
    </w:p>
    <w:p w:rsidR="00000000" w:rsidRDefault="00000000">
      <w:pPr>
        <w:spacing w:after="240"/>
      </w:pPr>
      <w:r>
        <w:t>17.</w:t>
      </w:r>
      <w:r>
        <w:tab/>
        <w:t xml:space="preserve">Le Gouvernement du Kazakhstan est de type présidentiel. </w:t>
      </w:r>
    </w:p>
    <w:p w:rsidR="00000000" w:rsidRDefault="00000000">
      <w:pPr>
        <w:spacing w:after="240"/>
      </w:pPr>
      <w:r>
        <w:tab/>
        <w:t xml:space="preserve">Le Président définit les orientations fondamentales de la politique intérieure et extérieure de l’État, fixe la date des élections législatives et référendums, signe les lois, les traités internationaux et les instruments de ratification. </w:t>
      </w:r>
    </w:p>
    <w:p w:rsidR="00000000" w:rsidRDefault="00000000">
      <w:pPr>
        <w:spacing w:after="240"/>
      </w:pPr>
      <w:r>
        <w:tab/>
        <w:t xml:space="preserve">Avec l’assentiment du Parlement, le Président nomme et démet le Premier Ministre, les membres du gouvernement et le Président de la Banque nationale et, avec l’assentiment du Sénat, le Procureur général, le Président du Conseil national de sécurité, les juges (sauf ceux de la Cour suprême), le Président et les membres du Conseil constitutionnel, les akims (gouverneurs) des régions et des grandes villes (notamment la capitale). Les akims des autres subdivisions administratives et territoriales sont nommés ou élus dans l’ordre établi par le Président. Le Président peut, à sa discrétion, démettre tout akim de ses fonctions. </w:t>
      </w:r>
    </w:p>
    <w:p w:rsidR="00000000" w:rsidRDefault="00000000">
      <w:pPr>
        <w:spacing w:after="240"/>
      </w:pPr>
      <w:r>
        <w:tab/>
        <w:t xml:space="preserve">Le Président est le chef suprême des armées de la République et il préside les réunions du gouvernement qui sont consacrées à des questions d’importance particulière. </w:t>
      </w:r>
    </w:p>
    <w:p w:rsidR="00000000" w:rsidRDefault="00000000">
      <w:pPr>
        <w:spacing w:after="240"/>
      </w:pPr>
      <w:r>
        <w:tab/>
        <w:t>Le Président résout les questions de citoyenneté et accorde l’asile politique et la grâce présidentielle; il décerne les distinctions officielles, confère les titres honorifiques et les brevets militaires de rang élevé, délivre les lettres de créance et les titres de qualité, et exerce tout autre pouvoir que lui confère la Constitution de la République du Kazakhstan.</w:t>
      </w:r>
    </w:p>
    <w:p w:rsidR="00000000" w:rsidRDefault="00000000">
      <w:pPr>
        <w:spacing w:after="240"/>
        <w:ind w:firstLine="567"/>
      </w:pPr>
      <w:r>
        <w:t>Le Président peut opposer son veto aux lois adoptées par le Parlement et abroger ou suspendre l’application des mesures réglementaires adoptées par le gouvernement ou par les organes du pouvoir exécutif. Il peut émettre des décrets et règlements exécutoires dans le territoire du Kazakhstan et, dans les cas prévus par la Constitution du 30 août 1995, il peut émettre des décrets-lois et des ordonnances ayant force de loi.</w:t>
      </w:r>
    </w:p>
    <w:p w:rsidR="00000000" w:rsidRDefault="00000000">
      <w:pPr>
        <w:spacing w:after="240"/>
        <w:ind w:firstLine="567"/>
      </w:pPr>
      <w:r>
        <w:t>Les autres pouvoirs du Président sont déterminés par la loi constitutionnelle de la République du Kazakhstan relative à la présidence de la République du Kazakhstan, du 26 décembre 1995.</w:t>
      </w:r>
    </w:p>
    <w:p w:rsidR="00000000" w:rsidRDefault="00000000">
      <w:pPr>
        <w:spacing w:after="240"/>
        <w:ind w:firstLine="567"/>
      </w:pPr>
      <w:r>
        <w:t>Le Président est élu au suffrage universel direct pour un mandat de sept ans; il n’est pas éligible à plus de deux mandats consécutifs. Le Président peut être destitué par le Parlement s’il est reconnu coupable de haute trahison. La destitution doit être prononcée à la majorité des trois quarts des élus de chacune des deux chambres, sous réserve que la Cour suprême constate la validité des charges et que le Conseil constitutionnel atteste du respect des procédures stipulées par la Constitution.</w:t>
      </w:r>
    </w:p>
    <w:p w:rsidR="00000000" w:rsidRDefault="00000000">
      <w:pPr>
        <w:spacing w:after="240"/>
        <w:ind w:firstLine="567"/>
      </w:pPr>
      <w:r>
        <w:t>Le Président peut être relevé de ses fonctions avant l’expiration de son mandat s’il est empêché pour des raisons de santé.</w:t>
      </w:r>
    </w:p>
    <w:p w:rsidR="00000000" w:rsidRDefault="00000000">
      <w:pPr>
        <w:keepNext/>
        <w:spacing w:after="240"/>
        <w:jc w:val="center"/>
      </w:pPr>
      <w:r>
        <w:rPr>
          <w:b/>
          <w:bCs/>
        </w:rPr>
        <w:t>Le Parlement</w:t>
      </w:r>
    </w:p>
    <w:p w:rsidR="00000000" w:rsidRDefault="00000000">
      <w:pPr>
        <w:spacing w:after="240"/>
      </w:pPr>
      <w:r>
        <w:t>18.</w:t>
      </w:r>
      <w:r>
        <w:tab/>
        <w:t>Le Parlement comprend deux chambres: le Sénat et le Majilis.</w:t>
      </w:r>
    </w:p>
    <w:p w:rsidR="00000000" w:rsidRDefault="00000000">
      <w:pPr>
        <w:spacing w:after="240"/>
        <w:ind w:firstLine="567"/>
      </w:pPr>
      <w:r>
        <w:t>Le Sénat est composé de deux députés élus pour chaque région et grande ville, y compris la capitale, par les élus locaux auprès de tous les organes représentatifs des régions et des grandes villes, y compris la capitale, siégeant en congrès. Le Président désigne sept députés au Sénat.</w:t>
      </w:r>
    </w:p>
    <w:p w:rsidR="00000000" w:rsidRDefault="00000000">
      <w:pPr>
        <w:spacing w:after="240"/>
        <w:ind w:firstLine="567"/>
      </w:pPr>
      <w:r>
        <w:t>Le Majilis compte 77 députés, dont 67 sont élus par les circonscriptions territoriales et 10 pour l’ensemble du pays sur les listes des partis. Les partis politiques qui reçoivent au moins 7 % des suffrages exprimés ont droit à des sièges au scrutin de liste. La duré du mandat est de six ans au Sénat et de cinq ans au Majilis.</w:t>
      </w:r>
    </w:p>
    <w:p w:rsidR="00000000" w:rsidRDefault="00000000">
      <w:pPr>
        <w:spacing w:after="240"/>
        <w:ind w:firstLine="567"/>
      </w:pPr>
      <w:r>
        <w:t>Le Parlement adopte et modifie les lois et il ratifie et dénonce les Traités internationaux de la République.</w:t>
      </w:r>
    </w:p>
    <w:p w:rsidR="00000000" w:rsidRDefault="00000000">
      <w:pPr>
        <w:spacing w:after="240"/>
        <w:ind w:firstLine="567"/>
      </w:pPr>
      <w:r>
        <w:t>Les députés au Parlement et le gouvernement possèdent le droit d’initiative législative, qui est exercé exclusivement au Majilis.</w:t>
      </w:r>
    </w:p>
    <w:p w:rsidR="00000000" w:rsidRDefault="00000000">
      <w:pPr>
        <w:spacing w:after="240"/>
        <w:ind w:firstLine="567"/>
      </w:pPr>
      <w:r>
        <w:t>Le Sénat élit et démet (sur proposition du Président) le Président de la Cour suprême, les présidents des collèges de juges et les juges de la Cour suprême de la République, et il donne son assentiment à la nomination par le Président du Procureur général et du Président du Conseil national de sécurité.</w:t>
      </w:r>
    </w:p>
    <w:p w:rsidR="00000000" w:rsidRDefault="00000000">
      <w:pPr>
        <w:spacing w:after="240"/>
        <w:ind w:firstLine="567"/>
      </w:pPr>
      <w:r>
        <w:t>Le Parlement peut, à la demande du Président, conférer à celui-ci l’exercice du pouvoir législatif pendant une période d’au plus un an.</w:t>
      </w:r>
    </w:p>
    <w:p w:rsidR="00000000" w:rsidRDefault="00000000">
      <w:pPr>
        <w:spacing w:after="240"/>
        <w:ind w:firstLine="567"/>
      </w:pPr>
      <w:r>
        <w:t>Le Président peut dissoudre le Parlement dans les cas suivants: adoption d’une motion de censure du gouvernement; refus réitéré de désigner un premier ministre; ou crise politique débouchant sur un désaccord insurmontable entre les deux chambres ou entre le pouvoir législatif et les autres pouvoirs.</w:t>
      </w:r>
    </w:p>
    <w:p w:rsidR="00000000" w:rsidRDefault="00000000">
      <w:pPr>
        <w:spacing w:after="240"/>
        <w:ind w:firstLine="567"/>
      </w:pPr>
      <w:r>
        <w:t>L’organisation et l’activité du Parlement, ainsi que le statut juridique des députés, sont régis par la loi constitutionnelle relative au Parlement de la République du Kazakhstan et au statut de ses députés, du 16 octobre 1995.</w:t>
      </w:r>
    </w:p>
    <w:p w:rsidR="00000000" w:rsidRDefault="00000000">
      <w:pPr>
        <w:keepNext/>
        <w:spacing w:after="240"/>
        <w:jc w:val="center"/>
        <w:rPr>
          <w:b/>
          <w:bCs/>
        </w:rPr>
      </w:pPr>
      <w:r>
        <w:rPr>
          <w:b/>
          <w:bCs/>
        </w:rPr>
        <w:t>Le gouvernement</w:t>
      </w:r>
    </w:p>
    <w:p w:rsidR="00000000" w:rsidRDefault="00000000">
      <w:pPr>
        <w:spacing w:after="240"/>
      </w:pPr>
      <w:r>
        <w:t>19.</w:t>
      </w:r>
      <w:r>
        <w:tab/>
        <w:t>Le gouvernement est formé par le Président de la République du Kazakhstan; il est responsable devant le Président et rend compte au Parlement.</w:t>
      </w:r>
    </w:p>
    <w:p w:rsidR="00000000" w:rsidRDefault="00000000">
      <w:pPr>
        <w:spacing w:after="240"/>
        <w:ind w:firstLine="567"/>
      </w:pPr>
      <w:r>
        <w:t>Le Premier Ministre est nommé par le Président avec le consentement du Parlement.</w:t>
      </w:r>
    </w:p>
    <w:p w:rsidR="00000000" w:rsidRDefault="00000000">
      <w:pPr>
        <w:spacing w:after="240"/>
        <w:ind w:firstLine="567"/>
      </w:pPr>
      <w:r>
        <w:t>Le Parlement approuve ou rejette le programme du gouvernement.</w:t>
      </w:r>
    </w:p>
    <w:p w:rsidR="00000000" w:rsidRDefault="00000000">
      <w:pPr>
        <w:spacing w:after="240"/>
        <w:ind w:firstLine="567"/>
      </w:pPr>
      <w:r>
        <w:t>Le Parlement peut, à l’initiative d’au moins un tiers des députés, entendre les rapports des membres du gouvernement.</w:t>
      </w:r>
    </w:p>
    <w:p w:rsidR="00000000" w:rsidRDefault="00000000">
      <w:pPr>
        <w:spacing w:after="240"/>
        <w:ind w:firstLine="567"/>
      </w:pPr>
      <w:r>
        <w:t>Le Parlement peut, à l’initiative d’au moins un cinquième des députés, adopter une motion de censure du gouvernement à la majorité de deux tiers des voix, auquel cas le gouvernement démissionne. Si le Président refuse la démission du gouvernement, il peut dissoudre le Parlement.</w:t>
      </w:r>
    </w:p>
    <w:p w:rsidR="00000000" w:rsidRDefault="00000000">
      <w:pPr>
        <w:spacing w:after="240"/>
        <w:ind w:firstLine="567"/>
      </w:pPr>
      <w:r>
        <w:t>Le Parlement peut, de sa propre initiative, mettre fin aux pouvoirs du gouvernement et démettre les membres du gouvernement. Le fait de démettre le Premier Ministre de ses fonctions a pour effet de mettre fin aux pouvoirs de l’ensemble du gouvernement.</w:t>
      </w:r>
    </w:p>
    <w:p w:rsidR="00000000" w:rsidRDefault="00000000">
      <w:pPr>
        <w:spacing w:after="240"/>
        <w:ind w:firstLine="567"/>
      </w:pPr>
      <w:r>
        <w:t>Les compétences, l’organisation et l’activité du gouvernement sont régis par la loi constitutionnelle relative au gouvernement de la République du Kazakhstan, du 18 décembre 1995.</w:t>
      </w:r>
    </w:p>
    <w:p w:rsidR="00000000" w:rsidRDefault="00000000">
      <w:pPr>
        <w:keepNext/>
        <w:spacing w:after="240"/>
        <w:jc w:val="center"/>
        <w:rPr>
          <w:b/>
          <w:bCs/>
        </w:rPr>
      </w:pPr>
      <w:r>
        <w:rPr>
          <w:b/>
          <w:bCs/>
        </w:rPr>
        <w:t>Le Conseil constitutionnel</w:t>
      </w:r>
    </w:p>
    <w:p w:rsidR="00000000" w:rsidRDefault="00000000">
      <w:pPr>
        <w:spacing w:after="240"/>
      </w:pPr>
      <w:r>
        <w:t>20.</w:t>
      </w:r>
      <w:r>
        <w:tab/>
        <w:t>Le Conseil constitutionnel a été créé par la Constitution de 1995. Il examine les lois adoptées par le Parlement avant qu’elles ne soient présentées à la signature du Président afin d’assurer leur conformité à la Constitution de la République; il examine les Traités internationaux de la République avant qu’ils ne soient ratifiés afin d’assurer leur conformité à la Constitution; en cas de différend, il résout les questions relatives à la validité de l’élection du Président de la République et des députés au Parlement ainsi que la validité des référendums nationaux; et il accomplit les autres fonctions que lui confère la Constitution.</w:t>
      </w:r>
    </w:p>
    <w:p w:rsidR="00000000" w:rsidRDefault="00000000">
      <w:pPr>
        <w:spacing w:after="240"/>
        <w:ind w:firstLine="567"/>
      </w:pPr>
      <w:r>
        <w:t>Le Conseil constitutionnel peut être saisi uniquement par le Président, le Premier Ministre, le Président du Sénat, le Président du Majilis, ou au moins un cinquième du nombre total de députés au Parlement.</w:t>
      </w:r>
    </w:p>
    <w:p w:rsidR="00000000" w:rsidRDefault="00000000">
      <w:pPr>
        <w:spacing w:after="240"/>
        <w:ind w:firstLine="567"/>
      </w:pPr>
      <w:r>
        <w:t>Lorsque le Conseil constitutionnel constate qu’une loi ou un texte exécutoire porte atteinte aux droits de l’homme et du citoyen garantis par la Constitution, cette loi ou ce texte est déclaré nul et non avenu et cesse de s’appliquer.</w:t>
      </w:r>
    </w:p>
    <w:p w:rsidR="00000000" w:rsidRDefault="00000000">
      <w:pPr>
        <w:spacing w:after="240"/>
        <w:ind w:firstLine="567"/>
      </w:pPr>
      <w:r>
        <w:t>Le Conseil constitutionnel est formé de sept membres ayant un mandat de six ans. Le Président de la République nomme deux membres et le Président du Conseil constitutionnel, tandis que le Président du Sénat et le Président du Majilis nomment chacun deux autres membres.</w:t>
      </w:r>
    </w:p>
    <w:p w:rsidR="00000000" w:rsidRDefault="00000000">
      <w:pPr>
        <w:keepNext/>
        <w:spacing w:after="240"/>
        <w:jc w:val="center"/>
        <w:rPr>
          <w:b/>
          <w:bCs/>
        </w:rPr>
      </w:pPr>
      <w:r>
        <w:rPr>
          <w:b/>
          <w:bCs/>
        </w:rPr>
        <w:t>Les tribunaux et la justice</w:t>
      </w:r>
    </w:p>
    <w:p w:rsidR="00000000" w:rsidRDefault="00000000">
      <w:pPr>
        <w:spacing w:after="240"/>
      </w:pPr>
      <w:r>
        <w:t>21.</w:t>
      </w:r>
      <w:r>
        <w:tab/>
        <w:t>Les tribunaux sont formés de juges dont l’indépendance est protégée par la Constitution et par la loi.</w:t>
      </w:r>
    </w:p>
    <w:p w:rsidR="00000000" w:rsidRDefault="00000000">
      <w:pPr>
        <w:spacing w:after="240"/>
        <w:ind w:firstLine="567"/>
      </w:pPr>
      <w:r>
        <w:t>Les juridictions de la République du Kazakhstan sont la Cour suprême et les tribunaux locaux.</w:t>
      </w:r>
    </w:p>
    <w:p w:rsidR="00000000" w:rsidRDefault="00000000">
      <w:pPr>
        <w:spacing w:after="240"/>
        <w:ind w:firstLine="567"/>
      </w:pPr>
      <w:r>
        <w:t>Tous les juges sont nommés par le Président, à l’exception des membres de la Cour suprême. La Cour suprême est la plus haute instance judiciaire de la République du Kazakhstan.</w:t>
      </w:r>
    </w:p>
    <w:p w:rsidR="00000000" w:rsidRDefault="00000000">
      <w:pPr>
        <w:spacing w:after="240"/>
        <w:ind w:firstLine="567"/>
      </w:pPr>
      <w:r>
        <w:t>Les tribunaux ne peuvent appliquer des lois ou autres textes exécutoires qui porteraient atteinte aux droits de l’homme et du citoyen et aux libertés fondamentales garantis par la Constitution.</w:t>
      </w:r>
    </w:p>
    <w:p w:rsidR="00000000" w:rsidRDefault="00000000">
      <w:pPr>
        <w:spacing w:after="240"/>
        <w:ind w:firstLine="567"/>
      </w:pPr>
      <w:r>
        <w:t>Le Président de la Cour suprême, les présidents des collèges de juges et les juges de la Cour suprême de la République du Kazakhstan sont élus par le Sénat sur proposition du Président de la République.</w:t>
      </w:r>
    </w:p>
    <w:p w:rsidR="00000000" w:rsidRDefault="00000000">
      <w:pPr>
        <w:spacing w:after="240"/>
        <w:ind w:firstLine="567"/>
      </w:pPr>
      <w:r>
        <w:t>Le statut et les procédures relatives à la formation et à l’organisation des travaux des tribunaux et du Conseil de la Cour suprême sont régis par l’ordonnance présidentielle relative aux tribunaux et au statut des juges de la République du Kazakhstan, du 20 décembre 1995, qui a force de loi constitutionnelle.</w:t>
      </w:r>
    </w:p>
    <w:p w:rsidR="00000000" w:rsidRDefault="00000000">
      <w:pPr>
        <w:spacing w:after="240"/>
      </w:pPr>
      <w:r>
        <w:t>22.</w:t>
      </w:r>
      <w:r>
        <w:tab/>
        <w:t>Le Bureau du Procureur exerce un pouvoir général de surveillance afin d’assurer l’application précise et uniforme des lois, ordonnances présidentielles et autres textes exécutoires; il représente les intérêts de l’État devant la justice; et, dans les limites prévues par la loi, il dirige les poursuites pénales.</w:t>
      </w:r>
    </w:p>
    <w:p w:rsidR="00000000" w:rsidRDefault="00000000">
      <w:pPr>
        <w:spacing w:after="240"/>
        <w:ind w:firstLine="567"/>
      </w:pPr>
      <w:r>
        <w:t>Le Bureau du Procureur de la République est un organisme uniforme centralisé au sein duquel les procureurs de rang inférieur sont subordonnés aux procureurs de rang supérieur, ainsi qu’au Procureur général, lequel est nommé par le Président pour un mandat de cinq ans. Le Bureau du procureur rend compte exclusivement au Président.</w:t>
      </w:r>
    </w:p>
    <w:p w:rsidR="00000000" w:rsidRDefault="00000000">
      <w:pPr>
        <w:spacing w:after="240"/>
        <w:ind w:firstLine="567"/>
      </w:pPr>
      <w:r>
        <w:t>Le mandat, l’organisation et les procédures opérationnelles du Bureau du Procureur de la République sont fixés par l’ordonnance présidentielle relative au Bureau du Procureur de la République du Kazakhstan, du 21 décembre 1995, qui a force de loi.</w:t>
      </w:r>
    </w:p>
    <w:p w:rsidR="00000000" w:rsidRDefault="00000000">
      <w:pPr>
        <w:keepNext/>
        <w:spacing w:after="240"/>
        <w:jc w:val="center"/>
        <w:rPr>
          <w:b/>
          <w:bCs/>
        </w:rPr>
      </w:pPr>
      <w:r>
        <w:rPr>
          <w:b/>
          <w:bCs/>
        </w:rPr>
        <w:t>Les administrations locales</w:t>
      </w:r>
    </w:p>
    <w:p w:rsidR="00000000" w:rsidRDefault="00000000">
      <w:pPr>
        <w:spacing w:after="240"/>
      </w:pPr>
      <w:r>
        <w:t>23.</w:t>
      </w:r>
      <w:r>
        <w:tab/>
        <w:t>La gestion locale de l’État est exercée par des organes représentatifs et exécutifs locaux, qui sont responsables de la situation des affaires publiques dans leur territoire relevant de leur compétence.</w:t>
      </w:r>
    </w:p>
    <w:p w:rsidR="00000000" w:rsidRDefault="00000000">
      <w:pPr>
        <w:spacing w:after="240"/>
        <w:ind w:firstLine="567"/>
      </w:pPr>
      <w:r>
        <w:t>Les organes représentatifs locaux (maslikhats) sont élus pour quatre ans par la population au suffrage universel direct.</w:t>
      </w:r>
    </w:p>
    <w:p w:rsidR="00000000" w:rsidRDefault="00000000">
      <w:pPr>
        <w:spacing w:after="240"/>
        <w:ind w:firstLine="567"/>
      </w:pPr>
      <w:r>
        <w:t>Les mandats des maslikhats comprennent: l’approbation des plans, des programmes économiques et sociaux pour l’aménagement du territoire, des budgets locaux et de leurs rapports d’exécution; les décisions concernant les questions relatives à la structure administrative et territoriale locale; l’examen des rapports des dirigeants des organes exécutifs locaux sur les questions ressortissant à la compétence du maslikhat; et l’exercice de tous autres pouvoirs visant à garantir les droits et intérêts légitimes des citoyens.</w:t>
      </w:r>
    </w:p>
    <w:p w:rsidR="00000000" w:rsidRDefault="00000000">
      <w:pPr>
        <w:spacing w:after="240"/>
        <w:ind w:firstLine="567"/>
      </w:pPr>
      <w:r>
        <w:t>Les organes exécutifs locaux, qui sont partie d’un système uniforme d’organes exécutifs de la République du Kazakhstan, assurent l’exécution de la politique générale de l’État dans leur zone respective de compétence.</w:t>
      </w:r>
    </w:p>
    <w:p w:rsidR="00000000" w:rsidRDefault="00000000">
      <w:pPr>
        <w:spacing w:after="240"/>
        <w:ind w:firstLine="567"/>
      </w:pPr>
      <w:r>
        <w:t>Chaque organe exécutif local est dirigé par l’akim de l’unité administrative territoriale concernée, l’akim étant le représentant du Président et du Gouvernement du Kazakhstan. Les akims des régions et des grandes villes, y compris la capitale, sont nommés par le Président de la République sur proposition du Premier ministre. Les akims des autres unités administratives territoriales sont nommés ou élus à leurs fonctions selon les modalités fixées par le Président.</w:t>
      </w:r>
    </w:p>
    <w:p w:rsidR="00000000" w:rsidRDefault="00000000">
      <w:pPr>
        <w:spacing w:after="240"/>
        <w:ind w:firstLine="567"/>
      </w:pPr>
      <w:r>
        <w:t>Le mandat des organes exécutifs locaux consiste notamment à élaborer les programmes de développement économique et social et le budget local, à gérer le patrimoine collectif et à exercer les autres pouvoirs prévus par la Constitution et les lois de la République du Kazakhstan.</w:t>
      </w:r>
    </w:p>
    <w:p w:rsidR="00000000" w:rsidRDefault="00000000">
      <w:pPr>
        <w:spacing w:after="240"/>
        <w:ind w:firstLine="567"/>
      </w:pPr>
      <w:r>
        <w:t>Un maslikhat peut, par un vote à la majorité des deux tiers de ses membres, adopter une motion de défiance à l’égard de son akim et soumettre la question de la révocation de ce dernier, selon le cas, au Président de la République ou à un akim de rang supérieur.</w:t>
      </w:r>
    </w:p>
    <w:p w:rsidR="00000000" w:rsidRDefault="00000000">
      <w:pPr>
        <w:spacing w:after="240"/>
        <w:ind w:firstLine="567"/>
      </w:pPr>
      <w:r>
        <w:t>Les pouvoirs des akims des régions et des grandes villes, y compris la capitale, s’éteignent lors de l’entrée en fonctions d’un président nouvellement élu.</w:t>
      </w:r>
    </w:p>
    <w:p w:rsidR="00000000" w:rsidRDefault="00000000">
      <w:pPr>
        <w:keepNext/>
        <w:spacing w:after="240"/>
        <w:jc w:val="center"/>
        <w:rPr>
          <w:b/>
          <w:bCs/>
        </w:rPr>
      </w:pPr>
      <w:r>
        <w:rPr>
          <w:b/>
          <w:bCs/>
        </w:rPr>
        <w:t>Commission des droits de l’homme près la Présidence</w:t>
      </w:r>
      <w:r>
        <w:rPr>
          <w:b/>
          <w:bCs/>
        </w:rPr>
        <w:br/>
        <w:t>de la République du Kazakhstan</w:t>
      </w:r>
    </w:p>
    <w:p w:rsidR="00000000" w:rsidRDefault="00000000">
      <w:pPr>
        <w:spacing w:after="240"/>
      </w:pPr>
      <w:r>
        <w:t>24.</w:t>
      </w:r>
      <w:r>
        <w:tab/>
        <w:t>Par l’ordonnance n</w:t>
      </w:r>
      <w:r>
        <w:rPr>
          <w:vertAlign w:val="superscript"/>
        </w:rPr>
        <w:t>o</w:t>
      </w:r>
      <w:r>
        <w:t> 1563 en date du 12 février 1994, le Président de la République du Kazakhstan a créé la Commission des droits de l’homme en tant qu’organe consultatif près le cabinet du chef de l’État. Les activités de la Commission sont maintenant régies par l’ordonnance présidentielle n</w:t>
      </w:r>
      <w:r>
        <w:rPr>
          <w:vertAlign w:val="superscript"/>
        </w:rPr>
        <w:t>o</w:t>
      </w:r>
      <w:r>
        <w:t> 1042 en date du 19 mars 2003. La Commission est actuellement formée de 15 membres représentant les diverses couches économiques et sociales et les caractéristiques nationales, politiques, professionnelles et départementales de notre société.</w:t>
      </w:r>
    </w:p>
    <w:p w:rsidR="00000000" w:rsidRDefault="00000000">
      <w:pPr>
        <w:spacing w:after="240"/>
        <w:ind w:firstLine="567"/>
      </w:pPr>
      <w:r>
        <w:t>Le Kazakhstan procède actuellement à de nouvelles réformes démocratiques. Le principe de la création d’un État démocratique humaniste, proclamé en octobre 1990 dans la Déclaration de souveraineté de l’État, exige la réorganisation de la vie économique, politique, sociale et spirituelle de la société ainsi que la mise en place d’une base juridique appropriée.</w:t>
      </w:r>
    </w:p>
    <w:p w:rsidR="00000000" w:rsidRDefault="00000000">
      <w:pPr>
        <w:spacing w:after="240"/>
        <w:ind w:firstLine="567"/>
      </w:pPr>
      <w:r>
        <w:t>L’une des activités menées dans le domaine des droits de l’homme consiste à adopter des textes exécutoires effectivement applicables, qui visent à introduire un régime juridique de principes et normes internationales pour le respect des droits de l’homme.</w:t>
      </w:r>
    </w:p>
    <w:p w:rsidR="00000000" w:rsidRDefault="00000000">
      <w:pPr>
        <w:spacing w:after="240"/>
        <w:ind w:firstLine="567"/>
      </w:pPr>
      <w:r>
        <w:t>La législation qui a été adoptée jusqu’ici, y compris les lois relatives à la liberté de religion et aux associations religieuses (1993), à la réhabilitation des victimes de la répression politique, aux soins psychiatriques et à la garantie du droit des citoyens à l’accès à ces soins (1992), et aux mouvements de population (1997), reprend en grande partie les normes issues des instruments internationaux, étape importante pour la mise en place d’un système national de défense des droits de l’homme.</w:t>
      </w:r>
    </w:p>
    <w:p w:rsidR="00000000" w:rsidRDefault="00000000">
      <w:pPr>
        <w:spacing w:after="240"/>
        <w:ind w:firstLine="567"/>
      </w:pPr>
      <w:r>
        <w:t>Toutefois, des mesures fermes et efficaces sont nécessaires pour aligner la législation nationale sur les conventions internationales et autres instruments juridiques adoptés par le Kazakhstan.</w:t>
      </w:r>
    </w:p>
    <w:p w:rsidR="00000000" w:rsidRDefault="00000000">
      <w:pPr>
        <w:spacing w:after="240"/>
        <w:ind w:firstLine="567"/>
      </w:pPr>
      <w:r>
        <w:t>En raison des difficultés auxquelles se heurte la réforme de l’économie, le niveau de vie de la population et, partant, le respect des droits économiques et sociaux ne progressent pas.</w:t>
      </w:r>
    </w:p>
    <w:p w:rsidR="00000000" w:rsidRDefault="00000000">
      <w:pPr>
        <w:spacing w:after="240"/>
        <w:ind w:firstLine="567"/>
      </w:pPr>
      <w:r>
        <w:t xml:space="preserve">La stabilité sociale et politique, qui prévaut depuis que la République du Kazakhstan est indépendante, a créé des conditions propices à l’instauration générale des droits de l’homme et des libertés fondamentales ainsi qu’à leur respect et leur mise en œuvre dans la société. </w:t>
      </w:r>
    </w:p>
    <w:p w:rsidR="00000000" w:rsidRDefault="00000000">
      <w:pPr>
        <w:keepNext/>
        <w:spacing w:after="240"/>
        <w:jc w:val="center"/>
        <w:rPr>
          <w:b/>
          <w:bCs/>
        </w:rPr>
      </w:pPr>
      <w:r>
        <w:rPr>
          <w:b/>
          <w:bCs/>
        </w:rPr>
        <w:t>L’ordre juridique</w:t>
      </w:r>
    </w:p>
    <w:p w:rsidR="00000000" w:rsidRDefault="00000000">
      <w:pPr>
        <w:keepNext/>
        <w:spacing w:after="240"/>
        <w:jc w:val="center"/>
        <w:rPr>
          <w:b/>
          <w:bCs/>
        </w:rPr>
      </w:pPr>
      <w:r>
        <w:rPr>
          <w:b/>
          <w:bCs/>
        </w:rPr>
        <w:t>Moyens de protection des droits de l’homme</w:t>
      </w:r>
    </w:p>
    <w:p w:rsidR="00000000" w:rsidRDefault="00000000">
      <w:pPr>
        <w:keepNext/>
        <w:spacing w:after="240"/>
      </w:pPr>
      <w:r>
        <w:t>25.</w:t>
      </w:r>
      <w:r>
        <w:tab/>
        <w:t>La loi kazakhe établit les responsabilités suivantes pour violation des droits de l’homme:</w:t>
      </w:r>
    </w:p>
    <w:p w:rsidR="00000000" w:rsidRDefault="00000000">
      <w:pPr>
        <w:spacing w:after="240"/>
      </w:pPr>
      <w:r>
        <w:tab/>
        <w:t>Le chapitre 3 du Code pénal établit la responsabilité pénale pour les atteintes aux droits constitutionnels et autres droits et libertés de l’homme et du citoyen. Les articles pertinents sont: l’article 141 (Violation de l’égalité en droits de citoyens), 142 (Atteinte à l’inviolabilité de la vie privée), 143 (Atteinte illégale au secret de la correspondance ou des communications téléphoniques, postales, télégraphiques ou autres), 144 (Atteinte au secret médical), 145 (Atteinte à l’inviolabilité du domicile), 146 (Entrave à l’exercice des droits électoraux ou au fonctionnement des commissions électorales), 147 (Falsification de documents électoraux et référendaires ou dépouillement incorrect de votes), 148 (Violation du droit du travail), 149 (Entrave à l’exercice du droit à la liberté de conscience et de conviction), 150 (Entrave aux activités d’associations bénévoles), 151 (Entrave à des réunions, rassemblements, manifestations, défilés ou piquets de grève ou à la participation à de telles activités), 152 (Violation du Code de la protection du travail), 153 (Participation ou non</w:t>
      </w:r>
      <w:r>
        <w:noBreakHyphen/>
        <w:t>participation forcées à une grève), 154 (Refus d’informer un citoyen) et 155 (Entrave aux activités professionnelles légales de journalistes).</w:t>
      </w:r>
    </w:p>
    <w:p w:rsidR="00000000" w:rsidRDefault="00000000">
      <w:pPr>
        <w:spacing w:after="240"/>
      </w:pPr>
      <w:r>
        <w:tab/>
        <w:t>Le Code civil du 27 décembre 1994 régit les relations des citoyens concernant les biens corporels et incorporels.</w:t>
      </w:r>
    </w:p>
    <w:p w:rsidR="00000000" w:rsidRDefault="00000000">
      <w:pPr>
        <w:spacing w:after="240"/>
      </w:pPr>
      <w:r>
        <w:tab/>
        <w:t>À titre d’exemple, les articles 144, 145 et 146 du Code civil établissent le droit à la préservation de la confidentialité de la vie privée, le contrôle de l’utilisation de l’image personnelle et l’inviolabilité du domicile.</w:t>
      </w:r>
    </w:p>
    <w:p w:rsidR="00000000" w:rsidRDefault="00000000">
      <w:pPr>
        <w:spacing w:after="240"/>
      </w:pPr>
      <w:r>
        <w:tab/>
        <w:t>Les droits civils sont protégés par les moyens suivants: la reconnaissance des droits, le rétablissement de la situation antérieure à une violation, l’interdiction de toute action portant ou risquant de porter atteinte à un droit, la compétence judiciaire d’ordonner l’exécution d’une obligation en nature, l’imposition d’amendes et de dédommagements, la déclaration de la nullité de transactions, l’indemnisation pour préjudice moral, l’extinction ou la modification de relations juridiques, l’invalidation ou la déclaration de l’inapplicabilité d’actes du gouvernement central ou de représentants locaux d’organes exécutifs pour non</w:t>
      </w:r>
      <w:r>
        <w:noBreakHyphen/>
        <w:t>conformité aux lois, l’imposition d’amendes aux organes ou représentants de l’État pour entrave à l’acquisition ou à l’exercice de droits par des citoyens ou des personnes morales, les autres moyens prévus par la loi.</w:t>
      </w:r>
    </w:p>
    <w:p w:rsidR="00000000" w:rsidRDefault="00000000">
      <w:pPr>
        <w:spacing w:after="240"/>
      </w:pPr>
      <w:r>
        <w:tab/>
        <w:t>Le Code des infractions administratives du 30 janvier 2001 établit la responsabilité administrative pour violation de droits relatifs aux soins de santé, à la surveillance sanitaire épidémiologique, à la protection de l’environnement, à la défense des bonnes mœurs, à la propriété et au maintien de l’ordre et de la sûreté publics. En particulier, l’article 89 traite de la violation par un employeur ou un fonctionnaire du droit ou des codes relatifs à la protection du travail, l’article 221 concerne la violation des règles de sécurité au travail, l’article 241 traite du manquement à l’obligation de nettoyer après une pollution, l’article 323 traite de la violation des règles et normes d’hygiène et de santé et l’article 326 de la consommation de spiritueux et de l’ivresse publique.</w:t>
      </w:r>
    </w:p>
    <w:p w:rsidR="00000000" w:rsidRDefault="00000000">
      <w:pPr>
        <w:spacing w:after="240"/>
        <w:jc w:val="center"/>
        <w:rPr>
          <w:b/>
          <w:bCs/>
        </w:rPr>
      </w:pPr>
      <w:r>
        <w:rPr>
          <w:b/>
          <w:bCs/>
        </w:rPr>
        <w:t>Incorporation dans la Constitution et les lois de droits proclamés dans</w:t>
      </w:r>
      <w:r>
        <w:rPr>
          <w:b/>
          <w:bCs/>
        </w:rPr>
        <w:br/>
        <w:t>les instruments internationaux relatifs aux droits de l’homme</w:t>
      </w:r>
    </w:p>
    <w:p w:rsidR="00000000" w:rsidRDefault="00000000">
      <w:pPr>
        <w:spacing w:after="240"/>
      </w:pPr>
      <w:r>
        <w:t>26.</w:t>
      </w:r>
      <w:r>
        <w:tab/>
        <w:t>La Constitution dispose que nul ne peut être soumis à la discrimination au motif de l’origine, de la situation sociale, professionnelle ou de fortune, du sexe, de la race, de la nationalité, de la langue, de l’attitude religieuse, des croyances, du lieu de résidence ou d’autres circonstances. Le Code pénal et le Code civil interdisent en outre toute forme de discrimination.</w:t>
      </w:r>
    </w:p>
    <w:p w:rsidR="00000000" w:rsidRDefault="00000000">
      <w:pPr>
        <w:spacing w:after="240"/>
      </w:pPr>
      <w:r>
        <w:tab/>
        <w:t>L’ordonnance présidentielle du 19 juin 1995 relative au statut juridique des étrangers a rang de loi. Elle dispose que les citoyens étrangers vivant dans la République du Kazakhstan jouissent de l’égalité devant la loi indépendamment de leur origine, situation sociale ou de fortune, de leur race, nationalité, sexe, éducation, langue, attitude religieuse ou du type ou de la nature de leur profession.</w:t>
      </w:r>
    </w:p>
    <w:p w:rsidR="00000000" w:rsidRDefault="00000000">
      <w:pPr>
        <w:spacing w:after="240"/>
      </w:pPr>
      <w:r>
        <w:tab/>
        <w:t>La loi du 19 mai 1997 sur la protection sanitaire des citoyens de la République du Kazakhstan garantit le droit des étrangers vivant sur le territoire du Kazakhstan aux soins de santé conformément aux accords internationaux auxquels le Kazakhstan est partie. Sauf les dispositions contraires prévues dans les accords internationaux ratifiés par le Kazakhstan, les étrangers et les apatrides résidant de façon permanente ou temporaire au Kazakhstan et les réfugiés ont les mêmes droits et obligations que les citoyens du pays en matière de soins de santé.</w:t>
      </w:r>
    </w:p>
    <w:p w:rsidR="00000000" w:rsidRDefault="00000000">
      <w:pPr>
        <w:spacing w:after="240"/>
      </w:pPr>
      <w:r>
        <w:tab/>
        <w:t>La loi du 10 décembre 1999 sur le travail dans la République du Kazakhstan interdit la discrimination dans le domaine du travail. Chacun dispose de chances égales quant à la réalisation des droits relatifs au travail. Nul ne peut être soumis à des restrictions touchant les droits relatifs au travail ni bénéficier d’avantages concernant l’exercice de ses droits au motif du sexe, de l’âge, de la race, de la nationalité, de la langue, de la situation de fortune ou officielle, du lieu de résidence, de l’attitude religieuse, des croyances, de la citoyenneté, de l’appartenance à des associations bénévoles ou d’autres facteurs dépourvus de tout rapport avec leurs qualités ou compétences professionnelles ou les résultats de leur travail.</w:t>
      </w:r>
    </w:p>
    <w:p w:rsidR="00000000" w:rsidRDefault="00000000">
      <w:pPr>
        <w:spacing w:after="240"/>
      </w:pPr>
      <w:r>
        <w:tab/>
        <w:t>Le Kazakhstan étudie actuellement la possibilité d’adhérer au Pacte international relatif aux droits civils et politiques et au Pacte international relatif aux droits économiques, sociaux et culturels, de 1976, qui établissent l’égalité en droits des citoyens.</w:t>
      </w:r>
    </w:p>
    <w:p w:rsidR="00000000" w:rsidRDefault="00000000">
      <w:pPr>
        <w:keepNext/>
        <w:spacing w:after="240"/>
        <w:jc w:val="center"/>
        <w:rPr>
          <w:b/>
          <w:bCs/>
        </w:rPr>
      </w:pPr>
      <w:r>
        <w:rPr>
          <w:b/>
          <w:bCs/>
        </w:rPr>
        <w:t>Instruments internationaux incorporés dans l’ordre juridique national et application</w:t>
      </w:r>
      <w:r>
        <w:rPr>
          <w:b/>
          <w:bCs/>
        </w:rPr>
        <w:br/>
        <w:t>des dispositions des instruments internationaux relatifs aux droits de l’homme</w:t>
      </w:r>
      <w:r>
        <w:rPr>
          <w:b/>
          <w:bCs/>
        </w:rPr>
        <w:br/>
        <w:t>aux organes de l’État et aux procédures judiciaires des tribunaux</w:t>
      </w:r>
    </w:p>
    <w:p w:rsidR="00000000" w:rsidRDefault="00000000">
      <w:pPr>
        <w:spacing w:after="240"/>
      </w:pPr>
      <w:r>
        <w:t>27.</w:t>
      </w:r>
      <w:r>
        <w:tab/>
        <w:t>L’article 4 de la Constitution dispose que la loi applicable dans la République du Kazakhstan comprend les normes énoncées dans la Constitution, les lois correspondantes, d’autres textes législatifs, les traités internationaux et autres obligations et les décisions du Conseil constitutionnel et de la Cour suprême. La Constitution est le texte de loi suprême et est applicable directement dans l’ensemble du territoire. Les traités internationaux ratifiés par le Kazakhstan l’emportent sur le droit interne et sont directement applicables, sauf lorsque l’application d’un tel traité exige la promulgation d’une loi. Les lois et accords internationaux auxquels la République est partie sont tous publiés. Pour être appliqués, les lois et règlements relatifs aux droits, libertés et obligations des citoyens doivent faire obligatoirement l’objet d’une publication officielle.</w:t>
      </w:r>
    </w:p>
    <w:p w:rsidR="00000000" w:rsidRDefault="00000000">
      <w:pPr>
        <w:spacing w:after="240"/>
      </w:pPr>
      <w:r>
        <w:tab/>
        <w:t>Conformément à l’article premier du Code pénal du 16 juillet 1997, la loi pénale est fondée sur la Constitution, les actes constitutionnels et les principes et règles généralement reconnus de droit international.</w:t>
      </w:r>
    </w:p>
    <w:p w:rsidR="00000000" w:rsidRDefault="00000000">
      <w:pPr>
        <w:spacing w:after="240"/>
      </w:pPr>
      <w:r>
        <w:tab/>
        <w:t>Conformément à l’article premier du Code de procédure pénale du 13 décembre 1997, la procédure pénale applicable sur le territoire de la République du Kazakhstan est définie par la Constitution, les actes constitutionnels et les principes et règles généralement reconnus de droit international. Les obligations du pays découlant de traités internationaux et d’autres sources d’obligations, ainsi que les décisions normatives de la Cour constitutionnelle et de la Cour suprême fixant les procédures judiciaires font partie intégrante du Code de procédure pénale.</w:t>
      </w:r>
    </w:p>
    <w:p w:rsidR="00000000" w:rsidRDefault="00000000">
      <w:pPr>
        <w:spacing w:after="240"/>
      </w:pPr>
      <w:r>
        <w:tab/>
        <w:t>Le paragraphe 8 de l’article 3 du Code civil du 27 décembre 1994 prévoit que lorsque les dispositions d’un traité international auquel le Kazakhstan est partie sont différentes de celles de la loi civile du pays, les dispositions du traité sont applicables. Les traités internationaux auxquels le Kazakhstan est partie sont appliqués directement en matière de droit civil, excepté lorsque l’application du traité exige sa promulgation dans un acte de droit interne.</w:t>
      </w:r>
    </w:p>
    <w:p w:rsidR="00000000" w:rsidRDefault="00000000">
      <w:pPr>
        <w:spacing w:after="240"/>
      </w:pPr>
      <w:r>
        <w:tab/>
        <w:t>Conformément à l’article 2 du Code de procédure civile du 13 juillet 1999, les règles de procédure civile de la République du Kazakhstan sont définies par les actes constitutionnels et le Code de procédure civil, lequel est fondé sur la Constitution et les principes et règles généralement reconnus de droit international.</w:t>
      </w:r>
    </w:p>
    <w:p w:rsidR="00000000" w:rsidRDefault="00000000">
      <w:pPr>
        <w:spacing w:after="240"/>
      </w:pPr>
      <w:r>
        <w:tab/>
        <w:t xml:space="preserve">En outre, l’article 2 du Code des infractions administratives du 30 janvier 2001 dispose que les traités internationaux et autres sources d’obligations de la République du Kazakhstan régissant les procédures administratives font partie intégrante de la loi relative aux infractions administratives. </w:t>
      </w:r>
    </w:p>
    <w:p w:rsidR="00000000" w:rsidRDefault="00000000">
      <w:pPr>
        <w:spacing w:after="240"/>
      </w:pPr>
      <w:r>
        <w:tab/>
        <w:t>Les obligations du Kazakhstan découlant de traités internationaux et d’autres sources d’obligations font partie intégrante du droit interne. Les traités internationaux ratifiés par le Kazakhstan l’emportent sur le droit interne et sont directement applicables, sauf lorsque l’application d’un traité exige la promulgation d’une loi.</w:t>
      </w:r>
    </w:p>
    <w:p w:rsidR="00000000" w:rsidRDefault="00000000">
      <w:pPr>
        <w:spacing w:after="240"/>
      </w:pPr>
      <w:r>
        <w:tab/>
        <w:t>Aux termes de l’article 21 de l’ordonnance présidentielle du 12 décembre 1995 relative à la procédure applicable à la conclusion, la mise en œuvre et la dénonciation de traités internationaux par la République du Kazakhstan, les traités internationaux doivent être respectés et leur mise en œuvre assurée conformément à la Constitution, à l’ordonnance présidentielle susmentionnée, à d’autres lois et règlements de la République du Kazakhstan et aux dispositions du droit international. Le Kazakhstan s’estime impérativement tenu de mettre strictement en œuvre les accords internationaux qu’il ratifie. Le Président de la République est le garant de la mise en œuvre des traités conclus par le pays et des obligations qui en découlent. Il incombe au gouvernement de prendre des mesures propres à assurer la mise en œuvre des traités internationaux en vigueur.</w:t>
      </w:r>
    </w:p>
    <w:p w:rsidR="00000000" w:rsidRDefault="00000000">
      <w:pPr>
        <w:spacing w:after="240"/>
      </w:pPr>
      <w:r>
        <w:tab/>
        <w:t>Aux termes de l’article 22 de l’ordonnance présidentielle susmentionnée, le gouvernement s’acquitte des obligations découlant des traités internationaux par le biais des ministères compétents, de comités de l’État et d’autres autorités centrales, et par le biais des organes de l’État relevant directement du Président de la République.</w:t>
      </w:r>
    </w:p>
    <w:p w:rsidR="00000000" w:rsidRDefault="00000000">
      <w:pPr>
        <w:spacing w:after="240"/>
      </w:pPr>
      <w:r>
        <w:tab/>
        <w:t>L’article 23 de l’ordonnance dispose que la supervision générale de l’exécution des traités internationaux ratifiés par le Kazakhstan incombe au Ministère des affaires étrangères.</w:t>
      </w:r>
    </w:p>
    <w:p w:rsidR="00000000" w:rsidRDefault="00000000">
      <w:pPr>
        <w:spacing w:after="240"/>
      </w:pPr>
      <w:r>
        <w:tab/>
        <w:t>L’article 24 dispose que si d’autres parties à un traité international violent leurs obligations en vertu de cet instrument, le Ministère des affaires étrangères doit soumettre au gouvernement des mesures appropriées à prendre conformément aux règles de droit international et aux termes du traité.</w:t>
      </w:r>
    </w:p>
    <w:p w:rsidR="00000000" w:rsidRDefault="00000000">
      <w:pPr>
        <w:spacing w:after="240"/>
      </w:pPr>
      <w:r>
        <w:tab/>
        <w:t>En outre, en vue de renforcer le contrôle de la mise en œuvre de ces accords, le Président de la République a approuvé par une ordonnance en date du 9 avril 1996 les règles de procédure relatives à la mise en œuvre des traités internationaux de la République du Kazakhstan et des accords conclus au sommet lors de réunions et de négociations intergouvernementales.</w:t>
      </w:r>
    </w:p>
    <w:p w:rsidR="00000000" w:rsidRDefault="00000000">
      <w:pPr>
        <w:keepNext/>
        <w:spacing w:after="240"/>
        <w:jc w:val="center"/>
        <w:rPr>
          <w:b/>
          <w:bCs/>
        </w:rPr>
      </w:pPr>
      <w:r>
        <w:rPr>
          <w:b/>
          <w:bCs/>
        </w:rPr>
        <w:t>L’économie</w:t>
      </w:r>
    </w:p>
    <w:p w:rsidR="00000000" w:rsidRDefault="00000000">
      <w:pPr>
        <w:spacing w:after="240"/>
      </w:pPr>
      <w:r>
        <w:t>28.</w:t>
      </w:r>
      <w:r>
        <w:tab/>
        <w:t>Le produit intérieur brut (PIB) s’est établi comme suit, en millions de tenge, pendant la période 1999</w:t>
      </w:r>
      <w:r>
        <w:noBreakHyphen/>
        <w:t>2001:</w:t>
      </w:r>
    </w:p>
    <w:p w:rsidR="00000000" w:rsidRDefault="00000000">
      <w:pPr>
        <w:tabs>
          <w:tab w:val="left" w:pos="1701"/>
        </w:tabs>
        <w:spacing w:after="240"/>
        <w:ind w:firstLine="567"/>
      </w:pPr>
      <w:r>
        <w:t>1999:</w:t>
      </w:r>
      <w:r>
        <w:tab/>
        <w:t>2 016 456,3</w:t>
      </w:r>
    </w:p>
    <w:p w:rsidR="00000000" w:rsidRDefault="00000000">
      <w:pPr>
        <w:tabs>
          <w:tab w:val="left" w:pos="1701"/>
        </w:tabs>
        <w:spacing w:after="240"/>
        <w:ind w:firstLine="567"/>
      </w:pPr>
      <w:r>
        <w:t>2000:</w:t>
      </w:r>
      <w:r>
        <w:tab/>
        <w:t>2 599 901,6</w:t>
      </w:r>
    </w:p>
    <w:p w:rsidR="00000000" w:rsidRDefault="00000000">
      <w:pPr>
        <w:tabs>
          <w:tab w:val="left" w:pos="1701"/>
        </w:tabs>
        <w:spacing w:after="240"/>
        <w:ind w:firstLine="567"/>
      </w:pPr>
      <w:r>
        <w:t>2001:</w:t>
      </w:r>
      <w:r>
        <w:tab/>
        <w:t>3 250 593,3</w:t>
      </w:r>
    </w:p>
    <w:p w:rsidR="00000000" w:rsidRDefault="00000000">
      <w:pPr>
        <w:keepNext/>
        <w:keepLines/>
        <w:spacing w:after="240"/>
        <w:jc w:val="center"/>
        <w:rPr>
          <w:b/>
          <w:bCs/>
        </w:rPr>
      </w:pPr>
      <w:r>
        <w:rPr>
          <w:b/>
          <w:bCs/>
        </w:rPr>
        <w:t>Tableau 21</w:t>
      </w:r>
    </w:p>
    <w:p w:rsidR="00000000" w:rsidRDefault="00000000">
      <w:pPr>
        <w:keepNext/>
        <w:keepLines/>
        <w:spacing w:after="240"/>
        <w:jc w:val="center"/>
      </w:pPr>
      <w:r>
        <w:rPr>
          <w:b/>
          <w:bCs/>
        </w:rPr>
        <w:t>Produit intérieur brut par habitant</w:t>
      </w:r>
      <w:r>
        <w:rPr>
          <w:b/>
          <w:bCs/>
        </w:rPr>
        <w:br/>
        <w:t>(en millions de tenge)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4" w:type="dxa"/>
          </w:tcPr>
          <w:p w:rsidR="00000000" w:rsidRDefault="00000000">
            <w:pPr>
              <w:spacing w:before="60" w:after="60"/>
              <w:jc w:val="center"/>
            </w:pPr>
          </w:p>
        </w:tc>
        <w:tc>
          <w:tcPr>
            <w:tcW w:w="2374" w:type="dxa"/>
          </w:tcPr>
          <w:p w:rsidR="00000000" w:rsidRDefault="00000000">
            <w:pPr>
              <w:spacing w:before="60" w:after="60"/>
              <w:jc w:val="center"/>
            </w:pPr>
            <w:r>
              <w:t>1999</w:t>
            </w:r>
          </w:p>
        </w:tc>
        <w:tc>
          <w:tcPr>
            <w:tcW w:w="2374" w:type="dxa"/>
          </w:tcPr>
          <w:p w:rsidR="00000000" w:rsidRDefault="00000000">
            <w:pPr>
              <w:spacing w:before="60" w:after="60"/>
              <w:jc w:val="center"/>
            </w:pPr>
            <w:r>
              <w:t>2000</w:t>
            </w:r>
          </w:p>
        </w:tc>
        <w:tc>
          <w:tcPr>
            <w:tcW w:w="2374" w:type="dxa"/>
          </w:tcPr>
          <w:p w:rsidR="00000000" w:rsidRDefault="00000000">
            <w:pPr>
              <w:spacing w:before="60" w:after="60"/>
              <w:jc w:val="center"/>
            </w:pPr>
            <w:r>
              <w:t>2001</w:t>
            </w:r>
          </w:p>
        </w:tc>
      </w:tr>
      <w:tr w:rsidR="00000000">
        <w:tblPrEx>
          <w:tblCellMar>
            <w:top w:w="0" w:type="dxa"/>
            <w:bottom w:w="0" w:type="dxa"/>
          </w:tblCellMar>
        </w:tblPrEx>
        <w:tc>
          <w:tcPr>
            <w:tcW w:w="2374" w:type="dxa"/>
          </w:tcPr>
          <w:p w:rsidR="00000000" w:rsidRDefault="00000000">
            <w:pPr>
              <w:spacing w:before="60" w:after="60"/>
              <w:jc w:val="center"/>
            </w:pPr>
            <w:r>
              <w:t>PIB par habitant</w:t>
            </w:r>
          </w:p>
        </w:tc>
        <w:tc>
          <w:tcPr>
            <w:tcW w:w="2374" w:type="dxa"/>
          </w:tcPr>
          <w:p w:rsidR="00000000" w:rsidRDefault="00000000">
            <w:pPr>
              <w:spacing w:before="60" w:after="60"/>
              <w:jc w:val="center"/>
            </w:pPr>
            <w:r>
              <w:t>135 080,6</w:t>
            </w:r>
          </w:p>
        </w:tc>
        <w:tc>
          <w:tcPr>
            <w:tcW w:w="2374" w:type="dxa"/>
          </w:tcPr>
          <w:p w:rsidR="00000000" w:rsidRDefault="00000000">
            <w:pPr>
              <w:spacing w:before="60" w:after="60"/>
              <w:jc w:val="center"/>
            </w:pPr>
            <w:r>
              <w:t>174 707,0</w:t>
            </w:r>
          </w:p>
        </w:tc>
        <w:tc>
          <w:tcPr>
            <w:tcW w:w="2374" w:type="dxa"/>
          </w:tcPr>
          <w:p w:rsidR="00000000" w:rsidRDefault="00000000">
            <w:pPr>
              <w:spacing w:before="60" w:after="60"/>
              <w:jc w:val="center"/>
            </w:pPr>
            <w:r>
              <w:t>218 830,3</w:t>
            </w:r>
          </w:p>
        </w:tc>
      </w:tr>
    </w:tbl>
    <w:p w:rsidR="00000000" w:rsidRDefault="00000000">
      <w:pPr>
        <w:spacing w:after="240"/>
      </w:pPr>
    </w:p>
    <w:p w:rsidR="00000000" w:rsidRDefault="00000000">
      <w:pPr>
        <w:keepNext/>
        <w:spacing w:after="240"/>
        <w:jc w:val="center"/>
        <w:rPr>
          <w:b/>
          <w:bCs/>
        </w:rPr>
      </w:pPr>
      <w:r>
        <w:rPr>
          <w:b/>
          <w:bCs/>
        </w:rPr>
        <w:t>L’inflation</w:t>
      </w:r>
    </w:p>
    <w:p w:rsidR="00000000" w:rsidRDefault="00000000">
      <w:pPr>
        <w:spacing w:after="240"/>
      </w:pPr>
      <w:r>
        <w:t>29.</w:t>
      </w:r>
      <w:r>
        <w:tab/>
        <w:t>L’inflation a été de 17,8 % en 1999, 9,8 % en 2000 et 6,4 % en 2001.</w:t>
      </w:r>
    </w:p>
    <w:p w:rsidR="00000000" w:rsidRDefault="00000000">
      <w:pPr>
        <w:spacing w:after="240"/>
        <w:jc w:val="center"/>
        <w:rPr>
          <w:b/>
          <w:bCs/>
        </w:rPr>
      </w:pPr>
      <w:r>
        <w:rPr>
          <w:b/>
          <w:bCs/>
        </w:rPr>
        <w:br w:type="page"/>
        <w:t>Tableau 22</w:t>
      </w:r>
    </w:p>
    <w:p w:rsidR="00000000" w:rsidRDefault="00000000">
      <w:pPr>
        <w:keepNext/>
        <w:spacing w:after="240"/>
        <w:jc w:val="center"/>
        <w:rPr>
          <w:b/>
          <w:bCs/>
        </w:rPr>
      </w:pPr>
      <w:r>
        <w:rPr>
          <w:b/>
          <w:bCs/>
        </w:rPr>
        <w:t>Dette extérieure (en millions de dollars)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9"/>
        <w:gridCol w:w="2040"/>
        <w:gridCol w:w="3452"/>
        <w:gridCol w:w="2374"/>
      </w:tblGrid>
      <w:tr w:rsidR="00000000">
        <w:tblPrEx>
          <w:tblCellMar>
            <w:top w:w="0" w:type="dxa"/>
            <w:bottom w:w="0" w:type="dxa"/>
          </w:tblCellMar>
        </w:tblPrEx>
        <w:trPr>
          <w:cantSplit/>
        </w:trPr>
        <w:tc>
          <w:tcPr>
            <w:tcW w:w="1629" w:type="dxa"/>
            <w:vMerge w:val="restart"/>
            <w:vAlign w:val="center"/>
          </w:tcPr>
          <w:p w:rsidR="00000000" w:rsidRDefault="00000000">
            <w:pPr>
              <w:keepLines/>
              <w:spacing w:before="60" w:after="60"/>
              <w:jc w:val="center"/>
            </w:pPr>
          </w:p>
        </w:tc>
        <w:tc>
          <w:tcPr>
            <w:tcW w:w="2040" w:type="dxa"/>
            <w:vMerge w:val="restart"/>
            <w:vAlign w:val="center"/>
          </w:tcPr>
          <w:p w:rsidR="00000000" w:rsidRDefault="00000000">
            <w:pPr>
              <w:spacing w:before="60" w:after="60"/>
              <w:jc w:val="center"/>
            </w:pPr>
            <w:r>
              <w:t>Dette extérieure</w:t>
            </w:r>
          </w:p>
        </w:tc>
        <w:tc>
          <w:tcPr>
            <w:tcW w:w="5826" w:type="dxa"/>
            <w:gridSpan w:val="2"/>
            <w:vAlign w:val="center"/>
          </w:tcPr>
          <w:p w:rsidR="00000000" w:rsidRDefault="00000000">
            <w:pPr>
              <w:keepNext/>
              <w:spacing w:before="60" w:after="60"/>
              <w:jc w:val="center"/>
            </w:pPr>
            <w:r>
              <w:t>dont:</w:t>
            </w:r>
          </w:p>
        </w:tc>
      </w:tr>
      <w:tr w:rsidR="00000000">
        <w:tblPrEx>
          <w:tblCellMar>
            <w:top w:w="0" w:type="dxa"/>
            <w:bottom w:w="0" w:type="dxa"/>
          </w:tblCellMar>
        </w:tblPrEx>
        <w:trPr>
          <w:cantSplit/>
        </w:trPr>
        <w:tc>
          <w:tcPr>
            <w:tcW w:w="1629" w:type="dxa"/>
            <w:vMerge/>
            <w:vAlign w:val="center"/>
          </w:tcPr>
          <w:p w:rsidR="00000000" w:rsidRDefault="00000000">
            <w:pPr>
              <w:spacing w:before="60" w:after="60"/>
              <w:jc w:val="center"/>
            </w:pPr>
          </w:p>
        </w:tc>
        <w:tc>
          <w:tcPr>
            <w:tcW w:w="2040" w:type="dxa"/>
            <w:vMerge/>
            <w:vAlign w:val="center"/>
          </w:tcPr>
          <w:p w:rsidR="00000000" w:rsidRDefault="00000000">
            <w:pPr>
              <w:spacing w:before="60" w:after="60"/>
              <w:jc w:val="center"/>
            </w:pPr>
          </w:p>
        </w:tc>
        <w:tc>
          <w:tcPr>
            <w:tcW w:w="3452" w:type="dxa"/>
            <w:vAlign w:val="center"/>
          </w:tcPr>
          <w:p w:rsidR="00000000" w:rsidRDefault="00000000">
            <w:pPr>
              <w:keepNext/>
              <w:spacing w:before="60" w:after="60"/>
              <w:jc w:val="center"/>
            </w:pPr>
            <w:r>
              <w:t>Dette publique et dette garantie par l’État</w:t>
            </w:r>
          </w:p>
        </w:tc>
        <w:tc>
          <w:tcPr>
            <w:tcW w:w="2374" w:type="dxa"/>
            <w:vAlign w:val="center"/>
          </w:tcPr>
          <w:p w:rsidR="00000000" w:rsidRDefault="00000000">
            <w:pPr>
              <w:spacing w:before="60" w:after="60"/>
              <w:jc w:val="center"/>
            </w:pPr>
            <w:r>
              <w:t>Dette du secteur privé</w:t>
            </w:r>
          </w:p>
        </w:tc>
      </w:tr>
      <w:tr w:rsidR="00000000">
        <w:tblPrEx>
          <w:tblCellMar>
            <w:top w:w="0" w:type="dxa"/>
            <w:bottom w:w="0" w:type="dxa"/>
          </w:tblCellMar>
        </w:tblPrEx>
        <w:tc>
          <w:tcPr>
            <w:tcW w:w="1629" w:type="dxa"/>
          </w:tcPr>
          <w:p w:rsidR="00000000" w:rsidRDefault="00000000">
            <w:pPr>
              <w:spacing w:before="60" w:after="60"/>
              <w:jc w:val="center"/>
            </w:pPr>
            <w:r>
              <w:t>1999</w:t>
            </w:r>
          </w:p>
        </w:tc>
        <w:tc>
          <w:tcPr>
            <w:tcW w:w="2040" w:type="dxa"/>
          </w:tcPr>
          <w:p w:rsidR="00000000" w:rsidRDefault="00000000">
            <w:pPr>
              <w:spacing w:before="60" w:after="60"/>
              <w:jc w:val="center"/>
            </w:pPr>
            <w:r>
              <w:t>12 081,0</w:t>
            </w:r>
          </w:p>
        </w:tc>
        <w:tc>
          <w:tcPr>
            <w:tcW w:w="3452" w:type="dxa"/>
          </w:tcPr>
          <w:p w:rsidR="00000000" w:rsidRDefault="00000000">
            <w:pPr>
              <w:spacing w:before="60" w:after="60"/>
              <w:jc w:val="center"/>
            </w:pPr>
            <w:r>
              <w:t>4 056,0</w:t>
            </w:r>
          </w:p>
        </w:tc>
        <w:tc>
          <w:tcPr>
            <w:tcW w:w="2374" w:type="dxa"/>
          </w:tcPr>
          <w:p w:rsidR="00000000" w:rsidRDefault="00000000">
            <w:pPr>
              <w:spacing w:before="60" w:after="60"/>
              <w:ind w:right="716"/>
              <w:jc w:val="right"/>
            </w:pPr>
            <w:r>
              <w:t>8 025,0</w:t>
            </w:r>
          </w:p>
        </w:tc>
      </w:tr>
      <w:tr w:rsidR="00000000">
        <w:tblPrEx>
          <w:tblCellMar>
            <w:top w:w="0" w:type="dxa"/>
            <w:bottom w:w="0" w:type="dxa"/>
          </w:tblCellMar>
        </w:tblPrEx>
        <w:tc>
          <w:tcPr>
            <w:tcW w:w="1629" w:type="dxa"/>
          </w:tcPr>
          <w:p w:rsidR="00000000" w:rsidRDefault="00000000">
            <w:pPr>
              <w:spacing w:before="60" w:after="60"/>
              <w:jc w:val="center"/>
            </w:pPr>
            <w:r>
              <w:t>2000</w:t>
            </w:r>
          </w:p>
        </w:tc>
        <w:tc>
          <w:tcPr>
            <w:tcW w:w="2040" w:type="dxa"/>
          </w:tcPr>
          <w:p w:rsidR="00000000" w:rsidRDefault="00000000">
            <w:pPr>
              <w:spacing w:before="60" w:after="60"/>
              <w:jc w:val="center"/>
            </w:pPr>
            <w:r>
              <w:t>12 685,0</w:t>
            </w:r>
          </w:p>
        </w:tc>
        <w:tc>
          <w:tcPr>
            <w:tcW w:w="3452" w:type="dxa"/>
          </w:tcPr>
          <w:p w:rsidR="00000000" w:rsidRDefault="00000000">
            <w:pPr>
              <w:spacing w:before="60" w:after="60"/>
              <w:jc w:val="center"/>
            </w:pPr>
            <w:r>
              <w:t>3 393,0</w:t>
            </w:r>
          </w:p>
        </w:tc>
        <w:tc>
          <w:tcPr>
            <w:tcW w:w="2374" w:type="dxa"/>
          </w:tcPr>
          <w:p w:rsidR="00000000" w:rsidRDefault="00000000">
            <w:pPr>
              <w:spacing w:before="60" w:after="60"/>
              <w:ind w:right="716"/>
              <w:jc w:val="right"/>
            </w:pPr>
            <w:r>
              <w:t>8 755,0</w:t>
            </w:r>
          </w:p>
        </w:tc>
      </w:tr>
      <w:tr w:rsidR="00000000">
        <w:tblPrEx>
          <w:tblCellMar>
            <w:top w:w="0" w:type="dxa"/>
            <w:bottom w:w="0" w:type="dxa"/>
          </w:tblCellMar>
        </w:tblPrEx>
        <w:tc>
          <w:tcPr>
            <w:tcW w:w="1629" w:type="dxa"/>
          </w:tcPr>
          <w:p w:rsidR="00000000" w:rsidRDefault="00000000">
            <w:pPr>
              <w:spacing w:before="60" w:after="60"/>
              <w:jc w:val="center"/>
            </w:pPr>
            <w:r>
              <w:t>2001</w:t>
            </w:r>
          </w:p>
        </w:tc>
        <w:tc>
          <w:tcPr>
            <w:tcW w:w="2040" w:type="dxa"/>
          </w:tcPr>
          <w:p w:rsidR="00000000" w:rsidRDefault="00000000">
            <w:pPr>
              <w:spacing w:before="60" w:after="60"/>
              <w:jc w:val="center"/>
            </w:pPr>
            <w:r>
              <w:t>15 078,0</w:t>
            </w:r>
          </w:p>
        </w:tc>
        <w:tc>
          <w:tcPr>
            <w:tcW w:w="3452" w:type="dxa"/>
          </w:tcPr>
          <w:p w:rsidR="00000000" w:rsidRDefault="00000000">
            <w:pPr>
              <w:spacing w:before="60" w:after="60"/>
              <w:jc w:val="center"/>
            </w:pPr>
            <w:r>
              <w:t>3 800,0</w:t>
            </w:r>
          </w:p>
        </w:tc>
        <w:tc>
          <w:tcPr>
            <w:tcW w:w="2374" w:type="dxa"/>
          </w:tcPr>
          <w:p w:rsidR="00000000" w:rsidRDefault="00000000">
            <w:pPr>
              <w:spacing w:before="60" w:after="60"/>
              <w:ind w:right="716"/>
              <w:jc w:val="right"/>
            </w:pPr>
            <w:r>
              <w:t>11 278,0</w:t>
            </w:r>
          </w:p>
        </w:tc>
      </w:tr>
    </w:tbl>
    <w:p w:rsidR="00000000" w:rsidRDefault="00000000">
      <w:pPr>
        <w:rPr>
          <w:i/>
          <w:iCs/>
        </w:rPr>
      </w:pPr>
    </w:p>
    <w:p w:rsidR="00000000" w:rsidRDefault="00000000">
      <w:pPr>
        <w:spacing w:after="240"/>
        <w:ind w:firstLine="567"/>
      </w:pPr>
      <w:r>
        <w:rPr>
          <w:i/>
          <w:iCs/>
        </w:rPr>
        <w:t>Source:</w:t>
      </w:r>
      <w:r>
        <w:t xml:space="preserve"> Banque nationale du Kazakhstan.</w:t>
      </w:r>
    </w:p>
    <w:p w:rsidR="00000000" w:rsidRDefault="00000000">
      <w:pPr>
        <w:spacing w:after="240"/>
        <w:jc w:val="center"/>
        <w:rPr>
          <w:b/>
          <w:bCs/>
        </w:rPr>
      </w:pPr>
      <w:r>
        <w:rPr>
          <w:b/>
          <w:bCs/>
        </w:rPr>
        <w:t>Tableau 23</w:t>
      </w:r>
    </w:p>
    <w:p w:rsidR="00000000" w:rsidRDefault="00000000">
      <w:pPr>
        <w:spacing w:after="240"/>
        <w:jc w:val="center"/>
        <w:rPr>
          <w:b/>
          <w:bCs/>
        </w:rPr>
      </w:pPr>
      <w:r>
        <w:rPr>
          <w:b/>
          <w:bCs/>
        </w:rPr>
        <w:t>Nombre de personnes actives ou inactives et taux de chômage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69"/>
        <w:gridCol w:w="1742"/>
        <w:gridCol w:w="1742"/>
        <w:gridCol w:w="1742"/>
      </w:tblGrid>
      <w:tr w:rsidR="00000000">
        <w:tblPrEx>
          <w:tblCellMar>
            <w:top w:w="0" w:type="dxa"/>
            <w:bottom w:w="0" w:type="dxa"/>
          </w:tblCellMar>
        </w:tblPrEx>
        <w:tc>
          <w:tcPr>
            <w:tcW w:w="4270" w:type="dxa"/>
            <w:vAlign w:val="center"/>
          </w:tcPr>
          <w:p w:rsidR="00000000" w:rsidRDefault="00000000">
            <w:pPr>
              <w:spacing w:before="60" w:after="60"/>
            </w:pPr>
          </w:p>
        </w:tc>
        <w:tc>
          <w:tcPr>
            <w:tcW w:w="1742" w:type="dxa"/>
            <w:vAlign w:val="center"/>
          </w:tcPr>
          <w:p w:rsidR="00000000" w:rsidRDefault="00000000">
            <w:pPr>
              <w:spacing w:before="60" w:after="60"/>
              <w:jc w:val="center"/>
            </w:pPr>
            <w:r>
              <w:t>1999</w:t>
            </w:r>
          </w:p>
        </w:tc>
        <w:tc>
          <w:tcPr>
            <w:tcW w:w="1742" w:type="dxa"/>
            <w:vAlign w:val="center"/>
          </w:tcPr>
          <w:p w:rsidR="00000000" w:rsidRDefault="00000000">
            <w:pPr>
              <w:spacing w:before="60" w:after="60"/>
              <w:jc w:val="center"/>
            </w:pPr>
            <w:r>
              <w:t>2000</w:t>
            </w:r>
          </w:p>
        </w:tc>
        <w:tc>
          <w:tcPr>
            <w:tcW w:w="1742" w:type="dxa"/>
            <w:vAlign w:val="center"/>
          </w:tcPr>
          <w:p w:rsidR="00000000" w:rsidRDefault="00000000">
            <w:pPr>
              <w:spacing w:before="60" w:after="60"/>
              <w:jc w:val="center"/>
            </w:pPr>
            <w:r>
              <w:t>2001</w:t>
            </w:r>
          </w:p>
        </w:tc>
      </w:tr>
      <w:tr w:rsidR="00000000">
        <w:tblPrEx>
          <w:tblCellMar>
            <w:top w:w="0" w:type="dxa"/>
            <w:bottom w:w="0" w:type="dxa"/>
          </w:tblCellMar>
        </w:tblPrEx>
        <w:tc>
          <w:tcPr>
            <w:tcW w:w="4270" w:type="dxa"/>
            <w:vAlign w:val="center"/>
          </w:tcPr>
          <w:p w:rsidR="00000000" w:rsidRDefault="00000000">
            <w:pPr>
              <w:spacing w:before="60" w:after="60"/>
            </w:pPr>
            <w:r>
              <w:t>Nombre d’actifs (en milliers)</w:t>
            </w:r>
          </w:p>
        </w:tc>
        <w:tc>
          <w:tcPr>
            <w:tcW w:w="1742" w:type="dxa"/>
            <w:vAlign w:val="bottom"/>
          </w:tcPr>
          <w:p w:rsidR="00000000" w:rsidRDefault="00000000">
            <w:pPr>
              <w:spacing w:before="60" w:after="60"/>
              <w:ind w:right="352"/>
              <w:jc w:val="right"/>
            </w:pPr>
            <w:r>
              <w:t>6 105,4</w:t>
            </w:r>
          </w:p>
        </w:tc>
        <w:tc>
          <w:tcPr>
            <w:tcW w:w="1742" w:type="dxa"/>
            <w:vAlign w:val="bottom"/>
          </w:tcPr>
          <w:p w:rsidR="00000000" w:rsidRDefault="00000000">
            <w:pPr>
              <w:spacing w:before="60" w:after="60"/>
              <w:ind w:right="352"/>
              <w:jc w:val="right"/>
            </w:pPr>
            <w:r>
              <w:t>6 201,0</w:t>
            </w:r>
          </w:p>
        </w:tc>
        <w:tc>
          <w:tcPr>
            <w:tcW w:w="1742" w:type="dxa"/>
            <w:vAlign w:val="bottom"/>
          </w:tcPr>
          <w:p w:rsidR="00000000" w:rsidRDefault="00000000">
            <w:pPr>
              <w:spacing w:before="60" w:after="60"/>
              <w:ind w:right="352"/>
              <w:jc w:val="right"/>
            </w:pPr>
            <w:r>
              <w:t>6 698,8</w:t>
            </w:r>
          </w:p>
        </w:tc>
      </w:tr>
      <w:tr w:rsidR="00000000">
        <w:tblPrEx>
          <w:tblCellMar>
            <w:top w:w="0" w:type="dxa"/>
            <w:bottom w:w="0" w:type="dxa"/>
          </w:tblCellMar>
        </w:tblPrEx>
        <w:tc>
          <w:tcPr>
            <w:tcW w:w="4270" w:type="dxa"/>
            <w:vAlign w:val="center"/>
          </w:tcPr>
          <w:p w:rsidR="00000000" w:rsidRDefault="00000000">
            <w:pPr>
              <w:spacing w:before="60" w:after="60"/>
            </w:pPr>
            <w:r>
              <w:t>Dont:</w:t>
            </w:r>
          </w:p>
          <w:p w:rsidR="00000000" w:rsidRDefault="00000000">
            <w:pPr>
              <w:tabs>
                <w:tab w:val="left" w:pos="567"/>
              </w:tabs>
              <w:spacing w:before="60" w:after="60"/>
            </w:pPr>
            <w:r>
              <w:tab/>
              <w:t>Hommes</w:t>
            </w:r>
          </w:p>
          <w:p w:rsidR="00000000" w:rsidRDefault="00000000">
            <w:pPr>
              <w:tabs>
                <w:tab w:val="left" w:pos="567"/>
              </w:tabs>
              <w:spacing w:before="60" w:after="60"/>
            </w:pPr>
            <w:r>
              <w:tab/>
              <w:t>Femmes</w:t>
            </w:r>
          </w:p>
        </w:tc>
        <w:tc>
          <w:tcPr>
            <w:tcW w:w="1742" w:type="dxa"/>
            <w:vAlign w:val="bottom"/>
          </w:tcPr>
          <w:p w:rsidR="00000000" w:rsidRDefault="00000000">
            <w:pPr>
              <w:spacing w:before="60" w:after="60"/>
              <w:ind w:right="352"/>
              <w:jc w:val="right"/>
            </w:pPr>
            <w:r>
              <w:t>3 261,2</w:t>
            </w:r>
          </w:p>
          <w:p w:rsidR="00000000" w:rsidRDefault="00000000">
            <w:pPr>
              <w:spacing w:before="60" w:after="60"/>
              <w:ind w:right="352"/>
              <w:jc w:val="right"/>
            </w:pPr>
            <w:r>
              <w:t>2 844,2</w:t>
            </w:r>
          </w:p>
        </w:tc>
        <w:tc>
          <w:tcPr>
            <w:tcW w:w="1742" w:type="dxa"/>
            <w:vAlign w:val="bottom"/>
          </w:tcPr>
          <w:p w:rsidR="00000000" w:rsidRDefault="00000000">
            <w:pPr>
              <w:spacing w:before="60" w:after="60"/>
              <w:ind w:right="352"/>
              <w:jc w:val="right"/>
            </w:pPr>
            <w:r>
              <w:t>3 255,5</w:t>
            </w:r>
          </w:p>
          <w:p w:rsidR="00000000" w:rsidRDefault="00000000">
            <w:pPr>
              <w:spacing w:before="60" w:after="60"/>
              <w:ind w:right="352"/>
              <w:jc w:val="right"/>
            </w:pPr>
            <w:r>
              <w:t>2 945,5</w:t>
            </w:r>
          </w:p>
        </w:tc>
        <w:tc>
          <w:tcPr>
            <w:tcW w:w="1742" w:type="dxa"/>
            <w:vAlign w:val="bottom"/>
          </w:tcPr>
          <w:p w:rsidR="00000000" w:rsidRDefault="00000000">
            <w:pPr>
              <w:spacing w:before="60" w:after="60"/>
              <w:ind w:right="352"/>
              <w:jc w:val="right"/>
            </w:pPr>
            <w:r>
              <w:t>3 470,2</w:t>
            </w:r>
          </w:p>
          <w:p w:rsidR="00000000" w:rsidRDefault="00000000">
            <w:pPr>
              <w:spacing w:before="60" w:after="60"/>
              <w:ind w:right="352"/>
              <w:jc w:val="right"/>
            </w:pPr>
            <w:r>
              <w:t>3 228,6</w:t>
            </w:r>
          </w:p>
        </w:tc>
      </w:tr>
      <w:tr w:rsidR="00000000">
        <w:tblPrEx>
          <w:tblCellMar>
            <w:top w:w="0" w:type="dxa"/>
            <w:bottom w:w="0" w:type="dxa"/>
          </w:tblCellMar>
        </w:tblPrEx>
        <w:tc>
          <w:tcPr>
            <w:tcW w:w="4270" w:type="dxa"/>
            <w:vAlign w:val="center"/>
          </w:tcPr>
          <w:p w:rsidR="00000000" w:rsidRDefault="00000000">
            <w:pPr>
              <w:spacing w:before="60" w:after="60"/>
            </w:pPr>
            <w:r>
              <w:t>Nombre d’inactifs (en milliers)</w:t>
            </w:r>
          </w:p>
        </w:tc>
        <w:tc>
          <w:tcPr>
            <w:tcW w:w="1742" w:type="dxa"/>
            <w:vAlign w:val="bottom"/>
          </w:tcPr>
          <w:p w:rsidR="00000000" w:rsidRDefault="00000000">
            <w:pPr>
              <w:spacing w:before="60" w:after="60"/>
              <w:ind w:right="352"/>
              <w:jc w:val="right"/>
            </w:pPr>
            <w:r>
              <w:t>950,0</w:t>
            </w:r>
          </w:p>
        </w:tc>
        <w:tc>
          <w:tcPr>
            <w:tcW w:w="1742" w:type="dxa"/>
            <w:vAlign w:val="bottom"/>
          </w:tcPr>
          <w:p w:rsidR="00000000" w:rsidRDefault="00000000">
            <w:pPr>
              <w:spacing w:before="60" w:after="60"/>
              <w:ind w:right="352"/>
              <w:jc w:val="right"/>
            </w:pPr>
            <w:r>
              <w:t>906,4</w:t>
            </w:r>
          </w:p>
        </w:tc>
        <w:tc>
          <w:tcPr>
            <w:tcW w:w="1742" w:type="dxa"/>
            <w:vAlign w:val="bottom"/>
          </w:tcPr>
          <w:p w:rsidR="00000000" w:rsidRDefault="00000000">
            <w:pPr>
              <w:spacing w:before="60" w:after="60"/>
              <w:ind w:right="352"/>
              <w:jc w:val="right"/>
            </w:pPr>
            <w:r>
              <w:t>780,3</w:t>
            </w:r>
          </w:p>
        </w:tc>
      </w:tr>
      <w:tr w:rsidR="00000000">
        <w:tblPrEx>
          <w:tblCellMar>
            <w:top w:w="0" w:type="dxa"/>
            <w:bottom w:w="0" w:type="dxa"/>
          </w:tblCellMar>
        </w:tblPrEx>
        <w:tc>
          <w:tcPr>
            <w:tcW w:w="4270" w:type="dxa"/>
            <w:tcBorders>
              <w:bottom w:val="nil"/>
            </w:tcBorders>
            <w:vAlign w:val="center"/>
          </w:tcPr>
          <w:p w:rsidR="00000000" w:rsidRDefault="00000000">
            <w:pPr>
              <w:spacing w:before="60" w:after="60"/>
            </w:pPr>
            <w:r>
              <w:t>Dont:</w:t>
            </w:r>
          </w:p>
        </w:tc>
        <w:tc>
          <w:tcPr>
            <w:tcW w:w="1742" w:type="dxa"/>
            <w:tcBorders>
              <w:bottom w:val="nil"/>
            </w:tcBorders>
            <w:vAlign w:val="bottom"/>
          </w:tcPr>
          <w:p w:rsidR="00000000" w:rsidRDefault="00000000">
            <w:pPr>
              <w:spacing w:before="60" w:after="60"/>
              <w:ind w:right="352"/>
              <w:jc w:val="right"/>
            </w:pPr>
          </w:p>
        </w:tc>
        <w:tc>
          <w:tcPr>
            <w:tcW w:w="1742" w:type="dxa"/>
            <w:tcBorders>
              <w:bottom w:val="nil"/>
            </w:tcBorders>
            <w:vAlign w:val="bottom"/>
          </w:tcPr>
          <w:p w:rsidR="00000000" w:rsidRDefault="00000000">
            <w:pPr>
              <w:spacing w:before="60" w:after="60"/>
              <w:ind w:right="352"/>
              <w:jc w:val="right"/>
            </w:pPr>
          </w:p>
        </w:tc>
        <w:tc>
          <w:tcPr>
            <w:tcW w:w="1742" w:type="dxa"/>
            <w:tcBorders>
              <w:bottom w:val="nil"/>
            </w:tcBorders>
            <w:vAlign w:val="bottom"/>
          </w:tcPr>
          <w:p w:rsidR="00000000" w:rsidRDefault="00000000">
            <w:pPr>
              <w:spacing w:before="60" w:after="60"/>
              <w:ind w:right="352"/>
              <w:jc w:val="right"/>
            </w:pPr>
          </w:p>
        </w:tc>
      </w:tr>
      <w:tr w:rsidR="00000000">
        <w:tblPrEx>
          <w:tblCellMar>
            <w:top w:w="0" w:type="dxa"/>
            <w:bottom w:w="0" w:type="dxa"/>
          </w:tblCellMar>
        </w:tblPrEx>
        <w:tc>
          <w:tcPr>
            <w:tcW w:w="4270" w:type="dxa"/>
            <w:tcBorders>
              <w:top w:val="nil"/>
            </w:tcBorders>
            <w:vAlign w:val="center"/>
          </w:tcPr>
          <w:p w:rsidR="00000000" w:rsidRDefault="00000000">
            <w:pPr>
              <w:spacing w:before="60" w:after="60"/>
            </w:pPr>
            <w:r>
              <w:t>Inscrits aux services d’emploi</w:t>
            </w:r>
          </w:p>
        </w:tc>
        <w:tc>
          <w:tcPr>
            <w:tcW w:w="1742" w:type="dxa"/>
            <w:tcBorders>
              <w:top w:val="nil"/>
            </w:tcBorders>
            <w:vAlign w:val="bottom"/>
          </w:tcPr>
          <w:p w:rsidR="00000000" w:rsidRDefault="00000000">
            <w:pPr>
              <w:spacing w:before="60" w:after="60"/>
              <w:ind w:right="352"/>
              <w:jc w:val="right"/>
            </w:pPr>
            <w:r>
              <w:t>251,4</w:t>
            </w:r>
          </w:p>
        </w:tc>
        <w:tc>
          <w:tcPr>
            <w:tcW w:w="1742" w:type="dxa"/>
            <w:tcBorders>
              <w:top w:val="nil"/>
            </w:tcBorders>
            <w:vAlign w:val="bottom"/>
          </w:tcPr>
          <w:p w:rsidR="00000000" w:rsidRDefault="00000000">
            <w:pPr>
              <w:spacing w:before="60" w:after="60"/>
              <w:ind w:right="352"/>
              <w:jc w:val="right"/>
            </w:pPr>
            <w:r>
              <w:t>231,4</w:t>
            </w:r>
          </w:p>
        </w:tc>
        <w:tc>
          <w:tcPr>
            <w:tcW w:w="1742" w:type="dxa"/>
            <w:tcBorders>
              <w:top w:val="nil"/>
            </w:tcBorders>
            <w:vAlign w:val="bottom"/>
          </w:tcPr>
          <w:p w:rsidR="00000000" w:rsidRDefault="00000000">
            <w:pPr>
              <w:spacing w:before="60" w:after="60"/>
              <w:ind w:right="352"/>
              <w:jc w:val="right"/>
            </w:pPr>
            <w:r>
              <w:t>216,1</w:t>
            </w:r>
          </w:p>
        </w:tc>
      </w:tr>
      <w:tr w:rsidR="00000000">
        <w:tblPrEx>
          <w:tblCellMar>
            <w:top w:w="0" w:type="dxa"/>
            <w:bottom w:w="0" w:type="dxa"/>
          </w:tblCellMar>
        </w:tblPrEx>
        <w:tc>
          <w:tcPr>
            <w:tcW w:w="4270" w:type="dxa"/>
            <w:vAlign w:val="center"/>
          </w:tcPr>
          <w:p w:rsidR="00000000" w:rsidRDefault="00000000">
            <w:pPr>
              <w:spacing w:before="60" w:after="60"/>
            </w:pPr>
            <w:r>
              <w:t>Taux de chômage (en pourcentage)</w:t>
            </w:r>
          </w:p>
        </w:tc>
        <w:tc>
          <w:tcPr>
            <w:tcW w:w="1742" w:type="dxa"/>
            <w:vAlign w:val="bottom"/>
          </w:tcPr>
          <w:p w:rsidR="00000000" w:rsidRDefault="00000000">
            <w:pPr>
              <w:spacing w:before="60" w:after="60"/>
              <w:ind w:right="352"/>
              <w:jc w:val="right"/>
            </w:pPr>
            <w:r>
              <w:t>13,5</w:t>
            </w:r>
          </w:p>
        </w:tc>
        <w:tc>
          <w:tcPr>
            <w:tcW w:w="1742" w:type="dxa"/>
            <w:vAlign w:val="bottom"/>
          </w:tcPr>
          <w:p w:rsidR="00000000" w:rsidRDefault="00000000">
            <w:pPr>
              <w:spacing w:before="60" w:after="60"/>
              <w:ind w:right="352"/>
              <w:jc w:val="right"/>
            </w:pPr>
            <w:r>
              <w:t>12,8</w:t>
            </w:r>
          </w:p>
        </w:tc>
        <w:tc>
          <w:tcPr>
            <w:tcW w:w="1742" w:type="dxa"/>
            <w:vAlign w:val="bottom"/>
          </w:tcPr>
          <w:p w:rsidR="00000000" w:rsidRDefault="00000000">
            <w:pPr>
              <w:spacing w:before="60" w:after="60"/>
              <w:ind w:right="352"/>
              <w:jc w:val="right"/>
            </w:pPr>
            <w:r>
              <w:t>216,1</w:t>
            </w:r>
          </w:p>
        </w:tc>
      </w:tr>
      <w:tr w:rsidR="00000000">
        <w:tblPrEx>
          <w:tblCellMar>
            <w:top w:w="0" w:type="dxa"/>
            <w:bottom w:w="0" w:type="dxa"/>
          </w:tblCellMar>
        </w:tblPrEx>
        <w:tc>
          <w:tcPr>
            <w:tcW w:w="4270" w:type="dxa"/>
            <w:vAlign w:val="center"/>
          </w:tcPr>
          <w:p w:rsidR="00000000" w:rsidRDefault="00000000">
            <w:pPr>
              <w:spacing w:before="60" w:after="60"/>
            </w:pPr>
            <w:r>
              <w:t>Nombre de chômeurs déclarés en pourcentage de la population économiquement active</w:t>
            </w:r>
          </w:p>
        </w:tc>
        <w:tc>
          <w:tcPr>
            <w:tcW w:w="1742" w:type="dxa"/>
            <w:vAlign w:val="bottom"/>
          </w:tcPr>
          <w:p w:rsidR="00000000" w:rsidRDefault="00000000">
            <w:pPr>
              <w:spacing w:before="60" w:after="60"/>
              <w:ind w:right="352"/>
              <w:jc w:val="right"/>
            </w:pPr>
            <w:r>
              <w:t>3,9</w:t>
            </w:r>
          </w:p>
        </w:tc>
        <w:tc>
          <w:tcPr>
            <w:tcW w:w="1742" w:type="dxa"/>
            <w:vAlign w:val="bottom"/>
          </w:tcPr>
          <w:p w:rsidR="00000000" w:rsidRDefault="00000000">
            <w:pPr>
              <w:spacing w:before="60" w:after="60"/>
              <w:ind w:right="352"/>
              <w:jc w:val="right"/>
            </w:pPr>
            <w:r>
              <w:t>3,7</w:t>
            </w:r>
          </w:p>
        </w:tc>
        <w:tc>
          <w:tcPr>
            <w:tcW w:w="1742" w:type="dxa"/>
            <w:vAlign w:val="bottom"/>
          </w:tcPr>
          <w:p w:rsidR="00000000" w:rsidRDefault="00000000">
            <w:pPr>
              <w:spacing w:before="60" w:after="60"/>
              <w:ind w:right="352"/>
              <w:jc w:val="right"/>
            </w:pPr>
            <w:r>
              <w:t>2,9</w:t>
            </w:r>
          </w:p>
        </w:tc>
      </w:tr>
    </w:tbl>
    <w:p w:rsidR="00000000" w:rsidRDefault="00000000">
      <w:pPr>
        <w:spacing w:after="240"/>
        <w:rPr>
          <w:b/>
          <w:bCs/>
        </w:rPr>
      </w:pPr>
    </w:p>
    <w:p w:rsidR="00000000" w:rsidRDefault="00000000">
      <w:pPr>
        <w:keepNext/>
        <w:spacing w:after="240"/>
        <w:jc w:val="center"/>
        <w:rPr>
          <w:b/>
          <w:bCs/>
        </w:rPr>
      </w:pPr>
      <w:r>
        <w:rPr>
          <w:b/>
          <w:bCs/>
        </w:rPr>
        <w:t>Composition religieuse de la population</w:t>
      </w:r>
    </w:p>
    <w:p w:rsidR="00000000" w:rsidRDefault="00000000">
      <w:pPr>
        <w:spacing w:after="240"/>
      </w:pPr>
      <w:r>
        <w:t>30.</w:t>
      </w:r>
      <w:r>
        <w:tab/>
        <w:t xml:space="preserve">Une croissance régulière du rôle social de la religion figure parmi les principaux aspects du développement actuel du Kazakhstan. L’influence et la place de la religion se renforcent; ses fonctions sociales se développent et le nombre des adeptes et des associations religieuses augmente. Conformément à la Constitution et à la loi de 1992 sur la liberté de conviction et les associations religieuses, les croyants sont libres de pratiquer une religion sans être soumis à aucune restriction de leurs droits de l’homme ou du citoyen ou de leurs obligations à l’égard de l’État. Plus de 40 confessions sont actives dans le pays. La religion dominante est l’islam qui obéit à la </w:t>
      </w:r>
      <w:r>
        <w:rPr>
          <w:i/>
          <w:iCs/>
        </w:rPr>
        <w:t>maskhab</w:t>
      </w:r>
      <w:r>
        <w:t xml:space="preserve"> (doctrine) sunnite caractérisée par la tolérance à l’égard de l’hétérodoxie, la reconnaissance du droit coutumier local et la prise en considération, en matière judiciaire, de la liberté d’opinion individuelle et de la démarche analogique, ce qui proscrit le dogmatisme et évite la politisation de l’islam, la résistance à l’autorité séculaire ou l’élitisme religieux, l’intolérance à l’égard des personnes professant des croyances différentes, le fanatisme religieux et le développement d’un État théocratique.</w:t>
      </w:r>
    </w:p>
    <w:p w:rsidR="00000000" w:rsidRDefault="00000000">
      <w:pPr>
        <w:spacing w:after="240"/>
      </w:pPr>
      <w:r>
        <w:tab/>
        <w:t>La religion orthodoxe russe est le deuxième culte le plus important du pays par le nombre des adeptes.</w:t>
      </w:r>
    </w:p>
    <w:p w:rsidR="00000000" w:rsidRDefault="00000000">
      <w:pPr>
        <w:spacing w:after="240"/>
      </w:pPr>
      <w:r>
        <w:tab/>
        <w:t>L’Église catholique romaine a une présence historique relativement longue dans le pays, de même qu’un certain nombre de cultes protestants (principalement les chrétiens baptistes évangéliques et les luthériens), le judaïsme et le bouddhisme.</w:t>
      </w:r>
    </w:p>
    <w:p w:rsidR="00000000" w:rsidRDefault="00000000">
      <w:pPr>
        <w:spacing w:after="240"/>
      </w:pPr>
      <w:r>
        <w:tab/>
        <w:t>Des mouvements religieux jusque</w:t>
      </w:r>
      <w:r>
        <w:noBreakHyphen/>
        <w:t>là inconnus au Kazakhstan sont actifs dans le pays depuis le début des années 90. Ils comprennent les Témoins de Jéhovah, le mennonisme, le mormonisme, le wahhabisme, l’Église de l’unification, le Mouvement Hari Krishna, la scientologie, le bahaïsme et la méditation transcendantale.</w:t>
      </w:r>
    </w:p>
    <w:p w:rsidR="00000000" w:rsidRDefault="00000000">
      <w:pPr>
        <w:spacing w:after="240"/>
      </w:pPr>
      <w:r>
        <w:tab/>
        <w:t>On ne tient pas de statistiques officielles concernant les adeptes étant donné que la loi sur la liberté de conviction et les associations religieuses proclament le droit de choisir librement toute religion ou de n’en professer aucune et que les gens ont le droit de ne pas donner d’informations sur leur appartenance religieuse. D’après les chiffres issus d’études sociologiques de la situation religieuse entreprises par le Ministère de la culture, de l’information et de l’harmonie publique, 50 à 60 % des habitants seraient des adeptes. Toutefois en appliquant des critères objectifs de l’appartenance religieuse (par exemple une fréquentation relativement régulière des temples, mosquées, maisons de prières ou de réunions; l’assiduité aux cérémonies religieuses; un style de vie respectueux des règles du culte, etc.), on s’aperçoit que le nombre réel des croyants ne dépasse pas 15 à 20 % de la population.</w:t>
      </w:r>
    </w:p>
    <w:p w:rsidR="00000000" w:rsidRDefault="00000000">
      <w:pPr>
        <w:spacing w:after="240"/>
        <w:jc w:val="center"/>
        <w:rPr>
          <w:b/>
          <w:bCs/>
        </w:rPr>
      </w:pPr>
      <w:r>
        <w:rPr>
          <w:b/>
          <w:bCs/>
        </w:rPr>
        <w:t>Tableau 24</w:t>
      </w:r>
    </w:p>
    <w:p w:rsidR="00000000" w:rsidRDefault="00000000">
      <w:pPr>
        <w:spacing w:after="240"/>
        <w:jc w:val="center"/>
      </w:pPr>
      <w:r>
        <w:rPr>
          <w:b/>
          <w:bCs/>
        </w:rPr>
        <w:t>Tendances de l’évolution du nombre des associations religieuses au Kazakhstan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23"/>
        <w:gridCol w:w="791"/>
        <w:gridCol w:w="791"/>
        <w:gridCol w:w="791"/>
        <w:gridCol w:w="791"/>
        <w:gridCol w:w="791"/>
        <w:gridCol w:w="791"/>
        <w:gridCol w:w="1026"/>
      </w:tblGrid>
      <w:tr w:rsidR="00000000">
        <w:tblPrEx>
          <w:tblCellMar>
            <w:top w:w="0" w:type="dxa"/>
            <w:bottom w:w="0" w:type="dxa"/>
          </w:tblCellMar>
        </w:tblPrEx>
        <w:trPr>
          <w:tblHeader/>
        </w:trPr>
        <w:tc>
          <w:tcPr>
            <w:tcW w:w="3724" w:type="dxa"/>
          </w:tcPr>
          <w:p w:rsidR="00000000" w:rsidRDefault="00000000">
            <w:pPr>
              <w:spacing w:before="60" w:after="60"/>
              <w:rPr>
                <w:sz w:val="20"/>
              </w:rPr>
            </w:pPr>
          </w:p>
        </w:tc>
        <w:tc>
          <w:tcPr>
            <w:tcW w:w="791" w:type="dxa"/>
            <w:vAlign w:val="center"/>
          </w:tcPr>
          <w:p w:rsidR="00000000" w:rsidRDefault="00000000">
            <w:pPr>
              <w:spacing w:before="60" w:after="60"/>
              <w:jc w:val="center"/>
              <w:rPr>
                <w:sz w:val="20"/>
              </w:rPr>
            </w:pPr>
            <w:r>
              <w:rPr>
                <w:sz w:val="20"/>
              </w:rPr>
              <w:t>1990</w:t>
            </w:r>
          </w:p>
        </w:tc>
        <w:tc>
          <w:tcPr>
            <w:tcW w:w="791" w:type="dxa"/>
            <w:vAlign w:val="center"/>
          </w:tcPr>
          <w:p w:rsidR="00000000" w:rsidRDefault="00000000">
            <w:pPr>
              <w:spacing w:before="60" w:after="60"/>
              <w:jc w:val="center"/>
              <w:rPr>
                <w:sz w:val="20"/>
              </w:rPr>
            </w:pPr>
            <w:r>
              <w:rPr>
                <w:sz w:val="20"/>
              </w:rPr>
              <w:t>1993</w:t>
            </w:r>
          </w:p>
        </w:tc>
        <w:tc>
          <w:tcPr>
            <w:tcW w:w="791" w:type="dxa"/>
            <w:vAlign w:val="center"/>
          </w:tcPr>
          <w:p w:rsidR="00000000" w:rsidRDefault="00000000">
            <w:pPr>
              <w:spacing w:before="60" w:after="60"/>
              <w:jc w:val="center"/>
              <w:rPr>
                <w:sz w:val="20"/>
              </w:rPr>
            </w:pPr>
            <w:r>
              <w:rPr>
                <w:sz w:val="20"/>
              </w:rPr>
              <w:t>1995</w:t>
            </w:r>
          </w:p>
        </w:tc>
        <w:tc>
          <w:tcPr>
            <w:tcW w:w="791" w:type="dxa"/>
            <w:vAlign w:val="center"/>
          </w:tcPr>
          <w:p w:rsidR="00000000" w:rsidRDefault="00000000">
            <w:pPr>
              <w:spacing w:before="60" w:after="60"/>
              <w:jc w:val="center"/>
              <w:rPr>
                <w:sz w:val="20"/>
              </w:rPr>
            </w:pPr>
            <w:r>
              <w:rPr>
                <w:sz w:val="20"/>
              </w:rPr>
              <w:t>1996</w:t>
            </w:r>
          </w:p>
        </w:tc>
        <w:tc>
          <w:tcPr>
            <w:tcW w:w="791" w:type="dxa"/>
            <w:vAlign w:val="center"/>
          </w:tcPr>
          <w:p w:rsidR="00000000" w:rsidRDefault="00000000">
            <w:pPr>
              <w:spacing w:before="60" w:after="60"/>
              <w:jc w:val="center"/>
              <w:rPr>
                <w:sz w:val="20"/>
              </w:rPr>
            </w:pPr>
            <w:r>
              <w:rPr>
                <w:sz w:val="20"/>
              </w:rPr>
              <w:t>1997</w:t>
            </w:r>
          </w:p>
        </w:tc>
        <w:tc>
          <w:tcPr>
            <w:tcW w:w="791" w:type="dxa"/>
            <w:vAlign w:val="center"/>
          </w:tcPr>
          <w:p w:rsidR="00000000" w:rsidRDefault="00000000">
            <w:pPr>
              <w:spacing w:before="60" w:after="60"/>
              <w:jc w:val="center"/>
              <w:rPr>
                <w:sz w:val="20"/>
              </w:rPr>
            </w:pPr>
            <w:r>
              <w:rPr>
                <w:sz w:val="20"/>
              </w:rPr>
              <w:t>1999</w:t>
            </w:r>
          </w:p>
        </w:tc>
        <w:tc>
          <w:tcPr>
            <w:tcW w:w="1026" w:type="dxa"/>
            <w:vAlign w:val="center"/>
          </w:tcPr>
          <w:p w:rsidR="00000000" w:rsidRDefault="00000000">
            <w:pPr>
              <w:spacing w:before="60" w:after="60"/>
              <w:jc w:val="center"/>
              <w:rPr>
                <w:sz w:val="20"/>
              </w:rPr>
            </w:pPr>
            <w:r>
              <w:rPr>
                <w:sz w:val="20"/>
              </w:rPr>
              <w:t>1</w:t>
            </w:r>
            <w:r>
              <w:rPr>
                <w:sz w:val="20"/>
                <w:vertAlign w:val="superscript"/>
              </w:rPr>
              <w:t>er</w:t>
            </w:r>
            <w:r>
              <w:rPr>
                <w:sz w:val="20"/>
              </w:rPr>
              <w:t xml:space="preserve"> janvier 2002</w:t>
            </w:r>
          </w:p>
        </w:tc>
      </w:tr>
      <w:tr w:rsidR="00000000">
        <w:tblPrEx>
          <w:tblCellMar>
            <w:top w:w="0" w:type="dxa"/>
            <w:bottom w:w="0" w:type="dxa"/>
          </w:tblCellMar>
        </w:tblPrEx>
        <w:tc>
          <w:tcPr>
            <w:tcW w:w="3724" w:type="dxa"/>
          </w:tcPr>
          <w:p w:rsidR="00000000" w:rsidRDefault="00000000">
            <w:pPr>
              <w:spacing w:before="60" w:after="60"/>
              <w:rPr>
                <w:sz w:val="20"/>
              </w:rPr>
            </w:pPr>
            <w:r>
              <w:rPr>
                <w:sz w:val="20"/>
              </w:rPr>
              <w:t>Nombre total d’associations religieuses dont:</w:t>
            </w:r>
          </w:p>
        </w:tc>
        <w:tc>
          <w:tcPr>
            <w:tcW w:w="791" w:type="dxa"/>
            <w:vAlign w:val="bottom"/>
          </w:tcPr>
          <w:p w:rsidR="00000000" w:rsidRDefault="00000000">
            <w:pPr>
              <w:spacing w:before="60" w:after="60"/>
              <w:jc w:val="right"/>
              <w:rPr>
                <w:sz w:val="20"/>
              </w:rPr>
            </w:pPr>
            <w:r>
              <w:rPr>
                <w:sz w:val="20"/>
              </w:rPr>
              <w:t>671</w:t>
            </w:r>
          </w:p>
        </w:tc>
        <w:tc>
          <w:tcPr>
            <w:tcW w:w="791" w:type="dxa"/>
            <w:vAlign w:val="bottom"/>
          </w:tcPr>
          <w:p w:rsidR="00000000" w:rsidRDefault="00000000">
            <w:pPr>
              <w:spacing w:before="60" w:after="60"/>
              <w:jc w:val="right"/>
              <w:rPr>
                <w:sz w:val="20"/>
              </w:rPr>
            </w:pPr>
            <w:r>
              <w:rPr>
                <w:sz w:val="20"/>
              </w:rPr>
              <w:t>977</w:t>
            </w:r>
          </w:p>
        </w:tc>
        <w:tc>
          <w:tcPr>
            <w:tcW w:w="791" w:type="dxa"/>
            <w:vAlign w:val="bottom"/>
          </w:tcPr>
          <w:p w:rsidR="00000000" w:rsidRDefault="00000000">
            <w:pPr>
              <w:spacing w:before="60" w:after="60"/>
              <w:jc w:val="right"/>
              <w:rPr>
                <w:sz w:val="20"/>
              </w:rPr>
            </w:pPr>
            <w:r>
              <w:rPr>
                <w:sz w:val="20"/>
              </w:rPr>
              <w:t>1 180</w:t>
            </w:r>
          </w:p>
        </w:tc>
        <w:tc>
          <w:tcPr>
            <w:tcW w:w="791" w:type="dxa"/>
            <w:vAlign w:val="bottom"/>
          </w:tcPr>
          <w:p w:rsidR="00000000" w:rsidRDefault="00000000">
            <w:pPr>
              <w:spacing w:before="60" w:after="60"/>
              <w:jc w:val="right"/>
              <w:rPr>
                <w:sz w:val="20"/>
              </w:rPr>
            </w:pPr>
            <w:r>
              <w:rPr>
                <w:sz w:val="20"/>
              </w:rPr>
              <w:t>1 503</w:t>
            </w:r>
          </w:p>
        </w:tc>
        <w:tc>
          <w:tcPr>
            <w:tcW w:w="791" w:type="dxa"/>
            <w:vAlign w:val="bottom"/>
          </w:tcPr>
          <w:p w:rsidR="00000000" w:rsidRDefault="00000000">
            <w:pPr>
              <w:spacing w:before="60" w:after="60"/>
              <w:jc w:val="right"/>
              <w:rPr>
                <w:sz w:val="20"/>
              </w:rPr>
            </w:pPr>
            <w:r>
              <w:rPr>
                <w:sz w:val="20"/>
              </w:rPr>
              <w:t>1 642</w:t>
            </w:r>
          </w:p>
        </w:tc>
        <w:tc>
          <w:tcPr>
            <w:tcW w:w="791" w:type="dxa"/>
            <w:vAlign w:val="bottom"/>
          </w:tcPr>
          <w:p w:rsidR="00000000" w:rsidRDefault="00000000">
            <w:pPr>
              <w:spacing w:before="60" w:after="60"/>
              <w:jc w:val="right"/>
              <w:rPr>
                <w:sz w:val="20"/>
              </w:rPr>
            </w:pPr>
            <w:r>
              <w:rPr>
                <w:sz w:val="20"/>
              </w:rPr>
              <w:t>2 100</w:t>
            </w:r>
          </w:p>
        </w:tc>
        <w:tc>
          <w:tcPr>
            <w:tcW w:w="1026" w:type="dxa"/>
            <w:vAlign w:val="bottom"/>
          </w:tcPr>
          <w:p w:rsidR="00000000" w:rsidRDefault="00000000">
            <w:pPr>
              <w:spacing w:before="60" w:after="60"/>
              <w:jc w:val="right"/>
              <w:rPr>
                <w:sz w:val="20"/>
              </w:rPr>
            </w:pPr>
            <w:r>
              <w:rPr>
                <w:sz w:val="20"/>
              </w:rPr>
              <w:t>2 299</w:t>
            </w:r>
          </w:p>
        </w:tc>
      </w:tr>
      <w:tr w:rsidR="00000000">
        <w:tblPrEx>
          <w:tblCellMar>
            <w:top w:w="0" w:type="dxa"/>
            <w:bottom w:w="0" w:type="dxa"/>
          </w:tblCellMar>
        </w:tblPrEx>
        <w:tc>
          <w:tcPr>
            <w:tcW w:w="3724" w:type="dxa"/>
          </w:tcPr>
          <w:p w:rsidR="00000000" w:rsidRDefault="00000000">
            <w:pPr>
              <w:spacing w:before="60" w:after="60"/>
              <w:rPr>
                <w:sz w:val="20"/>
              </w:rPr>
            </w:pPr>
            <w:r>
              <w:rPr>
                <w:sz w:val="20"/>
              </w:rPr>
              <w:t>Islam</w:t>
            </w:r>
          </w:p>
        </w:tc>
        <w:tc>
          <w:tcPr>
            <w:tcW w:w="791" w:type="dxa"/>
            <w:vAlign w:val="bottom"/>
          </w:tcPr>
          <w:p w:rsidR="00000000" w:rsidRDefault="00000000">
            <w:pPr>
              <w:spacing w:before="60" w:after="60"/>
              <w:jc w:val="right"/>
              <w:rPr>
                <w:sz w:val="20"/>
              </w:rPr>
            </w:pPr>
            <w:r>
              <w:rPr>
                <w:sz w:val="20"/>
              </w:rPr>
              <w:t>46</w:t>
            </w:r>
          </w:p>
        </w:tc>
        <w:tc>
          <w:tcPr>
            <w:tcW w:w="791" w:type="dxa"/>
            <w:vAlign w:val="bottom"/>
          </w:tcPr>
          <w:p w:rsidR="00000000" w:rsidRDefault="00000000">
            <w:pPr>
              <w:spacing w:before="60" w:after="60"/>
              <w:jc w:val="right"/>
              <w:rPr>
                <w:sz w:val="20"/>
              </w:rPr>
            </w:pPr>
            <w:r>
              <w:rPr>
                <w:sz w:val="20"/>
              </w:rPr>
              <w:t>296</w:t>
            </w:r>
          </w:p>
        </w:tc>
        <w:tc>
          <w:tcPr>
            <w:tcW w:w="791" w:type="dxa"/>
            <w:vAlign w:val="bottom"/>
          </w:tcPr>
          <w:p w:rsidR="00000000" w:rsidRDefault="00000000">
            <w:pPr>
              <w:spacing w:before="60" w:after="60"/>
              <w:jc w:val="right"/>
              <w:rPr>
                <w:sz w:val="20"/>
              </w:rPr>
            </w:pPr>
            <w:r>
              <w:rPr>
                <w:sz w:val="20"/>
              </w:rPr>
              <w:t>483</w:t>
            </w:r>
          </w:p>
        </w:tc>
        <w:tc>
          <w:tcPr>
            <w:tcW w:w="791" w:type="dxa"/>
            <w:vAlign w:val="bottom"/>
          </w:tcPr>
          <w:p w:rsidR="00000000" w:rsidRDefault="00000000">
            <w:pPr>
              <w:spacing w:before="60" w:after="60"/>
              <w:jc w:val="right"/>
              <w:rPr>
                <w:sz w:val="20"/>
              </w:rPr>
            </w:pPr>
            <w:r>
              <w:rPr>
                <w:sz w:val="20"/>
              </w:rPr>
              <w:t>679</w:t>
            </w:r>
          </w:p>
        </w:tc>
        <w:tc>
          <w:tcPr>
            <w:tcW w:w="791" w:type="dxa"/>
            <w:vAlign w:val="bottom"/>
          </w:tcPr>
          <w:p w:rsidR="00000000" w:rsidRDefault="00000000">
            <w:pPr>
              <w:spacing w:before="60" w:after="60"/>
              <w:jc w:val="right"/>
              <w:rPr>
                <w:sz w:val="20"/>
              </w:rPr>
            </w:pPr>
            <w:r>
              <w:rPr>
                <w:sz w:val="20"/>
              </w:rPr>
              <w:t>826</w:t>
            </w:r>
          </w:p>
        </w:tc>
        <w:tc>
          <w:tcPr>
            <w:tcW w:w="791" w:type="dxa"/>
            <w:vAlign w:val="bottom"/>
          </w:tcPr>
          <w:p w:rsidR="00000000" w:rsidRDefault="00000000">
            <w:pPr>
              <w:spacing w:before="60" w:after="60"/>
              <w:jc w:val="right"/>
              <w:rPr>
                <w:sz w:val="20"/>
              </w:rPr>
            </w:pPr>
            <w:r>
              <w:rPr>
                <w:sz w:val="20"/>
              </w:rPr>
              <w:t>1 003</w:t>
            </w:r>
          </w:p>
        </w:tc>
        <w:tc>
          <w:tcPr>
            <w:tcW w:w="1026" w:type="dxa"/>
            <w:vAlign w:val="bottom"/>
          </w:tcPr>
          <w:p w:rsidR="00000000" w:rsidRDefault="00000000">
            <w:pPr>
              <w:spacing w:before="60" w:after="60"/>
              <w:jc w:val="right"/>
              <w:rPr>
                <w:sz w:val="20"/>
              </w:rPr>
            </w:pPr>
            <w:r>
              <w:rPr>
                <w:sz w:val="20"/>
              </w:rPr>
              <w:t>1 150</w:t>
            </w:r>
          </w:p>
        </w:tc>
      </w:tr>
      <w:tr w:rsidR="00000000">
        <w:tblPrEx>
          <w:tblCellMar>
            <w:top w:w="0" w:type="dxa"/>
            <w:bottom w:w="0" w:type="dxa"/>
          </w:tblCellMar>
        </w:tblPrEx>
        <w:tc>
          <w:tcPr>
            <w:tcW w:w="3724" w:type="dxa"/>
          </w:tcPr>
          <w:p w:rsidR="00000000" w:rsidRDefault="00000000">
            <w:pPr>
              <w:spacing w:before="60" w:after="60"/>
              <w:rPr>
                <w:sz w:val="20"/>
              </w:rPr>
            </w:pPr>
            <w:r>
              <w:rPr>
                <w:sz w:val="20"/>
              </w:rPr>
              <w:t>Église orthodoxe russe (y compris l’Église russe à l’étranger et les vieux croyants)</w:t>
            </w:r>
          </w:p>
        </w:tc>
        <w:tc>
          <w:tcPr>
            <w:tcW w:w="791" w:type="dxa"/>
            <w:vAlign w:val="bottom"/>
          </w:tcPr>
          <w:p w:rsidR="00000000" w:rsidRDefault="00000000">
            <w:pPr>
              <w:spacing w:before="60" w:after="60"/>
              <w:jc w:val="right"/>
              <w:rPr>
                <w:sz w:val="20"/>
              </w:rPr>
            </w:pPr>
            <w:r>
              <w:rPr>
                <w:sz w:val="20"/>
              </w:rPr>
              <w:t>62</w:t>
            </w:r>
          </w:p>
        </w:tc>
        <w:tc>
          <w:tcPr>
            <w:tcW w:w="791" w:type="dxa"/>
            <w:vAlign w:val="bottom"/>
          </w:tcPr>
          <w:p w:rsidR="00000000" w:rsidRDefault="00000000">
            <w:pPr>
              <w:spacing w:before="60" w:after="60"/>
              <w:jc w:val="right"/>
              <w:rPr>
                <w:sz w:val="20"/>
              </w:rPr>
            </w:pPr>
            <w:r>
              <w:rPr>
                <w:sz w:val="20"/>
              </w:rPr>
              <w:t>131</w:t>
            </w:r>
          </w:p>
        </w:tc>
        <w:tc>
          <w:tcPr>
            <w:tcW w:w="791" w:type="dxa"/>
            <w:vAlign w:val="bottom"/>
          </w:tcPr>
          <w:p w:rsidR="00000000" w:rsidRDefault="00000000">
            <w:pPr>
              <w:spacing w:before="60" w:after="60"/>
              <w:jc w:val="right"/>
              <w:rPr>
                <w:sz w:val="20"/>
              </w:rPr>
            </w:pPr>
            <w:r>
              <w:rPr>
                <w:sz w:val="20"/>
              </w:rPr>
              <w:t>165</w:t>
            </w:r>
          </w:p>
        </w:tc>
        <w:tc>
          <w:tcPr>
            <w:tcW w:w="791" w:type="dxa"/>
            <w:vAlign w:val="bottom"/>
          </w:tcPr>
          <w:p w:rsidR="00000000" w:rsidRDefault="00000000">
            <w:pPr>
              <w:spacing w:before="60" w:after="60"/>
              <w:jc w:val="right"/>
              <w:rPr>
                <w:sz w:val="20"/>
              </w:rPr>
            </w:pPr>
            <w:r>
              <w:rPr>
                <w:sz w:val="20"/>
              </w:rPr>
              <w:t>185</w:t>
            </w:r>
          </w:p>
        </w:tc>
        <w:tc>
          <w:tcPr>
            <w:tcW w:w="791" w:type="dxa"/>
            <w:vAlign w:val="bottom"/>
          </w:tcPr>
          <w:p w:rsidR="00000000" w:rsidRDefault="00000000">
            <w:pPr>
              <w:spacing w:before="60" w:after="60"/>
              <w:jc w:val="right"/>
              <w:rPr>
                <w:sz w:val="20"/>
              </w:rPr>
            </w:pPr>
            <w:r>
              <w:rPr>
                <w:sz w:val="20"/>
              </w:rPr>
              <w:t>196</w:t>
            </w:r>
          </w:p>
        </w:tc>
        <w:tc>
          <w:tcPr>
            <w:tcW w:w="791" w:type="dxa"/>
            <w:vAlign w:val="bottom"/>
          </w:tcPr>
          <w:p w:rsidR="00000000" w:rsidRDefault="00000000">
            <w:pPr>
              <w:spacing w:before="60" w:after="60"/>
              <w:jc w:val="right"/>
              <w:rPr>
                <w:sz w:val="20"/>
              </w:rPr>
            </w:pPr>
            <w:r>
              <w:rPr>
                <w:sz w:val="20"/>
              </w:rPr>
              <w:t>220</w:t>
            </w:r>
          </w:p>
        </w:tc>
        <w:tc>
          <w:tcPr>
            <w:tcW w:w="1026" w:type="dxa"/>
            <w:vAlign w:val="bottom"/>
          </w:tcPr>
          <w:p w:rsidR="00000000" w:rsidRDefault="00000000">
            <w:pPr>
              <w:spacing w:before="60" w:after="60"/>
              <w:jc w:val="right"/>
              <w:rPr>
                <w:sz w:val="20"/>
              </w:rPr>
            </w:pPr>
            <w:r>
              <w:rPr>
                <w:sz w:val="20"/>
              </w:rPr>
              <w:t>229</w:t>
            </w:r>
          </w:p>
        </w:tc>
      </w:tr>
      <w:tr w:rsidR="00000000">
        <w:tblPrEx>
          <w:tblCellMar>
            <w:top w:w="0" w:type="dxa"/>
            <w:bottom w:w="0" w:type="dxa"/>
          </w:tblCellMar>
        </w:tblPrEx>
        <w:tc>
          <w:tcPr>
            <w:tcW w:w="3724" w:type="dxa"/>
          </w:tcPr>
          <w:p w:rsidR="00000000" w:rsidRDefault="00000000">
            <w:pPr>
              <w:spacing w:before="60" w:after="60"/>
              <w:rPr>
                <w:sz w:val="20"/>
              </w:rPr>
            </w:pPr>
            <w:r>
              <w:rPr>
                <w:sz w:val="20"/>
              </w:rPr>
              <w:t>Église catholique romaine (y compris les catholiques grecs)</w:t>
            </w:r>
          </w:p>
        </w:tc>
        <w:tc>
          <w:tcPr>
            <w:tcW w:w="791" w:type="dxa"/>
            <w:vAlign w:val="bottom"/>
          </w:tcPr>
          <w:p w:rsidR="00000000" w:rsidRDefault="00000000">
            <w:pPr>
              <w:spacing w:before="60" w:after="60"/>
              <w:jc w:val="right"/>
              <w:rPr>
                <w:sz w:val="20"/>
              </w:rPr>
            </w:pPr>
            <w:r>
              <w:rPr>
                <w:sz w:val="20"/>
              </w:rPr>
              <w:t>42</w:t>
            </w:r>
          </w:p>
        </w:tc>
        <w:tc>
          <w:tcPr>
            <w:tcW w:w="791" w:type="dxa"/>
            <w:vAlign w:val="bottom"/>
          </w:tcPr>
          <w:p w:rsidR="00000000" w:rsidRDefault="00000000">
            <w:pPr>
              <w:spacing w:before="60" w:after="60"/>
              <w:jc w:val="right"/>
              <w:rPr>
                <w:sz w:val="20"/>
              </w:rPr>
            </w:pPr>
            <w:r>
              <w:rPr>
                <w:sz w:val="20"/>
              </w:rPr>
              <w:t>66</w:t>
            </w:r>
          </w:p>
        </w:tc>
        <w:tc>
          <w:tcPr>
            <w:tcW w:w="791" w:type="dxa"/>
            <w:vAlign w:val="bottom"/>
          </w:tcPr>
          <w:p w:rsidR="00000000" w:rsidRDefault="00000000">
            <w:pPr>
              <w:spacing w:before="60" w:after="60"/>
              <w:jc w:val="right"/>
              <w:rPr>
                <w:sz w:val="20"/>
              </w:rPr>
            </w:pPr>
            <w:r>
              <w:rPr>
                <w:sz w:val="20"/>
              </w:rPr>
              <w:t>66</w:t>
            </w:r>
          </w:p>
        </w:tc>
        <w:tc>
          <w:tcPr>
            <w:tcW w:w="791" w:type="dxa"/>
            <w:vAlign w:val="bottom"/>
          </w:tcPr>
          <w:p w:rsidR="00000000" w:rsidRDefault="00000000">
            <w:pPr>
              <w:spacing w:before="60" w:after="60"/>
              <w:jc w:val="right"/>
              <w:rPr>
                <w:sz w:val="20"/>
              </w:rPr>
            </w:pPr>
            <w:r>
              <w:rPr>
                <w:sz w:val="20"/>
              </w:rPr>
              <w:t>68</w:t>
            </w:r>
          </w:p>
        </w:tc>
        <w:tc>
          <w:tcPr>
            <w:tcW w:w="791" w:type="dxa"/>
            <w:vAlign w:val="bottom"/>
          </w:tcPr>
          <w:p w:rsidR="00000000" w:rsidRDefault="00000000">
            <w:pPr>
              <w:spacing w:before="60" w:after="60"/>
              <w:jc w:val="right"/>
              <w:rPr>
                <w:sz w:val="20"/>
              </w:rPr>
            </w:pPr>
            <w:r>
              <w:rPr>
                <w:sz w:val="20"/>
              </w:rPr>
              <w:t>71</w:t>
            </w:r>
          </w:p>
        </w:tc>
        <w:tc>
          <w:tcPr>
            <w:tcW w:w="791" w:type="dxa"/>
            <w:vAlign w:val="bottom"/>
          </w:tcPr>
          <w:p w:rsidR="00000000" w:rsidRDefault="00000000">
            <w:pPr>
              <w:spacing w:before="60" w:after="60"/>
              <w:jc w:val="right"/>
              <w:rPr>
                <w:sz w:val="20"/>
              </w:rPr>
            </w:pPr>
            <w:r>
              <w:rPr>
                <w:sz w:val="20"/>
              </w:rPr>
              <w:t>71</w:t>
            </w:r>
          </w:p>
        </w:tc>
        <w:tc>
          <w:tcPr>
            <w:tcW w:w="1026" w:type="dxa"/>
            <w:vAlign w:val="bottom"/>
          </w:tcPr>
          <w:p w:rsidR="00000000" w:rsidRDefault="00000000">
            <w:pPr>
              <w:spacing w:before="60" w:after="60"/>
              <w:jc w:val="right"/>
              <w:rPr>
                <w:sz w:val="20"/>
              </w:rPr>
            </w:pPr>
            <w:r>
              <w:rPr>
                <w:sz w:val="20"/>
              </w:rPr>
              <w:t>73</w:t>
            </w:r>
          </w:p>
        </w:tc>
      </w:tr>
      <w:tr w:rsidR="00000000">
        <w:tblPrEx>
          <w:tblCellMar>
            <w:top w:w="0" w:type="dxa"/>
            <w:bottom w:w="0" w:type="dxa"/>
          </w:tblCellMar>
        </w:tblPrEx>
        <w:tc>
          <w:tcPr>
            <w:tcW w:w="3724" w:type="dxa"/>
          </w:tcPr>
          <w:p w:rsidR="00000000" w:rsidRDefault="00000000">
            <w:pPr>
              <w:spacing w:before="60" w:after="60"/>
              <w:rPr>
                <w:sz w:val="20"/>
              </w:rPr>
            </w:pPr>
            <w:r>
              <w:rPr>
                <w:sz w:val="20"/>
              </w:rPr>
              <w:t>Chrétiens baptistes évangéliques</w:t>
            </w:r>
          </w:p>
        </w:tc>
        <w:tc>
          <w:tcPr>
            <w:tcW w:w="791" w:type="dxa"/>
            <w:vAlign w:val="bottom"/>
          </w:tcPr>
          <w:p w:rsidR="00000000" w:rsidRDefault="00000000">
            <w:pPr>
              <w:spacing w:before="60" w:after="60"/>
              <w:jc w:val="right"/>
              <w:rPr>
                <w:sz w:val="20"/>
              </w:rPr>
            </w:pPr>
            <w:r>
              <w:rPr>
                <w:sz w:val="20"/>
              </w:rPr>
              <w:t>168</w:t>
            </w:r>
          </w:p>
        </w:tc>
        <w:tc>
          <w:tcPr>
            <w:tcW w:w="791" w:type="dxa"/>
            <w:vAlign w:val="bottom"/>
          </w:tcPr>
          <w:p w:rsidR="00000000" w:rsidRDefault="00000000">
            <w:pPr>
              <w:spacing w:before="60" w:after="60"/>
              <w:jc w:val="right"/>
              <w:rPr>
                <w:sz w:val="20"/>
              </w:rPr>
            </w:pPr>
            <w:r>
              <w:rPr>
                <w:sz w:val="20"/>
              </w:rPr>
              <w:t>162</w:t>
            </w:r>
          </w:p>
        </w:tc>
        <w:tc>
          <w:tcPr>
            <w:tcW w:w="791" w:type="dxa"/>
            <w:vAlign w:val="bottom"/>
          </w:tcPr>
          <w:p w:rsidR="00000000" w:rsidRDefault="00000000">
            <w:pPr>
              <w:spacing w:before="60" w:after="60"/>
              <w:jc w:val="right"/>
              <w:rPr>
                <w:sz w:val="20"/>
              </w:rPr>
            </w:pPr>
            <w:r>
              <w:rPr>
                <w:sz w:val="20"/>
              </w:rPr>
              <w:t>130</w:t>
            </w:r>
          </w:p>
        </w:tc>
        <w:tc>
          <w:tcPr>
            <w:tcW w:w="791" w:type="dxa"/>
            <w:vAlign w:val="bottom"/>
          </w:tcPr>
          <w:p w:rsidR="00000000" w:rsidRDefault="00000000">
            <w:pPr>
              <w:spacing w:before="60" w:after="60"/>
              <w:jc w:val="right"/>
              <w:rPr>
                <w:sz w:val="20"/>
              </w:rPr>
            </w:pPr>
            <w:r>
              <w:rPr>
                <w:sz w:val="20"/>
              </w:rPr>
              <w:t>140</w:t>
            </w:r>
          </w:p>
        </w:tc>
        <w:tc>
          <w:tcPr>
            <w:tcW w:w="791" w:type="dxa"/>
            <w:vAlign w:val="bottom"/>
          </w:tcPr>
          <w:p w:rsidR="00000000" w:rsidRDefault="00000000">
            <w:pPr>
              <w:spacing w:before="60" w:after="60"/>
              <w:jc w:val="right"/>
              <w:rPr>
                <w:sz w:val="20"/>
              </w:rPr>
            </w:pPr>
            <w:r>
              <w:rPr>
                <w:sz w:val="20"/>
              </w:rPr>
              <w:t>141</w:t>
            </w:r>
          </w:p>
        </w:tc>
        <w:tc>
          <w:tcPr>
            <w:tcW w:w="791" w:type="dxa"/>
            <w:vAlign w:val="bottom"/>
          </w:tcPr>
          <w:p w:rsidR="00000000" w:rsidRDefault="00000000">
            <w:pPr>
              <w:spacing w:before="60" w:after="60"/>
              <w:jc w:val="right"/>
              <w:rPr>
                <w:sz w:val="20"/>
              </w:rPr>
            </w:pPr>
            <w:r>
              <w:rPr>
                <w:sz w:val="20"/>
              </w:rPr>
              <w:t>242</w:t>
            </w:r>
          </w:p>
        </w:tc>
        <w:tc>
          <w:tcPr>
            <w:tcW w:w="1026" w:type="dxa"/>
            <w:vAlign w:val="bottom"/>
          </w:tcPr>
          <w:p w:rsidR="00000000" w:rsidRDefault="00000000">
            <w:pPr>
              <w:spacing w:before="60" w:after="60"/>
              <w:jc w:val="right"/>
              <w:rPr>
                <w:sz w:val="20"/>
              </w:rPr>
            </w:pPr>
            <w:r>
              <w:rPr>
                <w:sz w:val="20"/>
              </w:rPr>
              <w:t>257</w:t>
            </w:r>
          </w:p>
        </w:tc>
      </w:tr>
      <w:tr w:rsidR="00000000">
        <w:tblPrEx>
          <w:tblCellMar>
            <w:top w:w="0" w:type="dxa"/>
            <w:bottom w:w="0" w:type="dxa"/>
          </w:tblCellMar>
        </w:tblPrEx>
        <w:tc>
          <w:tcPr>
            <w:tcW w:w="3724" w:type="dxa"/>
          </w:tcPr>
          <w:p w:rsidR="00000000" w:rsidRDefault="00000000">
            <w:pPr>
              <w:spacing w:before="60" w:after="60"/>
              <w:rPr>
                <w:sz w:val="20"/>
              </w:rPr>
            </w:pPr>
            <w:r>
              <w:rPr>
                <w:sz w:val="20"/>
              </w:rPr>
              <w:t>Luthériens</w:t>
            </w:r>
          </w:p>
        </w:tc>
        <w:tc>
          <w:tcPr>
            <w:tcW w:w="791" w:type="dxa"/>
            <w:vAlign w:val="bottom"/>
          </w:tcPr>
          <w:p w:rsidR="00000000" w:rsidRDefault="00000000">
            <w:pPr>
              <w:spacing w:before="60" w:after="60"/>
              <w:jc w:val="right"/>
              <w:rPr>
                <w:sz w:val="20"/>
              </w:rPr>
            </w:pPr>
            <w:r>
              <w:rPr>
                <w:sz w:val="20"/>
              </w:rPr>
              <w:t>171</w:t>
            </w:r>
          </w:p>
        </w:tc>
        <w:tc>
          <w:tcPr>
            <w:tcW w:w="791" w:type="dxa"/>
            <w:vAlign w:val="bottom"/>
          </w:tcPr>
          <w:p w:rsidR="00000000" w:rsidRDefault="00000000">
            <w:pPr>
              <w:spacing w:before="60" w:after="60"/>
              <w:jc w:val="right"/>
              <w:rPr>
                <w:sz w:val="20"/>
              </w:rPr>
            </w:pPr>
            <w:r>
              <w:rPr>
                <w:sz w:val="20"/>
              </w:rPr>
              <w:t>152</w:t>
            </w:r>
          </w:p>
        </w:tc>
        <w:tc>
          <w:tcPr>
            <w:tcW w:w="791" w:type="dxa"/>
            <w:vAlign w:val="bottom"/>
          </w:tcPr>
          <w:p w:rsidR="00000000" w:rsidRDefault="00000000">
            <w:pPr>
              <w:spacing w:before="60" w:after="60"/>
              <w:jc w:val="right"/>
              <w:rPr>
                <w:sz w:val="20"/>
              </w:rPr>
            </w:pPr>
            <w:r>
              <w:rPr>
                <w:sz w:val="20"/>
              </w:rPr>
              <w:t>117</w:t>
            </w:r>
          </w:p>
        </w:tc>
        <w:tc>
          <w:tcPr>
            <w:tcW w:w="791" w:type="dxa"/>
            <w:vAlign w:val="bottom"/>
          </w:tcPr>
          <w:p w:rsidR="00000000" w:rsidRDefault="00000000">
            <w:pPr>
              <w:spacing w:before="60" w:after="60"/>
              <w:jc w:val="right"/>
              <w:rPr>
                <w:sz w:val="20"/>
              </w:rPr>
            </w:pPr>
            <w:r>
              <w:rPr>
                <w:sz w:val="20"/>
              </w:rPr>
              <w:t>110</w:t>
            </w:r>
          </w:p>
        </w:tc>
        <w:tc>
          <w:tcPr>
            <w:tcW w:w="791" w:type="dxa"/>
            <w:vAlign w:val="bottom"/>
          </w:tcPr>
          <w:p w:rsidR="00000000" w:rsidRDefault="00000000">
            <w:pPr>
              <w:spacing w:before="60" w:after="60"/>
              <w:jc w:val="right"/>
              <w:rPr>
                <w:sz w:val="20"/>
              </w:rPr>
            </w:pPr>
            <w:r>
              <w:rPr>
                <w:sz w:val="20"/>
              </w:rPr>
              <w:t>81</w:t>
            </w:r>
          </w:p>
        </w:tc>
        <w:tc>
          <w:tcPr>
            <w:tcW w:w="791" w:type="dxa"/>
            <w:vAlign w:val="bottom"/>
          </w:tcPr>
          <w:p w:rsidR="00000000" w:rsidRDefault="00000000">
            <w:pPr>
              <w:spacing w:before="60" w:after="60"/>
              <w:jc w:val="right"/>
              <w:rPr>
                <w:sz w:val="20"/>
              </w:rPr>
            </w:pPr>
            <w:r>
              <w:rPr>
                <w:sz w:val="20"/>
              </w:rPr>
              <w:t>84</w:t>
            </w:r>
          </w:p>
        </w:tc>
        <w:tc>
          <w:tcPr>
            <w:tcW w:w="1026" w:type="dxa"/>
            <w:vAlign w:val="bottom"/>
          </w:tcPr>
          <w:p w:rsidR="00000000" w:rsidRDefault="00000000">
            <w:pPr>
              <w:spacing w:before="60" w:after="60"/>
              <w:jc w:val="right"/>
              <w:rPr>
                <w:sz w:val="20"/>
              </w:rPr>
            </w:pPr>
            <w:r>
              <w:rPr>
                <w:sz w:val="20"/>
              </w:rPr>
              <w:t>82</w:t>
            </w:r>
          </w:p>
        </w:tc>
      </w:tr>
      <w:tr w:rsidR="00000000">
        <w:tblPrEx>
          <w:tblCellMar>
            <w:top w:w="0" w:type="dxa"/>
            <w:bottom w:w="0" w:type="dxa"/>
          </w:tblCellMar>
        </w:tblPrEx>
        <w:tc>
          <w:tcPr>
            <w:tcW w:w="3724" w:type="dxa"/>
          </w:tcPr>
          <w:p w:rsidR="00000000" w:rsidRDefault="00000000">
            <w:pPr>
              <w:spacing w:before="60" w:after="60"/>
              <w:rPr>
                <w:sz w:val="20"/>
              </w:rPr>
            </w:pPr>
            <w:r>
              <w:rPr>
                <w:sz w:val="20"/>
              </w:rPr>
              <w:t>Adventistes du septième jour</w:t>
            </w:r>
          </w:p>
        </w:tc>
        <w:tc>
          <w:tcPr>
            <w:tcW w:w="791" w:type="dxa"/>
            <w:vAlign w:val="bottom"/>
          </w:tcPr>
          <w:p w:rsidR="00000000" w:rsidRDefault="00000000">
            <w:pPr>
              <w:spacing w:before="60" w:after="60"/>
              <w:jc w:val="right"/>
              <w:rPr>
                <w:sz w:val="20"/>
              </w:rPr>
            </w:pPr>
            <w:r>
              <w:rPr>
                <w:sz w:val="20"/>
              </w:rPr>
              <w:t>36</w:t>
            </w:r>
          </w:p>
        </w:tc>
        <w:tc>
          <w:tcPr>
            <w:tcW w:w="791" w:type="dxa"/>
            <w:vAlign w:val="bottom"/>
          </w:tcPr>
          <w:p w:rsidR="00000000" w:rsidRDefault="00000000">
            <w:pPr>
              <w:spacing w:before="60" w:after="60"/>
              <w:jc w:val="right"/>
              <w:rPr>
                <w:sz w:val="20"/>
              </w:rPr>
            </w:pPr>
            <w:r>
              <w:rPr>
                <w:sz w:val="20"/>
              </w:rPr>
              <w:t>36</w:t>
            </w:r>
          </w:p>
        </w:tc>
        <w:tc>
          <w:tcPr>
            <w:tcW w:w="791" w:type="dxa"/>
            <w:vAlign w:val="bottom"/>
          </w:tcPr>
          <w:p w:rsidR="00000000" w:rsidRDefault="00000000">
            <w:pPr>
              <w:spacing w:before="60" w:after="60"/>
              <w:jc w:val="right"/>
              <w:rPr>
                <w:sz w:val="20"/>
              </w:rPr>
            </w:pPr>
            <w:r>
              <w:rPr>
                <w:sz w:val="20"/>
              </w:rPr>
              <w:t>34</w:t>
            </w:r>
          </w:p>
        </w:tc>
        <w:tc>
          <w:tcPr>
            <w:tcW w:w="791" w:type="dxa"/>
            <w:vAlign w:val="bottom"/>
          </w:tcPr>
          <w:p w:rsidR="00000000" w:rsidRDefault="00000000">
            <w:pPr>
              <w:spacing w:before="60" w:after="60"/>
              <w:jc w:val="right"/>
              <w:rPr>
                <w:sz w:val="20"/>
              </w:rPr>
            </w:pPr>
            <w:r>
              <w:rPr>
                <w:sz w:val="20"/>
              </w:rPr>
              <w:t>41</w:t>
            </w:r>
          </w:p>
        </w:tc>
        <w:tc>
          <w:tcPr>
            <w:tcW w:w="791" w:type="dxa"/>
            <w:vAlign w:val="bottom"/>
          </w:tcPr>
          <w:p w:rsidR="00000000" w:rsidRDefault="00000000">
            <w:pPr>
              <w:spacing w:before="60" w:after="60"/>
              <w:jc w:val="right"/>
              <w:rPr>
                <w:sz w:val="20"/>
              </w:rPr>
            </w:pPr>
            <w:r>
              <w:rPr>
                <w:sz w:val="20"/>
              </w:rPr>
              <w:t>45</w:t>
            </w:r>
          </w:p>
        </w:tc>
        <w:tc>
          <w:tcPr>
            <w:tcW w:w="791" w:type="dxa"/>
            <w:vAlign w:val="bottom"/>
          </w:tcPr>
          <w:p w:rsidR="00000000" w:rsidRDefault="00000000">
            <w:pPr>
              <w:spacing w:before="60" w:after="60"/>
              <w:jc w:val="right"/>
              <w:rPr>
                <w:sz w:val="20"/>
              </w:rPr>
            </w:pPr>
            <w:r>
              <w:rPr>
                <w:sz w:val="20"/>
              </w:rPr>
              <w:t>64</w:t>
            </w:r>
          </w:p>
        </w:tc>
        <w:tc>
          <w:tcPr>
            <w:tcW w:w="1026" w:type="dxa"/>
            <w:vAlign w:val="bottom"/>
          </w:tcPr>
          <w:p w:rsidR="00000000" w:rsidRDefault="00000000">
            <w:pPr>
              <w:spacing w:before="60" w:after="60"/>
              <w:jc w:val="right"/>
              <w:rPr>
                <w:sz w:val="20"/>
              </w:rPr>
            </w:pPr>
            <w:r>
              <w:rPr>
                <w:sz w:val="20"/>
              </w:rPr>
              <w:t>68</w:t>
            </w:r>
          </w:p>
        </w:tc>
      </w:tr>
      <w:tr w:rsidR="00000000">
        <w:tblPrEx>
          <w:tblCellMar>
            <w:top w:w="0" w:type="dxa"/>
            <w:bottom w:w="0" w:type="dxa"/>
          </w:tblCellMar>
        </w:tblPrEx>
        <w:tc>
          <w:tcPr>
            <w:tcW w:w="3724" w:type="dxa"/>
          </w:tcPr>
          <w:p w:rsidR="00000000" w:rsidRDefault="00000000">
            <w:pPr>
              <w:keepNext/>
              <w:spacing w:before="60" w:after="60"/>
              <w:rPr>
                <w:sz w:val="20"/>
              </w:rPr>
            </w:pPr>
            <w:r>
              <w:rPr>
                <w:sz w:val="20"/>
              </w:rPr>
              <w:t>Témoins de Jéhovah</w:t>
            </w:r>
          </w:p>
        </w:tc>
        <w:tc>
          <w:tcPr>
            <w:tcW w:w="791" w:type="dxa"/>
            <w:vAlign w:val="bottom"/>
          </w:tcPr>
          <w:p w:rsidR="00000000" w:rsidRDefault="00000000">
            <w:pPr>
              <w:spacing w:before="60" w:after="60"/>
              <w:jc w:val="right"/>
              <w:rPr>
                <w:sz w:val="20"/>
              </w:rPr>
            </w:pPr>
            <w:r>
              <w:rPr>
                <w:sz w:val="20"/>
              </w:rPr>
              <w:t>27</w:t>
            </w:r>
          </w:p>
        </w:tc>
        <w:tc>
          <w:tcPr>
            <w:tcW w:w="791" w:type="dxa"/>
            <w:vAlign w:val="bottom"/>
          </w:tcPr>
          <w:p w:rsidR="00000000" w:rsidRDefault="00000000">
            <w:pPr>
              <w:spacing w:before="60" w:after="60"/>
              <w:jc w:val="right"/>
              <w:rPr>
                <w:sz w:val="20"/>
              </w:rPr>
            </w:pPr>
            <w:r>
              <w:rPr>
                <w:sz w:val="20"/>
              </w:rPr>
              <w:t>33</w:t>
            </w:r>
          </w:p>
        </w:tc>
        <w:tc>
          <w:tcPr>
            <w:tcW w:w="791" w:type="dxa"/>
            <w:vAlign w:val="bottom"/>
          </w:tcPr>
          <w:p w:rsidR="00000000" w:rsidRDefault="00000000">
            <w:pPr>
              <w:spacing w:before="60" w:after="60"/>
              <w:jc w:val="right"/>
              <w:rPr>
                <w:sz w:val="20"/>
              </w:rPr>
            </w:pPr>
            <w:r>
              <w:rPr>
                <w:sz w:val="20"/>
              </w:rPr>
              <w:t>27</w:t>
            </w:r>
          </w:p>
        </w:tc>
        <w:tc>
          <w:tcPr>
            <w:tcW w:w="791" w:type="dxa"/>
            <w:vAlign w:val="bottom"/>
          </w:tcPr>
          <w:p w:rsidR="00000000" w:rsidRDefault="00000000">
            <w:pPr>
              <w:spacing w:before="60" w:after="60"/>
              <w:jc w:val="right"/>
              <w:rPr>
                <w:sz w:val="20"/>
              </w:rPr>
            </w:pPr>
            <w:r>
              <w:rPr>
                <w:sz w:val="20"/>
              </w:rPr>
              <w:t>45</w:t>
            </w:r>
          </w:p>
        </w:tc>
        <w:tc>
          <w:tcPr>
            <w:tcW w:w="791" w:type="dxa"/>
            <w:vAlign w:val="bottom"/>
          </w:tcPr>
          <w:p w:rsidR="00000000" w:rsidRDefault="00000000">
            <w:pPr>
              <w:spacing w:before="60" w:after="60"/>
              <w:jc w:val="right"/>
              <w:rPr>
                <w:sz w:val="20"/>
              </w:rPr>
            </w:pPr>
            <w:r>
              <w:rPr>
                <w:sz w:val="20"/>
              </w:rPr>
              <w:t>52</w:t>
            </w:r>
          </w:p>
        </w:tc>
        <w:tc>
          <w:tcPr>
            <w:tcW w:w="791" w:type="dxa"/>
            <w:vAlign w:val="bottom"/>
          </w:tcPr>
          <w:p w:rsidR="00000000" w:rsidRDefault="00000000">
            <w:pPr>
              <w:spacing w:before="60" w:after="60"/>
              <w:jc w:val="right"/>
              <w:rPr>
                <w:sz w:val="20"/>
              </w:rPr>
            </w:pPr>
            <w:r>
              <w:rPr>
                <w:sz w:val="20"/>
              </w:rPr>
              <w:t>97</w:t>
            </w:r>
          </w:p>
        </w:tc>
        <w:tc>
          <w:tcPr>
            <w:tcW w:w="1026" w:type="dxa"/>
            <w:vAlign w:val="bottom"/>
          </w:tcPr>
          <w:p w:rsidR="00000000" w:rsidRDefault="00000000">
            <w:pPr>
              <w:spacing w:before="60" w:after="60"/>
              <w:jc w:val="right"/>
              <w:rPr>
                <w:sz w:val="20"/>
              </w:rPr>
            </w:pPr>
            <w:r>
              <w:rPr>
                <w:sz w:val="20"/>
              </w:rPr>
              <w:t>108</w:t>
            </w:r>
          </w:p>
        </w:tc>
      </w:tr>
      <w:tr w:rsidR="00000000">
        <w:tblPrEx>
          <w:tblCellMar>
            <w:top w:w="0" w:type="dxa"/>
            <w:bottom w:w="0" w:type="dxa"/>
          </w:tblCellMar>
        </w:tblPrEx>
        <w:tc>
          <w:tcPr>
            <w:tcW w:w="3724" w:type="dxa"/>
          </w:tcPr>
          <w:p w:rsidR="00000000" w:rsidRDefault="00000000">
            <w:pPr>
              <w:spacing w:before="60" w:after="60"/>
              <w:rPr>
                <w:sz w:val="20"/>
              </w:rPr>
            </w:pPr>
            <w:r>
              <w:rPr>
                <w:sz w:val="20"/>
              </w:rPr>
              <w:t>Pentecôtistes</w:t>
            </w:r>
          </w:p>
        </w:tc>
        <w:tc>
          <w:tcPr>
            <w:tcW w:w="791" w:type="dxa"/>
            <w:vAlign w:val="bottom"/>
          </w:tcPr>
          <w:p w:rsidR="00000000" w:rsidRDefault="00000000">
            <w:pPr>
              <w:spacing w:before="60" w:after="60"/>
              <w:jc w:val="right"/>
              <w:rPr>
                <w:sz w:val="20"/>
              </w:rPr>
            </w:pPr>
            <w:r>
              <w:rPr>
                <w:sz w:val="20"/>
              </w:rPr>
              <w:t>42</w:t>
            </w:r>
          </w:p>
        </w:tc>
        <w:tc>
          <w:tcPr>
            <w:tcW w:w="791" w:type="dxa"/>
            <w:vAlign w:val="bottom"/>
          </w:tcPr>
          <w:p w:rsidR="00000000" w:rsidRDefault="00000000">
            <w:pPr>
              <w:spacing w:before="60" w:after="60"/>
              <w:jc w:val="right"/>
              <w:rPr>
                <w:sz w:val="20"/>
              </w:rPr>
            </w:pPr>
            <w:r>
              <w:rPr>
                <w:sz w:val="20"/>
              </w:rPr>
              <w:t>36</w:t>
            </w:r>
          </w:p>
        </w:tc>
        <w:tc>
          <w:tcPr>
            <w:tcW w:w="791" w:type="dxa"/>
            <w:vAlign w:val="bottom"/>
          </w:tcPr>
          <w:p w:rsidR="00000000" w:rsidRDefault="00000000">
            <w:pPr>
              <w:spacing w:before="60" w:after="60"/>
              <w:jc w:val="right"/>
              <w:rPr>
                <w:sz w:val="20"/>
              </w:rPr>
            </w:pPr>
            <w:r>
              <w:rPr>
                <w:sz w:val="20"/>
              </w:rPr>
              <w:t>19</w:t>
            </w:r>
          </w:p>
        </w:tc>
        <w:tc>
          <w:tcPr>
            <w:tcW w:w="791" w:type="dxa"/>
            <w:vAlign w:val="bottom"/>
          </w:tcPr>
          <w:p w:rsidR="00000000" w:rsidRDefault="00000000">
            <w:pPr>
              <w:spacing w:before="60" w:after="60"/>
              <w:jc w:val="right"/>
              <w:rPr>
                <w:sz w:val="20"/>
              </w:rPr>
            </w:pPr>
            <w:r>
              <w:rPr>
                <w:sz w:val="20"/>
              </w:rPr>
              <w:t>18</w:t>
            </w:r>
          </w:p>
        </w:tc>
        <w:tc>
          <w:tcPr>
            <w:tcW w:w="791" w:type="dxa"/>
            <w:vAlign w:val="bottom"/>
          </w:tcPr>
          <w:p w:rsidR="00000000" w:rsidRDefault="00000000">
            <w:pPr>
              <w:spacing w:before="60" w:after="60"/>
              <w:jc w:val="right"/>
              <w:rPr>
                <w:sz w:val="20"/>
              </w:rPr>
            </w:pPr>
            <w:r>
              <w:rPr>
                <w:sz w:val="20"/>
              </w:rPr>
              <w:t>19</w:t>
            </w:r>
          </w:p>
        </w:tc>
        <w:tc>
          <w:tcPr>
            <w:tcW w:w="791" w:type="dxa"/>
            <w:vAlign w:val="bottom"/>
          </w:tcPr>
          <w:p w:rsidR="00000000" w:rsidRDefault="00000000">
            <w:pPr>
              <w:spacing w:before="60" w:after="60"/>
              <w:jc w:val="right"/>
              <w:rPr>
                <w:sz w:val="20"/>
              </w:rPr>
            </w:pPr>
            <w:r>
              <w:rPr>
                <w:sz w:val="20"/>
              </w:rPr>
              <w:t>37</w:t>
            </w:r>
          </w:p>
        </w:tc>
        <w:tc>
          <w:tcPr>
            <w:tcW w:w="1026" w:type="dxa"/>
            <w:vAlign w:val="bottom"/>
          </w:tcPr>
          <w:p w:rsidR="00000000" w:rsidRDefault="00000000">
            <w:pPr>
              <w:spacing w:before="60" w:after="60"/>
              <w:jc w:val="right"/>
              <w:rPr>
                <w:sz w:val="20"/>
              </w:rPr>
            </w:pPr>
            <w:r>
              <w:rPr>
                <w:sz w:val="20"/>
              </w:rPr>
              <w:t>31</w:t>
            </w:r>
          </w:p>
        </w:tc>
      </w:tr>
      <w:tr w:rsidR="00000000">
        <w:tblPrEx>
          <w:tblCellMar>
            <w:top w:w="0" w:type="dxa"/>
            <w:bottom w:w="0" w:type="dxa"/>
          </w:tblCellMar>
        </w:tblPrEx>
        <w:tc>
          <w:tcPr>
            <w:tcW w:w="3724" w:type="dxa"/>
          </w:tcPr>
          <w:p w:rsidR="00000000" w:rsidRDefault="00000000">
            <w:pPr>
              <w:spacing w:before="60" w:after="60"/>
              <w:rPr>
                <w:sz w:val="20"/>
              </w:rPr>
            </w:pPr>
            <w:r>
              <w:rPr>
                <w:sz w:val="20"/>
              </w:rPr>
              <w:t>Pratiquants du judaïsme</w:t>
            </w:r>
          </w:p>
        </w:tc>
        <w:tc>
          <w:tcPr>
            <w:tcW w:w="791" w:type="dxa"/>
            <w:vAlign w:val="bottom"/>
          </w:tcPr>
          <w:p w:rsidR="00000000" w:rsidRDefault="00000000">
            <w:pPr>
              <w:spacing w:before="60" w:after="60"/>
              <w:jc w:val="right"/>
              <w:rPr>
                <w:sz w:val="20"/>
              </w:rPr>
            </w:pPr>
          </w:p>
        </w:tc>
        <w:tc>
          <w:tcPr>
            <w:tcW w:w="791" w:type="dxa"/>
            <w:vAlign w:val="bottom"/>
          </w:tcPr>
          <w:p w:rsidR="00000000" w:rsidRDefault="00000000">
            <w:pPr>
              <w:spacing w:before="60" w:after="60"/>
              <w:jc w:val="right"/>
              <w:rPr>
                <w:sz w:val="20"/>
              </w:rPr>
            </w:pPr>
          </w:p>
        </w:tc>
        <w:tc>
          <w:tcPr>
            <w:tcW w:w="791" w:type="dxa"/>
            <w:vAlign w:val="bottom"/>
          </w:tcPr>
          <w:p w:rsidR="00000000" w:rsidRDefault="00000000">
            <w:pPr>
              <w:spacing w:before="60" w:after="60"/>
              <w:jc w:val="right"/>
              <w:rPr>
                <w:sz w:val="20"/>
              </w:rPr>
            </w:pPr>
          </w:p>
        </w:tc>
        <w:tc>
          <w:tcPr>
            <w:tcW w:w="791" w:type="dxa"/>
            <w:vAlign w:val="bottom"/>
          </w:tcPr>
          <w:p w:rsidR="00000000" w:rsidRDefault="00000000">
            <w:pPr>
              <w:spacing w:before="60" w:after="60"/>
              <w:jc w:val="right"/>
              <w:rPr>
                <w:sz w:val="20"/>
              </w:rPr>
            </w:pPr>
          </w:p>
        </w:tc>
        <w:tc>
          <w:tcPr>
            <w:tcW w:w="791" w:type="dxa"/>
            <w:vAlign w:val="bottom"/>
          </w:tcPr>
          <w:p w:rsidR="00000000" w:rsidRDefault="00000000">
            <w:pPr>
              <w:spacing w:before="60" w:after="60"/>
              <w:jc w:val="right"/>
              <w:rPr>
                <w:sz w:val="20"/>
              </w:rPr>
            </w:pPr>
          </w:p>
        </w:tc>
        <w:tc>
          <w:tcPr>
            <w:tcW w:w="791" w:type="dxa"/>
            <w:vAlign w:val="bottom"/>
          </w:tcPr>
          <w:p w:rsidR="00000000" w:rsidRDefault="00000000">
            <w:pPr>
              <w:spacing w:before="60" w:after="60"/>
              <w:jc w:val="right"/>
              <w:rPr>
                <w:sz w:val="20"/>
              </w:rPr>
            </w:pPr>
          </w:p>
        </w:tc>
        <w:tc>
          <w:tcPr>
            <w:tcW w:w="1026" w:type="dxa"/>
            <w:vAlign w:val="bottom"/>
          </w:tcPr>
          <w:p w:rsidR="00000000" w:rsidRDefault="00000000">
            <w:pPr>
              <w:spacing w:before="60" w:after="60"/>
              <w:jc w:val="right"/>
              <w:rPr>
                <w:sz w:val="20"/>
              </w:rPr>
            </w:pPr>
          </w:p>
        </w:tc>
      </w:tr>
      <w:tr w:rsidR="00000000">
        <w:tblPrEx>
          <w:tblCellMar>
            <w:top w:w="0" w:type="dxa"/>
            <w:bottom w:w="0" w:type="dxa"/>
          </w:tblCellMar>
        </w:tblPrEx>
        <w:tc>
          <w:tcPr>
            <w:tcW w:w="3724" w:type="dxa"/>
          </w:tcPr>
          <w:p w:rsidR="00000000" w:rsidRDefault="00000000">
            <w:pPr>
              <w:spacing w:before="60" w:after="60"/>
              <w:rPr>
                <w:sz w:val="20"/>
              </w:rPr>
            </w:pPr>
            <w:r>
              <w:rPr>
                <w:sz w:val="20"/>
              </w:rPr>
              <w:t>Nouvelle Église apostolique</w:t>
            </w:r>
          </w:p>
        </w:tc>
        <w:tc>
          <w:tcPr>
            <w:tcW w:w="791" w:type="dxa"/>
            <w:vAlign w:val="bottom"/>
          </w:tcPr>
          <w:p w:rsidR="00000000" w:rsidRDefault="00000000">
            <w:pPr>
              <w:spacing w:before="60" w:after="60"/>
              <w:jc w:val="right"/>
              <w:rPr>
                <w:sz w:val="20"/>
              </w:rPr>
            </w:pPr>
          </w:p>
        </w:tc>
        <w:tc>
          <w:tcPr>
            <w:tcW w:w="791" w:type="dxa"/>
            <w:vAlign w:val="bottom"/>
          </w:tcPr>
          <w:p w:rsidR="00000000" w:rsidRDefault="00000000">
            <w:pPr>
              <w:spacing w:before="60" w:after="60"/>
              <w:jc w:val="right"/>
              <w:rPr>
                <w:sz w:val="20"/>
              </w:rPr>
            </w:pPr>
          </w:p>
        </w:tc>
        <w:tc>
          <w:tcPr>
            <w:tcW w:w="791" w:type="dxa"/>
            <w:vAlign w:val="bottom"/>
          </w:tcPr>
          <w:p w:rsidR="00000000" w:rsidRDefault="00000000">
            <w:pPr>
              <w:spacing w:before="60" w:after="60"/>
              <w:jc w:val="right"/>
              <w:rPr>
                <w:sz w:val="20"/>
              </w:rPr>
            </w:pPr>
          </w:p>
        </w:tc>
        <w:tc>
          <w:tcPr>
            <w:tcW w:w="791" w:type="dxa"/>
            <w:vAlign w:val="bottom"/>
          </w:tcPr>
          <w:p w:rsidR="00000000" w:rsidRDefault="00000000">
            <w:pPr>
              <w:spacing w:before="60" w:after="60"/>
              <w:jc w:val="right"/>
              <w:rPr>
                <w:sz w:val="20"/>
              </w:rPr>
            </w:pPr>
          </w:p>
        </w:tc>
        <w:tc>
          <w:tcPr>
            <w:tcW w:w="791" w:type="dxa"/>
            <w:vAlign w:val="bottom"/>
          </w:tcPr>
          <w:p w:rsidR="00000000" w:rsidRDefault="00000000">
            <w:pPr>
              <w:spacing w:before="60" w:after="60"/>
              <w:jc w:val="right"/>
              <w:rPr>
                <w:sz w:val="20"/>
              </w:rPr>
            </w:pPr>
          </w:p>
        </w:tc>
        <w:tc>
          <w:tcPr>
            <w:tcW w:w="791" w:type="dxa"/>
            <w:vAlign w:val="bottom"/>
          </w:tcPr>
          <w:p w:rsidR="00000000" w:rsidRDefault="00000000">
            <w:pPr>
              <w:spacing w:before="60" w:after="60"/>
              <w:jc w:val="right"/>
              <w:rPr>
                <w:sz w:val="20"/>
              </w:rPr>
            </w:pPr>
          </w:p>
        </w:tc>
        <w:tc>
          <w:tcPr>
            <w:tcW w:w="1026" w:type="dxa"/>
            <w:vAlign w:val="bottom"/>
          </w:tcPr>
          <w:p w:rsidR="00000000" w:rsidRDefault="00000000">
            <w:pPr>
              <w:spacing w:before="60" w:after="60"/>
              <w:jc w:val="right"/>
              <w:rPr>
                <w:sz w:val="20"/>
              </w:rPr>
            </w:pPr>
          </w:p>
        </w:tc>
      </w:tr>
      <w:tr w:rsidR="00000000">
        <w:tblPrEx>
          <w:tblCellMar>
            <w:top w:w="0" w:type="dxa"/>
            <w:bottom w:w="0" w:type="dxa"/>
          </w:tblCellMar>
        </w:tblPrEx>
        <w:tc>
          <w:tcPr>
            <w:tcW w:w="3724" w:type="dxa"/>
          </w:tcPr>
          <w:p w:rsidR="00000000" w:rsidRDefault="00000000">
            <w:pPr>
              <w:spacing w:before="60" w:after="60"/>
              <w:rPr>
                <w:sz w:val="20"/>
              </w:rPr>
            </w:pPr>
            <w:r>
              <w:rPr>
                <w:sz w:val="20"/>
              </w:rPr>
              <w:t>Nouveaux mouvements (protestant, charismatique)</w:t>
            </w:r>
          </w:p>
        </w:tc>
        <w:tc>
          <w:tcPr>
            <w:tcW w:w="791" w:type="dxa"/>
            <w:vAlign w:val="bottom"/>
          </w:tcPr>
          <w:p w:rsidR="00000000" w:rsidRDefault="00000000">
            <w:pPr>
              <w:spacing w:before="60" w:after="60"/>
              <w:jc w:val="right"/>
              <w:rPr>
                <w:sz w:val="20"/>
              </w:rPr>
            </w:pPr>
            <w:r>
              <w:rPr>
                <w:sz w:val="20"/>
              </w:rPr>
              <w:t>13</w:t>
            </w:r>
          </w:p>
        </w:tc>
        <w:tc>
          <w:tcPr>
            <w:tcW w:w="791" w:type="dxa"/>
            <w:vAlign w:val="bottom"/>
          </w:tcPr>
          <w:p w:rsidR="00000000" w:rsidRDefault="00000000">
            <w:pPr>
              <w:spacing w:before="60" w:after="60"/>
              <w:jc w:val="right"/>
              <w:rPr>
                <w:sz w:val="20"/>
              </w:rPr>
            </w:pPr>
            <w:r>
              <w:rPr>
                <w:sz w:val="20"/>
              </w:rPr>
              <w:t>21</w:t>
            </w:r>
          </w:p>
        </w:tc>
        <w:tc>
          <w:tcPr>
            <w:tcW w:w="791" w:type="dxa"/>
            <w:vAlign w:val="bottom"/>
          </w:tcPr>
          <w:p w:rsidR="00000000" w:rsidRDefault="00000000">
            <w:pPr>
              <w:spacing w:before="60" w:after="60"/>
              <w:jc w:val="right"/>
              <w:rPr>
                <w:sz w:val="20"/>
              </w:rPr>
            </w:pPr>
            <w:r>
              <w:rPr>
                <w:sz w:val="20"/>
              </w:rPr>
              <w:t>82</w:t>
            </w:r>
          </w:p>
        </w:tc>
        <w:tc>
          <w:tcPr>
            <w:tcW w:w="791" w:type="dxa"/>
            <w:vAlign w:val="bottom"/>
          </w:tcPr>
          <w:p w:rsidR="00000000" w:rsidRDefault="00000000">
            <w:pPr>
              <w:spacing w:before="60" w:after="60"/>
              <w:jc w:val="right"/>
              <w:rPr>
                <w:sz w:val="20"/>
              </w:rPr>
            </w:pPr>
            <w:r>
              <w:rPr>
                <w:sz w:val="20"/>
              </w:rPr>
              <w:t>125</w:t>
            </w:r>
          </w:p>
        </w:tc>
        <w:tc>
          <w:tcPr>
            <w:tcW w:w="791" w:type="dxa"/>
            <w:vAlign w:val="bottom"/>
          </w:tcPr>
          <w:p w:rsidR="00000000" w:rsidRDefault="00000000">
            <w:pPr>
              <w:spacing w:before="60" w:after="60"/>
              <w:jc w:val="right"/>
              <w:rPr>
                <w:sz w:val="20"/>
              </w:rPr>
            </w:pPr>
            <w:r>
              <w:rPr>
                <w:sz w:val="20"/>
              </w:rPr>
              <w:t>131</w:t>
            </w:r>
          </w:p>
        </w:tc>
        <w:tc>
          <w:tcPr>
            <w:tcW w:w="791" w:type="dxa"/>
            <w:vAlign w:val="bottom"/>
          </w:tcPr>
          <w:p w:rsidR="00000000" w:rsidRDefault="00000000">
            <w:pPr>
              <w:spacing w:before="60" w:after="60"/>
              <w:jc w:val="right"/>
              <w:rPr>
                <w:sz w:val="20"/>
              </w:rPr>
            </w:pPr>
            <w:r>
              <w:rPr>
                <w:sz w:val="20"/>
              </w:rPr>
              <w:t>196</w:t>
            </w:r>
          </w:p>
        </w:tc>
        <w:tc>
          <w:tcPr>
            <w:tcW w:w="1026" w:type="dxa"/>
            <w:vAlign w:val="bottom"/>
          </w:tcPr>
          <w:p w:rsidR="00000000" w:rsidRDefault="00000000">
            <w:pPr>
              <w:spacing w:before="60" w:after="60"/>
              <w:jc w:val="right"/>
              <w:rPr>
                <w:sz w:val="20"/>
              </w:rPr>
            </w:pPr>
            <w:r>
              <w:rPr>
                <w:sz w:val="20"/>
              </w:rPr>
              <w:t>213</w:t>
            </w:r>
          </w:p>
        </w:tc>
      </w:tr>
      <w:tr w:rsidR="00000000">
        <w:tblPrEx>
          <w:tblCellMar>
            <w:top w:w="0" w:type="dxa"/>
            <w:bottom w:w="0" w:type="dxa"/>
          </w:tblCellMar>
        </w:tblPrEx>
        <w:tc>
          <w:tcPr>
            <w:tcW w:w="3724" w:type="dxa"/>
          </w:tcPr>
          <w:p w:rsidR="00000000" w:rsidRDefault="00000000">
            <w:pPr>
              <w:spacing w:before="60" w:after="60"/>
              <w:rPr>
                <w:sz w:val="20"/>
              </w:rPr>
            </w:pPr>
            <w:r>
              <w:rPr>
                <w:sz w:val="20"/>
              </w:rPr>
              <w:t>Cultes non traditionnels (Baha’i, Société de la conscience de Krishna, Église du dernier testament, etc.) et autres petites formations et fondations religieuses</w:t>
            </w:r>
          </w:p>
        </w:tc>
        <w:tc>
          <w:tcPr>
            <w:tcW w:w="791" w:type="dxa"/>
            <w:vAlign w:val="bottom"/>
          </w:tcPr>
          <w:p w:rsidR="00000000" w:rsidRDefault="00000000">
            <w:pPr>
              <w:spacing w:before="60" w:after="60"/>
              <w:jc w:val="right"/>
              <w:rPr>
                <w:sz w:val="20"/>
              </w:rPr>
            </w:pPr>
            <w:r>
              <w:rPr>
                <w:sz w:val="20"/>
              </w:rPr>
              <w:t>64</w:t>
            </w:r>
          </w:p>
        </w:tc>
        <w:tc>
          <w:tcPr>
            <w:tcW w:w="791" w:type="dxa"/>
            <w:vAlign w:val="bottom"/>
          </w:tcPr>
          <w:p w:rsidR="00000000" w:rsidRDefault="00000000">
            <w:pPr>
              <w:spacing w:before="60" w:after="60"/>
              <w:jc w:val="right"/>
              <w:rPr>
                <w:sz w:val="20"/>
              </w:rPr>
            </w:pPr>
            <w:r>
              <w:rPr>
                <w:sz w:val="20"/>
              </w:rPr>
              <w:t>44</w:t>
            </w:r>
          </w:p>
        </w:tc>
        <w:tc>
          <w:tcPr>
            <w:tcW w:w="791" w:type="dxa"/>
            <w:vAlign w:val="bottom"/>
          </w:tcPr>
          <w:p w:rsidR="00000000" w:rsidRDefault="00000000">
            <w:pPr>
              <w:spacing w:before="60" w:after="60"/>
              <w:jc w:val="right"/>
              <w:rPr>
                <w:sz w:val="20"/>
              </w:rPr>
            </w:pPr>
            <w:r>
              <w:rPr>
                <w:sz w:val="20"/>
              </w:rPr>
              <w:t>57</w:t>
            </w:r>
          </w:p>
        </w:tc>
        <w:tc>
          <w:tcPr>
            <w:tcW w:w="791" w:type="dxa"/>
            <w:vAlign w:val="bottom"/>
          </w:tcPr>
          <w:p w:rsidR="00000000" w:rsidRDefault="00000000">
            <w:pPr>
              <w:spacing w:before="60" w:after="60"/>
              <w:jc w:val="right"/>
              <w:rPr>
                <w:sz w:val="20"/>
              </w:rPr>
            </w:pPr>
            <w:r>
              <w:rPr>
                <w:sz w:val="20"/>
              </w:rPr>
              <w:t>92</w:t>
            </w:r>
          </w:p>
        </w:tc>
        <w:tc>
          <w:tcPr>
            <w:tcW w:w="791" w:type="dxa"/>
            <w:vAlign w:val="bottom"/>
          </w:tcPr>
          <w:p w:rsidR="00000000" w:rsidRDefault="00000000">
            <w:pPr>
              <w:spacing w:before="60" w:after="60"/>
              <w:jc w:val="right"/>
              <w:rPr>
                <w:sz w:val="20"/>
              </w:rPr>
            </w:pPr>
            <w:r>
              <w:rPr>
                <w:sz w:val="20"/>
              </w:rPr>
              <w:t>80</w:t>
            </w:r>
          </w:p>
        </w:tc>
        <w:tc>
          <w:tcPr>
            <w:tcW w:w="791" w:type="dxa"/>
            <w:vAlign w:val="bottom"/>
          </w:tcPr>
          <w:p w:rsidR="00000000" w:rsidRDefault="00000000">
            <w:pPr>
              <w:spacing w:before="60" w:after="60"/>
              <w:jc w:val="right"/>
              <w:rPr>
                <w:sz w:val="20"/>
              </w:rPr>
            </w:pPr>
            <w:r>
              <w:rPr>
                <w:sz w:val="20"/>
              </w:rPr>
              <w:t>86</w:t>
            </w:r>
          </w:p>
        </w:tc>
        <w:tc>
          <w:tcPr>
            <w:tcW w:w="1026" w:type="dxa"/>
            <w:vAlign w:val="bottom"/>
          </w:tcPr>
          <w:p w:rsidR="00000000" w:rsidRDefault="00000000">
            <w:pPr>
              <w:spacing w:before="60" w:after="60"/>
              <w:jc w:val="right"/>
              <w:rPr>
                <w:sz w:val="20"/>
              </w:rPr>
            </w:pPr>
            <w:r>
              <w:rPr>
                <w:sz w:val="20"/>
              </w:rPr>
              <w:t>88</w:t>
            </w:r>
          </w:p>
        </w:tc>
      </w:tr>
    </w:tbl>
    <w:p w:rsidR="00000000" w:rsidRDefault="00000000"/>
    <w:p w:rsidR="00000000" w:rsidRDefault="00000000">
      <w:pPr>
        <w:spacing w:after="240"/>
      </w:pPr>
      <w:r>
        <w:tab/>
        <w:t>Au Kazakhstan, l’appartenance religieuse coïncide avec l’origine ethnique. La communauté musulmane, dont les Kazakhs constituent la majorité, comprend aussi des Ouzbeks, des Tatars, des Ouighours, des Azerbaïdjanais, des Tchétchènes, etc.</w:t>
      </w:r>
    </w:p>
    <w:p w:rsidR="00000000" w:rsidRDefault="00000000">
      <w:pPr>
        <w:spacing w:after="240"/>
      </w:pPr>
      <w:r>
        <w:tab/>
        <w:t>À part les Polonais, les membres de l’Église orthodoxe russe sont principalement d’origine slave. Les Russes, les Ukrainiens et les Bélarussiens constituent les groupes les plus importants.</w:t>
      </w:r>
    </w:p>
    <w:p w:rsidR="00000000" w:rsidRDefault="00000000">
      <w:pPr>
        <w:spacing w:after="240"/>
      </w:pPr>
      <w:r>
        <w:tab/>
        <w:t>Dans le cas de l’Église catholique romaine, les Allemands et les Polonais constituent les groupes ethniques les plus importants. Certains Ukrainiens appartiennent à l’Église catholique grecque (Église uniate).</w:t>
      </w:r>
    </w:p>
    <w:p w:rsidR="00000000" w:rsidRDefault="00000000">
      <w:pPr>
        <w:spacing w:after="240"/>
      </w:pPr>
      <w:r>
        <w:tab/>
        <w:t>La plupart des protestants sont Allemands ou Polonais. Toutefois, l’activité intense des missionnaires étrangers contribue à la diffusion du protestantisme dans la population autochtone et parmi les Russes, les Coréens et les membres d’autres nationalités.</w:t>
      </w:r>
    </w:p>
    <w:p w:rsidR="00000000" w:rsidRDefault="00000000">
      <w:pPr>
        <w:spacing w:after="240"/>
      </w:pPr>
      <w:r>
        <w:tab/>
        <w:t>Le bouddhisme n’est pas largement représenté. La plupart des pratiquants sont des membres de la diaspora coréenne ou des Kalmyks.</w:t>
      </w:r>
    </w:p>
    <w:p w:rsidR="00000000" w:rsidRDefault="00000000">
      <w:pPr>
        <w:spacing w:after="240"/>
      </w:pPr>
      <w:r>
        <w:tab/>
        <w:t>Le judaïsme est pratiqué par les juifs.</w:t>
      </w:r>
    </w:p>
    <w:p w:rsidR="00000000" w:rsidRDefault="00000000">
      <w:pPr>
        <w:spacing w:after="240"/>
        <w:jc w:val="center"/>
        <w:rPr>
          <w:b/>
          <w:bCs/>
        </w:rPr>
      </w:pPr>
      <w:r>
        <w:rPr>
          <w:b/>
          <w:bCs/>
        </w:rPr>
        <w:br w:type="page"/>
        <w:t>Tableau 25</w:t>
      </w:r>
    </w:p>
    <w:p w:rsidR="00000000" w:rsidRDefault="00000000">
      <w:pPr>
        <w:keepNext/>
        <w:spacing w:after="240"/>
        <w:jc w:val="center"/>
        <w:rPr>
          <w:b/>
          <w:bCs/>
        </w:rPr>
      </w:pPr>
      <w:r>
        <w:rPr>
          <w:b/>
          <w:bCs/>
        </w:rPr>
        <w:t>Nombre d’associations religieuses au 1</w:t>
      </w:r>
      <w:r>
        <w:rPr>
          <w:b/>
          <w:bCs/>
          <w:vertAlign w:val="superscript"/>
        </w:rPr>
        <w:t>er</w:t>
      </w:r>
      <w:r>
        <w:rPr>
          <w:b/>
          <w:bCs/>
        </w:rPr>
        <w:t> janvier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rPr>
          <w:tblHeader/>
        </w:trPr>
        <w:tc>
          <w:tcPr>
            <w:tcW w:w="1899" w:type="dxa"/>
            <w:vAlign w:val="center"/>
          </w:tcPr>
          <w:p w:rsidR="00000000" w:rsidRDefault="00000000">
            <w:pPr>
              <w:keepNext/>
              <w:spacing w:before="60" w:after="60"/>
              <w:jc w:val="center"/>
              <w:rPr>
                <w:sz w:val="22"/>
              </w:rPr>
            </w:pPr>
            <w:r>
              <w:rPr>
                <w:sz w:val="22"/>
              </w:rPr>
              <w:t>Oblaste, villes</w:t>
            </w:r>
          </w:p>
        </w:tc>
        <w:tc>
          <w:tcPr>
            <w:tcW w:w="1899" w:type="dxa"/>
            <w:vAlign w:val="center"/>
          </w:tcPr>
          <w:p w:rsidR="00000000" w:rsidRDefault="00000000">
            <w:pPr>
              <w:spacing w:before="60" w:after="60"/>
              <w:jc w:val="center"/>
              <w:rPr>
                <w:sz w:val="22"/>
              </w:rPr>
            </w:pPr>
            <w:r>
              <w:rPr>
                <w:sz w:val="22"/>
              </w:rPr>
              <w:t>Associations religieuses</w:t>
            </w:r>
            <w:r>
              <w:rPr>
                <w:sz w:val="22"/>
              </w:rPr>
              <w:br/>
              <w:t>Total</w:t>
            </w:r>
          </w:p>
        </w:tc>
        <w:tc>
          <w:tcPr>
            <w:tcW w:w="1899" w:type="dxa"/>
            <w:vAlign w:val="center"/>
          </w:tcPr>
          <w:p w:rsidR="00000000" w:rsidRDefault="00000000">
            <w:pPr>
              <w:spacing w:before="60" w:after="60"/>
              <w:jc w:val="center"/>
              <w:rPr>
                <w:sz w:val="22"/>
              </w:rPr>
            </w:pPr>
            <w:r>
              <w:rPr>
                <w:sz w:val="22"/>
              </w:rPr>
              <w:t>Dont: associations religieuses dotées de la personnalité légale</w:t>
            </w:r>
          </w:p>
        </w:tc>
        <w:tc>
          <w:tcPr>
            <w:tcW w:w="1899" w:type="dxa"/>
            <w:vAlign w:val="center"/>
          </w:tcPr>
          <w:p w:rsidR="00000000" w:rsidRDefault="00000000">
            <w:pPr>
              <w:spacing w:before="60" w:after="60"/>
              <w:jc w:val="center"/>
              <w:rPr>
                <w:sz w:val="22"/>
              </w:rPr>
            </w:pPr>
            <w:r>
              <w:rPr>
                <w:sz w:val="22"/>
              </w:rPr>
              <w:t>Associations religieuses enregistrées auprès de l’oblaste, des autorités municipales ou de district</w:t>
            </w:r>
          </w:p>
        </w:tc>
        <w:tc>
          <w:tcPr>
            <w:tcW w:w="1900" w:type="dxa"/>
            <w:vAlign w:val="center"/>
          </w:tcPr>
          <w:p w:rsidR="00000000" w:rsidRDefault="00000000">
            <w:pPr>
              <w:spacing w:before="60" w:after="60"/>
              <w:jc w:val="center"/>
              <w:rPr>
                <w:sz w:val="22"/>
              </w:rPr>
            </w:pPr>
            <w:r>
              <w:rPr>
                <w:sz w:val="22"/>
              </w:rPr>
              <w:t>Structures religieuses</w:t>
            </w:r>
          </w:p>
        </w:tc>
      </w:tr>
      <w:tr w:rsidR="00000000">
        <w:tblPrEx>
          <w:tblCellMar>
            <w:top w:w="0" w:type="dxa"/>
            <w:bottom w:w="0" w:type="dxa"/>
          </w:tblCellMar>
        </w:tblPrEx>
        <w:tc>
          <w:tcPr>
            <w:tcW w:w="1899" w:type="dxa"/>
          </w:tcPr>
          <w:p w:rsidR="00000000" w:rsidRDefault="00000000">
            <w:pPr>
              <w:spacing w:before="60" w:after="60"/>
              <w:rPr>
                <w:sz w:val="22"/>
                <w:lang w:val="en-GB"/>
              </w:rPr>
            </w:pPr>
            <w:r>
              <w:rPr>
                <w:sz w:val="22"/>
                <w:lang w:val="en-GB"/>
              </w:rPr>
              <w:t>Astana</w:t>
            </w:r>
          </w:p>
        </w:tc>
        <w:tc>
          <w:tcPr>
            <w:tcW w:w="1899" w:type="dxa"/>
            <w:vAlign w:val="bottom"/>
          </w:tcPr>
          <w:p w:rsidR="00000000" w:rsidRDefault="00000000">
            <w:pPr>
              <w:spacing w:before="60" w:after="60"/>
              <w:ind w:right="418"/>
              <w:jc w:val="right"/>
              <w:rPr>
                <w:sz w:val="22"/>
                <w:lang w:val="en-GB"/>
              </w:rPr>
            </w:pPr>
            <w:r>
              <w:rPr>
                <w:sz w:val="22"/>
                <w:lang w:val="en-GB"/>
              </w:rPr>
              <w:t>31</w:t>
            </w:r>
          </w:p>
        </w:tc>
        <w:tc>
          <w:tcPr>
            <w:tcW w:w="1899" w:type="dxa"/>
            <w:vAlign w:val="bottom"/>
          </w:tcPr>
          <w:p w:rsidR="00000000" w:rsidRDefault="00000000">
            <w:pPr>
              <w:spacing w:before="60" w:after="60"/>
              <w:ind w:right="418"/>
              <w:jc w:val="right"/>
              <w:rPr>
                <w:sz w:val="22"/>
                <w:lang w:val="en-GB"/>
              </w:rPr>
            </w:pPr>
            <w:r>
              <w:rPr>
                <w:sz w:val="22"/>
                <w:lang w:val="en-GB"/>
              </w:rPr>
              <w:t>29</w:t>
            </w:r>
          </w:p>
        </w:tc>
        <w:tc>
          <w:tcPr>
            <w:tcW w:w="1899" w:type="dxa"/>
            <w:vAlign w:val="bottom"/>
          </w:tcPr>
          <w:p w:rsidR="00000000" w:rsidRDefault="00000000">
            <w:pPr>
              <w:spacing w:before="60" w:after="60"/>
              <w:ind w:right="418"/>
              <w:jc w:val="right"/>
              <w:rPr>
                <w:sz w:val="22"/>
                <w:lang w:val="en-GB"/>
              </w:rPr>
            </w:pPr>
            <w:r>
              <w:rPr>
                <w:sz w:val="22"/>
                <w:lang w:val="en-GB"/>
              </w:rPr>
              <w:t>2</w:t>
            </w:r>
          </w:p>
        </w:tc>
        <w:tc>
          <w:tcPr>
            <w:tcW w:w="1900" w:type="dxa"/>
            <w:vAlign w:val="bottom"/>
          </w:tcPr>
          <w:p w:rsidR="00000000" w:rsidRDefault="00000000">
            <w:pPr>
              <w:spacing w:before="60" w:after="60"/>
              <w:ind w:right="418"/>
              <w:jc w:val="right"/>
              <w:rPr>
                <w:sz w:val="22"/>
                <w:lang w:val="en-GB"/>
              </w:rPr>
            </w:pPr>
            <w:r>
              <w:rPr>
                <w:sz w:val="22"/>
                <w:lang w:val="en-GB"/>
              </w:rPr>
              <w:t>12</w:t>
            </w:r>
          </w:p>
        </w:tc>
      </w:tr>
      <w:tr w:rsidR="00000000">
        <w:tblPrEx>
          <w:tblCellMar>
            <w:top w:w="0" w:type="dxa"/>
            <w:bottom w:w="0" w:type="dxa"/>
          </w:tblCellMar>
        </w:tblPrEx>
        <w:tc>
          <w:tcPr>
            <w:tcW w:w="1899" w:type="dxa"/>
          </w:tcPr>
          <w:p w:rsidR="00000000" w:rsidRDefault="00000000">
            <w:pPr>
              <w:spacing w:before="60" w:after="60"/>
              <w:rPr>
                <w:sz w:val="22"/>
                <w:lang w:val="en-GB"/>
              </w:rPr>
            </w:pPr>
            <w:r>
              <w:rPr>
                <w:sz w:val="22"/>
                <w:lang w:val="en-GB"/>
              </w:rPr>
              <w:t>Almaty</w:t>
            </w:r>
          </w:p>
        </w:tc>
        <w:tc>
          <w:tcPr>
            <w:tcW w:w="1899" w:type="dxa"/>
            <w:vAlign w:val="bottom"/>
          </w:tcPr>
          <w:p w:rsidR="00000000" w:rsidRDefault="00000000">
            <w:pPr>
              <w:spacing w:before="60" w:after="60"/>
              <w:ind w:right="418"/>
              <w:jc w:val="right"/>
              <w:rPr>
                <w:sz w:val="22"/>
                <w:lang w:val="en-GB"/>
              </w:rPr>
            </w:pPr>
            <w:r>
              <w:rPr>
                <w:sz w:val="22"/>
                <w:lang w:val="en-GB"/>
              </w:rPr>
              <w:t>259</w:t>
            </w:r>
          </w:p>
        </w:tc>
        <w:tc>
          <w:tcPr>
            <w:tcW w:w="1899" w:type="dxa"/>
            <w:vAlign w:val="bottom"/>
          </w:tcPr>
          <w:p w:rsidR="00000000" w:rsidRDefault="00000000">
            <w:pPr>
              <w:spacing w:before="60" w:after="60"/>
              <w:ind w:right="418"/>
              <w:jc w:val="right"/>
              <w:rPr>
                <w:sz w:val="22"/>
                <w:lang w:val="en-GB"/>
              </w:rPr>
            </w:pPr>
            <w:r>
              <w:rPr>
                <w:sz w:val="22"/>
                <w:lang w:val="en-GB"/>
              </w:rPr>
              <w:t>148</w:t>
            </w:r>
          </w:p>
        </w:tc>
        <w:tc>
          <w:tcPr>
            <w:tcW w:w="1899" w:type="dxa"/>
            <w:vAlign w:val="bottom"/>
          </w:tcPr>
          <w:p w:rsidR="00000000" w:rsidRDefault="00000000">
            <w:pPr>
              <w:spacing w:before="60" w:after="60"/>
              <w:ind w:right="418"/>
              <w:jc w:val="right"/>
              <w:rPr>
                <w:sz w:val="22"/>
                <w:lang w:val="en-GB"/>
              </w:rPr>
            </w:pPr>
            <w:r>
              <w:rPr>
                <w:sz w:val="22"/>
                <w:lang w:val="en-GB"/>
              </w:rPr>
              <w:t>111</w:t>
            </w:r>
          </w:p>
        </w:tc>
        <w:tc>
          <w:tcPr>
            <w:tcW w:w="1900" w:type="dxa"/>
            <w:vAlign w:val="bottom"/>
          </w:tcPr>
          <w:p w:rsidR="00000000" w:rsidRDefault="00000000">
            <w:pPr>
              <w:spacing w:before="60" w:after="60"/>
              <w:ind w:right="418"/>
              <w:jc w:val="right"/>
              <w:rPr>
                <w:sz w:val="22"/>
                <w:lang w:val="en-GB"/>
              </w:rPr>
            </w:pPr>
            <w:r>
              <w:rPr>
                <w:sz w:val="22"/>
                <w:lang w:val="en-GB"/>
              </w:rPr>
              <w:t>83</w:t>
            </w:r>
          </w:p>
        </w:tc>
      </w:tr>
      <w:tr w:rsidR="00000000">
        <w:tblPrEx>
          <w:tblCellMar>
            <w:top w:w="0" w:type="dxa"/>
            <w:bottom w:w="0" w:type="dxa"/>
          </w:tblCellMar>
        </w:tblPrEx>
        <w:tc>
          <w:tcPr>
            <w:tcW w:w="1899" w:type="dxa"/>
          </w:tcPr>
          <w:p w:rsidR="00000000" w:rsidRDefault="00000000">
            <w:pPr>
              <w:spacing w:before="60" w:after="60"/>
              <w:rPr>
                <w:sz w:val="22"/>
              </w:rPr>
            </w:pPr>
            <w:r>
              <w:rPr>
                <w:sz w:val="22"/>
              </w:rPr>
              <w:t>O. d’Akmola</w:t>
            </w:r>
          </w:p>
        </w:tc>
        <w:tc>
          <w:tcPr>
            <w:tcW w:w="1899" w:type="dxa"/>
            <w:vAlign w:val="bottom"/>
          </w:tcPr>
          <w:p w:rsidR="00000000" w:rsidRDefault="00000000">
            <w:pPr>
              <w:spacing w:before="60" w:after="60"/>
              <w:ind w:right="418"/>
              <w:jc w:val="right"/>
              <w:rPr>
                <w:sz w:val="22"/>
              </w:rPr>
            </w:pPr>
            <w:r>
              <w:rPr>
                <w:sz w:val="22"/>
              </w:rPr>
              <w:t>126</w:t>
            </w:r>
          </w:p>
        </w:tc>
        <w:tc>
          <w:tcPr>
            <w:tcW w:w="1899" w:type="dxa"/>
            <w:vAlign w:val="bottom"/>
          </w:tcPr>
          <w:p w:rsidR="00000000" w:rsidRDefault="00000000">
            <w:pPr>
              <w:spacing w:before="60" w:after="60"/>
              <w:ind w:right="418"/>
              <w:jc w:val="right"/>
              <w:rPr>
                <w:sz w:val="22"/>
              </w:rPr>
            </w:pPr>
            <w:r>
              <w:rPr>
                <w:sz w:val="22"/>
              </w:rPr>
              <w:t>71</w:t>
            </w:r>
          </w:p>
        </w:tc>
        <w:tc>
          <w:tcPr>
            <w:tcW w:w="1899" w:type="dxa"/>
            <w:vAlign w:val="bottom"/>
          </w:tcPr>
          <w:p w:rsidR="00000000" w:rsidRDefault="00000000">
            <w:pPr>
              <w:spacing w:before="60" w:after="60"/>
              <w:ind w:right="418"/>
              <w:jc w:val="right"/>
              <w:rPr>
                <w:sz w:val="22"/>
              </w:rPr>
            </w:pPr>
            <w:r>
              <w:rPr>
                <w:sz w:val="22"/>
              </w:rPr>
              <w:t>55</w:t>
            </w:r>
          </w:p>
        </w:tc>
        <w:tc>
          <w:tcPr>
            <w:tcW w:w="1900" w:type="dxa"/>
            <w:vAlign w:val="bottom"/>
          </w:tcPr>
          <w:p w:rsidR="00000000" w:rsidRDefault="00000000">
            <w:pPr>
              <w:spacing w:before="60" w:after="60"/>
              <w:ind w:right="418"/>
              <w:jc w:val="right"/>
              <w:rPr>
                <w:sz w:val="22"/>
              </w:rPr>
            </w:pPr>
            <w:r>
              <w:rPr>
                <w:sz w:val="22"/>
              </w:rPr>
              <w:t>108</w:t>
            </w:r>
          </w:p>
        </w:tc>
      </w:tr>
      <w:tr w:rsidR="00000000">
        <w:tblPrEx>
          <w:tblCellMar>
            <w:top w:w="0" w:type="dxa"/>
            <w:bottom w:w="0" w:type="dxa"/>
          </w:tblCellMar>
        </w:tblPrEx>
        <w:tc>
          <w:tcPr>
            <w:tcW w:w="1899" w:type="dxa"/>
          </w:tcPr>
          <w:p w:rsidR="00000000" w:rsidRDefault="00000000">
            <w:pPr>
              <w:spacing w:before="60" w:after="60"/>
              <w:rPr>
                <w:sz w:val="22"/>
                <w:lang w:val="nl-NL"/>
              </w:rPr>
            </w:pPr>
            <w:r>
              <w:rPr>
                <w:sz w:val="22"/>
                <w:lang w:val="nl-NL"/>
              </w:rPr>
              <w:t>O. d’Almaty</w:t>
            </w:r>
          </w:p>
        </w:tc>
        <w:tc>
          <w:tcPr>
            <w:tcW w:w="1899" w:type="dxa"/>
            <w:vAlign w:val="bottom"/>
          </w:tcPr>
          <w:p w:rsidR="00000000" w:rsidRDefault="00000000">
            <w:pPr>
              <w:spacing w:before="60" w:after="60"/>
              <w:ind w:right="418"/>
              <w:jc w:val="right"/>
              <w:rPr>
                <w:sz w:val="22"/>
                <w:lang w:val="nl-NL"/>
              </w:rPr>
            </w:pPr>
            <w:r>
              <w:rPr>
                <w:sz w:val="22"/>
                <w:lang w:val="nl-NL"/>
              </w:rPr>
              <w:t>355</w:t>
            </w:r>
          </w:p>
        </w:tc>
        <w:tc>
          <w:tcPr>
            <w:tcW w:w="1899" w:type="dxa"/>
            <w:vAlign w:val="bottom"/>
          </w:tcPr>
          <w:p w:rsidR="00000000" w:rsidRDefault="00000000">
            <w:pPr>
              <w:spacing w:before="60" w:after="60"/>
              <w:ind w:right="418"/>
              <w:jc w:val="right"/>
              <w:rPr>
                <w:sz w:val="22"/>
                <w:lang w:val="nl-NL"/>
              </w:rPr>
            </w:pPr>
            <w:r>
              <w:rPr>
                <w:sz w:val="22"/>
                <w:lang w:val="nl-NL"/>
              </w:rPr>
              <w:t>192</w:t>
            </w:r>
          </w:p>
        </w:tc>
        <w:tc>
          <w:tcPr>
            <w:tcW w:w="1899" w:type="dxa"/>
            <w:vAlign w:val="bottom"/>
          </w:tcPr>
          <w:p w:rsidR="00000000" w:rsidRDefault="00000000">
            <w:pPr>
              <w:spacing w:before="60" w:after="60"/>
              <w:ind w:right="418"/>
              <w:jc w:val="right"/>
              <w:rPr>
                <w:sz w:val="22"/>
                <w:lang w:val="nl-NL"/>
              </w:rPr>
            </w:pPr>
            <w:r>
              <w:rPr>
                <w:sz w:val="22"/>
                <w:lang w:val="nl-NL"/>
              </w:rPr>
              <w:t>163</w:t>
            </w:r>
          </w:p>
        </w:tc>
        <w:tc>
          <w:tcPr>
            <w:tcW w:w="1900" w:type="dxa"/>
            <w:vAlign w:val="bottom"/>
          </w:tcPr>
          <w:p w:rsidR="00000000" w:rsidRDefault="00000000">
            <w:pPr>
              <w:spacing w:before="60" w:after="60"/>
              <w:ind w:right="418"/>
              <w:jc w:val="right"/>
              <w:rPr>
                <w:sz w:val="22"/>
                <w:lang w:val="nl-NL"/>
              </w:rPr>
            </w:pPr>
            <w:r>
              <w:rPr>
                <w:sz w:val="22"/>
                <w:lang w:val="nl-NL"/>
              </w:rPr>
              <w:t>402</w:t>
            </w:r>
          </w:p>
        </w:tc>
      </w:tr>
      <w:tr w:rsidR="00000000">
        <w:tblPrEx>
          <w:tblCellMar>
            <w:top w:w="0" w:type="dxa"/>
            <w:bottom w:w="0" w:type="dxa"/>
          </w:tblCellMar>
        </w:tblPrEx>
        <w:tc>
          <w:tcPr>
            <w:tcW w:w="1899" w:type="dxa"/>
          </w:tcPr>
          <w:p w:rsidR="00000000" w:rsidRDefault="00000000">
            <w:pPr>
              <w:spacing w:before="60" w:after="60"/>
              <w:rPr>
                <w:sz w:val="22"/>
                <w:lang w:val="nl-NL"/>
              </w:rPr>
            </w:pPr>
            <w:r>
              <w:rPr>
                <w:sz w:val="22"/>
                <w:lang w:val="nl-NL"/>
              </w:rPr>
              <w:t>O. d’Aktyubinsk</w:t>
            </w:r>
          </w:p>
        </w:tc>
        <w:tc>
          <w:tcPr>
            <w:tcW w:w="1899" w:type="dxa"/>
            <w:vAlign w:val="bottom"/>
          </w:tcPr>
          <w:p w:rsidR="00000000" w:rsidRDefault="00000000">
            <w:pPr>
              <w:spacing w:before="60" w:after="60"/>
              <w:ind w:right="418"/>
              <w:jc w:val="right"/>
              <w:rPr>
                <w:sz w:val="22"/>
                <w:lang w:val="nl-NL"/>
              </w:rPr>
            </w:pPr>
            <w:r>
              <w:rPr>
                <w:sz w:val="22"/>
                <w:lang w:val="nl-NL"/>
              </w:rPr>
              <w:t>62</w:t>
            </w:r>
          </w:p>
        </w:tc>
        <w:tc>
          <w:tcPr>
            <w:tcW w:w="1899" w:type="dxa"/>
            <w:vAlign w:val="bottom"/>
          </w:tcPr>
          <w:p w:rsidR="00000000" w:rsidRDefault="00000000">
            <w:pPr>
              <w:spacing w:before="60" w:after="60"/>
              <w:ind w:right="418"/>
              <w:jc w:val="right"/>
              <w:rPr>
                <w:sz w:val="22"/>
                <w:lang w:val="nl-NL"/>
              </w:rPr>
            </w:pPr>
            <w:r>
              <w:rPr>
                <w:sz w:val="22"/>
                <w:lang w:val="nl-NL"/>
              </w:rPr>
              <w:t>57</w:t>
            </w:r>
          </w:p>
        </w:tc>
        <w:tc>
          <w:tcPr>
            <w:tcW w:w="1899" w:type="dxa"/>
            <w:vAlign w:val="bottom"/>
          </w:tcPr>
          <w:p w:rsidR="00000000" w:rsidRDefault="00000000">
            <w:pPr>
              <w:spacing w:before="60" w:after="60"/>
              <w:ind w:right="418"/>
              <w:jc w:val="right"/>
              <w:rPr>
                <w:sz w:val="22"/>
                <w:lang w:val="nl-NL"/>
              </w:rPr>
            </w:pPr>
            <w:r>
              <w:rPr>
                <w:sz w:val="22"/>
                <w:lang w:val="nl-NL"/>
              </w:rPr>
              <w:t>5</w:t>
            </w:r>
          </w:p>
        </w:tc>
        <w:tc>
          <w:tcPr>
            <w:tcW w:w="1900" w:type="dxa"/>
            <w:vAlign w:val="bottom"/>
          </w:tcPr>
          <w:p w:rsidR="00000000" w:rsidRDefault="00000000">
            <w:pPr>
              <w:spacing w:before="60" w:after="60"/>
              <w:ind w:right="418"/>
              <w:jc w:val="right"/>
              <w:rPr>
                <w:sz w:val="22"/>
                <w:lang w:val="nl-NL"/>
              </w:rPr>
            </w:pPr>
            <w:r>
              <w:rPr>
                <w:sz w:val="22"/>
                <w:lang w:val="nl-NL"/>
              </w:rPr>
              <w:t>47</w:t>
            </w:r>
          </w:p>
        </w:tc>
      </w:tr>
      <w:tr w:rsidR="00000000">
        <w:tblPrEx>
          <w:tblCellMar>
            <w:top w:w="0" w:type="dxa"/>
            <w:bottom w:w="0" w:type="dxa"/>
          </w:tblCellMar>
        </w:tblPrEx>
        <w:tc>
          <w:tcPr>
            <w:tcW w:w="1899" w:type="dxa"/>
          </w:tcPr>
          <w:p w:rsidR="00000000" w:rsidRDefault="00000000">
            <w:pPr>
              <w:spacing w:before="60" w:after="60"/>
              <w:rPr>
                <w:sz w:val="22"/>
                <w:lang w:val="de-CH"/>
              </w:rPr>
            </w:pPr>
            <w:r>
              <w:rPr>
                <w:sz w:val="22"/>
                <w:lang w:val="de-CH"/>
              </w:rPr>
              <w:t>O. d’Atyrau</w:t>
            </w:r>
          </w:p>
        </w:tc>
        <w:tc>
          <w:tcPr>
            <w:tcW w:w="1899" w:type="dxa"/>
            <w:vAlign w:val="bottom"/>
          </w:tcPr>
          <w:p w:rsidR="00000000" w:rsidRDefault="00000000">
            <w:pPr>
              <w:spacing w:before="60" w:after="60"/>
              <w:ind w:right="418"/>
              <w:jc w:val="right"/>
              <w:rPr>
                <w:sz w:val="22"/>
                <w:lang w:val="de-CH"/>
              </w:rPr>
            </w:pPr>
            <w:r>
              <w:rPr>
                <w:sz w:val="22"/>
                <w:lang w:val="de-CH"/>
              </w:rPr>
              <w:t>24</w:t>
            </w:r>
          </w:p>
        </w:tc>
        <w:tc>
          <w:tcPr>
            <w:tcW w:w="1899" w:type="dxa"/>
            <w:vAlign w:val="bottom"/>
          </w:tcPr>
          <w:p w:rsidR="00000000" w:rsidRDefault="00000000">
            <w:pPr>
              <w:spacing w:before="60" w:after="60"/>
              <w:ind w:right="418"/>
              <w:jc w:val="right"/>
              <w:rPr>
                <w:sz w:val="22"/>
                <w:lang w:val="de-CH"/>
              </w:rPr>
            </w:pPr>
            <w:r>
              <w:rPr>
                <w:sz w:val="22"/>
                <w:lang w:val="de-CH"/>
              </w:rPr>
              <w:t>17</w:t>
            </w:r>
          </w:p>
        </w:tc>
        <w:tc>
          <w:tcPr>
            <w:tcW w:w="1899" w:type="dxa"/>
            <w:vAlign w:val="bottom"/>
          </w:tcPr>
          <w:p w:rsidR="00000000" w:rsidRDefault="00000000">
            <w:pPr>
              <w:spacing w:before="60" w:after="60"/>
              <w:ind w:right="418"/>
              <w:jc w:val="right"/>
              <w:rPr>
                <w:sz w:val="22"/>
                <w:lang w:val="de-CH"/>
              </w:rPr>
            </w:pPr>
            <w:r>
              <w:rPr>
                <w:sz w:val="22"/>
                <w:lang w:val="de-CH"/>
              </w:rPr>
              <w:t>7</w:t>
            </w:r>
          </w:p>
        </w:tc>
        <w:tc>
          <w:tcPr>
            <w:tcW w:w="1900" w:type="dxa"/>
            <w:vAlign w:val="bottom"/>
          </w:tcPr>
          <w:p w:rsidR="00000000" w:rsidRDefault="00000000">
            <w:pPr>
              <w:spacing w:before="60" w:after="60"/>
              <w:ind w:right="418"/>
              <w:jc w:val="right"/>
              <w:rPr>
                <w:sz w:val="22"/>
                <w:lang w:val="de-CH"/>
              </w:rPr>
            </w:pPr>
            <w:r>
              <w:rPr>
                <w:sz w:val="22"/>
                <w:lang w:val="de-CH"/>
              </w:rPr>
              <w:t>14</w:t>
            </w:r>
          </w:p>
        </w:tc>
      </w:tr>
      <w:tr w:rsidR="00000000">
        <w:tblPrEx>
          <w:tblCellMar>
            <w:top w:w="0" w:type="dxa"/>
            <w:bottom w:w="0" w:type="dxa"/>
          </w:tblCellMar>
        </w:tblPrEx>
        <w:tc>
          <w:tcPr>
            <w:tcW w:w="1899" w:type="dxa"/>
          </w:tcPr>
          <w:p w:rsidR="00000000" w:rsidRDefault="00000000">
            <w:pPr>
              <w:spacing w:before="60" w:after="60"/>
              <w:rPr>
                <w:sz w:val="22"/>
              </w:rPr>
            </w:pPr>
            <w:r>
              <w:rPr>
                <w:sz w:val="22"/>
              </w:rPr>
              <w:t>O. du Kazakhstan oriental</w:t>
            </w:r>
          </w:p>
        </w:tc>
        <w:tc>
          <w:tcPr>
            <w:tcW w:w="1899" w:type="dxa"/>
            <w:vAlign w:val="bottom"/>
          </w:tcPr>
          <w:p w:rsidR="00000000" w:rsidRDefault="00000000">
            <w:pPr>
              <w:spacing w:before="60" w:after="60"/>
              <w:ind w:right="418"/>
              <w:jc w:val="right"/>
              <w:rPr>
                <w:sz w:val="22"/>
              </w:rPr>
            </w:pPr>
            <w:r>
              <w:rPr>
                <w:sz w:val="22"/>
              </w:rPr>
              <w:t>126</w:t>
            </w:r>
          </w:p>
        </w:tc>
        <w:tc>
          <w:tcPr>
            <w:tcW w:w="1899" w:type="dxa"/>
            <w:vAlign w:val="bottom"/>
          </w:tcPr>
          <w:p w:rsidR="00000000" w:rsidRDefault="00000000">
            <w:pPr>
              <w:spacing w:before="60" w:after="60"/>
              <w:ind w:right="418"/>
              <w:jc w:val="right"/>
              <w:rPr>
                <w:sz w:val="22"/>
              </w:rPr>
            </w:pPr>
            <w:r>
              <w:rPr>
                <w:sz w:val="22"/>
              </w:rPr>
              <w:t>103</w:t>
            </w:r>
          </w:p>
        </w:tc>
        <w:tc>
          <w:tcPr>
            <w:tcW w:w="1899" w:type="dxa"/>
            <w:vAlign w:val="bottom"/>
          </w:tcPr>
          <w:p w:rsidR="00000000" w:rsidRDefault="00000000">
            <w:pPr>
              <w:spacing w:before="60" w:after="60"/>
              <w:ind w:right="418"/>
              <w:jc w:val="right"/>
              <w:rPr>
                <w:sz w:val="22"/>
              </w:rPr>
            </w:pPr>
            <w:r>
              <w:rPr>
                <w:sz w:val="22"/>
              </w:rPr>
              <w:t>23</w:t>
            </w:r>
          </w:p>
        </w:tc>
        <w:tc>
          <w:tcPr>
            <w:tcW w:w="1900" w:type="dxa"/>
            <w:vAlign w:val="bottom"/>
          </w:tcPr>
          <w:p w:rsidR="00000000" w:rsidRDefault="00000000">
            <w:pPr>
              <w:spacing w:before="60" w:after="60"/>
              <w:ind w:right="418"/>
              <w:jc w:val="right"/>
              <w:rPr>
                <w:sz w:val="22"/>
              </w:rPr>
            </w:pPr>
            <w:r>
              <w:rPr>
                <w:sz w:val="22"/>
              </w:rPr>
              <w:t>90</w:t>
            </w:r>
          </w:p>
        </w:tc>
      </w:tr>
      <w:tr w:rsidR="00000000">
        <w:tblPrEx>
          <w:tblCellMar>
            <w:top w:w="0" w:type="dxa"/>
            <w:bottom w:w="0" w:type="dxa"/>
          </w:tblCellMar>
        </w:tblPrEx>
        <w:tc>
          <w:tcPr>
            <w:tcW w:w="1899" w:type="dxa"/>
          </w:tcPr>
          <w:p w:rsidR="00000000" w:rsidRDefault="00000000">
            <w:pPr>
              <w:spacing w:before="60" w:after="60"/>
              <w:rPr>
                <w:sz w:val="22"/>
              </w:rPr>
            </w:pPr>
            <w:r>
              <w:rPr>
                <w:sz w:val="22"/>
              </w:rPr>
              <w:t>O. de Zhambyl</w:t>
            </w:r>
          </w:p>
        </w:tc>
        <w:tc>
          <w:tcPr>
            <w:tcW w:w="1899" w:type="dxa"/>
            <w:vAlign w:val="bottom"/>
          </w:tcPr>
          <w:p w:rsidR="00000000" w:rsidRDefault="00000000">
            <w:pPr>
              <w:spacing w:before="60" w:after="60"/>
              <w:ind w:right="418"/>
              <w:jc w:val="right"/>
              <w:rPr>
                <w:sz w:val="22"/>
              </w:rPr>
            </w:pPr>
            <w:r>
              <w:rPr>
                <w:sz w:val="22"/>
              </w:rPr>
              <w:t>275</w:t>
            </w:r>
          </w:p>
        </w:tc>
        <w:tc>
          <w:tcPr>
            <w:tcW w:w="1899" w:type="dxa"/>
            <w:vAlign w:val="bottom"/>
          </w:tcPr>
          <w:p w:rsidR="00000000" w:rsidRDefault="00000000">
            <w:pPr>
              <w:spacing w:before="60" w:after="60"/>
              <w:ind w:right="418"/>
              <w:jc w:val="right"/>
              <w:rPr>
                <w:sz w:val="22"/>
              </w:rPr>
            </w:pPr>
            <w:r>
              <w:rPr>
                <w:sz w:val="22"/>
              </w:rPr>
              <w:t>145</w:t>
            </w:r>
          </w:p>
        </w:tc>
        <w:tc>
          <w:tcPr>
            <w:tcW w:w="1899" w:type="dxa"/>
            <w:vAlign w:val="bottom"/>
          </w:tcPr>
          <w:p w:rsidR="00000000" w:rsidRDefault="00000000">
            <w:pPr>
              <w:spacing w:before="60" w:after="60"/>
              <w:ind w:right="418"/>
              <w:jc w:val="right"/>
              <w:rPr>
                <w:sz w:val="22"/>
              </w:rPr>
            </w:pPr>
            <w:r>
              <w:rPr>
                <w:sz w:val="22"/>
              </w:rPr>
              <w:t>130</w:t>
            </w:r>
          </w:p>
        </w:tc>
        <w:tc>
          <w:tcPr>
            <w:tcW w:w="1900" w:type="dxa"/>
            <w:vAlign w:val="bottom"/>
          </w:tcPr>
          <w:p w:rsidR="00000000" w:rsidRDefault="00000000">
            <w:pPr>
              <w:spacing w:before="60" w:after="60"/>
              <w:ind w:right="418"/>
              <w:jc w:val="right"/>
              <w:rPr>
                <w:sz w:val="22"/>
              </w:rPr>
            </w:pPr>
            <w:r>
              <w:rPr>
                <w:sz w:val="22"/>
              </w:rPr>
              <w:t>123</w:t>
            </w:r>
          </w:p>
        </w:tc>
      </w:tr>
      <w:tr w:rsidR="00000000">
        <w:tblPrEx>
          <w:tblCellMar>
            <w:top w:w="0" w:type="dxa"/>
            <w:bottom w:w="0" w:type="dxa"/>
          </w:tblCellMar>
        </w:tblPrEx>
        <w:tc>
          <w:tcPr>
            <w:tcW w:w="1899" w:type="dxa"/>
          </w:tcPr>
          <w:p w:rsidR="00000000" w:rsidRDefault="00000000">
            <w:pPr>
              <w:spacing w:before="60" w:after="60"/>
              <w:rPr>
                <w:sz w:val="22"/>
              </w:rPr>
            </w:pPr>
            <w:r>
              <w:rPr>
                <w:sz w:val="22"/>
              </w:rPr>
              <w:t>O. du Kazakhstan occidental</w:t>
            </w:r>
          </w:p>
        </w:tc>
        <w:tc>
          <w:tcPr>
            <w:tcW w:w="1899" w:type="dxa"/>
            <w:vAlign w:val="bottom"/>
          </w:tcPr>
          <w:p w:rsidR="00000000" w:rsidRDefault="00000000">
            <w:pPr>
              <w:spacing w:before="60" w:after="60"/>
              <w:ind w:right="418"/>
              <w:jc w:val="right"/>
              <w:rPr>
                <w:sz w:val="22"/>
              </w:rPr>
            </w:pPr>
            <w:r>
              <w:rPr>
                <w:sz w:val="22"/>
              </w:rPr>
              <w:t>43</w:t>
            </w:r>
          </w:p>
        </w:tc>
        <w:tc>
          <w:tcPr>
            <w:tcW w:w="1899" w:type="dxa"/>
            <w:vAlign w:val="bottom"/>
          </w:tcPr>
          <w:p w:rsidR="00000000" w:rsidRDefault="00000000">
            <w:pPr>
              <w:spacing w:before="60" w:after="60"/>
              <w:ind w:right="418"/>
              <w:jc w:val="right"/>
              <w:rPr>
                <w:sz w:val="22"/>
              </w:rPr>
            </w:pPr>
            <w:r>
              <w:rPr>
                <w:sz w:val="22"/>
              </w:rPr>
              <w:t>38</w:t>
            </w:r>
          </w:p>
        </w:tc>
        <w:tc>
          <w:tcPr>
            <w:tcW w:w="1899" w:type="dxa"/>
            <w:vAlign w:val="bottom"/>
          </w:tcPr>
          <w:p w:rsidR="00000000" w:rsidRDefault="00000000">
            <w:pPr>
              <w:spacing w:before="60" w:after="60"/>
              <w:ind w:right="418"/>
              <w:jc w:val="right"/>
              <w:rPr>
                <w:sz w:val="22"/>
              </w:rPr>
            </w:pPr>
            <w:r>
              <w:rPr>
                <w:sz w:val="22"/>
              </w:rPr>
              <w:t>5</w:t>
            </w:r>
          </w:p>
        </w:tc>
        <w:tc>
          <w:tcPr>
            <w:tcW w:w="1900" w:type="dxa"/>
            <w:vAlign w:val="bottom"/>
          </w:tcPr>
          <w:p w:rsidR="00000000" w:rsidRDefault="00000000">
            <w:pPr>
              <w:spacing w:before="60" w:after="60"/>
              <w:ind w:right="418"/>
              <w:jc w:val="right"/>
              <w:rPr>
                <w:sz w:val="22"/>
              </w:rPr>
            </w:pPr>
            <w:r>
              <w:rPr>
                <w:sz w:val="22"/>
              </w:rPr>
              <w:t>34</w:t>
            </w:r>
          </w:p>
        </w:tc>
      </w:tr>
      <w:tr w:rsidR="00000000">
        <w:tblPrEx>
          <w:tblCellMar>
            <w:top w:w="0" w:type="dxa"/>
            <w:bottom w:w="0" w:type="dxa"/>
          </w:tblCellMar>
        </w:tblPrEx>
        <w:tc>
          <w:tcPr>
            <w:tcW w:w="1899" w:type="dxa"/>
          </w:tcPr>
          <w:p w:rsidR="00000000" w:rsidRDefault="00000000">
            <w:pPr>
              <w:spacing w:before="60" w:after="60"/>
              <w:rPr>
                <w:sz w:val="22"/>
                <w:lang w:val="nl-NL"/>
              </w:rPr>
            </w:pPr>
            <w:r>
              <w:rPr>
                <w:sz w:val="22"/>
                <w:lang w:val="nl-NL"/>
              </w:rPr>
              <w:t>O. de Karaganda</w:t>
            </w:r>
          </w:p>
        </w:tc>
        <w:tc>
          <w:tcPr>
            <w:tcW w:w="1899" w:type="dxa"/>
            <w:vAlign w:val="bottom"/>
          </w:tcPr>
          <w:p w:rsidR="00000000" w:rsidRDefault="00000000">
            <w:pPr>
              <w:spacing w:before="60" w:after="60"/>
              <w:ind w:right="418"/>
              <w:jc w:val="right"/>
              <w:rPr>
                <w:sz w:val="22"/>
                <w:lang w:val="nl-NL"/>
              </w:rPr>
            </w:pPr>
            <w:r>
              <w:rPr>
                <w:sz w:val="22"/>
                <w:lang w:val="nl-NL"/>
              </w:rPr>
              <w:t>238</w:t>
            </w:r>
          </w:p>
        </w:tc>
        <w:tc>
          <w:tcPr>
            <w:tcW w:w="1899" w:type="dxa"/>
            <w:vAlign w:val="bottom"/>
          </w:tcPr>
          <w:p w:rsidR="00000000" w:rsidRDefault="00000000">
            <w:pPr>
              <w:spacing w:before="60" w:after="60"/>
              <w:ind w:right="418"/>
              <w:jc w:val="right"/>
              <w:rPr>
                <w:sz w:val="22"/>
                <w:lang w:val="nl-NL"/>
              </w:rPr>
            </w:pPr>
            <w:r>
              <w:rPr>
                <w:sz w:val="22"/>
                <w:lang w:val="nl-NL"/>
              </w:rPr>
              <w:t>142</w:t>
            </w:r>
          </w:p>
        </w:tc>
        <w:tc>
          <w:tcPr>
            <w:tcW w:w="1899" w:type="dxa"/>
            <w:vAlign w:val="bottom"/>
          </w:tcPr>
          <w:p w:rsidR="00000000" w:rsidRDefault="00000000">
            <w:pPr>
              <w:spacing w:before="60" w:after="60"/>
              <w:ind w:right="418"/>
              <w:jc w:val="right"/>
              <w:rPr>
                <w:sz w:val="22"/>
                <w:lang w:val="nl-NL"/>
              </w:rPr>
            </w:pPr>
            <w:r>
              <w:rPr>
                <w:sz w:val="22"/>
                <w:lang w:val="nl-NL"/>
              </w:rPr>
              <w:t>96</w:t>
            </w:r>
          </w:p>
        </w:tc>
        <w:tc>
          <w:tcPr>
            <w:tcW w:w="1900" w:type="dxa"/>
            <w:vAlign w:val="bottom"/>
          </w:tcPr>
          <w:p w:rsidR="00000000" w:rsidRDefault="00000000">
            <w:pPr>
              <w:spacing w:before="60" w:after="60"/>
              <w:ind w:right="418"/>
              <w:jc w:val="right"/>
              <w:rPr>
                <w:sz w:val="22"/>
                <w:lang w:val="nl-NL"/>
              </w:rPr>
            </w:pPr>
            <w:r>
              <w:rPr>
                <w:sz w:val="22"/>
                <w:lang w:val="nl-NL"/>
              </w:rPr>
              <w:t>238</w:t>
            </w:r>
          </w:p>
        </w:tc>
      </w:tr>
      <w:tr w:rsidR="00000000">
        <w:tblPrEx>
          <w:tblCellMar>
            <w:top w:w="0" w:type="dxa"/>
            <w:bottom w:w="0" w:type="dxa"/>
          </w:tblCellMar>
        </w:tblPrEx>
        <w:tc>
          <w:tcPr>
            <w:tcW w:w="1899" w:type="dxa"/>
          </w:tcPr>
          <w:p w:rsidR="00000000" w:rsidRDefault="00000000">
            <w:pPr>
              <w:spacing w:before="60" w:after="60"/>
              <w:rPr>
                <w:sz w:val="22"/>
                <w:lang w:val="nl-NL"/>
              </w:rPr>
            </w:pPr>
            <w:r>
              <w:rPr>
                <w:sz w:val="22"/>
                <w:lang w:val="nl-NL"/>
              </w:rPr>
              <w:t>O. de Kostanai</w:t>
            </w:r>
          </w:p>
        </w:tc>
        <w:tc>
          <w:tcPr>
            <w:tcW w:w="1899" w:type="dxa"/>
            <w:vAlign w:val="bottom"/>
          </w:tcPr>
          <w:p w:rsidR="00000000" w:rsidRDefault="00000000">
            <w:pPr>
              <w:spacing w:before="60" w:after="60"/>
              <w:ind w:right="418"/>
              <w:jc w:val="right"/>
              <w:rPr>
                <w:sz w:val="22"/>
                <w:lang w:val="nl-NL"/>
              </w:rPr>
            </w:pPr>
            <w:r>
              <w:rPr>
                <w:sz w:val="22"/>
                <w:lang w:val="nl-NL"/>
              </w:rPr>
              <w:t>121</w:t>
            </w:r>
          </w:p>
        </w:tc>
        <w:tc>
          <w:tcPr>
            <w:tcW w:w="1899" w:type="dxa"/>
            <w:vAlign w:val="bottom"/>
          </w:tcPr>
          <w:p w:rsidR="00000000" w:rsidRDefault="00000000">
            <w:pPr>
              <w:spacing w:before="60" w:after="60"/>
              <w:ind w:right="418"/>
              <w:jc w:val="right"/>
              <w:rPr>
                <w:sz w:val="22"/>
                <w:lang w:val="nl-NL"/>
              </w:rPr>
            </w:pPr>
            <w:r>
              <w:rPr>
                <w:sz w:val="22"/>
                <w:lang w:val="nl-NL"/>
              </w:rPr>
              <w:t>82</w:t>
            </w:r>
          </w:p>
        </w:tc>
        <w:tc>
          <w:tcPr>
            <w:tcW w:w="1899" w:type="dxa"/>
            <w:vAlign w:val="bottom"/>
          </w:tcPr>
          <w:p w:rsidR="00000000" w:rsidRDefault="00000000">
            <w:pPr>
              <w:spacing w:before="60" w:after="60"/>
              <w:ind w:right="418"/>
              <w:jc w:val="right"/>
              <w:rPr>
                <w:sz w:val="22"/>
                <w:lang w:val="nl-NL"/>
              </w:rPr>
            </w:pPr>
            <w:r>
              <w:rPr>
                <w:sz w:val="22"/>
                <w:lang w:val="nl-NL"/>
              </w:rPr>
              <w:t>39</w:t>
            </w:r>
          </w:p>
        </w:tc>
        <w:tc>
          <w:tcPr>
            <w:tcW w:w="1900" w:type="dxa"/>
            <w:vAlign w:val="bottom"/>
          </w:tcPr>
          <w:p w:rsidR="00000000" w:rsidRDefault="00000000">
            <w:pPr>
              <w:spacing w:before="60" w:after="60"/>
              <w:ind w:right="418"/>
              <w:jc w:val="right"/>
              <w:rPr>
                <w:sz w:val="22"/>
                <w:lang w:val="nl-NL"/>
              </w:rPr>
            </w:pPr>
            <w:r>
              <w:rPr>
                <w:sz w:val="22"/>
                <w:lang w:val="nl-NL"/>
              </w:rPr>
              <w:t>54</w:t>
            </w:r>
          </w:p>
        </w:tc>
      </w:tr>
      <w:tr w:rsidR="00000000">
        <w:tblPrEx>
          <w:tblCellMar>
            <w:top w:w="0" w:type="dxa"/>
            <w:bottom w:w="0" w:type="dxa"/>
          </w:tblCellMar>
        </w:tblPrEx>
        <w:tc>
          <w:tcPr>
            <w:tcW w:w="1899" w:type="dxa"/>
          </w:tcPr>
          <w:p w:rsidR="00000000" w:rsidRDefault="00000000">
            <w:pPr>
              <w:spacing w:before="60" w:after="60"/>
              <w:rPr>
                <w:sz w:val="22"/>
              </w:rPr>
            </w:pPr>
            <w:r>
              <w:rPr>
                <w:sz w:val="22"/>
              </w:rPr>
              <w:t>O. de Kyzyl</w:t>
            </w:r>
            <w:r>
              <w:rPr>
                <w:sz w:val="22"/>
              </w:rPr>
              <w:noBreakHyphen/>
              <w:t>Orda</w:t>
            </w:r>
          </w:p>
        </w:tc>
        <w:tc>
          <w:tcPr>
            <w:tcW w:w="1899" w:type="dxa"/>
            <w:vAlign w:val="bottom"/>
          </w:tcPr>
          <w:p w:rsidR="00000000" w:rsidRDefault="00000000">
            <w:pPr>
              <w:spacing w:before="60" w:after="60"/>
              <w:ind w:right="418"/>
              <w:jc w:val="right"/>
              <w:rPr>
                <w:sz w:val="22"/>
              </w:rPr>
            </w:pPr>
            <w:r>
              <w:rPr>
                <w:sz w:val="22"/>
              </w:rPr>
              <w:t>28</w:t>
            </w:r>
          </w:p>
        </w:tc>
        <w:tc>
          <w:tcPr>
            <w:tcW w:w="1899" w:type="dxa"/>
            <w:vAlign w:val="bottom"/>
          </w:tcPr>
          <w:p w:rsidR="00000000" w:rsidRDefault="00000000">
            <w:pPr>
              <w:spacing w:before="60" w:after="60"/>
              <w:ind w:right="418"/>
              <w:jc w:val="right"/>
              <w:rPr>
                <w:sz w:val="22"/>
              </w:rPr>
            </w:pPr>
            <w:r>
              <w:rPr>
                <w:sz w:val="22"/>
              </w:rPr>
              <w:t>26</w:t>
            </w:r>
          </w:p>
        </w:tc>
        <w:tc>
          <w:tcPr>
            <w:tcW w:w="1899" w:type="dxa"/>
            <w:vAlign w:val="bottom"/>
          </w:tcPr>
          <w:p w:rsidR="00000000" w:rsidRDefault="00000000">
            <w:pPr>
              <w:spacing w:before="60" w:after="60"/>
              <w:ind w:right="418"/>
              <w:jc w:val="right"/>
              <w:rPr>
                <w:sz w:val="22"/>
              </w:rPr>
            </w:pPr>
            <w:r>
              <w:rPr>
                <w:sz w:val="22"/>
              </w:rPr>
              <w:t>2</w:t>
            </w:r>
          </w:p>
        </w:tc>
        <w:tc>
          <w:tcPr>
            <w:tcW w:w="1900" w:type="dxa"/>
            <w:vAlign w:val="bottom"/>
          </w:tcPr>
          <w:p w:rsidR="00000000" w:rsidRDefault="00000000">
            <w:pPr>
              <w:spacing w:before="60" w:after="60"/>
              <w:ind w:right="418"/>
              <w:jc w:val="right"/>
              <w:rPr>
                <w:sz w:val="22"/>
              </w:rPr>
            </w:pPr>
            <w:r>
              <w:rPr>
                <w:sz w:val="22"/>
              </w:rPr>
              <w:t>101</w:t>
            </w:r>
          </w:p>
        </w:tc>
      </w:tr>
      <w:tr w:rsidR="00000000">
        <w:tblPrEx>
          <w:tblCellMar>
            <w:top w:w="0" w:type="dxa"/>
            <w:bottom w:w="0" w:type="dxa"/>
          </w:tblCellMar>
        </w:tblPrEx>
        <w:tc>
          <w:tcPr>
            <w:tcW w:w="1899" w:type="dxa"/>
          </w:tcPr>
          <w:p w:rsidR="00000000" w:rsidRDefault="00000000">
            <w:pPr>
              <w:spacing w:before="60" w:after="60"/>
              <w:rPr>
                <w:sz w:val="22"/>
              </w:rPr>
            </w:pPr>
            <w:r>
              <w:rPr>
                <w:sz w:val="22"/>
              </w:rPr>
              <w:t>O. de Mangistau</w:t>
            </w:r>
          </w:p>
        </w:tc>
        <w:tc>
          <w:tcPr>
            <w:tcW w:w="1899" w:type="dxa"/>
            <w:vAlign w:val="bottom"/>
          </w:tcPr>
          <w:p w:rsidR="00000000" w:rsidRDefault="00000000">
            <w:pPr>
              <w:spacing w:before="60" w:after="60"/>
              <w:ind w:right="418"/>
              <w:jc w:val="right"/>
              <w:rPr>
                <w:sz w:val="22"/>
              </w:rPr>
            </w:pPr>
            <w:r>
              <w:rPr>
                <w:sz w:val="22"/>
              </w:rPr>
              <w:t>18</w:t>
            </w:r>
          </w:p>
        </w:tc>
        <w:tc>
          <w:tcPr>
            <w:tcW w:w="1899" w:type="dxa"/>
            <w:vAlign w:val="bottom"/>
          </w:tcPr>
          <w:p w:rsidR="00000000" w:rsidRDefault="00000000">
            <w:pPr>
              <w:spacing w:before="60" w:after="60"/>
              <w:ind w:right="418"/>
              <w:jc w:val="right"/>
              <w:rPr>
                <w:sz w:val="22"/>
              </w:rPr>
            </w:pPr>
            <w:r>
              <w:rPr>
                <w:sz w:val="22"/>
              </w:rPr>
              <w:t>16</w:t>
            </w:r>
          </w:p>
        </w:tc>
        <w:tc>
          <w:tcPr>
            <w:tcW w:w="1899" w:type="dxa"/>
            <w:vAlign w:val="bottom"/>
          </w:tcPr>
          <w:p w:rsidR="00000000" w:rsidRDefault="00000000">
            <w:pPr>
              <w:spacing w:before="60" w:after="60"/>
              <w:ind w:right="418"/>
              <w:jc w:val="right"/>
              <w:rPr>
                <w:sz w:val="22"/>
              </w:rPr>
            </w:pPr>
            <w:r>
              <w:rPr>
                <w:sz w:val="22"/>
              </w:rPr>
              <w:t>2</w:t>
            </w:r>
          </w:p>
        </w:tc>
        <w:tc>
          <w:tcPr>
            <w:tcW w:w="1900" w:type="dxa"/>
            <w:vAlign w:val="bottom"/>
          </w:tcPr>
          <w:p w:rsidR="00000000" w:rsidRDefault="00000000">
            <w:pPr>
              <w:spacing w:before="60" w:after="60"/>
              <w:ind w:right="418"/>
              <w:jc w:val="right"/>
              <w:rPr>
                <w:sz w:val="22"/>
              </w:rPr>
            </w:pPr>
            <w:r>
              <w:rPr>
                <w:sz w:val="22"/>
              </w:rPr>
              <w:t>13</w:t>
            </w:r>
          </w:p>
        </w:tc>
      </w:tr>
      <w:tr w:rsidR="00000000">
        <w:tblPrEx>
          <w:tblCellMar>
            <w:top w:w="0" w:type="dxa"/>
            <w:bottom w:w="0" w:type="dxa"/>
          </w:tblCellMar>
        </w:tblPrEx>
        <w:tc>
          <w:tcPr>
            <w:tcW w:w="1899" w:type="dxa"/>
          </w:tcPr>
          <w:p w:rsidR="00000000" w:rsidRDefault="00000000">
            <w:pPr>
              <w:spacing w:before="60" w:after="60"/>
              <w:rPr>
                <w:sz w:val="22"/>
              </w:rPr>
            </w:pPr>
            <w:r>
              <w:rPr>
                <w:sz w:val="22"/>
              </w:rPr>
              <w:t>O. de Pavlodar</w:t>
            </w:r>
          </w:p>
        </w:tc>
        <w:tc>
          <w:tcPr>
            <w:tcW w:w="1899" w:type="dxa"/>
            <w:vAlign w:val="bottom"/>
          </w:tcPr>
          <w:p w:rsidR="00000000" w:rsidRDefault="00000000">
            <w:pPr>
              <w:spacing w:before="60" w:after="60"/>
              <w:ind w:right="418"/>
              <w:jc w:val="right"/>
              <w:rPr>
                <w:sz w:val="22"/>
              </w:rPr>
            </w:pPr>
            <w:r>
              <w:rPr>
                <w:sz w:val="22"/>
              </w:rPr>
              <w:t>111</w:t>
            </w:r>
          </w:p>
        </w:tc>
        <w:tc>
          <w:tcPr>
            <w:tcW w:w="1899" w:type="dxa"/>
            <w:vAlign w:val="bottom"/>
          </w:tcPr>
          <w:p w:rsidR="00000000" w:rsidRDefault="00000000">
            <w:pPr>
              <w:spacing w:before="60" w:after="60"/>
              <w:ind w:right="418"/>
              <w:jc w:val="right"/>
              <w:rPr>
                <w:sz w:val="22"/>
              </w:rPr>
            </w:pPr>
            <w:r>
              <w:rPr>
                <w:sz w:val="22"/>
              </w:rPr>
              <w:t>52</w:t>
            </w:r>
          </w:p>
        </w:tc>
        <w:tc>
          <w:tcPr>
            <w:tcW w:w="1899" w:type="dxa"/>
            <w:vAlign w:val="bottom"/>
          </w:tcPr>
          <w:p w:rsidR="00000000" w:rsidRDefault="00000000">
            <w:pPr>
              <w:spacing w:before="60" w:after="60"/>
              <w:ind w:right="418"/>
              <w:jc w:val="right"/>
              <w:rPr>
                <w:sz w:val="22"/>
              </w:rPr>
            </w:pPr>
            <w:r>
              <w:rPr>
                <w:sz w:val="22"/>
              </w:rPr>
              <w:t>59</w:t>
            </w:r>
          </w:p>
        </w:tc>
        <w:tc>
          <w:tcPr>
            <w:tcW w:w="1900" w:type="dxa"/>
            <w:vAlign w:val="bottom"/>
          </w:tcPr>
          <w:p w:rsidR="00000000" w:rsidRDefault="00000000">
            <w:pPr>
              <w:spacing w:before="60" w:after="60"/>
              <w:ind w:right="418"/>
              <w:jc w:val="right"/>
              <w:rPr>
                <w:sz w:val="22"/>
              </w:rPr>
            </w:pPr>
            <w:r>
              <w:rPr>
                <w:sz w:val="22"/>
              </w:rPr>
              <w:t>95</w:t>
            </w:r>
          </w:p>
        </w:tc>
      </w:tr>
      <w:tr w:rsidR="00000000">
        <w:tblPrEx>
          <w:tblCellMar>
            <w:top w:w="0" w:type="dxa"/>
            <w:bottom w:w="0" w:type="dxa"/>
          </w:tblCellMar>
        </w:tblPrEx>
        <w:tc>
          <w:tcPr>
            <w:tcW w:w="1899" w:type="dxa"/>
          </w:tcPr>
          <w:p w:rsidR="00000000" w:rsidRDefault="00000000">
            <w:pPr>
              <w:spacing w:before="60" w:after="60"/>
              <w:rPr>
                <w:sz w:val="22"/>
              </w:rPr>
            </w:pPr>
            <w:r>
              <w:rPr>
                <w:sz w:val="22"/>
              </w:rPr>
              <w:t>O. du Kazakhstan du nord</w:t>
            </w:r>
          </w:p>
        </w:tc>
        <w:tc>
          <w:tcPr>
            <w:tcW w:w="1899" w:type="dxa"/>
            <w:vAlign w:val="bottom"/>
          </w:tcPr>
          <w:p w:rsidR="00000000" w:rsidRDefault="00000000">
            <w:pPr>
              <w:spacing w:before="60" w:after="60"/>
              <w:ind w:right="418"/>
              <w:jc w:val="right"/>
              <w:rPr>
                <w:sz w:val="22"/>
              </w:rPr>
            </w:pPr>
            <w:r>
              <w:rPr>
                <w:sz w:val="22"/>
              </w:rPr>
              <w:t>158</w:t>
            </w:r>
          </w:p>
        </w:tc>
        <w:tc>
          <w:tcPr>
            <w:tcW w:w="1899" w:type="dxa"/>
            <w:vAlign w:val="bottom"/>
          </w:tcPr>
          <w:p w:rsidR="00000000" w:rsidRDefault="00000000">
            <w:pPr>
              <w:spacing w:before="60" w:after="60"/>
              <w:ind w:right="418"/>
              <w:jc w:val="right"/>
              <w:rPr>
                <w:sz w:val="22"/>
              </w:rPr>
            </w:pPr>
            <w:r>
              <w:rPr>
                <w:sz w:val="22"/>
              </w:rPr>
              <w:t>94</w:t>
            </w:r>
          </w:p>
        </w:tc>
        <w:tc>
          <w:tcPr>
            <w:tcW w:w="1899" w:type="dxa"/>
            <w:vAlign w:val="bottom"/>
          </w:tcPr>
          <w:p w:rsidR="00000000" w:rsidRDefault="00000000">
            <w:pPr>
              <w:spacing w:before="60" w:after="60"/>
              <w:ind w:right="418"/>
              <w:jc w:val="right"/>
              <w:rPr>
                <w:sz w:val="22"/>
              </w:rPr>
            </w:pPr>
            <w:r>
              <w:rPr>
                <w:sz w:val="22"/>
              </w:rPr>
              <w:t>64</w:t>
            </w:r>
          </w:p>
        </w:tc>
        <w:tc>
          <w:tcPr>
            <w:tcW w:w="1900" w:type="dxa"/>
            <w:vAlign w:val="bottom"/>
          </w:tcPr>
          <w:p w:rsidR="00000000" w:rsidRDefault="00000000">
            <w:pPr>
              <w:spacing w:before="60" w:after="60"/>
              <w:ind w:right="418"/>
              <w:jc w:val="right"/>
              <w:rPr>
                <w:sz w:val="22"/>
              </w:rPr>
            </w:pPr>
            <w:r>
              <w:rPr>
                <w:sz w:val="22"/>
              </w:rPr>
              <w:t>93</w:t>
            </w:r>
          </w:p>
        </w:tc>
      </w:tr>
      <w:tr w:rsidR="00000000">
        <w:tblPrEx>
          <w:tblCellMar>
            <w:top w:w="0" w:type="dxa"/>
            <w:bottom w:w="0" w:type="dxa"/>
          </w:tblCellMar>
        </w:tblPrEx>
        <w:tc>
          <w:tcPr>
            <w:tcW w:w="1899" w:type="dxa"/>
          </w:tcPr>
          <w:p w:rsidR="00000000" w:rsidRDefault="00000000">
            <w:pPr>
              <w:spacing w:before="60" w:after="60"/>
              <w:rPr>
                <w:sz w:val="22"/>
              </w:rPr>
            </w:pPr>
            <w:r>
              <w:rPr>
                <w:sz w:val="22"/>
              </w:rPr>
              <w:t>O. du Kazakhstan du sud</w:t>
            </w:r>
          </w:p>
        </w:tc>
        <w:tc>
          <w:tcPr>
            <w:tcW w:w="1899" w:type="dxa"/>
            <w:vAlign w:val="bottom"/>
          </w:tcPr>
          <w:p w:rsidR="00000000" w:rsidRDefault="00000000">
            <w:pPr>
              <w:spacing w:before="60" w:after="60"/>
              <w:ind w:right="418"/>
              <w:jc w:val="right"/>
              <w:rPr>
                <w:sz w:val="22"/>
              </w:rPr>
            </w:pPr>
            <w:r>
              <w:rPr>
                <w:sz w:val="22"/>
              </w:rPr>
              <w:t>324</w:t>
            </w:r>
          </w:p>
        </w:tc>
        <w:tc>
          <w:tcPr>
            <w:tcW w:w="1899" w:type="dxa"/>
            <w:vAlign w:val="bottom"/>
          </w:tcPr>
          <w:p w:rsidR="00000000" w:rsidRDefault="00000000">
            <w:pPr>
              <w:spacing w:before="60" w:after="60"/>
              <w:ind w:right="418"/>
              <w:jc w:val="right"/>
              <w:rPr>
                <w:sz w:val="22"/>
              </w:rPr>
            </w:pPr>
            <w:r>
              <w:rPr>
                <w:sz w:val="22"/>
              </w:rPr>
              <w:t>162</w:t>
            </w:r>
          </w:p>
        </w:tc>
        <w:tc>
          <w:tcPr>
            <w:tcW w:w="1899" w:type="dxa"/>
            <w:vAlign w:val="bottom"/>
          </w:tcPr>
          <w:p w:rsidR="00000000" w:rsidRDefault="00000000">
            <w:pPr>
              <w:spacing w:before="60" w:after="60"/>
              <w:ind w:right="418"/>
              <w:jc w:val="right"/>
              <w:rPr>
                <w:sz w:val="22"/>
              </w:rPr>
            </w:pPr>
            <w:r>
              <w:rPr>
                <w:sz w:val="22"/>
              </w:rPr>
              <w:t>162</w:t>
            </w:r>
          </w:p>
        </w:tc>
        <w:tc>
          <w:tcPr>
            <w:tcW w:w="1900" w:type="dxa"/>
            <w:vAlign w:val="bottom"/>
          </w:tcPr>
          <w:p w:rsidR="00000000" w:rsidRDefault="00000000">
            <w:pPr>
              <w:spacing w:before="60" w:after="60"/>
              <w:ind w:right="418"/>
              <w:jc w:val="right"/>
              <w:rPr>
                <w:sz w:val="22"/>
              </w:rPr>
            </w:pPr>
            <w:r>
              <w:rPr>
                <w:sz w:val="22"/>
              </w:rPr>
              <w:t>498</w:t>
            </w:r>
          </w:p>
        </w:tc>
      </w:tr>
      <w:tr w:rsidR="00000000">
        <w:tblPrEx>
          <w:tblCellMar>
            <w:top w:w="0" w:type="dxa"/>
            <w:bottom w:w="0" w:type="dxa"/>
          </w:tblCellMar>
        </w:tblPrEx>
        <w:tc>
          <w:tcPr>
            <w:tcW w:w="1899" w:type="dxa"/>
          </w:tcPr>
          <w:p w:rsidR="00000000" w:rsidRDefault="00000000">
            <w:pPr>
              <w:spacing w:before="60" w:after="60"/>
              <w:rPr>
                <w:sz w:val="22"/>
              </w:rPr>
            </w:pPr>
            <w:r>
              <w:rPr>
                <w:sz w:val="22"/>
              </w:rPr>
              <w:t>Total</w:t>
            </w:r>
          </w:p>
        </w:tc>
        <w:tc>
          <w:tcPr>
            <w:tcW w:w="1899" w:type="dxa"/>
            <w:vAlign w:val="bottom"/>
          </w:tcPr>
          <w:p w:rsidR="00000000" w:rsidRDefault="00000000">
            <w:pPr>
              <w:spacing w:before="60" w:after="60"/>
              <w:ind w:right="418"/>
              <w:jc w:val="right"/>
              <w:rPr>
                <w:sz w:val="22"/>
              </w:rPr>
            </w:pPr>
            <w:r>
              <w:rPr>
                <w:sz w:val="22"/>
              </w:rPr>
              <w:t>2 299</w:t>
            </w:r>
          </w:p>
        </w:tc>
        <w:tc>
          <w:tcPr>
            <w:tcW w:w="1899" w:type="dxa"/>
            <w:vAlign w:val="bottom"/>
          </w:tcPr>
          <w:p w:rsidR="00000000" w:rsidRDefault="00000000">
            <w:pPr>
              <w:spacing w:before="60" w:after="60"/>
              <w:ind w:right="418"/>
              <w:jc w:val="right"/>
              <w:rPr>
                <w:sz w:val="22"/>
              </w:rPr>
            </w:pPr>
            <w:r>
              <w:rPr>
                <w:sz w:val="22"/>
              </w:rPr>
              <w:t>1 374</w:t>
            </w:r>
          </w:p>
        </w:tc>
        <w:tc>
          <w:tcPr>
            <w:tcW w:w="1899" w:type="dxa"/>
            <w:vAlign w:val="bottom"/>
          </w:tcPr>
          <w:p w:rsidR="00000000" w:rsidRDefault="00000000">
            <w:pPr>
              <w:spacing w:before="60" w:after="60"/>
              <w:ind w:right="418"/>
              <w:jc w:val="right"/>
              <w:rPr>
                <w:sz w:val="22"/>
              </w:rPr>
            </w:pPr>
            <w:r>
              <w:rPr>
                <w:sz w:val="22"/>
              </w:rPr>
              <w:t>925</w:t>
            </w:r>
          </w:p>
        </w:tc>
        <w:tc>
          <w:tcPr>
            <w:tcW w:w="1900" w:type="dxa"/>
            <w:vAlign w:val="bottom"/>
          </w:tcPr>
          <w:p w:rsidR="00000000" w:rsidRDefault="00000000">
            <w:pPr>
              <w:spacing w:before="60" w:after="60"/>
              <w:ind w:right="418"/>
              <w:jc w:val="right"/>
              <w:rPr>
                <w:sz w:val="22"/>
              </w:rPr>
            </w:pPr>
            <w:r>
              <w:rPr>
                <w:sz w:val="22"/>
              </w:rPr>
              <w:t>2 005</w:t>
            </w:r>
          </w:p>
        </w:tc>
      </w:tr>
    </w:tbl>
    <w:p w:rsidR="00000000" w:rsidRDefault="00000000">
      <w:pPr>
        <w:spacing w:after="240"/>
      </w:pPr>
    </w:p>
    <w:p w:rsidR="00000000" w:rsidRDefault="00000000">
      <w:pPr>
        <w:keepNext/>
        <w:spacing w:after="240"/>
        <w:jc w:val="center"/>
        <w:rPr>
          <w:b/>
          <w:bCs/>
        </w:rPr>
      </w:pPr>
      <w:r>
        <w:rPr>
          <w:b/>
          <w:bCs/>
        </w:rPr>
        <w:t>INFORMATIONS RELATIVES AUX ARTICLES 2 À 7</w:t>
      </w:r>
      <w:r>
        <w:rPr>
          <w:b/>
          <w:bCs/>
        </w:rPr>
        <w:br/>
        <w:t>DE LA CONVENTION</w:t>
      </w:r>
    </w:p>
    <w:p w:rsidR="00000000" w:rsidRDefault="00000000">
      <w:pPr>
        <w:keepNext/>
        <w:spacing w:after="240"/>
        <w:jc w:val="center"/>
        <w:rPr>
          <w:b/>
          <w:bCs/>
        </w:rPr>
      </w:pPr>
      <w:r>
        <w:rPr>
          <w:b/>
          <w:bCs/>
        </w:rPr>
        <w:t>PREMIÈRE PARTIE</w:t>
      </w:r>
    </w:p>
    <w:p w:rsidR="00000000" w:rsidRDefault="00000000">
      <w:pPr>
        <w:keepNext/>
        <w:spacing w:after="240"/>
        <w:jc w:val="center"/>
      </w:pPr>
      <w:r>
        <w:rPr>
          <w:b/>
          <w:bCs/>
        </w:rPr>
        <w:t>A.  Article premier</w:t>
      </w:r>
    </w:p>
    <w:p w:rsidR="00000000" w:rsidRDefault="00000000">
      <w:pPr>
        <w:spacing w:after="240"/>
        <w:ind w:firstLine="567"/>
      </w:pPr>
      <w:r>
        <w:t>Dans la [présente] Convention, l’expression «discrimination raciale» vise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p>
    <w:p w:rsidR="00000000" w:rsidRDefault="00000000">
      <w:pPr>
        <w:spacing w:after="240"/>
      </w:pPr>
      <w:r>
        <w:t>31.</w:t>
      </w:r>
      <w:r>
        <w:tab/>
        <w:t>L’expression «discrimination raciale» n’est en réalité pas définie dans la législation de la République du Kazakhstan. Toutefois, elle est largement utilisée dans la pratique juridique et apparaît dans la Constitution et dans d’autres textes de loi.</w:t>
      </w:r>
    </w:p>
    <w:p w:rsidR="00000000" w:rsidRDefault="00000000">
      <w:pPr>
        <w:spacing w:after="240"/>
        <w:ind w:firstLine="567"/>
      </w:pPr>
      <w:r>
        <w:t>Aux termes de l’article 14 de la Constitution du 30 août 1995,</w:t>
      </w:r>
    </w:p>
    <w:p w:rsidR="00000000" w:rsidRDefault="00000000">
      <w:pPr>
        <w:spacing w:after="240"/>
        <w:ind w:firstLine="567"/>
      </w:pPr>
      <w:r>
        <w:t>«1.</w:t>
      </w:r>
      <w:r>
        <w:tab/>
        <w:t>Tous sont égaux devant la loi et les tribunaux.</w:t>
      </w:r>
    </w:p>
    <w:p w:rsidR="00000000" w:rsidRDefault="00000000">
      <w:pPr>
        <w:spacing w:after="240"/>
        <w:ind w:left="567"/>
      </w:pPr>
      <w:r>
        <w:t>2.</w:t>
      </w:r>
      <w:r>
        <w:tab/>
        <w:t>Nul ne peut faire l’objet de discrimination d’aucune sorte fondée sur l’origine, la situation sociale, officielle ou de fortune, le sexe, la race, la nationalité, la langue, l’attitude envers la religion, les convictions, le lieu de résidence ou toute autre situation.».</w:t>
      </w:r>
    </w:p>
    <w:p w:rsidR="00000000" w:rsidRDefault="00000000">
      <w:pPr>
        <w:spacing w:after="240"/>
        <w:ind w:firstLine="567"/>
      </w:pPr>
      <w:r>
        <w:t>Il convient de noter que la liste susmentionnée des motifs interdits de discrimination n’est pas exhaustive. L’application de cet article de la Convention peut donc faire l’objet d’une interprétation plus large et progressive.</w:t>
      </w:r>
    </w:p>
    <w:p w:rsidR="00000000" w:rsidRDefault="00000000">
      <w:pPr>
        <w:keepNext/>
        <w:spacing w:after="240"/>
        <w:jc w:val="center"/>
        <w:rPr>
          <w:b/>
          <w:bCs/>
        </w:rPr>
      </w:pPr>
      <w:r>
        <w:rPr>
          <w:b/>
          <w:bCs/>
        </w:rPr>
        <w:t>Article 2</w:t>
      </w:r>
    </w:p>
    <w:p w:rsidR="00000000" w:rsidRDefault="00000000">
      <w:pPr>
        <w:spacing w:after="240"/>
        <w:ind w:firstLine="567"/>
      </w:pPr>
      <w:r>
        <w:t>1.</w:t>
      </w:r>
      <w:r>
        <w:tab/>
        <w:t>Les États parties condamnent la discrimination raciale et s’engagent à poursuivre par tous les moyens appropriés et sans retard une politique tendant à éliminer toute forme de discrimination raciale et à favoriser l’entente entre toutes les races et, à cette fin:</w:t>
      </w:r>
    </w:p>
    <w:p w:rsidR="00000000" w:rsidRDefault="00000000">
      <w:pPr>
        <w:spacing w:after="240"/>
        <w:ind w:firstLine="567"/>
      </w:pPr>
      <w:r>
        <w:t>a)</w:t>
      </w:r>
      <w:r>
        <w:tab/>
        <w:t>Chaque État partie s’engage à ne se livrer à aucun acte ou pratique de discrimination raciale contre des personnes, groupes de personnes ou institutions et à faire en sorte que toutes les autorités publiques et institutions publiques, nationales et locales, se conforment à cette obligation;</w:t>
      </w:r>
    </w:p>
    <w:p w:rsidR="00000000" w:rsidRDefault="00000000">
      <w:pPr>
        <w:spacing w:after="240"/>
      </w:pPr>
      <w:r>
        <w:t>32.</w:t>
      </w:r>
      <w:r>
        <w:tab/>
        <w:t>Le principe de l’égalité des droits est inscrit dans la Constitution adoptée le 30 août 1995.</w:t>
      </w:r>
    </w:p>
    <w:p w:rsidR="00000000" w:rsidRDefault="00000000">
      <w:pPr>
        <w:spacing w:after="240"/>
      </w:pPr>
      <w:r>
        <w:t>33.</w:t>
      </w:r>
      <w:r>
        <w:tab/>
        <w:t>En ce qui concerne la protection de l’égalité linguistique au Kazakhstan, le chapitre du Code des infractions administratives intitulé «Des infractions administratives portant atteinte aux droits des individus» prévoit des poursuites en cas de violation de la loi sur les langues (art. 81). Cet article prévoit notamment que le «refus d’un fonctionnaire d’accepter ou d’examiner des documents, demandes, déclarations ou plaintes au motif que la langue utilisée ne lui est pas familière» constitue une infraction administrative. Dans le chapitre susmentionné du Code figure l’article 82 intitulé «Les restrictions aux droits des citoyens concernant le choix de la langue». Il s’agit de l’un des articles les plus importants définissant la responsabilité administrative en cas de discrimination fondée sur la langue.</w:t>
      </w:r>
    </w:p>
    <w:p w:rsidR="00000000" w:rsidRDefault="00000000">
      <w:pPr>
        <w:spacing w:after="240"/>
      </w:pPr>
      <w:r>
        <w:t>34.</w:t>
      </w:r>
      <w:r>
        <w:tab/>
        <w:t>Dans le chapitre 3 du Code pénal intitulé «Des atteintes aux droits constitutionnels, aux droits fondamentaux et aux autres droits et libertés de l’homme et du citoyen» l’article 141 intitulé «De la violation de l’égalité des droits entre les citoyens» précise les dispositions pertinentes de la Constitution:</w:t>
      </w:r>
    </w:p>
    <w:p w:rsidR="00000000" w:rsidRDefault="00000000">
      <w:pPr>
        <w:spacing w:after="240"/>
        <w:ind w:firstLine="567"/>
      </w:pPr>
      <w:r>
        <w:t>Paragraphe 1. «Toute restriction directe ou indirecte des droits ou libertés de l’homme (du citoyen) fondée sur l’origine, la situation sociale, officielle ou de fortune, le sexe, la race, la nationalité, la langue, l’attitude envers la religion, les convictions, le lieu de résidence, l’appartenance à des associations bénévoles, ou toute autre situation, est punie d’une amende, d’une peine de détention pouvant aller jusqu’à trois mois ou d’une peine privative de liberté pouvant aller jusqu’à un an.».</w:t>
      </w:r>
    </w:p>
    <w:p w:rsidR="00000000" w:rsidRDefault="00000000">
      <w:pPr>
        <w:spacing w:after="240"/>
        <w:ind w:firstLine="567"/>
      </w:pPr>
      <w:r>
        <w:t>Paragraphe 2. «La même infraction, si elle est commise par une personne qui se prévaut de son statut officiel ou par le responsable d’une association bénévole, est punie d’une amende, d’une peine de détention ou d’une peine privative de liberté deux fois plus lourde que les peines prévues au paragraphe 1 ou de la déchéance du droit d’exercer certaines fonctions ou activités pendant une période pouvant aller jusqu’à trois ans.».</w:t>
      </w:r>
    </w:p>
    <w:p w:rsidR="00000000" w:rsidRDefault="00000000">
      <w:pPr>
        <w:spacing w:after="240"/>
        <w:ind w:firstLine="567"/>
      </w:pPr>
      <w:r>
        <w:t>En vertu de cet article, il est interdit de restreindre les droits des citoyens en raison de la race ou de la nationalité, mais non en raison de caractéristiques individuelles.</w:t>
      </w:r>
    </w:p>
    <w:p w:rsidR="00000000" w:rsidRDefault="00000000">
      <w:pPr>
        <w:spacing w:after="240"/>
        <w:ind w:firstLine="567"/>
      </w:pPr>
      <w:r>
        <w:t>b)</w:t>
      </w:r>
      <w:r>
        <w:tab/>
        <w:t>Chaque État partie s’engage à ne pas encourager, défendre ou appuyer la discrimination raciale pratiquée par une personne ou une organisation quelconque;</w:t>
      </w:r>
    </w:p>
    <w:p w:rsidR="00000000" w:rsidRDefault="00000000">
      <w:pPr>
        <w:spacing w:after="240"/>
      </w:pPr>
      <w:r>
        <w:t>35.</w:t>
      </w:r>
      <w:r>
        <w:tab/>
        <w:t>Au Kazakhstan, toute activité susceptible de contribuer à la violation d’un accord international est considérée comme inconstitutionnelle (Constitution de la République du Kazakhstan, deuxième partie, art. 39).</w:t>
      </w:r>
    </w:p>
    <w:p w:rsidR="00000000" w:rsidRDefault="00000000">
      <w:pPr>
        <w:spacing w:after="240"/>
        <w:ind w:firstLine="567"/>
      </w:pPr>
      <w:r>
        <w:t>c)</w:t>
      </w:r>
      <w:r>
        <w:tab/>
        <w:t>Chaque État partie doit prendre des mesures efficaces pour revoir les politiques gouvernementales, nationales et locales et pour modifier, abroger ou annuler toute loi et toute disposition réglementaire ayant pour effet de créer la discrimination raciale ou de la perpétuer là où elle existe;</w:t>
      </w:r>
    </w:p>
    <w:p w:rsidR="00000000" w:rsidRDefault="00000000">
      <w:pPr>
        <w:spacing w:after="240"/>
      </w:pPr>
      <w:r>
        <w:t>36.</w:t>
      </w:r>
      <w:r>
        <w:tab/>
        <w:t>Toute discrimination raciale inscrite dans la loi est incompatible avec la Constitution. En conséquence, les lois et règlements comportant des dispositions discriminatoires sont considérés comme illégaux et le Ministère public les conteste auprès de l’organe étatique ou du responsable qui les a publiés.</w:t>
      </w:r>
    </w:p>
    <w:p w:rsidR="00000000" w:rsidRDefault="00000000">
      <w:pPr>
        <w:spacing w:after="240"/>
        <w:ind w:firstLine="567"/>
      </w:pPr>
      <w:r>
        <w:t>d)</w:t>
      </w:r>
      <w:r>
        <w:tab/>
        <w:t>Chaque État partie doit, par tous les moyens appropriés, y compris, si les circonstances l’exigent, des mesures législatives, interdire la discrimination raciale pratiquée par des personnes, des groupes ou des organisations et y mettre fin;</w:t>
      </w:r>
    </w:p>
    <w:p w:rsidR="00000000" w:rsidRDefault="00000000">
      <w:pPr>
        <w:spacing w:after="240"/>
      </w:pPr>
      <w:r>
        <w:t>37.</w:t>
      </w:r>
      <w:r>
        <w:tab/>
        <w:t>L’incitation à la haine sociale, nationale, clanique, raciale ou religieuse fait l’objet d’un article spécifique (art. 164) du chapitre du Code pénal consacré aux infractions contre la paix et la sécurité de l’humanité. Cet article est libellé comme suit:</w:t>
      </w:r>
    </w:p>
    <w:p w:rsidR="00000000" w:rsidRDefault="00000000">
      <w:pPr>
        <w:spacing w:after="240"/>
        <w:ind w:firstLine="567"/>
      </w:pPr>
      <w:r>
        <w:t>Paragraphe 1. «Toute action délibérée exercée en public ou par l’intermédiaire des médias, visant à inciter à la haine ou à la dissension sociale, nationale, ethnique, raciale ou religieuse, à insulter l’honneur et la dignité ethniques ou les sentiments religieux des citoyens, ou à faire de la propagande pour une forme d’exclusivité ou la supériorité ou l’infériorité de citoyens en raison de leur attitude envers la religion ou de leur origine sociale, nationale, clanique ou raciale est punie d’une amende élevée, d’une peine de détention pouvant aller jusqu’à six mois ou d’une retenue sur salaire pendant une période pouvant aller jusqu’à deux ans».</w:t>
      </w:r>
    </w:p>
    <w:p w:rsidR="00000000" w:rsidRDefault="00000000">
      <w:pPr>
        <w:spacing w:after="240"/>
        <w:ind w:firstLine="567"/>
      </w:pPr>
      <w:r>
        <w:t>De tels actes, s’ils sont «commis par un groupe de personnes ou de façon répétée, ou avec violence ou menace de violence, ou par une personne qui se prévaut de son statut officiel, ou par un dirigeant d’association bénévole» (par. 2) ou ont des «conséquences graves» (par. 3), sont punis d’une peine restrictive de liberté pendant une période pouvant aller jusqu’à quatre ans ou d’une peine privative de liberté de 4 à 10 ans, assortie de la déchéance du droit d’exercer certaines activités pendant une période pouvant aller jusqu’à trois ans.</w:t>
      </w:r>
    </w:p>
    <w:p w:rsidR="00000000" w:rsidRDefault="00000000">
      <w:pPr>
        <w:spacing w:after="240"/>
        <w:ind w:firstLine="567"/>
      </w:pPr>
      <w:r>
        <w:t>Cet article concerne les litiges entre citoyens différents par la nationalité, le clan ou la race susceptibles d’entraîner des violences, des représailles ou menaces de représailles physiques, la destruction de biens ou des atteintes aux biens, la mise à l’écart, la ségrégation ou la restriction de droits, de privilèges et d’avantages, et les cas où de tels actes ont pour objet de déprécier les sanctuaires, le mode de vie, la structure ou l’histoire de certaines races, nationalités ou nations.</w:t>
      </w:r>
    </w:p>
    <w:p w:rsidR="00000000" w:rsidRDefault="00000000">
      <w:pPr>
        <w:spacing w:after="240"/>
      </w:pPr>
      <w:r>
        <w:t>38.</w:t>
      </w:r>
      <w:r>
        <w:tab/>
        <w:t>Le paragraphe 5 de l’article 62 du Code des infractions administratives, qui accroît la responsabilité des intéressés en cas d’infractions administratives motivées par la haine ou l’inimitié ethniques, raciales ou religieuses − qui constituent des circonstances aggravantes − revêt une importance particulière pour la prévention de la discrimination fondée sur la race, la nationalité ou la langue.</w:t>
      </w:r>
    </w:p>
    <w:p w:rsidR="00000000" w:rsidRDefault="00000000">
      <w:pPr>
        <w:spacing w:after="240"/>
        <w:ind w:firstLine="567"/>
      </w:pPr>
      <w:r>
        <w:t>e)</w:t>
      </w:r>
      <w:r>
        <w:tab/>
        <w:t>Chaque État partie s’engage à favoriser, le cas échéant, les organisations et mouvements intégrationnistes multiraciaux et autres moyens propres à éliminer les barrières entre les races, et à décourager ce qui tend à renforcer la division raciale;</w:t>
      </w:r>
    </w:p>
    <w:p w:rsidR="00000000" w:rsidRDefault="00000000">
      <w:pPr>
        <w:spacing w:after="240"/>
      </w:pPr>
      <w:r>
        <w:t>39.</w:t>
      </w:r>
      <w:r>
        <w:tab/>
        <w:t>Le Kazakhstan est l’un des États les plus multinationaux du monde et il est très important pour lui de mettre en œuvre des politiques nationales qui prennent en compte les intérêts de ses différents peuples et nations. En conséquence, la politique mise en œuvre par l’État accorde une attention considérable au maintien de relations harmonieuses entre les groupes ethniques. Le principe général qui sous</w:t>
      </w:r>
      <w:r>
        <w:noBreakHyphen/>
        <w:t>tend la politique à l’égard des groupes ethniques n’est pas l’origine ethnique mais la citoyenneté et est très simple: nous sommes tous les habitants d’un Kazakhstan uni et indépendant.</w:t>
      </w:r>
    </w:p>
    <w:p w:rsidR="00000000" w:rsidRDefault="00000000">
      <w:pPr>
        <w:spacing w:after="240"/>
      </w:pPr>
      <w:r>
        <w:t>40.</w:t>
      </w:r>
      <w:r>
        <w:tab/>
        <w:t>Il est important pour un pays multinational, conformément à l’article 7 de la Constitution, de veiller à ce que l’«État assure la mise en place de conditions favorables pour l’étude et le développement des langues des peuples du Kazakhstan».</w:t>
      </w:r>
    </w:p>
    <w:p w:rsidR="00000000" w:rsidRDefault="00000000">
      <w:pPr>
        <w:spacing w:after="240"/>
      </w:pPr>
      <w:r>
        <w:t>41.</w:t>
      </w:r>
      <w:r>
        <w:tab/>
        <w:t>S’agissant de la langue des procédures relatives aux infractions administratives, le Code des infractions administratives prévoit, en son article 21 (Langue des procédures), que les procédures relatives aux infractions administratives doivent être menées dans la langue nationale, le russe et d’autres langues pouvant également être utilisées, le cas échéant. Cet article prévoit en outre que les «parties à des procédures dont elles ne connaissent pas ou connaissent mal la langue doivent se voir expliquer et garantir le droit de faire des déclarations, de témoigner et de présenter des preuves, de formuler des demandes, de déposer des plaintes, de prendre connaissance des éléments du dossier et de s’exprimer au cours des audiences dans leur langue maternelle ou dans une langue qu’elles maîtrisent, et de s’adjoindre gratuitement les services d’un interprète».</w:t>
      </w:r>
    </w:p>
    <w:p w:rsidR="00000000" w:rsidRDefault="00000000">
      <w:pPr>
        <w:spacing w:after="240"/>
      </w:pPr>
      <w:r>
        <w:t>42.</w:t>
      </w:r>
      <w:r>
        <w:tab/>
        <w:t>Afin de donner effet à l’article 5 de la loi sur l’éducation, les établissements d’enseignement mettent en place les conditions nécessaires pour permettre aux groupes ethniques d’étudier leur langue maternelle. Dans les régions qui comptent des populations ethniques importantes, il existe des organismes, classes, groupes et autres structures d’enseignement qui permettent d’enseigner les langues maternelles.</w:t>
      </w:r>
    </w:p>
    <w:p w:rsidR="00000000" w:rsidRDefault="00000000">
      <w:pPr>
        <w:keepNext/>
        <w:spacing w:after="240"/>
        <w:jc w:val="center"/>
        <w:rPr>
          <w:b/>
          <w:bCs/>
        </w:rPr>
      </w:pPr>
      <w:r>
        <w:rPr>
          <w:b/>
          <w:bCs/>
        </w:rPr>
        <w:t>Article 3</w:t>
      </w:r>
    </w:p>
    <w:p w:rsidR="00000000" w:rsidRDefault="00000000">
      <w:pPr>
        <w:spacing w:after="240"/>
        <w:ind w:firstLine="567"/>
      </w:pPr>
      <w:r>
        <w:t>Les États parties condamnent spécialement la ségrégation raciale et l’apartheid et s’engagent à prévenir, à interdire et à éliminer sur les territoires relevant de leur juridiction toutes les pratiques de cette nature.</w:t>
      </w:r>
    </w:p>
    <w:p w:rsidR="00000000" w:rsidRDefault="00000000">
      <w:pPr>
        <w:spacing w:after="240"/>
      </w:pPr>
      <w:r>
        <w:t>43.</w:t>
      </w:r>
      <w:r>
        <w:tab/>
        <w:t>L’apartheid n’existe pas au Kazakhstan. Aucun texte de loi ne prévoit une forme quelconque de ségrégation. En vertu de l’article 160 (Génocide) du Code pénal, les auteurs d’actes «visant à détruire, en totalité ou en partie, un groupe national, ethnique, racial ou religieux en en tuant les membres, en causant de graves dommages à leur santé, en empêchant les naissances par la contrainte, en procédant à des transferts forcés d’enfants et à des réinstallations forcées ou en créant des conditions permettant de détruire physiquement les membres de ce groupe» sont passibles de la peine capitale ou de la réclusion à perpétuité, qui sont considérées comme des peines exceptionnelles.</w:t>
      </w:r>
    </w:p>
    <w:p w:rsidR="00000000" w:rsidRDefault="00000000">
      <w:pPr>
        <w:spacing w:after="240"/>
        <w:ind w:firstLine="567"/>
      </w:pPr>
      <w:r>
        <w:t>Aucun crime visé à l’article 160 du Code pénal n’a été enregistré en République du Kazakhstan.</w:t>
      </w:r>
    </w:p>
    <w:p w:rsidR="00000000" w:rsidRDefault="00000000">
      <w:pPr>
        <w:keepNext/>
        <w:spacing w:after="240"/>
        <w:jc w:val="center"/>
        <w:rPr>
          <w:b/>
          <w:bCs/>
        </w:rPr>
      </w:pPr>
      <w:r>
        <w:rPr>
          <w:b/>
          <w:bCs/>
        </w:rPr>
        <w:t>Article 4</w:t>
      </w:r>
    </w:p>
    <w:p w:rsidR="00000000" w:rsidRDefault="00000000">
      <w:pPr>
        <w:spacing w:after="240"/>
        <w:ind w:firstLine="567"/>
      </w:pPr>
      <w:r>
        <w:t>Les États parties condamnent toute propagande et toutes organisations qui s’inspirent d’idées ou de théories fondées sur la supériorité d’une race ou d’un groupe de personnes d’une certaine couleur ou d’une certaine origine ethnique, ou qui prétendent justifier ou encourager toute forme de haine et de discrimination raciales; ils s’engagent à adopter immédiatement des mesures positives destinées à éliminer toute incitation à une telle discrimination, ou tous actes de discrimination et, à cette fin, tenant dûment compte des principes formulés dans la Déclaration universelle des droits de l’homme et des droits expressément énoncés à l’article 5 de la présente Convention, ils s’engagent notamment:</w:t>
      </w:r>
    </w:p>
    <w:p w:rsidR="00000000" w:rsidRDefault="00000000">
      <w:pPr>
        <w:spacing w:after="240"/>
        <w:ind w:firstLine="567"/>
      </w:pPr>
      <w:r>
        <w:t>a)</w:t>
      </w:r>
      <w:r>
        <w:tab/>
        <w:t>À déclarer délits punissables par la loi toute diffusion d’idées fondées sur la supériorité ou la haine raciale, toute incitation à la discrimination raciale, ainsi que tous actes de violence, ou provocation à de tels actes, dirigés contre toute race ou tout groupe de personnes d’une autre couleur ou d’une autre origine ethnique, de même que toute assistance apportée à des activités racistes, y compris leur financement;</w:t>
      </w:r>
    </w:p>
    <w:p w:rsidR="00000000" w:rsidRDefault="00000000">
      <w:pPr>
        <w:spacing w:after="240"/>
      </w:pPr>
      <w:r>
        <w:t>44.</w:t>
      </w:r>
      <w:r>
        <w:tab/>
        <w:t>La propagande en faveur de la supériorité raciale et nationale et la promotion d’une telle supériorité sont interdites en vertu du paragraphe 3 de l’article 20 de la Constitution.</w:t>
      </w:r>
    </w:p>
    <w:p w:rsidR="00000000" w:rsidRDefault="00000000">
      <w:pPr>
        <w:spacing w:after="240"/>
      </w:pPr>
      <w:r>
        <w:t>45.</w:t>
      </w:r>
      <w:r>
        <w:tab/>
        <w:t>En vertu de l’article 160 (Génocide) du Code pénal, les auteurs d’actes «visant à détruire, en totalité ou en partie, un groupe national, ethnique, racial ou religieux en en tuant les membres, en causant de graves dommages à leur santé, en empêchant les naissances par la contrainte, en procédant à des transferts forcés d’enfants et à des réinstallations forcées ou en créant des conditions permettant de détruire physiquement les membres de ce groupe» sont passibles de la peine capitale ou de la réclusion à perpétuité, qui sont considérées comme des peines exceptionnelles.</w:t>
      </w:r>
    </w:p>
    <w:p w:rsidR="00000000" w:rsidRDefault="00000000">
      <w:pPr>
        <w:spacing w:after="240"/>
        <w:ind w:firstLine="567"/>
      </w:pPr>
      <w:r>
        <w:t>b)</w:t>
      </w:r>
      <w:r>
        <w:tab/>
        <w:t>À déclarer illégales et à interdire les organisations ainsi que les activités de propagande organisée et tout autre type d’activité de propagande qui incitent à la discrimination raciale et qui l’encouragent et à déclarer délit punissable par la loi la participation à ces organisations ou à ces activités;</w:t>
      </w:r>
    </w:p>
    <w:p w:rsidR="00000000" w:rsidRDefault="00000000">
      <w:pPr>
        <w:spacing w:after="240"/>
      </w:pPr>
      <w:r>
        <w:t>46.</w:t>
      </w:r>
      <w:r>
        <w:tab/>
        <w:t>«La création et la mise en action d’associations bénévoles dont l’objet ou les activités visent à (…) inciter à la haine sociale, nationale, religieuse, de classe ou ethnique» sont interdites en vertu du paragraphe 3 de l’article 5 de la Constitution.</w:t>
      </w:r>
    </w:p>
    <w:p w:rsidR="00000000" w:rsidRDefault="00000000">
      <w:pPr>
        <w:spacing w:after="240"/>
      </w:pPr>
      <w:r>
        <w:t>47.</w:t>
      </w:r>
      <w:r>
        <w:tab/>
        <w:t>La disposition constitutionnelle sur l’interdiction de la création d’associations bénévoles dont les activités visent à inciter à la haine raciale ou ethnique est précisée par la loi sur les associations bénévoles de la République du Kazakhstan (art. 5).</w:t>
      </w:r>
    </w:p>
    <w:p w:rsidR="00000000" w:rsidRDefault="00000000">
      <w:pPr>
        <w:spacing w:after="240"/>
      </w:pPr>
      <w:r>
        <w:t>48.</w:t>
      </w:r>
      <w:r>
        <w:tab/>
        <w:t>Le paragraphe 8 de l’article 5 de la loi sur les partis politiques interdit la «création de partis politiques fondés sur la profession, la race, la nationalité, l’appartenance ethnique ou l’affiliation religieuse des citoyens...».</w:t>
      </w:r>
    </w:p>
    <w:p w:rsidR="00000000" w:rsidRDefault="00000000">
      <w:pPr>
        <w:spacing w:after="240"/>
      </w:pPr>
      <w:r>
        <w:t>49.</w:t>
      </w:r>
      <w:r>
        <w:tab/>
        <w:t>En vertu du paragraphe 2 de l’article 337 du Code pénal, le fait de créer et le fait de diriger des associations bénévoles qui proclament ou pratiquent l’intolérance ou l’exclusivité raciale, nationale ou clanique sont punies d’une retenue sur salaire ou d’une peine restrictive ou privative de liberté pouvant aller jusqu’à trois ans, avec déchéance du droit d’exercer certaines fonctions ou activités pendant une période pouvant aller jusqu’à trois ans.</w:t>
      </w:r>
    </w:p>
    <w:p w:rsidR="00000000" w:rsidRDefault="00000000">
      <w:pPr>
        <w:spacing w:after="240"/>
      </w:pPr>
      <w:r>
        <w:t>50.</w:t>
      </w:r>
      <w:r>
        <w:tab/>
        <w:t>En vertu du paragraphe 3 de l’article 337 du Code pénal, la participation active à de telles associations est punie d’une amende, d’une retenue sur salaire pendant une période pouvant aller jusqu’à un an ou d’une peine de détention pouvant aller jusqu’à quatre mois.</w:t>
      </w:r>
    </w:p>
    <w:p w:rsidR="00000000" w:rsidRDefault="00000000">
      <w:pPr>
        <w:spacing w:after="240"/>
        <w:ind w:firstLine="567"/>
      </w:pPr>
      <w:r>
        <w:t>Les mêmes peines s’appliquent si la charte, le programme de travail ou d’autres documents adoptés par une association bénévole et acceptés par les membres de l’association, ou des discours publics approuvés par les membres de l’association et guidant leur action, expriment une attitude discriminatoire ou hostile envers des citoyens en raison de leur race, de leur nationalité, de leur appartenance ethnique ou clanique ou de leur situation sociale ou proclament son exclusivité ou la supériorité de ses membres.</w:t>
      </w:r>
    </w:p>
    <w:p w:rsidR="00000000" w:rsidRDefault="00000000">
      <w:pPr>
        <w:spacing w:after="240"/>
      </w:pPr>
      <w:r>
        <w:t>51.</w:t>
      </w:r>
      <w:r>
        <w:tab/>
        <w:t>L’utilisation des médias pour prôner la supériorité sociale, raciale, ethnique, religieuse ou clanique, la cruauté ou la violence, ou pour diffuser de la pornographie est interdite en vertu du paragraphe 3 de l’article 2 de la loi sur les médias.</w:t>
      </w:r>
    </w:p>
    <w:p w:rsidR="00000000" w:rsidRDefault="00000000">
      <w:pPr>
        <w:spacing w:after="240"/>
      </w:pPr>
      <w:r>
        <w:t>52.</w:t>
      </w:r>
      <w:r>
        <w:tab/>
        <w:t>Le Code administratif prévoit également des sanctions pour les infractions administratives dans le secteur de l’édition et de l’information, y compris pour la diffusion dans les médias et l’importation de documents imprimés et autres «visant à inciter à la haine raciale, ethnique, sociale ou religieuse, ou à faire de la propagande pour la guerre ou la discrimination de classe...» (Code des infractions administratives, art. 343 et 344).</w:t>
      </w:r>
    </w:p>
    <w:p w:rsidR="00000000" w:rsidRDefault="00000000">
      <w:pPr>
        <w:spacing w:after="240"/>
      </w:pPr>
      <w:r>
        <w:t>53.</w:t>
      </w:r>
      <w:r>
        <w:tab/>
        <w:t>Le Ministère de la culture, de l’information et de l’harmonie publique et ses départements régionaux surveillent l’application des lois en vigueur par les médias. Si une infraction est découverte, les mesures prévues par la loi sont prises. Si des documents publiés dans les médias requièrent une vérification ou une évaluation approfondie par un expert, les organismes chargés de l’application de la loi en sont avisés sans délais de façon à pouvoir prendre les mesures appropriées.</w:t>
      </w:r>
    </w:p>
    <w:p w:rsidR="00000000" w:rsidRDefault="00000000">
      <w:pPr>
        <w:spacing w:after="240"/>
      </w:pPr>
      <w:r>
        <w:t>54.</w:t>
      </w:r>
      <w:r>
        <w:tab/>
        <w:t>L’article 4 de la loi sur la culture, qui régit les activités culturelles, interdit de faire de la propagande pour la supériorité raciale ou ethnique et de la promouvoir.</w:t>
      </w:r>
    </w:p>
    <w:p w:rsidR="00000000" w:rsidRDefault="00000000">
      <w:pPr>
        <w:spacing w:after="240"/>
        <w:ind w:firstLine="567"/>
      </w:pPr>
      <w:r>
        <w:t>c)</w:t>
      </w:r>
      <w:r>
        <w:tab/>
        <w:t>À ne pas permettre aux autorités publiques ni aux institutions publiques, nationales ou locales, d’inciter à la discrimination raciale ou de l’encourager;</w:t>
      </w:r>
    </w:p>
    <w:p w:rsidR="00000000" w:rsidRDefault="00000000">
      <w:pPr>
        <w:spacing w:after="240"/>
      </w:pPr>
      <w:r>
        <w:t>55.</w:t>
      </w:r>
      <w:r>
        <w:tab/>
        <w:t>L’incitation à la haine sociale, nationale, clanique, raciale ou religieuse fait l’objet d’un article spécifique (art. 164) du chapitre du Code pénal consacré aux infractions contre la paix et la sécurité de l’humanité. Cet article est libellé comme suit:</w:t>
      </w:r>
    </w:p>
    <w:p w:rsidR="00000000" w:rsidRDefault="00000000">
      <w:pPr>
        <w:spacing w:after="240"/>
        <w:ind w:firstLine="567"/>
      </w:pPr>
      <w:r>
        <w:t>Paragraphe 1. «Toute action délibérée exercée en public ou par l’intermédiaire des médias, visant à inciter à la haine ou à la dissension sociale, nationale, ethnique, raciale ou religieuse, à insulter l’honneur et la dignité ethniques ou les sentiments religieux des citoyens, ou à faire de la propagande pour une forme d’exclusivité ou la supériorité ou l’infériorité des citoyens en raison de leur attitude envers la religion ou de leur origine sociale, nationale, clanique ou raciale, est punie d’une amende élevée, d’une peine de détention pouvant aller jusqu’à six mois ou d’une retenue sur salaire pendant une période pouvant aller jusqu’à deux ans.».</w:t>
      </w:r>
    </w:p>
    <w:p w:rsidR="00000000" w:rsidRDefault="00000000">
      <w:pPr>
        <w:spacing w:after="240"/>
        <w:ind w:firstLine="567"/>
      </w:pPr>
      <w:r>
        <w:t>Paragraphe 2. «Ces actes, s’ils sont commis par (...) une personne qui se prévaut de son statut officiel (...), sont punis d’une peine restrictive de liberté pendant une période pouvant aller jusqu’à quatre ans ou d’une peine privative de liberté de 4 à 10 ans, assortie de la déchéance du droit d’exercer certaines activités pendant une période pouvant aller jusqu’à trois ans».</w:t>
      </w:r>
    </w:p>
    <w:p w:rsidR="00000000" w:rsidRDefault="00000000">
      <w:pPr>
        <w:keepNext/>
        <w:spacing w:after="240"/>
        <w:jc w:val="center"/>
        <w:rPr>
          <w:b/>
          <w:bCs/>
        </w:rPr>
      </w:pPr>
      <w:r>
        <w:rPr>
          <w:b/>
          <w:bCs/>
        </w:rPr>
        <w:t>Article 5</w:t>
      </w:r>
    </w:p>
    <w:p w:rsidR="00000000" w:rsidRDefault="00000000">
      <w:pPr>
        <w:spacing w:after="240"/>
        <w:ind w:firstLine="567"/>
      </w:pPr>
      <w:r>
        <w:t>Conformément aux obligations fondamentales énoncées à l’article 2 de la présente Convention, les États parties s’engagent à interdire et à éliminer la discrimination raciale sous toutes ses formes et à garantir le droit de chacun à l’égalité devant la loi sans distinction de race, de couleur ou d’origine nationale ou ethnique, notamment dans la jouissance des droits suivants:</w:t>
      </w:r>
    </w:p>
    <w:p w:rsidR="00000000" w:rsidRDefault="00000000">
      <w:pPr>
        <w:keepNext/>
        <w:spacing w:after="240"/>
        <w:ind w:firstLine="567"/>
      </w:pPr>
      <w:r>
        <w:t>a)</w:t>
      </w:r>
      <w:r>
        <w:tab/>
        <w:t>Droit à un traitement égal devant les tribunaux et tout autre organe administrant la justice;</w:t>
      </w:r>
    </w:p>
    <w:p w:rsidR="00000000" w:rsidRDefault="00000000">
      <w:pPr>
        <w:spacing w:after="240"/>
      </w:pPr>
      <w:r>
        <w:t>56.</w:t>
      </w:r>
      <w:r>
        <w:tab/>
        <w:t>Le paragraphe 2 de l’article 13 de la Constitution garantit le droit de chacun à la protection de ses droits et libertés par les tribunaux.</w:t>
      </w:r>
    </w:p>
    <w:p w:rsidR="00000000" w:rsidRDefault="00000000">
      <w:pPr>
        <w:spacing w:after="240"/>
      </w:pPr>
      <w:r>
        <w:t>57.</w:t>
      </w:r>
      <w:r>
        <w:tab/>
        <w:t>Le principe fondamental énoncé à l’article 14 de la Constitution est que toutes les personnes sont égales devant la loi et les tribunaux. Nul ne peut faire l’objet de discrimination d’aucune sorte fondée sur l’origine, la situation sociale, professionnelle ou de fortune, le sexe, la race, la nationalité, la langue, l’attitude envers la religion, les convictions, le lieu de résidence ou toute autre situation.</w:t>
      </w:r>
    </w:p>
    <w:p w:rsidR="00000000" w:rsidRDefault="00000000">
      <w:pPr>
        <w:spacing w:after="240"/>
      </w:pPr>
      <w:r>
        <w:t>58.</w:t>
      </w:r>
      <w:r>
        <w:tab/>
        <w:t>En vertu du Code des infractions administratives, les «personnes qui ont commis des infractions administratives sont égales devant la loi, indépendamment de l’origine, de la situation sociale, professionnelle ou de fortune, de la race ou de la nationalité, des croyances, du sexe, de la langue, de l’attitude envers la religion, du type de profession, du lieu de résidence, de l’appartenance à des associations bénévoles ou de toute autre situation» (art. 11, «Égalité des citoyens devant la loi»).</w:t>
      </w:r>
    </w:p>
    <w:p w:rsidR="00000000" w:rsidRDefault="00000000">
      <w:pPr>
        <w:spacing w:after="240"/>
      </w:pPr>
      <w:r>
        <w:t>59.</w:t>
      </w:r>
      <w:r>
        <w:tab/>
        <w:t>Le Code de procédure pénale, qui est entré en vigueur le 1</w:t>
      </w:r>
      <w:r>
        <w:rPr>
          <w:vertAlign w:val="superscript"/>
        </w:rPr>
        <w:t>er</w:t>
      </w:r>
      <w:r>
        <w:t> janvier 1998, définit la procédure pénale. L’article 21 (Administration de la justice sur la base de l’égalité devant la loi et les tribunaux) prévoit, au paragraphe 2, que, «[p]endant une procédure pénale, nul ne peut faire l’objet de discrimination d’aucune sorte fondée sur l’origine, la situation sociale, professionnelle ou de fortune, le sexe, la race, la nationalité, la langue, l’attitude envers la religion…».</w:t>
      </w:r>
    </w:p>
    <w:p w:rsidR="00000000" w:rsidRDefault="00000000">
      <w:pPr>
        <w:spacing w:after="240"/>
      </w:pPr>
      <w:r>
        <w:t>60.</w:t>
      </w:r>
      <w:r>
        <w:tab/>
        <w:t>L’article 13 (Égalité de tous devant la loi et les tribunaux) du Code de procédure civile contient également des dispositions visant à protéger l’individu de la discrimination: «[p]endant une procédure civile, aucun citoyen ne peut bénéficier d’un traitement préférentiel ni faire l’objet de discrimination fondée sur l’origine, la situation sociale, professionnelle ou de fortune, le sexe, la race, la nationalité, la langue, l’attitude envers la religion, les convictions, le lieu de résidence ou toute autre situation».</w:t>
      </w:r>
    </w:p>
    <w:p w:rsidR="00000000" w:rsidRDefault="00000000">
      <w:pPr>
        <w:spacing w:after="240"/>
      </w:pPr>
      <w:r>
        <w:t>61.</w:t>
      </w:r>
      <w:r>
        <w:tab/>
        <w:t>Le Code d’application des peines, qui est entré en vigueur le 1</w:t>
      </w:r>
      <w:r>
        <w:rPr>
          <w:vertAlign w:val="superscript"/>
        </w:rPr>
        <w:t>er</w:t>
      </w:r>
      <w:r>
        <w:t> janvier 1998, fixe la procédure et les conditions applicables à l’application et à l’exécution des condamnations et autres peines prononcées à l’encontre de délinquants reconnus coupables. Cette législation relative à l’application des peines définit le statut juridique des personnes condamnées et prévoit «le respect et la protection de leurs droits, libertés et intérêts légitimes [et] garantit la justice sociale et la protection sociale, juridique et autre de l’individu» (art. 8). En outre, en vertu de ce code, les personnes condamnées jouissent, en plus de leurs autres droits, du droit d’entretenir une correspondance, du droit d’obtenir des explications, de faire des déclarations et de recevoir des réponses dans leur langue maternelle ou dans toute autre langue et, le cas échéant, du droit de bénéficier gratuitement des services d’un interprète (art. 10). La liberté de conscience et de religion est garantie aux personnes condamnées (art. 12).</w:t>
      </w:r>
    </w:p>
    <w:p w:rsidR="00000000" w:rsidRDefault="00000000">
      <w:pPr>
        <w:keepNext/>
        <w:spacing w:after="240"/>
        <w:ind w:firstLine="567"/>
      </w:pPr>
      <w:r>
        <w:t>b)</w:t>
      </w:r>
      <w:r>
        <w:tab/>
        <w:t>Droit à la sûreté de la personne et à la protection de l’État contre les voies de fait ou sévices infligés par des fonctionnaires publics ou par tout individu, groupe ou institution;</w:t>
      </w:r>
    </w:p>
    <w:p w:rsidR="00000000" w:rsidRDefault="00000000">
      <w:pPr>
        <w:spacing w:after="240"/>
      </w:pPr>
      <w:r>
        <w:t>62.</w:t>
      </w:r>
      <w:r>
        <w:tab/>
        <w:t>L’article 17 de la Constitution proclame l’inviolabilité de la dignité humaine. En vertu du paragraphe 2 de cet article, «[n]ul ne peut être soumis à la torture, à la violence ou à d’autres peines ou traitements cruels ou dégradants».</w:t>
      </w:r>
    </w:p>
    <w:p w:rsidR="00000000" w:rsidRDefault="00000000">
      <w:pPr>
        <w:spacing w:after="240"/>
        <w:ind w:firstLine="567"/>
      </w:pPr>
      <w:r>
        <w:t>c)</w:t>
      </w:r>
      <w:r>
        <w:tab/>
        <w:t>Droits politiques, notamment droit de participer aux élections − de voter et d’être candidat − selon le système du suffrage universel et égal, droit de prendre part au gouvernement ainsi qu’à la direction des affaires publiques, à tous les échelons, et droit d’accéder, dans des conditions d’égalité, aux fonctions publiques;</w:t>
      </w:r>
    </w:p>
    <w:p w:rsidR="00000000" w:rsidRDefault="00000000">
      <w:pPr>
        <w:spacing w:after="240"/>
      </w:pPr>
      <w:r>
        <w:t>63.</w:t>
      </w:r>
      <w:r>
        <w:tab/>
        <w:t>En ce qui concerne le suffrage universel, des dispositions impératives proscrivent la discrimination quel qu’en soit le motif, grâce au principe de suffrage universel qui est directement lié à la disposition constitutionnelle relative à la procédure électorale de la République du Kazakhstan libellée comme suit: «Le peuple exerce le pouvoir directement par le biais de référendums nationaux et d’élections libres et en délègue l’exercice aux organes de l’État» (Constitution, art. 3).</w:t>
      </w:r>
    </w:p>
    <w:p w:rsidR="00000000" w:rsidRDefault="00000000">
      <w:pPr>
        <w:spacing w:after="240"/>
      </w:pPr>
      <w:r>
        <w:t>64.</w:t>
      </w:r>
      <w:r>
        <w:tab/>
        <w:t>À l’article 33 de la Constitution figure une disposition précisant ce principe, aux termes de laquelle les citoyens de la République du Kazakhstan ont le droit de participer à la conduite des affaires de l’État directement ou par le biais de leurs représentants, et de faire des revendications personnelles et d’adresser des requêtes individuelles et collectives aux organes centraux et locaux de l’État. Les citoyens ont le droit de voter et de se présenter aux élections aux organes de l’État et de participer aux référendums nationaux (droit précisé dans la loi constitutionnelle sur les référendums nationaux). Naturellement, il n’est pas stipulé dans cette disposition que tous ont pleinement accès aux élections − des conditions de résidence, d’âge et d’aptitude restant applicables dans le monde entier − mais elle renforce la protection contre la discrimination fondée sur la nationalité, la race, etc.</w:t>
      </w:r>
    </w:p>
    <w:p w:rsidR="00000000" w:rsidRDefault="00000000">
      <w:pPr>
        <w:spacing w:after="240"/>
      </w:pPr>
      <w:r>
        <w:t>65.</w:t>
      </w:r>
      <w:r>
        <w:tab/>
        <w:t>Le droit politique de participer aux élections est également protégé par la loi constitutionnelle sur les élections dont l’article 4 dispose, en particulier, que les citoyens de la République peuvent exercer le suffrage universel indépendamment de leur origine, race, nationalité ou langue. L’absence de discrimination dans l’exercice de ce droit est particulièrement importante car elle signifie que tous les citoyens de la République peuvent participer à la conduite des affaires de l’État en votant aux élections présidentielles, parlementaires (</w:t>
      </w:r>
      <w:r>
        <w:rPr>
          <w:i/>
          <w:iCs/>
        </w:rPr>
        <w:t>Majilis</w:t>
      </w:r>
      <w:r>
        <w:t>), municipales (</w:t>
      </w:r>
      <w:r>
        <w:rPr>
          <w:i/>
          <w:iCs/>
        </w:rPr>
        <w:t>maslikhat</w:t>
      </w:r>
      <w:r>
        <w:t>) et à d’autres élections locales.</w:t>
      </w:r>
    </w:p>
    <w:p w:rsidR="00000000" w:rsidRDefault="00000000">
      <w:pPr>
        <w:spacing w:after="240"/>
      </w:pPr>
      <w:r>
        <w:t>66.</w:t>
      </w:r>
      <w:r>
        <w:tab/>
        <w:t>Le paragraphe 4 de l’article 33 de la Constitution établit le droit d’accès aux fonctions publiques. Les conditions imposées aux candidats à ces fonctions sont dictées uniquement par les tâches qui s’y rapportent et sont fixées par la loi.</w:t>
      </w:r>
    </w:p>
    <w:p w:rsidR="00000000" w:rsidRDefault="00000000">
      <w:pPr>
        <w:spacing w:after="240"/>
      </w:pPr>
      <w:r>
        <w:t>67.</w:t>
      </w:r>
      <w:r>
        <w:tab/>
        <w:t>Le droit à l’égalité d’accès aux fonctions publiques est précisé dans la loi sur les fonctions publiques qui interdit l’imposition de toute restriction directe ou indirecte d’accès à ces fonctions fondée sur la race, la nationalité ou la langue (art. 12).</w:t>
      </w:r>
    </w:p>
    <w:p w:rsidR="00000000" w:rsidRDefault="00000000">
      <w:pPr>
        <w:spacing w:after="240"/>
      </w:pPr>
      <w:r>
        <w:t>68.</w:t>
      </w:r>
      <w:r>
        <w:tab/>
        <w:t>Il convient de noter que les actes suivants sont des infractions prévues dans le Code pénal: l’entrave à l’exercice de droits électoraux ou aux travaux des commissions électorales (art. 146), la falsification de documents électoraux ou référendaires et le dépouillement incorrect de votes (art. 147).</w:t>
      </w:r>
    </w:p>
    <w:p w:rsidR="00000000" w:rsidRDefault="00000000">
      <w:pPr>
        <w:keepNext/>
        <w:spacing w:after="240"/>
      </w:pPr>
      <w:r>
        <w:tab/>
        <w:t>d)</w:t>
      </w:r>
      <w:r>
        <w:tab/>
        <w:t>Autres droits civils, notamment:</w:t>
      </w:r>
    </w:p>
    <w:p w:rsidR="00000000" w:rsidRDefault="00000000">
      <w:pPr>
        <w:keepNext/>
        <w:spacing w:after="240"/>
        <w:ind w:firstLine="567"/>
      </w:pPr>
      <w:r>
        <w:t>i)</w:t>
      </w:r>
      <w:r>
        <w:tab/>
        <w:t>Droit de circuler librement et de choisir sa résidence à l’intérieur d’un État</w:t>
      </w:r>
    </w:p>
    <w:p w:rsidR="00000000" w:rsidRDefault="00000000">
      <w:pPr>
        <w:spacing w:after="240"/>
      </w:pPr>
      <w:r>
        <w:t>69.</w:t>
      </w:r>
      <w:r>
        <w:tab/>
        <w:t>Conformément à l’article 21 de la Constitution, toute personne se trouvant légalement sur le territoire kazakh a le droit de circuler librement dans le pays et de choisir librement son lieu de résidence. Ce droit est régi exclusivement par la loi.</w:t>
      </w:r>
    </w:p>
    <w:p w:rsidR="00000000" w:rsidRDefault="00000000">
      <w:pPr>
        <w:spacing w:after="240"/>
      </w:pPr>
      <w:r>
        <w:t>70.</w:t>
      </w:r>
      <w:r>
        <w:tab/>
        <w:t>En vertu de l’article 14 du Code civil, tous les citoyens du Kazakhstan ont le droit de circuler librement sur le territoire de la République et de choisir librement leur lieu de résidence.</w:t>
      </w:r>
    </w:p>
    <w:p w:rsidR="00000000" w:rsidRDefault="00000000">
      <w:pPr>
        <w:keepNext/>
        <w:spacing w:after="240"/>
        <w:ind w:firstLine="567"/>
      </w:pPr>
      <w:r>
        <w:t>ii)</w:t>
      </w:r>
      <w:r>
        <w:tab/>
        <w:t>Droit de quitter tout pays, y compris le sien, et de revenir dans son pays</w:t>
      </w:r>
    </w:p>
    <w:p w:rsidR="00000000" w:rsidRDefault="00000000">
      <w:pPr>
        <w:spacing w:after="240"/>
      </w:pPr>
      <w:r>
        <w:t>71.</w:t>
      </w:r>
      <w:r>
        <w:tab/>
        <w:t>Le paragraphe 2 de l’article 21 de la Constitution dispose que «Chacun a le droit de quitter la République. Les citoyens de la République ont le droit d’y revenir sans entrave.».</w:t>
      </w:r>
    </w:p>
    <w:p w:rsidR="00000000" w:rsidRDefault="00000000">
      <w:pPr>
        <w:spacing w:after="240"/>
      </w:pPr>
      <w:r>
        <w:t>72.</w:t>
      </w:r>
      <w:r>
        <w:tab/>
        <w:t xml:space="preserve">L’article 3 de la loi sur les migrations interdit toute discrimination fondée sur l’origine, la race, la nationalité ou la langue en matière de régulation des migrations de la population. La loi prévoit que le statut de réfugié peut être octroyé aux étrangers qui risquent de subir des persécutions en raison de leur race ou de leur nationalité et qui sont par conséquent forcés de demeurer hors du pays dont ils ont la citoyenneté. </w:t>
      </w:r>
    </w:p>
    <w:p w:rsidR="00000000" w:rsidRDefault="00000000">
      <w:pPr>
        <w:spacing w:after="240"/>
      </w:pPr>
      <w:r>
        <w:t>73.</w:t>
      </w:r>
      <w:r>
        <w:tab/>
        <w:t>L’article 14 du Code civil établit également le droit de quitter librement le territoire de la République et d’y revenir.</w:t>
      </w:r>
    </w:p>
    <w:p w:rsidR="00000000" w:rsidRDefault="00000000">
      <w:pPr>
        <w:keepNext/>
        <w:spacing w:after="240"/>
        <w:ind w:firstLine="567"/>
      </w:pPr>
      <w:r>
        <w:t>iii)</w:t>
      </w:r>
      <w:r>
        <w:tab/>
        <w:t>Droit à une nationalité</w:t>
      </w:r>
    </w:p>
    <w:p w:rsidR="00000000" w:rsidRDefault="00000000">
      <w:pPr>
        <w:spacing w:after="240"/>
      </w:pPr>
      <w:r>
        <w:t>74.</w:t>
      </w:r>
      <w:r>
        <w:tab/>
        <w:t>L’article 10 de la Constitution dispose que la nationalité de la République du Kazakhstan s’acquiert et se perd conformément à la loi, est indivisible et égalitaire, indépendamment de la base sur laquelle elle a été acquise.</w:t>
      </w:r>
    </w:p>
    <w:p w:rsidR="00000000" w:rsidRDefault="00000000">
      <w:pPr>
        <w:spacing w:after="240"/>
      </w:pPr>
      <w:r>
        <w:t>75.</w:t>
      </w:r>
      <w:r>
        <w:tab/>
        <w:t xml:space="preserve">Le paragraphe 2 de l’article 10 dispose que les citoyens de la République ne peuvent en aucun cas être privés de leur nationalité ou du droit d’en changer, et qu’ils ne peuvent pas être bannis du territoire du Kazakhstan. </w:t>
      </w:r>
    </w:p>
    <w:p w:rsidR="00000000" w:rsidRDefault="00000000">
      <w:pPr>
        <w:spacing w:after="240"/>
      </w:pPr>
      <w:r>
        <w:t>76.</w:t>
      </w:r>
      <w:r>
        <w:tab/>
        <w:t>Le Kazakhstan garantit à ses citoyens protection et assistance à l’extérieur de ses frontières (Constitution, art. 11, par. 2).</w:t>
      </w:r>
    </w:p>
    <w:p w:rsidR="00000000" w:rsidRDefault="00000000">
      <w:pPr>
        <w:keepNext/>
        <w:spacing w:after="240"/>
        <w:ind w:firstLine="567"/>
      </w:pPr>
      <w:r>
        <w:t>iv)</w:t>
      </w:r>
      <w:r>
        <w:tab/>
        <w:t>Droit de se marier et de choisir son conjoint</w:t>
      </w:r>
    </w:p>
    <w:p w:rsidR="00000000" w:rsidRDefault="00000000">
      <w:pPr>
        <w:spacing w:after="240"/>
      </w:pPr>
      <w:r>
        <w:t>77.</w:t>
      </w:r>
      <w:r>
        <w:tab/>
        <w:t>En vertu de l’article 27 de la Constitution, le mariage et la famille sont placés sous la protection de l’État.</w:t>
      </w:r>
    </w:p>
    <w:p w:rsidR="00000000" w:rsidRDefault="00000000">
      <w:pPr>
        <w:spacing w:after="240"/>
      </w:pPr>
      <w:r>
        <w:t>78.</w:t>
      </w:r>
      <w:r>
        <w:tab/>
        <w:t>La loi sur le mariage et la famille interdit «toute restriction du droit des citoyens de se marier et de fonder une famille fondée sur la situation sociale, la race, la nationalité, la langue ou la religion» (art. 2, par. 4). Par conséquent, conformément à la législation nationale, le droit de tout citoyen de se marier et de choisir son conjoint ne peut être limité au motif de la race.</w:t>
      </w:r>
    </w:p>
    <w:p w:rsidR="00000000" w:rsidRDefault="00000000">
      <w:pPr>
        <w:keepNext/>
        <w:spacing w:after="240"/>
        <w:ind w:firstLine="567"/>
      </w:pPr>
      <w:r>
        <w:t>v)</w:t>
      </w:r>
      <w:r>
        <w:tab/>
        <w:t>Droit de toute personne, aussi bien seule qu’en association, à la propriété</w:t>
      </w:r>
    </w:p>
    <w:p w:rsidR="00000000" w:rsidRDefault="00000000">
      <w:pPr>
        <w:spacing w:after="240"/>
      </w:pPr>
      <w:r>
        <w:t>79.</w:t>
      </w:r>
      <w:r>
        <w:tab/>
        <w:t>Le paragraphe 1 de l’article 6 de la Constitution dispose que l’État reconnaît la propriété publique et la propriété privée et les protège également. L’article 26 dispose que les citoyens de la République peuvent posséder à titre privé toute chose acquise légalement. Il dispose également que nul ne peut être exproprié sauf en vertu d’une décision de justice.</w:t>
      </w:r>
    </w:p>
    <w:p w:rsidR="00000000" w:rsidRDefault="00000000">
      <w:pPr>
        <w:keepNext/>
        <w:spacing w:after="240"/>
      </w:pPr>
      <w:r>
        <w:t>80.</w:t>
      </w:r>
      <w:r>
        <w:tab/>
        <w:t>Le droit à la propriété est également établi par l’article 14 du Code civil.</w:t>
      </w:r>
    </w:p>
    <w:p w:rsidR="00000000" w:rsidRDefault="00000000">
      <w:pPr>
        <w:keepNext/>
        <w:spacing w:after="240"/>
        <w:ind w:firstLine="567"/>
      </w:pPr>
      <w:r>
        <w:t>vi)</w:t>
      </w:r>
      <w:r>
        <w:tab/>
        <w:t>Droit d’hériter</w:t>
      </w:r>
    </w:p>
    <w:p w:rsidR="00000000" w:rsidRDefault="00000000">
      <w:pPr>
        <w:spacing w:after="240"/>
      </w:pPr>
      <w:r>
        <w:t>81.</w:t>
      </w:r>
      <w:r>
        <w:tab/>
        <w:t>Le paragraphe 2 de l’article 26 de la Constitution garantit le droit d’hériter.</w:t>
      </w:r>
    </w:p>
    <w:p w:rsidR="00000000" w:rsidRDefault="00000000">
      <w:pPr>
        <w:spacing w:after="240"/>
      </w:pPr>
      <w:r>
        <w:t>82.</w:t>
      </w:r>
      <w:r>
        <w:tab/>
        <w:t>L’article 14 du Code civil garantit également le droit d’hériter et de léguer des biens.</w:t>
      </w:r>
    </w:p>
    <w:p w:rsidR="00000000" w:rsidRDefault="00000000">
      <w:pPr>
        <w:keepNext/>
        <w:spacing w:after="240"/>
        <w:ind w:firstLine="567"/>
      </w:pPr>
      <w:r>
        <w:t>vii)</w:t>
      </w:r>
      <w:r>
        <w:tab/>
        <w:t>Droit à la liberté de pensée, de conscience et de religion</w:t>
      </w:r>
    </w:p>
    <w:p w:rsidR="00000000" w:rsidRDefault="00000000">
      <w:pPr>
        <w:spacing w:after="240"/>
      </w:pPr>
      <w:r>
        <w:t>83.</w:t>
      </w:r>
      <w:r>
        <w:tab/>
        <w:t>L’article 22 de la Constitution dispose que chacun a le droit à la liberté de conscience.</w:t>
      </w:r>
    </w:p>
    <w:p w:rsidR="00000000" w:rsidRDefault="00000000">
      <w:pPr>
        <w:spacing w:after="240"/>
      </w:pPr>
      <w:r>
        <w:t>84.</w:t>
      </w:r>
      <w:r>
        <w:tab/>
        <w:t>L’exercice du droit à la liberté de conscience ne peut ni créer ni limiter les droits universels de l’homme ou du citoyen ou ses obligations à l’égard de l’État (Constitution, art. 22, par. 2).</w:t>
      </w:r>
    </w:p>
    <w:p w:rsidR="00000000" w:rsidRDefault="00000000">
      <w:pPr>
        <w:spacing w:after="240"/>
      </w:pPr>
      <w:r>
        <w:t>85.</w:t>
      </w:r>
      <w:r>
        <w:tab/>
        <w:t>L’article 19 de la Constitution dispose que chacun a le droit de révéler ou pas son appartenance religieuse.</w:t>
      </w:r>
    </w:p>
    <w:p w:rsidR="00000000" w:rsidRDefault="00000000">
      <w:pPr>
        <w:spacing w:after="240"/>
      </w:pPr>
      <w:r>
        <w:t>86.</w:t>
      </w:r>
      <w:r>
        <w:tab/>
        <w:t>L’article 3 de la loi sur la liberté d’association confessionnelle et religieuse garantit le droit de ne pas adhérer à une confession religieuse. Ce droit comprend la liberté, reconnue tant aux citoyens qu’aux apatrides, de professer toute religion ou de n’en professer aucune.</w:t>
      </w:r>
    </w:p>
    <w:p w:rsidR="00000000" w:rsidRDefault="00000000">
      <w:pPr>
        <w:spacing w:after="240"/>
      </w:pPr>
      <w:r>
        <w:t>87.</w:t>
      </w:r>
      <w:r>
        <w:tab/>
        <w:t>Conformément à la loi sur la liberté d’association confessionnelle et religieuse, l’exercice de la liberté de professer une religion ou de diffuser des convictions ne peut être restreint par la loi que dans le seul but de protéger l’ordre social, des vies humaines, la santé, les bonnes mœurs ou les droits ou libertés d’autres citoyens.</w:t>
      </w:r>
    </w:p>
    <w:p w:rsidR="00000000" w:rsidRDefault="00000000">
      <w:pPr>
        <w:spacing w:after="240"/>
      </w:pPr>
      <w:r>
        <w:t>88.</w:t>
      </w:r>
      <w:r>
        <w:tab/>
        <w:t>L’entrave à l’exercice du droit à la liberté de conscience et de confession est passible des peines prévues à l’article 149 du Code pénal.</w:t>
      </w:r>
    </w:p>
    <w:p w:rsidR="00000000" w:rsidRDefault="00000000">
      <w:pPr>
        <w:keepNext/>
        <w:spacing w:after="240"/>
      </w:pPr>
      <w:r>
        <w:tab/>
        <w:t>viii)</w:t>
      </w:r>
      <w:r>
        <w:tab/>
        <w:t>Droit à la liberté d’opinion et d’expression</w:t>
      </w:r>
    </w:p>
    <w:p w:rsidR="00000000" w:rsidRDefault="00000000">
      <w:pPr>
        <w:spacing w:after="240"/>
      </w:pPr>
      <w:r>
        <w:t>89.</w:t>
      </w:r>
      <w:r>
        <w:tab/>
        <w:t>La Constitution garantit la liberté de s’exprimer et d’entreprendre des activités créatives (art. 20, par. 1). En vertu du paragraphe 2 de cet article, chacun a le droit de recevoir et diffuser librement des informations par tout moyen qui n’est pas interdit par la loi.</w:t>
      </w:r>
    </w:p>
    <w:p w:rsidR="00000000" w:rsidRDefault="00000000">
      <w:pPr>
        <w:keepNext/>
        <w:spacing w:after="240"/>
      </w:pPr>
      <w:r>
        <w:tab/>
        <w:t>ix)</w:t>
      </w:r>
      <w:r>
        <w:tab/>
        <w:t>Droit à la liberté de réunion et d’association pacifiques</w:t>
      </w:r>
    </w:p>
    <w:p w:rsidR="00000000" w:rsidRDefault="00000000">
      <w:pPr>
        <w:spacing w:after="240"/>
      </w:pPr>
      <w:r>
        <w:t>90.</w:t>
      </w:r>
      <w:r>
        <w:tab/>
        <w:t>L’article 32 de la Constitution proclame le droit des citoyens de se réunir, d’organiser des réunions, des rassemblements, des manifestations, des défilés de rues et des piquets de grève pacifiquement et sans armes.</w:t>
      </w:r>
    </w:p>
    <w:p w:rsidR="00000000" w:rsidRDefault="00000000">
      <w:pPr>
        <w:spacing w:after="240"/>
      </w:pPr>
      <w:r>
        <w:t>91.</w:t>
      </w:r>
      <w:r>
        <w:tab/>
        <w:t>Une loi portant restriction de ce droit peut être adoptée pour garantir la sûreté de l’État, l’ordre public ou la santé publique et les droits et libertés d’autres personnes.</w:t>
      </w:r>
    </w:p>
    <w:p w:rsidR="00000000" w:rsidRDefault="00000000">
      <w:pPr>
        <w:spacing w:after="240"/>
      </w:pPr>
      <w:r>
        <w:t>92.</w:t>
      </w:r>
      <w:r>
        <w:tab/>
        <w:t>La loi sur les conflits du travail et les grèves (art. 14) dispose que sont illégales les grèves comportant des revendications de nature à porter atteinte à l’égalité nationale ou raciale.</w:t>
      </w:r>
    </w:p>
    <w:p w:rsidR="00000000" w:rsidRDefault="00000000">
      <w:pPr>
        <w:keepNext/>
        <w:spacing w:after="240"/>
      </w:pPr>
      <w:r>
        <w:tab/>
        <w:t>e)</w:t>
      </w:r>
      <w:r>
        <w:tab/>
        <w:t>Droits économiques, sociaux et culturels, notamment:</w:t>
      </w:r>
    </w:p>
    <w:p w:rsidR="00000000" w:rsidRDefault="00000000">
      <w:pPr>
        <w:keepNext/>
        <w:spacing w:after="240"/>
        <w:ind w:left="1134" w:hanging="567"/>
      </w:pPr>
      <w:r>
        <w:t>i)</w:t>
      </w:r>
      <w:r>
        <w:tab/>
        <w:t>Droits au travail, au libre choix de son travail, à des conditions équitables et satisfaisantes de travail, à la protection contre le chômage, à un salaire égal pour un travail égal, à une rémunération équitable et satisfaisante</w:t>
      </w:r>
    </w:p>
    <w:p w:rsidR="00000000" w:rsidRDefault="00000000">
      <w:pPr>
        <w:spacing w:after="240"/>
      </w:pPr>
      <w:r>
        <w:t>93.</w:t>
      </w:r>
      <w:r>
        <w:tab/>
        <w:t>L’article 24 de la Constitution dispose que chacun a le droit au travail et à un métier et à une profession librement choisis et, en outre, que chacun a le droit de jouir de conditions de travail sûres et hygiéniques, le droit de ne pas être soumis à une discrimination quant à la rémunération de son travail et le droit d’être protégé contre le chômage.</w:t>
      </w:r>
    </w:p>
    <w:p w:rsidR="00000000" w:rsidRDefault="00000000">
      <w:pPr>
        <w:spacing w:after="240"/>
      </w:pPr>
      <w:r>
        <w:t>94.</w:t>
      </w:r>
      <w:r>
        <w:tab/>
        <w:t>L’article 28 de la Constitution garantit un salaire et une retraite minimums.</w:t>
      </w:r>
    </w:p>
    <w:p w:rsidR="00000000" w:rsidRDefault="00000000">
      <w:pPr>
        <w:spacing w:after="240"/>
      </w:pPr>
      <w:r>
        <w:t>95.</w:t>
      </w:r>
      <w:r>
        <w:tab/>
        <w:t>La loi sur le travail, qui est entrée en vigueur le 1</w:t>
      </w:r>
      <w:r>
        <w:rPr>
          <w:vertAlign w:val="superscript"/>
        </w:rPr>
        <w:t>er</w:t>
      </w:r>
      <w:r>
        <w:t> janvier 2000, contient plusieurs articles concernant l’élimination de la discrimination dans le domaine du travail.</w:t>
      </w:r>
    </w:p>
    <w:p w:rsidR="00000000" w:rsidRDefault="00000000">
      <w:pPr>
        <w:spacing w:after="240"/>
      </w:pPr>
      <w:r>
        <w:t>96.</w:t>
      </w:r>
      <w:r>
        <w:tab/>
        <w:t>L’article 4 de la loi sur le travail dispose que chacun a des chances égales d’exercer ses droits au travail et que nul ne peut faire l’objet de restrictions des droits en question ou bénéficier, pour leur exercice, de privilèges fondés sur le sexe, l’âge, la race, la nationalité, la langue, la situation de fortune ou professionnelle, le lieu de résidence, l’attitude envers la religion, les convictions, la citoyenneté, l’appartenance à des associations bénévoles ou d’autres conditions dépourvues de rapport avec la qualité et les résultats de son travail.</w:t>
      </w:r>
    </w:p>
    <w:p w:rsidR="00000000" w:rsidRDefault="00000000">
      <w:pPr>
        <w:spacing w:after="240"/>
      </w:pPr>
      <w:r>
        <w:t>97.</w:t>
      </w:r>
      <w:r>
        <w:tab/>
        <w:t>L’article 7 de la loi intitulée «Droits et devoirs fondamentaux des travailleurs» établit le droit des travailleurs à un salaire égal pour un travail égal, sans aucune forme de discrimination.</w:t>
      </w:r>
    </w:p>
    <w:p w:rsidR="00000000" w:rsidRDefault="00000000">
      <w:pPr>
        <w:spacing w:after="240"/>
      </w:pPr>
      <w:r>
        <w:t>98.</w:t>
      </w:r>
      <w:r>
        <w:tab/>
        <w:t>L’article 4 de la loi du 23 janvier 2003 sur l’emploi dispose que le droit au libre choix de son travail, à des conditions de travail équitables et satisfaisantes et à une protection sociale contre le chômage doit être octroyé aux citoyens kazakhs, aux étrangers et aux apatrides résidant de façon permanente sur le territoire de la République du Kazakhstan.</w:t>
      </w:r>
    </w:p>
    <w:p w:rsidR="00000000" w:rsidRDefault="00000000">
      <w:pPr>
        <w:spacing w:after="240"/>
      </w:pPr>
      <w:r>
        <w:t>99.</w:t>
      </w:r>
      <w:r>
        <w:tab/>
        <w:t>L’article 5 de cette loi protège les citoyens contre toute forme de discrimination dans le domaine de l’emploi et leur garantit des chances égales d’acquérir une profession ou d’obtenir un emploi.</w:t>
      </w:r>
    </w:p>
    <w:p w:rsidR="00000000" w:rsidRDefault="00000000">
      <w:pPr>
        <w:spacing w:after="240"/>
      </w:pPr>
      <w:r>
        <w:t>100.</w:t>
      </w:r>
      <w:r>
        <w:tab/>
        <w:t>L’article 152 du Code pénal établit la responsabilité pénale pour violation des lois relatives à la protection du travail.</w:t>
      </w:r>
    </w:p>
    <w:p w:rsidR="00000000" w:rsidRDefault="00000000">
      <w:pPr>
        <w:spacing w:after="240"/>
      </w:pPr>
      <w:r>
        <w:t>101.</w:t>
      </w:r>
      <w:r>
        <w:tab/>
        <w:t>La législation relative aux retraites est fondée sur la Constitution qui garantit à tous les citoyens de la République du Kazakhstan une pension et des services sociaux minimums pour personnes âgées.</w:t>
      </w:r>
    </w:p>
    <w:p w:rsidR="00000000" w:rsidRDefault="00000000">
      <w:pPr>
        <w:spacing w:after="240"/>
      </w:pPr>
      <w:r>
        <w:t>102.</w:t>
      </w:r>
      <w:r>
        <w:tab/>
        <w:t>En vertu de la loi sur les pensions de retraite entrée en vigueur dans la République du Kazakhstan le 27 juin 1997, les citoyens kazakhs ont le droit de recevoir des allocations de retraite selon les modalités fixées par la loi.</w:t>
      </w:r>
    </w:p>
    <w:p w:rsidR="00000000" w:rsidRDefault="00000000">
      <w:pPr>
        <w:spacing w:after="240"/>
      </w:pPr>
      <w:r>
        <w:t>103.</w:t>
      </w:r>
      <w:r>
        <w:tab/>
        <w:t>Sauf disposition contraire de la loi ou d’accords internationaux, les étrangers et les apatrides qui résident de façon permanente sur le territoire kazakh ont les mêmes droits que les citoyens kazakhs en matière de pension de retraite, indépendamment de leur sexe, âge, race ou nationalité.</w:t>
      </w:r>
    </w:p>
    <w:p w:rsidR="00000000" w:rsidRDefault="00000000">
      <w:pPr>
        <w:spacing w:after="240"/>
      </w:pPr>
      <w:r>
        <w:t>104.</w:t>
      </w:r>
      <w:r>
        <w:tab/>
        <w:t>Afin de compléter sa législation et de l’aligner sur les normes internationales relatives à l’élimination de toutes les formes de discrimination en matière d’emploi et de profession et d’offrir des chances égales d’emploi et d’activité professionnelle, la République du Kazakhstan a ratifié la Convention de l’OIT concernant la discrimination (emploi et profession), de 1958, (loi NQ 444</w:t>
      </w:r>
      <w:r>
        <w:noBreakHyphen/>
        <w:t>1 de la République du Kazakhstan, en date du 20 juillet 1999).</w:t>
      </w:r>
    </w:p>
    <w:p w:rsidR="00000000" w:rsidRDefault="00000000">
      <w:pPr>
        <w:keepNext/>
        <w:spacing w:after="240"/>
      </w:pPr>
      <w:r>
        <w:tab/>
        <w:t>ii)</w:t>
      </w:r>
      <w:r>
        <w:tab/>
        <w:t>Droit de fonder des syndicats et de s’affilier à des syndicats</w:t>
      </w:r>
    </w:p>
    <w:p w:rsidR="00000000" w:rsidRDefault="00000000">
      <w:pPr>
        <w:spacing w:after="240"/>
      </w:pPr>
      <w:r>
        <w:t>105.</w:t>
      </w:r>
      <w:r>
        <w:tab/>
        <w:t>La loi sur les syndicats dispose que les citoyens ont le droit de fonder des syndicats.</w:t>
      </w:r>
    </w:p>
    <w:p w:rsidR="00000000" w:rsidRDefault="00000000">
      <w:pPr>
        <w:spacing w:after="240"/>
      </w:pPr>
      <w:r>
        <w:t>106.</w:t>
      </w:r>
      <w:r>
        <w:tab/>
        <w:t>L’article 4 de cette loi dispose que «le principe fondamental des syndicats est l’égalité entre leurs membres. Un nombre illimité de syndicats peut être créé au sein d’une profession (ou d’un groupe de professions). Tous les syndicats ont des possibilités égales devant la loi. Toute personne empêchant la création ou entravant les activités d’un syndicat est passible de poursuites».</w:t>
      </w:r>
    </w:p>
    <w:p w:rsidR="00000000" w:rsidRDefault="00000000">
      <w:pPr>
        <w:keepNext/>
        <w:spacing w:after="240"/>
        <w:ind w:firstLine="567"/>
      </w:pPr>
      <w:r>
        <w:t>iii)</w:t>
      </w:r>
      <w:r>
        <w:tab/>
        <w:t>Droit au logement</w:t>
      </w:r>
    </w:p>
    <w:p w:rsidR="00000000" w:rsidRDefault="00000000">
      <w:pPr>
        <w:spacing w:after="240"/>
      </w:pPr>
      <w:r>
        <w:t>107.</w:t>
      </w:r>
      <w:r>
        <w:tab/>
        <w:t>L’article 25 de la Constitution dispose que le domicile est inviolable. Nul ne peut être privé de son domicile sauf par la décision d’un tribunal. Il n’est permis de pénétrer dans un domicile, de l’inspecter et de le fouiller que dans les cas et selon les modalités fixés par la loi.</w:t>
      </w:r>
    </w:p>
    <w:p w:rsidR="00000000" w:rsidRDefault="00000000">
      <w:pPr>
        <w:spacing w:after="240"/>
      </w:pPr>
      <w:r>
        <w:t>108.</w:t>
      </w:r>
      <w:r>
        <w:tab/>
        <w:t>Le paragraphe 2 de l’article 25 est libellé comme suit: «Dans la République du Kazakhstan seront créées les conditions nécessaires pour assurer le logement des citoyens. Un logement appartenant à l’État doit être fourni à un prix abordable aux citoyens qui en ont besoin, entrant dans les catégories définies par la loi, conformément aux normes fixées par la loi.».</w:t>
      </w:r>
    </w:p>
    <w:p w:rsidR="00000000" w:rsidRDefault="00000000">
      <w:pPr>
        <w:keepNext/>
        <w:spacing w:after="240"/>
        <w:ind w:left="1134" w:hanging="567"/>
      </w:pPr>
      <w:r>
        <w:t>iv)</w:t>
      </w:r>
      <w:r>
        <w:tab/>
        <w:t>Droit à la santé publique, aux soins médicaux, à la sécurité sociale et aux services sociaux</w:t>
      </w:r>
    </w:p>
    <w:p w:rsidR="00000000" w:rsidRDefault="00000000">
      <w:pPr>
        <w:spacing w:after="240"/>
      </w:pPr>
      <w:r>
        <w:t>109.</w:t>
      </w:r>
      <w:r>
        <w:tab/>
        <w:t>L’article 29 de la Constitution dispose que «Les citoyens de la République du Kazakhstan ont droit à une protection sociale.».</w:t>
      </w:r>
    </w:p>
    <w:p w:rsidR="00000000" w:rsidRDefault="00000000">
      <w:pPr>
        <w:spacing w:after="240"/>
      </w:pPr>
      <w:r>
        <w:t>110.</w:t>
      </w:r>
      <w:r>
        <w:tab/>
        <w:t>Les citoyens ont droit à une assistance médicale gratuite, à concurrence du montant fixé par la loi.</w:t>
      </w:r>
    </w:p>
    <w:p w:rsidR="00000000" w:rsidRDefault="00000000">
      <w:pPr>
        <w:spacing w:after="240"/>
      </w:pPr>
      <w:r>
        <w:t>111.</w:t>
      </w:r>
      <w:r>
        <w:tab/>
        <w:t>Une assistance médicale payante est fournie par les établissements médicaux publics et privés et les médecins privés conformément aux conditions et procédures prévues par la loi.</w:t>
      </w:r>
    </w:p>
    <w:p w:rsidR="00000000" w:rsidRDefault="00000000">
      <w:pPr>
        <w:spacing w:after="240"/>
      </w:pPr>
      <w:r>
        <w:t>112.</w:t>
      </w:r>
      <w:r>
        <w:tab/>
        <w:t xml:space="preserve">L’article 28 de la Constitution garantit la sécurité sociale aux personnes âgées et en cas de maladie, d’incapacité, de décès du soutien de famille et dans d’autres cas. </w:t>
      </w:r>
    </w:p>
    <w:p w:rsidR="00000000" w:rsidRDefault="00000000">
      <w:pPr>
        <w:spacing w:after="240"/>
      </w:pPr>
      <w:r>
        <w:t>113.</w:t>
      </w:r>
      <w:r>
        <w:tab/>
        <w:t xml:space="preserve">Le paragraphe 2 de l’article 28 encourage l’assurance sociale volontaire, la création de différents types supplémentaires de services de protection sociale et les activités de bienfaisance. </w:t>
      </w:r>
    </w:p>
    <w:p w:rsidR="00000000" w:rsidRDefault="00000000">
      <w:pPr>
        <w:spacing w:after="240"/>
      </w:pPr>
      <w:r>
        <w:t>114.</w:t>
      </w:r>
      <w:r>
        <w:tab/>
        <w:t>Le paragraphe 2 de l’article 31 de la Constitution établit la responsabilité, conformément à la loi, pour la dissimulation par des responsables publics de faits et de circonstances mettant en danger la vie et la santé de personnes.</w:t>
      </w:r>
    </w:p>
    <w:p w:rsidR="00000000" w:rsidRDefault="00000000">
      <w:pPr>
        <w:keepNext/>
        <w:spacing w:after="240"/>
        <w:ind w:firstLine="567"/>
      </w:pPr>
      <w:r>
        <w:t>v)</w:t>
      </w:r>
      <w:r>
        <w:tab/>
        <w:t>Droit à l’éducation et à la formation professionnelle</w:t>
      </w:r>
    </w:p>
    <w:p w:rsidR="00000000" w:rsidRDefault="00000000">
      <w:pPr>
        <w:spacing w:after="240"/>
      </w:pPr>
      <w:r>
        <w:t>115.</w:t>
      </w:r>
      <w:r>
        <w:tab/>
        <w:t>Le système éducatif de la République du Kazakhstan comprend les organismes d’enseignement, les programmes d’enseignement, les normes fixées par l’État pour les différents niveaux d’enseignement et les organes administratifs. La fonction principale du système éducatif est de créer les conditions nécessaires pour assurer un enseignement, un épanouissement personnel et une formation professionnelle fondés sur les valeurs humanistes nationales universelles et les principales conquêtes et réalisations scientifiques.</w:t>
      </w:r>
    </w:p>
    <w:p w:rsidR="00000000" w:rsidRDefault="00000000">
      <w:pPr>
        <w:spacing w:after="240"/>
      </w:pPr>
      <w:r>
        <w:t>116.</w:t>
      </w:r>
      <w:r>
        <w:tab/>
        <w:t>Conformément à l’article 3 de la loi sur l’éducation, l’égalité en droits de tous les citoyens et l’accessibilité de tous les niveaux de l’éducation figurent parmi les principes fondamentaux de la politique éducative de l’État.</w:t>
      </w:r>
    </w:p>
    <w:p w:rsidR="00000000" w:rsidRDefault="00000000">
      <w:pPr>
        <w:spacing w:after="240"/>
      </w:pPr>
      <w:r>
        <w:t>117.</w:t>
      </w:r>
      <w:r>
        <w:tab/>
        <w:t>L’État garantit à tous les citoyens de la République une instruction générale secondaire et une formation professionnelle de base gratuites. Une formation secondaire, professionnelle, supérieure ou professionnelle supérieure gratuite peut être obtenue par voie de concours, conformément aux normes éducatives fixées par l’État, à condition que le candidat n’ait pas suivi auparavant des cours au niveau considéré (loi sur l’éducation, art. 4, par. 2).</w:t>
      </w:r>
    </w:p>
    <w:p w:rsidR="00000000" w:rsidRDefault="00000000">
      <w:pPr>
        <w:spacing w:after="240"/>
      </w:pPr>
      <w:r>
        <w:t>118.</w:t>
      </w:r>
      <w:r>
        <w:tab/>
        <w:t xml:space="preserve">Toute propagande pour l’intransigeance et l’exclusivité raciales et nationales est interdite dans les établissements d’enseignement (ibid., art. 14). </w:t>
      </w:r>
    </w:p>
    <w:p w:rsidR="00000000" w:rsidRDefault="00000000">
      <w:pPr>
        <w:keepNext/>
        <w:spacing w:after="240"/>
        <w:ind w:firstLine="567"/>
      </w:pPr>
      <w:r>
        <w:t>vi)</w:t>
      </w:r>
      <w:r>
        <w:tab/>
        <w:t>Droit de prendre part, dans des conditions d’égalité, aux activités culturelles</w:t>
      </w:r>
    </w:p>
    <w:p w:rsidR="00000000" w:rsidRDefault="00000000">
      <w:pPr>
        <w:spacing w:after="240"/>
      </w:pPr>
      <w:r>
        <w:t>119.</w:t>
      </w:r>
      <w:r>
        <w:tab/>
        <w:t xml:space="preserve">La loi sur la culture dispose que toutes les personnes, quelle que soit leur nationalité, ont le droit de participer au développement de leur culture nationale, et que tous les citoyens doivent respecter la langue, la culture, les coutumes et les traditions du peuple kazakh et des autres peuples du Kazakhstan. </w:t>
      </w:r>
    </w:p>
    <w:p w:rsidR="00000000" w:rsidRDefault="00000000">
      <w:pPr>
        <w:spacing w:after="240"/>
        <w:ind w:firstLine="567"/>
      </w:pPr>
      <w:r>
        <w:t>f)</w:t>
      </w:r>
      <w:r>
        <w:tab/>
        <w:t>Droit d’accès à tous lieux et services destinés à l’usage du public, tels que moyens de transport, hôtels, restaurants, cafés, spectacles et parcs;</w:t>
      </w:r>
    </w:p>
    <w:p w:rsidR="00000000" w:rsidRDefault="00000000">
      <w:pPr>
        <w:spacing w:after="240"/>
      </w:pPr>
      <w:r>
        <w:t>120.</w:t>
      </w:r>
      <w:r>
        <w:tab/>
        <w:t>Au Kazakhstan, le droit susmentionné n’est soumis à aucune restriction fondée sur la race, la nationalité, la langue, etc. Comme il a été déjà indiqué, nul ne peut être soumis à une discrimination aux motifs de l’origine, de la situation sociale ou professionnelle ou de la fortune, du sexe, de la race, de la nationalité, de la langue, de l’attitude envers la religion, des convictions, du lieu de résidence ou de toute autre condition. Cette disposition est énoncée dans la Constitution.</w:t>
      </w:r>
    </w:p>
    <w:p w:rsidR="00000000" w:rsidRDefault="00000000">
      <w:pPr>
        <w:keepNext/>
        <w:spacing w:after="240"/>
        <w:jc w:val="center"/>
        <w:rPr>
          <w:b/>
          <w:bCs/>
        </w:rPr>
      </w:pPr>
      <w:r>
        <w:rPr>
          <w:b/>
          <w:bCs/>
        </w:rPr>
        <w:t>Article 6</w:t>
      </w:r>
    </w:p>
    <w:p w:rsidR="00000000" w:rsidRDefault="00000000">
      <w:pPr>
        <w:spacing w:after="240"/>
      </w:pPr>
      <w:r>
        <w:tab/>
        <w:t>Les États parties assureront à toute personnes soumise à leur juridiction une protection et une voie de recours effectives, devant les tribunaux nationaux et autres organismes d’État compétents, contre tous actes de discrimination raciale qui, contrairement à la [présente] Convention, violeraient ses droits individuels et ses libertés fondamentales, ainsi que le droit de demander à ces tribunaux satisfaction ou réparation juste et adéquate pour tout dommage dont elle pourrait être victime par suite d’une telle discrimination.</w:t>
      </w:r>
    </w:p>
    <w:p w:rsidR="00000000" w:rsidRDefault="00000000">
      <w:pPr>
        <w:spacing w:after="240"/>
      </w:pPr>
      <w:r>
        <w:t>121.</w:t>
      </w:r>
      <w:r>
        <w:tab/>
        <w:t>La loi kazakhe garantit une protection égale à tous, sans considération de race. L’article 13 de la Constitution du 30 août 1995 donne à chacun le droit d’être reconnu comme sujet de droit, le droit à la protection de ses droits et libertés par les tribunaux et le droit de recevoir une aide juridique compétente. Cette aide est fournie gratuitement dans les cas prévus par la loi.</w:t>
      </w:r>
    </w:p>
    <w:p w:rsidR="00000000" w:rsidRDefault="00000000">
      <w:pPr>
        <w:spacing w:after="240"/>
      </w:pPr>
      <w:r>
        <w:t>122.</w:t>
      </w:r>
      <w:r>
        <w:tab/>
        <w:t xml:space="preserve">Les plus importants des organes de la République compétents pour connaître des questions relatives aux droits de l’homme sont les tribunaux. </w:t>
      </w:r>
    </w:p>
    <w:p w:rsidR="00000000" w:rsidRDefault="00000000">
      <w:pPr>
        <w:spacing w:after="240"/>
      </w:pPr>
      <w:r>
        <w:t>123.</w:t>
      </w:r>
      <w:r>
        <w:tab/>
        <w:t>L’article 75 de la Constitution dispose que les tribunaux de la République sont la Cour suprême et les tribunaux locaux établis par la loi.</w:t>
      </w:r>
    </w:p>
    <w:p w:rsidR="00000000" w:rsidRDefault="00000000">
      <w:pPr>
        <w:spacing w:after="240"/>
      </w:pPr>
      <w:r>
        <w:t>124.</w:t>
      </w:r>
      <w:r>
        <w:tab/>
        <w:t xml:space="preserve">L’article 78 de la Constitution dispose que les tribunaux ne peuvent pas appliquer des lois ou règlements susceptibles de porter atteinte aux droits ou libertés de l’homme ou du citoyen énoncés dans la Constitution. Lorsqu’un tribunal estime qu’une loi ou un règlement applicable porte effectivement atteinte aux droits et libertés susmentionnés, il est tenu de suspendre les procédures et de soumettre au Conseil constitutionnel une proposition tendant à ce que l’instrument en question soit déclaré inconstitutionnel. </w:t>
      </w:r>
    </w:p>
    <w:p w:rsidR="00000000" w:rsidRDefault="00000000">
      <w:pPr>
        <w:spacing w:after="240"/>
      </w:pPr>
      <w:r>
        <w:t>125.</w:t>
      </w:r>
      <w:r>
        <w:tab/>
        <w:t>Étant donné que les droits et libertés de l’homme et du citoyen sont énoncés dans la Constitution, il convient également de mentionner les activités du Conseil constitutionnel. Le Conseil est l’organe de l’État qui assure la primauté de la Constitution sur l’ensemble du territoire et qui vérifie la conformité des lois à la Constitution à savoir, d’une part, les lois adoptées par le Parlement, avant signature par le Président, d’autre part, les accords internationaux conclus par le Kazakhstan, avant leur ratification.</w:t>
      </w:r>
    </w:p>
    <w:p w:rsidR="00000000" w:rsidRDefault="00000000">
      <w:pPr>
        <w:spacing w:after="240"/>
      </w:pPr>
      <w:r>
        <w:t>126.</w:t>
      </w:r>
      <w:r>
        <w:tab/>
        <w:t>Les lois et accords internationaux qui se révèlent incompatibles avec la Constitution ne peuvent pas être signés, ratifiés ou mis en vigueur. Les lois et règlements dont il apparaît qu’ils portent atteinte à des droits et libertés de l’homme et du citoyen énoncés dans la Constitution sont abrogés et déclarés inapplicables. Les décisions du Conseil constitutionnel entrent en vigueur le jour de leur adoption, s’appliquent impérativement partout dans le pays, sont finales et insusceptibles d’appel.</w:t>
      </w:r>
    </w:p>
    <w:p w:rsidR="00000000" w:rsidRDefault="00000000">
      <w:pPr>
        <w:spacing w:after="240"/>
      </w:pPr>
      <w:r>
        <w:t>127.</w:t>
      </w:r>
      <w:r>
        <w:tab/>
        <w:t>Le Procureur surveille et assure l’application précise et uniforme des lois, ordonnances présidentielles et autres textes législatifs, défend les intérêts de l’État devant les tribunaux et, dans les conditions prévues par la loi, dirige les poursuites. Dans le cadre de ses fonctions, il contrôle l’application de la législation relative aux droits de l’homme.</w:t>
      </w:r>
    </w:p>
    <w:p w:rsidR="00000000" w:rsidRDefault="00000000">
      <w:pPr>
        <w:spacing w:after="240"/>
      </w:pPr>
      <w:r>
        <w:t>128.</w:t>
      </w:r>
      <w:r>
        <w:tab/>
        <w:t>La Commission des droits de l’homme auprès de la présidence de la République a été créée par l’ordonnance présidentielle n</w:t>
      </w:r>
      <w:r>
        <w:rPr>
          <w:vertAlign w:val="superscript"/>
        </w:rPr>
        <w:t>o</w:t>
      </w:r>
      <w:r>
        <w:t> 1563 du 12 février 1994 intitulée «Création d’une commission nationale des droits de l’homme». À l’heure actuelle, les activités de la Commission sont réglementées par l’ordonnance présidentielle n</w:t>
      </w:r>
      <w:r>
        <w:rPr>
          <w:vertAlign w:val="superscript"/>
        </w:rPr>
        <w:t>o</w:t>
      </w:r>
      <w:r>
        <w:t> 1042 du 19 mars 2003 intitulée «La Commission des droits de l’homme auprès de la présidence de la République du Kazakhstan».</w:t>
      </w:r>
    </w:p>
    <w:p w:rsidR="00000000" w:rsidRDefault="00000000">
      <w:pPr>
        <w:spacing w:after="240"/>
      </w:pPr>
      <w:r>
        <w:t>129.</w:t>
      </w:r>
      <w:r>
        <w:tab/>
        <w:t>La Commission est un organe consultatif qui aide le chef de l’État à exercer les pouvoirs constitutionnels qui lui sont reconnus en tant que garant des droits et libertés de l’homme et du citoyen fixés et garantis par la Constitution.</w:t>
      </w:r>
    </w:p>
    <w:p w:rsidR="00000000" w:rsidRDefault="00000000">
      <w:pPr>
        <w:spacing w:after="240"/>
      </w:pPr>
      <w:r>
        <w:t>130.</w:t>
      </w:r>
      <w:r>
        <w:tab/>
        <w:t>Les principales missions de la Commission sont les suivantes:</w:t>
      </w:r>
    </w:p>
    <w:p w:rsidR="00000000" w:rsidRDefault="00000000">
      <w:pPr>
        <w:numPr>
          <w:ilvl w:val="0"/>
          <w:numId w:val="48"/>
        </w:numPr>
        <w:spacing w:after="240"/>
      </w:pPr>
      <w:r>
        <w:t>Créer des conditions permettant au Président de la République du Kazakhstan de s’acquitter de son rôle constitutionnel de garant des droits et libertés de l’homme et du citoyen dans le cadre de la République;</w:t>
      </w:r>
    </w:p>
    <w:p w:rsidR="00000000" w:rsidRDefault="00000000">
      <w:pPr>
        <w:numPr>
          <w:ilvl w:val="0"/>
          <w:numId w:val="48"/>
        </w:numPr>
        <w:spacing w:after="240"/>
      </w:pPr>
      <w:r>
        <w:t>Contribuer à améliorer le mécanisme prévu pour assurer et protéger les droits et libertés de l’homme et du citoyen;</w:t>
      </w:r>
    </w:p>
    <w:p w:rsidR="00000000" w:rsidRDefault="00000000">
      <w:pPr>
        <w:numPr>
          <w:ilvl w:val="0"/>
          <w:numId w:val="48"/>
        </w:numPr>
        <w:spacing w:after="240"/>
      </w:pPr>
      <w:r>
        <w:t>Aider les organes centraux et locaux de l’État à mener l’action publique relative à la défense et à la protection des droits et libertés de l’homme et du citoyen;</w:t>
      </w:r>
    </w:p>
    <w:p w:rsidR="00000000" w:rsidRDefault="00000000">
      <w:pPr>
        <w:numPr>
          <w:ilvl w:val="0"/>
          <w:numId w:val="48"/>
        </w:numPr>
        <w:spacing w:after="240"/>
      </w:pPr>
      <w:r>
        <w:t>Participer à l’élaboration de concepts et de programmes d’action publique relatifs à la défense et à la protection des droits de l’homme et des libertés;</w:t>
      </w:r>
    </w:p>
    <w:p w:rsidR="00000000" w:rsidRDefault="00000000">
      <w:pPr>
        <w:numPr>
          <w:ilvl w:val="0"/>
          <w:numId w:val="48"/>
        </w:numPr>
        <w:spacing w:after="240"/>
      </w:pPr>
      <w:r>
        <w:t>Contribuer au renforcement de la coopération internationale en matière de défense et de protection des droits de l’homme et des libertés.</w:t>
      </w:r>
    </w:p>
    <w:p w:rsidR="00000000" w:rsidRDefault="00000000">
      <w:pPr>
        <w:spacing w:after="240"/>
      </w:pPr>
      <w:r>
        <w:t>131.</w:t>
      </w:r>
      <w:r>
        <w:tab/>
        <w:t>En 2000, la Commission des droits de l’homme a examiné 409 communications concernant des violations des droits et libertés de l’homme et du citoyen commises dans la République du Kazakhstan.</w:t>
      </w:r>
    </w:p>
    <w:p w:rsidR="00000000" w:rsidRDefault="00000000">
      <w:pPr>
        <w:spacing w:after="240"/>
      </w:pPr>
      <w:r>
        <w:t>132.</w:t>
      </w:r>
      <w:r>
        <w:tab/>
        <w:t>L’auteur d’une seule de ces communications, M</w:t>
      </w:r>
      <w:r>
        <w:rPr>
          <w:vertAlign w:val="superscript"/>
        </w:rPr>
        <w:t>me</w:t>
      </w:r>
      <w:r>
        <w:t> L. T. Uslova, s’est plainte de discrimination raciale. M</w:t>
      </w:r>
      <w:r>
        <w:rPr>
          <w:vertAlign w:val="superscript"/>
        </w:rPr>
        <w:t>me</w:t>
      </w:r>
      <w:r>
        <w:t> Uslova, domiciliée à Temirtau, dans l’oblaste de Karaganda, affirmait avoir subi une discrimination raciale commise par de hauts responsables du service de communications spéciales de l’oblaste de Karaganda (KOSSS), comportant une violation de ses droits du travail et de ceux de sa fille, M</w:t>
      </w:r>
      <w:r>
        <w:rPr>
          <w:vertAlign w:val="superscript"/>
        </w:rPr>
        <w:t>me</w:t>
      </w:r>
      <w:r>
        <w:t> D. Uslova.</w:t>
      </w:r>
    </w:p>
    <w:p w:rsidR="00000000" w:rsidRDefault="00000000">
      <w:pPr>
        <w:spacing w:after="240"/>
      </w:pPr>
      <w:r>
        <w:tab/>
        <w:t>L’intéressée a affirmé dans sa communication que des responsables du KOSSS l’avaient systématiquement humiliée, avaient violé de façon flagrante ses droits du travail et n’avaient pas fait mystère de leur intention d’obtenir son licenciement par n’importe quel moyen. Selon elle, étant donné qu’elle était une spécialiste qualifiée disposant de 16 années d’ancienneté et qu’elle satisfaisait à toutes les conditions d’emploi prescrites par le service de communications spéciales, son origine ethnique était la cause véritable du harcèlement dont elle faisait l’objet.</w:t>
      </w:r>
    </w:p>
    <w:p w:rsidR="00000000" w:rsidRDefault="00000000">
      <w:pPr>
        <w:spacing w:after="240"/>
      </w:pPr>
      <w:r>
        <w:tab/>
        <w:t>Sa communication a été examinée par la Commission des droits de l’homme et transmise, avec une lettre d’envoi, au Procureur général de la République du Kazakhstan pour enquête.</w:t>
      </w:r>
    </w:p>
    <w:p w:rsidR="00000000" w:rsidRDefault="00000000">
      <w:pPr>
        <w:spacing w:after="240"/>
      </w:pPr>
      <w:r>
        <w:tab/>
        <w:t>L’enquête a établi que les allégations relatives au licenciement illégal de la fille de M</w:t>
      </w:r>
      <w:r>
        <w:rPr>
          <w:vertAlign w:val="superscript"/>
        </w:rPr>
        <w:t>me</w:t>
      </w:r>
      <w:r>
        <w:t> Uslova, M</w:t>
      </w:r>
      <w:r>
        <w:rPr>
          <w:vertAlign w:val="superscript"/>
        </w:rPr>
        <w:t>me</w:t>
      </w:r>
      <w:r>
        <w:t> D. Uslova, faisaient l’objet d’une enquête judiciaire. En réponse à des questions supplémentaires concernant ses allégations relatives aux actes illégaux commis par des responsables du KOSSS, hormis des observations d’ordre général, M</w:t>
      </w:r>
      <w:r>
        <w:rPr>
          <w:vertAlign w:val="superscript"/>
        </w:rPr>
        <w:t>me</w:t>
      </w:r>
      <w:r>
        <w:t> L. T. Uslova n’a pas été en mesure d’offrir le moindre exemple précis des actes en question. L’enquête a en outre réfuté les allégations selon lesquelles les employés étaient choisis sur des bases ethniques et sexistes. Il est apparu que sur 14 personnes engagées par le KOSSS en 2000, six n’étaient pas des autochtones et trois étaient des femmes. M</w:t>
      </w:r>
      <w:r>
        <w:rPr>
          <w:vertAlign w:val="superscript"/>
        </w:rPr>
        <w:t>me</w:t>
      </w:r>
      <w:r>
        <w:t> Uslova a reconnu que ses affirmations selon lesquelles de hauts responsables du KOSSS avaient refusé de lui accorder un congé réglementaire en 1998</w:t>
      </w:r>
      <w:r>
        <w:noBreakHyphen/>
        <w:t>1999 et de lui donner de nouvelles garanties d’emploi étaient injustifiées.</w:t>
      </w:r>
    </w:p>
    <w:p w:rsidR="00000000" w:rsidRDefault="00000000">
      <w:pPr>
        <w:spacing w:after="240"/>
      </w:pPr>
      <w:r>
        <w:tab/>
        <w:t>L’enquête n’a donc pas permis de confirmer les allégations faisant état d’actes de harcèlement et de pressions à motivations ethniques et d’actes de discrimination commis à l’encontre d’employés non kazakhs du KOSSS, formulées dans la communication. M</w:t>
      </w:r>
      <w:r>
        <w:rPr>
          <w:vertAlign w:val="superscript"/>
        </w:rPr>
        <w:t>me</w:t>
      </w:r>
      <w:r>
        <w:t> Uslova a été informée par les voies légales appropriées des conclusions de l’enquête.</w:t>
      </w:r>
    </w:p>
    <w:p w:rsidR="00000000" w:rsidRDefault="00000000">
      <w:pPr>
        <w:spacing w:after="240"/>
      </w:pPr>
      <w:r>
        <w:t>133.</w:t>
      </w:r>
      <w:r>
        <w:tab/>
        <w:t>En 2001, la Commission des droits de l’homme a reçu 629 communications écrites concernant des violations des droits de l’homme. Une seule d’entre elles dénonçait une discrimination à motivations raciales contre un citoyen.</w:t>
      </w:r>
    </w:p>
    <w:p w:rsidR="00000000" w:rsidRDefault="00000000">
      <w:pPr>
        <w:spacing w:after="240"/>
      </w:pPr>
      <w:r>
        <w:t>134.</w:t>
      </w:r>
      <w:r>
        <w:tab/>
        <w:t>En juin 2001, M. V. B. Kolodko, citoyen ukrainien accomplissant une peine dans l’établissement pénitentiaire AP</w:t>
      </w:r>
      <w:r>
        <w:noBreakHyphen/>
        <w:t xml:space="preserve">162\4 de la Commission du système correctionnel pénal du Ministère kazakh de l’intérieur a porté plainte auprès de la Commission des droits de l’homme pour traitement dégradant infligé par l’administration de l’établissement. Il a affirmé que la violation de ses droits civils était liée à son origine ethnique et à son état de citoyen d’un autre pays. </w:t>
      </w:r>
    </w:p>
    <w:p w:rsidR="00000000" w:rsidRDefault="00000000">
      <w:pPr>
        <w:spacing w:after="240"/>
      </w:pPr>
      <w:r>
        <w:tab/>
        <w:t>M. Kolodko a affirmé par écrit que plusieurs employés de l’établissement pénitentiaire s’étaient mis délibérément à tenter de le discréditer, en dépit des efforts qu’il faisait pour se réformer, après qu’il avait présenté au Procureur général du Kazakhstan une demande d’extradition, mesure qui lui permettrait de purger sa peine dans son lieu de résidence permanente, en Ukraine. Pour le soumettre à des pressions mentales, les employés en question se sont mis à le transférer sans raison d’un groupe de détenus à un autre, à rabaisser et dénigrer ses sentiments nationaux et à le placer dans une cellule disciplinaire sur la base de fausses accusations.</w:t>
      </w:r>
    </w:p>
    <w:p w:rsidR="00000000" w:rsidRDefault="00000000">
      <w:pPr>
        <w:spacing w:after="240"/>
      </w:pPr>
      <w:r>
        <w:tab/>
        <w:t>La violation des droits des personnes condamnées et, plus encore, toute discrimination contre ces personnes fondée sur des motifs raciaux (ethniques) étant proscrites, la Commission a transmis la plainte de M. Kolodko au Procureur général du Kazakhstan pour enquête, en lui demandant de la tenir informée des résultats. Les allégations de M. Kolodko selon lesquelles ses droits avaient été violés à cause de sa nationalité et de sa citoyenneté étrangères n’ont pas pu être confirmées.</w:t>
      </w:r>
    </w:p>
    <w:p w:rsidR="00000000" w:rsidRDefault="00000000">
      <w:pPr>
        <w:spacing w:after="240"/>
      </w:pPr>
      <w:r>
        <w:tab/>
        <w:t>Il est apparu que M. Kolodko avait systématiquement violé les règles relatives à l’exécution des peines, fixées dans le Code de l’application des peines. Il est apparu que les mesures prises à son égard par les autorités de l’établissement correctionnel étaient justifiées et légales et n’avaient aucun rapport avec son origine.</w:t>
      </w:r>
    </w:p>
    <w:p w:rsidR="00000000" w:rsidRDefault="00000000">
      <w:pPr>
        <w:spacing w:after="240"/>
      </w:pPr>
      <w:r>
        <w:tab/>
        <w:t>M. Kolodko a accepté les conclusions de l’enquête.</w:t>
      </w:r>
    </w:p>
    <w:p w:rsidR="00000000" w:rsidRDefault="00000000">
      <w:pPr>
        <w:spacing w:after="240"/>
      </w:pPr>
      <w:r>
        <w:t>135.</w:t>
      </w:r>
      <w:r>
        <w:tab/>
        <w:t>Aux termes du chapitre 3 du Code pénal du 16 juillet 1997, la violation de droits constitutionnels et d’autres droits et libertés de l’homme et du citoyen est une infraction punissable. Par conséquent, les organes chargés de l’application des lois, notamment le Bureau du Procureur général, le Ministère de l’intérieur et la Commission de sécurité nationale ont des fonctions clairement définies de protection des droits de l’homme en matière de procédure pénale.</w:t>
      </w:r>
    </w:p>
    <w:p w:rsidR="00000000" w:rsidRDefault="00000000">
      <w:pPr>
        <w:spacing w:after="240"/>
      </w:pPr>
      <w:r>
        <w:t>136.</w:t>
      </w:r>
      <w:r>
        <w:tab/>
        <w:t>Le Code de procédure civile (art. 8 relatif à la protection judiciaire des droits, libertés et intérêts légitimes de l’individu) énonce le droit de tout citoyen «de s’adresser aux tribunaux pour en obtenir la protection de droits ou libertés constitutionnels et d’intérêts légitimes violés ou remis en cause».</w:t>
      </w:r>
    </w:p>
    <w:p w:rsidR="00000000" w:rsidRDefault="00000000">
      <w:pPr>
        <w:keepNext/>
        <w:spacing w:after="240"/>
        <w:jc w:val="center"/>
        <w:rPr>
          <w:b/>
          <w:bCs/>
        </w:rPr>
      </w:pPr>
      <w:r>
        <w:rPr>
          <w:b/>
          <w:bCs/>
        </w:rPr>
        <w:t>Article 7</w:t>
      </w:r>
    </w:p>
    <w:p w:rsidR="00000000" w:rsidRDefault="00000000">
      <w:pPr>
        <w:spacing w:after="240"/>
      </w:pPr>
      <w:r>
        <w:tab/>
        <w:t>Les États parties s’engagent à prendre des mesures immédiates et efficaces, notamment dans les domaines de l’enseignement, de l’éducation, de la culture et de l’information, pour lutter contre les préjugés conduisant à la discrimination raciale et favoriser la compréhension, la tolérance et l’amitié entre nations et groupes raciaux ou ethniques, ainsi que pour promouvoir les buts et les principes de la Charte des Nations Unies, de la Déclaration universelle des droits de l’homme, de la Déclaration des Nations Unies sur l’élimination de toutes les formes de discrimination raciale et de la [présente] Convention.</w:t>
      </w:r>
    </w:p>
    <w:p w:rsidR="00000000" w:rsidRDefault="00000000">
      <w:pPr>
        <w:spacing w:after="240"/>
      </w:pPr>
      <w:r>
        <w:t>137.</w:t>
      </w:r>
      <w:r>
        <w:tab/>
        <w:t>Sur les 130 nationalités qui, selon le recensement de 1999, vivent au Kazakhstan, 33 ont formé des associations ethnoculturelles conformément à la loi sur les associations bénévoles. Ces associations appartiennent à l’Assemblée des peuples du Kazakhstan, organe consultatif auprès du Président de la République. Au fil du temps, il s’est avéré que l’Assemblée constitue le meilleur moyen d’interaction entre l’État et les associations représentant les groupes ethniques: elle offre à l’État un moyen de soutenir le processus de revitalisation des cultures ethniques et contribue très utilement à assurer des relations ethniques stables ainsi que la concorde, le développement et l’intégration culturelle à l’échelle nationale.</w:t>
      </w:r>
    </w:p>
    <w:p w:rsidR="00000000" w:rsidRDefault="00000000">
      <w:pPr>
        <w:spacing w:after="240"/>
      </w:pPr>
      <w:r>
        <w:t>138.</w:t>
      </w:r>
      <w:r>
        <w:tab/>
        <w:t>L’idée de créer l’Assemblée des peuples du Kazakhstan a été proposée initialement par M. Nazarbaev, Président de la République, lors du premier Forum des peuples du Kazakhstan tenu en 1992 pour la célébration du premier anniversaire de l’indépendance nationale.</w:t>
      </w:r>
    </w:p>
    <w:p w:rsidR="00000000" w:rsidRDefault="00000000">
      <w:pPr>
        <w:spacing w:after="240"/>
      </w:pPr>
      <w:r>
        <w:tab/>
        <w:t>Le Président a signé le décret portant création de l’Assemblée le 1</w:t>
      </w:r>
      <w:r>
        <w:rPr>
          <w:vertAlign w:val="superscript"/>
        </w:rPr>
        <w:t>er</w:t>
      </w:r>
      <w:r>
        <w:t> mars 1995. Par cet acte, il entendait renforcer la stabilité sociale et l’harmonie interethnique au Kazakhstan.</w:t>
      </w:r>
    </w:p>
    <w:p w:rsidR="00000000" w:rsidRDefault="00000000">
      <w:pPr>
        <w:spacing w:after="240"/>
      </w:pPr>
      <w:r>
        <w:t>139.</w:t>
      </w:r>
      <w:r>
        <w:tab/>
        <w:t xml:space="preserve">Les objectifs de l’Assemblée sont doubles: élaborer, à partir de l’analyse des événements et de prévisions de l’évolution politique du pays, des recommandations concrètes concernant le renforcement de la société, et aider le Président de la République à s’acquitter de ses activités de garant du respect des droits et libertés des citoyens du Kazakhstan, indépendamment de leur origine raciale, ethnique ou sociale, de leur religion ou de leurs convictions. </w:t>
      </w:r>
    </w:p>
    <w:p w:rsidR="00000000" w:rsidRDefault="00000000">
      <w:pPr>
        <w:spacing w:after="240"/>
      </w:pPr>
      <w:r>
        <w:t>140.</w:t>
      </w:r>
      <w:r>
        <w:tab/>
        <w:t>L’Assemblée s’acquitte de diverses fonctions culturelles, incitatives, relationnelles et consultatives. Elle revitalise et soutient les cultures, langues et traditions ethniques, encourage le patriotisme national et ethnique, renforce l’unité et l’harmonie interethniques par l’observation des relations ethniques et fait des recommandations et des propositions tendant à ce que l’État encourage le développement des relations amicales entre les nationalités du Kazakhstan.</w:t>
      </w:r>
    </w:p>
    <w:p w:rsidR="00000000" w:rsidRDefault="00000000">
      <w:pPr>
        <w:spacing w:after="240"/>
      </w:pPr>
      <w:r>
        <w:t>141.</w:t>
      </w:r>
      <w:r>
        <w:tab/>
        <w:t>Depuis sa fondation, l’Assemblée a tenu neuf sessions au cours desquelles ont été discutées d’importantes questions sociopolitiques relatives à la poursuite de la réforme économique et politique au Kazakhstan. Il convient de noter que la communauté internationale a salué l’action menée au Kazakhstan pour instaurer la paix et la concorde civiles et s’est félicitée de l’action des organes de l’État et de la situation générale au Kazakhstan. Dans une déclaration, le Haut</w:t>
      </w:r>
      <w:r>
        <w:noBreakHyphen/>
        <w:t>Commissaire de l’OSCE pour les minorités nationales, Max van der Stule, a expliqué que les dirigeants du Kazakhstan menaient une politique cohérente visant à créer les conditions nécessaires à la réalisation des droits de tous les groupes ethniques du pays et à poursuivre l’harmonisation des relations interéthniques. Le Secrétaire général de l’Organisation des Nations Unies, Kofi Annan, a exprimé une évaluation plus positive encore en disant, au cours d’une visite officielle au Kazakhstan, durant l’automne de 2002, que le pays offrait l’exemple d’un État dans lequel diverses nations vivaient pacifiquement ensemble et que la diversité ethnique ne devrait pas être considérée comme un mal mais comme un bien.</w:t>
      </w:r>
    </w:p>
    <w:p w:rsidR="00000000" w:rsidRDefault="00000000">
      <w:pPr>
        <w:spacing w:after="240"/>
      </w:pPr>
      <w:r>
        <w:t>142.</w:t>
      </w:r>
      <w:r>
        <w:tab/>
        <w:t>Parmi les mesures concrètes qui ont été prises par l’Assemblée des peuples pour créer les conditions du développement culturel et linguistique de tous les groupes ethniques vivant au Kazakhstan figurent l’organisation de festivals des peuples du Kazakhstan, de festivals linguistiques, de concours de langue nationale et maternelle pour élèves des écoles du dimanche, des conférences et séminaires internationaux et nationaux sur la politique linguistique et des tables rondes portant sur des questions d’actualité relatives au développement ethnoculturel.</w:t>
      </w:r>
    </w:p>
    <w:p w:rsidR="00000000" w:rsidRDefault="00000000">
      <w:pPr>
        <w:spacing w:after="240"/>
      </w:pPr>
      <w:r>
        <w:t>143.</w:t>
      </w:r>
      <w:r>
        <w:tab/>
        <w:t xml:space="preserve">Les activités des maisons de l’amitié offrent un nouveau moyen de soutenir et de développer la culture des communautés ethniques. Les </w:t>
      </w:r>
      <w:r>
        <w:rPr>
          <w:i/>
          <w:iCs/>
        </w:rPr>
        <w:t>akims</w:t>
      </w:r>
      <w:r>
        <w:t xml:space="preserve"> d’un certain nombre de régions allouent des fonds aux associations ethnoculturelles et aux maisons de l’amitié.</w:t>
      </w:r>
    </w:p>
    <w:p w:rsidR="00000000" w:rsidRDefault="00000000">
      <w:pPr>
        <w:spacing w:after="240"/>
      </w:pPr>
      <w:r>
        <w:t>144.</w:t>
      </w:r>
      <w:r>
        <w:tab/>
        <w:t xml:space="preserve">Presque tous les centres ethnoculturels régionaux ont leurs propres publications. Par exemple, Tan, le centre culturel tatar et bachkir d’Astana, publie un journal dénommé </w:t>
      </w:r>
      <w:r>
        <w:rPr>
          <w:i/>
          <w:iCs/>
        </w:rPr>
        <w:t>Yashlek</w:t>
      </w:r>
      <w:r>
        <w:t xml:space="preserve">; l’association des Doungans de la ville de Taraz publie un journal baptisé </w:t>
      </w:r>
      <w:r>
        <w:rPr>
          <w:i/>
          <w:iCs/>
        </w:rPr>
        <w:t>Dunganskaya gazeta</w:t>
      </w:r>
      <w:r>
        <w:t xml:space="preserve"> et le centre culturel bélarussien de Kostanai a une publication appelée </w:t>
      </w:r>
      <w:r>
        <w:rPr>
          <w:i/>
          <w:iCs/>
        </w:rPr>
        <w:t>Zubr</w:t>
      </w:r>
      <w:r>
        <w:t>.</w:t>
      </w:r>
    </w:p>
    <w:p w:rsidR="00000000" w:rsidRDefault="00000000">
      <w:pPr>
        <w:spacing w:after="240"/>
      </w:pPr>
      <w:r>
        <w:t>145.</w:t>
      </w:r>
      <w:r>
        <w:tab/>
        <w:t>Les relations internationales de l’Assemblée des peuples se développent rapidement comme en attestent les nombreuses visites au Kazakhstan de représentants d’importantes organisations internationales. Des relations de travail étroites ont été établies avec l’OSCE. L’ancien Haut</w:t>
      </w:r>
      <w:r>
        <w:noBreakHyphen/>
        <w:t xml:space="preserve">Commissaire de l’OSCE pour les minorités nationales, Max van der Stule, est venu à maintes reprises au Kazakhstan où il a acquis une connaissance précise des activités de l’Assemblée et des petites assemblées relevant des </w:t>
      </w:r>
      <w:r>
        <w:rPr>
          <w:i/>
          <w:iCs/>
        </w:rPr>
        <w:t>akims</w:t>
      </w:r>
      <w:r>
        <w:t>. Des relations étroites ont été établies avec son successeur, Ralf Ekeus.</w:t>
      </w:r>
    </w:p>
    <w:p w:rsidR="00000000" w:rsidRDefault="00000000">
      <w:pPr>
        <w:spacing w:after="240"/>
      </w:pPr>
      <w:r>
        <w:t>146.</w:t>
      </w:r>
      <w:r>
        <w:tab/>
        <w:t>Un centre de recherches humanitaires a été créé avec l’appui de l’OSCE pour étudier les problèmes de relations interethniques. Il a participé à l’organisation de plus d’une dizaine de conférences et séminaires internationaux sur l’harmonisation des relations interethniques en Asie centrale et a élaboré 11 rapports sur les résultats de l’observation de la situation interethnique.</w:t>
      </w:r>
    </w:p>
    <w:p w:rsidR="00000000" w:rsidRDefault="00000000">
      <w:pPr>
        <w:spacing w:after="240"/>
      </w:pPr>
      <w:r>
        <w:t>147.</w:t>
      </w:r>
      <w:r>
        <w:tab/>
        <w:t>Les liens entre le Kazakhstan et les territoires ethniques d’origine de ses peuples s’étendent et s’approfondissent. Ce processus est particulièrement marqué en ce qui concerne les diasporas azerbaïdjanaise, arménienne, grecque, doungane, juive, karachaev</w:t>
      </w:r>
      <w:r>
        <w:noBreakHyphen/>
        <w:t>balkar, coréenne, allemande, polonaise, tatar, turque, turkmène et ukrainienne.</w:t>
      </w:r>
    </w:p>
    <w:p w:rsidR="00000000" w:rsidRDefault="00000000">
      <w:pPr>
        <w:spacing w:after="240"/>
      </w:pPr>
      <w:r>
        <w:t>148.</w:t>
      </w:r>
      <w:r>
        <w:tab/>
        <w:t>Des liens étroits ont été établis avec des entités constitutives de la Fédération de Russie telles que la République de Sakha (Yakoutie), la République du Tatarstan, neuf oblastes bordant le Kazakhstan, les krais et la République de l’Altaï. Des représentants du Sénat des États</w:t>
      </w:r>
      <w:r>
        <w:noBreakHyphen/>
        <w:t>Unis d’Amérique, du Sejm de Pologne et du Zhogorku Kenesh du Kirghizistan ont également rendu visite à l’Assemblée du Kazakhstan.</w:t>
      </w:r>
    </w:p>
    <w:p w:rsidR="00000000" w:rsidRDefault="00000000">
      <w:pPr>
        <w:spacing w:after="240"/>
      </w:pPr>
      <w:r>
        <w:t>149.</w:t>
      </w:r>
      <w:r>
        <w:tab/>
        <w:t>Par conséquent, le cadre éducatif, culturel et linguistique créé au Kazakhstan pour toutes les minorités ethniques, les moyens d’information et culturels disponibles (maisons de l’amitié, théâtres, musées et médias ethniques) et les relations internationales de plus en plus vastes du pays contribuent au développement culturel général du Kazakhstan et de tous ses habitants. Toutefois, ce cadre n’a pas tant pour but d’encourager la culture et les traditions d’un groupe ethnique quelconque que de rechercher des moyens d’intégrer ces derniers dans la culture de l’ensemble du Kazakhstan. Ce type d’approche donne des résultats importants et est, à notre avis, la seule manière efficace de parvenir à un développement civilisé dans une société multiethnique.</w:t>
      </w:r>
    </w:p>
    <w:p w:rsidR="00000000" w:rsidRDefault="00000000">
      <w:pPr>
        <w:spacing w:after="240"/>
      </w:pPr>
      <w:r>
        <w:t>150.</w:t>
      </w:r>
      <w:r>
        <w:tab/>
        <w:t>La politique linguistique fait partie intégrante de l’action en faveur des nationalités. Elle comprend un ensemble spécial de mesures par lesquelles l’État s’attache à résoudre rapidement les problèmes linguistiques et à créer un espace linguistique optimal dans le pays.</w:t>
      </w:r>
    </w:p>
    <w:p w:rsidR="00000000" w:rsidRDefault="00000000">
      <w:pPr>
        <w:spacing w:after="240"/>
      </w:pPr>
      <w:r>
        <w:t>151.</w:t>
      </w:r>
      <w:r>
        <w:tab/>
        <w:t>Comme on l’a vu, la Constitution reconnaît à chacun, sans exception, le droit de pratiquer sa langue et sa culture maternelles et de choisir librement sa langue de communication, d’éducation, d’instruction et d’activités créatives.</w:t>
      </w:r>
    </w:p>
    <w:p w:rsidR="00000000" w:rsidRDefault="00000000">
      <w:pPr>
        <w:spacing w:after="240"/>
      </w:pPr>
      <w:r>
        <w:t>152.</w:t>
      </w:r>
      <w:r>
        <w:tab/>
        <w:t>En vue de créer les conditions propices à l’étude et à l’utilisation des langues maternelles des peuples du Kazakhstan, le Président de la République a approuvé, par son ordonnance n</w:t>
      </w:r>
      <w:r>
        <w:rPr>
          <w:rFonts w:eastAsia="MS Mincho"/>
          <w:vertAlign w:val="superscript"/>
        </w:rPr>
        <w:t>o</w:t>
      </w:r>
      <w:r>
        <w:t> 3058 du 15 juillet 1996, les orientations générales relatives à l’éducation ethnoculturelle au Kazakhstan. Le but principal de ces orientations est de créer un modèle linguistique qui permettrait de préserver les caractéristiques particulières des groupes ethniques et d’assimiler les valeurs des autres cultures.</w:t>
      </w:r>
    </w:p>
    <w:p w:rsidR="00000000" w:rsidRDefault="00000000">
      <w:pPr>
        <w:spacing w:after="240"/>
      </w:pPr>
      <w:r>
        <w:tab/>
        <w:t>Le système éducatif du pays compte 8 240 écoles publiques d’enseignement général qui accueillent au total 3 630 000 élèves.</w:t>
      </w:r>
    </w:p>
    <w:p w:rsidR="00000000" w:rsidRDefault="00000000">
      <w:pPr>
        <w:spacing w:after="240"/>
      </w:pPr>
      <w:r>
        <w:t>153.</w:t>
      </w:r>
      <w:r>
        <w:tab/>
        <w:t>D’après les chiffres du Ministère de l’éducation et de la science, en 2001, les écoles publiques d’enseignement général se répartissaient comme suit, par langue d’enseignement: kazakh, 42,2 %; russe, 28,8 %; ouzbek, 1 %, tadjik, 0,2 % et ukrainien, 0,01 %. L’enseignement était dispensé dans deux langues ou plus dans 1 999 écoles.</w:t>
      </w:r>
    </w:p>
    <w:p w:rsidR="00000000" w:rsidRDefault="00000000">
      <w:pPr>
        <w:spacing w:after="240"/>
      </w:pPr>
      <w:r>
        <w:t>154.</w:t>
      </w:r>
      <w:r>
        <w:tab/>
        <w:t>Dans 133 écoles d’enseignement général, des élèves appartenant à 11 nationalités étudient leur langue maternelle (allemand, polonais, ukrainien, ouighour, coréen, doungan, turc, tchétchène et kurde).</w:t>
      </w:r>
    </w:p>
    <w:p w:rsidR="00000000" w:rsidRDefault="00000000">
      <w:pPr>
        <w:spacing w:after="240"/>
      </w:pPr>
      <w:r>
        <w:t>155.</w:t>
      </w:r>
      <w:r>
        <w:tab/>
        <w:t xml:space="preserve">Dans l’oblaste de Karaganda, les autorités de l’éducation travaillent en coopération étroite avec le centre culturel de la société allemande </w:t>
      </w:r>
      <w:r>
        <w:rPr>
          <w:i/>
          <w:iCs/>
        </w:rPr>
        <w:t>Wiedergeburt</w:t>
      </w:r>
      <w:r>
        <w:t>, le centre coréen de renaissance culturelle et le centre culturel Tatar</w:t>
      </w:r>
      <w:r>
        <w:noBreakHyphen/>
        <w:t>Bachkir et 11 écoles allemandes du dimanche continuent de fonctionner.</w:t>
      </w:r>
    </w:p>
    <w:p w:rsidR="00000000" w:rsidRDefault="00000000">
      <w:pPr>
        <w:spacing w:after="240"/>
      </w:pPr>
      <w:r>
        <w:t>156.</w:t>
      </w:r>
      <w:r>
        <w:tab/>
        <w:t xml:space="preserve">Une section consacrée à la renaissance ethnique fonctionne dans l’école secondaire </w:t>
      </w:r>
      <w:r>
        <w:rPr>
          <w:rFonts w:eastAsia="MS Mincho"/>
        </w:rPr>
        <w:t>n</w:t>
      </w:r>
      <w:r>
        <w:rPr>
          <w:rFonts w:eastAsia="MS Mincho"/>
          <w:vertAlign w:val="superscript"/>
        </w:rPr>
        <w:t>o</w:t>
      </w:r>
      <w:r>
        <w:t> 17 de Petropavlosvsk, dans l’oblaste du Kazakhstan du nord, depuis l’année scolaire 1998/99. Dans cette section, des enfants appartenant à neuf nationalités étudient l’azerbaïdjanais, l’hébreux, le polonais, le tatar, l’allemand, l’arménien, l’ukrainien, le tchétchène et l’ingouche.</w:t>
      </w:r>
    </w:p>
    <w:p w:rsidR="00000000" w:rsidRDefault="00000000">
      <w:pPr>
        <w:spacing w:after="240"/>
      </w:pPr>
      <w:r>
        <w:t>157.</w:t>
      </w:r>
      <w:r>
        <w:tab/>
        <w:t>Dans les oblastes de Pavlodar, d’Atyrau, de Kyzyl</w:t>
      </w:r>
      <w:r>
        <w:noBreakHyphen/>
        <w:t>Orda, du Kazakhstan du sud, de Karaganda, d’Almaty et du Kazakhstan occidental, les enfants de nationalité coréenne peuvent étudier leur langue maternelle en suivant des cours facultatifs. Le programme comprend un cours de coréen courant conçu pour les Coréens de souche vivant à l’étranger par l’Institut d’enseignement linguistique de l’Université nationale de Séoul.</w:t>
      </w:r>
    </w:p>
    <w:p w:rsidR="00000000" w:rsidRDefault="00000000">
      <w:pPr>
        <w:spacing w:after="240"/>
      </w:pPr>
      <w:r>
        <w:t>158.</w:t>
      </w:r>
      <w:r>
        <w:tab/>
        <w:t>En vertu d’un accord conclu entre le Ministère kazakh de l’éducation et de la science et le Ministère polonais de l’éducation, des groupes d’étude du polonais ont été ouverts dans 29 écoles du Kazakhstan. Des possibilités de poursuivre leurs études dans des écoles secondaires spécialisées ou des établissements supérieurs polonais sont offerts aux élèves de nationalité polonaise qui obtiennent leur diplôme d’enseignement général à l’issue de 9 ou 11 années d’études.</w:t>
      </w:r>
    </w:p>
    <w:p w:rsidR="00000000" w:rsidRDefault="00000000">
      <w:pPr>
        <w:spacing w:after="240"/>
      </w:pPr>
      <w:r>
        <w:t>159.</w:t>
      </w:r>
      <w:r>
        <w:tab/>
        <w:t>Les travaux de promotion de la langue nationale se poursuivent. L’idée selon laquelle le rêve séculaire du peuple kazakh de construire un état fort et florissant ne pourra être réalisé tant que le kazakh ne sera pas réellement devenu la langue officielle est maintenant fermement ancrée dans l’opinion publique. Cette dernière est de plus en plus consciente de la nécessité de développer l’étude du kazakh et son utilisation en tant que langue officielle et moyen de communication interethnique.</w:t>
      </w:r>
    </w:p>
    <w:p w:rsidR="00000000" w:rsidRDefault="00000000">
      <w:pPr>
        <w:spacing w:after="240"/>
      </w:pPr>
      <w:r>
        <w:t>160.</w:t>
      </w:r>
      <w:r>
        <w:tab/>
        <w:t>Quatre oblastes − Kyzyl</w:t>
      </w:r>
      <w:r>
        <w:noBreakHyphen/>
        <w:t>Orda, Kazakhstan du sud, Atyrau et Zhambyl − ont pleinement adopté la langue nationale et les oblastes de Mangistau et Aktyubinsk s’apprêtent à prendre cette mesure importante.</w:t>
      </w:r>
    </w:p>
    <w:p w:rsidR="00000000" w:rsidRDefault="00000000">
      <w:pPr>
        <w:spacing w:after="240"/>
      </w:pPr>
      <w:r>
        <w:t>161.</w:t>
      </w:r>
      <w:r>
        <w:tab/>
        <w:t>Les bureaux de l’administration centrale rédigent un nombre croissant de documents en deux langues. Pour faciliter cette évolution, des services d’édition ont été créés pour les documents rédigés en kazakh.</w:t>
      </w:r>
    </w:p>
    <w:p w:rsidR="00000000" w:rsidRDefault="00000000">
      <w:pPr>
        <w:spacing w:after="240"/>
      </w:pPr>
      <w:r>
        <w:t>162.</w:t>
      </w:r>
      <w:r>
        <w:tab/>
        <w:t>Au total, 103 écoles utilisant le Kazakh comme langue d’enseignement ont été ouvertes en 2001 seulement.</w:t>
      </w:r>
    </w:p>
    <w:p w:rsidR="00000000" w:rsidRDefault="00000000">
      <w:pPr>
        <w:spacing w:after="240"/>
      </w:pPr>
      <w:r>
        <w:t>163.</w:t>
      </w:r>
      <w:r>
        <w:tab/>
        <w:t xml:space="preserve">Étant donné ses fonctions sociales, le russe garde son importance traditionnelle en tant que moyen de communication dans les secteurs de la science, de l’éducation et des médias. Il a une place prédominante dans la correspondance commerciale. Actuellement, 68 % des étudiants des établissements d’enseignement supérieur du Kazakhstan font leurs études en russe. </w:t>
      </w:r>
    </w:p>
    <w:p w:rsidR="00000000" w:rsidRDefault="00000000">
      <w:pPr>
        <w:spacing w:after="240"/>
      </w:pPr>
      <w:r>
        <w:t>164.</w:t>
      </w:r>
      <w:r>
        <w:tab/>
        <w:t xml:space="preserve">Sur les plans tant législatif que pratique, le Kazakhstan évolue donc progressivement vers une situation linguistique où tous les citoyens, conformément aux dispositions de la Constitution, seront en mesure d’exercer leur droit de choisir leur langue de communication, d’éducation, d’instruction et d’activités créatives. </w:t>
      </w:r>
    </w:p>
    <w:p w:rsidR="00000000" w:rsidRDefault="00000000">
      <w:pPr>
        <w:spacing w:after="240"/>
      </w:pPr>
      <w:r>
        <w:t>165.</w:t>
      </w:r>
      <w:r>
        <w:tab/>
        <w:t>Culturellement, le Kazakhstan reflète une grande diversité culturelle de ses peuples. Conformément à la loi sur la culture, tous les citoyens ont le droit de créer des valeurs culturelles sur un pied d’égalité.</w:t>
      </w:r>
    </w:p>
    <w:p w:rsidR="00000000" w:rsidRDefault="00000000">
      <w:pPr>
        <w:spacing w:after="240"/>
      </w:pPr>
      <w:r>
        <w:t>166.</w:t>
      </w:r>
      <w:r>
        <w:tab/>
        <w:t>En outre, les programmes d’activités théâtrales confirment quotidiennement concrètement le droit égal des citoyens de participer à la vie culturelle et de pratiquer leur langue et leur culture maternelles. Quelles que soient leurs caractéristiques ethniques, les théâtres fournissent un service culturel régulier à leur public. Il existe actuellement 18 théâtres kazakhs, 15 théâtres russes, 3 théâtres mixtes (c’est</w:t>
      </w:r>
      <w:r>
        <w:noBreakHyphen/>
        <w:t>à</w:t>
      </w:r>
      <w:r>
        <w:noBreakHyphen/>
        <w:t>dire des théâtres dotés d’une troupe kazakhe et d’une troupe russe), un théâtre ouighour, un théâtre coréen et un théâtre allemand. Le répertoire des théâtres comprend des œuvres d’auteurs kazakhs, russes, allemands, coréens, ouighours et autres. Des groupes de musique sont rattachés aux théâtres ethniques ayant le statut de théâtre national tels que l’ensemble coréen «Ariran» et les groupes ouighours «Nava» et «Yashlyk».</w:t>
      </w:r>
    </w:p>
    <w:p w:rsidR="00000000" w:rsidRDefault="00000000">
      <w:pPr>
        <w:spacing w:after="240"/>
      </w:pPr>
      <w:r>
        <w:t>167.</w:t>
      </w:r>
      <w:r>
        <w:tab/>
        <w:t xml:space="preserve">On trouvera ci-dessous des informations détaillées sur les activités de ces institutions. </w:t>
      </w:r>
    </w:p>
    <w:p w:rsidR="00000000" w:rsidRDefault="00000000">
      <w:pPr>
        <w:spacing w:after="240"/>
      </w:pPr>
      <w:r>
        <w:t>168.</w:t>
      </w:r>
      <w:r>
        <w:tab/>
        <w:t>En 2001, le théâtre kazakh Auezov d’art dramatique a donné 239 représentations auxquelles ont assisté 60 900 spectateurs. Les chiffres correspondants concernant quelques autres théâtres sont les suivants: Théâtre national russe M. Lermontov, (326 représentations et 107 900 spectateurs); Théâtre ouighour de comédie musicale (150 représentations et 110 000 spectateurs); Théâtre coréen de comédie musicale (23 représentations et 9 500 spectateurs); Théâtre allemand (190 représentations et 12 800 spectateurs). Comme on peut le voir, les théâtres ethniques sont très demandés et fortement fréquentés (la faiblesse relative des chiffres concernant les troupes ouighoures et coréennes est due au fait que leurs théâtres habituels étaient en cours de réparation pendant la période considérée, ceux concernant la troupe allemande, au fait que cette dernière ne fait des tournées que dans les zones à forte proportion d’Allemands).</w:t>
      </w:r>
    </w:p>
    <w:p w:rsidR="00000000" w:rsidRDefault="00000000">
      <w:pPr>
        <w:spacing w:after="240"/>
      </w:pPr>
      <w:r>
        <w:t>169.</w:t>
      </w:r>
      <w:r>
        <w:tab/>
        <w:t>La coopération étroite entre les institutions culturelles et les centres culturels ethniques mérite d’être notée. Les manifestations organisées conjointement avec ces centres − concerts de groupes issus des centres culturels, expositions d’arts décoratifs et appliqués, démonstrations de cuisine ethnique, organisation de festivals ethniques le Jour de l’unité, etc. − sont très populaires.</w:t>
      </w:r>
    </w:p>
    <w:p w:rsidR="00000000" w:rsidRDefault="00000000">
      <w:pPr>
        <w:spacing w:after="240"/>
      </w:pPr>
      <w:r>
        <w:t>170.</w:t>
      </w:r>
      <w:r>
        <w:tab/>
        <w:t xml:space="preserve">La coopération humanitaire du Kazakhstan avec ses voisins repose sur une approche méthodique. Conformément à la Déclaration d’amitié éternelle et de coopération signée entre le Kazakhstan et la Fédération de Russie, une coopération culturelle efficace entre les régions frontalières se poursuit. En juin 2002, des manifestations mettant en scène la culture de divers oblastes du Kazakhstan ont été organisées dans des régions frontalières de la Russie, dans le cadre des journées culturelles du Kazakhstan. Le programme comprenait des concerts, des débats, des activités en plein air et des représentations sur scène. Vers la fin de 2002, les présidents du Kazakhstan et de la Russie ont déclaré 2003 Année du Kazakhstan en Russie. Les deux parties considèrent cet événement comme un progrès important du processus de rapprochement économique, politique et culturel de leurs pays. </w:t>
      </w:r>
    </w:p>
    <w:p w:rsidR="00000000" w:rsidRDefault="00000000">
      <w:pPr>
        <w:spacing w:after="240"/>
      </w:pPr>
      <w:r>
        <w:t>171.</w:t>
      </w:r>
      <w:r>
        <w:tab/>
        <w:t>La pédagogie populaire et ses traditions et savoir</w:t>
      </w:r>
      <w:r>
        <w:noBreakHyphen/>
        <w:t>faire merveilleusement riches comprenant une approche progressive de l’éducation et de l’instruction des jeunes est le plus important des éléments de notre patrimoine culturel.</w:t>
      </w:r>
    </w:p>
    <w:p w:rsidR="00000000" w:rsidRDefault="00000000">
      <w:pPr>
        <w:spacing w:after="240"/>
      </w:pPr>
      <w:r>
        <w:t>172.</w:t>
      </w:r>
      <w:r>
        <w:tab/>
        <w:t>Des programmes tels que «Atameken», «Kyzdar elippesi» et «Destur», dont le but est d’intégrer l’ethnopédagogie dans le processus d’éducation scolaire sont maintenant choses courantes.</w:t>
      </w:r>
    </w:p>
    <w:p w:rsidR="00000000" w:rsidRDefault="00000000">
      <w:pPr>
        <w:spacing w:after="240"/>
      </w:pPr>
      <w:r>
        <w:t>173.</w:t>
      </w:r>
      <w:r>
        <w:tab/>
        <w:t>Les étudiants en sciences humaines étudient l’histoire, la culture, la tradition et les coutumes des peuples et nationalités du Kazakhstan.</w:t>
      </w:r>
    </w:p>
    <w:p w:rsidR="00000000" w:rsidRDefault="00000000">
      <w:pPr>
        <w:spacing w:after="240"/>
      </w:pPr>
      <w:r>
        <w:t>174.</w:t>
      </w:r>
      <w:r>
        <w:tab/>
        <w:t>Un certain nombre de collèges de formation des enseignants et d’études commerciales offrent actuellement des cours d’ethnopédagogie. Par exemple, l’ethnopédagogie ouighoure est inscrite au programme du collège de formation des enseignants de Zharkent, (oblaste d’Almaty), tandis que le collège d’études commerciales du Turkestan (oblaste du Kazakhstan du sud) offre un cours d’ethnopédagogie ouzbèke et le collège d’études commerciales de Saran (oblaste de Karaganda) un cours d’ethnopédagogie allemande.</w:t>
      </w:r>
    </w:p>
    <w:p w:rsidR="00000000" w:rsidRDefault="00000000">
      <w:pPr>
        <w:spacing w:after="240"/>
      </w:pPr>
      <w:r>
        <w:t>175.</w:t>
      </w:r>
      <w:r>
        <w:tab/>
        <w:t xml:space="preserve">Les programmes types de formation professionnelle universitaire offerts par les départements de sciences humaines portent notamment sur l’ethnohistoire, le contenu philosophique des traditions et cultures des peuples du Kazakhstan, les cultures ethnorégionales, l’ethnosociologie, l’ethnopsychologie et l’ethnopédagogie. </w:t>
      </w:r>
    </w:p>
    <w:p w:rsidR="00000000" w:rsidRDefault="00000000">
      <w:pPr>
        <w:spacing w:after="240"/>
      </w:pPr>
      <w:r>
        <w:t>176.</w:t>
      </w:r>
      <w:r>
        <w:tab/>
        <w:t>Le développement de l’enseignement interethnique a commencé à la fin des années 90 quand il est pour la première fois apparu nécessaire de tenir compte de bonne heure des mentalités et des caractéristiques génétiques particulières d’enfants issus de nationalités et de groupes ethniques différents. Étant donné que la préservation des langues maternelles exige qu’elles soient parlées couramment, le Gouvernement s’est engagé à contribuer à la création des conditions propices à l’étude et à l’utilisation des langues du Kazakhstan. À cette fin, la directive relative à l’éducation ethnoculturelle au Kazakhstan a été approuvée en 1997. Son principal objectif est de créer un modèle linguistique visant à préserver les caractéristiques spécifiques des groupes ethniques et à permettre simultanément l’assimilation des valeurs et normes d’autres cultures. L’important est que ce processus aide les personnes à acquérir des valeurs nationales communes sans perdre pour autant leur identité ethnique.</w:t>
      </w:r>
    </w:p>
    <w:p w:rsidR="00000000" w:rsidRDefault="00000000">
      <w:pPr>
        <w:spacing w:after="240"/>
      </w:pPr>
      <w:r>
        <w:t>177.</w:t>
      </w:r>
      <w:r>
        <w:tab/>
        <w:t>Pour faciliter la renaissance de langues maternelles, le plan s’attache à développer le réseau d’établissements préscolaires et scolaires dans les zones à forte proportion d’habitants d’origine ethnique.</w:t>
      </w:r>
    </w:p>
    <w:p w:rsidR="00000000" w:rsidRDefault="00000000">
      <w:pPr>
        <w:spacing w:after="240"/>
        <w:jc w:val="center"/>
      </w:pPr>
      <w:r>
        <w:t>-----</w:t>
      </w:r>
    </w:p>
    <w:p w:rsidR="00000000" w:rsidRDefault="00000000">
      <w:pPr>
        <w:spacing w:before="240" w:after="240"/>
        <w:rPr>
          <w:bCs/>
        </w:rPr>
      </w:pPr>
    </w:p>
    <w:sectPr w:rsidR="00000000">
      <w:headerReference w:type="even" r:id="rId9"/>
      <w:headerReference w:type="default" r:id="rId10"/>
      <w:footerReference w:type="first" r:id="rId11"/>
      <w:endnotePr>
        <w:numFmt w:val="decimal"/>
      </w:endnotePr>
      <w:pgSz w:w="11907" w:h="16840"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GE.04-41686  (F)    180604    230604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en un seul document, le rapport initial et le deuxième et troisième rapports périodiques du Kazakhstan, qui étaient à présenter les 25 septembre 1999, 2001 et 2003 respectivement.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CERD/C/439/Add.2</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CERD/C/439/Add.2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5976383"/>
    <w:multiLevelType w:val="hybridMultilevel"/>
    <w:tmpl w:val="B35EA11E"/>
    <w:lvl w:ilvl="0" w:tplc="FE66223E">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12</TotalTime>
  <Pages>53</Pages>
  <Words>17564</Words>
  <Characters>100115</Characters>
  <Application>Microsoft Office Word</Application>
  <DocSecurity>4</DocSecurity>
  <Lines>834</Lines>
  <Paragraphs>200</Paragraphs>
  <ScaleCrop>false</ScaleCrop>
  <HeadingPairs>
    <vt:vector size="2" baseType="variant">
      <vt:variant>
        <vt:lpstr>Titre</vt:lpstr>
      </vt:variant>
      <vt:variant>
        <vt:i4>1</vt:i4>
      </vt:variant>
    </vt:vector>
  </HeadingPairs>
  <TitlesOfParts>
    <vt:vector size="1" baseType="lpstr">
      <vt:lpstr>CERD/C/439/Add.2</vt:lpstr>
    </vt:vector>
  </TitlesOfParts>
  <Company>ONU</Company>
  <LinksUpToDate>false</LinksUpToDate>
  <CharactersWithSpaces>122948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CERD/C/439/Add.2</dc:title>
  <dc:subject>F04F4\0441686</dc:subject>
  <dc:creator>champeau</dc:creator>
  <cp:keywords/>
  <dc:description/>
  <cp:lastModifiedBy>F10</cp:lastModifiedBy>
  <cp:revision>2</cp:revision>
  <cp:lastPrinted>2004-06-23T13:39:00Z</cp:lastPrinted>
  <dcterms:created xsi:type="dcterms:W3CDTF">2004-06-23T13:52:00Z</dcterms:created>
  <dcterms:modified xsi:type="dcterms:W3CDTF">2004-06-23T13:52:00Z</dcterms:modified>
</cp:coreProperties>
</file>