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715" w:rsidRDefault="004F1715" w:rsidP="004F1715">
      <w:pPr>
        <w:spacing w:line="60" w:lineRule="exact"/>
        <w:rPr>
          <w:sz w:val="6"/>
        </w:rPr>
        <w:sectPr w:rsidR="004F1715" w:rsidSect="004F171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4F1715" w:rsidRDefault="004F1715" w:rsidP="004F1715">
      <w:pPr>
        <w:spacing w:line="60" w:lineRule="exact"/>
        <w:rPr>
          <w:sz w:val="6"/>
        </w:rPr>
      </w:pPr>
    </w:p>
    <w:p w:rsidR="00EA31C3" w:rsidRPr="00FF4C7C" w:rsidRDefault="00FF4C7C" w:rsidP="00FF4C7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sidRPr="00FF4C7C">
        <w:rPr>
          <w:rFonts w:hint="eastAsia"/>
        </w:rPr>
        <w:t>消除对妇女歧视委员会</w:t>
      </w:r>
    </w:p>
    <w:p w:rsidR="00FF4C7C" w:rsidRPr="00FF4C7C" w:rsidRDefault="00FF4C7C" w:rsidP="00FF4C7C">
      <w:pPr>
        <w:pStyle w:val="SingleTxt"/>
        <w:spacing w:after="60"/>
        <w:ind w:left="0"/>
        <w:rPr>
          <w:rFonts w:ascii="SimHei" w:eastAsia="SimHei" w:hint="eastAsia"/>
        </w:rPr>
      </w:pPr>
      <w:r w:rsidRPr="00FF4C7C">
        <w:rPr>
          <w:rFonts w:ascii="SimHei" w:eastAsia="SimHei" w:hint="eastAsia"/>
        </w:rPr>
        <w:t>第四十五届会议</w:t>
      </w:r>
    </w:p>
    <w:p w:rsidR="00D03E11" w:rsidRPr="00D03E11" w:rsidRDefault="00FF4C7C" w:rsidP="00D03E11">
      <w:pPr>
        <w:pStyle w:val="SingleTxt"/>
        <w:ind w:left="0"/>
        <w:rPr>
          <w:rFonts w:hint="eastAsia"/>
        </w:rPr>
      </w:pPr>
      <w:r>
        <w:rPr>
          <w:rFonts w:hint="eastAsia"/>
        </w:rPr>
        <w:t>2010年1月18日至2月5日</w:t>
      </w:r>
    </w:p>
    <w:p w:rsidR="00D03E11" w:rsidRPr="00D03E11" w:rsidRDefault="00D03E11" w:rsidP="00D03E1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03E11" w:rsidRPr="00D03E11" w:rsidRDefault="00D03E11" w:rsidP="00D03E1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03E11" w:rsidRDefault="00D03E11" w:rsidP="00D03E1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D03E11" w:rsidRPr="00132D8A" w:rsidRDefault="00D03E11" w:rsidP="00D03E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03E11" w:rsidRPr="00D03E11" w:rsidRDefault="00D03E11" w:rsidP="00D03E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D03E11" w:rsidRDefault="00D03E11" w:rsidP="00D03E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乌克兰</w:t>
      </w:r>
    </w:p>
    <w:p w:rsidR="00D03E11" w:rsidRPr="00132D8A" w:rsidRDefault="00D03E11" w:rsidP="00D03E11">
      <w:pPr>
        <w:pStyle w:val="SingleTxt"/>
        <w:spacing w:after="0" w:line="120" w:lineRule="exact"/>
        <w:rPr>
          <w:sz w:val="10"/>
        </w:rPr>
      </w:pPr>
    </w:p>
    <w:p w:rsidR="00D03E11" w:rsidRPr="00132D8A" w:rsidRDefault="00D03E11" w:rsidP="00D03E11">
      <w:pPr>
        <w:pStyle w:val="SingleTxt"/>
        <w:spacing w:after="0" w:line="120" w:lineRule="exact"/>
        <w:rPr>
          <w:rFonts w:hint="eastAsia"/>
          <w:sz w:val="10"/>
        </w:rPr>
      </w:pPr>
    </w:p>
    <w:p w:rsidR="00D03E11" w:rsidRDefault="00D03E11" w:rsidP="00D03E11">
      <w:pPr>
        <w:pStyle w:val="SingleTxt"/>
        <w:rPr>
          <w:rFonts w:hint="eastAsia"/>
        </w:rPr>
      </w:pPr>
      <w:r>
        <w:rPr>
          <w:rFonts w:hint="eastAsia"/>
        </w:rPr>
        <w:t>1.</w:t>
      </w:r>
      <w:r>
        <w:rPr>
          <w:rFonts w:hint="eastAsia"/>
        </w:rPr>
        <w:tab/>
      </w:r>
      <w:r w:rsidR="00630C6C">
        <w:rPr>
          <w:rFonts w:hint="eastAsia"/>
        </w:rPr>
        <w:t>委员会在</w:t>
      </w:r>
      <w:r>
        <w:rPr>
          <w:rFonts w:hint="eastAsia"/>
        </w:rPr>
        <w:t>2010年1月21日第909次和第910次会议</w:t>
      </w:r>
      <w:r w:rsidR="00630C6C">
        <w:rPr>
          <w:rFonts w:hint="eastAsia"/>
        </w:rPr>
        <w:t>上</w:t>
      </w:r>
      <w:r>
        <w:rPr>
          <w:rFonts w:hint="eastAsia"/>
        </w:rPr>
        <w:t>审议了乌克兰的合并第六和第七次定期报告(CEDAW/C/UKR/7)。委员会的议题和问题清单载于</w:t>
      </w:r>
      <w:r w:rsidR="00630C6C">
        <w:rPr>
          <w:rFonts w:hint="eastAsia"/>
        </w:rPr>
        <w:t>CEDAW/C/</w:t>
      </w:r>
      <w:r>
        <w:rPr>
          <w:rFonts w:hint="eastAsia"/>
        </w:rPr>
        <w:t>UKR/Q/7，乌克兰政府的答复载于CEDAW/C/UKR/Q/7/Add.1。</w:t>
      </w:r>
    </w:p>
    <w:p w:rsidR="00D03E11" w:rsidRPr="00132D8A" w:rsidRDefault="00D03E11" w:rsidP="00D03E11">
      <w:pPr>
        <w:pStyle w:val="SingleTxt"/>
        <w:rPr>
          <w:rFonts w:ascii="SimHei" w:eastAsia="SimHei" w:hint="eastAsia"/>
        </w:rPr>
      </w:pPr>
      <w:r w:rsidRPr="00132D8A">
        <w:rPr>
          <w:rFonts w:ascii="SimHei" w:eastAsia="SimHei" w:hint="eastAsia"/>
        </w:rPr>
        <w:t>导言</w:t>
      </w:r>
    </w:p>
    <w:p w:rsidR="00D03E11" w:rsidRDefault="00D03E11" w:rsidP="00D03E11">
      <w:pPr>
        <w:pStyle w:val="SingleTxt"/>
        <w:rPr>
          <w:rFonts w:hint="eastAsia"/>
        </w:rPr>
      </w:pPr>
      <w:r>
        <w:rPr>
          <w:rFonts w:hint="eastAsia"/>
        </w:rPr>
        <w:t>2.</w:t>
      </w:r>
      <w:r>
        <w:rPr>
          <w:rFonts w:hint="eastAsia"/>
        </w:rPr>
        <w:tab/>
        <w:t>委员会感谢缔约国遵循报告编写导则，在考虑到委员会以往的结论意见后，编写了合并第六和第七次定期报告。委员会赞扬缔约国对会前工作组提出的议题和问题清单提交书面答复，并对委员会提出的问题做了口头说明和答复。委员会还赞赏地注意到在本届会议期间向委员会成员分发的有关两性平等的补充资料。</w:t>
      </w:r>
    </w:p>
    <w:p w:rsidR="00D03E11" w:rsidRDefault="00D03E11" w:rsidP="00D03E11">
      <w:pPr>
        <w:pStyle w:val="SingleTxt"/>
        <w:rPr>
          <w:rFonts w:hint="eastAsia"/>
        </w:rPr>
      </w:pPr>
      <w:r>
        <w:rPr>
          <w:rFonts w:hint="eastAsia"/>
        </w:rPr>
        <w:t>3.</w:t>
      </w:r>
      <w:r>
        <w:rPr>
          <w:rFonts w:hint="eastAsia"/>
        </w:rPr>
        <w:tab/>
        <w:t>委员会欢迎由乌克兰常驻联合国日内瓦办事处和日内瓦其他国际组织代表担任团长的缔约国代表团，代表团成员包括家庭、青年和体育部、内务部以及教育和科学部的代表。委员会赞赏代表团与委员会成员进行了坦诚和实质性的对话。</w:t>
      </w:r>
    </w:p>
    <w:p w:rsidR="00D03E11" w:rsidRDefault="00D03E11" w:rsidP="00D03E11">
      <w:pPr>
        <w:pStyle w:val="SingleTxt"/>
        <w:rPr>
          <w:rFonts w:hint="eastAsia"/>
        </w:rPr>
      </w:pPr>
      <w:r>
        <w:rPr>
          <w:rFonts w:hint="eastAsia"/>
        </w:rPr>
        <w:t>4.</w:t>
      </w:r>
      <w:r>
        <w:rPr>
          <w:rFonts w:hint="eastAsia"/>
        </w:rPr>
        <w:tab/>
        <w:t>委员会欣见缔约国认识到非政府人权组织和妇女组织在执行《公约》方面作出的积极贡献。</w:t>
      </w:r>
    </w:p>
    <w:p w:rsidR="00D03E11" w:rsidRPr="00132D8A" w:rsidRDefault="00D03E11" w:rsidP="00D03E11">
      <w:pPr>
        <w:pStyle w:val="SingleTxt"/>
        <w:rPr>
          <w:rFonts w:ascii="SimHei" w:eastAsia="SimHei" w:hint="eastAsia"/>
        </w:rPr>
      </w:pPr>
      <w:r w:rsidRPr="00132D8A">
        <w:rPr>
          <w:rFonts w:ascii="SimHei" w:eastAsia="SimHei" w:hint="eastAsia"/>
        </w:rPr>
        <w:t>积极方面</w:t>
      </w:r>
    </w:p>
    <w:p w:rsidR="00D03E11" w:rsidRDefault="00D03E11" w:rsidP="00D03E11">
      <w:pPr>
        <w:pStyle w:val="SingleTxt"/>
        <w:rPr>
          <w:rFonts w:hint="eastAsia"/>
        </w:rPr>
      </w:pPr>
      <w:r>
        <w:rPr>
          <w:rFonts w:hint="eastAsia"/>
        </w:rPr>
        <w:t>5.</w:t>
      </w:r>
      <w:r>
        <w:rPr>
          <w:rFonts w:hint="eastAsia"/>
        </w:rPr>
        <w:tab/>
        <w:t>委员会赞赏地注意到，缔约国于2003年9月批准了《消除对妇女一切形式歧视公约任择议定书》。</w:t>
      </w:r>
    </w:p>
    <w:p w:rsidR="00D03E11" w:rsidRDefault="00D03E11" w:rsidP="00D03E11">
      <w:pPr>
        <w:pStyle w:val="SingleTxt"/>
        <w:rPr>
          <w:rFonts w:hint="eastAsia"/>
        </w:rPr>
      </w:pPr>
      <w:r>
        <w:rPr>
          <w:rFonts w:hint="eastAsia"/>
        </w:rPr>
        <w:t>6.</w:t>
      </w:r>
      <w:r>
        <w:rPr>
          <w:rFonts w:hint="eastAsia"/>
        </w:rPr>
        <w:tab/>
        <w:t>委员会欣见乌克兰议会2005年9月8日通过了《平等权利和机会法》，该法于2006年1月生效，其目的是在社会各领域中实现男女平等。</w:t>
      </w:r>
    </w:p>
    <w:p w:rsidR="00D03E11" w:rsidRDefault="00D03E11" w:rsidP="00D03E11">
      <w:pPr>
        <w:pStyle w:val="SingleTxt"/>
        <w:rPr>
          <w:rFonts w:hint="eastAsia"/>
        </w:rPr>
      </w:pPr>
      <w:r>
        <w:rPr>
          <w:rFonts w:hint="eastAsia"/>
        </w:rPr>
        <w:t>7.</w:t>
      </w:r>
      <w:r>
        <w:rPr>
          <w:rFonts w:hint="eastAsia"/>
        </w:rPr>
        <w:tab/>
        <w:t>委员会赞扬缔约国努力打击暴力侵害妇女行为，特别是打击家庭暴力，包括通过了《防止家庭暴力法》(2001年)和《行政违法行为法典》修正法案(2003年)，后者确定施行家庭暴力必须承担责任，并规定设立30多个家庭暴力受害者医疗和社会康复中心。此外，委员会赞赏地注意到，缔约国加入了联合国秘书长2008年发起的一个打击暴力侵害妇女行为的多年运动。</w:t>
      </w:r>
    </w:p>
    <w:p w:rsidR="00D03E11" w:rsidRDefault="00D03E11" w:rsidP="00D03E11">
      <w:pPr>
        <w:pStyle w:val="SingleTxt"/>
        <w:rPr>
          <w:rFonts w:hint="eastAsia"/>
        </w:rPr>
      </w:pPr>
      <w:r>
        <w:rPr>
          <w:rFonts w:hint="eastAsia"/>
        </w:rPr>
        <w:t>8.</w:t>
      </w:r>
      <w:r>
        <w:rPr>
          <w:rFonts w:hint="eastAsia"/>
        </w:rPr>
        <w:tab/>
        <w:t>委员会欣见缔约国在2002年审议缔约国上一次定期报告后采取行动，打击和预防强迫劳动和贩运人口行为，包括通过了《2002-2005年乌克兰预防贩运人口综合纲要》，并在2004年批准《联合国打击跨国有组织犯罪公约》及其补充议定书。</w:t>
      </w:r>
    </w:p>
    <w:p w:rsidR="00D03E11" w:rsidRDefault="00D03E11" w:rsidP="00D03E11">
      <w:pPr>
        <w:pStyle w:val="SingleTxt"/>
        <w:rPr>
          <w:rFonts w:hint="eastAsia"/>
        </w:rPr>
      </w:pPr>
      <w:r>
        <w:rPr>
          <w:rFonts w:hint="eastAsia"/>
        </w:rPr>
        <w:t>9.</w:t>
      </w:r>
      <w:r>
        <w:rPr>
          <w:rFonts w:hint="eastAsia"/>
        </w:rPr>
        <w:tab/>
        <w:t>委员会欣见200</w:t>
      </w:r>
      <w:r w:rsidR="00630C6C">
        <w:rPr>
          <w:rFonts w:hint="eastAsia"/>
        </w:rPr>
        <w:t>8</w:t>
      </w:r>
      <w:r>
        <w:rPr>
          <w:rFonts w:hint="eastAsia"/>
        </w:rPr>
        <w:t>年根据《平等权利和机会法》对《人权专员法》</w:t>
      </w:r>
      <w:r w:rsidR="00630C6C">
        <w:rPr>
          <w:rFonts w:hint="eastAsia"/>
        </w:rPr>
        <w:t>作</w:t>
      </w:r>
      <w:r>
        <w:rPr>
          <w:rFonts w:hint="eastAsia"/>
        </w:rPr>
        <w:t>出修正，扩大了监察员在两性平等事项上的职责，例如监测实现男女权利和机会平等的情况，审议关于性别歧视的投诉。</w:t>
      </w:r>
    </w:p>
    <w:p w:rsidR="00D03E11" w:rsidRPr="00132D8A" w:rsidRDefault="00D03E11" w:rsidP="00D03E11">
      <w:pPr>
        <w:pStyle w:val="SingleTxt"/>
        <w:rPr>
          <w:rFonts w:ascii="SimHei" w:eastAsia="SimHei" w:hint="eastAsia"/>
        </w:rPr>
      </w:pPr>
      <w:r w:rsidRPr="00132D8A">
        <w:rPr>
          <w:rFonts w:ascii="SimHei" w:eastAsia="SimHei" w:hint="eastAsia"/>
        </w:rPr>
        <w:t>主要关切领域和建议</w:t>
      </w:r>
    </w:p>
    <w:p w:rsidR="00D03E11" w:rsidRPr="00132D8A" w:rsidRDefault="00D03E11" w:rsidP="00D03E11">
      <w:pPr>
        <w:pStyle w:val="SingleTxt"/>
        <w:rPr>
          <w:rFonts w:ascii="SimHei" w:eastAsia="SimHei" w:hint="eastAsia"/>
        </w:rPr>
      </w:pPr>
      <w:r w:rsidRPr="00EC4195">
        <w:rPr>
          <w:rFonts w:hint="eastAsia"/>
        </w:rPr>
        <w:t>10.</w:t>
      </w:r>
      <w:r w:rsidRPr="00132D8A">
        <w:rPr>
          <w:rFonts w:ascii="SimHei" w:eastAsia="SimHei" w:hint="eastAsia"/>
        </w:rPr>
        <w:tab/>
        <w:t>委员会回顾缔约国有义务不断系统地执行《公约》各项规定，同时认为，在从今日到提交下次定期报告前的时间内，缔约国必须优先注意本结论意见提出的各项关切和建议。因此，委员会促请缔约国将执行活动的重点放在这些领域上，并在下一次定期报告中汇报所采取的行动和取得的成果。委员会还吁请缔约国将本结论意见发交各相关部委、议会</w:t>
      </w:r>
      <w:r>
        <w:rPr>
          <w:rFonts w:ascii="SimHei" w:eastAsia="SimHei" w:hint="eastAsia"/>
        </w:rPr>
        <w:t>(</w:t>
      </w:r>
      <w:r w:rsidRPr="00132D8A">
        <w:rPr>
          <w:rFonts w:ascii="SimHei" w:eastAsia="SimHei" w:hint="eastAsia"/>
        </w:rPr>
        <w:t>最高苏维埃</w:t>
      </w:r>
      <w:r>
        <w:rPr>
          <w:rFonts w:ascii="SimHei" w:eastAsia="SimHei" w:hint="eastAsia"/>
        </w:rPr>
        <w:t>)</w:t>
      </w:r>
      <w:r w:rsidRPr="00132D8A">
        <w:rPr>
          <w:rFonts w:ascii="SimHei" w:eastAsia="SimHei" w:hint="eastAsia"/>
        </w:rPr>
        <w:t>和司法部门，以确保这些意见得到充分执行。</w:t>
      </w:r>
    </w:p>
    <w:p w:rsidR="00D03E11" w:rsidRPr="00132D8A" w:rsidRDefault="00D03E11" w:rsidP="00D03E11">
      <w:pPr>
        <w:pStyle w:val="SingleTxt"/>
        <w:rPr>
          <w:rFonts w:ascii="SimHei" w:eastAsia="SimHei" w:hint="eastAsia"/>
        </w:rPr>
      </w:pPr>
      <w:r w:rsidRPr="00132D8A">
        <w:rPr>
          <w:rFonts w:ascii="SimHei" w:eastAsia="SimHei" w:hint="eastAsia"/>
        </w:rPr>
        <w:t>议会</w:t>
      </w:r>
    </w:p>
    <w:p w:rsidR="00D03E11" w:rsidRDefault="00D03E11" w:rsidP="00D03E11">
      <w:pPr>
        <w:pStyle w:val="SingleTxt"/>
        <w:rPr>
          <w:rFonts w:hint="eastAsia"/>
        </w:rPr>
      </w:pPr>
      <w:r w:rsidRPr="00EC4195">
        <w:rPr>
          <w:rFonts w:hint="eastAsia"/>
        </w:rPr>
        <w:t>11.</w:t>
      </w:r>
      <w:r w:rsidRPr="00EC4195">
        <w:rPr>
          <w:rFonts w:hint="eastAsia"/>
        </w:rPr>
        <w:tab/>
      </w:r>
      <w:r w:rsidRPr="00132D8A">
        <w:rPr>
          <w:rFonts w:ascii="SimHei" w:eastAsia="SimHei" w:hint="eastAsia"/>
        </w:rPr>
        <w:t>委员会重申，政府对于全面履行《公约》规定的缔约国义务负有首要责任，尤其应为此接受问责，但委员会同时也强调指出，《公约》对政府所有部门都具有约束力，并请缔约国鼓励国民议会</w:t>
      </w:r>
      <w:r>
        <w:rPr>
          <w:rFonts w:ascii="SimHei" w:eastAsia="SimHei" w:hint="eastAsia"/>
        </w:rPr>
        <w:t>(</w:t>
      </w:r>
      <w:r w:rsidRPr="00132D8A">
        <w:rPr>
          <w:rFonts w:ascii="SimHei" w:eastAsia="SimHei" w:hint="eastAsia"/>
        </w:rPr>
        <w:t>最高苏维埃</w:t>
      </w:r>
      <w:r>
        <w:rPr>
          <w:rFonts w:ascii="SimHei" w:eastAsia="SimHei" w:hint="eastAsia"/>
        </w:rPr>
        <w:t>)</w:t>
      </w:r>
      <w:r w:rsidRPr="00132D8A">
        <w:rPr>
          <w:rFonts w:ascii="SimHei" w:eastAsia="SimHei" w:hint="eastAsia"/>
        </w:rPr>
        <w:t>酌情根据其任务规定和程序，采取必要措施来执行本结论意见和编写政府根据《公约》提交的下一次报告。</w:t>
      </w:r>
      <w:r>
        <w:rPr>
          <w:rFonts w:hint="eastAsia"/>
        </w:rPr>
        <w:t xml:space="preserve"> </w:t>
      </w:r>
    </w:p>
    <w:p w:rsidR="00D03E11" w:rsidRPr="00132D8A" w:rsidRDefault="00D03E11" w:rsidP="00D03E11">
      <w:pPr>
        <w:pStyle w:val="SingleTxt"/>
        <w:rPr>
          <w:rFonts w:ascii="SimHei" w:eastAsia="SimHei" w:hint="eastAsia"/>
        </w:rPr>
      </w:pPr>
      <w:r w:rsidRPr="00132D8A">
        <w:rPr>
          <w:rFonts w:ascii="SimHei" w:eastAsia="SimHei" w:hint="eastAsia"/>
        </w:rPr>
        <w:t>以往的结论意见</w:t>
      </w:r>
    </w:p>
    <w:p w:rsidR="00D03E11" w:rsidRDefault="00D03E11" w:rsidP="00D03E11">
      <w:pPr>
        <w:pStyle w:val="SingleTxt"/>
        <w:rPr>
          <w:rFonts w:hint="eastAsia"/>
        </w:rPr>
      </w:pPr>
      <w:r>
        <w:rPr>
          <w:rFonts w:hint="eastAsia"/>
        </w:rPr>
        <w:t>12.</w:t>
      </w:r>
      <w:r>
        <w:rPr>
          <w:rFonts w:hint="eastAsia"/>
        </w:rPr>
        <w:tab/>
        <w:t>委员会感到遗憾的是，委员会在以往的结论意见(A/57/38)中提出的一些关切和建议未得到充分处理，尤其是：妇女仍然要面对陈旧观念，《公约》的知名度，妇女在公共生活一些领域的高层任职人数偏少，以及未采取平权行动，例如配额和其他临时特别措施。</w:t>
      </w:r>
    </w:p>
    <w:p w:rsidR="00D03E11" w:rsidRPr="00132D8A" w:rsidRDefault="00D03E11" w:rsidP="00D03E11">
      <w:pPr>
        <w:pStyle w:val="SingleTxt"/>
        <w:rPr>
          <w:rFonts w:ascii="SimHei" w:eastAsia="SimHei" w:hint="eastAsia"/>
        </w:rPr>
      </w:pPr>
      <w:r w:rsidRPr="00EC4195">
        <w:rPr>
          <w:rFonts w:hint="eastAsia"/>
        </w:rPr>
        <w:t>13.</w:t>
      </w:r>
      <w:r w:rsidRPr="00132D8A">
        <w:rPr>
          <w:rFonts w:ascii="SimHei" w:eastAsia="SimHei" w:hint="eastAsia"/>
        </w:rPr>
        <w:tab/>
        <w:t>委员会促请缔约国尽一切努力，处理尚未得到执行的以往建议和本结论意见中的关切。</w:t>
      </w:r>
    </w:p>
    <w:p w:rsidR="00D03E11" w:rsidRPr="00132D8A" w:rsidRDefault="00D03E11" w:rsidP="00D03E11">
      <w:pPr>
        <w:pStyle w:val="SingleTxt"/>
        <w:rPr>
          <w:rFonts w:ascii="SimHei" w:eastAsia="SimHei" w:hint="eastAsia"/>
        </w:rPr>
      </w:pPr>
      <w:r w:rsidRPr="00132D8A">
        <w:rPr>
          <w:rFonts w:ascii="SimHei" w:eastAsia="SimHei" w:hint="eastAsia"/>
        </w:rPr>
        <w:t>《公约》的地位</w:t>
      </w:r>
      <w:r w:rsidR="00630C6C">
        <w:rPr>
          <w:rFonts w:ascii="SimHei" w:eastAsia="SimHei" w:hint="eastAsia"/>
        </w:rPr>
        <w:t>，</w:t>
      </w:r>
      <w:r w:rsidRPr="00132D8A">
        <w:rPr>
          <w:rFonts w:ascii="SimHei" w:eastAsia="SimHei" w:hint="eastAsia"/>
        </w:rPr>
        <w:t>平等和不歧视的法律框架</w:t>
      </w:r>
      <w:r w:rsidR="00630C6C">
        <w:rPr>
          <w:rFonts w:ascii="SimHei" w:eastAsia="SimHei" w:hint="eastAsia"/>
        </w:rPr>
        <w:t>，</w:t>
      </w:r>
      <w:r w:rsidRPr="00132D8A">
        <w:rPr>
          <w:rFonts w:ascii="SimHei" w:eastAsia="SimHei" w:hint="eastAsia"/>
        </w:rPr>
        <w:t>歧视的定义</w:t>
      </w:r>
    </w:p>
    <w:p w:rsidR="00D03E11" w:rsidRDefault="00D03E11" w:rsidP="00D03E11">
      <w:pPr>
        <w:pStyle w:val="SingleTxt"/>
        <w:rPr>
          <w:rFonts w:hint="eastAsia"/>
        </w:rPr>
      </w:pPr>
      <w:r>
        <w:rPr>
          <w:rFonts w:hint="eastAsia"/>
        </w:rPr>
        <w:t>14.</w:t>
      </w:r>
      <w:r>
        <w:rPr>
          <w:rFonts w:hint="eastAsia"/>
        </w:rPr>
        <w:tab/>
        <w:t>委员会注意到缔约国在加强乌克兰的两性平等和妇女人权方面取得的进展，特别是颁布了禁止歧视的立法，但遗憾的是未能充分提供妇女利用现有投诉机制情况的相关资料，包括关于法庭判例及案例结果的资料。此外，委员再次重申它以前在2002年结论意见中提出的关切，即人们，其中包括司法部门、执法人员以及妇女本身，对《公约》仍然缺乏了解，仍然缺少应用公约的机会。</w:t>
      </w:r>
    </w:p>
    <w:p w:rsidR="00D03E11" w:rsidRPr="00132D8A" w:rsidRDefault="00D03E11" w:rsidP="00D03E11">
      <w:pPr>
        <w:pStyle w:val="SingleTxt"/>
        <w:rPr>
          <w:rFonts w:ascii="SimHei" w:eastAsia="SimHei" w:hint="eastAsia"/>
        </w:rPr>
      </w:pPr>
      <w:r w:rsidRPr="00EC4195">
        <w:rPr>
          <w:rFonts w:hint="eastAsia"/>
        </w:rPr>
        <w:t>15.</w:t>
      </w:r>
      <w:r w:rsidRPr="00132D8A">
        <w:rPr>
          <w:rFonts w:ascii="SimHei" w:eastAsia="SimHei" w:hint="eastAsia"/>
        </w:rPr>
        <w:tab/>
        <w:t>委员会促请缔约国对司法和法律专业人员以及广大公众开展提高对《公约》及其《任择议定书》的认识的运动。委员会也鼓励缔约国加强关于《公约》范围的教育和培训方案，特别是法官、律师和执法人员的教育和培训方案，以鼓励他们在诉讼程序中援引《公约》。委员会还请缔约国在下一次定期报告中提供信息，列出就所称歧视妇女行为向法院、检察官办公室、监察员办公室和其它申诉机制投诉的次数与类别，包括投诉的结果。</w:t>
      </w:r>
    </w:p>
    <w:p w:rsidR="00D03E11" w:rsidRDefault="00D03E11" w:rsidP="00D03E11">
      <w:pPr>
        <w:pStyle w:val="SingleTxt"/>
        <w:rPr>
          <w:rFonts w:hint="eastAsia"/>
        </w:rPr>
      </w:pPr>
      <w:r>
        <w:rPr>
          <w:rFonts w:hint="eastAsia"/>
        </w:rPr>
        <w:t>16.</w:t>
      </w:r>
      <w:r>
        <w:rPr>
          <w:rFonts w:hint="eastAsia"/>
        </w:rPr>
        <w:tab/>
        <w:t>委员会赞扬《平等权利和机会法》的通过，但感到关切的是，该法在有基于性别的歧视时如何投诉和制裁机制为何问题上并不是很明确，可能会妨碍它的充分执行。关于《平等权利和机会法》中有关歧视妇女的定义，委员会对该定义未按《公约》第1条明文列入间接歧视感到关切。</w:t>
      </w:r>
    </w:p>
    <w:p w:rsidR="00D03E11" w:rsidRPr="00132D8A" w:rsidRDefault="00D03E11" w:rsidP="00D03E11">
      <w:pPr>
        <w:pStyle w:val="SingleTxt"/>
        <w:rPr>
          <w:rFonts w:ascii="SimHei" w:eastAsia="SimHei" w:hint="eastAsia"/>
        </w:rPr>
      </w:pPr>
      <w:r w:rsidRPr="00EC4195">
        <w:rPr>
          <w:rFonts w:hint="eastAsia"/>
        </w:rPr>
        <w:t>17.</w:t>
      </w:r>
      <w:r w:rsidRPr="00132D8A">
        <w:rPr>
          <w:rFonts w:ascii="SimHei" w:eastAsia="SimHei" w:hint="eastAsia"/>
        </w:rPr>
        <w:tab/>
        <w:t>委员会吁请缔约国修正《平等权利和机会法》，以加强投诉和制裁机制，并将直接和间接歧视一并列入歧视妇女的定义，使之完全符合《公约》第1条。</w:t>
      </w:r>
    </w:p>
    <w:p w:rsidR="00D03E11" w:rsidRPr="00132D8A" w:rsidRDefault="00D03E11" w:rsidP="00D03E11">
      <w:pPr>
        <w:pStyle w:val="SingleTxt"/>
        <w:rPr>
          <w:rFonts w:ascii="SimHei" w:eastAsia="SimHei" w:hint="eastAsia"/>
        </w:rPr>
      </w:pPr>
      <w:r w:rsidRPr="00132D8A">
        <w:rPr>
          <w:rFonts w:ascii="SimHei" w:eastAsia="SimHei" w:hint="eastAsia"/>
        </w:rPr>
        <w:t>国家提高妇女地位机构</w:t>
      </w:r>
    </w:p>
    <w:p w:rsidR="00D03E11" w:rsidRDefault="00D03E11" w:rsidP="00D03E11">
      <w:pPr>
        <w:pStyle w:val="SingleTxt"/>
        <w:rPr>
          <w:rFonts w:hint="eastAsia"/>
        </w:rPr>
      </w:pPr>
      <w:r>
        <w:rPr>
          <w:rFonts w:hint="eastAsia"/>
        </w:rPr>
        <w:t>18.</w:t>
      </w:r>
      <w:r>
        <w:rPr>
          <w:rFonts w:hint="eastAsia"/>
        </w:rPr>
        <w:tab/>
        <w:t>委员会确认缔约国建立多种体制和机构以加强国家提高妇女地位机制，包括在各部委和州一级任命两性平等问题顾问和协调人，并由家庭、青年和体育部进行协调，但委员会感到关切的是，有关国家机构没有足够的权力、知名度或没有适当的人力和财政资源来执行其任务，有效促进提高妇女地位和两性平等。委员会还感到关切的是，该部与国家和地方的两性平等机构开展有效协调与合作以及与妇女组织开展合作的能力有限。</w:t>
      </w:r>
    </w:p>
    <w:p w:rsidR="00D03E11" w:rsidRPr="00132D8A" w:rsidRDefault="00D03E11" w:rsidP="00D03E11">
      <w:pPr>
        <w:pStyle w:val="SingleTxt"/>
        <w:rPr>
          <w:rFonts w:ascii="SimHei" w:eastAsia="SimHei" w:hint="eastAsia"/>
        </w:rPr>
      </w:pPr>
      <w:r w:rsidRPr="00EC4195">
        <w:rPr>
          <w:rFonts w:hint="eastAsia"/>
        </w:rPr>
        <w:t>19.</w:t>
      </w:r>
      <w:r w:rsidRPr="00132D8A">
        <w:rPr>
          <w:rFonts w:ascii="SimHei" w:eastAsia="SimHei" w:hint="eastAsia"/>
        </w:rPr>
        <w:tab/>
        <w:t>委员会建议缔约国加强有关国家机构，增加其权力和知名度，除其它外，在更高的政府级别建立这一机构，并为其提供足够的人力和财政资源，以便提高其效力。这尤其应包括拥有在国家和地方各级改进各两性平等机构之间的协调以及加强同民间社会合作的能力。</w:t>
      </w:r>
    </w:p>
    <w:p w:rsidR="00D03E11" w:rsidRDefault="00D03E11" w:rsidP="00D03E11">
      <w:pPr>
        <w:pStyle w:val="SingleTxt"/>
        <w:rPr>
          <w:rFonts w:hint="eastAsia"/>
        </w:rPr>
      </w:pPr>
      <w:r>
        <w:rPr>
          <w:rFonts w:hint="eastAsia"/>
        </w:rPr>
        <w:t>20.</w:t>
      </w:r>
      <w:r>
        <w:rPr>
          <w:rFonts w:hint="eastAsia"/>
        </w:rPr>
        <w:tab/>
        <w:t>考虑到2006-2010年提高妇女地位和促进社会中的两性平等的国家行动计划不久将要完成，委员会对缺乏以下信息感到关注：计划执行情况的评估、取得的成果和面临的障碍与挑战。</w:t>
      </w:r>
    </w:p>
    <w:p w:rsidR="00D03E11" w:rsidRPr="00132D8A" w:rsidRDefault="00D03E11" w:rsidP="00D03E11">
      <w:pPr>
        <w:pStyle w:val="SingleTxt"/>
        <w:rPr>
          <w:rFonts w:ascii="SimHei" w:eastAsia="SimHei" w:hint="eastAsia"/>
        </w:rPr>
      </w:pPr>
      <w:r w:rsidRPr="00EC4195">
        <w:rPr>
          <w:rFonts w:hint="eastAsia"/>
        </w:rPr>
        <w:t>21.</w:t>
      </w:r>
      <w:r w:rsidRPr="00132D8A">
        <w:rPr>
          <w:rFonts w:ascii="SimHei" w:eastAsia="SimHei" w:hint="eastAsia"/>
        </w:rPr>
        <w:tab/>
        <w:t>委员会鼓励缔约国与妇女组织合作，制定并通过一项新的国家行动计划，计划应提出处理两性平等问题的综合办法，确立明确的目标和基准，并考虑到以往的国家两性平等计划的良好做法和经验教训以及委员会的建议。此外，委员会还建议缔约国为执行该计划分拨充足财政资源。</w:t>
      </w:r>
    </w:p>
    <w:p w:rsidR="00D03E11" w:rsidRPr="00132D8A" w:rsidRDefault="00630C6C" w:rsidP="00D03E11">
      <w:pPr>
        <w:pStyle w:val="SingleTxt"/>
        <w:rPr>
          <w:rFonts w:ascii="SimHei" w:eastAsia="SimHei" w:hint="eastAsia"/>
        </w:rPr>
      </w:pPr>
      <w:r>
        <w:rPr>
          <w:rFonts w:ascii="SimHei" w:eastAsia="SimHei" w:hint="eastAsia"/>
        </w:rPr>
        <w:t>暂行</w:t>
      </w:r>
      <w:r w:rsidR="00D03E11" w:rsidRPr="00132D8A">
        <w:rPr>
          <w:rFonts w:ascii="SimHei" w:eastAsia="SimHei" w:hint="eastAsia"/>
        </w:rPr>
        <w:t>特别措施</w:t>
      </w:r>
    </w:p>
    <w:p w:rsidR="00D03E11" w:rsidRDefault="00D03E11" w:rsidP="00D03E11">
      <w:pPr>
        <w:pStyle w:val="SingleTxt"/>
        <w:rPr>
          <w:rFonts w:hint="eastAsia"/>
        </w:rPr>
      </w:pPr>
      <w:r>
        <w:rPr>
          <w:rFonts w:hint="eastAsia"/>
        </w:rPr>
        <w:t>22.</w:t>
      </w:r>
      <w:r>
        <w:rPr>
          <w:rFonts w:hint="eastAsia"/>
        </w:rPr>
        <w:tab/>
        <w:t>委员会赞赏地注意到《平等权利和机会法》提及</w:t>
      </w:r>
      <w:r w:rsidR="00630C6C">
        <w:rPr>
          <w:rFonts w:hint="eastAsia"/>
        </w:rPr>
        <w:t>暂行</w:t>
      </w:r>
      <w:r>
        <w:rPr>
          <w:rFonts w:hint="eastAsia"/>
        </w:rPr>
        <w:t>特别措施，但感到关切的是，有关在妇女人数过少或处于弱势的领域中采用这些措施以及为罗姆族妇女等遭受多种歧视的弱势妇女采用这些措施的资料不多。</w:t>
      </w:r>
    </w:p>
    <w:p w:rsidR="00D03E11" w:rsidRPr="00132D8A" w:rsidRDefault="00D03E11" w:rsidP="00D03E11">
      <w:pPr>
        <w:pStyle w:val="SingleTxt"/>
        <w:rPr>
          <w:rFonts w:ascii="SimHei" w:eastAsia="SimHei" w:hint="eastAsia"/>
        </w:rPr>
      </w:pPr>
      <w:r w:rsidRPr="00EC4195">
        <w:rPr>
          <w:rFonts w:hint="eastAsia"/>
        </w:rPr>
        <w:t>23.</w:t>
      </w:r>
      <w:r w:rsidRPr="00132D8A">
        <w:rPr>
          <w:rFonts w:ascii="SimHei" w:eastAsia="SimHei" w:hint="eastAsia"/>
        </w:rPr>
        <w:tab/>
        <w:t>委员会建议缔约国根据《公约》第4条第1款和委员会第25号一般性建议，让所有相关官员都了解</w:t>
      </w:r>
      <w:r w:rsidR="00630C6C">
        <w:rPr>
          <w:rFonts w:ascii="SimHei" w:eastAsia="SimHei" w:hint="eastAsia"/>
        </w:rPr>
        <w:t>暂行</w:t>
      </w:r>
      <w:r w:rsidRPr="00132D8A">
        <w:rPr>
          <w:rFonts w:ascii="SimHei" w:eastAsia="SimHei" w:hint="eastAsia"/>
        </w:rPr>
        <w:t>特别措施的概念，并作为用于实现实质性两性平等的综合战略的一部分，在妇女人数过少或处于弱势的领域中以及为罗姆族妇女等遭受多种歧视的弱势妇女采用和执行</w:t>
      </w:r>
      <w:r w:rsidR="00630C6C">
        <w:rPr>
          <w:rFonts w:ascii="SimHei" w:eastAsia="SimHei" w:hint="eastAsia"/>
        </w:rPr>
        <w:t>暂行</w:t>
      </w:r>
      <w:r w:rsidRPr="00132D8A">
        <w:rPr>
          <w:rFonts w:ascii="SimHei" w:eastAsia="SimHei" w:hint="eastAsia"/>
        </w:rPr>
        <w:t>特别措施，包括配额。</w:t>
      </w:r>
    </w:p>
    <w:p w:rsidR="00D03E11" w:rsidRPr="00132D8A" w:rsidRDefault="00D03E11" w:rsidP="00D03E11">
      <w:pPr>
        <w:pStyle w:val="SingleTxt"/>
        <w:rPr>
          <w:rFonts w:ascii="SimHei" w:eastAsia="SimHei" w:hint="eastAsia"/>
        </w:rPr>
      </w:pPr>
      <w:r w:rsidRPr="00132D8A">
        <w:rPr>
          <w:rFonts w:ascii="SimHei" w:eastAsia="SimHei" w:hint="eastAsia"/>
        </w:rPr>
        <w:t>陈旧观念</w:t>
      </w:r>
    </w:p>
    <w:p w:rsidR="00D03E11" w:rsidRDefault="00D03E11" w:rsidP="00D03E11">
      <w:pPr>
        <w:pStyle w:val="SingleTxt"/>
        <w:rPr>
          <w:rFonts w:hint="eastAsia"/>
        </w:rPr>
      </w:pPr>
      <w:r>
        <w:rPr>
          <w:rFonts w:hint="eastAsia"/>
        </w:rPr>
        <w:t>24.</w:t>
      </w:r>
      <w:r>
        <w:rPr>
          <w:rFonts w:hint="eastAsia"/>
        </w:rPr>
        <w:tab/>
        <w:t>委员会再次对仍然有关于男女在家庭和社会中的角色和职责的陈旧传统观念表示关切，因为它严重阻碍《公约》的执行，是妇女在政治生活、劳动市场和其他领域处于弱势的根本原因。委员会还对学校教科书中的陈旧观念以及媒体和广告中带有性别歧视的女性刻画表示关切。</w:t>
      </w:r>
    </w:p>
    <w:p w:rsidR="00D03E11" w:rsidRPr="00132D8A" w:rsidRDefault="00D03E11" w:rsidP="00D03E11">
      <w:pPr>
        <w:pStyle w:val="SingleTxt"/>
        <w:rPr>
          <w:rFonts w:ascii="SimHei" w:eastAsia="SimHei" w:hint="eastAsia"/>
        </w:rPr>
      </w:pPr>
      <w:r w:rsidRPr="00EC4195">
        <w:rPr>
          <w:rFonts w:hint="eastAsia"/>
        </w:rPr>
        <w:t>25.</w:t>
      </w:r>
      <w:r w:rsidRPr="00132D8A">
        <w:rPr>
          <w:rFonts w:ascii="SimHei" w:eastAsia="SimHei" w:hint="eastAsia"/>
        </w:rPr>
        <w:tab/>
        <w:t>委员会促请缔约国加强努力，克服歧视妇女的顽固陈旧观念，方法包括：开展提高认识运动，强调男女在私人和公共领域中的地位和责任是平等的；开展人权教育，对教师进行两性平等培训，并修改教科书，去除性别陈旧观念。委员会还促请缔约国鼓励媒体去除带有性别歧视和性别陈旧观念的广告，塑造积极的妇女形象。此外，委员会建议缔约国特别注意消除有关弱势群体妇女，例如罗姆族妇女的陈旧观念。</w:t>
      </w:r>
    </w:p>
    <w:p w:rsidR="00D03E11" w:rsidRPr="00132D8A" w:rsidRDefault="00D03E11" w:rsidP="00D03E11">
      <w:pPr>
        <w:pStyle w:val="SingleTxt"/>
        <w:rPr>
          <w:rFonts w:ascii="SimHei" w:eastAsia="SimHei" w:hint="eastAsia"/>
        </w:rPr>
      </w:pPr>
      <w:r w:rsidRPr="00132D8A">
        <w:rPr>
          <w:rFonts w:ascii="SimHei" w:eastAsia="SimHei" w:hint="eastAsia"/>
        </w:rPr>
        <w:t>暴力侵害妇女行为</w:t>
      </w:r>
    </w:p>
    <w:p w:rsidR="00D03E11" w:rsidRDefault="00D03E11" w:rsidP="00D03E11">
      <w:pPr>
        <w:pStyle w:val="SingleTxt"/>
        <w:rPr>
          <w:rFonts w:hint="eastAsia"/>
        </w:rPr>
      </w:pPr>
      <w:r>
        <w:rPr>
          <w:rFonts w:hint="eastAsia"/>
        </w:rPr>
        <w:t>26.</w:t>
      </w:r>
      <w:r>
        <w:rPr>
          <w:rFonts w:hint="eastAsia"/>
        </w:rPr>
        <w:tab/>
        <w:t xml:space="preserve">委员会欢迎缔约国为消除暴力侵害妇女行为采取的措施，特别是通过《防止家庭暴力法》(2001年)，但仍然关切这种现象继续普遍存在，尤其关切缺乏关于有效执行该法的资料的问题。委员会还关切地注意到，如缔约国书面答复14和15所述，法庭对实施家庭暴力者进行的处罚，“绝大多数是罚款”，罚款基本上不起作用，因为它不对施暴者产生具体影响，而是影响整个家庭。此外，委员会对缺乏关于暴力侵害妇女行为类别和女性受害者人数的资料和按性别分类的统计数据感到遗憾。 </w:t>
      </w:r>
    </w:p>
    <w:p w:rsidR="00D03E11" w:rsidRPr="00132D8A" w:rsidRDefault="00D03E11" w:rsidP="00D03E11">
      <w:pPr>
        <w:pStyle w:val="SingleTxt"/>
        <w:rPr>
          <w:rFonts w:ascii="SimHei" w:eastAsia="SimHei" w:hint="eastAsia"/>
        </w:rPr>
      </w:pPr>
      <w:r w:rsidRPr="00EC4195">
        <w:rPr>
          <w:rFonts w:hint="eastAsia"/>
        </w:rPr>
        <w:t>27.</w:t>
      </w:r>
      <w:r w:rsidRPr="00132D8A">
        <w:rPr>
          <w:rFonts w:ascii="SimHei" w:eastAsia="SimHei" w:hint="eastAsia"/>
        </w:rPr>
        <w:tab/>
        <w:t>委员会促请缔约国切实执行《防止家庭暴力法》</w:t>
      </w:r>
      <w:r>
        <w:rPr>
          <w:rFonts w:ascii="SimHei" w:eastAsia="SimHei" w:hint="eastAsia"/>
        </w:rPr>
        <w:t>(</w:t>
      </w:r>
      <w:r w:rsidRPr="00132D8A">
        <w:rPr>
          <w:rFonts w:ascii="SimHei" w:eastAsia="SimHei" w:hint="eastAsia"/>
        </w:rPr>
        <w:t>2001年</w:t>
      </w:r>
      <w:r>
        <w:rPr>
          <w:rFonts w:ascii="SimHei" w:eastAsia="SimHei" w:hint="eastAsia"/>
        </w:rPr>
        <w:t>)</w:t>
      </w:r>
      <w:r w:rsidRPr="00132D8A">
        <w:rPr>
          <w:rFonts w:ascii="SimHei" w:eastAsia="SimHei" w:hint="eastAsia"/>
        </w:rPr>
        <w:t>并监测该法对妇女的影响。委员会促请缔约国按照</w:t>
      </w:r>
      <w:r w:rsidR="00630C6C">
        <w:rPr>
          <w:rFonts w:ascii="SimHei" w:eastAsia="SimHei" w:hint="eastAsia"/>
        </w:rPr>
        <w:t>委员会</w:t>
      </w:r>
      <w:r w:rsidRPr="00132D8A">
        <w:rPr>
          <w:rFonts w:ascii="SimHei" w:eastAsia="SimHei" w:hint="eastAsia"/>
        </w:rPr>
        <w:t>第19号一般性建议，努力采取综合方式预防和处理一切形式的暴力侵害妇女行为，更好地研究关于暴力侵害妇女行为的普遍性、原因及后果和收集相关数据，并将结果列入下一次定期报告。委员会吁请缔约国采取必要措施，确保在家庭暴力案件中具体针对施暴者进行有效的处罚。</w:t>
      </w:r>
    </w:p>
    <w:p w:rsidR="00D03E11" w:rsidRDefault="00D03E11" w:rsidP="00D03E11">
      <w:pPr>
        <w:pStyle w:val="SingleTxt"/>
        <w:rPr>
          <w:rFonts w:hint="eastAsia"/>
        </w:rPr>
      </w:pPr>
      <w:r>
        <w:rPr>
          <w:rFonts w:hint="eastAsia"/>
        </w:rPr>
        <w:t>28.</w:t>
      </w:r>
      <w:r>
        <w:rPr>
          <w:rFonts w:hint="eastAsia"/>
        </w:rPr>
        <w:tab/>
        <w:t>委员会欢迎为家庭暴力受害者设立收容所和社会中心，但感到关切的是，由于要进行正式登记，有年龄限制，中心缺少适当资金，且并非所有地区都有中心，因此妇女获取这些服务有障碍。</w:t>
      </w:r>
    </w:p>
    <w:p w:rsidR="00D03E11" w:rsidRPr="00132D8A" w:rsidRDefault="00D03E11" w:rsidP="00D03E11">
      <w:pPr>
        <w:pStyle w:val="SingleTxt"/>
        <w:rPr>
          <w:rFonts w:ascii="SimHei" w:eastAsia="SimHei" w:hint="eastAsia"/>
        </w:rPr>
      </w:pPr>
      <w:r w:rsidRPr="00EC4195">
        <w:rPr>
          <w:rFonts w:hint="eastAsia"/>
        </w:rPr>
        <w:t>29.</w:t>
      </w:r>
      <w:r w:rsidRPr="00132D8A">
        <w:rPr>
          <w:rFonts w:ascii="SimHei" w:eastAsia="SimHei" w:hint="eastAsia"/>
        </w:rPr>
        <w:tab/>
        <w:t>委员会促请缔约国采取一切必要措施，确保家庭暴力的所有女性受害者，包括农村妇女和弱势群体妇女，例如罗姆族妇女，都能充分利用受害者收容所和社会中心并直接获得补救和保护，不受年龄或其他限制。委员会还促请缔约国确保公职人员，特别是执法人员、司法人员、保健人员和社会工作者，熟知《防止家庭暴力法》</w:t>
      </w:r>
      <w:r>
        <w:rPr>
          <w:rFonts w:ascii="SimHei" w:eastAsia="SimHei" w:hint="eastAsia"/>
        </w:rPr>
        <w:t>(</w:t>
      </w:r>
      <w:r w:rsidRPr="00132D8A">
        <w:rPr>
          <w:rFonts w:ascii="SimHei" w:eastAsia="SimHei" w:hint="eastAsia"/>
        </w:rPr>
        <w:t>2001年</w:t>
      </w:r>
      <w:r>
        <w:rPr>
          <w:rFonts w:ascii="SimHei" w:eastAsia="SimHei" w:hint="eastAsia"/>
        </w:rPr>
        <w:t>)</w:t>
      </w:r>
      <w:r w:rsidRPr="00132D8A">
        <w:rPr>
          <w:rFonts w:ascii="SimHei" w:eastAsia="SimHei" w:hint="eastAsia"/>
        </w:rPr>
        <w:t>并知道其他形式的暴力侵害妇女行为，以便能够为受害者提供适当的帮助。</w:t>
      </w:r>
    </w:p>
    <w:p w:rsidR="00D03E11" w:rsidRPr="00132D8A" w:rsidRDefault="00D03E11" w:rsidP="00D03E11">
      <w:pPr>
        <w:pStyle w:val="SingleTxt"/>
        <w:rPr>
          <w:rFonts w:ascii="SimHei" w:eastAsia="SimHei" w:hint="eastAsia"/>
        </w:rPr>
      </w:pPr>
      <w:r w:rsidRPr="00132D8A">
        <w:rPr>
          <w:rFonts w:ascii="SimHei" w:eastAsia="SimHei" w:hint="eastAsia"/>
        </w:rPr>
        <w:t>贩运行为</w:t>
      </w:r>
    </w:p>
    <w:p w:rsidR="00D03E11" w:rsidRDefault="00D03E11" w:rsidP="00D03E11">
      <w:pPr>
        <w:pStyle w:val="SingleTxt"/>
        <w:rPr>
          <w:rFonts w:hint="eastAsia"/>
        </w:rPr>
      </w:pPr>
      <w:r>
        <w:rPr>
          <w:rFonts w:hint="eastAsia"/>
        </w:rPr>
        <w:t>30.</w:t>
      </w:r>
      <w:r>
        <w:rPr>
          <w:rFonts w:hint="eastAsia"/>
        </w:rPr>
        <w:tab/>
        <w:t>委员会确认缔约国为解决贩运妇女和女孩问题做出努力，包括设立若干顾问和咨询机构，起草打击贩运人口和保护受害者的法案以及批准相关国际文书，但委员会关切地注意到，没有充分消除贩运行为的根本原因，收容所仍然缺少资金，分配用于打击贩运行为的资源总体上仍然不足。委员会还对未充分开展国际合作将贩运者绳之以法感到关切。</w:t>
      </w:r>
    </w:p>
    <w:p w:rsidR="00D03E11" w:rsidRPr="00132D8A" w:rsidRDefault="00D03E11" w:rsidP="00D03E11">
      <w:pPr>
        <w:pStyle w:val="SingleTxt"/>
        <w:rPr>
          <w:rFonts w:ascii="SimHei" w:eastAsia="SimHei" w:hint="eastAsia"/>
        </w:rPr>
      </w:pPr>
      <w:r w:rsidRPr="00EC4195">
        <w:rPr>
          <w:rFonts w:hint="eastAsia"/>
        </w:rPr>
        <w:t>31.</w:t>
      </w:r>
      <w:r w:rsidRPr="00EC4195">
        <w:rPr>
          <w:rFonts w:hint="eastAsia"/>
        </w:rPr>
        <w:tab/>
      </w:r>
      <w:r w:rsidRPr="00132D8A">
        <w:rPr>
          <w:rFonts w:ascii="SimHei" w:eastAsia="SimHei" w:hint="eastAsia"/>
        </w:rPr>
        <w:t>委员会吁请缔约国消除贩运行为的根本原因，加快通过关于贩运行为的立法，为在乌克兰切实执行《预防贩运人口国家方案》和其他旨在打击贩运人口的措施提供足够的资金，并定期监测其影响。此外，委员会促请缔约国采取一切适当措施，包括分配足够的资金和设立更多的收容所，帮助被贩运的妇女和女孩康复并融入社会。同样，委员会吁请缔约国通过加强国际合作等途径，系统调查、起诉和惩罚贩运者，并提供关于受害者人数以及调查次数和调查结果的资料。</w:t>
      </w:r>
    </w:p>
    <w:p w:rsidR="00D03E11" w:rsidRPr="00132D8A" w:rsidRDefault="00D03E11" w:rsidP="00D03E11">
      <w:pPr>
        <w:pStyle w:val="SingleTxt"/>
        <w:rPr>
          <w:rFonts w:ascii="SimHei" w:eastAsia="SimHei" w:hint="eastAsia"/>
        </w:rPr>
      </w:pPr>
      <w:r w:rsidRPr="00132D8A">
        <w:rPr>
          <w:rFonts w:ascii="SimHei" w:eastAsia="SimHei" w:hint="eastAsia"/>
        </w:rPr>
        <w:t>参与政治生活和公共生活</w:t>
      </w:r>
    </w:p>
    <w:p w:rsidR="00D03E11" w:rsidRDefault="00D03E11" w:rsidP="00D03E11">
      <w:pPr>
        <w:pStyle w:val="SingleTxt"/>
        <w:rPr>
          <w:rFonts w:hint="eastAsia"/>
        </w:rPr>
      </w:pPr>
      <w:r>
        <w:rPr>
          <w:rFonts w:hint="eastAsia"/>
        </w:rPr>
        <w:t>32.</w:t>
      </w:r>
      <w:r>
        <w:rPr>
          <w:rFonts w:hint="eastAsia"/>
        </w:rPr>
        <w:tab/>
        <w:t>委员会在确认地方政府和外交部门任职妇女人数有所增加的同时，重申它在2002年结论意见中表达的关切，即在高级别民选和任命机构中，包括议会议员中，妇女任职人数不足，妇女只占议员的8%。此外，委员会关切地注意到，2007年提出的第1232号法案迟迟未通过，该法案提议修订某些立法，以确保妇女和男子平等参与选举进程，其中包括议会议员中男女两性的比例至少都要达到30%。</w:t>
      </w:r>
    </w:p>
    <w:p w:rsidR="00D03E11" w:rsidRDefault="00D03E11" w:rsidP="00D03E11">
      <w:pPr>
        <w:pStyle w:val="SingleTxt"/>
        <w:rPr>
          <w:rFonts w:hint="eastAsia"/>
        </w:rPr>
      </w:pPr>
      <w:r>
        <w:rPr>
          <w:rFonts w:hint="eastAsia"/>
        </w:rPr>
        <w:t>33.</w:t>
      </w:r>
      <w:r>
        <w:rPr>
          <w:rFonts w:hint="eastAsia"/>
        </w:rPr>
        <w:tab/>
      </w:r>
      <w:r w:rsidRPr="00132D8A">
        <w:rPr>
          <w:rFonts w:ascii="SimHei" w:eastAsia="SimHei" w:hint="eastAsia"/>
        </w:rPr>
        <w:t>委员会敦促缔约国采取措施，尤其是根据《公约》第4条第1款和委员会第25号一般性建议，通过采取临时特别措施，增加妇女在民选和任命机构中的人数，以落实妇女平等参与公共生活所有领域、特别是参与高层决策的权利。此外，委员会鼓励缔约国加快通过立法举措，例如2007年提出的第1232号法案，以确保妇女和男子在选举和议会中享有平等机会。</w:t>
      </w:r>
    </w:p>
    <w:p w:rsidR="00D03E11" w:rsidRPr="00132D8A" w:rsidRDefault="00D03E11" w:rsidP="00D03E11">
      <w:pPr>
        <w:pStyle w:val="SingleTxt"/>
        <w:rPr>
          <w:rFonts w:ascii="SimHei" w:eastAsia="SimHei" w:hint="eastAsia"/>
        </w:rPr>
      </w:pPr>
      <w:r>
        <w:br w:type="page"/>
      </w:r>
      <w:r w:rsidRPr="00132D8A">
        <w:rPr>
          <w:rFonts w:ascii="SimHei" w:eastAsia="SimHei" w:hint="eastAsia"/>
        </w:rPr>
        <w:t>就业</w:t>
      </w:r>
    </w:p>
    <w:p w:rsidR="00D03E11" w:rsidRDefault="00D03E11" w:rsidP="00D03E11">
      <w:pPr>
        <w:pStyle w:val="SingleTxt"/>
        <w:rPr>
          <w:rFonts w:hint="eastAsia"/>
        </w:rPr>
      </w:pPr>
      <w:r>
        <w:rPr>
          <w:rFonts w:hint="eastAsia"/>
        </w:rPr>
        <w:t>34.</w:t>
      </w:r>
      <w:r>
        <w:rPr>
          <w:rFonts w:hint="eastAsia"/>
        </w:rPr>
        <w:tab/>
        <w:t>委员会赞赏地注意到最近通过了《就业法》修正案，进一步保障在就业方面机会平等。但委员会对妇女在劳动力市场上的实际状况感到关切，特别是妇女失业率高、男女工资有重大差别、职业隔离及公共和私营部门雇主一直有基于性别的歧视，包括歧视性招聘做法和工作场所性骚扰。此外，委员会还感到关切的是，儿童保育设施的缺乏阻碍妇女工作权利的全面落实。</w:t>
      </w:r>
    </w:p>
    <w:p w:rsidR="00D03E11" w:rsidRPr="00132D8A" w:rsidRDefault="00D03E11" w:rsidP="00D03E11">
      <w:pPr>
        <w:pStyle w:val="SingleTxt"/>
        <w:rPr>
          <w:rFonts w:ascii="SimHei" w:eastAsia="SimHei" w:hint="eastAsia"/>
        </w:rPr>
      </w:pPr>
      <w:r w:rsidRPr="00EC4195">
        <w:rPr>
          <w:rFonts w:hint="eastAsia"/>
        </w:rPr>
        <w:t>35.</w:t>
      </w:r>
      <w:r w:rsidRPr="00132D8A">
        <w:rPr>
          <w:rFonts w:ascii="SimHei" w:eastAsia="SimHei" w:hint="eastAsia"/>
        </w:rPr>
        <w:tab/>
        <w:t>委员会建议缔约国采取适当措施，确保全面遵守《公约》的各项规定，保障妇女真正与男子平等享有同工同酬的权利；减少基于性别的职业隔离，并规定适当的制裁措施，以消除工作场所性骚扰和其他歧视性做法。此外，委员会敦促缔约国提供更多价格更低廉的儿童保育设施，以帮助落实妇女的工作权利。</w:t>
      </w:r>
    </w:p>
    <w:p w:rsidR="00D03E11" w:rsidRPr="00132D8A" w:rsidRDefault="00D03E11" w:rsidP="00D03E11">
      <w:pPr>
        <w:pStyle w:val="SingleTxt"/>
        <w:rPr>
          <w:rFonts w:ascii="SimHei" w:eastAsia="SimHei" w:hint="eastAsia"/>
        </w:rPr>
      </w:pPr>
      <w:r w:rsidRPr="00132D8A">
        <w:rPr>
          <w:rFonts w:ascii="SimHei" w:eastAsia="SimHei" w:hint="eastAsia"/>
        </w:rPr>
        <w:t>赋予经济权力</w:t>
      </w:r>
    </w:p>
    <w:p w:rsidR="00D03E11" w:rsidRDefault="00D03E11" w:rsidP="00D03E11">
      <w:pPr>
        <w:pStyle w:val="SingleTxt"/>
        <w:rPr>
          <w:rFonts w:hint="eastAsia"/>
        </w:rPr>
      </w:pPr>
      <w:r>
        <w:rPr>
          <w:rFonts w:hint="eastAsia"/>
        </w:rPr>
        <w:t>36.</w:t>
      </w:r>
      <w:r>
        <w:rPr>
          <w:rFonts w:hint="eastAsia"/>
        </w:rPr>
        <w:tab/>
        <w:t>委员会感到关切的是，正如对问题清单做出的答复所述，“开展自由化改革引发了大规模贫穷，使人们、特别是妇女实际上不可能行使他们的大部分宪法权利”。委员会还感到关切的是，根据人权专员的评估，乌克兰的贫穷率已超过70%，这可能对妇女产生不成比例的影响。</w:t>
      </w:r>
    </w:p>
    <w:p w:rsidR="00D03E11" w:rsidRPr="00132D8A" w:rsidRDefault="00D03E11" w:rsidP="00D03E11">
      <w:pPr>
        <w:pStyle w:val="SingleTxt"/>
        <w:rPr>
          <w:rFonts w:ascii="SimHei" w:eastAsia="SimHei" w:hint="eastAsia"/>
        </w:rPr>
      </w:pPr>
      <w:r w:rsidRPr="00EC4195">
        <w:rPr>
          <w:rFonts w:hint="eastAsia"/>
        </w:rPr>
        <w:t>37.</w:t>
      </w:r>
      <w:r w:rsidRPr="00132D8A">
        <w:rPr>
          <w:rFonts w:ascii="SimHei" w:eastAsia="SimHei" w:hint="eastAsia"/>
        </w:rPr>
        <w:tab/>
        <w:t>委员会敦促缔约国评估国内经济改革和国际金融和经济危机对妇女的影响，采取适当措施和提供充足资金来消除对妇女的不利影响，并在下一次报告中向委员会通报这方面情况。此外，委员会建议缔约国在所有减贫方案和战略中采用顾及两性平等的做法，并考虑弱势妇女群体的特殊需要。</w:t>
      </w:r>
    </w:p>
    <w:p w:rsidR="00D03E11" w:rsidRPr="00132D8A" w:rsidRDefault="00630C6C" w:rsidP="00D03E11">
      <w:pPr>
        <w:pStyle w:val="SingleTxt"/>
        <w:rPr>
          <w:rFonts w:ascii="SimHei" w:eastAsia="SimHei" w:hint="eastAsia"/>
        </w:rPr>
      </w:pPr>
      <w:r>
        <w:rPr>
          <w:rFonts w:ascii="SimHei" w:eastAsia="SimHei" w:hint="eastAsia"/>
        </w:rPr>
        <w:t>健康</w:t>
      </w:r>
    </w:p>
    <w:p w:rsidR="00D03E11" w:rsidRDefault="00D03E11" w:rsidP="00D03E11">
      <w:pPr>
        <w:pStyle w:val="SingleTxt"/>
        <w:rPr>
          <w:rFonts w:hint="eastAsia"/>
        </w:rPr>
      </w:pPr>
      <w:r>
        <w:rPr>
          <w:rFonts w:hint="eastAsia"/>
        </w:rPr>
        <w:t>38.</w:t>
      </w:r>
      <w:r>
        <w:rPr>
          <w:rFonts w:hint="eastAsia"/>
        </w:rPr>
        <w:tab/>
        <w:t>委员会欣见在报告所述期间通过了2002-2011年“全民健康”方案和国家生殖健康方案，但仍然关切妇女的健康状况，特别是她们的生殖健康。委员会对意外怀孕的人很多和人工流产率很高感到关切。委员会还感到关切的是，关于妇女健康，包括妇女死亡率及其原因，以及主要是妇女和女童患有的各种疾病的资料和数据很少。委员会还关切妇女艾滋病毒/艾滋病感染率非常高，与酗酒有直接关系的妇女死亡率从3.5%上升到14.2%。</w:t>
      </w:r>
    </w:p>
    <w:p w:rsidR="00D03E11" w:rsidRPr="00132D8A" w:rsidRDefault="00D03E11" w:rsidP="00D03E11">
      <w:pPr>
        <w:pStyle w:val="SingleTxt"/>
        <w:rPr>
          <w:rFonts w:ascii="SimHei" w:eastAsia="SimHei" w:hint="eastAsia"/>
        </w:rPr>
      </w:pPr>
      <w:r w:rsidRPr="00EC4195">
        <w:rPr>
          <w:rFonts w:hint="eastAsia"/>
        </w:rPr>
        <w:t>39.</w:t>
      </w:r>
      <w:r w:rsidRPr="00132D8A">
        <w:rPr>
          <w:rFonts w:ascii="SimHei" w:eastAsia="SimHei" w:hint="eastAsia"/>
        </w:rPr>
        <w:tab/>
        <w:t>委员会建议缔约国按照委员会关于保健问题的第24号一般性建议，制定一个有充足资金的范围广泛的保健服务纲要，同时系统性地监测妇女获得保健服务的情况。此外，委员会建议缔约国加紧努力，改善妇女的生殖健康，提供适当的计划生育服务和低廉避孕药具，并减少人工流产。委员会鼓励缔约国继续在学校、包括职业培训学校系统开展性教育。它还敦促缔约国针对高危群体实施艾滋病毒/艾滋病防治战略。委员会请缔约国在下一次报告中提供详细资料和数据，说明妇女、尤其是弱势妇女群体的健康状况，包括说明妇女死亡的原因、酗酒和吸烟的情况以及妇女和女童患有的主要疾病，例如乳腺癌和宫颈癌。</w:t>
      </w:r>
    </w:p>
    <w:p w:rsidR="00D03E11" w:rsidRPr="00132D8A" w:rsidRDefault="00D03E11" w:rsidP="00D03E11">
      <w:pPr>
        <w:pStyle w:val="SingleTxt"/>
        <w:rPr>
          <w:rFonts w:ascii="SimHei" w:eastAsia="SimHei" w:hint="eastAsia"/>
        </w:rPr>
      </w:pPr>
      <w:r w:rsidRPr="00132D8A">
        <w:rPr>
          <w:rFonts w:ascii="SimHei" w:eastAsia="SimHei" w:hint="eastAsia"/>
        </w:rPr>
        <w:t>家庭关系</w:t>
      </w:r>
    </w:p>
    <w:p w:rsidR="00D03E11" w:rsidRDefault="00D03E11" w:rsidP="00FD2EB3">
      <w:pPr>
        <w:pStyle w:val="SingleTxt"/>
        <w:spacing w:line="340" w:lineRule="exact"/>
        <w:rPr>
          <w:rFonts w:hint="eastAsia"/>
        </w:rPr>
      </w:pPr>
      <w:r>
        <w:rPr>
          <w:rFonts w:hint="eastAsia"/>
        </w:rPr>
        <w:t>40.</w:t>
      </w:r>
      <w:r>
        <w:rPr>
          <w:rFonts w:hint="eastAsia"/>
        </w:rPr>
        <w:tab/>
        <w:t>委员会感到关切的是，在缔约国，男孩和女孩的最低结婚年龄不同，分别为18岁和17岁。委员会还感到关切的是，缔约国关于离婚时财产分配的现行立法不承认养老基金等无形财产是要分配的婚姻财产。</w:t>
      </w:r>
    </w:p>
    <w:p w:rsidR="00D03E11" w:rsidRPr="00132D8A" w:rsidRDefault="00D03E11" w:rsidP="00FD2EB3">
      <w:pPr>
        <w:pStyle w:val="SingleTxt"/>
        <w:spacing w:line="340" w:lineRule="exact"/>
        <w:rPr>
          <w:rFonts w:ascii="SimHei" w:eastAsia="SimHei" w:hint="eastAsia"/>
        </w:rPr>
      </w:pPr>
      <w:r w:rsidRPr="00EC4195">
        <w:rPr>
          <w:rFonts w:hint="eastAsia"/>
        </w:rPr>
        <w:t>41.</w:t>
      </w:r>
      <w:r w:rsidRPr="00EC4195">
        <w:rPr>
          <w:rFonts w:hint="eastAsia"/>
        </w:rPr>
        <w:tab/>
      </w:r>
      <w:r w:rsidRPr="00132D8A">
        <w:rPr>
          <w:rFonts w:ascii="SimHei" w:eastAsia="SimHei" w:hint="eastAsia"/>
        </w:rPr>
        <w:t>委员会呼吁缔约国按照《公约》第16条和委员会第21号一般性建议，确保将女孩的最低结婚年龄提高到18岁，且这一最低年龄没有例外。此外，委员会建议缔约国采取必要的立法措施，承认养老基金等无形财产是婚姻财产的一部分。</w:t>
      </w:r>
    </w:p>
    <w:p w:rsidR="00D03E11" w:rsidRPr="00132D8A" w:rsidRDefault="00D03E11" w:rsidP="00FD2EB3">
      <w:pPr>
        <w:pStyle w:val="SingleTxt"/>
        <w:spacing w:line="340" w:lineRule="exact"/>
        <w:rPr>
          <w:rFonts w:ascii="SimHei" w:eastAsia="SimHei" w:hint="eastAsia"/>
        </w:rPr>
      </w:pPr>
      <w:r w:rsidRPr="00132D8A">
        <w:rPr>
          <w:rFonts w:ascii="SimHei" w:eastAsia="SimHei" w:hint="eastAsia"/>
        </w:rPr>
        <w:t>弱势妇女群体</w:t>
      </w:r>
    </w:p>
    <w:p w:rsidR="00630C6C" w:rsidRDefault="00D03E11" w:rsidP="00FD2EB3">
      <w:pPr>
        <w:pStyle w:val="SingleTxt"/>
        <w:spacing w:line="340" w:lineRule="exact"/>
        <w:rPr>
          <w:rFonts w:hint="eastAsia"/>
        </w:rPr>
      </w:pPr>
      <w:r>
        <w:rPr>
          <w:rFonts w:hint="eastAsia"/>
        </w:rPr>
        <w:t>42.</w:t>
      </w:r>
      <w:r>
        <w:rPr>
          <w:rFonts w:hint="eastAsia"/>
        </w:rPr>
        <w:tab/>
        <w:t>委员会感到遗憾的是，缺乏有关</w:t>
      </w:r>
      <w:r w:rsidR="00630C6C">
        <w:rPr>
          <w:rFonts w:hint="eastAsia"/>
        </w:rPr>
        <w:t>移民和难民妇女及其他</w:t>
      </w:r>
      <w:r>
        <w:rPr>
          <w:rFonts w:hint="eastAsia"/>
        </w:rPr>
        <w:t>弱势妇女群体，特别是罗姆</w:t>
      </w:r>
      <w:r w:rsidR="00630C6C">
        <w:rPr>
          <w:rFonts w:hint="eastAsia"/>
        </w:rPr>
        <w:t>族</w:t>
      </w:r>
      <w:r>
        <w:rPr>
          <w:rFonts w:hint="eastAsia"/>
        </w:rPr>
        <w:t>妇女，</w:t>
      </w:r>
      <w:r w:rsidR="00630C6C">
        <w:rPr>
          <w:rFonts w:hint="eastAsia"/>
        </w:rPr>
        <w:t>可能遭受各种各样基于性和性别、种族或族裔来源、残疾、年龄或性取向的歧视的</w:t>
      </w:r>
      <w:r>
        <w:rPr>
          <w:rFonts w:hint="eastAsia"/>
        </w:rPr>
        <w:t>资料</w:t>
      </w:r>
      <w:r w:rsidR="00630C6C">
        <w:rPr>
          <w:rFonts w:hint="eastAsia"/>
        </w:rPr>
        <w:t>。</w:t>
      </w:r>
    </w:p>
    <w:p w:rsidR="00D03E11" w:rsidRPr="00132D8A" w:rsidRDefault="00D03E11" w:rsidP="00FD2EB3">
      <w:pPr>
        <w:pStyle w:val="SingleTxt"/>
        <w:spacing w:line="340" w:lineRule="exact"/>
        <w:rPr>
          <w:rFonts w:ascii="SimHei" w:eastAsia="SimHei" w:hint="eastAsia"/>
        </w:rPr>
      </w:pPr>
      <w:r w:rsidRPr="00EC4195">
        <w:rPr>
          <w:rFonts w:hint="eastAsia"/>
        </w:rPr>
        <w:t>43.</w:t>
      </w:r>
      <w:r w:rsidRPr="00132D8A">
        <w:rPr>
          <w:rFonts w:ascii="SimHei" w:eastAsia="SimHei" w:hint="eastAsia"/>
        </w:rPr>
        <w:tab/>
      </w:r>
      <w:r w:rsidR="00630C6C">
        <w:rPr>
          <w:rFonts w:ascii="SimHei" w:eastAsia="SimHei" w:hint="eastAsia"/>
        </w:rPr>
        <w:t>委员会邀</w:t>
      </w:r>
      <w:r w:rsidRPr="00132D8A">
        <w:rPr>
          <w:rFonts w:ascii="SimHei" w:eastAsia="SimHei" w:hint="eastAsia"/>
        </w:rPr>
        <w:t>请缔约国在下一次定期报告中提供全面资料和统计数据，说明</w:t>
      </w:r>
      <w:r w:rsidR="00630C6C" w:rsidRPr="00630C6C">
        <w:rPr>
          <w:rFonts w:ascii="SimHei" w:eastAsia="SimHei" w:hint="eastAsia"/>
        </w:rPr>
        <w:t>可能遭受各种各样基于性和性别、种族或族裔来源、残疾、年龄或性取向的歧视的</w:t>
      </w:r>
      <w:r w:rsidRPr="00630C6C">
        <w:rPr>
          <w:rFonts w:ascii="SimHei" w:eastAsia="SimHei" w:hint="eastAsia"/>
        </w:rPr>
        <w:t>移民和难民妇女</w:t>
      </w:r>
      <w:r w:rsidR="00630C6C">
        <w:rPr>
          <w:rFonts w:ascii="SimHei" w:eastAsia="SimHei" w:hint="eastAsia"/>
        </w:rPr>
        <w:t>及其</w:t>
      </w:r>
      <w:r w:rsidR="004643EA">
        <w:rPr>
          <w:rFonts w:ascii="SimHei" w:eastAsia="SimHei" w:hint="eastAsia"/>
        </w:rPr>
        <w:t>他</w:t>
      </w:r>
      <w:r w:rsidR="00630C6C">
        <w:rPr>
          <w:rFonts w:ascii="SimHei" w:eastAsia="SimHei" w:hint="eastAsia"/>
        </w:rPr>
        <w:t>弱势妇女群体</w:t>
      </w:r>
      <w:r w:rsidRPr="00630C6C">
        <w:rPr>
          <w:rFonts w:ascii="SimHei" w:eastAsia="SimHei" w:hint="eastAsia"/>
        </w:rPr>
        <w:t>，特别是罗姆</w:t>
      </w:r>
      <w:r w:rsidR="00630C6C">
        <w:rPr>
          <w:rFonts w:ascii="SimHei" w:eastAsia="SimHei" w:hint="eastAsia"/>
        </w:rPr>
        <w:t>族</w:t>
      </w:r>
      <w:r w:rsidRPr="00630C6C">
        <w:rPr>
          <w:rFonts w:ascii="SimHei" w:eastAsia="SimHei" w:hint="eastAsia"/>
        </w:rPr>
        <w:t>妇女</w:t>
      </w:r>
      <w:r w:rsidRPr="00132D8A">
        <w:rPr>
          <w:rFonts w:ascii="SimHei" w:eastAsia="SimHei" w:hint="eastAsia"/>
        </w:rPr>
        <w:t>的状况，以及为消除她们在获取保健、教育、就业和社会福利方面遭受的歧视而采取的措施。</w:t>
      </w:r>
    </w:p>
    <w:p w:rsidR="00D03E11" w:rsidRPr="00132D8A" w:rsidRDefault="00D03E11" w:rsidP="00FD2EB3">
      <w:pPr>
        <w:pStyle w:val="SingleTxt"/>
        <w:spacing w:line="340" w:lineRule="exact"/>
        <w:rPr>
          <w:rFonts w:ascii="SimHei" w:eastAsia="SimHei" w:hint="eastAsia"/>
        </w:rPr>
      </w:pPr>
      <w:r w:rsidRPr="00132D8A">
        <w:rPr>
          <w:rFonts w:ascii="SimHei" w:eastAsia="SimHei" w:hint="eastAsia"/>
        </w:rPr>
        <w:t>数据的收集和分析</w:t>
      </w:r>
    </w:p>
    <w:p w:rsidR="00D03E11" w:rsidRDefault="00D03E11" w:rsidP="00FD2EB3">
      <w:pPr>
        <w:pStyle w:val="SingleTxt"/>
        <w:spacing w:line="340" w:lineRule="exact"/>
        <w:rPr>
          <w:rFonts w:hint="eastAsia"/>
        </w:rPr>
      </w:pPr>
      <w:r>
        <w:rPr>
          <w:rFonts w:hint="eastAsia"/>
        </w:rPr>
        <w:t>44.</w:t>
      </w:r>
      <w:r>
        <w:rPr>
          <w:rFonts w:hint="eastAsia"/>
        </w:rPr>
        <w:tab/>
        <w:t>委员会确认缔约国在联合国人口基金(人口基金)的协助下做出努力，更好地收集有关暴力侵害妇女的数据，但它感到遗憾的是，有关报告没有就妇女在《公约》涵盖的所有领域中的情况提供足够的统计资料。</w:t>
      </w:r>
    </w:p>
    <w:p w:rsidR="00D03E11" w:rsidRPr="00132D8A" w:rsidRDefault="00D03E11" w:rsidP="00FD2EB3">
      <w:pPr>
        <w:pStyle w:val="SingleTxt"/>
        <w:spacing w:line="340" w:lineRule="exact"/>
        <w:rPr>
          <w:rFonts w:ascii="SimHei" w:eastAsia="SimHei" w:hint="eastAsia"/>
        </w:rPr>
      </w:pPr>
      <w:r w:rsidRPr="00EC4195">
        <w:rPr>
          <w:rFonts w:hint="eastAsia"/>
        </w:rPr>
        <w:t>45.</w:t>
      </w:r>
      <w:r w:rsidRPr="00132D8A">
        <w:rPr>
          <w:rFonts w:ascii="SimHei" w:eastAsia="SimHei" w:hint="eastAsia"/>
        </w:rPr>
        <w:tab/>
        <w:t>委员会呼吁缔约国加强数据收集系统，包括使用可以衡量的指标来评估妇女状况的发展趋势以及妇女实现事实平等的进展。委员会请缔约国酌情寻求国际援助，以开展这一数据收集和分析工作。委员会还请缔约国在下一次报告中列入按性别和城乡分列的统计数据和分析结果，表明政策和方案措施产生的影响和取得的成果。</w:t>
      </w:r>
    </w:p>
    <w:p w:rsidR="00D03E11" w:rsidRPr="00132D8A" w:rsidRDefault="00D03E11" w:rsidP="00FD2EB3">
      <w:pPr>
        <w:pStyle w:val="SingleTxt"/>
        <w:spacing w:line="340" w:lineRule="exact"/>
        <w:rPr>
          <w:rFonts w:ascii="SimHei" w:eastAsia="SimHei" w:hint="eastAsia"/>
        </w:rPr>
      </w:pPr>
      <w:r w:rsidRPr="00132D8A">
        <w:rPr>
          <w:rFonts w:ascii="SimHei" w:eastAsia="SimHei" w:hint="eastAsia"/>
        </w:rPr>
        <w:t>下一次报告的编写</w:t>
      </w:r>
      <w:r w:rsidR="00490923">
        <w:rPr>
          <w:rFonts w:ascii="SimHei" w:eastAsia="SimHei" w:hint="eastAsia"/>
        </w:rPr>
        <w:t>和提交报告的准则</w:t>
      </w:r>
    </w:p>
    <w:p w:rsidR="00D03E11" w:rsidRDefault="00D03E11" w:rsidP="00FD2EB3">
      <w:pPr>
        <w:pStyle w:val="SingleTxt"/>
        <w:spacing w:line="340" w:lineRule="exact"/>
        <w:rPr>
          <w:rFonts w:hint="eastAsia"/>
        </w:rPr>
      </w:pPr>
      <w:r>
        <w:rPr>
          <w:rFonts w:hint="eastAsia"/>
        </w:rPr>
        <w:t>46.</w:t>
      </w:r>
      <w:r>
        <w:rPr>
          <w:rFonts w:hint="eastAsia"/>
        </w:rPr>
        <w:tab/>
        <w:t>委员会鼓励缔约国就执行《公约》的有关事项，不断定期与非政府组织协商和协作。委员会还建议缔约国就有关促进两性平等的所有议题，包括就委员会结论意见采取的后续行动和编写今后报告，不断和系统地与广大妇女非政府组织进行协商。</w:t>
      </w:r>
    </w:p>
    <w:p w:rsidR="00D03E11" w:rsidRPr="00132D8A" w:rsidRDefault="00D03E11" w:rsidP="00D03E11">
      <w:pPr>
        <w:pStyle w:val="SingleTxt"/>
        <w:rPr>
          <w:rFonts w:ascii="SimHei" w:eastAsia="SimHei" w:hint="eastAsia"/>
        </w:rPr>
      </w:pPr>
      <w:r>
        <w:br w:type="page"/>
      </w:r>
      <w:r w:rsidRPr="00132D8A">
        <w:rPr>
          <w:rFonts w:ascii="SimHei" w:eastAsia="SimHei" w:hint="eastAsia"/>
        </w:rPr>
        <w:t>《北京宣言和行动纲要》</w:t>
      </w:r>
    </w:p>
    <w:p w:rsidR="00D03E11" w:rsidRDefault="00D03E11" w:rsidP="00D03E11">
      <w:pPr>
        <w:pStyle w:val="SingleTxt"/>
        <w:rPr>
          <w:rFonts w:hint="eastAsia"/>
        </w:rPr>
      </w:pPr>
      <w:r>
        <w:rPr>
          <w:rFonts w:hint="eastAsia"/>
        </w:rPr>
        <w:t>47.</w:t>
      </w:r>
      <w:r>
        <w:rPr>
          <w:rFonts w:hint="eastAsia"/>
        </w:rPr>
        <w:tab/>
        <w:t>委员会敦促缔约国在履行《公约》规定的义务时，充分利用1995年在北京第四次世界妇女大会上通过的加强《公约》各项规定的《北京宣言和行动纲要》，并请缔约国在下一次定期报告中提供有关资料。</w:t>
      </w:r>
    </w:p>
    <w:p w:rsidR="00D03E11" w:rsidRPr="00132D8A" w:rsidRDefault="00D03E11" w:rsidP="00D03E11">
      <w:pPr>
        <w:pStyle w:val="SingleTxt"/>
        <w:rPr>
          <w:rFonts w:ascii="SimHei" w:eastAsia="SimHei" w:hint="eastAsia"/>
        </w:rPr>
      </w:pPr>
      <w:r w:rsidRPr="00132D8A">
        <w:rPr>
          <w:rFonts w:ascii="SimHei" w:eastAsia="SimHei" w:hint="eastAsia"/>
        </w:rPr>
        <w:t>千年发展目标</w:t>
      </w:r>
    </w:p>
    <w:p w:rsidR="00D03E11" w:rsidRDefault="00D03E11" w:rsidP="00D03E11">
      <w:pPr>
        <w:pStyle w:val="SingleTxt"/>
        <w:rPr>
          <w:rFonts w:hint="eastAsia"/>
        </w:rPr>
      </w:pPr>
      <w:r>
        <w:rPr>
          <w:rFonts w:hint="eastAsia"/>
        </w:rPr>
        <w:t>48.</w:t>
      </w:r>
      <w:r>
        <w:rPr>
          <w:rFonts w:hint="eastAsia"/>
        </w:rPr>
        <w:tab/>
        <w:t>委员会强调，充分和有效执行《公约》对实现千年发展目标不可或缺。委员会要求在实现千年发展目标的一切工作中考虑两性平等问题，明确体现《公约》各项规定，并请缔约国在下次定期报告中提供有关资料。</w:t>
      </w:r>
    </w:p>
    <w:p w:rsidR="00D03E11" w:rsidRPr="00132D8A" w:rsidRDefault="00D03E11" w:rsidP="00D03E11">
      <w:pPr>
        <w:pStyle w:val="SingleTxt"/>
        <w:rPr>
          <w:rFonts w:ascii="SimHei" w:eastAsia="SimHei" w:hint="eastAsia"/>
        </w:rPr>
      </w:pPr>
      <w:r w:rsidRPr="00132D8A">
        <w:rPr>
          <w:rFonts w:ascii="SimHei" w:eastAsia="SimHei" w:hint="eastAsia"/>
        </w:rPr>
        <w:t>其他条约的批准</w:t>
      </w:r>
    </w:p>
    <w:p w:rsidR="00D03E11" w:rsidRDefault="00D03E11" w:rsidP="00D03E11">
      <w:pPr>
        <w:pStyle w:val="SingleTxt"/>
        <w:rPr>
          <w:rFonts w:hint="eastAsia"/>
        </w:rPr>
      </w:pPr>
      <w:r>
        <w:rPr>
          <w:rFonts w:hint="eastAsia"/>
        </w:rPr>
        <w:t>49.</w:t>
      </w:r>
      <w:r>
        <w:rPr>
          <w:rFonts w:hint="eastAsia"/>
        </w:rPr>
        <w:tab/>
        <w:t>委员会指出，各国参加九项主要国际人权文书</w:t>
      </w:r>
      <w:r w:rsidRPr="00413D80">
        <w:rPr>
          <w:rStyle w:val="FootnoteReference"/>
        </w:rPr>
        <w:footnoteReference w:id="1"/>
      </w:r>
      <w:r>
        <w:rPr>
          <w:rFonts w:hint="eastAsia"/>
        </w:rPr>
        <w:t xml:space="preserve"> 有助于促进妇女在生活的各个方面享有人权和基本自由。因此，委员会鼓励缔约国批准</w:t>
      </w:r>
      <w:r w:rsidR="00630C6C">
        <w:rPr>
          <w:rFonts w:hint="eastAsia"/>
        </w:rPr>
        <w:t>其</w:t>
      </w:r>
      <w:r>
        <w:rPr>
          <w:rFonts w:hint="eastAsia"/>
        </w:rPr>
        <w:t>尚未成为缔约国的条约，即《保护所有移徙工人及其家庭成员权利国际公约》、《保护所有人免遭强迫失踪国际公约》和《残疾人权利公约》。</w:t>
      </w:r>
    </w:p>
    <w:p w:rsidR="00D03E11" w:rsidRPr="00132D8A" w:rsidRDefault="00D03E11" w:rsidP="00D03E11">
      <w:pPr>
        <w:pStyle w:val="SingleTxt"/>
        <w:rPr>
          <w:rFonts w:ascii="SimHei" w:eastAsia="SimHei" w:hint="eastAsia"/>
        </w:rPr>
      </w:pPr>
      <w:r w:rsidRPr="00132D8A">
        <w:rPr>
          <w:rFonts w:ascii="SimHei" w:eastAsia="SimHei" w:hint="eastAsia"/>
        </w:rPr>
        <w:t>结论意见的分发</w:t>
      </w:r>
    </w:p>
    <w:p w:rsidR="00D03E11" w:rsidRPr="00132D8A" w:rsidRDefault="00D03E11" w:rsidP="00D03E11">
      <w:pPr>
        <w:pStyle w:val="SingleTxt"/>
        <w:rPr>
          <w:rFonts w:hint="eastAsia"/>
        </w:rPr>
      </w:pPr>
      <w:r>
        <w:rPr>
          <w:rFonts w:hint="eastAsia"/>
        </w:rPr>
        <w:t>50.</w:t>
      </w:r>
      <w:r>
        <w:rPr>
          <w:rFonts w:hint="eastAsia"/>
        </w:rPr>
        <w:tab/>
        <w:t>委员会请缔约国在国内广泛分发结论意见，让人民，包括政府官员、政界人士、议员以及妇女组织和人权组织，了解为确保妇女在法律上和事实上的平等而采取的步骤以及这方面需要进一步采取的步骤。委员会请缔约国继续广泛分发，特别是向妇女组织和人权组织分发《公约》及其任择议定书、委员会各项一般性建议、《北京宣言和行动纲要》以及题为“2000年妇女：二十一世纪两性平等、发展与和平”的大会第二十三届特别会议成果。</w:t>
      </w:r>
    </w:p>
    <w:p w:rsidR="00D03E11" w:rsidRPr="00132D8A" w:rsidRDefault="00D03E11" w:rsidP="00D03E11">
      <w:pPr>
        <w:pStyle w:val="SingleTxt"/>
        <w:rPr>
          <w:rFonts w:ascii="SimHei" w:eastAsia="SimHei" w:hint="eastAsia"/>
        </w:rPr>
      </w:pPr>
      <w:r w:rsidRPr="00132D8A">
        <w:rPr>
          <w:rFonts w:ascii="SimHei" w:eastAsia="SimHei" w:hint="eastAsia"/>
        </w:rPr>
        <w:t>结论意见的后续行动</w:t>
      </w:r>
    </w:p>
    <w:p w:rsidR="00D03E11" w:rsidRDefault="00D03E11" w:rsidP="00D03E11">
      <w:pPr>
        <w:pStyle w:val="SingleTxt"/>
        <w:rPr>
          <w:rFonts w:hint="eastAsia"/>
        </w:rPr>
      </w:pPr>
      <w:r>
        <w:rPr>
          <w:rFonts w:hint="eastAsia"/>
        </w:rPr>
        <w:t>51.</w:t>
      </w:r>
      <w:r>
        <w:rPr>
          <w:rFonts w:hint="eastAsia"/>
        </w:rPr>
        <w:tab/>
        <w:t>委员会请缔约国在两年内提供书面资料，说明上文第31段和33段中的各项建议的执行情况。</w:t>
      </w:r>
    </w:p>
    <w:p w:rsidR="00D03E11" w:rsidRPr="00132D8A" w:rsidRDefault="00D03E11" w:rsidP="00D03E11">
      <w:pPr>
        <w:pStyle w:val="SingleTxt"/>
        <w:rPr>
          <w:rFonts w:ascii="SimHei" w:eastAsia="SimHei" w:hint="eastAsia"/>
        </w:rPr>
      </w:pPr>
      <w:r w:rsidRPr="00132D8A">
        <w:rPr>
          <w:rFonts w:ascii="SimHei" w:eastAsia="SimHei" w:hint="eastAsia"/>
        </w:rPr>
        <w:t>下一次报告的日期</w:t>
      </w:r>
    </w:p>
    <w:p w:rsidR="00FF4C7C" w:rsidRDefault="00D03E11" w:rsidP="00D03E11">
      <w:pPr>
        <w:pStyle w:val="SingleTxt"/>
        <w:rPr>
          <w:rFonts w:hint="eastAsia"/>
        </w:rPr>
      </w:pPr>
      <w:r>
        <w:rPr>
          <w:rFonts w:hint="eastAsia"/>
        </w:rPr>
        <w:t>52.</w:t>
      </w:r>
      <w:r>
        <w:rPr>
          <w:rFonts w:hint="eastAsia"/>
        </w:rPr>
        <w:tab/>
        <w:t>委员会请缔约国在根据《公约》第18条提交的下一次定期报告中答复本结论意见提出的各项关切。委员会请缔约国于2014年</w:t>
      </w:r>
      <w:r w:rsidR="00630C6C">
        <w:rPr>
          <w:rFonts w:hint="eastAsia"/>
        </w:rPr>
        <w:t>2</w:t>
      </w:r>
      <w:r>
        <w:rPr>
          <w:rFonts w:hint="eastAsia"/>
        </w:rPr>
        <w:t>月提交</w:t>
      </w:r>
      <w:r w:rsidR="00630C6C">
        <w:rPr>
          <w:rFonts w:hint="eastAsia"/>
        </w:rPr>
        <w:t>下一次</w:t>
      </w:r>
      <w:r>
        <w:rPr>
          <w:rFonts w:hint="eastAsia"/>
        </w:rPr>
        <w:t>定期报告。</w:t>
      </w:r>
    </w:p>
    <w:p w:rsidR="00D03E11" w:rsidRPr="00DC229D" w:rsidRDefault="00630C6C" w:rsidP="00D03E11">
      <w:pPr>
        <w:pStyle w:val="SingleTxt"/>
        <w:rPr>
          <w:rFonts w:hint="eastAsia"/>
        </w:rPr>
      </w:pPr>
      <w:r>
        <w:rPr>
          <w:rFonts w:hint="eastAsia"/>
        </w:rPr>
        <w:t>53.</w:t>
      </w:r>
      <w:r>
        <w:rPr>
          <w:rFonts w:hint="eastAsia"/>
        </w:rPr>
        <w:tab/>
      </w:r>
      <w:r w:rsidR="00DC229D">
        <w:rPr>
          <w:rFonts w:hint="eastAsia"/>
        </w:rPr>
        <w:t>委员会邀请缔约国遵循2006年</w:t>
      </w:r>
      <w:r w:rsidR="004643EA">
        <w:rPr>
          <w:rFonts w:hint="eastAsia"/>
        </w:rPr>
        <w:t>6</w:t>
      </w:r>
      <w:r w:rsidR="00DC229D">
        <w:rPr>
          <w:rFonts w:hint="eastAsia"/>
        </w:rPr>
        <w:t>月人权条约机构第五次委员会间会议核准的《根据国际人权条约提交报告的协调准则，包括关于共同核心文件和具体条约文件的准则》(HRI/MC/2006/3和</w:t>
      </w:r>
      <w:r w:rsidR="00DC229D">
        <w:t>Corr.1)。</w:t>
      </w:r>
      <w:r w:rsidR="00DC229D">
        <w:rPr>
          <w:rFonts w:hint="eastAsia"/>
        </w:rPr>
        <w:t>委员会在2008年</w:t>
      </w:r>
      <w:r w:rsidR="004643EA">
        <w:rPr>
          <w:rFonts w:hint="eastAsia"/>
        </w:rPr>
        <w:t>1</w:t>
      </w:r>
      <w:r w:rsidR="00DC229D">
        <w:rPr>
          <w:rFonts w:hint="eastAsia"/>
        </w:rPr>
        <w:t>月第四十届会议上通过的关于提交具体条约文件的准则，必须与关于提交共同核心文件的协调准则一同适用。这两项导则结合起来，构成根据《消除对妇女一切形式歧视公约》提交报告的协调准则。具体条约文件的页数应限制在40页，而经过更新的共同核心文件不应超过60-80页。</w:t>
      </w:r>
    </w:p>
    <w:p w:rsidR="00FF4C7C" w:rsidRPr="00413D80" w:rsidRDefault="00413D80" w:rsidP="00413D80">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FF4C7C" w:rsidRPr="00413D80" w:rsidSect="004F1715">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2-24T16:32:00Z" w:initials="Start">
    <w:p w:rsidR="008C23A5" w:rsidRDefault="008C23A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NO&gt;&gt;N1024287C&lt;&lt;ODS JOB NO&gt;&gt;</w:t>
      </w:r>
    </w:p>
    <w:p w:rsidR="008C23A5" w:rsidRDefault="008C23A5">
      <w:pPr>
        <w:pStyle w:val="CommentText"/>
      </w:pPr>
      <w:r>
        <w:t>&lt;&lt;ODS DOC SYMBOL1&gt;&gt;CEDAW/C/UKR/CO/7&lt;&lt;ODS DOC SYMBOL1&gt;&gt;</w:t>
      </w:r>
    </w:p>
    <w:p w:rsidR="008C23A5" w:rsidRDefault="008C23A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56E" w:rsidRDefault="0027656E">
      <w:r>
        <w:separator/>
      </w:r>
    </w:p>
  </w:endnote>
  <w:endnote w:type="continuationSeparator" w:id="0">
    <w:p w:rsidR="0027656E" w:rsidRDefault="002765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C23A5" w:rsidTr="004F1715">
      <w:tblPrEx>
        <w:tblCellMar>
          <w:top w:w="0" w:type="dxa"/>
          <w:bottom w:w="0" w:type="dxa"/>
        </w:tblCellMar>
      </w:tblPrEx>
      <w:tc>
        <w:tcPr>
          <w:tcW w:w="5033" w:type="dxa"/>
          <w:shd w:val="clear" w:color="auto" w:fill="auto"/>
        </w:tcPr>
        <w:p w:rsidR="008C23A5" w:rsidRPr="004F1715" w:rsidRDefault="008C23A5" w:rsidP="004F1715">
          <w:pPr>
            <w:pStyle w:val="Footer"/>
            <w:jc w:val="right"/>
            <w:rPr>
              <w:b w:val="0"/>
              <w:w w:val="103"/>
              <w:sz w:val="14"/>
            </w:rPr>
          </w:pPr>
          <w:fldSimple w:instr=" DOCVARIABLE &quot;FooterJN&quot; \* MERGEFORMAT ">
            <w:r>
              <w:rPr>
                <w:b w:val="0"/>
                <w:w w:val="103"/>
                <w:sz w:val="14"/>
              </w:rPr>
              <w:t>10-24287 (C)</w:t>
            </w:r>
          </w:fldSimple>
        </w:p>
      </w:tc>
      <w:tc>
        <w:tcPr>
          <w:tcW w:w="5033" w:type="dxa"/>
          <w:shd w:val="clear" w:color="auto" w:fill="auto"/>
        </w:tcPr>
        <w:p w:rsidR="008C23A5" w:rsidRPr="004F1715" w:rsidRDefault="008C23A5" w:rsidP="004F1715">
          <w:pPr>
            <w:pStyle w:val="Footer"/>
            <w:jc w:val="left"/>
            <w:rPr>
              <w:w w:val="103"/>
            </w:rPr>
          </w:pPr>
          <w:r>
            <w:rPr>
              <w:w w:val="103"/>
            </w:rPr>
            <w:fldChar w:fldCharType="begin"/>
          </w:r>
          <w:r>
            <w:rPr>
              <w:w w:val="103"/>
            </w:rPr>
            <w:instrText xml:space="preserve"> PAGE  \* MERGEFORMAT </w:instrText>
          </w:r>
          <w:r>
            <w:rPr>
              <w:w w:val="103"/>
            </w:rPr>
            <w:fldChar w:fldCharType="separate"/>
          </w:r>
          <w:r w:rsidR="009C5AFC">
            <w:rPr>
              <w:w w:val="103"/>
            </w:rPr>
            <w:t>8</w:t>
          </w:r>
          <w:r>
            <w:rPr>
              <w:w w:val="103"/>
            </w:rPr>
            <w:fldChar w:fldCharType="end"/>
          </w:r>
        </w:p>
      </w:tc>
    </w:tr>
  </w:tbl>
  <w:p w:rsidR="008C23A5" w:rsidRPr="004F1715" w:rsidRDefault="008C23A5" w:rsidP="004F171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C23A5" w:rsidTr="004F1715">
      <w:tblPrEx>
        <w:tblCellMar>
          <w:top w:w="0" w:type="dxa"/>
          <w:bottom w:w="0" w:type="dxa"/>
        </w:tblCellMar>
      </w:tblPrEx>
      <w:tc>
        <w:tcPr>
          <w:tcW w:w="5033" w:type="dxa"/>
          <w:shd w:val="clear" w:color="auto" w:fill="auto"/>
        </w:tcPr>
        <w:p w:rsidR="008C23A5" w:rsidRPr="004F1715" w:rsidRDefault="008C23A5" w:rsidP="004F1715">
          <w:pPr>
            <w:pStyle w:val="Footer"/>
            <w:jc w:val="right"/>
          </w:pPr>
          <w:fldSimple w:instr=" PAGE  \* MERGEFORMAT ">
            <w:r w:rsidR="009C5AFC">
              <w:t>9</w:t>
            </w:r>
          </w:fldSimple>
        </w:p>
      </w:tc>
      <w:tc>
        <w:tcPr>
          <w:tcW w:w="5033" w:type="dxa"/>
          <w:shd w:val="clear" w:color="auto" w:fill="auto"/>
        </w:tcPr>
        <w:p w:rsidR="008C23A5" w:rsidRPr="004F1715" w:rsidRDefault="008C23A5" w:rsidP="004F1715">
          <w:pPr>
            <w:pStyle w:val="Footer"/>
            <w:jc w:val="left"/>
            <w:rPr>
              <w:b w:val="0"/>
              <w:w w:val="103"/>
              <w:sz w:val="14"/>
            </w:rPr>
          </w:pPr>
          <w:fldSimple w:instr=" DOCVARIABLE &quot;FooterJN&quot; \* MERGEFORMAT ">
            <w:r>
              <w:rPr>
                <w:b w:val="0"/>
                <w:w w:val="103"/>
                <w:sz w:val="14"/>
              </w:rPr>
              <w:t>10-24287 (C)</w:t>
            </w:r>
          </w:fldSimple>
        </w:p>
      </w:tc>
    </w:tr>
  </w:tbl>
  <w:p w:rsidR="008C23A5" w:rsidRPr="004F1715" w:rsidRDefault="008C23A5" w:rsidP="004F171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8C23A5">
      <w:tblPrEx>
        <w:tblCellMar>
          <w:top w:w="0" w:type="dxa"/>
          <w:bottom w:w="0" w:type="dxa"/>
        </w:tblCellMar>
      </w:tblPrEx>
      <w:tc>
        <w:tcPr>
          <w:tcW w:w="5033" w:type="dxa"/>
        </w:tcPr>
        <w:p w:rsidR="008C23A5" w:rsidRDefault="008C23A5" w:rsidP="004F1715">
          <w:pPr>
            <w:pStyle w:val="Footer"/>
            <w:rPr>
              <w:b w:val="0"/>
              <w:sz w:val="21"/>
            </w:rPr>
          </w:pPr>
          <w:fldSimple w:instr=" DOCVARIABLE &quot;jobn&quot; \* MERGEFORMAT ">
            <w:r>
              <w:rPr>
                <w:b w:val="0"/>
                <w:sz w:val="21"/>
              </w:rPr>
              <w:t>10-24287 (C)</w:t>
            </w:r>
          </w:fldSimple>
          <w:r>
            <w:rPr>
              <w:b w:val="0"/>
              <w:sz w:val="21"/>
            </w:rPr>
            <w:t xml:space="preserve">    240210    </w:t>
          </w:r>
          <w:r>
            <w:rPr>
              <w:rFonts w:hint="eastAsia"/>
              <w:b w:val="0"/>
              <w:sz w:val="21"/>
            </w:rPr>
            <w:t>0</w:t>
          </w:r>
          <w:r>
            <w:rPr>
              <w:b w:val="0"/>
              <w:sz w:val="21"/>
            </w:rPr>
            <w:t>40</w:t>
          </w:r>
          <w:r>
            <w:rPr>
              <w:rFonts w:hint="eastAsia"/>
              <w:b w:val="0"/>
              <w:sz w:val="21"/>
            </w:rPr>
            <w:t>3</w:t>
          </w:r>
          <w:r>
            <w:rPr>
              <w:b w:val="0"/>
              <w:sz w:val="21"/>
            </w:rPr>
            <w:t>10</w:t>
          </w:r>
        </w:p>
        <w:p w:rsidR="008C23A5" w:rsidRPr="004F1715" w:rsidRDefault="008C23A5" w:rsidP="004F1715">
          <w:pPr>
            <w:spacing w:before="80" w:line="210" w:lineRule="exact"/>
            <w:rPr>
              <w:rFonts w:ascii="Barcode 3 of 9 by request" w:hAnsi="Barcode 3 of 9 by request"/>
              <w:sz w:val="24"/>
            </w:rPr>
          </w:pPr>
          <w:fldSimple w:instr=" DOCVARIABLE &quot;Barcode&quot; \* MERGEFORMAT ">
            <w:r>
              <w:rPr>
                <w:rFonts w:ascii="Barcode 3 of 9 by request" w:hAnsi="Barcode 3 of 9 by request"/>
                <w:sz w:val="24"/>
              </w:rPr>
              <w:t>*1024287*</w:t>
            </w:r>
          </w:fldSimple>
        </w:p>
      </w:tc>
      <w:tc>
        <w:tcPr>
          <w:tcW w:w="5033" w:type="dxa"/>
        </w:tcPr>
        <w:p w:rsidR="008C23A5" w:rsidRDefault="008C23A5" w:rsidP="004F1715">
          <w:pPr>
            <w:pStyle w:val="Footer"/>
            <w:jc w:val="right"/>
            <w:rPr>
              <w:b w:val="0"/>
              <w:sz w:val="21"/>
            </w:rPr>
          </w:pPr>
          <w:r w:rsidRPr="004F1715">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8C23A5" w:rsidRPr="004F1715" w:rsidRDefault="008C23A5" w:rsidP="004F1715">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56E" w:rsidRPr="00413D80" w:rsidRDefault="0027656E" w:rsidP="00413D80">
      <w:pPr>
        <w:pStyle w:val="Footer"/>
        <w:spacing w:after="80"/>
        <w:ind w:left="792"/>
        <w:rPr>
          <w:sz w:val="16"/>
        </w:rPr>
      </w:pPr>
      <w:r w:rsidRPr="00413D80">
        <w:rPr>
          <w:sz w:val="16"/>
        </w:rPr>
        <w:t>__________________</w:t>
      </w:r>
    </w:p>
  </w:footnote>
  <w:footnote w:type="continuationSeparator" w:id="0">
    <w:p w:rsidR="0027656E" w:rsidRPr="00413D80" w:rsidRDefault="0027656E" w:rsidP="00413D80">
      <w:pPr>
        <w:pStyle w:val="Footer"/>
        <w:spacing w:after="80"/>
        <w:ind w:left="792"/>
        <w:rPr>
          <w:sz w:val="16"/>
        </w:rPr>
      </w:pPr>
      <w:r w:rsidRPr="00413D80">
        <w:rPr>
          <w:sz w:val="16"/>
        </w:rPr>
        <w:t>__________________</w:t>
      </w:r>
    </w:p>
  </w:footnote>
  <w:footnote w:id="1">
    <w:p w:rsidR="008C23A5" w:rsidRDefault="008C23A5" w:rsidP="00413D80">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保护所有人免遭强迫失踪国际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C23A5" w:rsidTr="004F1715">
      <w:tblPrEx>
        <w:tblCellMar>
          <w:top w:w="0" w:type="dxa"/>
          <w:bottom w:w="0" w:type="dxa"/>
        </w:tblCellMar>
      </w:tblPrEx>
      <w:trPr>
        <w:trHeight w:hRule="exact" w:val="864"/>
      </w:trPr>
      <w:tc>
        <w:tcPr>
          <w:tcW w:w="4838" w:type="dxa"/>
          <w:shd w:val="clear" w:color="auto" w:fill="auto"/>
          <w:vAlign w:val="bottom"/>
        </w:tcPr>
        <w:p w:rsidR="008C23A5" w:rsidRPr="004F1715" w:rsidRDefault="008C23A5" w:rsidP="004F1715">
          <w:pPr>
            <w:pStyle w:val="Header"/>
            <w:spacing w:after="80"/>
            <w:jc w:val="left"/>
            <w:rPr>
              <w:b/>
              <w:sz w:val="17"/>
            </w:rPr>
          </w:pPr>
          <w:fldSimple w:instr=" DOCVARIABLE &quot;sss1&quot; \* MERGEFORMAT ">
            <w:r>
              <w:rPr>
                <w:b/>
                <w:sz w:val="17"/>
              </w:rPr>
              <w:t xml:space="preserve">CEDAW/C/UKR/CO/7 </w:t>
            </w:r>
          </w:fldSimple>
        </w:p>
      </w:tc>
      <w:tc>
        <w:tcPr>
          <w:tcW w:w="5033" w:type="dxa"/>
          <w:shd w:val="clear" w:color="auto" w:fill="auto"/>
          <w:vAlign w:val="bottom"/>
        </w:tcPr>
        <w:p w:rsidR="008C23A5" w:rsidRDefault="008C23A5" w:rsidP="004F1715">
          <w:pPr>
            <w:pStyle w:val="Header"/>
          </w:pPr>
        </w:p>
      </w:tc>
    </w:tr>
  </w:tbl>
  <w:p w:rsidR="008C23A5" w:rsidRPr="004F1715" w:rsidRDefault="008C23A5" w:rsidP="004F171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C23A5" w:rsidTr="004F1715">
      <w:tblPrEx>
        <w:tblCellMar>
          <w:top w:w="0" w:type="dxa"/>
          <w:bottom w:w="0" w:type="dxa"/>
        </w:tblCellMar>
      </w:tblPrEx>
      <w:trPr>
        <w:trHeight w:hRule="exact" w:val="864"/>
      </w:trPr>
      <w:tc>
        <w:tcPr>
          <w:tcW w:w="4838" w:type="dxa"/>
          <w:shd w:val="clear" w:color="auto" w:fill="auto"/>
          <w:vAlign w:val="bottom"/>
        </w:tcPr>
        <w:p w:rsidR="008C23A5" w:rsidRDefault="008C23A5" w:rsidP="004F1715">
          <w:pPr>
            <w:pStyle w:val="Header"/>
          </w:pPr>
        </w:p>
      </w:tc>
      <w:tc>
        <w:tcPr>
          <w:tcW w:w="5033" w:type="dxa"/>
          <w:shd w:val="clear" w:color="auto" w:fill="auto"/>
          <w:vAlign w:val="bottom"/>
        </w:tcPr>
        <w:p w:rsidR="008C23A5" w:rsidRPr="004F1715" w:rsidRDefault="008C23A5" w:rsidP="004F1715">
          <w:pPr>
            <w:pStyle w:val="Header"/>
            <w:spacing w:after="80"/>
            <w:jc w:val="right"/>
            <w:rPr>
              <w:b/>
              <w:sz w:val="17"/>
            </w:rPr>
          </w:pPr>
          <w:fldSimple w:instr=" DOCVARIABLE &quot;sss1&quot; \* MERGEFORMAT ">
            <w:r>
              <w:rPr>
                <w:b/>
                <w:sz w:val="17"/>
              </w:rPr>
              <w:t xml:space="preserve">CEDAW/C/UKR/CO/7 </w:t>
            </w:r>
          </w:fldSimple>
        </w:p>
      </w:tc>
    </w:tr>
  </w:tbl>
  <w:p w:rsidR="008C23A5" w:rsidRPr="004F1715" w:rsidRDefault="008C23A5" w:rsidP="004F171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8C23A5" w:rsidTr="004F171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C23A5" w:rsidRDefault="008C23A5" w:rsidP="004F1715">
          <w:pPr>
            <w:pStyle w:val="Header"/>
            <w:spacing w:after="120"/>
          </w:pPr>
        </w:p>
      </w:tc>
      <w:tc>
        <w:tcPr>
          <w:tcW w:w="1872" w:type="dxa"/>
          <w:tcBorders>
            <w:bottom w:val="single" w:sz="4" w:space="0" w:color="auto"/>
          </w:tcBorders>
          <w:shd w:val="clear" w:color="auto" w:fill="auto"/>
          <w:vAlign w:val="bottom"/>
        </w:tcPr>
        <w:p w:rsidR="008C23A5" w:rsidRPr="004F1715" w:rsidRDefault="008C23A5" w:rsidP="004F171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C23A5" w:rsidRDefault="008C23A5" w:rsidP="004F1715">
          <w:pPr>
            <w:pStyle w:val="Header"/>
            <w:spacing w:after="120"/>
          </w:pPr>
        </w:p>
      </w:tc>
      <w:tc>
        <w:tcPr>
          <w:tcW w:w="6523" w:type="dxa"/>
          <w:gridSpan w:val="3"/>
          <w:tcBorders>
            <w:bottom w:val="single" w:sz="4" w:space="0" w:color="auto"/>
          </w:tcBorders>
          <w:shd w:val="clear" w:color="auto" w:fill="auto"/>
          <w:vAlign w:val="bottom"/>
        </w:tcPr>
        <w:p w:rsidR="008C23A5" w:rsidRPr="004F1715" w:rsidRDefault="008C23A5" w:rsidP="004F1715">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/C/UKR/CO/7 </w:t>
          </w:r>
        </w:p>
      </w:tc>
    </w:tr>
    <w:tr w:rsidR="008C23A5" w:rsidRPr="004F1715" w:rsidTr="004F171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C23A5" w:rsidRDefault="008C23A5" w:rsidP="004F171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C23A5" w:rsidRPr="004F1715" w:rsidRDefault="008C23A5" w:rsidP="004F1715">
          <w:pPr>
            <w:pStyle w:val="Header"/>
            <w:spacing w:before="109"/>
            <w:ind w:left="-72"/>
          </w:pPr>
        </w:p>
      </w:tc>
      <w:tc>
        <w:tcPr>
          <w:tcW w:w="5227" w:type="dxa"/>
          <w:gridSpan w:val="3"/>
          <w:tcBorders>
            <w:top w:val="single" w:sz="4" w:space="0" w:color="auto"/>
            <w:bottom w:val="single" w:sz="12" w:space="0" w:color="auto"/>
          </w:tcBorders>
          <w:shd w:val="clear" w:color="auto" w:fill="auto"/>
        </w:tcPr>
        <w:p w:rsidR="008C23A5" w:rsidRPr="004F1715" w:rsidRDefault="008C23A5" w:rsidP="004F171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C23A5" w:rsidRPr="004F1715" w:rsidRDefault="008C23A5" w:rsidP="004F1715">
          <w:pPr>
            <w:pStyle w:val="Header"/>
            <w:spacing w:before="109"/>
          </w:pPr>
        </w:p>
      </w:tc>
      <w:tc>
        <w:tcPr>
          <w:tcW w:w="3180" w:type="dxa"/>
          <w:gridSpan w:val="2"/>
          <w:tcBorders>
            <w:top w:val="single" w:sz="4" w:space="0" w:color="auto"/>
            <w:bottom w:val="single" w:sz="12" w:space="0" w:color="auto"/>
          </w:tcBorders>
          <w:shd w:val="clear" w:color="auto" w:fill="auto"/>
        </w:tcPr>
        <w:p w:rsidR="008C23A5" w:rsidRDefault="008C23A5" w:rsidP="004F1715">
          <w:pPr>
            <w:spacing w:before="240" w:line="240" w:lineRule="exact"/>
            <w:rPr>
              <w:rFonts w:ascii="Times New Roman"/>
            </w:rPr>
          </w:pPr>
          <w:r>
            <w:rPr>
              <w:rFonts w:ascii="Times New Roman"/>
            </w:rPr>
            <w:t>Distr.: General</w:t>
          </w:r>
        </w:p>
        <w:p w:rsidR="008C23A5" w:rsidRDefault="008C23A5" w:rsidP="004F1715">
          <w:pPr>
            <w:spacing w:line="240" w:lineRule="exact"/>
            <w:rPr>
              <w:rFonts w:ascii="Times New Roman"/>
            </w:rPr>
          </w:pPr>
          <w:r>
            <w:rPr>
              <w:rFonts w:ascii="Times New Roman"/>
            </w:rPr>
            <w:t>5 February 2010</w:t>
          </w:r>
        </w:p>
        <w:p w:rsidR="008C23A5" w:rsidRDefault="008C23A5" w:rsidP="004F1715">
          <w:pPr>
            <w:spacing w:line="240" w:lineRule="exact"/>
            <w:rPr>
              <w:rFonts w:ascii="Times New Roman"/>
            </w:rPr>
          </w:pPr>
          <w:r>
            <w:rPr>
              <w:rFonts w:ascii="Times New Roman"/>
            </w:rPr>
            <w:t>Chinese</w:t>
          </w:r>
        </w:p>
        <w:p w:rsidR="008C23A5" w:rsidRPr="004F1715" w:rsidRDefault="008C23A5" w:rsidP="004F1715">
          <w:pPr>
            <w:spacing w:line="240" w:lineRule="exact"/>
            <w:rPr>
              <w:rFonts w:ascii="Times New Roman"/>
            </w:rPr>
          </w:pPr>
          <w:r>
            <w:rPr>
              <w:rFonts w:ascii="Times New Roman"/>
            </w:rPr>
            <w:t>Original: English</w:t>
          </w:r>
        </w:p>
      </w:tc>
    </w:tr>
  </w:tbl>
  <w:p w:rsidR="008C23A5" w:rsidRPr="004F1715" w:rsidRDefault="008C23A5" w:rsidP="004F1715">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4287*"/>
    <w:docVar w:name="CreationDt" w:val="24/02/2010 15:15:18"/>
    <w:docVar w:name="DocCategory" w:val="Doc"/>
    <w:docVar w:name="DocType" w:val="Final"/>
    <w:docVar w:name="FooterJN" w:val="10-24287 (C)"/>
    <w:docVar w:name="jobn" w:val="10-24287 (C)"/>
    <w:docVar w:name="jobnDT" w:val="10-24287 (C)   240210"/>
    <w:docVar w:name="jobnDTDT" w:val="10-24287 (C)   240210   240210"/>
    <w:docVar w:name="JobNo" w:val="1024287C"/>
    <w:docVar w:name="OandT" w:val="zxs"/>
    <w:docVar w:name="sss1" w:val="CEDAW/C/UKR/CO/7 "/>
    <w:docVar w:name="sss2" w:val="-"/>
    <w:docVar w:name="Symbol1" w:val="CEDAW/C/UKR/CO/7 "/>
    <w:docVar w:name="Symbol2" w:val="-"/>
  </w:docVars>
  <w:rsids>
    <w:rsidRoot w:val="0092018B"/>
    <w:rsid w:val="0000347C"/>
    <w:rsid w:val="000125BC"/>
    <w:rsid w:val="00021A2B"/>
    <w:rsid w:val="00037B39"/>
    <w:rsid w:val="00044CA4"/>
    <w:rsid w:val="00045EFE"/>
    <w:rsid w:val="0007257F"/>
    <w:rsid w:val="0007337D"/>
    <w:rsid w:val="000758DF"/>
    <w:rsid w:val="00076EB8"/>
    <w:rsid w:val="00095C67"/>
    <w:rsid w:val="000A31F9"/>
    <w:rsid w:val="000C1786"/>
    <w:rsid w:val="000C4DDE"/>
    <w:rsid w:val="000E240F"/>
    <w:rsid w:val="000E39A8"/>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7656E"/>
    <w:rsid w:val="00280671"/>
    <w:rsid w:val="002814F9"/>
    <w:rsid w:val="00282D17"/>
    <w:rsid w:val="002A4AEF"/>
    <w:rsid w:val="002A511D"/>
    <w:rsid w:val="002B305F"/>
    <w:rsid w:val="002B564F"/>
    <w:rsid w:val="002B5F5D"/>
    <w:rsid w:val="002C2254"/>
    <w:rsid w:val="002C3BC9"/>
    <w:rsid w:val="002C54DB"/>
    <w:rsid w:val="002D039F"/>
    <w:rsid w:val="002D0694"/>
    <w:rsid w:val="002D0B62"/>
    <w:rsid w:val="002D25A4"/>
    <w:rsid w:val="002D4ACE"/>
    <w:rsid w:val="002D5503"/>
    <w:rsid w:val="002E66D5"/>
    <w:rsid w:val="002F41E2"/>
    <w:rsid w:val="002F646F"/>
    <w:rsid w:val="00301BEA"/>
    <w:rsid w:val="00320C99"/>
    <w:rsid w:val="003274A9"/>
    <w:rsid w:val="00331221"/>
    <w:rsid w:val="0035662A"/>
    <w:rsid w:val="003649EE"/>
    <w:rsid w:val="00371BC6"/>
    <w:rsid w:val="00373A15"/>
    <w:rsid w:val="00383ACA"/>
    <w:rsid w:val="00394A02"/>
    <w:rsid w:val="003C7B20"/>
    <w:rsid w:val="003D075F"/>
    <w:rsid w:val="003E4565"/>
    <w:rsid w:val="003E4FA8"/>
    <w:rsid w:val="003E748F"/>
    <w:rsid w:val="003E7612"/>
    <w:rsid w:val="00413D80"/>
    <w:rsid w:val="00414423"/>
    <w:rsid w:val="004411AD"/>
    <w:rsid w:val="004424EF"/>
    <w:rsid w:val="00453BB0"/>
    <w:rsid w:val="00460162"/>
    <w:rsid w:val="004620A8"/>
    <w:rsid w:val="004643EA"/>
    <w:rsid w:val="00466BB5"/>
    <w:rsid w:val="004700CF"/>
    <w:rsid w:val="00487444"/>
    <w:rsid w:val="00490923"/>
    <w:rsid w:val="004A06D1"/>
    <w:rsid w:val="004A11FC"/>
    <w:rsid w:val="004C0224"/>
    <w:rsid w:val="004C053E"/>
    <w:rsid w:val="004C3255"/>
    <w:rsid w:val="004D07E1"/>
    <w:rsid w:val="004D1C19"/>
    <w:rsid w:val="004F1715"/>
    <w:rsid w:val="004F29B8"/>
    <w:rsid w:val="0050413E"/>
    <w:rsid w:val="00515657"/>
    <w:rsid w:val="00521275"/>
    <w:rsid w:val="0052216F"/>
    <w:rsid w:val="005232CA"/>
    <w:rsid w:val="00523636"/>
    <w:rsid w:val="005335B9"/>
    <w:rsid w:val="00536CCE"/>
    <w:rsid w:val="005541E4"/>
    <w:rsid w:val="00562FE7"/>
    <w:rsid w:val="0057450D"/>
    <w:rsid w:val="0058302A"/>
    <w:rsid w:val="005B19AA"/>
    <w:rsid w:val="005B7338"/>
    <w:rsid w:val="005C02AB"/>
    <w:rsid w:val="005C5FC3"/>
    <w:rsid w:val="005D0F04"/>
    <w:rsid w:val="005F12F0"/>
    <w:rsid w:val="005F3273"/>
    <w:rsid w:val="005F34A3"/>
    <w:rsid w:val="00610CF2"/>
    <w:rsid w:val="00630C6C"/>
    <w:rsid w:val="006328DE"/>
    <w:rsid w:val="006353DE"/>
    <w:rsid w:val="006479F1"/>
    <w:rsid w:val="00650BEE"/>
    <w:rsid w:val="006520FA"/>
    <w:rsid w:val="0065377D"/>
    <w:rsid w:val="00666F57"/>
    <w:rsid w:val="006740A7"/>
    <w:rsid w:val="006767D5"/>
    <w:rsid w:val="00691524"/>
    <w:rsid w:val="006A654B"/>
    <w:rsid w:val="006D749A"/>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C23A5"/>
    <w:rsid w:val="008C3296"/>
    <w:rsid w:val="008E2D03"/>
    <w:rsid w:val="008F2BB5"/>
    <w:rsid w:val="008F425D"/>
    <w:rsid w:val="008F5472"/>
    <w:rsid w:val="008F5D0F"/>
    <w:rsid w:val="009122E0"/>
    <w:rsid w:val="00913351"/>
    <w:rsid w:val="0092018B"/>
    <w:rsid w:val="0096193C"/>
    <w:rsid w:val="00966A85"/>
    <w:rsid w:val="009769E1"/>
    <w:rsid w:val="00977E0D"/>
    <w:rsid w:val="00986132"/>
    <w:rsid w:val="00986C04"/>
    <w:rsid w:val="009A2F76"/>
    <w:rsid w:val="009C5AFC"/>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4CFE"/>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27706"/>
    <w:rsid w:val="00C42033"/>
    <w:rsid w:val="00C464DD"/>
    <w:rsid w:val="00C62EF9"/>
    <w:rsid w:val="00C76854"/>
    <w:rsid w:val="00C92AE0"/>
    <w:rsid w:val="00CA450F"/>
    <w:rsid w:val="00CB2B1E"/>
    <w:rsid w:val="00CC3E8B"/>
    <w:rsid w:val="00CC4E84"/>
    <w:rsid w:val="00CD5641"/>
    <w:rsid w:val="00CE64AC"/>
    <w:rsid w:val="00CF7718"/>
    <w:rsid w:val="00D03E11"/>
    <w:rsid w:val="00D177F1"/>
    <w:rsid w:val="00D323B5"/>
    <w:rsid w:val="00D42ACC"/>
    <w:rsid w:val="00D51DC5"/>
    <w:rsid w:val="00D676D7"/>
    <w:rsid w:val="00D71517"/>
    <w:rsid w:val="00D7168D"/>
    <w:rsid w:val="00D874E1"/>
    <w:rsid w:val="00D9586D"/>
    <w:rsid w:val="00DA51B2"/>
    <w:rsid w:val="00DB0932"/>
    <w:rsid w:val="00DC229D"/>
    <w:rsid w:val="00DC2506"/>
    <w:rsid w:val="00DC49FA"/>
    <w:rsid w:val="00DD3D6B"/>
    <w:rsid w:val="00DD4467"/>
    <w:rsid w:val="00DD61C8"/>
    <w:rsid w:val="00DD772B"/>
    <w:rsid w:val="00E041F4"/>
    <w:rsid w:val="00E050BA"/>
    <w:rsid w:val="00E25442"/>
    <w:rsid w:val="00E25A1F"/>
    <w:rsid w:val="00E333F7"/>
    <w:rsid w:val="00E37EEB"/>
    <w:rsid w:val="00E710FB"/>
    <w:rsid w:val="00E806D9"/>
    <w:rsid w:val="00E82CA2"/>
    <w:rsid w:val="00E94E5A"/>
    <w:rsid w:val="00E95594"/>
    <w:rsid w:val="00EA31C3"/>
    <w:rsid w:val="00EB33AC"/>
    <w:rsid w:val="00EC4195"/>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C1CE4"/>
    <w:rsid w:val="00FD2EB3"/>
    <w:rsid w:val="00FD594E"/>
    <w:rsid w:val="00FD75B9"/>
    <w:rsid w:val="00FE5FE8"/>
    <w:rsid w:val="00FF4C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83</TotalTime>
  <Pages>1</Pages>
  <Words>3656</Words>
  <Characters>3804</Characters>
  <Application>Microsoft Office Outlook</Application>
  <DocSecurity>4</DocSecurity>
  <Lines>140</Lines>
  <Paragraphs>83</Paragraphs>
  <ScaleCrop>false</ScaleCrop>
  <Company>United Nations</Company>
  <LinksUpToDate>false</LinksUpToDate>
  <CharactersWithSpaces>7377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37</cp:revision>
  <cp:lastPrinted>2010-03-01T13:58:00Z</cp:lastPrinted>
  <dcterms:created xsi:type="dcterms:W3CDTF">2010-02-24T14:14:00Z</dcterms:created>
  <dcterms:modified xsi:type="dcterms:W3CDTF">2010-03-01T15:08:00Z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1024287</vt:lpwstr>
  </property>
  <property fmtid="{D5CDD505-2E9C-101B-9397-08002B2CF9AE}" pid="3" name="Symbol1">
    <vt:lpwstr>CEDAW/C/UKR/CO/7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zxs</vt:lpwstr>
  </property>
</Properties>
</file>