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5D7" w:rsidRDefault="00E565D7">
      <w:pPr>
        <w:spacing w:line="240" w:lineRule="auto"/>
        <w:rPr>
          <w:sz w:val="6"/>
        </w:rPr>
      </w:pPr>
      <w:r>
        <w:rPr>
          <w:rStyle w:val="CommentReference"/>
        </w:rPr>
        <w:commentReference w:id="0"/>
      </w:r>
    </w:p>
    <w:p w:rsidR="00EB2B9B" w:rsidRPr="00E565D7" w:rsidRDefault="00EB2B9B" w:rsidP="00E565D7">
      <w:pPr>
        <w:spacing w:line="20" w:lineRule="exact"/>
        <w:rPr>
          <w:sz w:val="2"/>
        </w:rPr>
        <w:sectPr w:rsidR="00EB2B9B" w:rsidRPr="00E565D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docGrid w:linePitch="209"/>
        </w:sectPr>
      </w:pPr>
    </w:p>
    <w:p w:rsidR="00EB2B9B" w:rsidRDefault="00EB2B9B">
      <w:pPr>
        <w:pStyle w:val="H1"/>
      </w:pPr>
      <w:r>
        <w:t>Comité para la Eliminación de la Discriminación</w:t>
      </w:r>
      <w:r>
        <w:br/>
        <w:t>contra la Mujer</w:t>
      </w:r>
    </w:p>
    <w:p w:rsidR="00EB2B9B" w:rsidRDefault="00EB2B9B">
      <w:pPr>
        <w:pStyle w:val="H23"/>
      </w:pPr>
      <w:r>
        <w:t>37º período de sesiones</w:t>
      </w:r>
    </w:p>
    <w:p w:rsidR="00EB2B9B" w:rsidRDefault="00EB2B9B">
      <w:pPr>
        <w:spacing w:line="240" w:lineRule="auto"/>
        <w:rPr>
          <w:sz w:val="12"/>
        </w:rPr>
      </w:pPr>
    </w:p>
    <w:p w:rsidR="00EB2B9B" w:rsidRDefault="00EB2B9B">
      <w:pPr>
        <w:pStyle w:val="H23"/>
      </w:pPr>
      <w:r>
        <w:t>Acta resumida de la 759ª sesión (Sala A)</w:t>
      </w:r>
    </w:p>
    <w:p w:rsidR="00EB2B9B" w:rsidRDefault="00EB2B9B">
      <w:r>
        <w:t>Celebrada en la Sede, Nueva York, el miércoles 17 de enero de 2007, a las 10.00 horas</w:t>
      </w:r>
    </w:p>
    <w:p w:rsidR="00EB2B9B" w:rsidRDefault="00EB2B9B">
      <w:pPr>
        <w:spacing w:line="120" w:lineRule="exact"/>
        <w:rPr>
          <w:sz w:val="10"/>
        </w:rPr>
      </w:pPr>
    </w:p>
    <w:p w:rsidR="00EB2B9B" w:rsidRDefault="00EB2B9B">
      <w:pPr>
        <w:tabs>
          <w:tab w:val="right" w:pos="907"/>
          <w:tab w:val="left" w:pos="1267"/>
          <w:tab w:val="right" w:leader="dot" w:pos="8568"/>
        </w:tabs>
        <w:ind w:right="1267"/>
      </w:pPr>
      <w:r>
        <w:rPr>
          <w:i/>
        </w:rPr>
        <w:tab/>
        <w:t>Presidenta</w:t>
      </w:r>
      <w:r>
        <w:t>:</w:t>
      </w:r>
      <w:r>
        <w:tab/>
        <w:t>Sra. Simms (Vicepresidenta)</w:t>
      </w:r>
    </w:p>
    <w:p w:rsidR="00EB2B9B" w:rsidRDefault="00EB2B9B">
      <w:pPr>
        <w:tabs>
          <w:tab w:val="right" w:pos="907"/>
          <w:tab w:val="left" w:pos="1267"/>
          <w:tab w:val="right" w:leader="dot" w:pos="8568"/>
        </w:tabs>
        <w:spacing w:line="120" w:lineRule="exact"/>
        <w:ind w:right="1267"/>
        <w:rPr>
          <w:sz w:val="10"/>
        </w:rPr>
      </w:pPr>
    </w:p>
    <w:p w:rsidR="00EB2B9B" w:rsidRDefault="00EB2B9B">
      <w:pPr>
        <w:tabs>
          <w:tab w:val="right" w:pos="907"/>
          <w:tab w:val="left" w:pos="1267"/>
          <w:tab w:val="right" w:leader="dot" w:pos="8568"/>
        </w:tabs>
        <w:spacing w:line="120" w:lineRule="exact"/>
        <w:ind w:right="1267"/>
        <w:rPr>
          <w:sz w:val="10"/>
        </w:rPr>
      </w:pPr>
    </w:p>
    <w:p w:rsidR="00EB2B9B" w:rsidRDefault="00EB2B9B">
      <w:pPr>
        <w:tabs>
          <w:tab w:val="right" w:pos="907"/>
          <w:tab w:val="left" w:pos="1267"/>
          <w:tab w:val="right" w:leader="dot" w:pos="8568"/>
        </w:tabs>
        <w:spacing w:line="120" w:lineRule="exact"/>
        <w:ind w:right="1267"/>
        <w:rPr>
          <w:sz w:val="10"/>
        </w:rPr>
      </w:pPr>
    </w:p>
    <w:p w:rsidR="00EB2B9B" w:rsidRDefault="00EB2B9B">
      <w:pPr>
        <w:pStyle w:val="HCh"/>
        <w:rPr>
          <w:b w:val="0"/>
        </w:rPr>
      </w:pPr>
      <w:r>
        <w:rPr>
          <w:b w:val="0"/>
        </w:rPr>
        <w:t>Sumario</w:t>
      </w:r>
    </w:p>
    <w:p w:rsidR="00EB2B9B" w:rsidRDefault="00EB2B9B">
      <w:pPr>
        <w:pStyle w:val="HCh"/>
        <w:spacing w:line="240" w:lineRule="auto"/>
        <w:rPr>
          <w:b w:val="0"/>
          <w:sz w:val="12"/>
        </w:rPr>
      </w:pPr>
    </w:p>
    <w:p w:rsidR="00EB2B9B" w:rsidRDefault="00EB2B9B">
      <w:pPr>
        <w:pStyle w:val="SingleTxt"/>
        <w:jc w:val="left"/>
      </w:pPr>
      <w:r>
        <w:t>Examen de los informes presentados por los Estados partes con arreglo al artículo 18 de la Convención (</w:t>
      </w:r>
      <w:r>
        <w:rPr>
          <w:i/>
        </w:rPr>
        <w:t>continuación</w:t>
      </w:r>
      <w:r>
        <w:t>)</w:t>
      </w:r>
    </w:p>
    <w:p w:rsidR="00EB2B9B" w:rsidRDefault="00EB2B9B">
      <w:pPr>
        <w:pStyle w:val="SingleTxt"/>
        <w:jc w:val="left"/>
        <w:rPr>
          <w:i/>
        </w:rPr>
      </w:pPr>
      <w:r>
        <w:tab/>
      </w:r>
      <w:r>
        <w:rPr>
          <w:i/>
        </w:rPr>
        <w:t>Informes periódicos segundo y tercero combinados de Namibia</w:t>
      </w:r>
    </w:p>
    <w:p w:rsidR="00EB2B9B" w:rsidRDefault="00EB2B9B">
      <w:pPr>
        <w:pStyle w:val="SingleTxt"/>
        <w:jc w:val="left"/>
      </w:pPr>
    </w:p>
    <w:p w:rsidR="00832E9F" w:rsidRDefault="00832E9F" w:rsidP="00832E9F">
      <w:pPr>
        <w:pStyle w:val="H4"/>
        <w:tabs>
          <w:tab w:val="right" w:pos="360"/>
          <w:tab w:val="left" w:pos="475"/>
          <w:tab w:val="left" w:pos="965"/>
          <w:tab w:val="left" w:pos="1440"/>
          <w:tab w:val="left" w:pos="1915"/>
          <w:tab w:val="left" w:pos="2405"/>
          <w:tab w:val="left" w:pos="2880"/>
          <w:tab w:val="left" w:pos="3355"/>
        </w:tabs>
        <w:sectPr w:rsidR="00832E9F" w:rsidSect="00832E9F">
          <w:endnotePr>
            <w:numFmt w:val="decimal"/>
          </w:endnotePr>
          <w:type w:val="continuous"/>
          <w:pgSz w:w="12240" w:h="15840" w:code="1"/>
          <w:pgMar w:top="1742" w:right="1195" w:bottom="1898" w:left="1195" w:header="576" w:footer="1030" w:gutter="0"/>
          <w:cols w:space="240"/>
          <w:noEndnote/>
          <w:docGrid w:linePitch="209"/>
        </w:sectPr>
      </w:pPr>
    </w:p>
    <w:p w:rsidR="00EB2B9B" w:rsidRDefault="00EB2B9B" w:rsidP="00832E9F">
      <w:pPr>
        <w:pStyle w:val="H4"/>
        <w:tabs>
          <w:tab w:val="right" w:pos="360"/>
          <w:tab w:val="left" w:pos="475"/>
          <w:tab w:val="left" w:pos="965"/>
          <w:tab w:val="left" w:pos="1440"/>
          <w:tab w:val="left" w:pos="1915"/>
          <w:tab w:val="left" w:pos="2405"/>
          <w:tab w:val="left" w:pos="2880"/>
          <w:tab w:val="left" w:pos="3355"/>
        </w:tabs>
      </w:pPr>
      <w:r>
        <w:br w:type="page"/>
        <w:t>En ausencia de la Sra. Šimonović, la Sra. Simms, Vicepresidenta, ocupa la Presidencia.</w:t>
      </w:r>
    </w:p>
    <w:p w:rsidR="00EB2B9B" w:rsidRDefault="00EB2B9B">
      <w:pPr>
        <w:pStyle w:val="DualTxt"/>
        <w:spacing w:after="0" w:line="120" w:lineRule="exact"/>
        <w:rPr>
          <w:sz w:val="10"/>
        </w:rPr>
      </w:pPr>
    </w:p>
    <w:p w:rsidR="00EB2B9B" w:rsidRDefault="00EB2B9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EB2B9B" w:rsidRDefault="00EB2B9B">
      <w:pPr>
        <w:pStyle w:val="DualTxt"/>
        <w:spacing w:after="0" w:line="120" w:lineRule="exact"/>
        <w:rPr>
          <w:sz w:val="10"/>
        </w:rPr>
      </w:pPr>
    </w:p>
    <w:p w:rsidR="00EB2B9B" w:rsidRDefault="00EB2B9B">
      <w:pPr>
        <w:pStyle w:val="DualTxt"/>
        <w:spacing w:after="0" w:line="120" w:lineRule="exact"/>
        <w:rPr>
          <w:sz w:val="10"/>
        </w:rPr>
      </w:pPr>
    </w:p>
    <w:p w:rsidR="00EB2B9B" w:rsidRDefault="00EB2B9B">
      <w:pPr>
        <w:pStyle w:val="DualTxt"/>
        <w:spacing w:after="0" w:line="120" w:lineRule="exact"/>
        <w:rPr>
          <w:sz w:val="10"/>
        </w:rPr>
      </w:pPr>
    </w:p>
    <w:p w:rsidR="00EB2B9B" w:rsidRDefault="00EB2B9B">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con arreglo al artículo 18 de la Convención</w:t>
      </w:r>
      <w:r>
        <w:rPr>
          <w:b w:val="0"/>
        </w:rPr>
        <w:t xml:space="preserve"> (</w:t>
      </w:r>
      <w:r>
        <w:rPr>
          <w:b w:val="0"/>
          <w:i/>
        </w:rPr>
        <w:t>continuación</w:t>
      </w:r>
      <w:r>
        <w:rPr>
          <w:b w:val="0"/>
        </w:rPr>
        <w:t>)</w:t>
      </w:r>
    </w:p>
    <w:p w:rsidR="00EB2B9B" w:rsidRDefault="00EB2B9B">
      <w:pPr>
        <w:pStyle w:val="DualTxt"/>
        <w:spacing w:after="0" w:line="120" w:lineRule="exact"/>
        <w:rPr>
          <w:sz w:val="10"/>
        </w:rPr>
      </w:pPr>
    </w:p>
    <w:p w:rsidR="00EB2B9B" w:rsidRDefault="00EB2B9B">
      <w:pPr>
        <w:pStyle w:val="H4"/>
        <w:tabs>
          <w:tab w:val="right" w:pos="360"/>
          <w:tab w:val="left" w:pos="475"/>
          <w:tab w:val="left" w:pos="965"/>
          <w:tab w:val="left" w:pos="1440"/>
          <w:tab w:val="left" w:pos="1915"/>
          <w:tab w:val="left" w:pos="2405"/>
          <w:tab w:val="left" w:pos="2880"/>
          <w:tab w:val="left" w:pos="3355"/>
        </w:tabs>
        <w:ind w:left="475" w:hanging="475"/>
      </w:pPr>
      <w:r>
        <w:tab/>
      </w:r>
      <w:r>
        <w:tab/>
        <w:t>Informes periódicos segundo y tercero combinados de Namibia</w:t>
      </w:r>
      <w:r>
        <w:rPr>
          <w:i w:val="0"/>
        </w:rPr>
        <w:t xml:space="preserve"> (CEDAW/C/NAM/2-3; CEDAW/C/NAM/Q/3 y Add.1)</w:t>
      </w:r>
    </w:p>
    <w:p w:rsidR="00EB2B9B" w:rsidRDefault="00EB2B9B">
      <w:pPr>
        <w:pStyle w:val="DualTxt"/>
        <w:spacing w:after="0" w:line="120" w:lineRule="exact"/>
        <w:rPr>
          <w:sz w:val="10"/>
        </w:rPr>
      </w:pPr>
    </w:p>
    <w:p w:rsidR="00EB2B9B" w:rsidRDefault="00EB2B9B">
      <w:pPr>
        <w:pStyle w:val="DualTxt"/>
      </w:pPr>
      <w:r>
        <w:t>1.</w:t>
      </w:r>
      <w:r>
        <w:tab/>
      </w:r>
      <w:r>
        <w:rPr>
          <w:i/>
        </w:rPr>
        <w:t>Por invitación de la Presidenta, los miembros de la delegación de Namibia toman asiento a la mesa del Comité.</w:t>
      </w:r>
    </w:p>
    <w:p w:rsidR="00EB2B9B" w:rsidRDefault="00EB2B9B">
      <w:pPr>
        <w:pStyle w:val="DualTxt"/>
      </w:pPr>
      <w:r>
        <w:t>2.</w:t>
      </w:r>
      <w:r>
        <w:tab/>
      </w:r>
      <w:r>
        <w:rPr>
          <w:b/>
        </w:rPr>
        <w:t>La Sra. Mungunda</w:t>
      </w:r>
      <w:r>
        <w:t xml:space="preserve"> (Namibia) dice que el info</w:t>
      </w:r>
      <w:r>
        <w:t>r</w:t>
      </w:r>
      <w:r>
        <w:t>me es el resultado de amplias consultas entre partes i</w:t>
      </w:r>
      <w:r>
        <w:t>n</w:t>
      </w:r>
      <w:r>
        <w:t>teresadas del Gobierno, el sector privado y la sociedad civil. La adopción en 1997 de una política nacional s</w:t>
      </w:r>
      <w:r>
        <w:t>o</w:t>
      </w:r>
      <w:r>
        <w:t>bre cuestiones de género ha dado lugar a importantes reformas jurídicas, institucionales y administrativas tendentes a promover la igualdad de género y el emp</w:t>
      </w:r>
      <w:r>
        <w:t>o</w:t>
      </w:r>
      <w:r>
        <w:t>deramiento de la mujer. En la actualidad se están haciendo esfuerzos por colmar las lagunas existentes, en particular en lo que se refiere a la relación entre el género y el VIH/SIDA, la incorporación de cuestiones de género y los mecanismos de supervisión. En 2000 el antiguo Departamento de Asuntos de la Mujer se  co</w:t>
      </w:r>
      <w:r>
        <w:t>n</w:t>
      </w:r>
      <w:r>
        <w:t>virtió en Ministerio de Asuntos de la Mujer y Bienestar de la Infancia, en la actualidad Ministerio de Igualdad de Género y Bienestar de la Infancia (desde 2005). El mandato del Ministerio consiste en establecer cond</w:t>
      </w:r>
      <w:r>
        <w:t>i</w:t>
      </w:r>
      <w:r>
        <w:t>ciones propicias para el logro de la igualdad de género y el bienestar de la infancia, centrándose en la tarea de proteger los derechos de las mujeres y las niñas y pr</w:t>
      </w:r>
      <w:r>
        <w:t>o</w:t>
      </w:r>
      <w:r>
        <w:t>mover el cambio de las prácticas y actitudes tradicion</w:t>
      </w:r>
      <w:r>
        <w:t>a</w:t>
      </w:r>
      <w:r>
        <w:t xml:space="preserve">les. </w:t>
      </w:r>
    </w:p>
    <w:p w:rsidR="00EB2B9B" w:rsidRDefault="00EB2B9B">
      <w:pPr>
        <w:pStyle w:val="DualTxt"/>
      </w:pPr>
      <w:r>
        <w:t>3.</w:t>
      </w:r>
      <w:r>
        <w:tab/>
        <w:t>La participación de mujeres en el Parlamento aumentó del 20% al 27 % con las elecciones generales de 2004. Por primera vez se ha designado a mujeres para ocupar los cargos de Viceprimera Ministra, Vic</w:t>
      </w:r>
      <w:r>
        <w:t>e</w:t>
      </w:r>
      <w:r>
        <w:t>presidenta de la Asamblea Nacional, Vicepresidenta del Consejo Nacional, Ministra de Justicia y Fiscal Gen</w:t>
      </w:r>
      <w:r>
        <w:t>e</w:t>
      </w:r>
      <w:r>
        <w:t>ral, y Ministra de Hacienda. La Comisión Nacional p</w:t>
      </w:r>
      <w:r>
        <w:t>a</w:t>
      </w:r>
      <w:r>
        <w:t>ra la Igualdad en el Empleo promueve entre los e</w:t>
      </w:r>
      <w:r>
        <w:t>m</w:t>
      </w:r>
      <w:r>
        <w:t>pleados la conciencia de sus derechos y obligaciones dimanantes de la Ley de acción afirmativa (empleo) y exige a los empleadores que presenten informes de s</w:t>
      </w:r>
      <w:r>
        <w:t>i</w:t>
      </w:r>
      <w:r>
        <w:t xml:space="preserve">tuación anuales. Las infracciones son punibles por ley. </w:t>
      </w:r>
    </w:p>
    <w:p w:rsidR="00EB2B9B" w:rsidRDefault="00EB2B9B">
      <w:pPr>
        <w:pStyle w:val="DualTxt"/>
      </w:pPr>
      <w:r>
        <w:t>4.</w:t>
      </w:r>
      <w:r>
        <w:tab/>
        <w:t>En todas las regiones se organizaron talleres de difusión de conocimientos jurídicos básicos con el fin de informar a las comunidades sobre sus derechos y obligaciones en el marco de la Constitución, la Ley c</w:t>
      </w:r>
      <w:r>
        <w:t>o</w:t>
      </w:r>
      <w:r>
        <w:t>ntra la violación, la Ley contra la violencia doméstica y la Ley sobre pensiones alimenticias, así como en el d</w:t>
      </w:r>
      <w:r>
        <w:t>e</w:t>
      </w:r>
      <w:r>
        <w:t>recho de familia y la legislación sobre la herencia. Las dependencias de protección de la mujer y el niño me</w:t>
      </w:r>
      <w:r>
        <w:t>n</w:t>
      </w:r>
      <w:r>
        <w:t>cionadas en el informe también proporcionan prote</w:t>
      </w:r>
      <w:r>
        <w:t>c</w:t>
      </w:r>
      <w:r>
        <w:t>ción a hombres maltratados. Se imparte capacitación a los profesionales de la salud, a los asistentes sociales y a la policía sobre cómo tratar a las víctimas de la vi</w:t>
      </w:r>
      <w:r>
        <w:t>o</w:t>
      </w:r>
      <w:r>
        <w:t>lencia doméstica, con la asistencia de asociados inte</w:t>
      </w:r>
      <w:r>
        <w:t>r</w:t>
      </w:r>
      <w:r>
        <w:t>nacionales en el desarrollo. El Gobierno está elabora</w:t>
      </w:r>
      <w:r>
        <w:t>n</w:t>
      </w:r>
      <w:r>
        <w:t>do actualmente un proyecto de ley de reconocimiento del matrimonio consuetudinario tendente a la elimin</w:t>
      </w:r>
      <w:r>
        <w:t>a</w:t>
      </w:r>
      <w:r>
        <w:t>ción de las prácticas tradicionales contrarias al espíritu de la Convención. En él se abordan también los matr</w:t>
      </w:r>
      <w:r>
        <w:t>i</w:t>
      </w:r>
      <w:r>
        <w:t xml:space="preserve">monios polígamos y el registro de los matrimonios consuetudinarios. </w:t>
      </w:r>
    </w:p>
    <w:p w:rsidR="00EB2B9B" w:rsidRDefault="00EB2B9B">
      <w:pPr>
        <w:pStyle w:val="DualTxt"/>
      </w:pPr>
      <w:r>
        <w:t>5.</w:t>
      </w:r>
      <w:r>
        <w:tab/>
        <w:t>En virtud de la política nacional del suelo ado</w:t>
      </w:r>
      <w:r>
        <w:t>p</w:t>
      </w:r>
      <w:r>
        <w:t>tada en 1998 se ha introducido un sistema uniforme de propiedad de la tierra que otorga a todos los ciudad</w:t>
      </w:r>
      <w:r>
        <w:t>a</w:t>
      </w:r>
      <w:r>
        <w:t>nos igualdad de derechos, oportunidades y seguridad en el marco de diversos sistemas de tenencia y gestión de la tierra. La Ley de reforma de las tierras comunales otorga a hombres y mujeres igualdad de derechos en relación con las tierras comunales y dispone el establ</w:t>
      </w:r>
      <w:r>
        <w:t>e</w:t>
      </w:r>
      <w:r>
        <w:t>cimiento de las juntas de tierras comunales, con una cuota de representación femenina de un tercio. Se están celebrando consultas en todo el país con las partes int</w:t>
      </w:r>
      <w:r>
        <w:t>e</w:t>
      </w:r>
      <w:r>
        <w:t>resadas pertinentes con miras a reformar la Ley del tr</w:t>
      </w:r>
      <w:r>
        <w:t>a</w:t>
      </w:r>
      <w:r>
        <w:t>bajo de 1992, entre otros fines para instituir el pleno disfrute del permiso de maternidad para las mujeres. Se ha elaborado un amplio programa de mejora del sector de la educación y la capacitación, y se aplican progr</w:t>
      </w:r>
      <w:r>
        <w:t>a</w:t>
      </w:r>
      <w:r>
        <w:t>mas tendentes a alentar a las mujeres a elaborar pr</w:t>
      </w:r>
      <w:r>
        <w:t>o</w:t>
      </w:r>
      <w:r>
        <w:t>yectos con asistencia de pequeñas y medianas empr</w:t>
      </w:r>
      <w:r>
        <w:t>e</w:t>
      </w:r>
      <w:r>
        <w:t>sas. Con el fin de aliviar la pobreza, se han introducido en las zonas rurales proyectos generadores de ingresos, por ejemplo en actividades de alfarería, trabajos de cuero, sastrería, fabricación de ladrillos, jardinería y peluquería. El Ministerio de Igualdad de Género y Bienestar de la Infancia también facilita la particip</w:t>
      </w:r>
      <w:r>
        <w:t>a</w:t>
      </w:r>
      <w:r>
        <w:t xml:space="preserve">ción de las mujeres en las ferias comerciales. </w:t>
      </w:r>
    </w:p>
    <w:p w:rsidR="00EB2B9B" w:rsidRDefault="00EB2B9B">
      <w:pPr>
        <w:pStyle w:val="DualTxt"/>
      </w:pPr>
      <w:r>
        <w:t>6.</w:t>
      </w:r>
      <w:r>
        <w:tab/>
        <w:t>La Ley sobre la igualdad de los cónyuges de 1996 abolió las prerrogativas del marido y otorgó a ambos cónyuges los mismos poderes para decidir conjunt</w:t>
      </w:r>
      <w:r>
        <w:t>a</w:t>
      </w:r>
      <w:r>
        <w:t>mente sobre la administración de cualesquiera propi</w:t>
      </w:r>
      <w:r>
        <w:t>e</w:t>
      </w:r>
      <w:r>
        <w:t>dades comunes. En noviembre de 2006, el Parlamento aprobó finalmente el proyecto de Ley sobre la situ</w:t>
      </w:r>
      <w:r>
        <w:t>a</w:t>
      </w:r>
      <w:r>
        <w:t>ción de la infancia, que representa un gran avance para el país, y que garantiza, entre otras cosas, que los hijos nacidos fuera del matrimonio gocen de los mismos d</w:t>
      </w:r>
      <w:r>
        <w:t>e</w:t>
      </w:r>
      <w:r>
        <w:t>rechos que los nacidos dentro del matrimonio. Se prevé tramitar a continuación un proyecto de ley de cuidado y protección de la infancia. Namibia ha logrado ava</w:t>
      </w:r>
      <w:r>
        <w:t>n</w:t>
      </w:r>
      <w:r>
        <w:t>ces importantes desde el anterior examen periódico. No obstante, persisten dificultades que obstaculizan el l</w:t>
      </w:r>
      <w:r>
        <w:t>o</w:t>
      </w:r>
      <w:r>
        <w:t>gro de la plena igualdad de género. Se espera avanzar mucho más en el futuro, pues el Gobierno está resuelto a cumplir con sus obligaciones dimanantes de la Co</w:t>
      </w:r>
      <w:r>
        <w:t>n</w:t>
      </w:r>
      <w:r>
        <w:t>vención. Lo importante es que se siga otorgando i</w:t>
      </w:r>
      <w:r>
        <w:t>m</w:t>
      </w:r>
      <w:r>
        <w:t>portancia prioritaria a las cuestiones relacionadas con la situación de la mujer.</w:t>
      </w:r>
    </w:p>
    <w:p w:rsidR="00EB2B9B" w:rsidRDefault="00EB2B9B">
      <w:pPr>
        <w:pStyle w:val="DualTxt"/>
        <w:spacing w:after="0" w:line="120" w:lineRule="exact"/>
        <w:rPr>
          <w:sz w:val="10"/>
        </w:rPr>
      </w:pPr>
    </w:p>
    <w:p w:rsidR="00EB2B9B" w:rsidRDefault="00EB2B9B">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EB2B9B" w:rsidRDefault="00EB2B9B">
      <w:pPr>
        <w:pStyle w:val="DualTxt"/>
        <w:spacing w:after="0" w:line="120" w:lineRule="exact"/>
        <w:rPr>
          <w:sz w:val="10"/>
        </w:rPr>
      </w:pPr>
    </w:p>
    <w:p w:rsidR="00EB2B9B" w:rsidRDefault="00EB2B9B">
      <w:pPr>
        <w:pStyle w:val="DualTxt"/>
      </w:pPr>
      <w:r>
        <w:t>7.</w:t>
      </w:r>
      <w:r>
        <w:tab/>
      </w:r>
      <w:r>
        <w:rPr>
          <w:b/>
        </w:rPr>
        <w:t>El Sr. Flinterman</w:t>
      </w:r>
      <w:r>
        <w:t xml:space="preserve"> se felicita de que la delegación cuente con representación de nivel ministerial. Casi 10 años han pasado desde que el Comité mantuvo su pr</w:t>
      </w:r>
      <w:r>
        <w:t>i</w:t>
      </w:r>
      <w:r>
        <w:t>mer diálogo constructivo con Namibia. Entre las i</w:t>
      </w:r>
      <w:r>
        <w:t>m</w:t>
      </w:r>
      <w:r>
        <w:t>portantes medidas adoptadas por el Estado desde 2001 se cuenta su ratificación del Protocolo Facultativo de la Convención. A la luz de los requisitos de admisibilidad previstos en ese instrumento, se pregunta, sin embargo, qué recursos internos de fácil acceso existen para las mujeres (además del Defensor del Pueblo y del Trib</w:t>
      </w:r>
      <w:r>
        <w:t>u</w:t>
      </w:r>
      <w:r>
        <w:t>nal Supremo). La delegación debería proporcionar i</w:t>
      </w:r>
      <w:r>
        <w:t>n</w:t>
      </w:r>
      <w:r>
        <w:t>formación adicional sobre la situación y el grado de v</w:t>
      </w:r>
      <w:r>
        <w:t>i</w:t>
      </w:r>
      <w:r>
        <w:t>sibilidad de la Convención en el ordenamiento jurídico interno del país.</w:t>
      </w:r>
    </w:p>
    <w:p w:rsidR="00EB2B9B" w:rsidRDefault="00EB2B9B">
      <w:pPr>
        <w:pStyle w:val="DualTxt"/>
      </w:pPr>
      <w:r>
        <w:t>8.</w:t>
      </w:r>
      <w:r>
        <w:tab/>
        <w:t>Desea saber, en particular, si las mujeres pueden invocar directamente ante los tribunales las disposici</w:t>
      </w:r>
      <w:r>
        <w:t>o</w:t>
      </w:r>
      <w:r>
        <w:t>nes de la Convención y en qué medida influye el art</w:t>
      </w:r>
      <w:r>
        <w:t>í</w:t>
      </w:r>
      <w:r>
        <w:t>culo 144 de la Constitución de Namibia en la plena aplicación de la Convención, puesto que en 2004, en sus observaciones finales sobre Namibia, el Comité de Derechos Humanos expresó preocupación por la pos</w:t>
      </w:r>
      <w:r>
        <w:t>i</w:t>
      </w:r>
      <w:r>
        <w:t>bilidad de que esa disposición afectara negativamente a la aplicación del Pacto de Derechos Civiles y Políticos (CCPR/CO/81/NAM, párr. 6). La promulgación en 2003 de la Ley sobre los tribunales comunitarios es un hecho muy positivo; la delegación debería aportar i</w:t>
      </w:r>
      <w:r>
        <w:t>n</w:t>
      </w:r>
      <w:r>
        <w:t>formación detallada sobre la jurisprudencia surgida hasta la fecha al respecto. El orador pregunta asimismo si los tribunales comunitarios están facultados para r</w:t>
      </w:r>
      <w:r>
        <w:t>e</w:t>
      </w:r>
      <w:r>
        <w:t>visar el “derecho consuetudinario”, y si en los talleres de formación jurídica básica se hace referencia directa a la Convención.</w:t>
      </w:r>
    </w:p>
    <w:p w:rsidR="00EB2B9B" w:rsidRDefault="00EB2B9B">
      <w:pPr>
        <w:pStyle w:val="DualTxt"/>
      </w:pPr>
      <w:r>
        <w:t>9.</w:t>
      </w:r>
      <w:r>
        <w:tab/>
      </w:r>
      <w:r>
        <w:rPr>
          <w:b/>
        </w:rPr>
        <w:t>La Sra. Pimentel</w:t>
      </w:r>
      <w:r>
        <w:t xml:space="preserve"> solicita información sobre la participación, de la judicatura, el poder legislativo y la sociedad civil en la elaboración del informe de Nam</w:t>
      </w:r>
      <w:r>
        <w:t>i</w:t>
      </w:r>
      <w:r>
        <w:t>bia. Valora muy positivamente la promulgación en 2003 de la Ley sobre los tribunales comunitarios; no obstante, convendría que la delegación facilitara i</w:t>
      </w:r>
      <w:r>
        <w:t>n</w:t>
      </w:r>
      <w:r>
        <w:t>formación sobre los efectos que hasta la fecha ha ten</w:t>
      </w:r>
      <w:r>
        <w:t>i</w:t>
      </w:r>
      <w:r>
        <w:t>do esa Ley. También agradecería que se aportaran det</w:t>
      </w:r>
      <w:r>
        <w:t>a</w:t>
      </w:r>
      <w:r>
        <w:t>lles sobre las estrategias que se aplican contra las prá</w:t>
      </w:r>
      <w:r>
        <w:t>c</w:t>
      </w:r>
      <w:r>
        <w:t>ticas y estereotipos discriminatorios todavía existentes, con indicación de los problemas encontrados y los r</w:t>
      </w:r>
      <w:r>
        <w:t>e</w:t>
      </w:r>
      <w:r>
        <w:t>sultados obtenidos. La delegación debería proporcionar asimismo información sobre el contenido del manual de formación y la guía de recursos sobre género util</w:t>
      </w:r>
      <w:r>
        <w:t>i</w:t>
      </w:r>
      <w:r>
        <w:t>zados en los talleres.</w:t>
      </w:r>
    </w:p>
    <w:p w:rsidR="00EB2B9B" w:rsidRDefault="00EB2B9B">
      <w:pPr>
        <w:pStyle w:val="DualTxt"/>
      </w:pPr>
      <w:r>
        <w:t>10.</w:t>
      </w:r>
      <w:r>
        <w:tab/>
      </w:r>
      <w:r>
        <w:rPr>
          <w:b/>
        </w:rPr>
        <w:t>La Sra. Schöpp-Schilling</w:t>
      </w:r>
      <w:r>
        <w:t xml:space="preserve"> dice que hay que fel</w:t>
      </w:r>
      <w:r>
        <w:t>i</w:t>
      </w:r>
      <w:r>
        <w:t>citar al Gobierno por los progresos realizados a pesar del muy difícil contexto socioeconómico. No obstante, habría deseado que el informe contuviera una expos</w:t>
      </w:r>
      <w:r>
        <w:t>i</w:t>
      </w:r>
      <w:r>
        <w:t>ción más detallada de los obstáculos al adelanto de la mujer en Namibia, incluidas las leyes consuetudinarias perjudiciales para la mujer. ¿A qué porcentaje de muj</w:t>
      </w:r>
      <w:r>
        <w:t>e</w:t>
      </w:r>
      <w:r>
        <w:t>res se aplican esas leyes? En el informe se indica que la política nacional sobre cuestiones de género, basada en la Plataforma de Acción de Beijing, no es un doc</w:t>
      </w:r>
      <w:r>
        <w:t>u</w:t>
      </w:r>
      <w:r>
        <w:t>mento con valor jurídico, por lo que no se sanciona su incumplimiento. No obstante, el Comité ha dejado cl</w:t>
      </w:r>
      <w:r>
        <w:t>a</w:t>
      </w:r>
      <w:r>
        <w:t>ro desde 1996 que la Plataforma puede vincularse con facilidad a los artículos de la Convención y sirve para formular estrategias para el cumplimiento por el Estado de sus obligaciones jurídicas dimanantes de ese in</w:t>
      </w:r>
      <w:r>
        <w:t>s</w:t>
      </w:r>
      <w:r>
        <w:t>trumento. Por consiguiente, la aplicación de la política nacional sobre cuestiones de género es obligatoria. En ese contexto, ¿se ha incorporado la perspectiva de g</w:t>
      </w:r>
      <w:r>
        <w:t>é</w:t>
      </w:r>
      <w:r>
        <w:t>nero a todos los planes nacionales, como el Plan N</w:t>
      </w:r>
      <w:r>
        <w:t>a</w:t>
      </w:r>
      <w:r>
        <w:t>cional de Desarrollo y el Marco y Visión de mediano plazo para 2030? Es encomiable la introducción de una Ley de acción afirmativa (empleo), pero convendría disponer de más información sobre sus efectos hasta la fecha, así como sobre los problemas que se han enco</w:t>
      </w:r>
      <w:r>
        <w:t>n</w:t>
      </w:r>
      <w:r>
        <w:t>trado en su aplicación. Por último, la delegación deb</w:t>
      </w:r>
      <w:r>
        <w:t>e</w:t>
      </w:r>
      <w:r>
        <w:t>ría explicar cómo se aplican los planes de acción afi</w:t>
      </w:r>
      <w:r>
        <w:t>r</w:t>
      </w:r>
      <w:r>
        <w:t>mativa, habida cuenta de que las mujeres — que repr</w:t>
      </w:r>
      <w:r>
        <w:t>e</w:t>
      </w:r>
      <w:r>
        <w:t>sentan más del 50% de la población — constituyen también un subconjunto de los “negros” y de las “pe</w:t>
      </w:r>
      <w:r>
        <w:t>r</w:t>
      </w:r>
      <w:r>
        <w:t>sonas con discapacidad”, las otras dos categorías ben</w:t>
      </w:r>
      <w:r>
        <w:t>e</w:t>
      </w:r>
      <w:r>
        <w:t xml:space="preserve">ficiarias de medidas temporales especiales en virtud de la nueva legislación. </w:t>
      </w:r>
    </w:p>
    <w:p w:rsidR="00EB2B9B" w:rsidRDefault="00EB2B9B">
      <w:pPr>
        <w:pStyle w:val="DualTxt"/>
        <w:rPr>
          <w:w w:val="101"/>
        </w:rPr>
      </w:pPr>
      <w:r>
        <w:rPr>
          <w:w w:val="101"/>
        </w:rPr>
        <w:t>11.</w:t>
      </w:r>
      <w:r>
        <w:rPr>
          <w:w w:val="101"/>
        </w:rPr>
        <w:tab/>
      </w:r>
      <w:r>
        <w:rPr>
          <w:b/>
          <w:w w:val="101"/>
        </w:rPr>
        <w:t>La Sra. Neubauer</w:t>
      </w:r>
      <w:r>
        <w:rPr>
          <w:w w:val="101"/>
        </w:rPr>
        <w:t xml:space="preserve"> señala que se han logrado avances considerables en el fortalecimiento de las e</w:t>
      </w:r>
      <w:r>
        <w:rPr>
          <w:w w:val="101"/>
        </w:rPr>
        <w:t>s</w:t>
      </w:r>
      <w:r>
        <w:rPr>
          <w:w w:val="101"/>
        </w:rPr>
        <w:t>tructuras institucionales para la elaboración de políticas de igualdad de género. Entiende que la delegación es consciente de la necesidad de seguir evaluando los m</w:t>
      </w:r>
      <w:r>
        <w:rPr>
          <w:w w:val="101"/>
        </w:rPr>
        <w:t>e</w:t>
      </w:r>
      <w:r>
        <w:rPr>
          <w:w w:val="101"/>
        </w:rPr>
        <w:t>canismos de vigilancia existentes para detectar las def</w:t>
      </w:r>
      <w:r>
        <w:rPr>
          <w:w w:val="101"/>
        </w:rPr>
        <w:t>i</w:t>
      </w:r>
      <w:r>
        <w:rPr>
          <w:w w:val="101"/>
        </w:rPr>
        <w:t>ciencias que merman la eficacia de esos mecanismos. No queda claro, sin embargo, si el plan de acción naci</w:t>
      </w:r>
      <w:r>
        <w:rPr>
          <w:w w:val="101"/>
        </w:rPr>
        <w:t>o</w:t>
      </w:r>
      <w:r>
        <w:rPr>
          <w:w w:val="101"/>
        </w:rPr>
        <w:t>nal para cuestiones de género de 1998-2003 ha sido r</w:t>
      </w:r>
      <w:r>
        <w:rPr>
          <w:w w:val="101"/>
        </w:rPr>
        <w:t>e</w:t>
      </w:r>
      <w:r>
        <w:rPr>
          <w:w w:val="101"/>
        </w:rPr>
        <w:t>emplazado por un nuevo instrumento. También agrad</w:t>
      </w:r>
      <w:r>
        <w:rPr>
          <w:w w:val="101"/>
        </w:rPr>
        <w:t>e</w:t>
      </w:r>
      <w:r>
        <w:rPr>
          <w:w w:val="101"/>
        </w:rPr>
        <w:t>cería que se facilitara información sobre el seguimiento del análisis de las ventajas, las desventajas, las oport</w:t>
      </w:r>
      <w:r>
        <w:rPr>
          <w:w w:val="101"/>
        </w:rPr>
        <w:t>u</w:t>
      </w:r>
      <w:r>
        <w:rPr>
          <w:w w:val="101"/>
        </w:rPr>
        <w:t>nidades y los riesgos realizado en Namibia en 2001 con el fin de determinar el carácter y el nivel de la capac</w:t>
      </w:r>
      <w:r>
        <w:rPr>
          <w:w w:val="101"/>
        </w:rPr>
        <w:t>i</w:t>
      </w:r>
      <w:r>
        <w:rPr>
          <w:w w:val="101"/>
        </w:rPr>
        <w:t>dad existente para la incorporación de la perspectiva de género. Las actividades tendentes a la eliminación de los estereotipos de género parecen circunscritas a la e</w:t>
      </w:r>
      <w:r>
        <w:rPr>
          <w:w w:val="101"/>
        </w:rPr>
        <w:t>s</w:t>
      </w:r>
      <w:r>
        <w:rPr>
          <w:w w:val="101"/>
        </w:rPr>
        <w:t>fera de la educación, pues el informe no contiene me</w:t>
      </w:r>
      <w:r>
        <w:rPr>
          <w:w w:val="101"/>
        </w:rPr>
        <w:t>n</w:t>
      </w:r>
      <w:r>
        <w:rPr>
          <w:w w:val="101"/>
        </w:rPr>
        <w:t>ción alguna del papel de los medios de comunicación a ese respecto.</w:t>
      </w:r>
    </w:p>
    <w:p w:rsidR="00EB2B9B" w:rsidRDefault="00EB2B9B">
      <w:pPr>
        <w:pStyle w:val="DualTxt"/>
      </w:pPr>
      <w:r>
        <w:t>12.</w:t>
      </w:r>
      <w:r>
        <w:tab/>
      </w:r>
      <w:r>
        <w:rPr>
          <w:b/>
        </w:rPr>
        <w:t>La Sra. Haitembu</w:t>
      </w:r>
      <w:r>
        <w:t xml:space="preserve"> (Namibia) dice que el artículo 144 de la Constitución estipula que cualquier acuerdo internacional ratificado por Namibia se convierte a</w:t>
      </w:r>
      <w:r>
        <w:t>u</w:t>
      </w:r>
      <w:r>
        <w:t>tomáticamente en parte de la legislación nacional. Por consiguiente, la Convención forma parte de la legisl</w:t>
      </w:r>
      <w:r>
        <w:t>a</w:t>
      </w:r>
      <w:r>
        <w:t>ción nacional, y las mujeres pueden invocar sus disp</w:t>
      </w:r>
      <w:r>
        <w:t>o</w:t>
      </w:r>
      <w:r>
        <w:t>siciones en los asuntos sometidos a los tribunales que afecten al goce de sus derechos. Además, toda dispos</w:t>
      </w:r>
      <w:r>
        <w:t>i</w:t>
      </w:r>
      <w:r>
        <w:t>ción del derecho consuetudinario que sea contraria a la Convención constituye intrínsecamente una infracción de la legislación nacional.</w:t>
      </w:r>
    </w:p>
    <w:p w:rsidR="00EB2B9B" w:rsidRDefault="00EB2B9B">
      <w:pPr>
        <w:pStyle w:val="DualTxt"/>
      </w:pPr>
      <w:r>
        <w:t>13.</w:t>
      </w:r>
      <w:r>
        <w:tab/>
        <w:t>La Ley sobre los tribunales comunitarios regula los tribunales tradicionales y suprime determinadas prácticas discriminatorias que persistían en el derecho consuetudinario. Por ejemplo, en 1993 los dirigentes tradicionales convinieron en que, cuando muere un hombre, su viuda y sus hijos tienen derecho a seguir viviendo en sus tierras, en vez de verse obligados a trasladarse o a pagar por las tierras. En la Ley de trib</w:t>
      </w:r>
      <w:r>
        <w:t>u</w:t>
      </w:r>
      <w:r>
        <w:t>nales comunitarios se recoge y consagra ese cambio.</w:t>
      </w:r>
    </w:p>
    <w:p w:rsidR="00EB2B9B" w:rsidRDefault="00EB2B9B">
      <w:pPr>
        <w:pStyle w:val="DualTxt"/>
      </w:pPr>
      <w:r>
        <w:t>14.</w:t>
      </w:r>
      <w:r>
        <w:tab/>
      </w:r>
      <w:r>
        <w:rPr>
          <w:b/>
        </w:rPr>
        <w:t>La Sra. Mungunda</w:t>
      </w:r>
      <w:r>
        <w:t xml:space="preserve"> (Namibia) dice que en la preparación del informe de Namibia ha participado a</w:t>
      </w:r>
      <w:r>
        <w:t>c</w:t>
      </w:r>
      <w:r>
        <w:t>tivamente la sociedad civil. Además, se brindó al p</w:t>
      </w:r>
      <w:r>
        <w:t>ú</w:t>
      </w:r>
      <w:r>
        <w:t>blico la oportunidad de participar en audiencias sobre los proyectos de ley y las políticas en todas las etapas hasta su aprobación por el Parlamento. A ese respecto, el Gobierno difunde materiales en los que se explican en términos sencillos esos proyectos de ley y políticas, y, cuando los fondos lo permiten, esos materiales se traducen asimismo a diversos idiomas locales.  Se ha elaborado un manual de formación en cuestiones de género, y se han celebrado talleres tendentes a sensib</w:t>
      </w:r>
      <w:r>
        <w:t>i</w:t>
      </w:r>
      <w:r>
        <w:t>lizar a la opinión pública en esa esfera. Se alentó la participación en esos talleres mediante actividades de extensión en las comunidades locales.</w:t>
      </w:r>
    </w:p>
    <w:p w:rsidR="00EB2B9B" w:rsidRDefault="00EB2B9B">
      <w:pPr>
        <w:pStyle w:val="DualTxt"/>
      </w:pPr>
      <w:r>
        <w:t>15.</w:t>
      </w:r>
      <w:r>
        <w:tab/>
      </w:r>
      <w:r>
        <w:rPr>
          <w:b/>
        </w:rPr>
        <w:t>La Sra. Ausiku</w:t>
      </w:r>
      <w:r>
        <w:t xml:space="preserve"> (Namibia), refiriéndose a los obstáculos que todavía hay que superar, dice que la l</w:t>
      </w:r>
      <w:r>
        <w:t>e</w:t>
      </w:r>
      <w:r>
        <w:t>gislación nacional no exige el registro de los matrim</w:t>
      </w:r>
      <w:r>
        <w:t>o</w:t>
      </w:r>
      <w:r>
        <w:t>nios consuetudinarios, que, por consiguiente, no tienen validez jurídica. En la actualidad se está preparando un proyecto de ley sobre el registro de los matrimonios consuetudinarios.</w:t>
      </w:r>
    </w:p>
    <w:p w:rsidR="00EB2B9B" w:rsidRDefault="00EB2B9B">
      <w:pPr>
        <w:pStyle w:val="DualTxt"/>
      </w:pPr>
      <w:r>
        <w:t>16.</w:t>
      </w:r>
      <w:r>
        <w:tab/>
      </w:r>
      <w:r>
        <w:rPr>
          <w:b/>
        </w:rPr>
        <w:t xml:space="preserve">El Sr. Shipoh </w:t>
      </w:r>
      <w:r>
        <w:t>(Namibia) dice que el proyecto de ley en cuestión también se prohibirán los matrimonios polígamos, que, aunque poco frecuentes, siguen exi</w:t>
      </w:r>
      <w:r>
        <w:t>s</w:t>
      </w:r>
      <w:r>
        <w:t>tiendo en el marco del derecho consuetudinario. Con ello se eliminará el problema de las disputas entre e</w:t>
      </w:r>
      <w:r>
        <w:t>s</w:t>
      </w:r>
      <w:r>
        <w:t>posas por los derechos de herencia. Se celebran cursos de formación y talleres para informar a los participa</w:t>
      </w:r>
      <w:r>
        <w:t>n</w:t>
      </w:r>
      <w:r>
        <w:t>tes sobre cuestiones de derechos humanos y ayudarlos a entender sus derechos y obligaciones en el marco de la ley. Se proporciona información sobre la asistencia disponible en casos de violencia doméstica. También se están realizando esfuerzos para promover la toma de conciencia de que las cuestiones de género son cue</w:t>
      </w:r>
      <w:r>
        <w:t>s</w:t>
      </w:r>
      <w:r>
        <w:t>tiones de derechos humanos que no afectan sólo a las mujeres, sino también a los hombres.</w:t>
      </w:r>
    </w:p>
    <w:p w:rsidR="00EB2B9B" w:rsidRDefault="00EB2B9B">
      <w:pPr>
        <w:pStyle w:val="DualTxt"/>
      </w:pPr>
      <w:r>
        <w:t>17.</w:t>
      </w:r>
      <w:r>
        <w:tab/>
      </w:r>
      <w:r>
        <w:rPr>
          <w:b/>
        </w:rPr>
        <w:t>La Sra. Mungunda</w:t>
      </w:r>
      <w:r>
        <w:t xml:space="preserve"> (Namibia), refiriéndose a la acción afirmativa, dice que la experiencia ha demostr</w:t>
      </w:r>
      <w:r>
        <w:t>a</w:t>
      </w:r>
      <w:r>
        <w:t>do que las leyes del Parlamento son más eficaces que las meras políticas para lograr el empoderamiento de la mujer. Por ejemplo, en la ley sobre las elecciones loc</w:t>
      </w:r>
      <w:r>
        <w:t>a</w:t>
      </w:r>
      <w:r>
        <w:t>les se fijó un objetivo mínimo de un 30% de mujeres en las administraciones locales. Gracias a la promulg</w:t>
      </w:r>
      <w:r>
        <w:t>a</w:t>
      </w:r>
      <w:r>
        <w:t>ción de la ley, se ha conseguido elevar la proporción por encima del 40%. En el sector público, el 33% de los cargos directivos está ocupado por mujeres. Se aplican programas de incorporación de la perspectiva de género, y se han designado en los ministerios y otras instituciones gubernamentales centros de coordinación de las cuestiones de género.</w:t>
      </w:r>
    </w:p>
    <w:p w:rsidR="00EB2B9B" w:rsidRDefault="00EB2B9B">
      <w:pPr>
        <w:pStyle w:val="DualTxt"/>
      </w:pPr>
      <w:r>
        <w:t>18.</w:t>
      </w:r>
      <w:r>
        <w:tab/>
        <w:t>Es cierto que la acción afirmativa se ha centrado hasta la fecha en tres grupos — mujeres, miembros de minorías raciales y personas con discapacidad — por ser los tradicionalmente más afectados por la discrim</w:t>
      </w:r>
      <w:r>
        <w:t>i</w:t>
      </w:r>
      <w:r>
        <w:t>nación. Sin embargo, está de acuerdo en que deben aplicarse medidas de acción positiva específicas para las mujeres con discapacidad o pertenecientes a grupos minoritarios, que pueden ser objeto de una doble di</w:t>
      </w:r>
      <w:r>
        <w:t>s</w:t>
      </w:r>
      <w:r>
        <w:t>criminación. Diversas organizaciones no gubername</w:t>
      </w:r>
      <w:r>
        <w:t>n</w:t>
      </w:r>
      <w:r>
        <w:t>tales realizan actividades de promoción en favor de minorías raciales y de las personas con discapacidad. En todas las instituciones políticas y foros que se oc</w:t>
      </w:r>
      <w:r>
        <w:t>u</w:t>
      </w:r>
      <w:r>
        <w:t>pan de cuestiones que afectan a las mujeres o a dete</w:t>
      </w:r>
      <w:r>
        <w:t>r</w:t>
      </w:r>
      <w:r>
        <w:t>minados grupos minoritarios se ha fijado como objet</w:t>
      </w:r>
      <w:r>
        <w:t>i</w:t>
      </w:r>
      <w:r>
        <w:t>vo lograr un 30% de representación del grupo de que se trate.</w:t>
      </w:r>
    </w:p>
    <w:p w:rsidR="00EB2B9B" w:rsidRDefault="00EB2B9B">
      <w:pPr>
        <w:pStyle w:val="DualTxt"/>
      </w:pPr>
      <w:r>
        <w:t>19.</w:t>
      </w:r>
      <w:r>
        <w:tab/>
      </w:r>
      <w:r>
        <w:rPr>
          <w:b/>
        </w:rPr>
        <w:t>La Sra. Ausiku</w:t>
      </w:r>
      <w:r>
        <w:t xml:space="preserve"> (Namibia) dice que se han inco</w:t>
      </w:r>
      <w:r>
        <w:t>r</w:t>
      </w:r>
      <w:r>
        <w:t>porado las cuestiones de género a la Estrategia Naci</w:t>
      </w:r>
      <w:r>
        <w:t>o</w:t>
      </w:r>
      <w:r>
        <w:t>nal de Reducción de la Pobreza, y que se prevé aplicar el mismo proceso al Plan Nacional de Desarrollo y otras políticas gubernamentales. Se han publicado d</w:t>
      </w:r>
      <w:r>
        <w:t>i</w:t>
      </w:r>
      <w:r>
        <w:t>rectrices para la incorporación de una perspectiva de género en todas las esferas. La Comisión Económica para África (CEPA) ha proporcionado asistencia para la revisión de la política nacional sobre cuestiones de g</w:t>
      </w:r>
      <w:r>
        <w:t>é</w:t>
      </w:r>
      <w:r>
        <w:t>nero. Sobre esa base se elaborará un nuevo plan de a</w:t>
      </w:r>
      <w:r>
        <w:t>c</w:t>
      </w:r>
      <w:r>
        <w:t>ción que tendrá en cuenta los logros del plan de acción de 1998-2003.</w:t>
      </w:r>
    </w:p>
    <w:p w:rsidR="00EB2B9B" w:rsidRDefault="00EB2B9B">
      <w:pPr>
        <w:pStyle w:val="DualTxt"/>
      </w:pPr>
      <w:r>
        <w:t>20.</w:t>
      </w:r>
      <w:r>
        <w:tab/>
        <w:t>Los centros de coordinación de cuestiones de g</w:t>
      </w:r>
      <w:r>
        <w:t>é</w:t>
      </w:r>
      <w:r>
        <w:t>nero no siempre logran los resultados deseados porque algunos de ellos no se ocupan de las cuestiones de g</w:t>
      </w:r>
      <w:r>
        <w:t>é</w:t>
      </w:r>
      <w:r>
        <w:t>nero a tiempo completo. No obstante, el Gabinete ha ordenado que todos los ministerios designen un re</w:t>
      </w:r>
      <w:r>
        <w:t>s</w:t>
      </w:r>
      <w:r>
        <w:t>ponsable de la coordinación de las cuestiones de gén</w:t>
      </w:r>
      <w:r>
        <w:t>e</w:t>
      </w:r>
      <w:r>
        <w:t>ro, y se prevé que gracias a esa medida se prestará más atención a la incorporación de la perspectiva de género. En la actualidad se está estudiando la posibilidad de i</w:t>
      </w:r>
      <w:r>
        <w:t>n</w:t>
      </w:r>
      <w:r>
        <w:t>troducir en los programas escolares actividades de ed</w:t>
      </w:r>
      <w:r>
        <w:t>u</w:t>
      </w:r>
      <w:r>
        <w:t>cación en cuestiones de género, en particular en la e</w:t>
      </w:r>
      <w:r>
        <w:t>n</w:t>
      </w:r>
      <w:r>
        <w:t>señanza primaria.</w:t>
      </w:r>
    </w:p>
    <w:p w:rsidR="00EB2B9B" w:rsidRDefault="00EB2B9B">
      <w:pPr>
        <w:pStyle w:val="DualTxt"/>
      </w:pPr>
      <w:r>
        <w:t>21.</w:t>
      </w:r>
      <w:r>
        <w:tab/>
      </w:r>
      <w:r>
        <w:rPr>
          <w:b/>
        </w:rPr>
        <w:t>La Sra. Shin</w:t>
      </w:r>
      <w:r>
        <w:t>, tras felicitarse de la pronta ratif</w:t>
      </w:r>
      <w:r>
        <w:t>i</w:t>
      </w:r>
      <w:r>
        <w:t>cación por Namibia del Protocolo Facultativo de la Convención, pregunta qué medidas se han adoptado desde entonces para que las mujeres tengan conoc</w:t>
      </w:r>
      <w:r>
        <w:t>i</w:t>
      </w:r>
      <w:r>
        <w:t>miento del mecanismo adicional que para la protección de sus derechos les ofrece el Protocolo Facultativo.</w:t>
      </w:r>
    </w:p>
    <w:p w:rsidR="00EB2B9B" w:rsidRDefault="00EB2B9B">
      <w:pPr>
        <w:pStyle w:val="DualTxt"/>
      </w:pPr>
      <w:r>
        <w:t>22.</w:t>
      </w:r>
      <w:r>
        <w:tab/>
        <w:t>Valora positivamente la nueva definición de vi</w:t>
      </w:r>
      <w:r>
        <w:t>o</w:t>
      </w:r>
      <w:r>
        <w:t>lación y las sentencias más severas introducidas por la Ley contra la violación, que puede servir de modelo para otros países de África. No obstante, en el informe se señala que sólo se denuncia a la policía 1 de cada 20 violaciones, y no se ha facilitado información concreta sobre el número de enjuiciamientos y condenas. Pr</w:t>
      </w:r>
      <w:r>
        <w:t>e</w:t>
      </w:r>
      <w:r>
        <w:t>gunta cómo se está planteando el seguimiento de los efectos de la nueva Ley, y si desde la promulgación de ésta ha aumentado o disminuido el número de denu</w:t>
      </w:r>
      <w:r>
        <w:t>n</w:t>
      </w:r>
      <w:r>
        <w:t>cias. ¿Se reúne sistemáticamente información sobre los casos denunciados a la policía y ante los tribunales y sobre el tratamiento de esos casos? Si no se dispone a</w:t>
      </w:r>
      <w:r>
        <w:t>c</w:t>
      </w:r>
      <w:r>
        <w:t>tualmente de esa información, debería incluirse en el próximo informe.</w:t>
      </w:r>
    </w:p>
    <w:p w:rsidR="00EB2B9B" w:rsidRDefault="00EB2B9B">
      <w:pPr>
        <w:pStyle w:val="DualTxt"/>
      </w:pPr>
      <w:r>
        <w:t>23.</w:t>
      </w:r>
      <w:r>
        <w:tab/>
        <w:t>La promulgación de la Ley contra la violencia doméstica constituye otro hecho positivo, pero co</w:t>
      </w:r>
      <w:r>
        <w:t>n</w:t>
      </w:r>
      <w:r>
        <w:t>vendría que se informara sobre qué se está haciendo para darle difusión, de manera que aumente el número de víctimas que denuncian los incidentes. También pregunta qué medidas de capacitación se aplican para mejorar la forma en que la policía se ocupa de esos c</w:t>
      </w:r>
      <w:r>
        <w:t>a</w:t>
      </w:r>
      <w:r>
        <w:t>sos. Por último, se congratula de que haya dos organ</w:t>
      </w:r>
      <w:r>
        <w:t>i</w:t>
      </w:r>
      <w:r>
        <w:t>zaciones no gubernamentales de hombres dedicadas a combatir la violencia contra las mujeres, y solicita más información sobre esas organizaciones, su tamaño y sus actividades.</w:t>
      </w:r>
    </w:p>
    <w:p w:rsidR="00EB2B9B" w:rsidRDefault="00EB2B9B">
      <w:pPr>
        <w:pStyle w:val="DualTxt"/>
      </w:pPr>
      <w:r>
        <w:t>24.</w:t>
      </w:r>
      <w:r>
        <w:tab/>
      </w:r>
      <w:r>
        <w:rPr>
          <w:b/>
        </w:rPr>
        <w:t>La Sra. Gabr</w:t>
      </w:r>
      <w:r>
        <w:t xml:space="preserve"> dice que, a pesar de los progresos logrados en Namibia en cuanto a la aplicación de los artículos 5 y 6 de la Convención, persisten estereotipos negativos en relación con la mujer. Es importante real</w:t>
      </w:r>
      <w:r>
        <w:t>i</w:t>
      </w:r>
      <w:r>
        <w:t>zar un estudio de esa cuestión y reunir información y estadísticas al respecto, y pregunta si el Estado parte tenía planes en ese sentido. También deberían organ</w:t>
      </w:r>
      <w:r>
        <w:t>i</w:t>
      </w:r>
      <w:r>
        <w:t>zarse, en cooperación con organismos internacionales, seminarios y cursos de capacitación sobre la lucha c</w:t>
      </w:r>
      <w:r>
        <w:t>o</w:t>
      </w:r>
      <w:r>
        <w:t>ntra los estereotipos, en particular para el personal del sistema de justicia y las fuerzas de policía. Esas med</w:t>
      </w:r>
      <w:r>
        <w:t>i</w:t>
      </w:r>
      <w:r>
        <w:t>das también contribuirían a combatir la violencia d</w:t>
      </w:r>
      <w:r>
        <w:t>o</w:t>
      </w:r>
      <w:r>
        <w:t>méstica y la violación. Solicita información sobre los casos de violencia doméstica y de violación denunci</w:t>
      </w:r>
      <w:r>
        <w:t>a</w:t>
      </w:r>
      <w:r>
        <w:t>dos ante los tribunales. Por último, en relación con la trata de personas, la oradora dispone de datos que p</w:t>
      </w:r>
      <w:r>
        <w:t>a</w:t>
      </w:r>
      <w:r>
        <w:t>rece indicar que el problema es más grave de lo que sugiere el informe del Estado parte, por lo que solicita más información al respecto.</w:t>
      </w:r>
    </w:p>
    <w:p w:rsidR="00EB2B9B" w:rsidRDefault="00EB2B9B">
      <w:pPr>
        <w:pStyle w:val="DualTxt"/>
      </w:pPr>
      <w:r>
        <w:t>25.</w:t>
      </w:r>
      <w:r>
        <w:tab/>
      </w:r>
      <w:r>
        <w:rPr>
          <w:b/>
        </w:rPr>
        <w:t>La Sra. Coker-Appiah</w:t>
      </w:r>
      <w:r>
        <w:t xml:space="preserve"> encomia al Gobierno por las leyes progresistas que ha promulgado para combatir la violencia contra la mujer, pero señala que no se ha conseguido que aumente el número de casos denunci</w:t>
      </w:r>
      <w:r>
        <w:t>a</w:t>
      </w:r>
      <w:r>
        <w:t>dos. Ello se debe sin duda a factores tales como la p</w:t>
      </w:r>
      <w:r>
        <w:t>o</w:t>
      </w:r>
      <w:r>
        <w:t>sición subordinada de las mujeres en la sociedad y la persistencia de los estereotipos. Además, en algunos casos las mujeres se muestran reacias a denunciar los actos de violencia marital de que son objeto por miedo a poner en peligro su matrimonio. Por consiguiente, es necesario formular estrategias para promover cambios de los valores culturales y de las mentalidades. Exhorta al Gobierno a que considere nuevas formas de abordar el problema. Observa que la cuestión de la trata de pe</w:t>
      </w:r>
      <w:r>
        <w:t>r</w:t>
      </w:r>
      <w:r>
        <w:t>sonas se aborda demasiado superficialmente en el i</w:t>
      </w:r>
      <w:r>
        <w:t>n</w:t>
      </w:r>
      <w:r>
        <w:t xml:space="preserve">forme, y pregunta por los plazos del estudio que se planea realizar al respecto. </w:t>
      </w:r>
    </w:p>
    <w:p w:rsidR="00EB2B9B" w:rsidRDefault="00EB2B9B">
      <w:pPr>
        <w:pStyle w:val="DualTxt"/>
      </w:pPr>
      <w:r>
        <w:t>26.</w:t>
      </w:r>
      <w:r>
        <w:tab/>
      </w:r>
      <w:r>
        <w:rPr>
          <w:b/>
        </w:rPr>
        <w:t>La Sra. Mungunda</w:t>
      </w:r>
      <w:r>
        <w:t xml:space="preserve"> (Namibia), respondiendo a la pregunta sobre la publicidad que se da a la Convención en Namibia, dice que todos los tratados y las leyes se ponen en conocimiento de la población a través de t</w:t>
      </w:r>
      <w:r>
        <w:t>a</w:t>
      </w:r>
      <w:r>
        <w:t>lleres, seminarios y programas de radio organizados en el marco de acuerdos entre organismos públicos y el sector privado. El 8 de marzo de 2006, Día Internaci</w:t>
      </w:r>
      <w:r>
        <w:t>o</w:t>
      </w:r>
      <w:r>
        <w:t>nal de la Mujer, la Primera Dama inauguró una base de tatos sobre la violencia doméstica, y en el mismo año se introdujo en esa base de datos información sobre el número de casos registrados, las lesiones sufridas por las víctimas y las medidas adoptadas. En esa iniciativa han colaborado ONG y otras partes, como organismos de las Naciones Unidas. Destaca que en realidad se ha registrado un aumento de las denuncias. Eso no signif</w:t>
      </w:r>
      <w:r>
        <w:t>i</w:t>
      </w:r>
      <w:r>
        <w:t>ca necesariamente que haya más víctimas, sino que e</w:t>
      </w:r>
      <w:r>
        <w:t>s</w:t>
      </w:r>
      <w:r>
        <w:t>tán dando resultado los esfuerzos del Gobierno en pro del empoderamiento de las víctimas. Se imparte cap</w:t>
      </w:r>
      <w:r>
        <w:t>a</w:t>
      </w:r>
      <w:r>
        <w:t>citación especial a la policía para que al interrogar a las víctimas observen determinadas normas, y se han est</w:t>
      </w:r>
      <w:r>
        <w:t>a</w:t>
      </w:r>
      <w:r>
        <w:t>blecido centros de atención a personas maltratadas. Una ONG denominada Namibian Men for Change está realizando una valiosa labor en las escuelas mediante actividades tendentes a enseñar a mantener en el hogar una actitud pacífica que excluya la violencia domést</w:t>
      </w:r>
      <w:r>
        <w:t>i</w:t>
      </w:r>
      <w:r>
        <w:t>ca.</w:t>
      </w:r>
    </w:p>
    <w:p w:rsidR="00EB2B9B" w:rsidRDefault="00EB2B9B">
      <w:pPr>
        <w:pStyle w:val="DualTxt"/>
      </w:pPr>
      <w:r>
        <w:t>27.</w:t>
      </w:r>
      <w:r>
        <w:tab/>
      </w:r>
      <w:r>
        <w:rPr>
          <w:b/>
        </w:rPr>
        <w:t>La Sra. Ausiku</w:t>
      </w:r>
      <w:r>
        <w:t xml:space="preserve"> (Namibia) dice que el Ministerio de Igualdad de Género y Bienestar de la Infancia ha e</w:t>
      </w:r>
      <w:r>
        <w:t>s</w:t>
      </w:r>
      <w:r>
        <w:t>tablecido foros regionales con dirigentes religiosos y otras partes interesadas con el fin de impulsar su estr</w:t>
      </w:r>
      <w:r>
        <w:t>a</w:t>
      </w:r>
      <w:r>
        <w:t>tegia de igualdad de género. También ha compilado e</w:t>
      </w:r>
      <w:r>
        <w:t>s</w:t>
      </w:r>
      <w:r>
        <w:t>tadísticas correspondientes al período 2002-2005, que pueden facilitarse al Comité. En junio de 2007 se pl</w:t>
      </w:r>
      <w:r>
        <w:t>a</w:t>
      </w:r>
      <w:r>
        <w:t>nea celebrar una conferencia sobre violencia doméstica con miras a la adopción de una estrategia nacional; en ella se abordará también la cuestión del trato de pers</w:t>
      </w:r>
      <w:r>
        <w:t>o</w:t>
      </w:r>
      <w:r>
        <w:t>nas.</w:t>
      </w:r>
    </w:p>
    <w:p w:rsidR="00EB2B9B" w:rsidRDefault="00EB2B9B">
      <w:pPr>
        <w:pStyle w:val="DualTxt"/>
      </w:pPr>
      <w:r>
        <w:t>28.</w:t>
      </w:r>
      <w:r>
        <w:tab/>
      </w:r>
      <w:r>
        <w:rPr>
          <w:b/>
        </w:rPr>
        <w:t>La Sra. Mungunda</w:t>
      </w:r>
      <w:r>
        <w:t xml:space="preserve"> (Namibia) conviene en que las leyes por sí solas no pueden provocar los cambios, sino que han de reforzarse con estrategias prácticas. El sufrimiento silencioso del pueblo namibiano forma pa</w:t>
      </w:r>
      <w:r>
        <w:t>r</w:t>
      </w:r>
      <w:r>
        <w:t>te de su herencia histórica de pobreza y analfabetismo. De ahí que el Gobierno haya puesto en marcha pr</w:t>
      </w:r>
      <w:r>
        <w:t>o</w:t>
      </w:r>
      <w:r>
        <w:t>gramas de empoderamiento tendentes a informar a la población sobre sus derechos y los recursos disponibles para las víctimas de malos tratos. Como consecuencia han aumentado considerablemente las tasas de alfabet</w:t>
      </w:r>
      <w:r>
        <w:t>i</w:t>
      </w:r>
      <w:r>
        <w:t>zación: el 90% de las personas puede ahora escribir su nombre y no tiene que firmar con su huella dactilar. Esas medidas han resultado muy útiles para promover una mejor comprensión de los derechos individuales, pero ha sido necesario promulgar ante todo un instr</w:t>
      </w:r>
      <w:r>
        <w:t>u</w:t>
      </w:r>
      <w:r>
        <w:t xml:space="preserve">mento jurídico. </w:t>
      </w:r>
    </w:p>
    <w:p w:rsidR="00EB2B9B" w:rsidRDefault="00EB2B9B">
      <w:pPr>
        <w:pStyle w:val="DualTxt"/>
      </w:pPr>
      <w:r>
        <w:t>29.</w:t>
      </w:r>
      <w:r>
        <w:tab/>
      </w:r>
      <w:r>
        <w:rPr>
          <w:b/>
        </w:rPr>
        <w:t>El Sr. Flinterman</w:t>
      </w:r>
      <w:r>
        <w:t xml:space="preserve"> dice que agradecería más i</w:t>
      </w:r>
      <w:r>
        <w:t>n</w:t>
      </w:r>
      <w:r>
        <w:t>formación sobre la situación de la Convención en el ordenamiento jurídico interno, habida cuenta de las p</w:t>
      </w:r>
      <w:r>
        <w:t>o</w:t>
      </w:r>
      <w:r>
        <w:t>sibilidades que ofrece a las mujeres de hacer valer sus derechos en los planos nacional e internacional. Desea saber si el hecho de que la Convención forme parte de la legislación interna significa que tiene el mismo ra</w:t>
      </w:r>
      <w:r>
        <w:t>n</w:t>
      </w:r>
      <w:r>
        <w:t>go jurídico que las leyes internas y puede en cons</w:t>
      </w:r>
      <w:r>
        <w:t>e</w:t>
      </w:r>
      <w:r>
        <w:t>cuencia ser derogada por leyes posteriores, o bien que tiene precedencia, como la Constitución, sobre cua</w:t>
      </w:r>
      <w:r>
        <w:t>l</w:t>
      </w:r>
      <w:r>
        <w:t>quier ley que no guarde conformidad con ella. Como parte de la legislación interna, sus disposiciones se d</w:t>
      </w:r>
      <w:r>
        <w:t>e</w:t>
      </w:r>
      <w:r>
        <w:t>ben poder invocar ante los tribunales; sin embargo, en los procedimientos judiciales no parece haber refere</w:t>
      </w:r>
      <w:r>
        <w:t>n</w:t>
      </w:r>
      <w:r>
        <w:t>cias a la Convención ni a las interpretaciones pertine</w:t>
      </w:r>
      <w:r>
        <w:t>n</w:t>
      </w:r>
      <w:r>
        <w:t>tes del Comité. Pregunta qué se está haciendo para s</w:t>
      </w:r>
      <w:r>
        <w:t>e</w:t>
      </w:r>
      <w:r>
        <w:t>ñalar las disposiciones de la Convención a la atención de la judicatura.</w:t>
      </w:r>
    </w:p>
    <w:p w:rsidR="00EB2B9B" w:rsidRDefault="00EB2B9B">
      <w:pPr>
        <w:pStyle w:val="DualTxt"/>
      </w:pPr>
      <w:r>
        <w:t>30.</w:t>
      </w:r>
      <w:r>
        <w:tab/>
      </w:r>
      <w:r>
        <w:rPr>
          <w:b/>
        </w:rPr>
        <w:t>La Sra. Shin</w:t>
      </w:r>
      <w:r>
        <w:t xml:space="preserve"> solicita estadísticas anuales sobre la violencia contra la mujer e información sobre la co</w:t>
      </w:r>
      <w:r>
        <w:t>m</w:t>
      </w:r>
      <w:r>
        <w:t xml:space="preserve">posición y las actividades de las dos ONG de hombres que funcionan en Namibia. </w:t>
      </w:r>
    </w:p>
    <w:p w:rsidR="00EB2B9B" w:rsidRDefault="00EB2B9B">
      <w:pPr>
        <w:pStyle w:val="DualTxt"/>
      </w:pPr>
      <w:r>
        <w:t>31.</w:t>
      </w:r>
      <w:r>
        <w:tab/>
      </w:r>
      <w:r>
        <w:rPr>
          <w:b/>
        </w:rPr>
        <w:t>La Sra. Neubauer</w:t>
      </w:r>
      <w:r>
        <w:t xml:space="preserve"> dice que el Gobierno ha di</w:t>
      </w:r>
      <w:r>
        <w:t>s</w:t>
      </w:r>
      <w:r>
        <w:t>puesto de tiempo suficiente para aplicar medidas te</w:t>
      </w:r>
      <w:r>
        <w:t>n</w:t>
      </w:r>
      <w:r>
        <w:t>dentes a subsanar las deficiencias indicadas anterio</w:t>
      </w:r>
      <w:r>
        <w:t>r</w:t>
      </w:r>
      <w:r>
        <w:t>mente por el Comité, y solicita información al respe</w:t>
      </w:r>
      <w:r>
        <w:t>c</w:t>
      </w:r>
      <w:r>
        <w:t xml:space="preserve">to. También desea saber qué se ha hecho para fortalecer el papel de los medios de comunicación, que pueden desempeñar una función muy positiva en la promoción de los derechos de la mujer. </w:t>
      </w:r>
    </w:p>
    <w:p w:rsidR="00EB2B9B" w:rsidRDefault="00EB2B9B">
      <w:pPr>
        <w:pStyle w:val="DualTxt"/>
      </w:pPr>
      <w:r>
        <w:t>32.</w:t>
      </w:r>
      <w:r>
        <w:tab/>
      </w:r>
      <w:r>
        <w:rPr>
          <w:b/>
        </w:rPr>
        <w:t>La Sra. Haitembu</w:t>
      </w:r>
      <w:r>
        <w:t xml:space="preserve"> (Namibia) dice que, antes de someterlo al Parlamento para su aprobación, cualquier tratado internacional se examina a la luz de la legisl</w:t>
      </w:r>
      <w:r>
        <w:t>a</w:t>
      </w:r>
      <w:r>
        <w:t>ción nacional general y del derecho consuetudinario. Puede entonces estimarse necesario, antes de proceder a la ratificación, introducir reservas o modificar leyes nacionales existentes. Puesto que Namibia ha ratificado la Convención sin reservas, no puede eludirse ninguna de sus disposiciones. Se ha publicado información s</w:t>
      </w:r>
      <w:r>
        <w:t>o</w:t>
      </w:r>
      <w:r>
        <w:t>bre la Convención en la Gaceta Oficial, y corresponde al ministerio competente informar a la población sobre cómo hacer valer los derechos así reconocidos.</w:t>
      </w:r>
    </w:p>
    <w:p w:rsidR="00EB2B9B" w:rsidRDefault="00EB2B9B">
      <w:pPr>
        <w:pStyle w:val="DualTxt"/>
      </w:pPr>
      <w:r>
        <w:t>33.</w:t>
      </w:r>
      <w:r>
        <w:tab/>
      </w:r>
      <w:r>
        <w:rPr>
          <w:b/>
        </w:rPr>
        <w:t>El Sr. Shipoh</w:t>
      </w:r>
      <w:r>
        <w:t xml:space="preserve"> (Namibia) dice que todas las leyes incorporadas a la legislación de Namibia, incluidos los instrumentos jurídicos internacionales, deben guardar conformidad con la Constitución del país, y que las disposiciones de la Convención pueden invocarse ante los tribunales siempre que sea necesario. Namibian Men for Change es una organización que tiene por f</w:t>
      </w:r>
      <w:r>
        <w:t>i</w:t>
      </w:r>
      <w:r>
        <w:t>nalidad promover la paz e inducir a los hombre a mod</w:t>
      </w:r>
      <w:r>
        <w:t>i</w:t>
      </w:r>
      <w:r>
        <w:t>ficar sus actitudes hacia las mujeres, en particular l</w:t>
      </w:r>
      <w:r>
        <w:t>u</w:t>
      </w:r>
      <w:r>
        <w:t>chando contra los estereotipos. Realiza actividades en las escuelas, donde enseña a los niños a respetar a las niñas como derechos humanos con los mismos der</w:t>
      </w:r>
      <w:r>
        <w:t>e</w:t>
      </w:r>
      <w:r>
        <w:t>chos. No  se dispone por el momento de información sobre los miembros con que cuenta esa organización.</w:t>
      </w:r>
    </w:p>
    <w:p w:rsidR="00EB2B9B" w:rsidRDefault="00EB2B9B">
      <w:pPr>
        <w:pStyle w:val="DualTxt"/>
      </w:pPr>
      <w:r>
        <w:t>34.</w:t>
      </w:r>
      <w:r>
        <w:tab/>
      </w:r>
      <w:r>
        <w:rPr>
          <w:b/>
        </w:rPr>
        <w:t>La Sra. Ausiku</w:t>
      </w:r>
      <w:r>
        <w:t xml:space="preserve"> (Namibia) dice que los medios de comunicación desempeñan un papel importante en la sensibilización sobre cuestiones de género. Se alie</w:t>
      </w:r>
      <w:r>
        <w:t>n</w:t>
      </w:r>
      <w:r>
        <w:t>ta a esos medios a formular sus propias políticas de g</w:t>
      </w:r>
      <w:r>
        <w:t>é</w:t>
      </w:r>
      <w:r>
        <w:t>nero, y algunos han puesto en marcha por iniciativa propia campañas de sensibilización. También hay dos ONG de hombres, Namibian Men for Change y Men against Violence against Women, que trabajan activ</w:t>
      </w:r>
      <w:r>
        <w:t>a</w:t>
      </w:r>
      <w:r>
        <w:t>mente por promover los derechos de las mujeres.</w:t>
      </w:r>
    </w:p>
    <w:p w:rsidR="00EB2B9B" w:rsidRDefault="00EB2B9B">
      <w:pPr>
        <w:pStyle w:val="DualTxt"/>
      </w:pPr>
      <w:r>
        <w:t>35.</w:t>
      </w:r>
      <w:r>
        <w:tab/>
        <w:t>Su Gobierno ha indicado, en consulta con las pa</w:t>
      </w:r>
      <w:r>
        <w:t>r</w:t>
      </w:r>
      <w:r>
        <w:t>tes interesadas, los siguientes problemas relacionados con los derechos de la mujer: la violencia de género, que será objeto de una conferencia nacional que se c</w:t>
      </w:r>
      <w:r>
        <w:t>e</w:t>
      </w:r>
      <w:r>
        <w:t>lebrará en junio de 2007; el VIH/SIDA; la conciencia de los derechos humanos y de todas las protecciones jurídicas pertinentes; la situación de los niños que se quedan huérfanos o en situación de vulnerabilidad c</w:t>
      </w:r>
      <w:r>
        <w:t>o</w:t>
      </w:r>
      <w:r>
        <w:t>mo consecuencia del VIH/SIDA; la necesidad de a</w:t>
      </w:r>
      <w:r>
        <w:t>u</w:t>
      </w:r>
      <w:r>
        <w:t>mentar la representación de las mujeres en la vida p</w:t>
      </w:r>
      <w:r>
        <w:t>ú</w:t>
      </w:r>
      <w:r>
        <w:t>blica; la pobreza y la necesidad de empoderar econ</w:t>
      </w:r>
      <w:r>
        <w:t>ó</w:t>
      </w:r>
      <w:r>
        <w:t>micamente a las mujeres para mejorar su situación; y el acceso de las mujeres a servicios de atención de salud y de  salud reproductiva.</w:t>
      </w:r>
    </w:p>
    <w:p w:rsidR="00EB2B9B" w:rsidRDefault="00EB2B9B">
      <w:pPr>
        <w:pStyle w:val="DualTxt"/>
      </w:pPr>
      <w:r>
        <w:t>36.</w:t>
      </w:r>
      <w:r>
        <w:tab/>
        <w:t>La principal institución competente en cuestiones relacionadas con los derechos de la mujer es el Mini</w:t>
      </w:r>
      <w:r>
        <w:t>s</w:t>
      </w:r>
      <w:r>
        <w:t>terio de Igualdad de Genero y Bienestar de la Infancia. Aunque se han designado coordinadores de las cuesti</w:t>
      </w:r>
      <w:r>
        <w:t>o</w:t>
      </w:r>
      <w:r>
        <w:t>nes de género en los departamentos gubernamentales, los funcionarios en cuestión se han limitado a añadir las cuestiones de género a las responsabilidades que tenían asignadas anteriormente. Es, pues, un objetivo prioritario asignar esa función a funcionarios que se ocupen a tiempo completo y con dedicación exclusiva a las cuestiones de género. Su Gobierno está tratando también de aumentar el número de mujeres en el Pa</w:t>
      </w:r>
      <w:r>
        <w:t>r</w:t>
      </w:r>
      <w:r>
        <w:t>lamento y otorgará atención prioritaria a la promulg</w:t>
      </w:r>
      <w:r>
        <w:t>a</w:t>
      </w:r>
      <w:r>
        <w:t>ción de las bases legislativas de la Comisión de Gén</w:t>
      </w:r>
      <w:r>
        <w:t>e</w:t>
      </w:r>
      <w:r>
        <w:t>ro.</w:t>
      </w:r>
    </w:p>
    <w:p w:rsidR="00EB2B9B" w:rsidRDefault="00EB2B9B">
      <w:pPr>
        <w:pStyle w:val="DualTxt"/>
        <w:spacing w:after="0" w:line="120" w:lineRule="exact"/>
        <w:rPr>
          <w:sz w:val="10"/>
        </w:rPr>
      </w:pPr>
    </w:p>
    <w:p w:rsidR="00EB2B9B" w:rsidRDefault="00EB2B9B">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EB2B9B" w:rsidRDefault="00EB2B9B">
      <w:pPr>
        <w:pStyle w:val="DualTxt"/>
        <w:keepNext/>
        <w:spacing w:after="0" w:line="120" w:lineRule="exact"/>
        <w:rPr>
          <w:sz w:val="10"/>
        </w:rPr>
      </w:pPr>
    </w:p>
    <w:p w:rsidR="00EB2B9B" w:rsidRDefault="00EB2B9B">
      <w:pPr>
        <w:pStyle w:val="DualTxt"/>
        <w:keepNext/>
      </w:pPr>
      <w:r>
        <w:t>37.</w:t>
      </w:r>
      <w:r>
        <w:tab/>
      </w:r>
      <w:r>
        <w:rPr>
          <w:b/>
        </w:rPr>
        <w:t>La Sra. Saiga</w:t>
      </w:r>
      <w:r>
        <w:t xml:space="preserve"> solicita más información sobre el proceso electoral, sobre los efectos de la Ley de acción afirmativa (empleo) en cuanto al aumento de la repr</w:t>
      </w:r>
      <w:r>
        <w:t>e</w:t>
      </w:r>
      <w:r>
        <w:t>sentación de las mujeres en la vida pública, y sobre si, como se recomendaba en las observaciones finales del Comité al informe inicial del Estado parte, los partidos políticos y el Gobierno han adoptado medidas para i</w:t>
      </w:r>
      <w:r>
        <w:t>n</w:t>
      </w:r>
      <w:r>
        <w:t>crementar la representación de las mujeres, por eje</w:t>
      </w:r>
      <w:r>
        <w:t>m</w:t>
      </w:r>
      <w:r>
        <w:t>plo estableciendo cuotas mínimas de mujeres candid</w:t>
      </w:r>
      <w:r>
        <w:t>a</w:t>
      </w:r>
      <w:r>
        <w:t>tas. Pregunta cuántos de los seis miembros designados de la Asamblea Nacional son mujeres y pide aclaraci</w:t>
      </w:r>
      <w:r>
        <w:t>o</w:t>
      </w:r>
      <w:r>
        <w:t>nes sobre la situación de las mujeres en los órganos l</w:t>
      </w:r>
      <w:r>
        <w:t>o</w:t>
      </w:r>
      <w:r>
        <w:t>cales, regionales, comunitarios y tradicionales.</w:t>
      </w:r>
    </w:p>
    <w:p w:rsidR="00EB2B9B" w:rsidRDefault="00EB2B9B">
      <w:pPr>
        <w:pStyle w:val="DualTxt"/>
      </w:pPr>
      <w:r>
        <w:t>38.</w:t>
      </w:r>
      <w:r>
        <w:tab/>
      </w:r>
      <w:r>
        <w:rPr>
          <w:b/>
        </w:rPr>
        <w:t>La Sra. Halperin-Kaddari</w:t>
      </w:r>
      <w:r>
        <w:t xml:space="preserve"> observa que, según los informes consolidados de Namibia, las estructuras tradicionales están dominadas por hombres. Se pregu</w:t>
      </w:r>
      <w:r>
        <w:t>n</w:t>
      </w:r>
      <w:r>
        <w:t>ta, pues, si no existen dos sistemas jurídicos paralelos, uno de los cuales es bastante represivo, a los que están sujetas en diversa medida las mujeres, y si las estruct</w:t>
      </w:r>
      <w:r>
        <w:t>u</w:t>
      </w:r>
      <w:r>
        <w:t>ras tradicionales no están en realidad exentas de las disposiciones de la Constitución o de la Convención, aunque el Estado parte no haya formulado ninguna r</w:t>
      </w:r>
      <w:r>
        <w:t>e</w:t>
      </w:r>
      <w:r>
        <w:t>serva al respecto.</w:t>
      </w:r>
    </w:p>
    <w:p w:rsidR="00EB2B9B" w:rsidRDefault="00EB2B9B">
      <w:pPr>
        <w:pStyle w:val="DualTxt"/>
      </w:pPr>
      <w:r>
        <w:t>39.</w:t>
      </w:r>
      <w:r>
        <w:tab/>
        <w:t>Según las respuestas escritas facilitadas por el E</w:t>
      </w:r>
      <w:r>
        <w:t>s</w:t>
      </w:r>
      <w:r>
        <w:t>tado parte, se han registrado aumentos importantes de la representación de las mujeres en la vida pública, i</w:t>
      </w:r>
      <w:r>
        <w:t>n</w:t>
      </w:r>
      <w:r>
        <w:t>cluso a los niveles más altos, lo que ha de atribuirse sin duda a la aplicación de la Ley de acción afirmativa (empleo). Por consiguiente, convendría que se facilit</w:t>
      </w:r>
      <w:r>
        <w:t>a</w:t>
      </w:r>
      <w:r>
        <w:t>ra más información sobre la Comisión de Igualdad en el Empleo, indicando si está facultada, además de para examinar las cuestiones de género, para entablar pr</w:t>
      </w:r>
      <w:r>
        <w:t>o</w:t>
      </w:r>
      <w:r>
        <w:t>cedimientos contra los infractores. En caso afirmativo, pregunta cuál es el procedimiento para ello y qué sa</w:t>
      </w:r>
      <w:r>
        <w:t>n</w:t>
      </w:r>
      <w:r>
        <w:t>ciones pueden imponerse.</w:t>
      </w:r>
    </w:p>
    <w:p w:rsidR="00EB2B9B" w:rsidRDefault="00EB2B9B">
      <w:pPr>
        <w:pStyle w:val="DualTxt"/>
      </w:pPr>
      <w:r>
        <w:t>40.</w:t>
      </w:r>
      <w:r>
        <w:tab/>
      </w:r>
      <w:r>
        <w:rPr>
          <w:b/>
        </w:rPr>
        <w:t>La Sra. Mungunda</w:t>
      </w:r>
      <w:r>
        <w:t xml:space="preserve"> (Namibia) dice que las ele</w:t>
      </w:r>
      <w:r>
        <w:t>c</w:t>
      </w:r>
      <w:r>
        <w:t>ciones se celebran cada cinco años; las siguientes te</w:t>
      </w:r>
      <w:r>
        <w:t>n</w:t>
      </w:r>
      <w:r>
        <w:t>drán lugar en 2009. La Asamblea Nacional y las aut</w:t>
      </w:r>
      <w:r>
        <w:t>o</w:t>
      </w:r>
      <w:r>
        <w:t>ridades locales son elegidas por un sistema de repr</w:t>
      </w:r>
      <w:r>
        <w:t>e</w:t>
      </w:r>
      <w:r>
        <w:t>sentación proporcional, y el Consejo Nacional por un sistema uninominal en el que sólo sale elegido el ca</w:t>
      </w:r>
      <w:r>
        <w:t>n</w:t>
      </w:r>
      <w:r>
        <w:t>didato más votado, lo que dificulta la elección de muj</w:t>
      </w:r>
      <w:r>
        <w:t>e</w:t>
      </w:r>
      <w:r>
        <w:t>res. Se ha modificado la Ley de autoridades locales p</w:t>
      </w:r>
      <w:r>
        <w:t>a</w:t>
      </w:r>
      <w:r>
        <w:t>ra permitir que resulten elegidas más mujeres en las elecciones locales, y en la actualidad son mujeres el 45% de los concejales. Se alienta a los partidos de á</w:t>
      </w:r>
      <w:r>
        <w:t>m</w:t>
      </w:r>
      <w:r>
        <w:t>bito nacional que establezcan cuotas de mujeres entre sus candidatos. La finalidad de la Ley de acción afi</w:t>
      </w:r>
      <w:r>
        <w:t>r</w:t>
      </w:r>
      <w:r>
        <w:t>mativa (empleo) es cumplir el objetivo de la Unión Africana de aumentar al 50% la proporción de mujeres en puestos directivos del sector público. La aplicación de la Ley compete al Ministerio de Trabajo, del que también depende la Comisión de Igualdad en el E</w:t>
      </w:r>
      <w:r>
        <w:t>m</w:t>
      </w:r>
      <w:r>
        <w:t>pleo. El Ministerio de Trabajo otorga prioridad a las empresas que han realizados progresos hacia la igua</w:t>
      </w:r>
      <w:r>
        <w:t>l</w:t>
      </w:r>
      <w:r>
        <w:t>dad de género.</w:t>
      </w:r>
    </w:p>
    <w:p w:rsidR="00EB2B9B" w:rsidRDefault="00EB2B9B">
      <w:pPr>
        <w:pStyle w:val="DualTxt"/>
      </w:pPr>
      <w:r>
        <w:t>41.</w:t>
      </w:r>
      <w:r>
        <w:tab/>
        <w:t>El Gobierno se ha fijado por objetivo aumentar la representación de mujeres en el Parlamento y en la administración pública; en la actualidad son mujeres el 27% de los miembros de la Asamblea Nacional y del Consejo Nacional. La proporción es menor en los co</w:t>
      </w:r>
      <w:r>
        <w:t>n</w:t>
      </w:r>
      <w:r>
        <w:t>sejos regionales, que son elegidos por un sistema un</w:t>
      </w:r>
      <w:r>
        <w:t>i</w:t>
      </w:r>
      <w:r>
        <w:t>nominal de mayoría relativa. Las estructuras tradici</w:t>
      </w:r>
      <w:r>
        <w:t>o</w:t>
      </w:r>
      <w:r>
        <w:t>nales de gobierno, descuidadas en la época colonial, se han revitalizado deliberadamente a partir de la ind</w:t>
      </w:r>
      <w:r>
        <w:t>e</w:t>
      </w:r>
      <w:r>
        <w:t>pendencia. No constituyen necesariamente un obstác</w:t>
      </w:r>
      <w:r>
        <w:t>u</w:t>
      </w:r>
      <w:r>
        <w:t>lo para la emancipación de la mujer; algunos clanes y tribus, por ejemplo, han adoptado medidas eficaces p</w:t>
      </w:r>
      <w:r>
        <w:t>a</w:t>
      </w:r>
      <w:r>
        <w:t>ra combatir el VIH/SIDA y la violencia doméstica.</w:t>
      </w:r>
    </w:p>
    <w:p w:rsidR="00EB2B9B" w:rsidRDefault="00EB2B9B">
      <w:pPr>
        <w:pStyle w:val="DualTxt"/>
        <w:keepLines/>
      </w:pPr>
      <w:r>
        <w:t>42.</w:t>
      </w:r>
      <w:r>
        <w:tab/>
      </w:r>
      <w:r>
        <w:rPr>
          <w:b/>
        </w:rPr>
        <w:t>La Sra. Coker-Appiah</w:t>
      </w:r>
      <w:r>
        <w:t xml:space="preserve"> dice que comprende el deseo del Estado parte de mantener la cultura tradici</w:t>
      </w:r>
      <w:r>
        <w:t>o</w:t>
      </w:r>
      <w:r>
        <w:t>nal, pero subraya que eso no debe servir de pretexto para la perpetuación de los estereotipos. Las tradici</w:t>
      </w:r>
      <w:r>
        <w:t>o</w:t>
      </w:r>
      <w:r>
        <w:t>nes y costumbres deben adaptarse para respetar los d</w:t>
      </w:r>
      <w:r>
        <w:t>e</w:t>
      </w:r>
      <w:r>
        <w:t>rechos humanos garantizados por la Constitución.</w:t>
      </w:r>
    </w:p>
    <w:p w:rsidR="00EB2B9B" w:rsidRDefault="00EB2B9B">
      <w:pPr>
        <w:pStyle w:val="DualTxt"/>
      </w:pPr>
      <w:r>
        <w:t>43.</w:t>
      </w:r>
      <w:r>
        <w:tab/>
      </w:r>
      <w:r>
        <w:rPr>
          <w:b/>
        </w:rPr>
        <w:t>La Presidenta</w:t>
      </w:r>
      <w:r>
        <w:t>, hablando a título personal, pr</w:t>
      </w:r>
      <w:r>
        <w:t>e</w:t>
      </w:r>
      <w:r>
        <w:t>gunta si en la legislación del Estado parte relativa a la violación se tipifica como delito la violación dentro del matrimonio.</w:t>
      </w:r>
    </w:p>
    <w:p w:rsidR="00EB2B9B" w:rsidRDefault="00EB2B9B">
      <w:pPr>
        <w:pStyle w:val="DualTxt"/>
      </w:pPr>
      <w:r>
        <w:t>44.</w:t>
      </w:r>
      <w:r>
        <w:tab/>
      </w:r>
      <w:r>
        <w:rPr>
          <w:b/>
        </w:rPr>
        <w:t>La Sra. Mungunda</w:t>
      </w:r>
      <w:r>
        <w:t xml:space="preserve"> (Namibia) confirma que la violación dentro del matrimonio es un delito punible. Dice que la incorporación de la perspectiva de género es un proceso que se impulsa desde arriba, incluso en las estructuras tradicionales. El jefe de la tribu más numerosa del país es una mujer, y hay muchas mujeres a cargo de ministerios o en puestos importantes de la administración pública. Todos los dirigentes del país reconocen la importancia de promover los derechos de la mujer dentro de las culturas tradicionales, de abordar problemas tales como el del VIH/SIDA y de eliminar las prácticas perjudiciales al tiempo que se preserva la cultura tradicional.</w:t>
      </w:r>
    </w:p>
    <w:p w:rsidR="00EB2B9B" w:rsidRDefault="00EB2B9B">
      <w:pPr>
        <w:pStyle w:val="DualTxt"/>
      </w:pPr>
      <w:r>
        <w:t>45.</w:t>
      </w:r>
      <w:r>
        <w:tab/>
      </w:r>
      <w:r>
        <w:rPr>
          <w:b/>
        </w:rPr>
        <w:t>La Sra. Ausiku</w:t>
      </w:r>
      <w:r>
        <w:t xml:space="preserve"> (Namibia) dice que las estruct</w:t>
      </w:r>
      <w:r>
        <w:t>u</w:t>
      </w:r>
      <w:r>
        <w:t>ras tradicionales se rigen por la Ley sobre la autoridad tradicional, que regula la elección de los jefes tradici</w:t>
      </w:r>
      <w:r>
        <w:t>o</w:t>
      </w:r>
      <w:r>
        <w:t>nales y de sus asesores. El Gobierno está trabajando para alentar a las mujeres a desempeñar un papel más activo a ese nivel, y ya hay unas cuantas mujeres que son jefas tradicionales. En cuanto a la representación de las mujeres en la judicatura, señala que el 39% de los jueces son mujeres.</w:t>
      </w:r>
    </w:p>
    <w:p w:rsidR="00EB2B9B" w:rsidRDefault="00EB2B9B">
      <w:pPr>
        <w:pStyle w:val="DualTxt"/>
      </w:pPr>
      <w:r>
        <w:t>46.</w:t>
      </w:r>
      <w:r>
        <w:tab/>
      </w:r>
      <w:r>
        <w:rPr>
          <w:b/>
        </w:rPr>
        <w:t>La Sra. Haitembu</w:t>
      </w:r>
      <w:r>
        <w:t xml:space="preserve"> (Namibia) explica que el d</w:t>
      </w:r>
      <w:r>
        <w:t>e</w:t>
      </w:r>
      <w:r>
        <w:t>recho consuetudinario coexiste con el derecho civil y lo complementa. El derecho civil rige para toda la p</w:t>
      </w:r>
      <w:r>
        <w:t>o</w:t>
      </w:r>
      <w:r>
        <w:t>blación, aunque en ocasiones puede aplicarse a través de mecanismos tradicionales. Además, en las leyes tr</w:t>
      </w:r>
      <w:r>
        <w:t>a</w:t>
      </w:r>
      <w:r>
        <w:t>dicionales se recogen algunas medidas antiguas que se aplicaban sólo en determinadas regiones del país. La Constitución, como ley suprema del país, tiene prec</w:t>
      </w:r>
      <w:r>
        <w:t>e</w:t>
      </w:r>
      <w:r>
        <w:t>dencia sobre el derecho consuetudinario. Análogame</w:t>
      </w:r>
      <w:r>
        <w:t>n</w:t>
      </w:r>
      <w:r>
        <w:t>te, las convenciones internacionales se examinan antes de su ratificación para comprobar que sus disposici</w:t>
      </w:r>
      <w:r>
        <w:t>o</w:t>
      </w:r>
      <w:r>
        <w:t>nes no están en conflicto con la Constitución.</w:t>
      </w:r>
    </w:p>
    <w:p w:rsidR="00EB2B9B" w:rsidRDefault="00EB2B9B">
      <w:pPr>
        <w:pStyle w:val="DualTxt"/>
        <w:jc w:val="left"/>
        <w:rPr>
          <w:i/>
          <w:iCs/>
        </w:rPr>
      </w:pPr>
      <w:r>
        <w:rPr>
          <w:i/>
          <w:iCs/>
        </w:rPr>
        <w:t xml:space="preserve">Se levanta la sesión a las 13.00 horas. </w:t>
      </w:r>
    </w:p>
    <w:sectPr w:rsidR="00EB2B9B">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1T01:18:00Z" w:initials="Start">
    <w:p w:rsidR="00E565D7" w:rsidRPr="00E565D7" w:rsidRDefault="00E565D7">
      <w:pPr>
        <w:pStyle w:val="CommentText"/>
        <w:rPr>
          <w:lang w:val="en-US"/>
        </w:rPr>
      </w:pPr>
      <w:r>
        <w:fldChar w:fldCharType="begin"/>
      </w:r>
      <w:r w:rsidRPr="00E565D7">
        <w:rPr>
          <w:rStyle w:val="CommentReference"/>
          <w:lang w:val="en-US"/>
        </w:rPr>
        <w:instrText xml:space="preserve"> </w:instrText>
      </w:r>
      <w:r w:rsidRPr="00E565D7">
        <w:rPr>
          <w:lang w:val="en-US"/>
        </w:rPr>
        <w:instrText>PAGE \# "'Page: '#'</w:instrText>
      </w:r>
      <w:r w:rsidRPr="00E565D7">
        <w:rPr>
          <w:lang w:val="en-US"/>
        </w:rPr>
        <w:br/>
        <w:instrText>'"</w:instrText>
      </w:r>
      <w:r w:rsidRPr="00E565D7">
        <w:rPr>
          <w:rStyle w:val="CommentReference"/>
          <w:lang w:val="en-US"/>
        </w:rPr>
        <w:instrText xml:space="preserve"> </w:instrText>
      </w:r>
      <w:r>
        <w:fldChar w:fldCharType="end"/>
      </w:r>
      <w:r>
        <w:rPr>
          <w:rStyle w:val="CommentReference"/>
        </w:rPr>
        <w:annotationRef/>
      </w:r>
      <w:r w:rsidRPr="00E565D7">
        <w:rPr>
          <w:lang w:val="en-US"/>
        </w:rPr>
        <w:t>&lt;&lt;ODS JOB NO&gt;&gt;N0721125S&lt;&lt;ODS JOB NO&gt;&gt;</w:t>
      </w:r>
    </w:p>
    <w:p w:rsidR="00E565D7" w:rsidRPr="00E565D7" w:rsidRDefault="00E565D7">
      <w:pPr>
        <w:pStyle w:val="CommentText"/>
        <w:rPr>
          <w:lang w:val="en-US"/>
        </w:rPr>
      </w:pPr>
      <w:r w:rsidRPr="00E565D7">
        <w:rPr>
          <w:lang w:val="en-US"/>
        </w:rPr>
        <w:t>&lt;&lt;ODS DOC SYMBOL1&gt;&gt;CEDAW/C/SR.759 (A)&lt;&lt;ODS DOC SYMBOL1&gt;&gt;</w:t>
      </w:r>
    </w:p>
    <w:p w:rsidR="00E565D7" w:rsidRPr="00E565D7" w:rsidRDefault="00E565D7">
      <w:pPr>
        <w:pStyle w:val="CommentText"/>
        <w:rPr>
          <w:lang w:val="en-US"/>
        </w:rPr>
      </w:pPr>
      <w:r w:rsidRPr="00E565D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5D7" w:rsidRDefault="00E565D7">
      <w:r>
        <w:separator/>
      </w:r>
    </w:p>
  </w:endnote>
  <w:endnote w:type="continuationSeparator" w:id="0">
    <w:p w:rsidR="00E565D7" w:rsidRDefault="00E56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565D7">
      <w:tblPrEx>
        <w:tblCellMar>
          <w:top w:w="0" w:type="dxa"/>
          <w:bottom w:w="0" w:type="dxa"/>
        </w:tblCellMar>
      </w:tblPrEx>
      <w:tc>
        <w:tcPr>
          <w:tcW w:w="5033" w:type="dxa"/>
          <w:vAlign w:val="bottom"/>
        </w:tcPr>
        <w:p w:rsidR="00E565D7" w:rsidRDefault="00E565D7">
          <w:pPr>
            <w:pStyle w:val="Footer"/>
            <w:rPr>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9C7F9B">
            <w:rPr>
              <w:rStyle w:val="PageNumber"/>
              <w:sz w:val="14"/>
            </w:rPr>
            <w:t>6</w:t>
          </w:r>
          <w:r>
            <w:rPr>
              <w:rStyle w:val="PageNumber"/>
              <w:sz w:val="14"/>
            </w:rPr>
            <w:fldChar w:fldCharType="end"/>
          </w:r>
        </w:p>
      </w:tc>
      <w:tc>
        <w:tcPr>
          <w:tcW w:w="5033" w:type="dxa"/>
          <w:vAlign w:val="bottom"/>
        </w:tcPr>
        <w:p w:rsidR="00E565D7" w:rsidRDefault="00E565D7">
          <w:pPr>
            <w:pStyle w:val="Footer"/>
            <w:jc w:val="right"/>
            <w:rPr>
              <w:sz w:val="14"/>
            </w:rPr>
          </w:pPr>
          <w:r>
            <w:rPr>
              <w:sz w:val="14"/>
            </w:rPr>
            <w:t>0721125s</w:t>
          </w:r>
        </w:p>
      </w:tc>
    </w:tr>
  </w:tbl>
  <w:p w:rsidR="00E565D7" w:rsidRDefault="00E565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E565D7">
      <w:tblPrEx>
        <w:tblCellMar>
          <w:top w:w="0" w:type="dxa"/>
          <w:bottom w:w="0" w:type="dxa"/>
        </w:tblCellMar>
      </w:tblPrEx>
      <w:tc>
        <w:tcPr>
          <w:tcW w:w="5033" w:type="dxa"/>
          <w:vAlign w:val="bottom"/>
        </w:tcPr>
        <w:p w:rsidR="00E565D7" w:rsidRDefault="00E565D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9C7F9B">
            <w:rPr>
              <w:b w:val="0"/>
              <w:sz w:val="14"/>
            </w:rPr>
            <w:t>0721125s.doc</w:t>
          </w:r>
          <w:r>
            <w:rPr>
              <w:b w:val="0"/>
              <w:sz w:val="14"/>
            </w:rPr>
            <w:fldChar w:fldCharType="end"/>
          </w:r>
        </w:p>
      </w:tc>
      <w:tc>
        <w:tcPr>
          <w:tcW w:w="5033" w:type="dxa"/>
          <w:vAlign w:val="bottom"/>
        </w:tcPr>
        <w:p w:rsidR="00E565D7" w:rsidRDefault="00E565D7">
          <w:pPr>
            <w:pStyle w:val="Footer"/>
            <w:jc w:val="right"/>
            <w:rPr>
              <w:b w:val="0"/>
              <w:sz w:val="14"/>
            </w:rPr>
          </w:pPr>
          <w:r>
            <w:rPr>
              <w:rStyle w:val="PageNumber"/>
              <w:sz w:val="14"/>
            </w:rPr>
            <w:fldChar w:fldCharType="begin"/>
          </w:r>
          <w:r>
            <w:rPr>
              <w:rStyle w:val="PageNumber"/>
              <w:sz w:val="14"/>
            </w:rPr>
            <w:instrText xml:space="preserve"> PAGE </w:instrText>
          </w:r>
          <w:r>
            <w:rPr>
              <w:rStyle w:val="PageNumber"/>
              <w:sz w:val="14"/>
            </w:rPr>
            <w:fldChar w:fldCharType="separate"/>
          </w:r>
          <w:r w:rsidR="009C7F9B">
            <w:rPr>
              <w:rStyle w:val="PageNumber"/>
              <w:sz w:val="14"/>
            </w:rPr>
            <w:t>7</w:t>
          </w:r>
          <w:r>
            <w:rPr>
              <w:rStyle w:val="PageNumber"/>
              <w:sz w:val="14"/>
            </w:rPr>
            <w:fldChar w:fldCharType="end"/>
          </w:r>
        </w:p>
      </w:tc>
    </w:tr>
  </w:tbl>
  <w:p w:rsidR="00E565D7" w:rsidRDefault="00E565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5D7" w:rsidRDefault="00E565D7">
    <w:pPr>
      <w:pStyle w:val="Footer"/>
      <w:pBdr>
        <w:top w:val="single" w:sz="2" w:space="1" w:color="auto"/>
      </w:pBdr>
      <w:rPr>
        <w:sz w:val="2"/>
      </w:rPr>
    </w:pPr>
  </w:p>
  <w:p w:rsidR="00E565D7" w:rsidRDefault="00E565D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565D7" w:rsidRDefault="00E565D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565D7" w:rsidRDefault="00E565D7">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565D7" w:rsidRDefault="00E565D7">
    <w:pPr>
      <w:pStyle w:val="FootnoteText"/>
      <w:spacing w:line="120" w:lineRule="exact"/>
      <w:ind w:left="1267" w:right="1267" w:firstLine="0"/>
      <w:rPr>
        <w:sz w:val="10"/>
      </w:rPr>
    </w:pPr>
  </w:p>
  <w:p w:rsidR="00E565D7" w:rsidRDefault="00E565D7">
    <w:pPr>
      <w:pStyle w:val="Footer"/>
      <w:rPr>
        <w:b w:val="0"/>
        <w:sz w:val="20"/>
      </w:rPr>
    </w:pPr>
    <w:r>
      <w:rPr>
        <w:b w:val="0"/>
        <w:sz w:val="20"/>
      </w:rPr>
      <w:t>07-21125 (S)</w:t>
    </w:r>
  </w:p>
  <w:p w:rsidR="00E565D7" w:rsidRPr="00E565D7" w:rsidRDefault="00E565D7" w:rsidP="00E565D7">
    <w:pPr>
      <w:pStyle w:val="Footer"/>
      <w:spacing w:before="120" w:line="240" w:lineRule="exact"/>
      <w:rPr>
        <w:rFonts w:ascii="Barcode 3 of 9 by request" w:hAnsi="Barcode 3 of 9 by request"/>
        <w:b w:val="0"/>
        <w:sz w:val="24"/>
      </w:rPr>
    </w:pPr>
    <w:r w:rsidRPr="00E565D7">
      <w:rPr>
        <w:rFonts w:ascii="Barcode 3 of 9 by request" w:hAnsi="Barcode 3 of 9 by request"/>
        <w:b w:val="0"/>
        <w:sz w:val="24"/>
      </w:rPr>
      <w:t>*0721125*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5D7" w:rsidRDefault="00E565D7">
      <w:r>
        <w:separator/>
      </w:r>
    </w:p>
  </w:footnote>
  <w:footnote w:type="continuationSeparator" w:id="0">
    <w:p w:rsidR="00E565D7" w:rsidRDefault="00E565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5D7" w:rsidRDefault="00E565D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65D7">
                  <w:tblPrEx>
                    <w:tblCellMar>
                      <w:top w:w="0" w:type="dxa"/>
                      <w:bottom w:w="0" w:type="dxa"/>
                    </w:tblCellMar>
                  </w:tblPrEx>
                  <w:trPr>
                    <w:trHeight w:hRule="exact" w:val="864"/>
                  </w:trPr>
                  <w:tc>
                    <w:tcPr>
                      <w:tcW w:w="4838" w:type="dxa"/>
                      <w:vAlign w:val="bottom"/>
                    </w:tcPr>
                    <w:p w:rsidR="00E565D7" w:rsidRDefault="00E565D7">
                      <w:pPr>
                        <w:pStyle w:val="Header"/>
                        <w:spacing w:after="80"/>
                        <w:rPr>
                          <w:b/>
                        </w:rPr>
                      </w:pPr>
                      <w:r>
                        <w:rPr>
                          <w:b/>
                        </w:rPr>
                        <w:t>CEDAW/C/SR.759 (A)</w:t>
                      </w:r>
                    </w:p>
                  </w:tc>
                  <w:tc>
                    <w:tcPr>
                      <w:tcW w:w="5048" w:type="dxa"/>
                      <w:vAlign w:val="bottom"/>
                    </w:tcPr>
                    <w:p w:rsidR="00E565D7" w:rsidRDefault="00E565D7">
                      <w:pPr>
                        <w:pStyle w:val="Header"/>
                      </w:pPr>
                    </w:p>
                  </w:tc>
                </w:tr>
              </w:tbl>
              <w:p w:rsidR="00E565D7" w:rsidRDefault="00E565D7">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5D7" w:rsidRDefault="00E565D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65D7">
                  <w:tblPrEx>
                    <w:tblCellMar>
                      <w:top w:w="0" w:type="dxa"/>
                      <w:bottom w:w="0" w:type="dxa"/>
                    </w:tblCellMar>
                  </w:tblPrEx>
                  <w:trPr>
                    <w:trHeight w:hRule="exact" w:val="864"/>
                  </w:trPr>
                  <w:tc>
                    <w:tcPr>
                      <w:tcW w:w="4838" w:type="dxa"/>
                      <w:vAlign w:val="bottom"/>
                    </w:tcPr>
                    <w:p w:rsidR="00E565D7" w:rsidRDefault="00E565D7">
                      <w:pPr>
                        <w:pStyle w:val="Header"/>
                      </w:pPr>
                    </w:p>
                  </w:tc>
                  <w:tc>
                    <w:tcPr>
                      <w:tcW w:w="5048" w:type="dxa"/>
                      <w:vAlign w:val="bottom"/>
                    </w:tcPr>
                    <w:p w:rsidR="00E565D7" w:rsidRDefault="00E565D7">
                      <w:pPr>
                        <w:pStyle w:val="Header"/>
                        <w:spacing w:after="80"/>
                        <w:jc w:val="right"/>
                        <w:rPr>
                          <w:b/>
                        </w:rPr>
                      </w:pPr>
                      <w:r>
                        <w:rPr>
                          <w:b/>
                        </w:rPr>
                        <w:t>CEDAW/C/SR.759 (A)</w:t>
                      </w:r>
                    </w:p>
                  </w:tc>
                </w:tr>
              </w:tbl>
              <w:p w:rsidR="00E565D7" w:rsidRDefault="00E565D7">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565D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565D7" w:rsidRDefault="00E565D7">
          <w:pPr>
            <w:pStyle w:val="Header"/>
            <w:spacing w:after="120"/>
          </w:pPr>
        </w:p>
      </w:tc>
      <w:tc>
        <w:tcPr>
          <w:tcW w:w="2059" w:type="dxa"/>
          <w:tcBorders>
            <w:top w:val="nil"/>
            <w:left w:val="nil"/>
            <w:bottom w:val="single" w:sz="4" w:space="0" w:color="auto"/>
            <w:right w:val="nil"/>
          </w:tcBorders>
          <w:vAlign w:val="bottom"/>
        </w:tcPr>
        <w:p w:rsidR="00E565D7" w:rsidRDefault="00E565D7">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E565D7" w:rsidRDefault="00E565D7">
          <w:pPr>
            <w:pStyle w:val="Header"/>
            <w:spacing w:after="120"/>
          </w:pPr>
        </w:p>
      </w:tc>
      <w:tc>
        <w:tcPr>
          <w:tcW w:w="6523" w:type="dxa"/>
          <w:gridSpan w:val="3"/>
          <w:tcBorders>
            <w:top w:val="nil"/>
            <w:left w:val="nil"/>
            <w:bottom w:val="single" w:sz="4" w:space="0" w:color="auto"/>
            <w:right w:val="nil"/>
          </w:tcBorders>
          <w:vAlign w:val="bottom"/>
        </w:tcPr>
        <w:p w:rsidR="00E565D7" w:rsidRDefault="00E565D7">
          <w:pPr>
            <w:spacing w:after="80" w:line="240" w:lineRule="auto"/>
            <w:jc w:val="right"/>
            <w:rPr>
              <w:position w:val="-4"/>
            </w:rPr>
          </w:pPr>
          <w:r>
            <w:rPr>
              <w:position w:val="-4"/>
              <w:sz w:val="40"/>
            </w:rPr>
            <w:t>CEDAW</w:t>
          </w:r>
          <w:r>
            <w:rPr>
              <w:position w:val="-4"/>
            </w:rPr>
            <w:t>/C/SR.759 (A)</w:t>
          </w:r>
        </w:p>
      </w:tc>
    </w:tr>
    <w:tr w:rsidR="00E565D7">
      <w:tblPrEx>
        <w:tblCellMar>
          <w:top w:w="0" w:type="dxa"/>
          <w:bottom w:w="0" w:type="dxa"/>
        </w:tblCellMar>
      </w:tblPrEx>
      <w:trPr>
        <w:trHeight w:hRule="exact" w:val="2880"/>
      </w:trPr>
      <w:tc>
        <w:tcPr>
          <w:tcW w:w="1267" w:type="dxa"/>
          <w:tcBorders>
            <w:left w:val="nil"/>
            <w:bottom w:val="single" w:sz="12" w:space="0" w:color="auto"/>
            <w:right w:val="nil"/>
          </w:tcBorders>
        </w:tcPr>
        <w:p w:rsidR="00E565D7" w:rsidRDefault="00E565D7">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65D7" w:rsidRDefault="00E565D7">
          <w:pPr>
            <w:pStyle w:val="Header"/>
            <w:spacing w:before="109"/>
            <w:rPr>
              <w:lang w:val="es-ES"/>
            </w:rPr>
          </w:pPr>
        </w:p>
      </w:tc>
      <w:tc>
        <w:tcPr>
          <w:tcW w:w="5227" w:type="dxa"/>
          <w:gridSpan w:val="3"/>
          <w:tcBorders>
            <w:left w:val="nil"/>
            <w:bottom w:val="single" w:sz="12" w:space="0" w:color="auto"/>
            <w:right w:val="nil"/>
          </w:tcBorders>
        </w:tcPr>
        <w:p w:rsidR="00E565D7" w:rsidRDefault="00E565D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E565D7" w:rsidRDefault="00E565D7">
          <w:pPr>
            <w:pStyle w:val="Header"/>
            <w:spacing w:before="109"/>
            <w:rPr>
              <w:lang w:val="es-ES"/>
            </w:rPr>
          </w:pPr>
        </w:p>
      </w:tc>
      <w:tc>
        <w:tcPr>
          <w:tcW w:w="3180" w:type="dxa"/>
          <w:gridSpan w:val="2"/>
          <w:tcBorders>
            <w:left w:val="nil"/>
            <w:bottom w:val="single" w:sz="12" w:space="0" w:color="auto"/>
            <w:right w:val="nil"/>
          </w:tcBorders>
        </w:tcPr>
        <w:p w:rsidR="00E565D7" w:rsidRDefault="00E565D7">
          <w:pPr>
            <w:spacing w:before="240"/>
          </w:pPr>
          <w:r>
            <w:t>Distr. general</w:t>
          </w:r>
        </w:p>
        <w:p w:rsidR="00E565D7" w:rsidRDefault="00E565D7">
          <w:r>
            <w:t>26 de enero de 2007</w:t>
          </w:r>
        </w:p>
        <w:p w:rsidR="00E565D7" w:rsidRDefault="00E565D7">
          <w:r>
            <w:t>Español</w:t>
          </w:r>
        </w:p>
        <w:p w:rsidR="00E565D7" w:rsidRDefault="00E565D7">
          <w:r>
            <w:t>Original: inglés</w:t>
          </w:r>
        </w:p>
      </w:tc>
    </w:tr>
  </w:tbl>
  <w:p w:rsidR="00E565D7" w:rsidRDefault="00E565D7">
    <w:pPr>
      <w:pStyle w:val="Header"/>
      <w:rPr>
        <w:sz w:val="2"/>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25*"/>
    <w:docVar w:name="CreationDt" w:val="3/13/2007 2:27: PM"/>
    <w:docVar w:name="DocCategory" w:val="SROthers"/>
    <w:docVar w:name="DocType" w:val="Final"/>
    <w:docVar w:name="jobn" w:val="07-21125 (S)"/>
    <w:docVar w:name="JobNo" w:val="0721125S"/>
    <w:docVar w:name="OandT" w:val="Globol"/>
    <w:docVar w:name="sss1" w:val="CEDAW/C/SR.759 (A)"/>
    <w:docVar w:name="sss2" w:val="-"/>
    <w:docVar w:name="Symbol1" w:val="CEDAW/C/SR.759 (A)"/>
    <w:docVar w:name="Symbol2" w:val="-"/>
  </w:docVars>
  <w:rsids>
    <w:rsidRoot w:val="0076263D"/>
    <w:rsid w:val="0076263D"/>
    <w:rsid w:val="00832E9F"/>
    <w:rsid w:val="00957E23"/>
    <w:rsid w:val="009C7F9B"/>
    <w:rsid w:val="00AC0F41"/>
    <w:rsid w:val="00E565D7"/>
    <w:rsid w:val="00EB2B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76263D"/>
    <w:rPr>
      <w:rFonts w:ascii="Tahoma" w:hAnsi="Tahoma" w:cs="Tahoma"/>
      <w:sz w:val="16"/>
      <w:szCs w:val="16"/>
    </w:rPr>
  </w:style>
  <w:style w:type="paragraph" w:styleId="CommentSubject">
    <w:name w:val="annotation subject"/>
    <w:basedOn w:val="CommentText"/>
    <w:next w:val="CommentText"/>
    <w:semiHidden/>
    <w:rsid w:val="00E565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5362</Words>
  <Characters>28585</Characters>
  <Application>Microsoft Office Word</Application>
  <DocSecurity>4</DocSecurity>
  <Lines>714</Lines>
  <Paragraphs>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33875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gloria</dc:creator>
  <cp:keywords/>
  <dc:description/>
  <cp:lastModifiedBy>Marquez, Nelly</cp:lastModifiedBy>
  <cp:revision>4</cp:revision>
  <cp:lastPrinted>2007-03-20T23:19:00Z</cp:lastPrinted>
  <dcterms:created xsi:type="dcterms:W3CDTF">2007-03-20T23:17:00Z</dcterms:created>
  <dcterms:modified xsi:type="dcterms:W3CDTF">2007-03-20T23:21:00Z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0721125</vt:lpwstr>
  </property>
  <property fmtid="{D5CDD505-2E9C-101B-9397-08002B2CF9AE}" pid="3" name="Symbol1">
    <vt:lpwstr>CEDAW/C/SR.759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Globol/Nelly</vt:lpwstr>
  </property>
</Properties>
</file>