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1D84750" w14:textId="77777777" w:rsidTr="009D5F1A">
        <w:trPr>
          <w:trHeight w:hRule="exact" w:val="851"/>
        </w:trPr>
        <w:tc>
          <w:tcPr>
            <w:tcW w:w="1276" w:type="dxa"/>
            <w:tcBorders>
              <w:bottom w:val="single" w:sz="4" w:space="0" w:color="auto"/>
            </w:tcBorders>
          </w:tcPr>
          <w:p w14:paraId="51A69B4A" w14:textId="77777777" w:rsidR="00DC0149" w:rsidRPr="00DB58B5" w:rsidRDefault="00DC0149" w:rsidP="0061197B"/>
        </w:tc>
        <w:tc>
          <w:tcPr>
            <w:tcW w:w="2268" w:type="dxa"/>
            <w:tcBorders>
              <w:bottom w:val="single" w:sz="4" w:space="0" w:color="auto"/>
            </w:tcBorders>
            <w:vAlign w:val="bottom"/>
          </w:tcPr>
          <w:p w14:paraId="7FA03AD9"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FE9649" w14:textId="0B21045D" w:rsidR="00DC0149" w:rsidRPr="00DB58B5" w:rsidRDefault="0061197B" w:rsidP="0061197B">
            <w:pPr>
              <w:jc w:val="right"/>
            </w:pPr>
            <w:r w:rsidRPr="0061197B">
              <w:rPr>
                <w:sz w:val="40"/>
              </w:rPr>
              <w:t>CERD</w:t>
            </w:r>
            <w:r>
              <w:t>/C/GEO/Q/9-10</w:t>
            </w:r>
          </w:p>
        </w:tc>
      </w:tr>
      <w:tr w:rsidR="00DC0149" w:rsidRPr="00DB58B5" w14:paraId="272B16F1" w14:textId="77777777" w:rsidTr="009D5F1A">
        <w:trPr>
          <w:trHeight w:hRule="exact" w:val="2835"/>
        </w:trPr>
        <w:tc>
          <w:tcPr>
            <w:tcW w:w="1276" w:type="dxa"/>
            <w:tcBorders>
              <w:top w:val="single" w:sz="4" w:space="0" w:color="auto"/>
              <w:bottom w:val="single" w:sz="12" w:space="0" w:color="auto"/>
            </w:tcBorders>
          </w:tcPr>
          <w:p w14:paraId="613484E7" w14:textId="77777777" w:rsidR="00DC0149" w:rsidRPr="00DB58B5" w:rsidRDefault="00DC0149" w:rsidP="009D5F1A">
            <w:pPr>
              <w:spacing w:before="120"/>
              <w:jc w:val="center"/>
            </w:pPr>
            <w:r>
              <w:rPr>
                <w:noProof/>
                <w:lang w:eastAsia="fr-CH"/>
              </w:rPr>
              <w:drawing>
                <wp:inline distT="0" distB="0" distL="0" distR="0" wp14:anchorId="01095251" wp14:editId="5DA791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DB7EA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29BD4723" w14:textId="77777777" w:rsidR="00DC0149" w:rsidRDefault="0061197B" w:rsidP="009D5F1A">
            <w:pPr>
              <w:spacing w:before="240"/>
            </w:pPr>
            <w:r>
              <w:t>Distr. générale</w:t>
            </w:r>
          </w:p>
          <w:p w14:paraId="5444DEDC" w14:textId="77777777" w:rsidR="0061197B" w:rsidRDefault="0061197B" w:rsidP="0061197B">
            <w:pPr>
              <w:spacing w:line="240" w:lineRule="exact"/>
            </w:pPr>
            <w:r>
              <w:t>15 novembre 2022</w:t>
            </w:r>
          </w:p>
          <w:p w14:paraId="75EB1682" w14:textId="77777777" w:rsidR="0061197B" w:rsidRDefault="0061197B" w:rsidP="0061197B">
            <w:pPr>
              <w:spacing w:line="240" w:lineRule="exact"/>
            </w:pPr>
            <w:r>
              <w:t>Français</w:t>
            </w:r>
          </w:p>
          <w:p w14:paraId="465FB7B9" w14:textId="77777777" w:rsidR="0061197B" w:rsidRDefault="0061197B" w:rsidP="0061197B">
            <w:pPr>
              <w:spacing w:line="240" w:lineRule="exact"/>
            </w:pPr>
            <w:r>
              <w:t>Original : anglais</w:t>
            </w:r>
          </w:p>
          <w:p w14:paraId="1D963990" w14:textId="61180295" w:rsidR="0061197B" w:rsidRPr="00DB58B5" w:rsidRDefault="0061197B" w:rsidP="0061197B">
            <w:pPr>
              <w:spacing w:line="240" w:lineRule="exact"/>
            </w:pPr>
            <w:r w:rsidRPr="001454DB">
              <w:t>Anglais, espagnol et français seulement</w:t>
            </w:r>
          </w:p>
        </w:tc>
      </w:tr>
    </w:tbl>
    <w:p w14:paraId="3B1BD5EC" w14:textId="77777777" w:rsidR="00623CA8" w:rsidRDefault="00623CA8" w:rsidP="00623CA8">
      <w:pPr>
        <w:spacing w:before="120"/>
        <w:rPr>
          <w:b/>
          <w:sz w:val="24"/>
          <w:szCs w:val="24"/>
        </w:rPr>
      </w:pPr>
      <w:r w:rsidRPr="00C56102">
        <w:rPr>
          <w:b/>
          <w:sz w:val="24"/>
          <w:szCs w:val="24"/>
        </w:rPr>
        <w:t>Comité pour l’élimination de la discrimination raciale</w:t>
      </w:r>
    </w:p>
    <w:p w14:paraId="52E0AF28" w14:textId="77777777" w:rsidR="0061197B" w:rsidRPr="001454DB" w:rsidRDefault="0061197B" w:rsidP="0061197B">
      <w:pPr>
        <w:rPr>
          <w:b/>
          <w:lang w:val="fr-FR"/>
        </w:rPr>
      </w:pPr>
      <w:r>
        <w:rPr>
          <w:b/>
          <w:bCs/>
          <w:lang w:val="fr-FR"/>
        </w:rPr>
        <w:t>108</w:t>
      </w:r>
      <w:r>
        <w:rPr>
          <w:b/>
          <w:bCs/>
          <w:vertAlign w:val="superscript"/>
          <w:lang w:val="fr-FR"/>
        </w:rPr>
        <w:t>e</w:t>
      </w:r>
      <w:r>
        <w:rPr>
          <w:b/>
          <w:bCs/>
          <w:lang w:val="fr-FR"/>
        </w:rPr>
        <w:t> session</w:t>
      </w:r>
    </w:p>
    <w:p w14:paraId="10AC62FB" w14:textId="77777777" w:rsidR="0061197B" w:rsidRPr="001454DB" w:rsidRDefault="0061197B" w:rsidP="0061197B">
      <w:pPr>
        <w:rPr>
          <w:lang w:val="fr-FR"/>
        </w:rPr>
      </w:pPr>
      <w:r>
        <w:rPr>
          <w:lang w:val="fr-FR"/>
        </w:rPr>
        <w:t xml:space="preserve">14 novembre-2 décembre 2022 </w:t>
      </w:r>
    </w:p>
    <w:p w14:paraId="405DFBAB" w14:textId="77777777" w:rsidR="0061197B" w:rsidRPr="001454DB" w:rsidRDefault="0061197B" w:rsidP="0061197B">
      <w:pPr>
        <w:rPr>
          <w:lang w:val="fr-FR"/>
        </w:rPr>
      </w:pPr>
      <w:r>
        <w:rPr>
          <w:lang w:val="fr-FR"/>
        </w:rPr>
        <w:t>Point 4 de l’ordre du jour provisoire</w:t>
      </w:r>
    </w:p>
    <w:p w14:paraId="0C0BA339" w14:textId="77777777" w:rsidR="0061197B" w:rsidRPr="001720CA" w:rsidRDefault="0061197B"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 9 de la Convention</w:t>
      </w:r>
    </w:p>
    <w:p w14:paraId="56F1B08E" w14:textId="77777777" w:rsidR="0061197B" w:rsidRPr="001454DB" w:rsidRDefault="0061197B" w:rsidP="0061197B">
      <w:pPr>
        <w:pStyle w:val="HChG"/>
        <w:rPr>
          <w:lang w:val="fr-FR"/>
        </w:rPr>
      </w:pPr>
      <w:r>
        <w:rPr>
          <w:lang w:val="fr-FR"/>
        </w:rPr>
        <w:tab/>
      </w:r>
      <w:r>
        <w:rPr>
          <w:lang w:val="fr-FR"/>
        </w:rPr>
        <w:tab/>
        <w:t>Liste de thèmes concernant le rapport de la Géorgie valant neuvième et dixième rapports périodiques</w:t>
      </w:r>
    </w:p>
    <w:p w14:paraId="110F0E6E" w14:textId="77777777" w:rsidR="0061197B" w:rsidRPr="001454DB" w:rsidRDefault="0061197B" w:rsidP="0061197B">
      <w:pPr>
        <w:pStyle w:val="H1G"/>
        <w:rPr>
          <w:lang w:val="fr-FR"/>
        </w:rPr>
      </w:pPr>
      <w:r>
        <w:rPr>
          <w:lang w:val="fr-FR"/>
        </w:rPr>
        <w:tab/>
      </w:r>
      <w:r>
        <w:rPr>
          <w:lang w:val="fr-FR"/>
        </w:rPr>
        <w:tab/>
        <w:t>Note du rapporteur pour le pays</w:t>
      </w:r>
      <w:r w:rsidRPr="0061197B">
        <w:rPr>
          <w:rStyle w:val="Appelnotedebasdep"/>
          <w:b w:val="0"/>
          <w:bCs/>
          <w:sz w:val="20"/>
          <w:szCs w:val="22"/>
          <w:vertAlign w:val="baseline"/>
          <w:lang w:val="fr-FR"/>
        </w:rPr>
        <w:footnoteReference w:customMarkFollows="1" w:id="2"/>
        <w:t>*</w:t>
      </w:r>
    </w:p>
    <w:p w14:paraId="09A95972" w14:textId="77777777" w:rsidR="0061197B" w:rsidRPr="001454DB" w:rsidRDefault="0061197B" w:rsidP="0061197B">
      <w:pPr>
        <w:pStyle w:val="SingleTxtG"/>
        <w:rPr>
          <w:lang w:val="fr-FR"/>
        </w:rPr>
      </w:pPr>
      <w:r>
        <w:rPr>
          <w:lang w:val="fr-FR"/>
        </w:rPr>
        <w:t>1.</w:t>
      </w:r>
      <w:r>
        <w:rPr>
          <w:lang w:val="fr-FR"/>
        </w:rPr>
        <w:tab/>
        <w:t>À sa soixante-seizième session</w:t>
      </w:r>
      <w:r w:rsidRPr="0061197B">
        <w:rPr>
          <w:rStyle w:val="Appelnotedebasdep"/>
        </w:rPr>
        <w:footnoteReference w:id="3"/>
      </w:r>
      <w:r>
        <w:rPr>
          <w:lang w:val="fr-FR"/>
        </w:rPr>
        <w:t>,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14:paraId="40D928D4" w14:textId="67E5F875" w:rsidR="0061197B" w:rsidRPr="001454DB" w:rsidRDefault="0061197B" w:rsidP="0061197B">
      <w:pPr>
        <w:pStyle w:val="H23G"/>
        <w:rPr>
          <w:lang w:val="fr-FR"/>
        </w:rPr>
      </w:pPr>
      <w:r>
        <w:rPr>
          <w:lang w:val="fr-FR"/>
        </w:rPr>
        <w:tab/>
      </w:r>
      <w:r>
        <w:rPr>
          <w:lang w:val="fr-FR"/>
        </w:rPr>
        <w:tab/>
        <w:t>La Convention dans le droit interne et le cadre institutionnel et stratégique régissant sa mise en œuvre (art.</w:t>
      </w:r>
      <w:r>
        <w:rPr>
          <w:lang w:val="fr-FR"/>
        </w:rPr>
        <w:t xml:space="preserve"> </w:t>
      </w:r>
      <w:r>
        <w:rPr>
          <w:lang w:val="fr-FR"/>
        </w:rPr>
        <w:t>1</w:t>
      </w:r>
      <w:r>
        <w:rPr>
          <w:vertAlign w:val="superscript"/>
          <w:lang w:val="fr-FR"/>
        </w:rPr>
        <w:t>er</w:t>
      </w:r>
      <w:r>
        <w:rPr>
          <w:lang w:val="fr-FR"/>
        </w:rPr>
        <w:t>, 2, 4, 6 et 7)</w:t>
      </w:r>
      <w:bookmarkStart w:id="0" w:name="_Hlk119328068"/>
      <w:bookmarkEnd w:id="0"/>
    </w:p>
    <w:p w14:paraId="6600329E" w14:textId="02515513" w:rsidR="0061197B" w:rsidRPr="001454DB" w:rsidRDefault="0061197B" w:rsidP="0061197B">
      <w:pPr>
        <w:pStyle w:val="SingleTxtG"/>
        <w:rPr>
          <w:lang w:val="fr-FR"/>
        </w:rPr>
      </w:pPr>
      <w:r w:rsidRPr="0061197B">
        <w:rPr>
          <w:lang w:val="fr-FR"/>
        </w:rPr>
        <w:t>2.</w:t>
      </w:r>
      <w:r w:rsidRPr="0061197B">
        <w:rPr>
          <w:lang w:val="fr-FR"/>
        </w:rPr>
        <w:tab/>
        <w:t>État d’avancement du processus de ratification de l’amendement à l’article 8 (par.</w:t>
      </w:r>
      <w:r w:rsidRPr="0061197B">
        <w:rPr>
          <w:lang w:val="fr-FR"/>
        </w:rPr>
        <w:t xml:space="preserve"> </w:t>
      </w:r>
      <w:r w:rsidRPr="0061197B">
        <w:rPr>
          <w:lang w:val="fr-FR"/>
        </w:rPr>
        <w:t>6) de la Convent</w:t>
      </w:r>
      <w:r>
        <w:rPr>
          <w:lang w:val="fr-FR"/>
        </w:rPr>
        <w:t>ion, adopté le 15</w:t>
      </w:r>
      <w:r>
        <w:rPr>
          <w:lang w:val="fr-FR"/>
        </w:rPr>
        <w:t> </w:t>
      </w:r>
      <w:r>
        <w:rPr>
          <w:lang w:val="fr-FR"/>
        </w:rPr>
        <w:t>janvier 1992</w:t>
      </w:r>
      <w:r w:rsidRPr="0061197B">
        <w:rPr>
          <w:rStyle w:val="Appelnotedebasdep"/>
        </w:rPr>
        <w:footnoteReference w:id="4"/>
      </w:r>
      <w:r>
        <w:rPr>
          <w:lang w:val="fr-FR"/>
        </w:rPr>
        <w:t>. Renseignements sur la mise à jour du document de base commun</w:t>
      </w:r>
      <w:r w:rsidRPr="0061197B">
        <w:rPr>
          <w:rStyle w:val="Appelnotedebasdep"/>
        </w:rPr>
        <w:footnoteReference w:id="5"/>
      </w:r>
      <w:r>
        <w:rPr>
          <w:lang w:val="fr-FR"/>
        </w:rPr>
        <w:t>.</w:t>
      </w:r>
    </w:p>
    <w:p w14:paraId="30A2BCED" w14:textId="77777777" w:rsidR="0061197B" w:rsidRPr="001454DB" w:rsidRDefault="0061197B" w:rsidP="0061197B">
      <w:pPr>
        <w:pStyle w:val="SingleTxtG"/>
        <w:rPr>
          <w:lang w:val="fr-FR"/>
        </w:rPr>
      </w:pPr>
      <w:r>
        <w:rPr>
          <w:lang w:val="fr-FR"/>
        </w:rPr>
        <w:t>3.</w:t>
      </w:r>
      <w:r>
        <w:rPr>
          <w:lang w:val="fr-FR"/>
        </w:rPr>
        <w:tab/>
        <w:t>Incorporation de la Convention dans le droit interne de l’État partie et exemples d’affaires dans lesquelles des juridictions ou d’autres organes ont appliqué la Convention ou en ont tenu compte dans leurs décisions. Mesures visant à faire connaître la Convention et la législation antidiscrimination aux magistrats, aux avocats, aux membres des forces de l’ordre et à la population.</w:t>
      </w:r>
    </w:p>
    <w:p w14:paraId="6E36AEA8" w14:textId="77777777" w:rsidR="0061197B" w:rsidRPr="001454DB" w:rsidRDefault="0061197B" w:rsidP="0061197B">
      <w:pPr>
        <w:pStyle w:val="SingleTxtG"/>
        <w:rPr>
          <w:lang w:val="fr-FR"/>
        </w:rPr>
      </w:pPr>
      <w:r>
        <w:rPr>
          <w:lang w:val="fr-FR"/>
        </w:rPr>
        <w:t>4.</w:t>
      </w:r>
      <w:r>
        <w:rPr>
          <w:lang w:val="fr-FR"/>
        </w:rPr>
        <w:tab/>
        <w:t>Conformité de la loi relative à l’élimination de toutes les formes de discrimination avec toutes les dispositions de la Convention</w:t>
      </w:r>
      <w:r w:rsidRPr="0061197B">
        <w:rPr>
          <w:rStyle w:val="Appelnotedebasdep"/>
        </w:rPr>
        <w:footnoteReference w:id="6"/>
      </w:r>
      <w:r>
        <w:rPr>
          <w:lang w:val="fr-FR"/>
        </w:rPr>
        <w:t>.</w:t>
      </w:r>
    </w:p>
    <w:p w14:paraId="42D745B6" w14:textId="05396823" w:rsidR="0061197B" w:rsidRPr="001454DB" w:rsidRDefault="0061197B" w:rsidP="0061197B">
      <w:pPr>
        <w:pStyle w:val="SingleTxtG"/>
        <w:rPr>
          <w:lang w:val="fr-FR"/>
        </w:rPr>
      </w:pPr>
      <w:r>
        <w:rPr>
          <w:lang w:val="fr-FR"/>
        </w:rPr>
        <w:t>5.</w:t>
      </w:r>
      <w:r>
        <w:rPr>
          <w:lang w:val="fr-FR"/>
        </w:rPr>
        <w:tab/>
        <w:t xml:space="preserve">Informations détaillées concernant le mandat du </w:t>
      </w:r>
      <w:bookmarkStart w:id="1" w:name="_Hlk125712893"/>
      <w:r>
        <w:rPr>
          <w:lang w:val="fr-FR"/>
        </w:rPr>
        <w:t>Défenseur public de la Géorgie</w:t>
      </w:r>
      <w:bookmarkEnd w:id="1"/>
      <w:r>
        <w:rPr>
          <w:lang w:val="fr-FR"/>
        </w:rPr>
        <w:t>, et plus particulièrement de son Département de l’égalité, en ce qui concerne les questions de discrimination raciale</w:t>
      </w:r>
      <w:r w:rsidRPr="0061197B">
        <w:rPr>
          <w:rStyle w:val="Appelnotedebasdep"/>
        </w:rPr>
        <w:footnoteReference w:id="7"/>
      </w:r>
      <w:r>
        <w:rPr>
          <w:lang w:val="fr-FR"/>
        </w:rPr>
        <w:t xml:space="preserve">. Relations entre le </w:t>
      </w:r>
      <w:r w:rsidRPr="004A4A00">
        <w:rPr>
          <w:lang w:val="fr-FR"/>
        </w:rPr>
        <w:t>Défenseur public de la Géorgie</w:t>
      </w:r>
      <w:r w:rsidRPr="004A4A00" w:rsidDel="004A4A00">
        <w:rPr>
          <w:lang w:val="fr-FR"/>
        </w:rPr>
        <w:t xml:space="preserve"> </w:t>
      </w:r>
      <w:r>
        <w:rPr>
          <w:lang w:val="fr-FR"/>
        </w:rPr>
        <w:t xml:space="preserve">et les organes </w:t>
      </w:r>
      <w:r>
        <w:rPr>
          <w:lang w:val="fr-FR"/>
        </w:rPr>
        <w:lastRenderedPageBreak/>
        <w:t xml:space="preserve">judiciaires de l’État partie. Affaires dans lesquelles des juridictions ou d’autres organes ont appliqué les recommandations du </w:t>
      </w:r>
      <w:r w:rsidRPr="003C7167">
        <w:rPr>
          <w:lang w:val="fr-FR"/>
        </w:rPr>
        <w:t>Défenseur public de la Géorgie</w:t>
      </w:r>
      <w:r w:rsidRPr="0061197B">
        <w:rPr>
          <w:rStyle w:val="Appelnotedebasdep"/>
        </w:rPr>
        <w:footnoteReference w:id="8"/>
      </w:r>
      <w:r>
        <w:rPr>
          <w:lang w:val="fr-FR"/>
        </w:rPr>
        <w:t>.</w:t>
      </w:r>
    </w:p>
    <w:p w14:paraId="579A397F" w14:textId="77777777" w:rsidR="0061197B" w:rsidRPr="001454DB" w:rsidRDefault="0061197B" w:rsidP="0061197B">
      <w:pPr>
        <w:pStyle w:val="SingleTxtG"/>
        <w:rPr>
          <w:lang w:val="fr-FR"/>
        </w:rPr>
      </w:pPr>
      <w:r>
        <w:rPr>
          <w:lang w:val="fr-FR"/>
        </w:rPr>
        <w:t>6.</w:t>
      </w:r>
      <w:r>
        <w:rPr>
          <w:lang w:val="fr-FR"/>
        </w:rPr>
        <w:tab/>
        <w:t>Effets des mesures prises par l’État partie dans les domaines de la culture et de l’éducation aux droits de l’homme au titre de l’article 7 de la Convention, notamment des campagnes de sensibilisation du public, des programmes scolaires, de la révision des manuels scolaires et de la formation proposée aux forces de l’ordre et aux enseignants. Mesures visant à rendre cette formation obligatoire</w:t>
      </w:r>
      <w:r w:rsidRPr="0061197B">
        <w:rPr>
          <w:rStyle w:val="Appelnotedebasdep"/>
        </w:rPr>
        <w:footnoteReference w:id="9"/>
      </w:r>
      <w:r>
        <w:rPr>
          <w:lang w:val="fr-FR"/>
        </w:rPr>
        <w:t>.</w:t>
      </w:r>
    </w:p>
    <w:p w14:paraId="529CA9EF" w14:textId="4703F18B" w:rsidR="0061197B" w:rsidRPr="001454DB" w:rsidRDefault="0061197B" w:rsidP="0061197B">
      <w:pPr>
        <w:pStyle w:val="SingleTxtG"/>
        <w:rPr>
          <w:lang w:val="fr-FR"/>
        </w:rPr>
      </w:pPr>
      <w:r>
        <w:rPr>
          <w:lang w:val="fr-FR"/>
        </w:rPr>
        <w:t>7.</w:t>
      </w:r>
      <w:r>
        <w:rPr>
          <w:lang w:val="fr-FR"/>
        </w:rPr>
        <w:tab/>
        <w:t>Mesures concrètes prises par les organes publics en application du Plan d’action 2018</w:t>
      </w:r>
      <w:r>
        <w:rPr>
          <w:lang w:val="fr-FR"/>
        </w:rPr>
        <w:noBreakHyphen/>
      </w:r>
      <w:r>
        <w:rPr>
          <w:lang w:val="fr-FR"/>
        </w:rPr>
        <w:t>2020 pour la mise en œuvre de la Stratégie nationale relative à la protection des droits de l’homme</w:t>
      </w:r>
      <w:r w:rsidRPr="0061197B">
        <w:rPr>
          <w:rStyle w:val="Appelnotedebasdep"/>
        </w:rPr>
        <w:footnoteReference w:id="10"/>
      </w:r>
      <w:r>
        <w:rPr>
          <w:lang w:val="fr-FR"/>
        </w:rPr>
        <w:t>.</w:t>
      </w:r>
    </w:p>
    <w:p w14:paraId="5F3005C5" w14:textId="77777777" w:rsidR="0061197B" w:rsidRPr="001454DB" w:rsidRDefault="0061197B" w:rsidP="0061197B">
      <w:pPr>
        <w:pStyle w:val="SingleTxtG"/>
        <w:rPr>
          <w:lang w:val="fr-FR"/>
        </w:rPr>
      </w:pPr>
      <w:r>
        <w:rPr>
          <w:lang w:val="fr-FR"/>
        </w:rPr>
        <w:t>8.</w:t>
      </w:r>
      <w:r>
        <w:rPr>
          <w:lang w:val="fr-FR"/>
        </w:rPr>
        <w:tab/>
        <w:t>Mesures prises pour appliquer au niveau national la Déclaration et le Programme d’action de Durban</w:t>
      </w:r>
      <w:r w:rsidRPr="0061197B">
        <w:rPr>
          <w:rStyle w:val="Appelnotedebasdep"/>
        </w:rPr>
        <w:footnoteReference w:id="11"/>
      </w:r>
      <w:r>
        <w:rPr>
          <w:lang w:val="fr-FR"/>
        </w:rPr>
        <w:t>.</w:t>
      </w:r>
    </w:p>
    <w:p w14:paraId="505A4F80" w14:textId="77777777" w:rsidR="0061197B" w:rsidRPr="001454DB" w:rsidRDefault="0061197B" w:rsidP="0061197B">
      <w:pPr>
        <w:pStyle w:val="H23G"/>
        <w:rPr>
          <w:lang w:val="fr-FR"/>
        </w:rPr>
      </w:pPr>
      <w:r>
        <w:rPr>
          <w:lang w:val="fr-FR"/>
        </w:rPr>
        <w:tab/>
      </w:r>
      <w:r>
        <w:rPr>
          <w:lang w:val="fr-FR"/>
        </w:rPr>
        <w:tab/>
        <w:t>Discours de haine à caractère raciste, incitation à la haine raciale et infractions motivées par la haine (art. 2, 4 et 6)</w:t>
      </w:r>
    </w:p>
    <w:p w14:paraId="33A8C1C9" w14:textId="77777777" w:rsidR="0061197B" w:rsidRPr="001454DB" w:rsidRDefault="0061197B" w:rsidP="0061197B">
      <w:pPr>
        <w:pStyle w:val="SingleTxtG"/>
        <w:rPr>
          <w:lang w:val="fr-FR"/>
        </w:rPr>
      </w:pPr>
      <w:r>
        <w:rPr>
          <w:lang w:val="fr-FR"/>
        </w:rPr>
        <w:t>9.</w:t>
      </w:r>
      <w:r>
        <w:rPr>
          <w:lang w:val="fr-FR"/>
        </w:rPr>
        <w:tab/>
        <w:t>Mesures visant à adopter des dispositions interdisant expressément les discours de haine à caractère raciste et les actes motivés par la haine et à garantir la pleine conformité de ces dispositions avec l’article 4 de la Convention</w:t>
      </w:r>
      <w:r w:rsidRPr="0061197B">
        <w:rPr>
          <w:rStyle w:val="Appelnotedebasdep"/>
        </w:rPr>
        <w:footnoteReference w:id="12"/>
      </w:r>
      <w:r>
        <w:rPr>
          <w:lang w:val="fr-FR"/>
        </w:rPr>
        <w:t>. Raisons du report de l’inscription dans le Code pénal de l’interdiction expresse des discours de haine à caractère raciste et des actes motivés par la haine. Application de la disposition interdisant l’incitation publique à la commission d’actes de violence, et affaires dans lesquelles des organes judiciaires ont appliqué cette disposition</w:t>
      </w:r>
      <w:r w:rsidRPr="0061197B">
        <w:rPr>
          <w:rStyle w:val="Appelnotedebasdep"/>
        </w:rPr>
        <w:footnoteReference w:id="13"/>
      </w:r>
      <w:r>
        <w:rPr>
          <w:lang w:val="fr-FR"/>
        </w:rPr>
        <w:t>.</w:t>
      </w:r>
    </w:p>
    <w:p w14:paraId="6C1EFF27" w14:textId="77777777" w:rsidR="0061197B" w:rsidRPr="001454DB" w:rsidRDefault="0061197B" w:rsidP="0061197B">
      <w:pPr>
        <w:pStyle w:val="SingleTxtG"/>
        <w:rPr>
          <w:lang w:val="fr-FR"/>
        </w:rPr>
      </w:pPr>
      <w:r>
        <w:rPr>
          <w:lang w:val="fr-FR"/>
        </w:rPr>
        <w:t>10.</w:t>
      </w:r>
      <w:r>
        <w:rPr>
          <w:lang w:val="fr-FR"/>
        </w:rPr>
        <w:tab/>
        <w:t>Affaires dans lesquelles des organes judiciaires ont appliqué les dispositions de l’article 531 du Code pénal</w:t>
      </w:r>
      <w:r w:rsidRPr="0061197B">
        <w:rPr>
          <w:rStyle w:val="Appelnotedebasdep"/>
        </w:rPr>
        <w:footnoteReference w:id="14"/>
      </w:r>
      <w:r>
        <w:rPr>
          <w:lang w:val="fr-FR"/>
        </w:rPr>
        <w:t>, érigeant notamment la motivation raciste en circonstance aggravante d’une infraction.</w:t>
      </w:r>
    </w:p>
    <w:p w14:paraId="7C2F71C7" w14:textId="2ECA2DAF" w:rsidR="0061197B" w:rsidRPr="001454DB" w:rsidRDefault="0061197B" w:rsidP="0061197B">
      <w:pPr>
        <w:pStyle w:val="SingleTxtG"/>
        <w:rPr>
          <w:lang w:val="fr-FR"/>
        </w:rPr>
      </w:pPr>
      <w:r>
        <w:rPr>
          <w:lang w:val="fr-FR"/>
        </w:rPr>
        <w:t>11.</w:t>
      </w:r>
      <w:r>
        <w:rPr>
          <w:lang w:val="fr-FR"/>
        </w:rPr>
        <w:tab/>
        <w:t>Application de l’article 23 (par.</w:t>
      </w:r>
      <w:r>
        <w:rPr>
          <w:lang w:val="fr-FR"/>
        </w:rPr>
        <w:t xml:space="preserve"> </w:t>
      </w:r>
      <w:r>
        <w:rPr>
          <w:lang w:val="fr-FR"/>
        </w:rPr>
        <w:t>3) de la Constitution, qui interdit la création de partis politiques faisant l’apologie de la guerre ou de la violence ou incitant à des conflits nationaux, ethniques, régionaux, religieux ou sociaux, et les activités de tels partis, et informations sur les affaires dans lesquelles des organes judiciaires ont appliqué cette disposition</w:t>
      </w:r>
      <w:r w:rsidRPr="0061197B">
        <w:rPr>
          <w:rStyle w:val="Appelnotedebasdep"/>
        </w:rPr>
        <w:footnoteReference w:id="15"/>
      </w:r>
      <w:r>
        <w:rPr>
          <w:lang w:val="fr-FR"/>
        </w:rPr>
        <w:t>.</w:t>
      </w:r>
    </w:p>
    <w:p w14:paraId="432CCDD0" w14:textId="77777777" w:rsidR="0061197B" w:rsidRPr="001454DB" w:rsidRDefault="0061197B" w:rsidP="0061197B">
      <w:pPr>
        <w:pStyle w:val="SingleTxtG"/>
        <w:rPr>
          <w:lang w:val="fr-FR"/>
        </w:rPr>
      </w:pPr>
      <w:r>
        <w:rPr>
          <w:lang w:val="fr-FR"/>
        </w:rPr>
        <w:t>12.</w:t>
      </w:r>
      <w:r>
        <w:rPr>
          <w:lang w:val="fr-FR"/>
        </w:rPr>
        <w:tab/>
        <w:t>Données statistiques actualisées sur les enquêtes menées concernant des actes de discrimination, les poursuites engagées contre les auteurs de ces actes, et leur issue</w:t>
      </w:r>
      <w:r w:rsidRPr="0061197B">
        <w:rPr>
          <w:rStyle w:val="Appelnotedebasdep"/>
        </w:rPr>
        <w:footnoteReference w:id="16"/>
      </w:r>
      <w:r>
        <w:rPr>
          <w:lang w:val="fr-FR"/>
        </w:rPr>
        <w:t>. Mesures visant à garantir que les discours de haine à caractère raciste et les infractions motivées par la haine</w:t>
      </w:r>
      <w:r w:rsidRPr="000E1BA7">
        <w:rPr>
          <w:lang w:val="fr-FR"/>
        </w:rPr>
        <w:t xml:space="preserve"> </w:t>
      </w:r>
      <w:r>
        <w:rPr>
          <w:lang w:val="fr-FR"/>
        </w:rPr>
        <w:t>donnent effectivement lieu à des enquêtes approfondies et à des poursuites. Mesures visant à ce que les victimes aient accès à des voies de recours et reçoivent une réparation adéquate, le cas échéant</w:t>
      </w:r>
      <w:r w:rsidRPr="0061197B">
        <w:rPr>
          <w:rStyle w:val="Appelnotedebasdep"/>
        </w:rPr>
        <w:footnoteReference w:id="17"/>
      </w:r>
      <w:r>
        <w:rPr>
          <w:lang w:val="fr-FR"/>
        </w:rPr>
        <w:t>.</w:t>
      </w:r>
    </w:p>
    <w:p w14:paraId="28E07B68" w14:textId="77777777" w:rsidR="0061197B" w:rsidRPr="001454DB" w:rsidRDefault="0061197B" w:rsidP="0061197B">
      <w:pPr>
        <w:pStyle w:val="H23G"/>
        <w:rPr>
          <w:lang w:val="fr-FR"/>
        </w:rPr>
      </w:pPr>
      <w:r>
        <w:rPr>
          <w:lang w:val="fr-FR"/>
        </w:rPr>
        <w:tab/>
      </w:r>
      <w:r>
        <w:rPr>
          <w:lang w:val="fr-FR"/>
        </w:rPr>
        <w:tab/>
        <w:t>Situation des minorités ethniques (art. 2 et 5)</w:t>
      </w:r>
    </w:p>
    <w:p w14:paraId="46EB0C43" w14:textId="77777777" w:rsidR="0061197B" w:rsidRPr="001454DB" w:rsidRDefault="0061197B" w:rsidP="0061197B">
      <w:pPr>
        <w:pStyle w:val="SingleTxtG"/>
        <w:rPr>
          <w:lang w:val="fr-FR"/>
        </w:rPr>
      </w:pPr>
      <w:r>
        <w:rPr>
          <w:lang w:val="fr-FR"/>
        </w:rPr>
        <w:t>13.</w:t>
      </w:r>
      <w:r>
        <w:rPr>
          <w:lang w:val="fr-FR"/>
        </w:rPr>
        <w:tab/>
        <w:t>Données démographiques concernant la composition ethnique de la population et sa répartition géographique, y compris les groupes numériquement faibles, comme les Kurdes, les Juifs et les personnes d’ascendance ou d’origine africaine</w:t>
      </w:r>
      <w:r w:rsidRPr="0061197B">
        <w:rPr>
          <w:rStyle w:val="Appelnotedebasdep"/>
        </w:rPr>
        <w:footnoteReference w:id="18"/>
      </w:r>
      <w:r>
        <w:rPr>
          <w:lang w:val="fr-FR"/>
        </w:rPr>
        <w:t>.</w:t>
      </w:r>
    </w:p>
    <w:p w14:paraId="42424B1E" w14:textId="77777777" w:rsidR="0061197B" w:rsidRPr="001454DB" w:rsidRDefault="0061197B" w:rsidP="0061197B">
      <w:pPr>
        <w:pStyle w:val="SingleTxtG"/>
        <w:rPr>
          <w:lang w:val="fr-FR"/>
        </w:rPr>
      </w:pPr>
      <w:r>
        <w:rPr>
          <w:lang w:val="fr-FR"/>
        </w:rPr>
        <w:t>14.</w:t>
      </w:r>
      <w:r>
        <w:rPr>
          <w:lang w:val="fr-FR"/>
        </w:rPr>
        <w:tab/>
        <w:t>Renseignements sur la représentation des minorités ethniques au sein de l’exécutif, du Parlement, des partis politiques et des autres organismes publics</w:t>
      </w:r>
      <w:r w:rsidRPr="0061197B">
        <w:rPr>
          <w:rStyle w:val="Appelnotedebasdep"/>
        </w:rPr>
        <w:footnoteReference w:id="19"/>
      </w:r>
      <w:r>
        <w:rPr>
          <w:lang w:val="fr-FR"/>
        </w:rPr>
        <w:t xml:space="preserve">. Mesures prises pour </w:t>
      </w:r>
      <w:r>
        <w:rPr>
          <w:lang w:val="fr-FR"/>
        </w:rPr>
        <w:lastRenderedPageBreak/>
        <w:t>accroître la participation politique des minorités ethniques, et renseignements sur la mise en œuvre de la Stratégie nationale pour l’égalité et l’intégration des citoyens 2015-2020 et du plan d’action y relatif</w:t>
      </w:r>
      <w:r w:rsidRPr="0061197B">
        <w:rPr>
          <w:rStyle w:val="Appelnotedebasdep"/>
        </w:rPr>
        <w:footnoteReference w:id="20"/>
      </w:r>
      <w:r>
        <w:rPr>
          <w:lang w:val="fr-FR"/>
        </w:rPr>
        <w:t>. Mesures visant à prévenir les expressions de haine à caractère raciste pendant les campagnes électorales et sanctions prévues</w:t>
      </w:r>
      <w:r w:rsidRPr="0061197B">
        <w:rPr>
          <w:rStyle w:val="Appelnotedebasdep"/>
        </w:rPr>
        <w:footnoteReference w:id="21"/>
      </w:r>
      <w:r>
        <w:rPr>
          <w:lang w:val="fr-FR"/>
        </w:rPr>
        <w:t>.</w:t>
      </w:r>
    </w:p>
    <w:p w14:paraId="0448A381" w14:textId="77777777" w:rsidR="0061197B" w:rsidRPr="001454DB" w:rsidRDefault="0061197B" w:rsidP="0061197B">
      <w:pPr>
        <w:pStyle w:val="SingleTxtG"/>
        <w:rPr>
          <w:lang w:val="fr-FR"/>
        </w:rPr>
      </w:pPr>
      <w:r>
        <w:rPr>
          <w:lang w:val="fr-FR"/>
        </w:rPr>
        <w:t>15.</w:t>
      </w:r>
      <w:r>
        <w:rPr>
          <w:lang w:val="fr-FR"/>
        </w:rPr>
        <w:tab/>
        <w:t>Renseignements actualisés concernant les mesures visant à garantir l’accès des minorités ethniques à des soins de qualité, y compris dans les zones rurales</w:t>
      </w:r>
      <w:r w:rsidRPr="0061197B">
        <w:rPr>
          <w:rStyle w:val="Appelnotedebasdep"/>
        </w:rPr>
        <w:footnoteReference w:id="22"/>
      </w:r>
      <w:r>
        <w:rPr>
          <w:lang w:val="fr-FR"/>
        </w:rPr>
        <w:t>.</w:t>
      </w:r>
    </w:p>
    <w:p w14:paraId="71B54B06" w14:textId="77777777" w:rsidR="0061197B" w:rsidRPr="001454DB" w:rsidRDefault="0061197B" w:rsidP="0061197B">
      <w:pPr>
        <w:pStyle w:val="SingleTxtG"/>
        <w:rPr>
          <w:lang w:val="fr-FR"/>
        </w:rPr>
      </w:pPr>
      <w:r>
        <w:rPr>
          <w:lang w:val="fr-FR"/>
        </w:rPr>
        <w:t>16.</w:t>
      </w:r>
      <w:r>
        <w:rPr>
          <w:lang w:val="fr-FR"/>
        </w:rPr>
        <w:tab/>
        <w:t>Accès des minorités ethniques et nationales à l’emploi, y compris dans les zones rurales. Effets des stratégies et des programmes mis en œuvre dans ce domaine depuis 2015</w:t>
      </w:r>
      <w:r w:rsidRPr="0061197B">
        <w:rPr>
          <w:rStyle w:val="Appelnotedebasdep"/>
        </w:rPr>
        <w:footnoteReference w:id="23"/>
      </w:r>
      <w:r>
        <w:rPr>
          <w:lang w:val="fr-FR"/>
        </w:rPr>
        <w:t>.</w:t>
      </w:r>
    </w:p>
    <w:p w14:paraId="530C2A1A" w14:textId="1D47549E" w:rsidR="0061197B" w:rsidRPr="001454DB" w:rsidRDefault="0061197B" w:rsidP="0061197B">
      <w:pPr>
        <w:pStyle w:val="SingleTxtG"/>
        <w:rPr>
          <w:lang w:val="fr-FR"/>
        </w:rPr>
      </w:pPr>
      <w:r>
        <w:rPr>
          <w:lang w:val="fr-FR"/>
        </w:rPr>
        <w:t>17.</w:t>
      </w:r>
      <w:r>
        <w:rPr>
          <w:lang w:val="fr-FR"/>
        </w:rPr>
        <w:tab/>
        <w:t>Mesures prises pour réduire les inégalités économiques et empêcher la baisse des revenus des personnes appartenant à des minorités ethniques, y compris pendant la pandémie de maladie à coronavirus (COVID-19)</w:t>
      </w:r>
      <w:r w:rsidRPr="0061197B">
        <w:rPr>
          <w:rStyle w:val="Appelnotedebasdep"/>
        </w:rPr>
        <w:footnoteReference w:id="24"/>
      </w:r>
      <w:r>
        <w:rPr>
          <w:lang w:val="fr-FR"/>
        </w:rPr>
        <w:t>.</w:t>
      </w:r>
    </w:p>
    <w:p w14:paraId="14B80A47" w14:textId="77777777" w:rsidR="0061197B" w:rsidRPr="001454DB" w:rsidRDefault="0061197B" w:rsidP="0061197B">
      <w:pPr>
        <w:pStyle w:val="SingleTxtG"/>
        <w:rPr>
          <w:b/>
          <w:bCs/>
          <w:lang w:val="fr-FR"/>
        </w:rPr>
      </w:pPr>
      <w:r>
        <w:rPr>
          <w:lang w:val="fr-FR"/>
        </w:rPr>
        <w:t>18.</w:t>
      </w:r>
      <w:r>
        <w:rPr>
          <w:lang w:val="fr-FR"/>
        </w:rPr>
        <w:tab/>
        <w:t>Renseignements actualisés concernant l’accès des minorités à une éducation de qualité et à l’enseignement supérieur</w:t>
      </w:r>
      <w:r w:rsidRPr="0061197B">
        <w:rPr>
          <w:rStyle w:val="Appelnotedebasdep"/>
        </w:rPr>
        <w:footnoteReference w:id="25"/>
      </w:r>
      <w:r>
        <w:rPr>
          <w:lang w:val="fr-FR"/>
        </w:rPr>
        <w:t>, y compris dans les zones rurales.</w:t>
      </w:r>
    </w:p>
    <w:p w14:paraId="736F0FAB" w14:textId="77777777" w:rsidR="0061197B" w:rsidRPr="001454DB" w:rsidRDefault="0061197B" w:rsidP="0061197B">
      <w:pPr>
        <w:pStyle w:val="SingleTxtG"/>
        <w:rPr>
          <w:lang w:val="fr-FR"/>
        </w:rPr>
      </w:pPr>
      <w:r>
        <w:rPr>
          <w:lang w:val="fr-FR"/>
        </w:rPr>
        <w:t>19.</w:t>
      </w:r>
      <w:r>
        <w:rPr>
          <w:lang w:val="fr-FR"/>
        </w:rPr>
        <w:tab/>
        <w:t>Renseignements actualisés concernant les mesures prises pour accroître les efforts visant à faciliter l’accès de la population rom à des documents d’identité</w:t>
      </w:r>
      <w:r w:rsidRPr="0061197B">
        <w:rPr>
          <w:rStyle w:val="Appelnotedebasdep"/>
        </w:rPr>
        <w:footnoteReference w:id="26"/>
      </w:r>
      <w:r>
        <w:rPr>
          <w:lang w:val="fr-FR"/>
        </w:rPr>
        <w:t xml:space="preserve"> et à promouvoir la scolarisation des enfants roms</w:t>
      </w:r>
      <w:r w:rsidRPr="0061197B">
        <w:rPr>
          <w:rStyle w:val="Appelnotedebasdep"/>
        </w:rPr>
        <w:footnoteReference w:id="27"/>
      </w:r>
      <w:r>
        <w:rPr>
          <w:lang w:val="fr-FR"/>
        </w:rPr>
        <w:t>. Renseignements sur les mesures adoptées pour prévenir les mariages forcés et les mariages d’enfants dans les groupes minoritaires et sur l’application de l’article 150 du Code pénal à cet égard</w:t>
      </w:r>
      <w:r w:rsidRPr="0061197B">
        <w:rPr>
          <w:rStyle w:val="Appelnotedebasdep"/>
        </w:rPr>
        <w:footnoteReference w:id="28"/>
      </w:r>
      <w:r>
        <w:rPr>
          <w:lang w:val="fr-FR"/>
        </w:rPr>
        <w:t>.</w:t>
      </w:r>
    </w:p>
    <w:p w14:paraId="06B91713" w14:textId="7D562BF9" w:rsidR="0061197B" w:rsidRPr="001454DB" w:rsidRDefault="0061197B" w:rsidP="0061197B">
      <w:pPr>
        <w:pStyle w:val="H23G"/>
        <w:rPr>
          <w:lang w:val="fr-FR"/>
        </w:rPr>
      </w:pPr>
      <w:r>
        <w:rPr>
          <w:lang w:val="fr-FR"/>
        </w:rPr>
        <w:tab/>
      </w:r>
      <w:r>
        <w:rPr>
          <w:lang w:val="fr-FR"/>
        </w:rPr>
        <w:tab/>
        <w:t xml:space="preserve">Situation des non-ressortissants, notamment des réfugiés, des demandeurs d’asile </w:t>
      </w:r>
      <w:r>
        <w:rPr>
          <w:lang w:val="fr-FR"/>
        </w:rPr>
        <w:br/>
      </w:r>
      <w:r>
        <w:rPr>
          <w:lang w:val="fr-FR"/>
        </w:rPr>
        <w:t>et des apatrides (art. 2 et 5)</w:t>
      </w:r>
    </w:p>
    <w:p w14:paraId="05B6E270" w14:textId="77777777" w:rsidR="0061197B" w:rsidRPr="001454DB" w:rsidRDefault="0061197B" w:rsidP="0061197B">
      <w:pPr>
        <w:pStyle w:val="SingleTxtG"/>
        <w:rPr>
          <w:lang w:val="fr-FR"/>
        </w:rPr>
      </w:pPr>
      <w:r>
        <w:rPr>
          <w:lang w:val="fr-FR"/>
        </w:rPr>
        <w:t>20.</w:t>
      </w:r>
      <w:r>
        <w:rPr>
          <w:lang w:val="fr-FR"/>
        </w:rPr>
        <w:tab/>
        <w:t>Données relatives aux non-ressortissants, notamment aux migrants, aux demandeurs d’asile, aux réfugiés et aux apatrides, ainsi qu’à leur situation dans l’État partie.</w:t>
      </w:r>
    </w:p>
    <w:p w14:paraId="54198E72" w14:textId="77777777" w:rsidR="0061197B" w:rsidRPr="001454DB" w:rsidRDefault="0061197B" w:rsidP="0061197B">
      <w:pPr>
        <w:pStyle w:val="SingleTxtG"/>
        <w:rPr>
          <w:lang w:val="fr-FR"/>
        </w:rPr>
      </w:pPr>
      <w:r>
        <w:rPr>
          <w:lang w:val="fr-FR"/>
        </w:rPr>
        <w:t>21.</w:t>
      </w:r>
      <w:r>
        <w:rPr>
          <w:lang w:val="fr-FR"/>
        </w:rPr>
        <w:tab/>
        <w:t>Mesures visant à assurer l’accès de toutes les personnes ayant besoin d’une protection internationale à une procédure d’asile équitable, transparente et efficace. Informations détaillées sur la manière dont les menaces potentielles pour la sécurité de l’État peuvent être invoquées par le Ministère de l’intérieur pour refuser une protection internationale, et respect des normes internationales</w:t>
      </w:r>
      <w:r w:rsidRPr="0061197B">
        <w:rPr>
          <w:rStyle w:val="Appelnotedebasdep"/>
        </w:rPr>
        <w:footnoteReference w:id="29"/>
      </w:r>
      <w:r>
        <w:rPr>
          <w:lang w:val="fr-FR"/>
        </w:rPr>
        <w:t>.</w:t>
      </w:r>
    </w:p>
    <w:p w14:paraId="737A883F" w14:textId="5485ED44" w:rsidR="0061197B" w:rsidRPr="001454DB" w:rsidRDefault="0061197B" w:rsidP="0061197B">
      <w:pPr>
        <w:pStyle w:val="SingleTxtG"/>
        <w:rPr>
          <w:lang w:val="fr-FR"/>
        </w:rPr>
      </w:pPr>
      <w:r>
        <w:rPr>
          <w:lang w:val="fr-FR"/>
        </w:rPr>
        <w:t>22.</w:t>
      </w:r>
      <w:r>
        <w:rPr>
          <w:lang w:val="fr-FR"/>
        </w:rPr>
        <w:tab/>
        <w:t>Renseignements actualisés concernant le système d’aide juridictionnelle tel que modifié, notamment en ce qui concerne l’accès des demandeurs d’asile et des apatrides à des services gratuits de représentation en justice</w:t>
      </w:r>
      <w:r w:rsidRPr="0061197B">
        <w:rPr>
          <w:rStyle w:val="Appelnotedebasdep"/>
        </w:rPr>
        <w:footnoteReference w:id="30"/>
      </w:r>
      <w:r>
        <w:rPr>
          <w:lang w:val="fr-FR"/>
        </w:rPr>
        <w:t>.</w:t>
      </w:r>
    </w:p>
    <w:p w14:paraId="3EC9DB1D" w14:textId="77777777" w:rsidR="0061197B" w:rsidRPr="001454DB" w:rsidRDefault="0061197B" w:rsidP="0061197B">
      <w:pPr>
        <w:pStyle w:val="SingleTxtG"/>
        <w:rPr>
          <w:lang w:val="fr-FR"/>
        </w:rPr>
      </w:pPr>
      <w:r>
        <w:rPr>
          <w:lang w:val="fr-FR"/>
        </w:rPr>
        <w:t>23.</w:t>
      </w:r>
      <w:r>
        <w:rPr>
          <w:lang w:val="fr-FR"/>
        </w:rPr>
        <w:tab/>
        <w:t>Mesures visant à assouplir les critères d’obtention de la nationalité géorgienne pour les apatrides et à identifier les enfants nés dans l’État partie qui, autrement, seraient apatrides. Renseignements actualisés concernant la modification de la loi organique relative à la nationalité</w:t>
      </w:r>
      <w:r w:rsidRPr="0061197B">
        <w:rPr>
          <w:rStyle w:val="Appelnotedebasdep"/>
        </w:rPr>
        <w:footnoteReference w:id="31"/>
      </w:r>
      <w:r>
        <w:rPr>
          <w:lang w:val="fr-FR"/>
        </w:rPr>
        <w:t>.</w:t>
      </w:r>
    </w:p>
    <w:p w14:paraId="60E7B5AF" w14:textId="77777777" w:rsidR="0061197B" w:rsidRPr="001454DB" w:rsidRDefault="0061197B" w:rsidP="0061197B">
      <w:pPr>
        <w:pStyle w:val="SingleTxtG"/>
        <w:rPr>
          <w:lang w:val="fr-FR"/>
        </w:rPr>
      </w:pPr>
      <w:r>
        <w:rPr>
          <w:lang w:val="fr-FR"/>
        </w:rPr>
        <w:t>24.</w:t>
      </w:r>
      <w:r>
        <w:rPr>
          <w:lang w:val="fr-FR"/>
        </w:rPr>
        <w:tab/>
        <w:t>Mesures visant à accélérer le rapatriement des personnes qui ont été expulsées du territoire de l’État partie par l’ex-Union des Républiques socialistes soviétiques. Renseignements concernant les mesures visant à faciliter l’accès de ces personnes à la nationalité, à l’éducation, à l’emploi, aux soins de santé et aux services sociaux</w:t>
      </w:r>
      <w:r w:rsidRPr="0061197B">
        <w:rPr>
          <w:rStyle w:val="Appelnotedebasdep"/>
        </w:rPr>
        <w:footnoteReference w:id="32"/>
      </w:r>
      <w:r>
        <w:rPr>
          <w:lang w:val="fr-FR"/>
        </w:rPr>
        <w:t>.</w:t>
      </w:r>
    </w:p>
    <w:p w14:paraId="6996F38C" w14:textId="4F62852F" w:rsidR="00984B29" w:rsidRPr="0061197B" w:rsidRDefault="0061197B" w:rsidP="0061197B">
      <w:pPr>
        <w:jc w:val="center"/>
        <w:rPr>
          <w:u w:val="single"/>
        </w:rPr>
      </w:pPr>
      <w:r w:rsidRPr="003E5C6C">
        <w:rPr>
          <w:u w:val="single"/>
        </w:rPr>
        <w:tab/>
      </w:r>
      <w:r w:rsidRPr="003E5C6C">
        <w:rPr>
          <w:u w:val="single"/>
        </w:rPr>
        <w:tab/>
      </w:r>
      <w:r w:rsidRPr="003E5C6C">
        <w:rPr>
          <w:u w:val="single"/>
        </w:rPr>
        <w:tab/>
      </w:r>
    </w:p>
    <w:sectPr w:rsidR="00984B29" w:rsidRPr="0061197B" w:rsidSect="0061197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C2629" w14:textId="77777777" w:rsidR="002B576E" w:rsidRDefault="002B576E" w:rsidP="00F95C08">
      <w:pPr>
        <w:spacing w:line="240" w:lineRule="auto"/>
      </w:pPr>
    </w:p>
  </w:endnote>
  <w:endnote w:type="continuationSeparator" w:id="0">
    <w:p w14:paraId="5B2F0D8D" w14:textId="77777777" w:rsidR="002B576E" w:rsidRPr="00AC3823" w:rsidRDefault="002B576E" w:rsidP="00AC3823">
      <w:pPr>
        <w:pStyle w:val="Pieddepage"/>
      </w:pPr>
    </w:p>
  </w:endnote>
  <w:endnote w:type="continuationNotice" w:id="1">
    <w:p w14:paraId="0D162EBE" w14:textId="77777777" w:rsidR="002B576E" w:rsidRDefault="002B57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48A0E" w14:textId="31FFF7E1" w:rsidR="0061197B" w:rsidRPr="0061197B" w:rsidRDefault="0061197B" w:rsidP="0061197B">
    <w:pPr>
      <w:pStyle w:val="Pieddepage"/>
      <w:tabs>
        <w:tab w:val="right" w:pos="9638"/>
      </w:tabs>
    </w:pPr>
    <w:r w:rsidRPr="0061197B">
      <w:rPr>
        <w:b/>
        <w:sz w:val="18"/>
      </w:rPr>
      <w:fldChar w:fldCharType="begin"/>
    </w:r>
    <w:r w:rsidRPr="0061197B">
      <w:rPr>
        <w:b/>
        <w:sz w:val="18"/>
      </w:rPr>
      <w:instrText xml:space="preserve"> PAGE  \* MERGEFORMAT </w:instrText>
    </w:r>
    <w:r w:rsidRPr="0061197B">
      <w:rPr>
        <w:b/>
        <w:sz w:val="18"/>
      </w:rPr>
      <w:fldChar w:fldCharType="separate"/>
    </w:r>
    <w:r w:rsidRPr="0061197B">
      <w:rPr>
        <w:b/>
        <w:noProof/>
        <w:sz w:val="18"/>
      </w:rPr>
      <w:t>2</w:t>
    </w:r>
    <w:r w:rsidRPr="0061197B">
      <w:rPr>
        <w:b/>
        <w:sz w:val="18"/>
      </w:rPr>
      <w:fldChar w:fldCharType="end"/>
    </w:r>
    <w:r>
      <w:rPr>
        <w:b/>
        <w:sz w:val="18"/>
      </w:rPr>
      <w:tab/>
    </w:r>
    <w:r>
      <w:t>GE.22-25789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5C0FB" w14:textId="12D99555" w:rsidR="0061197B" w:rsidRPr="0061197B" w:rsidRDefault="0061197B" w:rsidP="0061197B">
    <w:pPr>
      <w:pStyle w:val="Pieddepage"/>
      <w:tabs>
        <w:tab w:val="right" w:pos="9638"/>
      </w:tabs>
      <w:rPr>
        <w:b/>
        <w:sz w:val="18"/>
      </w:rPr>
    </w:pPr>
    <w:r>
      <w:t>GE.22-25789</w:t>
    </w:r>
    <w:r>
      <w:tab/>
    </w:r>
    <w:r w:rsidRPr="0061197B">
      <w:rPr>
        <w:b/>
        <w:sz w:val="18"/>
      </w:rPr>
      <w:fldChar w:fldCharType="begin"/>
    </w:r>
    <w:r w:rsidRPr="0061197B">
      <w:rPr>
        <w:b/>
        <w:sz w:val="18"/>
      </w:rPr>
      <w:instrText xml:space="preserve"> PAGE  \* MERGEFORMAT </w:instrText>
    </w:r>
    <w:r w:rsidRPr="0061197B">
      <w:rPr>
        <w:b/>
        <w:sz w:val="18"/>
      </w:rPr>
      <w:fldChar w:fldCharType="separate"/>
    </w:r>
    <w:r w:rsidRPr="0061197B">
      <w:rPr>
        <w:b/>
        <w:noProof/>
        <w:sz w:val="18"/>
      </w:rPr>
      <w:t>3</w:t>
    </w:r>
    <w:r w:rsidRPr="0061197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4A613" w14:textId="16B5E92F" w:rsidR="00984B29" w:rsidRPr="0061197B" w:rsidRDefault="0061197B" w:rsidP="0061197B">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75C533F" wp14:editId="697F63C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22-25789  (F)</w:t>
    </w:r>
    <w:r>
      <w:rPr>
        <w:noProof/>
        <w:sz w:val="20"/>
      </w:rPr>
      <w:drawing>
        <wp:anchor distT="0" distB="0" distL="114300" distR="114300" simplePos="0" relativeHeight="251660288" behindDoc="0" locked="0" layoutInCell="1" allowOverlap="1" wp14:anchorId="61C195CA" wp14:editId="7DF471A4">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270123    270123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18A5E" w14:textId="77777777" w:rsidR="002B576E" w:rsidRPr="00AC3823" w:rsidRDefault="002B576E" w:rsidP="00AC3823">
      <w:pPr>
        <w:pStyle w:val="Pieddepage"/>
        <w:tabs>
          <w:tab w:val="right" w:pos="2155"/>
        </w:tabs>
        <w:spacing w:after="80" w:line="240" w:lineRule="atLeast"/>
        <w:ind w:left="680"/>
        <w:rPr>
          <w:u w:val="single"/>
        </w:rPr>
      </w:pPr>
      <w:r>
        <w:rPr>
          <w:u w:val="single"/>
        </w:rPr>
        <w:tab/>
      </w:r>
    </w:p>
  </w:footnote>
  <w:footnote w:type="continuationSeparator" w:id="0">
    <w:p w14:paraId="698FCA5A" w14:textId="77777777" w:rsidR="002B576E" w:rsidRPr="00AC3823" w:rsidRDefault="002B576E" w:rsidP="00AC3823">
      <w:pPr>
        <w:pStyle w:val="Pieddepage"/>
        <w:tabs>
          <w:tab w:val="right" w:pos="2155"/>
        </w:tabs>
        <w:spacing w:after="80" w:line="240" w:lineRule="atLeast"/>
        <w:ind w:left="680"/>
        <w:rPr>
          <w:u w:val="single"/>
        </w:rPr>
      </w:pPr>
      <w:r>
        <w:rPr>
          <w:u w:val="single"/>
        </w:rPr>
        <w:tab/>
      </w:r>
    </w:p>
  </w:footnote>
  <w:footnote w:type="continuationNotice" w:id="1">
    <w:p w14:paraId="1F5C726F" w14:textId="77777777" w:rsidR="002B576E" w:rsidRPr="00AC3823" w:rsidRDefault="002B576E">
      <w:pPr>
        <w:spacing w:line="240" w:lineRule="auto"/>
        <w:rPr>
          <w:sz w:val="2"/>
          <w:szCs w:val="2"/>
        </w:rPr>
      </w:pPr>
    </w:p>
  </w:footnote>
  <w:footnote w:id="2">
    <w:p w14:paraId="7946BA4D" w14:textId="77777777" w:rsidR="0061197B" w:rsidRPr="001454DB" w:rsidRDefault="0061197B" w:rsidP="0061197B">
      <w:pPr>
        <w:pStyle w:val="Notedebasdepage"/>
        <w:rPr>
          <w:lang w:val="fr-FR"/>
        </w:rPr>
      </w:pPr>
      <w:r>
        <w:rPr>
          <w:lang w:val="fr-FR"/>
        </w:rPr>
        <w:tab/>
      </w:r>
      <w:r w:rsidRPr="0061197B">
        <w:rPr>
          <w:sz w:val="20"/>
          <w:lang w:val="fr-FR"/>
        </w:rPr>
        <w:t>*</w:t>
      </w:r>
      <w:r>
        <w:rPr>
          <w:lang w:val="fr-FR"/>
        </w:rPr>
        <w:tab/>
        <w:t>Le présent document a été soumis après la date prévue afin que l’information la plus récente puisse y figurer.</w:t>
      </w:r>
    </w:p>
  </w:footnote>
  <w:footnote w:id="3">
    <w:p w14:paraId="296622D8" w14:textId="13309426" w:rsidR="0061197B" w:rsidRPr="001454DB" w:rsidRDefault="0061197B" w:rsidP="0061197B">
      <w:pPr>
        <w:pStyle w:val="Notedebasdepage"/>
        <w:rPr>
          <w:lang w:val="fr-FR"/>
        </w:rPr>
      </w:pPr>
      <w:r w:rsidRPr="00050A12">
        <w:rPr>
          <w:lang w:val="fr-FR"/>
        </w:rPr>
        <w:tab/>
      </w:r>
      <w:r w:rsidRPr="0061197B">
        <w:rPr>
          <w:rStyle w:val="Appelnotedebasdep"/>
        </w:rPr>
        <w:footnoteRef/>
      </w:r>
      <w:r>
        <w:rPr>
          <w:lang w:val="fr-FR"/>
        </w:rPr>
        <w:tab/>
      </w:r>
      <w:hyperlink r:id="rId1" w:history="1">
        <w:r w:rsidRPr="0061197B">
          <w:rPr>
            <w:rStyle w:val="Lienhypertexte"/>
            <w:lang w:val="fr-FR"/>
          </w:rPr>
          <w:t>A/65/18</w:t>
        </w:r>
      </w:hyperlink>
      <w:r>
        <w:rPr>
          <w:lang w:val="fr-FR"/>
        </w:rPr>
        <w:t>, par. 85</w:t>
      </w:r>
    </w:p>
  </w:footnote>
  <w:footnote w:id="4">
    <w:p w14:paraId="4E539082" w14:textId="73003AA8"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2" w:history="1">
        <w:r w:rsidRPr="0061197B">
          <w:rPr>
            <w:rStyle w:val="Lienhypertexte"/>
            <w:lang w:val="fr-FR"/>
          </w:rPr>
          <w:t>CERD/C/GEO/9-10</w:t>
        </w:r>
      </w:hyperlink>
      <w:r>
        <w:rPr>
          <w:lang w:val="fr-FR"/>
        </w:rPr>
        <w:t>, par. 251</w:t>
      </w:r>
      <w:r>
        <w:rPr>
          <w:lang w:val="fr-FR"/>
        </w:rPr>
        <w:t>.</w:t>
      </w:r>
    </w:p>
  </w:footnote>
  <w:footnote w:id="5">
    <w:p w14:paraId="76DBB579" w14:textId="6AD72D06"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 xml:space="preserve"> </w:t>
      </w:r>
      <w:r>
        <w:rPr>
          <w:lang w:val="fr-FR"/>
        </w:rPr>
        <w:tab/>
        <w:t>Ibid., par. 252</w:t>
      </w:r>
      <w:r>
        <w:rPr>
          <w:lang w:val="fr-FR"/>
        </w:rPr>
        <w:t>.</w:t>
      </w:r>
    </w:p>
  </w:footnote>
  <w:footnote w:id="6">
    <w:p w14:paraId="65CDD286" w14:textId="5BE731E5"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7</w:t>
      </w:r>
      <w:r>
        <w:rPr>
          <w:lang w:val="fr-FR"/>
        </w:rPr>
        <w:t>.</w:t>
      </w:r>
    </w:p>
  </w:footnote>
  <w:footnote w:id="7">
    <w:p w14:paraId="24124A5B" w14:textId="4F71FBA0"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29</w:t>
      </w:r>
      <w:r>
        <w:rPr>
          <w:lang w:val="fr-FR"/>
        </w:rPr>
        <w:t>.</w:t>
      </w:r>
    </w:p>
  </w:footnote>
  <w:footnote w:id="8">
    <w:p w14:paraId="6CBB3935" w14:textId="62CF165E"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3" w:history="1">
        <w:r w:rsidRPr="0061197B">
          <w:rPr>
            <w:rStyle w:val="Lienhypertexte"/>
            <w:lang w:val="fr-FR"/>
          </w:rPr>
          <w:t>CERD/C/GEO/CO/6-8</w:t>
        </w:r>
      </w:hyperlink>
      <w:r>
        <w:rPr>
          <w:lang w:val="fr-FR"/>
        </w:rPr>
        <w:t xml:space="preserve">, par. 6 et 7, et </w:t>
      </w:r>
      <w:hyperlink r:id="rId4" w:history="1">
        <w:r w:rsidRPr="0061197B">
          <w:rPr>
            <w:rStyle w:val="Lienhypertexte"/>
            <w:lang w:val="fr-FR"/>
          </w:rPr>
          <w:t>CERD/C/GEO/9-10</w:t>
        </w:r>
      </w:hyperlink>
      <w:r>
        <w:rPr>
          <w:lang w:val="fr-FR"/>
        </w:rPr>
        <w:t>, par.</w:t>
      </w:r>
      <w:r>
        <w:rPr>
          <w:lang w:val="fr-FR"/>
        </w:rPr>
        <w:t xml:space="preserve"> </w:t>
      </w:r>
      <w:r>
        <w:rPr>
          <w:lang w:val="fr-FR"/>
        </w:rPr>
        <w:t>30</w:t>
      </w:r>
      <w:r>
        <w:rPr>
          <w:lang w:val="fr-FR"/>
        </w:rPr>
        <w:t>.</w:t>
      </w:r>
    </w:p>
  </w:footnote>
  <w:footnote w:id="9">
    <w:p w14:paraId="658E9047" w14:textId="3D9A0DE8"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5" w:history="1">
        <w:r w:rsidRPr="0061197B">
          <w:rPr>
            <w:rStyle w:val="Lienhypertexte"/>
            <w:lang w:val="fr-FR"/>
          </w:rPr>
          <w:t>CERD/C/GEO/9-10</w:t>
        </w:r>
      </w:hyperlink>
      <w:r>
        <w:rPr>
          <w:lang w:val="fr-FR"/>
        </w:rPr>
        <w:t>, par. 33 à 73</w:t>
      </w:r>
      <w:r>
        <w:rPr>
          <w:lang w:val="fr-FR"/>
        </w:rPr>
        <w:t>.</w:t>
      </w:r>
    </w:p>
  </w:footnote>
  <w:footnote w:id="10">
    <w:p w14:paraId="2941CE88" w14:textId="5A145D7D"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9</w:t>
      </w:r>
      <w:r>
        <w:rPr>
          <w:lang w:val="fr-FR"/>
        </w:rPr>
        <w:t>.</w:t>
      </w:r>
    </w:p>
  </w:footnote>
  <w:footnote w:id="11">
    <w:p w14:paraId="5C9D0FF8" w14:textId="5A5366F1" w:rsidR="0061197B" w:rsidRPr="0061197B" w:rsidRDefault="0061197B" w:rsidP="0061197B">
      <w:pPr>
        <w:pStyle w:val="Notedebasdepage"/>
      </w:pPr>
      <w:r w:rsidRPr="007A071B">
        <w:rPr>
          <w:lang w:val="fr-FR"/>
        </w:rPr>
        <w:tab/>
      </w:r>
      <w:r w:rsidRPr="0061197B">
        <w:rPr>
          <w:rStyle w:val="Appelnotedebasdep"/>
        </w:rPr>
        <w:footnoteRef/>
      </w:r>
      <w:r w:rsidRPr="0061197B">
        <w:tab/>
      </w:r>
      <w:hyperlink r:id="rId6" w:history="1">
        <w:r w:rsidRPr="0061197B">
          <w:rPr>
            <w:rStyle w:val="Lienhypertexte"/>
          </w:rPr>
          <w:t>CERD/C/GEO/CO/6-8</w:t>
        </w:r>
      </w:hyperlink>
      <w:r w:rsidRPr="0061197B">
        <w:t>, par.</w:t>
      </w:r>
      <w:r w:rsidRPr="0061197B">
        <w:t xml:space="preserve"> </w:t>
      </w:r>
      <w:r w:rsidRPr="0061197B">
        <w:t>25</w:t>
      </w:r>
      <w:r w:rsidRPr="0061197B">
        <w:t>.</w:t>
      </w:r>
    </w:p>
  </w:footnote>
  <w:footnote w:id="12">
    <w:p w14:paraId="107A91C3" w14:textId="4CA0FFEB" w:rsidR="0061197B" w:rsidRPr="001454DB" w:rsidRDefault="0061197B" w:rsidP="0061197B">
      <w:pPr>
        <w:pStyle w:val="Notedebasdepage"/>
        <w:rPr>
          <w:lang w:val="fr-FR"/>
        </w:rPr>
      </w:pPr>
      <w:r w:rsidRPr="0061197B">
        <w:tab/>
      </w:r>
      <w:r w:rsidRPr="0061197B">
        <w:rPr>
          <w:rStyle w:val="Appelnotedebasdep"/>
        </w:rPr>
        <w:footnoteRef/>
      </w:r>
      <w:r>
        <w:rPr>
          <w:lang w:val="fr-FR"/>
        </w:rPr>
        <w:tab/>
        <w:t>Ibid., par. 9</w:t>
      </w:r>
      <w:r>
        <w:rPr>
          <w:lang w:val="fr-FR"/>
        </w:rPr>
        <w:t> </w:t>
      </w:r>
      <w:r>
        <w:rPr>
          <w:lang w:val="fr-FR"/>
        </w:rPr>
        <w:t xml:space="preserve">b) et </w:t>
      </w:r>
      <w:hyperlink r:id="rId7" w:history="1">
        <w:r w:rsidRPr="0061197B">
          <w:rPr>
            <w:rStyle w:val="Lienhypertexte"/>
            <w:lang w:val="fr-FR"/>
          </w:rPr>
          <w:t>CERD/C/GEO/9-10</w:t>
        </w:r>
      </w:hyperlink>
      <w:r>
        <w:rPr>
          <w:lang w:val="fr-FR"/>
        </w:rPr>
        <w:t>, par. 280</w:t>
      </w:r>
      <w:r>
        <w:rPr>
          <w:lang w:val="fr-FR"/>
        </w:rPr>
        <w:t>.</w:t>
      </w:r>
    </w:p>
  </w:footnote>
  <w:footnote w:id="13">
    <w:p w14:paraId="49369232" w14:textId="5786C871"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8" w:history="1">
        <w:r w:rsidRPr="0061197B">
          <w:rPr>
            <w:rStyle w:val="Lienhypertexte"/>
            <w:lang w:val="fr-FR"/>
          </w:rPr>
          <w:t>CERD/C/GEO/9-10</w:t>
        </w:r>
      </w:hyperlink>
      <w:r>
        <w:rPr>
          <w:lang w:val="fr-FR"/>
        </w:rPr>
        <w:t>, par. 280</w:t>
      </w:r>
      <w:r>
        <w:rPr>
          <w:lang w:val="fr-FR"/>
        </w:rPr>
        <w:t>.</w:t>
      </w:r>
    </w:p>
  </w:footnote>
  <w:footnote w:id="14">
    <w:p w14:paraId="4D937662" w14:textId="68C46A5E"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7</w:t>
      </w:r>
      <w:r>
        <w:rPr>
          <w:lang w:val="fr-FR"/>
        </w:rPr>
        <w:t>.</w:t>
      </w:r>
    </w:p>
  </w:footnote>
  <w:footnote w:id="15">
    <w:p w14:paraId="2D316EDC" w14:textId="523197C0"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282</w:t>
      </w:r>
      <w:r>
        <w:rPr>
          <w:lang w:val="fr-FR"/>
        </w:rPr>
        <w:t>.</w:t>
      </w:r>
    </w:p>
  </w:footnote>
  <w:footnote w:id="16">
    <w:p w14:paraId="5C76BEEB" w14:textId="53978767"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23 à 28</w:t>
      </w:r>
      <w:r>
        <w:rPr>
          <w:lang w:val="fr-FR"/>
        </w:rPr>
        <w:t>.</w:t>
      </w:r>
    </w:p>
  </w:footnote>
  <w:footnote w:id="17">
    <w:p w14:paraId="528724C5" w14:textId="77324E69"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9" w:history="1">
        <w:r w:rsidRPr="0061197B">
          <w:rPr>
            <w:rStyle w:val="Lienhypertexte"/>
            <w:lang w:val="fr-FR"/>
          </w:rPr>
          <w:t>CERD/C/GEO/CO/6-8</w:t>
        </w:r>
      </w:hyperlink>
      <w:r>
        <w:rPr>
          <w:lang w:val="fr-FR"/>
        </w:rPr>
        <w:t xml:space="preserve">, par. 9 a), et </w:t>
      </w:r>
      <w:hyperlink r:id="rId10" w:history="1">
        <w:r w:rsidRPr="0061197B">
          <w:rPr>
            <w:rStyle w:val="Lienhypertexte"/>
            <w:lang w:val="fr-FR"/>
          </w:rPr>
          <w:t>CERD/C/GEO/9-10</w:t>
        </w:r>
      </w:hyperlink>
      <w:r>
        <w:rPr>
          <w:lang w:val="fr-FR"/>
        </w:rPr>
        <w:t>, par. 13 à 22 et 296</w:t>
      </w:r>
      <w:r>
        <w:rPr>
          <w:lang w:val="fr-FR"/>
        </w:rPr>
        <w:t>.</w:t>
      </w:r>
    </w:p>
  </w:footnote>
  <w:footnote w:id="18">
    <w:p w14:paraId="259A8CE2" w14:textId="5FF703BC" w:rsidR="0061197B" w:rsidRPr="001454DB" w:rsidRDefault="0061197B" w:rsidP="0061197B">
      <w:pPr>
        <w:pStyle w:val="Notedebasdepage"/>
        <w:rPr>
          <w:lang w:val="fr-FR"/>
        </w:rPr>
      </w:pPr>
      <w:r>
        <w:rPr>
          <w:lang w:val="fr-FR"/>
        </w:rPr>
        <w:tab/>
      </w:r>
      <w:r w:rsidRPr="0061197B">
        <w:rPr>
          <w:rStyle w:val="Appelnotedebasdep"/>
        </w:rPr>
        <w:footnoteRef/>
      </w:r>
      <w:r>
        <w:rPr>
          <w:lang w:val="fr-FR"/>
        </w:rPr>
        <w:tab/>
      </w:r>
      <w:hyperlink r:id="rId11" w:history="1">
        <w:r w:rsidRPr="0061197B">
          <w:rPr>
            <w:rStyle w:val="Lienhypertexte"/>
            <w:lang w:val="fr-FR"/>
          </w:rPr>
          <w:t>CERD/C/GEO/9-10</w:t>
        </w:r>
      </w:hyperlink>
      <w:r>
        <w:rPr>
          <w:lang w:val="fr-FR"/>
        </w:rPr>
        <w:t>, par. 78</w:t>
      </w:r>
      <w:r>
        <w:rPr>
          <w:lang w:val="fr-FR"/>
        </w:rPr>
        <w:t>.</w:t>
      </w:r>
    </w:p>
  </w:footnote>
  <w:footnote w:id="19">
    <w:p w14:paraId="351B827C" w14:textId="22572B39"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105</w:t>
      </w:r>
      <w:r>
        <w:rPr>
          <w:lang w:val="fr-FR"/>
        </w:rPr>
        <w:t>.</w:t>
      </w:r>
    </w:p>
  </w:footnote>
  <w:footnote w:id="20">
    <w:p w14:paraId="7B69945A" w14:textId="05220114"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85</w:t>
      </w:r>
      <w:r>
        <w:rPr>
          <w:lang w:val="fr-FR"/>
        </w:rPr>
        <w:t>.</w:t>
      </w:r>
    </w:p>
  </w:footnote>
  <w:footnote w:id="21">
    <w:p w14:paraId="1C6D4193" w14:textId="049007CE"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112</w:t>
      </w:r>
      <w:r>
        <w:rPr>
          <w:lang w:val="fr-FR"/>
        </w:rPr>
        <w:t>.</w:t>
      </w:r>
    </w:p>
  </w:footnote>
  <w:footnote w:id="22">
    <w:p w14:paraId="26796811" w14:textId="24880B68"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115 et 124 à 127</w:t>
      </w:r>
      <w:r>
        <w:rPr>
          <w:lang w:val="fr-FR"/>
        </w:rPr>
        <w:t>.</w:t>
      </w:r>
    </w:p>
  </w:footnote>
  <w:footnote w:id="23">
    <w:p w14:paraId="1A9A087A" w14:textId="122A56A5"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116 à 123</w:t>
      </w:r>
      <w:r>
        <w:rPr>
          <w:lang w:val="fr-FR"/>
        </w:rPr>
        <w:t>.</w:t>
      </w:r>
    </w:p>
  </w:footnote>
  <w:footnote w:id="24">
    <w:p w14:paraId="224401EB" w14:textId="7D4AC4D0"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300</w:t>
      </w:r>
      <w:r>
        <w:rPr>
          <w:lang w:val="fr-FR"/>
        </w:rPr>
        <w:t>.</w:t>
      </w:r>
    </w:p>
  </w:footnote>
  <w:footnote w:id="25">
    <w:p w14:paraId="260A66CB" w14:textId="386D6DB4"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89 à 99</w:t>
      </w:r>
      <w:r>
        <w:rPr>
          <w:lang w:val="fr-FR"/>
        </w:rPr>
        <w:t>.</w:t>
      </w:r>
    </w:p>
  </w:footnote>
  <w:footnote w:id="26">
    <w:p w14:paraId="78164C17" w14:textId="59165BE5"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156 à 172</w:t>
      </w:r>
      <w:r>
        <w:rPr>
          <w:lang w:val="fr-FR"/>
        </w:rPr>
        <w:t>.</w:t>
      </w:r>
    </w:p>
  </w:footnote>
  <w:footnote w:id="27">
    <w:p w14:paraId="0A72001A" w14:textId="49D0414C"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173 à 181</w:t>
      </w:r>
      <w:r>
        <w:rPr>
          <w:lang w:val="fr-FR"/>
        </w:rPr>
        <w:t>.</w:t>
      </w:r>
    </w:p>
  </w:footnote>
  <w:footnote w:id="28">
    <w:p w14:paraId="527A8EBB" w14:textId="5565EA08"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192 et 193</w:t>
      </w:r>
      <w:r>
        <w:rPr>
          <w:lang w:val="fr-FR"/>
        </w:rPr>
        <w:t>.</w:t>
      </w:r>
    </w:p>
  </w:footnote>
  <w:footnote w:id="29">
    <w:p w14:paraId="42C278FF" w14:textId="41D0248D"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12" w:history="1">
        <w:r w:rsidRPr="0061197B">
          <w:rPr>
            <w:rStyle w:val="Lienhypertexte"/>
            <w:lang w:val="fr-FR"/>
          </w:rPr>
          <w:t>CERD/C/GEO/CO/6-8</w:t>
        </w:r>
      </w:hyperlink>
      <w:r>
        <w:rPr>
          <w:lang w:val="fr-FR"/>
        </w:rPr>
        <w:t xml:space="preserve">, par. 21, et </w:t>
      </w:r>
      <w:hyperlink r:id="rId13" w:history="1">
        <w:r w:rsidRPr="0061197B">
          <w:rPr>
            <w:rStyle w:val="Lienhypertexte"/>
            <w:lang w:val="fr-FR"/>
          </w:rPr>
          <w:t>CERD/C/GEO/9-10</w:t>
        </w:r>
      </w:hyperlink>
      <w:r>
        <w:rPr>
          <w:lang w:val="fr-FR"/>
        </w:rPr>
        <w:t>, par. 230</w:t>
      </w:r>
      <w:r>
        <w:rPr>
          <w:lang w:val="fr-FR"/>
        </w:rPr>
        <w:t>.</w:t>
      </w:r>
    </w:p>
  </w:footnote>
  <w:footnote w:id="30">
    <w:p w14:paraId="39A8990B" w14:textId="6917016C"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14" w:history="1">
        <w:r w:rsidRPr="0061197B">
          <w:rPr>
            <w:rStyle w:val="Lienhypertexte"/>
            <w:lang w:val="fr-FR"/>
          </w:rPr>
          <w:t>CERD/C/GEO/9-10</w:t>
        </w:r>
      </w:hyperlink>
      <w:r>
        <w:rPr>
          <w:lang w:val="fr-FR"/>
        </w:rPr>
        <w:t>, par. 235 et 236</w:t>
      </w:r>
      <w:r>
        <w:rPr>
          <w:lang w:val="fr-FR"/>
        </w:rPr>
        <w:t>.</w:t>
      </w:r>
    </w:p>
  </w:footnote>
  <w:footnote w:id="31">
    <w:p w14:paraId="1403FCA3" w14:textId="329E8206"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t>Ibid., par. 243 à 247</w:t>
      </w:r>
      <w:r>
        <w:rPr>
          <w:lang w:val="fr-FR"/>
        </w:rPr>
        <w:t>.</w:t>
      </w:r>
    </w:p>
  </w:footnote>
  <w:footnote w:id="32">
    <w:p w14:paraId="77FFB12F" w14:textId="492C64EE" w:rsidR="0061197B" w:rsidRPr="001454DB" w:rsidRDefault="0061197B" w:rsidP="0061197B">
      <w:pPr>
        <w:pStyle w:val="Notedebasdepage"/>
        <w:rPr>
          <w:lang w:val="fr-FR"/>
        </w:rPr>
      </w:pPr>
      <w:r w:rsidRPr="007A071B">
        <w:rPr>
          <w:lang w:val="fr-FR"/>
        </w:rPr>
        <w:tab/>
      </w:r>
      <w:r w:rsidRPr="0061197B">
        <w:rPr>
          <w:rStyle w:val="Appelnotedebasdep"/>
        </w:rPr>
        <w:footnoteRef/>
      </w:r>
      <w:r>
        <w:rPr>
          <w:lang w:val="fr-FR"/>
        </w:rPr>
        <w:tab/>
      </w:r>
      <w:hyperlink r:id="rId15" w:history="1">
        <w:r w:rsidRPr="0061197B">
          <w:rPr>
            <w:rStyle w:val="Lienhypertexte"/>
            <w:lang w:val="fr-FR"/>
          </w:rPr>
          <w:t>CERD/C/GEO/CO/6-8</w:t>
        </w:r>
      </w:hyperlink>
      <w:r>
        <w:rPr>
          <w:lang w:val="fr-FR"/>
        </w:rPr>
        <w:t xml:space="preserve">, par. 17, et </w:t>
      </w:r>
      <w:hyperlink r:id="rId16" w:history="1">
        <w:r w:rsidRPr="0061197B">
          <w:rPr>
            <w:rStyle w:val="Lienhypertexte"/>
            <w:lang w:val="fr-FR"/>
          </w:rPr>
          <w:t>CERD/C/GEO/9-10</w:t>
        </w:r>
      </w:hyperlink>
      <w:r>
        <w:rPr>
          <w:lang w:val="fr-FR"/>
        </w:rPr>
        <w:t>, par.</w:t>
      </w:r>
      <w:r>
        <w:rPr>
          <w:lang w:val="fr-FR"/>
        </w:rPr>
        <w:t xml:space="preserve"> </w:t>
      </w:r>
      <w:r>
        <w:rPr>
          <w:lang w:val="fr-FR"/>
        </w:rPr>
        <w:t>203 à 208</w:t>
      </w:r>
      <w:r w:rsidR="002A2F6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D3528" w14:textId="26498497" w:rsidR="0061197B" w:rsidRPr="0061197B" w:rsidRDefault="0061197B">
    <w:pPr>
      <w:pStyle w:val="En-tte"/>
    </w:pPr>
    <w:fldSimple w:instr=" TITLE  \* MERGEFORMAT ">
      <w:r>
        <w:t>CERD/C/GEO/Q/9-10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676DD" w14:textId="5B9C63FF" w:rsidR="0061197B" w:rsidRPr="0061197B" w:rsidRDefault="0061197B" w:rsidP="0061197B">
    <w:pPr>
      <w:pStyle w:val="En-tte"/>
      <w:jc w:val="right"/>
    </w:pPr>
    <w:fldSimple w:instr=" TITLE  \* MERGEFORMAT ">
      <w:r>
        <w:t>CERD/C/GEO/Q/9-10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76E"/>
    <w:rsid w:val="00017F94"/>
    <w:rsid w:val="00023842"/>
    <w:rsid w:val="000334F9"/>
    <w:rsid w:val="0007796D"/>
    <w:rsid w:val="000B7790"/>
    <w:rsid w:val="00111F2F"/>
    <w:rsid w:val="0014365E"/>
    <w:rsid w:val="00176178"/>
    <w:rsid w:val="001F525A"/>
    <w:rsid w:val="00215BEC"/>
    <w:rsid w:val="00223272"/>
    <w:rsid w:val="0024779E"/>
    <w:rsid w:val="00262657"/>
    <w:rsid w:val="002A2F67"/>
    <w:rsid w:val="002B576E"/>
    <w:rsid w:val="003E18C1"/>
    <w:rsid w:val="00446FE5"/>
    <w:rsid w:val="00452396"/>
    <w:rsid w:val="004F094E"/>
    <w:rsid w:val="005505B7"/>
    <w:rsid w:val="005735D9"/>
    <w:rsid w:val="00573BE5"/>
    <w:rsid w:val="00586ED3"/>
    <w:rsid w:val="00596AA9"/>
    <w:rsid w:val="0061197B"/>
    <w:rsid w:val="00623CA8"/>
    <w:rsid w:val="006E0451"/>
    <w:rsid w:val="00712E6E"/>
    <w:rsid w:val="0071601D"/>
    <w:rsid w:val="00780585"/>
    <w:rsid w:val="00783E9F"/>
    <w:rsid w:val="007A62E6"/>
    <w:rsid w:val="0080684C"/>
    <w:rsid w:val="00871C75"/>
    <w:rsid w:val="008776DC"/>
    <w:rsid w:val="009705C8"/>
    <w:rsid w:val="00984B29"/>
    <w:rsid w:val="009D5F1A"/>
    <w:rsid w:val="00A30353"/>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2DCB8"/>
  <w15:docId w15:val="{FE5B3392-7B00-4E7B-B98E-229A3A77D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6119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GEO/9-10" TargetMode="External"/><Relationship Id="rId13" Type="http://schemas.openxmlformats.org/officeDocument/2006/relationships/hyperlink" Target="http://undocs.org/fr/CERD/C/GEO/9-10" TargetMode="External"/><Relationship Id="rId3" Type="http://schemas.openxmlformats.org/officeDocument/2006/relationships/hyperlink" Target="http://undocs.org/fr/CERD/C/GEO/CO/6-8" TargetMode="External"/><Relationship Id="rId7" Type="http://schemas.openxmlformats.org/officeDocument/2006/relationships/hyperlink" Target="http://undocs.org/fr/CERD/C/GEO/9-10" TargetMode="External"/><Relationship Id="rId12" Type="http://schemas.openxmlformats.org/officeDocument/2006/relationships/hyperlink" Target="http://undocs.org/fr/CERD/C/GEO/CO/6-8" TargetMode="External"/><Relationship Id="rId2" Type="http://schemas.openxmlformats.org/officeDocument/2006/relationships/hyperlink" Target="http://undocs.org/fr/CERD/C/GEO/9-10" TargetMode="External"/><Relationship Id="rId16" Type="http://schemas.openxmlformats.org/officeDocument/2006/relationships/hyperlink" Target="http://undocs.org/fr/CERD/C/GEO/9-10" TargetMode="External"/><Relationship Id="rId1" Type="http://schemas.openxmlformats.org/officeDocument/2006/relationships/hyperlink" Target="http://undocs.org/fr/A/65/18" TargetMode="External"/><Relationship Id="rId6" Type="http://schemas.openxmlformats.org/officeDocument/2006/relationships/hyperlink" Target="http://undocs.org/fr/CERD/C/GEO/CO/6-8" TargetMode="External"/><Relationship Id="rId11" Type="http://schemas.openxmlformats.org/officeDocument/2006/relationships/hyperlink" Target="http://undocs.org/fr/CERD/C/GEO/9-10" TargetMode="External"/><Relationship Id="rId5" Type="http://schemas.openxmlformats.org/officeDocument/2006/relationships/hyperlink" Target="http://undocs.org/fr/CERD/C/GEO/9-10" TargetMode="External"/><Relationship Id="rId15" Type="http://schemas.openxmlformats.org/officeDocument/2006/relationships/hyperlink" Target="http://undocs.org/fr/CERD/C/GEO/CO/6-8" TargetMode="External"/><Relationship Id="rId10" Type="http://schemas.openxmlformats.org/officeDocument/2006/relationships/hyperlink" Target="http://undocs.org/fr/CERD/C/GEO/9-10" TargetMode="External"/><Relationship Id="rId4" Type="http://schemas.openxmlformats.org/officeDocument/2006/relationships/hyperlink" Target="http://undocs.org/fr/CERD/C/GEO/9-10" TargetMode="External"/><Relationship Id="rId9" Type="http://schemas.openxmlformats.org/officeDocument/2006/relationships/hyperlink" Target="http://undocs.org/fr/CERD/C/GEO/CO/6-8" TargetMode="External"/><Relationship Id="rId14" Type="http://schemas.openxmlformats.org/officeDocument/2006/relationships/hyperlink" Target="http://undocs.org/fr/CERD/C/GEO/9-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2</TotalTime>
  <Pages>3</Pages>
  <Words>1276</Words>
  <Characters>7100</Characters>
  <Application>Microsoft Office Word</Application>
  <DocSecurity>0</DocSecurity>
  <Lines>122</Lines>
  <Paragraphs>50</Paragraphs>
  <ScaleCrop>false</ScaleCrop>
  <HeadingPairs>
    <vt:vector size="2" baseType="variant">
      <vt:variant>
        <vt:lpstr>Titre</vt:lpstr>
      </vt:variant>
      <vt:variant>
        <vt:i4>1</vt:i4>
      </vt:variant>
    </vt:vector>
  </HeadingPairs>
  <TitlesOfParts>
    <vt:vector size="1" baseType="lpstr">
      <vt:lpstr>CERD/C/GEO/Q/9-10</vt:lpstr>
    </vt:vector>
  </TitlesOfParts>
  <Company>DCM</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CERD/C/GEO/Q/9-10</dc:title>
  <dc:subject/>
  <dc:creator>Sandrine CLERE</dc:creator>
  <cp:keywords/>
  <cp:lastModifiedBy>Sandrine Clere</cp:lastModifiedBy>
  <cp:revision>2</cp:revision>
  <cp:lastPrinted>2014-05-14T10:59:00Z</cp:lastPrinted>
  <dcterms:created xsi:type="dcterms:W3CDTF">2023-01-27T14:56:00Z</dcterms:created>
  <dcterms:modified xsi:type="dcterms:W3CDTF">2023-01-27T14:56:00Z</dcterms:modified>
</cp:coreProperties>
</file>