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4D8664C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3D2DA0" w14:textId="77777777" w:rsidR="002D5AAC" w:rsidRDefault="002D5AAC" w:rsidP="00B34F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0C5174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89DB293" w14:textId="5C72801D" w:rsidR="002D5AAC" w:rsidRDefault="00B34F70" w:rsidP="00B34F70">
            <w:pPr>
              <w:jc w:val="right"/>
            </w:pPr>
            <w:r w:rsidRPr="00B34F70">
              <w:rPr>
                <w:sz w:val="40"/>
              </w:rPr>
              <w:t>E</w:t>
            </w:r>
            <w:r>
              <w:t>/C.12/GEO/CO/3</w:t>
            </w:r>
          </w:p>
        </w:tc>
      </w:tr>
      <w:tr w:rsidR="002D5AAC" w:rsidRPr="00B34F70" w14:paraId="266B974B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D97AF4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2DD724" wp14:editId="30A345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4EBA88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77DDFFD" w14:textId="77777777" w:rsidR="002D5AAC" w:rsidRDefault="00B34F7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19AFA1C" w14:textId="77777777" w:rsidR="00B34F70" w:rsidRDefault="00B34F70" w:rsidP="00B34F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March 2026</w:t>
            </w:r>
          </w:p>
          <w:p w14:paraId="6A12F984" w14:textId="77777777" w:rsidR="00B34F70" w:rsidRDefault="00B34F70" w:rsidP="00B34F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D56CFB8" w14:textId="64EA5EC3" w:rsidR="00B34F70" w:rsidRPr="00D62A45" w:rsidRDefault="00B34F70" w:rsidP="00B34F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4CED2B3" w14:textId="69334E0F" w:rsidR="00222A44" w:rsidRPr="00222A44" w:rsidRDefault="00222A44" w:rsidP="00222A44">
      <w:pPr>
        <w:spacing w:before="120"/>
        <w:rPr>
          <w:b/>
          <w:bCs/>
          <w:color w:val="000000" w:themeColor="text1"/>
          <w:sz w:val="24"/>
          <w:szCs w:val="24"/>
        </w:rPr>
      </w:pPr>
      <w:r w:rsidRPr="00222A44">
        <w:rPr>
          <w:b/>
          <w:bCs/>
          <w:sz w:val="24"/>
          <w:szCs w:val="24"/>
        </w:rPr>
        <w:t>Комитет по экономическим, социальным</w:t>
      </w:r>
      <w:r>
        <w:rPr>
          <w:b/>
          <w:bCs/>
          <w:sz w:val="24"/>
          <w:szCs w:val="24"/>
        </w:rPr>
        <w:br/>
      </w:r>
      <w:r w:rsidRPr="00222A44">
        <w:rPr>
          <w:b/>
          <w:bCs/>
          <w:sz w:val="24"/>
          <w:szCs w:val="24"/>
        </w:rPr>
        <w:t>и культурным правам</w:t>
      </w:r>
    </w:p>
    <w:p w14:paraId="0D75C3D8" w14:textId="77777777" w:rsidR="00222A44" w:rsidRPr="00901AE2" w:rsidRDefault="00222A44" w:rsidP="00222A4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Грузии</w:t>
      </w:r>
      <w:r w:rsidRPr="00051436">
        <w:rPr>
          <w:b w:val="0"/>
          <w:bCs/>
          <w:sz w:val="20"/>
          <w:szCs w:val="14"/>
        </w:rPr>
        <w:footnoteReference w:customMarkFollows="1" w:id="1"/>
        <w:t>*</w:t>
      </w:r>
    </w:p>
    <w:p w14:paraId="79E6EC63" w14:textId="514A4F62" w:rsidR="00222A44" w:rsidRPr="00901AE2" w:rsidRDefault="00222A44" w:rsidP="00222A44">
      <w:pPr>
        <w:pStyle w:val="SingleTxtG"/>
      </w:pPr>
      <w:r>
        <w:t>1.</w:t>
      </w:r>
      <w:r>
        <w:tab/>
        <w:t>Комитет рассмотрел третий периодический доклад Грузии</w:t>
      </w:r>
      <w:r w:rsidRPr="00051436">
        <w:rPr>
          <w:rStyle w:val="a8"/>
        </w:rPr>
        <w:footnoteReference w:id="2"/>
      </w:r>
      <w:r>
        <w:t xml:space="preserve"> на своих 6-м</w:t>
      </w:r>
      <w:r>
        <w:br/>
      </w:r>
      <w:r>
        <w:t>и 7-м заседаниях</w:t>
      </w:r>
      <w:r w:rsidRPr="00051436">
        <w:rPr>
          <w:rStyle w:val="a8"/>
        </w:rPr>
        <w:footnoteReference w:id="3"/>
      </w:r>
      <w:r>
        <w:t>, состоявшихся 11 и 12 февраля 2026 года, и принял настоящие заключительные замечания на своем 26-м заседании, состоявшемся 25 февраля 2026</w:t>
      </w:r>
      <w:r>
        <w:t> </w:t>
      </w:r>
      <w:r>
        <w:t>года.</w:t>
      </w:r>
    </w:p>
    <w:p w14:paraId="2B0797A3" w14:textId="2AD4334D" w:rsidR="00222A44" w:rsidRPr="00901AE2" w:rsidRDefault="00222A44" w:rsidP="00222A44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5D5123DA" w14:textId="77777777" w:rsidR="00222A44" w:rsidRPr="00901AE2" w:rsidRDefault="00222A44" w:rsidP="00222A44">
      <w:pPr>
        <w:pStyle w:val="SingleTxtG"/>
      </w:pPr>
      <w:r>
        <w:t>2.</w:t>
      </w:r>
      <w:r>
        <w:tab/>
        <w:t>Комитет приветствует представление государством-участником своего третьего периодического доклада, а также дополнительную информацию, содержащуюся в ответах на перечень вопросов</w:t>
      </w:r>
      <w:r w:rsidRPr="00051436">
        <w:rPr>
          <w:rStyle w:val="a8"/>
        </w:rPr>
        <w:footnoteReference w:id="4"/>
      </w:r>
      <w:r>
        <w:t>. Комитет высоко оценивает конструктивный диалог с делегацией государства-участника.</w:t>
      </w:r>
      <w:bookmarkStart w:id="0" w:name="_Hlk138836936"/>
    </w:p>
    <w:p w14:paraId="0CD941A8" w14:textId="66D7F7EF" w:rsidR="00222A44" w:rsidRPr="00901AE2" w:rsidRDefault="00222A44" w:rsidP="00222A44">
      <w:pPr>
        <w:pStyle w:val="SingleTxtG"/>
      </w:pPr>
      <w:r>
        <w:t>3.</w:t>
      </w:r>
      <w:r>
        <w:tab/>
        <w:t>Комитет признает, что Абхазия (Грузия) и Цхинвальский регион/Южная Осетия</w:t>
      </w:r>
      <w:r>
        <w:t> </w:t>
      </w:r>
      <w:r>
        <w:t>(Грузия) не находятся под эффективным контролем правительства Грузии и что этот факт серьезно осложняет для государства-участника выполнение в полном объеме своих обязательств по Международному пакту об экономических, социальных и культурных правах. Комитет выражает обеспокоенность тем, что люди, проживающие в вышеупомянутых районах, не пользуются равной степенью защиты своих экономических, социальных и культурных прав и сталкиваются с такими явлениями, как принудительное перемещение и выселение, захват частных земель, снос домов, ограничения доступа к услугам здравоохранения и образованию, уничтожение объектов культурного наследия и отказ в доступе к гуманитарной помощи. Признавая трудности, с которыми сталкивается государство-участник при осуществлении своей юрисдикции над этими регионами и их ресурсами, Комитет, тем не менее, напоминает государству-участнику, что Пакт применяется на всей его территории и, следовательно, оно должно принимать все возможные меры к тому, чтобы на всей его территории люди пользовались правами, гарантированными им Пактом, без какой-либо дискриминации.</w:t>
      </w:r>
      <w:bookmarkEnd w:id="0"/>
    </w:p>
    <w:p w14:paraId="05B88D3F" w14:textId="31E47AEF" w:rsidR="00222A44" w:rsidRPr="00901AE2" w:rsidRDefault="00222A44" w:rsidP="00222A44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40F5ABE" w14:textId="77777777" w:rsidR="00222A44" w:rsidRPr="00901AE2" w:rsidRDefault="00222A44" w:rsidP="00222A44">
      <w:pPr>
        <w:pStyle w:val="SingleTxtG"/>
      </w:pPr>
      <w:r>
        <w:t>4.</w:t>
      </w:r>
      <w:r>
        <w:tab/>
        <w:t xml:space="preserve">Комитет приветствует законодательные, институциональные и политические меры, принятые в целях усиления защиты экономических, социальных и культурных прав в государстве-участнике, такие как присоединение к Конвенции о правах инвалидов (2014 год), Факультативному протоколу к Конвенции о правах ребенка, </w:t>
      </w:r>
      <w:r>
        <w:lastRenderedPageBreak/>
        <w:t>касающемуся участия детей в вооруженных конфликтах (2010 год), Факультативный протокол к Конвенции против пыток и других жестоких, бесчеловечных или унижающих достоинство видов обращения или наказания (2005 год) и Факультативный протокол к Конвенции о правах ребенка, касающийся торговли детьми, детской проституции и детской порнографии (2005 год). Комитет также приветствует ратификацию в 2014 году Конвенции Совета Европы о предотвращении и пресечении насилия в отношении женщин и домашнего насилия, а также принятие Закона об устранении всех форм дискриминации (2014 год), достигнутые успехи в снижении уровня бедности и меры, упомянутые в настоящих заключительных замечаниях.</w:t>
      </w:r>
    </w:p>
    <w:p w14:paraId="2C18EEFC" w14:textId="7EFF42D4" w:rsidR="00222A44" w:rsidRPr="00901AE2" w:rsidRDefault="008D2936" w:rsidP="00222A44">
      <w:pPr>
        <w:pStyle w:val="H1G"/>
      </w:pPr>
      <w:r>
        <w:rPr>
          <w:bCs/>
        </w:rPr>
        <w:tab/>
      </w:r>
      <w:r w:rsidR="00222A44">
        <w:rPr>
          <w:bCs/>
        </w:rPr>
        <w:t>C.</w:t>
      </w:r>
      <w:r w:rsidR="00222A44">
        <w:tab/>
      </w:r>
      <w:r w:rsidR="00222A44">
        <w:rPr>
          <w:bCs/>
        </w:rPr>
        <w:t>Основные вопросы, вызывающие обеспокоенность, и</w:t>
      </w:r>
      <w:r w:rsidR="00EC5B55">
        <w:rPr>
          <w:bCs/>
        </w:rPr>
        <w:t> </w:t>
      </w:r>
      <w:r w:rsidR="00222A44">
        <w:rPr>
          <w:bCs/>
        </w:rPr>
        <w:t>рекомендации</w:t>
      </w:r>
    </w:p>
    <w:p w14:paraId="539509B8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Применение Пакта на национальном уровне</w:t>
      </w:r>
      <w:r>
        <w:t xml:space="preserve"> </w:t>
      </w:r>
    </w:p>
    <w:p w14:paraId="17A2BF53" w14:textId="77777777" w:rsidR="00222A44" w:rsidRPr="00901AE2" w:rsidRDefault="00222A44" w:rsidP="00222A44">
      <w:pPr>
        <w:pStyle w:val="SingleTxtG"/>
      </w:pPr>
      <w:r>
        <w:t>5.</w:t>
      </w:r>
      <w:r>
        <w:tab/>
        <w:t xml:space="preserve">Приветствуя представленную государством-участником информацию о том, что Пакт считается законом прямого действия и что на него ссылался Верховный суд Грузии, Комитет выражает озабоченность в связи с сообщениями о том, что осведомленность о Пакте по-прежнему остается довольно ограниченной, особенно на нижних уровнях судебной системы. </w:t>
      </w:r>
    </w:p>
    <w:p w14:paraId="599280B5" w14:textId="77777777" w:rsidR="00222A44" w:rsidRPr="00901AE2" w:rsidRDefault="00222A44" w:rsidP="00222A4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4608A60" w14:textId="21B3CB95" w:rsidR="00222A44" w:rsidRPr="00EC5B55" w:rsidRDefault="00EC5B55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EC5B55">
        <w:rPr>
          <w:b/>
          <w:bCs/>
        </w:rPr>
        <w:t>a)</w:t>
      </w:r>
      <w:r w:rsidR="00222A44" w:rsidRPr="00EC5B55">
        <w:rPr>
          <w:b/>
          <w:bCs/>
        </w:rPr>
        <w:tab/>
        <w:t>принять меры для обеспечения применимости всех прав, закрепленных в Пакте, на всех уровнях судебной системы и во всех административных инстанциях, а также содействовать доступу к эффективным средствам правовой защиты для жертв нарушения этих прав;</w:t>
      </w:r>
    </w:p>
    <w:p w14:paraId="66A970EB" w14:textId="0995E3AE" w:rsidR="00222A44" w:rsidRPr="00EC5B55" w:rsidRDefault="00EC5B55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EC5B55">
        <w:rPr>
          <w:b/>
          <w:bCs/>
        </w:rPr>
        <w:t>b)</w:t>
      </w:r>
      <w:r w:rsidR="00222A44" w:rsidRPr="00EC5B55">
        <w:rPr>
          <w:b/>
          <w:bCs/>
        </w:rPr>
        <w:tab/>
        <w:t>продолжать проводить обучение судей, прокуроров и адвокатов положениям Пакта и возможностям судебной защиты экономических, социальных и культурных прав;</w:t>
      </w:r>
    </w:p>
    <w:p w14:paraId="0D5DE4BB" w14:textId="564C47CD" w:rsidR="00222A44" w:rsidRPr="00EC5B55" w:rsidRDefault="00EC5B55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EC5B55">
        <w:rPr>
          <w:b/>
          <w:bCs/>
        </w:rPr>
        <w:t>c)</w:t>
      </w:r>
      <w:r w:rsidR="00222A44" w:rsidRPr="00EC5B55">
        <w:rPr>
          <w:b/>
          <w:bCs/>
        </w:rPr>
        <w:tab/>
        <w:t>продолжать работу по повышению осведомленности об экономических, социальных и культурных правах среди всех субъектов, ответственных за осуществление Пакта;</w:t>
      </w:r>
    </w:p>
    <w:p w14:paraId="661C88FD" w14:textId="476B6926" w:rsidR="00222A44" w:rsidRPr="00EC5B55" w:rsidRDefault="00EC5B55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EC5B55">
        <w:rPr>
          <w:b/>
          <w:bCs/>
        </w:rPr>
        <w:t>d)</w:t>
      </w:r>
      <w:r w:rsidR="00222A44" w:rsidRPr="00EC5B55">
        <w:rPr>
          <w:b/>
          <w:bCs/>
        </w:rPr>
        <w:tab/>
        <w:t>принимать во внимание замечание общего порядка № 9 (1998) Комитета о применении Пакта во внутреннем праве.</w:t>
      </w:r>
    </w:p>
    <w:p w14:paraId="6FC02E72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3AC2B1C4" w14:textId="77777777" w:rsidR="00222A44" w:rsidRPr="00901AE2" w:rsidRDefault="00222A44" w:rsidP="00222A44">
      <w:pPr>
        <w:pStyle w:val="SingleTxtG"/>
      </w:pPr>
      <w:r>
        <w:t>7.</w:t>
      </w:r>
      <w:r>
        <w:tab/>
        <w:t>Отмечая информацию, представленную государством-участником, о присвоении Аппарату Народного защитника статуса «А» Глобальным альянсом национальных правозащитных учреждений и приветствуя увеличение бюджета Аппарата в последние годы, Комитет выражает озабоченность в связи с сообщениями об усилении политического давления на Аппарат в последние годы (ст. 2, п. 1).</w:t>
      </w:r>
    </w:p>
    <w:p w14:paraId="5A2A8AD6" w14:textId="0DB86375" w:rsidR="00222A44" w:rsidRPr="00901AE2" w:rsidRDefault="00222A44" w:rsidP="00222A4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обеспечить полное соответствие принципам, касающимся статуса национальных учреждений, занимающихся поощрением и защитой прав человека (Парижские принципы), и гарантировать, чтобы независимость Аппарата Народного защитника соблюдалась как на практике, так</w:t>
      </w:r>
      <w:r>
        <w:t xml:space="preserve"> </w:t>
      </w:r>
      <w:r>
        <w:rPr>
          <w:b/>
          <w:bCs/>
        </w:rPr>
        <w:t>и в законе</w:t>
      </w:r>
      <w:r w:rsidR="00566384">
        <w:rPr>
          <w:b/>
          <w:bCs/>
        </w:rPr>
        <w:t>.</w:t>
      </w:r>
      <w:r>
        <w:t xml:space="preserve"> </w:t>
      </w:r>
      <w:r>
        <w:rPr>
          <w:b/>
          <w:bCs/>
        </w:rPr>
        <w:t>В связи с этим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</w:p>
    <w:p w14:paraId="2D1D1D64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50FD6383" w14:textId="77777777" w:rsidR="00222A44" w:rsidRPr="00901AE2" w:rsidRDefault="00222A44" w:rsidP="00222A44">
      <w:pPr>
        <w:pStyle w:val="SingleTxtG"/>
      </w:pPr>
      <w:r>
        <w:t>9.</w:t>
      </w:r>
      <w:r>
        <w:tab/>
        <w:t>Комитет обеспокоен сообщениями о том, что процедуры назначения, продвижения по службе, наложения дисциплинарных взысканий и увольнения судей не в полной мере обеспечивают их институциональную и функциональную независимость, которая необходима для обеспечения судебной защиты экономических, социальных и культурных прав.</w:t>
      </w:r>
    </w:p>
    <w:p w14:paraId="23DF7ECB" w14:textId="77777777" w:rsidR="00222A44" w:rsidRPr="00901AE2" w:rsidRDefault="00222A44" w:rsidP="00222A44">
      <w:pPr>
        <w:pStyle w:val="SingleTxtG"/>
        <w:rPr>
          <w:b/>
          <w:bCs/>
        </w:rPr>
      </w:pPr>
      <w:r>
        <w:lastRenderedPageBreak/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10024B" w14:textId="1A9251FA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a)</w:t>
      </w:r>
      <w:r w:rsidR="00222A44" w:rsidRPr="00C27B11">
        <w:rPr>
          <w:b/>
          <w:bCs/>
        </w:rPr>
        <w:tab/>
        <w:t>принять все необходимые законодательные и институциональные меры для обеспечения как в законодательстве, так и на практике независимости и беспристрастности судей и прокуроров, а также для обеспечения их защиты от неправомерного влияния, в том числе от давления или дисциплинарных мер с чьей бы то ни было стороны, несовместимых с принципами независимости судебной власти;</w:t>
      </w:r>
    </w:p>
    <w:p w14:paraId="1134DB34" w14:textId="375E5604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b)</w:t>
      </w:r>
      <w:r w:rsidR="00222A44" w:rsidRPr="00C27B11">
        <w:rPr>
          <w:b/>
          <w:bCs/>
        </w:rPr>
        <w:tab/>
        <w:t>обеспечить, чтобы процедуры назначения, избрания, продвижения по службе или снятия с должности судей и прокуроров были транспарентными и в полной мере отвечали соответствующим международно-правовым стандартам, в том числе Основным принципам независимости судебных органов и Руководящим принципам, касающимся роли лиц, осуществляющих судебное преследование</w:t>
      </w:r>
      <w:r w:rsidR="00873343">
        <w:rPr>
          <w:b/>
          <w:bCs/>
        </w:rPr>
        <w:t>;</w:t>
      </w:r>
    </w:p>
    <w:p w14:paraId="33CA1935" w14:textId="43556C96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c)</w:t>
      </w:r>
      <w:r w:rsidR="00222A44" w:rsidRPr="00C27B11">
        <w:rPr>
          <w:b/>
          <w:bCs/>
        </w:rPr>
        <w:tab/>
        <w:t>учитывать замечание общего порядка № 9 (1998) о применении Пакта во внутреннем праве.</w:t>
      </w:r>
    </w:p>
    <w:p w14:paraId="6B35CC62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Правозащитники, журналисты и адвокаты, занимающиеся экономическими, социальными и культурными правами</w:t>
      </w:r>
    </w:p>
    <w:p w14:paraId="09EECC68" w14:textId="77777777" w:rsidR="00222A44" w:rsidRPr="00901AE2" w:rsidRDefault="00222A44" w:rsidP="00222A44">
      <w:pPr>
        <w:pStyle w:val="SingleTxtG"/>
      </w:pPr>
      <w:r>
        <w:t>11.</w:t>
      </w:r>
      <w:r>
        <w:tab/>
        <w:t>Комитет выражает обеспокоенность сообщениями о том, что правозащитники, журналисты и юристы, занимающиеся вопросами экономических, социальных и культурных прав, подвергаются различным формам давления и репрессивным мерам, включая чрезмерное применение силы, произвольные задержания, преследования и угрозы в связи с их профессиональной или правозащитной деятельностью. Комитет также обеспокоен тем, что Закон о прозрачности иностранного влияния (2024 год) и Закон о регистрации иностранных агентов (2025 год), как сообщается, используются таким образом, что это неоправданно ограничивает деятельность представителей гражданского общества.</w:t>
      </w:r>
    </w:p>
    <w:p w14:paraId="29246E8D" w14:textId="77777777" w:rsidR="00222A44" w:rsidRPr="00901AE2" w:rsidRDefault="00222A44" w:rsidP="00222A4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5B1D69C" w14:textId="3F339D85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a)</w:t>
      </w:r>
      <w:r w:rsidR="00222A44" w:rsidRPr="00C27B11">
        <w:rPr>
          <w:b/>
          <w:bCs/>
        </w:rPr>
        <w:tab/>
        <w:t>усилить защиту правозащитников, журналистов и адвокатов, занимающихся экономическими, социальными и культурными правами человека, а также членов их семей;</w:t>
      </w:r>
    </w:p>
    <w:p w14:paraId="42831223" w14:textId="39169FE9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b)</w:t>
      </w:r>
      <w:r w:rsidR="00222A44" w:rsidRPr="00C27B11">
        <w:rPr>
          <w:b/>
          <w:bCs/>
        </w:rPr>
        <w:tab/>
        <w:t>в целях предупреждения безнаказанности обеспечить оперативное, эффективное и беспристрастное расследование всех нарушений, привлечение к ответственности и наказание виновных и устранение последствий;</w:t>
      </w:r>
    </w:p>
    <w:p w14:paraId="395B9F1C" w14:textId="2FB36D5F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c)</w:t>
      </w:r>
      <w:r w:rsidR="00222A44" w:rsidRPr="00C27B11">
        <w:rPr>
          <w:b/>
          <w:bCs/>
        </w:rPr>
        <w:tab/>
        <w:t>обеспечить, чтобы законодательство не использовалось для необоснованного ограничения и подавления деятельности критиков правительства, правозащитников, адвокатов и журналистов, которые необходимы для реализации экономических, социальных и культурных прав;</w:t>
      </w:r>
    </w:p>
    <w:p w14:paraId="0AF3B936" w14:textId="117798F3" w:rsidR="00222A44" w:rsidRPr="00C27B11" w:rsidRDefault="00C27B11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C27B11">
        <w:rPr>
          <w:b/>
          <w:bCs/>
        </w:rPr>
        <w:t>d)</w:t>
      </w:r>
      <w:r w:rsidR="00222A44" w:rsidRPr="00C27B11">
        <w:rPr>
          <w:b/>
          <w:bCs/>
        </w:rPr>
        <w:tab/>
        <w:t>принимать во внимание заявление Комитета в отношении правозащитников и экономических, социальных и культурных прав.</w:t>
      </w:r>
    </w:p>
    <w:p w14:paraId="4314FD65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  <w:r>
        <w:t xml:space="preserve"> </w:t>
      </w:r>
    </w:p>
    <w:p w14:paraId="1749EF0D" w14:textId="77777777" w:rsidR="00222A44" w:rsidRPr="00901AE2" w:rsidRDefault="00222A44" w:rsidP="00222A44">
      <w:pPr>
        <w:pStyle w:val="SingleTxtG"/>
      </w:pPr>
      <w:r>
        <w:t>13.</w:t>
      </w:r>
      <w:r>
        <w:tab/>
        <w:t>Отмечая, что вопросы, касающиеся бизнеса и прав человека, по-прежнему остаются приоритетными в рамках национальной стратегии Грузии по защите прав человека на период 2022–2030 годов, Комитет выражает озабоченность в связи с отсутствием специального национального плана действий в области предпринимательской деятельности и прав человека, а также в связи с отсутствием комплексных механизмов обеспечения должной заботы бизнеса о правах человека и недостаточностью нормативно-правовой базы для обеспечения того, чтобы предприятия, работающие на территории государства-участника, включая иностранных инвесторов, систематически соблюдали права человека в соответствии с международными стандартами.</w:t>
      </w:r>
    </w:p>
    <w:p w14:paraId="0A6473A8" w14:textId="77777777" w:rsidR="00222A44" w:rsidRPr="00901AE2" w:rsidRDefault="00222A44" w:rsidP="00C27B11">
      <w:pPr>
        <w:pStyle w:val="SingleTxtG"/>
        <w:pageBreakBefore/>
        <w:rPr>
          <w:b/>
          <w:bCs/>
        </w:rPr>
      </w:pPr>
      <w:r>
        <w:lastRenderedPageBreak/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B5B4C5" w14:textId="5D86646F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принять национальный план действий в области предпринимательской деятельности и прав человека, обеспечив при этом участие в процессах как его разработки, так и реализации всех заинтересованных сторон, включая представителей предпринимательских кругов, профсоюзов, организаций гражданского общества и затрагиваемых в наибольшей степени общин;</w:t>
      </w:r>
    </w:p>
    <w:p w14:paraId="37E4C102" w14:textId="07C7E5BF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принять надлежащие законодательные и административные меры для обеспечения того, чтобы предприятия, действующие или зарегистрированные в государстве-участнике, в том числе иностранные инвесторы, уделяли должное внимание правам человека в целях предотвращения или уменьшения негативного влияния их деятельности на пользование экономическими, социальными и культурными правами;</w:t>
      </w:r>
    </w:p>
    <w:p w14:paraId="5DCD4297" w14:textId="1AC587B0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 xml:space="preserve">учитывать замечание общего порядка Комитета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 и Руководящие принципы предпринимательской деятельности в аспекте прав человека. </w:t>
      </w:r>
    </w:p>
    <w:p w14:paraId="26808508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2B7C4625" w14:textId="77777777" w:rsidR="00222A44" w:rsidRPr="00901AE2" w:rsidRDefault="00222A44" w:rsidP="00222A44">
      <w:pPr>
        <w:pStyle w:val="SingleTxtG"/>
      </w:pPr>
      <w:r>
        <w:t>15.</w:t>
      </w:r>
      <w:r>
        <w:tab/>
        <w:t>Принимая к сведению представленную государством-участником информацию о предварительных результатах реализации Стратегии по борьбе с изменением климата до 2030 года, Комитет выражает озабоченность тем, что нынешние меры по сокращению выбросов могут оказаться недостаточными для выполнения государством-участником своих обязательств в рамках Парижского соглашения. Комитет также выражает обеспокоенность в связи с продолжающейся в последние годы вырубкой лесов, в том числе случаями крупномасштабной незаконной вырубки.</w:t>
      </w:r>
    </w:p>
    <w:p w14:paraId="599BC2CC" w14:textId="77777777" w:rsidR="00222A44" w:rsidRPr="00901AE2" w:rsidRDefault="00222A44" w:rsidP="00222A4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принять меры для достижения своих определяемых на национальном уровне вкладов в соответствии с Парижским соглашением, в частности путем:</w:t>
      </w:r>
    </w:p>
    <w:p w14:paraId="478CDF48" w14:textId="26F3205D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усиления мер по предотвращению последствий с целью ускорения перехода к использованию возобновляемых источников энергии, таких как геотермальная, ветровая и солнечная энергия, повышения энергоэффективности и принятия надлежащих фискальных и регуляторных мер для сокращения выбросов парниковых газов в соответствии со своими обязательствами по Пакту;</w:t>
      </w:r>
    </w:p>
    <w:p w14:paraId="025E9877" w14:textId="582D56D1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обеспечения Национального агентства лесного хозяйства достаточными кадрами и ресурсами для выполнения поставленной перед ним задачи предотвращения и пресечения незаконной вырубки лесов, а также укрепления механизмов мониторинга и правоприменения;</w:t>
      </w:r>
    </w:p>
    <w:p w14:paraId="020BAF67" w14:textId="5E687142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учета принятого Комитетом замечания общего порядка № 27 (2025) об экономических, социальных и культурных правах и экологическом компоненте устойчивого развития и его заявления по вопросу об изменении климата и Пакте.</w:t>
      </w:r>
    </w:p>
    <w:p w14:paraId="1554AF4E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Максимальные имеющиеся ресурсы</w:t>
      </w:r>
    </w:p>
    <w:p w14:paraId="6CD6063D" w14:textId="77777777" w:rsidR="00222A44" w:rsidRPr="00901AE2" w:rsidRDefault="00222A44" w:rsidP="00222A44">
      <w:pPr>
        <w:pStyle w:val="SingleTxtG"/>
      </w:pPr>
      <w:r>
        <w:t>17.</w:t>
      </w:r>
      <w:r>
        <w:tab/>
        <w:t xml:space="preserve">Отмечая прогресс, достигнутый государством-участником в диверсификации своей экономики, Комитет выражает озабоченность тем, что: </w:t>
      </w:r>
    </w:p>
    <w:p w14:paraId="69BA529B" w14:textId="67CDC8F1" w:rsidR="00222A44" w:rsidRPr="00901AE2" w:rsidRDefault="00912A99" w:rsidP="00222A44">
      <w:pPr>
        <w:pStyle w:val="SingleTxtG"/>
      </w:pPr>
      <w:r>
        <w:tab/>
      </w:r>
      <w:r w:rsidR="00222A44">
        <w:t>a)</w:t>
      </w:r>
      <w:r w:rsidR="00222A44">
        <w:tab/>
        <w:t>значительная доля валового внутреннего продукта государства-участника по-прежнему приходится на денежные переводы и доходы от туризма, что делает экономику уязвимой перед лицом внешних непредвиденных обстоятельств, которые могут ограничить способность государства-участника мобилизовать максимум имеющихся ресурсов и осуществлять долгосрочное планирование в целях реализации экономических, социальных и культурных прав;</w:t>
      </w:r>
    </w:p>
    <w:p w14:paraId="2BFFE318" w14:textId="340179EC" w:rsidR="00222A44" w:rsidRPr="00901AE2" w:rsidRDefault="00912A99" w:rsidP="00222A44">
      <w:pPr>
        <w:pStyle w:val="SingleTxtG"/>
      </w:pPr>
      <w:r>
        <w:lastRenderedPageBreak/>
        <w:tab/>
      </w:r>
      <w:r w:rsidR="00222A44">
        <w:t>b)</w:t>
      </w:r>
      <w:r w:rsidR="00222A44">
        <w:tab/>
        <w:t>налоговая система с фиксированной ставкой налога на доходы физических лиц и сильной зависимостью от налога на добавленную стоимость имеет регрессивный характер и ограничивает перераспределение ресурсов, что непропорционально сказывается на домохозяйствах с низким уровнем дохода и сдерживает эффективную мобилизацию внутренних ресурсов для осуществления Пакт</w:t>
      </w:r>
      <w:r w:rsidR="00873343">
        <w:t>а</w:t>
      </w:r>
      <w:r w:rsidR="00222A44">
        <w:t xml:space="preserve"> (ст. 2, п. 1).</w:t>
      </w:r>
    </w:p>
    <w:p w14:paraId="12B7E0F2" w14:textId="77777777" w:rsidR="00222A44" w:rsidRPr="00901AE2" w:rsidRDefault="00222A44" w:rsidP="00222A4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33D537F" w14:textId="6733C0B4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продолжать осуществлять и усилить стратегии диверсификации экономики в целях повышения устойчивости к внешним потрясениям, стремясь расширить бюджетные возможности для увеличения государственных инвестиций в сферы, связанные с экономическими, социальными и культурными правами;</w:t>
      </w:r>
    </w:p>
    <w:p w14:paraId="52B8EFB9" w14:textId="4774A49D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повысить прогрессивность и справедливость своей налоговой системы, активизировать мобилизацию внутренних доходов и обеспечить, чтобы фискальная политика эффективно способствовала сокращению неравенства, с учетом заявления Комитета по вопросу о налоговой политике и Пакте.</w:t>
      </w:r>
    </w:p>
    <w:p w14:paraId="1BD17C14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4E91C602" w14:textId="633DDB40" w:rsidR="00222A44" w:rsidRPr="00901AE2" w:rsidRDefault="00222A44" w:rsidP="00222A44">
      <w:pPr>
        <w:pStyle w:val="SingleTxtG"/>
      </w:pPr>
      <w:r>
        <w:t>19.</w:t>
      </w:r>
      <w:r>
        <w:tab/>
        <w:t>Приветствуя достигнутый государством-участником в последние годы прогресс, в частности в сокращени</w:t>
      </w:r>
      <w:r w:rsidR="00F13AEF">
        <w:t>и</w:t>
      </w:r>
      <w:r>
        <w:t xml:space="preserve"> низовой коррупции, Комитет выражает озабоченность в связи с сообщениями о том, что проблема коррупции среди высокопоставленных </w:t>
      </w:r>
      <w:proofErr w:type="gramStart"/>
      <w:r>
        <w:t>государственных чиновников</w:t>
      </w:r>
      <w:proofErr w:type="gramEnd"/>
      <w:r>
        <w:t xml:space="preserve"> по-прежнему имеет место и, по имеющимся данным, в последние годы даже несколько обострилась, а также о том, что коррупция и отсутствие прозрачности по-прежнему остаются проблемой в судебной системе. Комитет также выражает озабоченность в связи с сообщениями о получении государственными должностными лицами комиссионных, так называемых «откатов», а также в связи с сообщениями о недостаточных мерах по расследованию дел о коррупции на высоком уровне со стороны органов, ответственных за обеспечение соблюдения антикоррупционных законодательных и других и мер. </w:t>
      </w:r>
    </w:p>
    <w:p w14:paraId="49662427" w14:textId="77777777" w:rsidR="00222A44" w:rsidRPr="00901AE2" w:rsidRDefault="00222A44" w:rsidP="00222A4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E85B572" w14:textId="60DBF21A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активизировать усилия по борьбе с коррупцией и принять меры для обеспечения прозрачности и подотчетности в сфере государственного управления, уделяя особое внимание аренде и приватизации государственного имущества;</w:t>
      </w:r>
    </w:p>
    <w:p w14:paraId="1A8EC8FB" w14:textId="70E3ABD4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обеспечить тщательное и независимое расследование всех случаев коррупции, в том числе среди высокопоставленных чиновников и судей, привлечение к ответственности и наказание виновных соразмерно тяжести совершенных правонарушений;</w:t>
      </w:r>
    </w:p>
    <w:p w14:paraId="72C114AE" w14:textId="6943E2C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продолжать укреплять полномочия, независимость и ресурсную базу антикоррупционных органов и надзорных учреждений, в том числе Межведомственного координационного совета по борьбе с коррупцией, с тем чтобы обеспечить возможность эффективного и независимого осуществления им своих полномочий;</w:t>
      </w:r>
    </w:p>
    <w:p w14:paraId="74434CB2" w14:textId="6C606C7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принять все необходимые меры для защиты антикоррупционных активистов, разоблачителей, свидетелей и журналистов, сообщающих о фактах коррупции, и обеспечить безопасные и доступные каналы для информирования о случаях коррупции;</w:t>
      </w:r>
    </w:p>
    <w:p w14:paraId="54E241AC" w14:textId="4A2E38E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e)</w:t>
      </w:r>
      <w:r w:rsidR="00222A44" w:rsidRPr="00912A99">
        <w:rPr>
          <w:b/>
          <w:bCs/>
        </w:rPr>
        <w:tab/>
        <w:t>продолжать повышать осведомленность политиков, парламентариев, правительственных чиновников и общественности об экономических и социальных издержках коррупции.</w:t>
      </w:r>
    </w:p>
    <w:p w14:paraId="06FE4AD0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6488D38B" w14:textId="77777777" w:rsidR="00222A44" w:rsidRPr="00901AE2" w:rsidRDefault="00222A44" w:rsidP="00222A44">
      <w:pPr>
        <w:pStyle w:val="SingleTxtG"/>
      </w:pPr>
      <w:r>
        <w:t>21.</w:t>
      </w:r>
      <w:r>
        <w:tab/>
        <w:t xml:space="preserve">Комитет выражает озабоченность тем, что некоторые положения Закона о защите семейных ценностей и несовершеннолетнего (2024 год) и соответствующие </w:t>
      </w:r>
      <w:r>
        <w:lastRenderedPageBreak/>
        <w:t>поправки к Административному и Уголовному кодексам не в полной мере соответствуют положениям как Пакта, так и национального законодательства государства-участника в области недискриминации, в том числе Закону об устранении всех форм дискриминации. Комитет также обеспокоен тем, что эти изменения в законодательстве могут препятствовать равноправному пользованию правами человека по причине сексуальной ориентации и гендерной идентичности, включая экономические, социальные и культурные права. Он также обеспокоен сохраняющейся дискриминацией, с которой сталкиваются находящиеся в неблагоприятном положении и маргинализированные лица и группы при осуществлении своих экономических, социальных и культурных прав (ст. 2 (п. 2), 12, 14 и 15).</w:t>
      </w:r>
    </w:p>
    <w:p w14:paraId="70286E5C" w14:textId="77777777" w:rsidR="00222A44" w:rsidRPr="00901AE2" w:rsidRDefault="00222A44" w:rsidP="00222A4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A1EAAB8" w14:textId="571113B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пересмотреть соответствующие положения законодательства с целью обеспечения их соответствия международным обязательствам государства-участника в области прав человека, а также Закону об устранении всех форм дискриминации и обеспечить наличие доступных, независимых и эффективных механизмов рассмотрения жалоб, в том числе в целях предоставления эффективной и равной защиты прав однополых пар и трансгендерных лиц;</w:t>
      </w:r>
    </w:p>
    <w:p w14:paraId="658832E0" w14:textId="46A9EC26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принять все необходимые меры как в законодательстве, так и на практике для предотвращения дискриминации, стигматизации, разжигания ненависти, насилия и других нарушений прав человека, а также преследований, в том числе по признаку сексуальной ориентации и гендерной идентичности;</w:t>
      </w:r>
    </w:p>
    <w:p w14:paraId="3514BA01" w14:textId="7FD5396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систематически собирать и регулярно публиковать дезагрегированные данные о наличии, доступности и качестве всех прав, защищаемых в соответствии с Пактом, уделяя особое внимание уязвимым группам населения и принимая все необходимые меры для обеспечения этим группам возможности пользоваться этими правами на равных условиях;</w:t>
      </w:r>
    </w:p>
    <w:p w14:paraId="77309126" w14:textId="32082F30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 xml:space="preserve">принимать во внимание замечание общего порядка № 20 (2009) Комитета о недискриминации при осуществлении экономических, социальных и культурных прав. </w:t>
      </w:r>
    </w:p>
    <w:p w14:paraId="1D3D6860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Внутренне перемещенные лица</w:t>
      </w:r>
    </w:p>
    <w:p w14:paraId="57D9F13B" w14:textId="58C128F2" w:rsidR="00222A44" w:rsidRPr="00901AE2" w:rsidRDefault="00222A44" w:rsidP="00222A44">
      <w:pPr>
        <w:pStyle w:val="SingleTxtG"/>
      </w:pPr>
      <w:r>
        <w:t>23.</w:t>
      </w:r>
      <w:r>
        <w:tab/>
        <w:t>Отмечая проблемы, с которыми сталкивается государство-участник в условиях продолжающейся оккупаци</w:t>
      </w:r>
      <w:r w:rsidR="00DB1DA6">
        <w:t>и</w:t>
      </w:r>
      <w:r>
        <w:t xml:space="preserve"> отдельных частей его территории, Комитет выражает озабоченность в связи с ограниченными возможностями для осуществления некоторых экономических, социальных и культурных прав внутренне перемещенными лицами, в том числе в связи с недостаточным доступом к занятости, адекватному жилью, здравоохранению, образованию и другим базовым услугам. В</w:t>
      </w:r>
      <w:r w:rsidR="00912A99">
        <w:t> </w:t>
      </w:r>
      <w:r>
        <w:t>этой связи Комитет также выражает озабоченность по поводу конкретных препятствий, с которыми сталкиваются внутренне перемещенные лица с инвалидностью, внутренне перемещенные женщины, дети и пожилые люди, а также по поводу недостаточности мер, принимаемых для удовлетворения их особых потребностей (ст. 2 (п. 2), 3 и 11–14).</w:t>
      </w:r>
    </w:p>
    <w:p w14:paraId="5F0853C7" w14:textId="77777777" w:rsidR="00222A44" w:rsidRPr="00901AE2" w:rsidRDefault="00222A44" w:rsidP="00222A4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для защиты внутренне перемещенных лиц и обеспечения им возможности пользоваться правами, закрепленными в Пакте, в частности путем предоставления доступа к адекватному жилью, здравоохранению, образованию, занятости, социальному обеспечению и другим базовым услугам, уделяя при этом особое внимание потребностям инвалидов, женщин, детей и пожилых людей.</w:t>
      </w:r>
    </w:p>
    <w:p w14:paraId="5D82CFFC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Равные права мужчин и женщин</w:t>
      </w:r>
      <w:r>
        <w:t xml:space="preserve"> </w:t>
      </w:r>
    </w:p>
    <w:p w14:paraId="7E71D674" w14:textId="77777777" w:rsidR="00222A44" w:rsidRPr="00901AE2" w:rsidRDefault="00222A44" w:rsidP="00222A44">
      <w:pPr>
        <w:pStyle w:val="SingleTxtG"/>
      </w:pPr>
      <w:bookmarkStart w:id="1" w:name="_Hlk143359142"/>
      <w:r>
        <w:t>25.</w:t>
      </w:r>
      <w:r>
        <w:tab/>
        <w:t xml:space="preserve">Комитет отмечает усилия и успехи государства-участника в деле содействия гендерному равенству, в том числе внесение поправок в Закон о гендерном равенстве в 2022 году, принятие новой Государственной концепции в области гендерного </w:t>
      </w:r>
      <w:r>
        <w:lastRenderedPageBreak/>
        <w:t xml:space="preserve">равноправия (2022 год) и Государственной концепции расширения экономических прав и возможностей женщин (2023 год). Тем не менее Комитет по-прежнему обеспокоен сохраняющимися в обществе гендерными стереотипами и дискриминацией женщин, что приводит к тому, что на женщин ложится непропорциональное бремя неоплачиваемой работы по уходу и ведению домашнего хозяйства, что препятствует их полноценному и равноправному участию в рынке труда и ограничивает их представленность на руководящих должностях. Комитет также выражает озабоченность в связи с концентрацией женщин в секторах занятости с более низким уровнем оплаты труда, что ведет к углублению гендерного разрыва в оплате труда (ст. 3 и 7). </w:t>
      </w:r>
      <w:bookmarkStart w:id="2" w:name="_Hlk143360371"/>
      <w:bookmarkStart w:id="3" w:name="_Hlk143359926"/>
      <w:bookmarkEnd w:id="1"/>
      <w:bookmarkEnd w:id="2"/>
      <w:bookmarkEnd w:id="3"/>
    </w:p>
    <w:p w14:paraId="703D0D29" w14:textId="77777777" w:rsidR="00222A44" w:rsidRPr="00901AE2" w:rsidRDefault="00222A44" w:rsidP="00222A4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12EC2D2" w14:textId="21075773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продолжать содействовать увеличению представленности женщин на всех уровнях государственного управления, в частности на руководящих должностях, и их назначению на управленческие должности в частном секторе, в том числе путем разработки стимулов для частных компаний;</w:t>
      </w:r>
    </w:p>
    <w:p w14:paraId="29F4E5E8" w14:textId="31B28C4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обеспечить надлежащее признание и перераспределение неоплачиваемой работы по уходу и ведению домашнего хозяйства, которая в основном выполняется женщинами, в том числе посредством проведения стимулирующей социальной политики;</w:t>
      </w:r>
    </w:p>
    <w:p w14:paraId="3324B340" w14:textId="29BC4DCC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удвоить усилия по устранению гендерного неравенства, активизировать работу по расширению участия женщин на рынке труда, пересмотреть свою социальную и бюджетно-финансовую политику и устранить структурные барьеры, мешающие женщинам начинать или продолжать карьеру либо устраиваться на работу на полную ставку, в том числе путем принятия мер, способствующих обеспечению надлежащего баланса между работой и личной жизнью;</w:t>
      </w:r>
    </w:p>
    <w:p w14:paraId="21FD5A0C" w14:textId="380141F5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принять действенные меры для устранения сохраняющегося гендерного разрыва в оплате труда, в том числе путем решения проблемы вертикальной и горизонтальной гендерной сегрегации на рынке труда;</w:t>
      </w:r>
    </w:p>
    <w:p w14:paraId="0F742FE4" w14:textId="234C2C59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e)</w:t>
      </w:r>
      <w:r w:rsidR="00222A44" w:rsidRPr="00912A99">
        <w:rPr>
          <w:b/>
          <w:bCs/>
        </w:rPr>
        <w:tab/>
        <w:t>принимать во внимание замечание общего порядка № 16 (2005) Комитета о равном для мужчин и женщин праве пользования всеми экономическими, социальными и культурными правами.</w:t>
      </w:r>
    </w:p>
    <w:p w14:paraId="775DF3C6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6A5DEABD" w14:textId="77777777" w:rsidR="00222A44" w:rsidRPr="00901AE2" w:rsidRDefault="00222A44" w:rsidP="00222A44">
      <w:pPr>
        <w:pStyle w:val="SingleTxtG"/>
      </w:pPr>
      <w:r>
        <w:t>27.</w:t>
      </w:r>
      <w:r>
        <w:tab/>
        <w:t>Отмечая прогресс, достигнутый государством-участником в деле сокращения безработицы, Комитет по-прежнему обеспокоен сохраняющимися высокими показателями безработицы и неполной занятости, особенно среди молодежи, в том числе высокой долей молодых людей, не занимающихся трудовой деятельностью и не получающих образование или профессиональную подготовку. Комитет также выражает озабоченность в связи с сохраняющимися препятствиями и неравенством в доступе к достойной работе, с которыми сталкиваются инвалиды, представители этнических меньшинств, внутренне перемещенные лица, лесбиянки, геи, бисексуалы, трансгендеры, квиры и интерсексуалы, а также инвалиды (ст. 2 (п. 2) и 6).</w:t>
      </w:r>
    </w:p>
    <w:p w14:paraId="30033F96" w14:textId="77777777" w:rsidR="00222A44" w:rsidRPr="00901AE2" w:rsidRDefault="00222A44" w:rsidP="00222A4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AB18B0" w14:textId="3C4E0BBA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активизировать усилия для сокращения безработицы и неполной занятости, особенно среди молодежи, в том числе посредством целенаправленных мер по созданию рабочих мест, а также эффективного профессионально-технического обучения, отвечающего потребностям рынка труда;</w:t>
      </w:r>
    </w:p>
    <w:p w14:paraId="49DEDE72" w14:textId="1924BDA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 xml:space="preserve">усилить меры по обеспечению равенства возможностей и равного отношения в сфере занятости и труда, в том числе путем устранения барьеров, с которыми сталкиваются инвалиды, представители этнических меньшинств, внутренне перемещенные лица, а также лесбиянки, геи, бисексуалы, трансгендеры, квиры и интерсексуалы, расширения доступа к образованию и </w:t>
      </w:r>
      <w:r w:rsidR="00222A44" w:rsidRPr="00912A99">
        <w:rPr>
          <w:b/>
          <w:bCs/>
        </w:rPr>
        <w:lastRenderedPageBreak/>
        <w:t>языковой подготовке, где это уместно, а также обеспечения разумного приспособления при приеме на работу и на рабочем месте;</w:t>
      </w:r>
    </w:p>
    <w:p w14:paraId="06089256" w14:textId="318C9CC4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усовершенствовать систему сбора дезагрегированных данных о занятости, неполной занятости и безработице и представить обновленные дезагрегированные данные в своем следующем периодическом докладе;</w:t>
      </w:r>
    </w:p>
    <w:p w14:paraId="11E29555" w14:textId="7A66D0A9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принимать во внимание замечание общего порядка № 18 (2005) Комитета о праве на труд.</w:t>
      </w:r>
    </w:p>
    <w:p w14:paraId="3C87982C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Неформальная экономика</w:t>
      </w:r>
    </w:p>
    <w:p w14:paraId="38E5B5F6" w14:textId="77777777" w:rsidR="00222A44" w:rsidRPr="00901AE2" w:rsidRDefault="00222A44" w:rsidP="00222A44">
      <w:pPr>
        <w:pStyle w:val="SingleTxtG"/>
      </w:pPr>
      <w:r>
        <w:t>29.</w:t>
      </w:r>
      <w:r>
        <w:tab/>
        <w:t>Приветствуя сокращение масштабов неформальной экономики в последние годы, Комитет по-прежнему обеспокоен тем, что значительная часть населения продолжает быть занята в неформальном секторе, в том числе работники платформ, а также работники строительной и сельскохозяйственной отраслей, которые зачастую получают низкую заработную плату и работают без официальных трудовых договоров, в результате чего они на практике лишены доступа к инструментам защиты трудовых прав и социальному обеспечению. Комитет также выражает озабоченность в связи с ограниченными возможностями занятости в сельских районах, помимо натурального и полунатурального сельского хозяйства (ст. 6, 7 и 9).</w:t>
      </w:r>
    </w:p>
    <w:p w14:paraId="5F82805F" w14:textId="77777777" w:rsidR="00222A44" w:rsidRPr="00901AE2" w:rsidRDefault="00222A44" w:rsidP="00222A4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C83ACD5" w14:textId="555FCBD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усилить правовую защиту работников неформального сектора экономики и активизировать правоприменительные меры для постепенного создания условий для осуществления ими своих трудовых прав и получения доступа к социальному обеспечению;</w:t>
      </w:r>
    </w:p>
    <w:p w14:paraId="528A2592" w14:textId="571BFF66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 xml:space="preserve">принять эффективные меры, необходимые для постепенной легализации положения работников неформальной экономики, принимая во внимание Рекомендацию Международной организации труда о переходе от неформальной к формальной экономике 2015 года (№ 204). </w:t>
      </w:r>
    </w:p>
    <w:p w14:paraId="18D022BD" w14:textId="6821D56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принять меры для диверсификации возможностей трудоустройства в сельских районах и содействовать переходу от натурального хозяйства к достойной и официальной занятости.</w:t>
      </w:r>
    </w:p>
    <w:p w14:paraId="03D17831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15FCA6E0" w14:textId="77777777" w:rsidR="00222A44" w:rsidRPr="00901AE2" w:rsidRDefault="00222A44" w:rsidP="00222A44">
      <w:pPr>
        <w:pStyle w:val="SingleTxtG"/>
      </w:pPr>
      <w:r>
        <w:t>31.</w:t>
      </w:r>
      <w:r>
        <w:tab/>
        <w:t>Принимая к сведению представленную государством-участником информацию о трудовых реформах 2020 и 2021 годов, а также об увеличении числа инспекций условий труда, Комитет выражает озабоченность по поводу следующего:</w:t>
      </w:r>
    </w:p>
    <w:p w14:paraId="189AA643" w14:textId="7504B917" w:rsidR="00222A44" w:rsidRPr="00901AE2" w:rsidRDefault="00912A99" w:rsidP="00222A44">
      <w:pPr>
        <w:pStyle w:val="SingleTxtG"/>
      </w:pPr>
      <w:r>
        <w:tab/>
      </w:r>
      <w:r w:rsidR="00222A44">
        <w:t>a)</w:t>
      </w:r>
      <w:r w:rsidR="00222A44">
        <w:tab/>
        <w:t>недостаточности минимальной заработной платы для обеспечения достойного уровня жизни работников и их семей, а также отсутствия механизма ее регулярной корректировки с учетом изменения стоимости жизни;</w:t>
      </w:r>
    </w:p>
    <w:p w14:paraId="7FE9055E" w14:textId="513D9E0B" w:rsidR="00222A44" w:rsidRPr="00901AE2" w:rsidRDefault="00912A99" w:rsidP="00222A44">
      <w:pPr>
        <w:pStyle w:val="SingleTxtG"/>
      </w:pPr>
      <w:r>
        <w:tab/>
      </w:r>
      <w:r w:rsidR="00222A44">
        <w:t>b)</w:t>
      </w:r>
      <w:r w:rsidR="00222A44">
        <w:tab/>
        <w:t>сохранения высокого уровня производственного травматизма и смертности, а также сообщений о нарушении нормальной продолжительности рабочего времени и отсутствии четко установленного верхнего предела для сверхурочной работы;</w:t>
      </w:r>
    </w:p>
    <w:p w14:paraId="297FEDB9" w14:textId="43E4DB0C" w:rsidR="00222A44" w:rsidRPr="00901AE2" w:rsidRDefault="00912A99" w:rsidP="00222A44">
      <w:pPr>
        <w:pStyle w:val="SingleTxtG"/>
      </w:pPr>
      <w:r>
        <w:tab/>
      </w:r>
      <w:r w:rsidR="00222A44">
        <w:t>c)</w:t>
      </w:r>
      <w:r w:rsidR="00222A44">
        <w:tab/>
        <w:t>сравнительно ограниченных кадровых и финансовых ресурсов Службы инспекции труда, а также отмеченных недостатков в работе правоприменительных механизмов, в том числе недостаточного контроля в опасных секторах, таких как горнодобывающая промышленность, лесное хозяйство и строительство;</w:t>
      </w:r>
    </w:p>
    <w:p w14:paraId="2BCF8E60" w14:textId="069B7A5F" w:rsidR="00222A44" w:rsidRPr="00901AE2" w:rsidRDefault="00912A99" w:rsidP="00222A44">
      <w:pPr>
        <w:pStyle w:val="SingleTxtG"/>
      </w:pPr>
      <w:r>
        <w:tab/>
      </w:r>
      <w:r w:rsidR="00222A44">
        <w:t>d)</w:t>
      </w:r>
      <w:r w:rsidR="00222A44">
        <w:tab/>
        <w:t>сообщений о том, что поправки к Закону о государственной</w:t>
      </w:r>
      <w:r w:rsidR="00F36067">
        <w:br/>
      </w:r>
      <w:r w:rsidR="00222A44">
        <w:t>службе (2024 год) могли привести к ослаблению гарантий государственным</w:t>
      </w:r>
      <w:r w:rsidR="00F36067">
        <w:br/>
      </w:r>
      <w:r w:rsidR="00222A44">
        <w:t>служащим (ст. 7).</w:t>
      </w:r>
    </w:p>
    <w:p w14:paraId="5495CD3E" w14:textId="77777777" w:rsidR="00222A44" w:rsidRPr="00901AE2" w:rsidRDefault="00222A44" w:rsidP="00222A4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EFB199" w14:textId="434A6FA4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 xml:space="preserve">обеспечить, чтобы минимальная заработная плата была достаточной для обеспечения работникам и их семьям достойного уровня жизни, </w:t>
      </w:r>
      <w:r w:rsidR="00222A44" w:rsidRPr="00912A99">
        <w:rPr>
          <w:b/>
          <w:bCs/>
        </w:rPr>
        <w:lastRenderedPageBreak/>
        <w:t>а также создать прозрачный механизм ее регулярного пересмотра и корректировки с учетом стоимости жизни;</w:t>
      </w:r>
    </w:p>
    <w:p w14:paraId="337CE78A" w14:textId="19A9CB96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принять эффективные меры для сокращения числа производственных травм и смертельных случаев, особенно в опасных отраслях, таких как горнодобывающая промышленность, лесное хозяйство и строительство, а также обеспечить соблюдение норм, регламентирующих продолжительность рабочего времени и перерывов на отдых, в том числе путем установления четких ограничений на сверхурочную работу;</w:t>
      </w:r>
    </w:p>
    <w:p w14:paraId="59CB725F" w14:textId="21F3E74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укрепить кадровый и финансовый потенциал Службы инспекции труда и усовершенствовать механизмы правоприменения в целях обеспечения эффективного и систематического контроля за условиями труда, в том числе в опасных секторах и в неформальной экономике, а также обеспечить применение эффективных, соразмерных и сдерживающих наказаний в случае нарушений;</w:t>
      </w:r>
    </w:p>
    <w:p w14:paraId="6CEF8D29" w14:textId="24FC4199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рассмотреть целесообразность пересмотра поправок к Закону о государственной службе (2024 год) с целью обеспечения их полного соответствия Пакту, в том числе в отношении гарантий занятости и защиты от несправедливого увольнения;</w:t>
      </w:r>
    </w:p>
    <w:p w14:paraId="3D075841" w14:textId="7C6D43E6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e)</w:t>
      </w:r>
      <w:r w:rsidR="00222A44" w:rsidRPr="00912A99">
        <w:rPr>
          <w:b/>
          <w:bCs/>
        </w:rPr>
        <w:tab/>
        <w:t>рассмотреть возможность ратификации Конвенции МОТ о безопасности и гигиене труда 1981 года (№ 155), Конвенции об основах, содействующих безопасности и гигиене труда 2006 года (№ 187) и Конвенции об инспекции труда 1947 года (№ 81);</w:t>
      </w:r>
      <w:hyperlink r:id="rId8" w:history="1"/>
      <w:hyperlink r:id="rId9" w:history="1"/>
      <w:hyperlink r:id="rId10" w:history="1"/>
    </w:p>
    <w:p w14:paraId="5DD180EA" w14:textId="06D2CD0A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f)</w:t>
      </w:r>
      <w:r w:rsidR="00222A44" w:rsidRPr="00912A99">
        <w:rPr>
          <w:b/>
          <w:bCs/>
        </w:rPr>
        <w:tab/>
        <w:t>принимать во внимание замечание общего порядка № 23 (2016) Комитета о праве на справедливые и благоприятные условия труда.</w:t>
      </w:r>
    </w:p>
    <w:p w14:paraId="494B7FE7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70769429" w14:textId="36FCD873" w:rsidR="00222A44" w:rsidRPr="00901AE2" w:rsidRDefault="00222A44" w:rsidP="00222A44">
      <w:pPr>
        <w:pStyle w:val="SingleTxtG"/>
      </w:pPr>
      <w:r>
        <w:t>33.</w:t>
      </w:r>
      <w:r>
        <w:tab/>
        <w:t>Комитет выражает озабоченность в связи с тем, что коллективные договоры являются редким явлением, а также в связи с информацией о неэффективном функционировании механизмов ведения коллективных переговоров. Он также выражает озабоченность в связи с сообщениями о дискриминации членов профсоюзов по причине их участия в профсоюзной деятельности или политических убеждений, а также в связи с возможным воздействием Закона о прозрачности иностранного влияния (2024 год) на функционирование и независимость профсоюзов (ст. 2 (п.</w:t>
      </w:r>
      <w:r w:rsidR="00170BA7">
        <w:t xml:space="preserve"> </w:t>
      </w:r>
      <w:r>
        <w:t>2) и</w:t>
      </w:r>
      <w:r w:rsidR="00912A99">
        <w:t> </w:t>
      </w:r>
      <w:r>
        <w:t xml:space="preserve">8). </w:t>
      </w:r>
    </w:p>
    <w:p w14:paraId="101EE188" w14:textId="77777777" w:rsidR="00222A44" w:rsidRPr="00901AE2" w:rsidRDefault="00222A44" w:rsidP="00222A4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BEE2F8" w14:textId="5FDDA0B9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усилить меры по поощрению коллективных переговоров и эффективного социального диалога;</w:t>
      </w:r>
    </w:p>
    <w:p w14:paraId="3515FF4A" w14:textId="546BCFA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обеспечить эффективную защиту членов профсоюзов от дискриминации или необоснованного вмешательства по признаку профсоюзной деятельности или политических убеждений, в том числе в государственном секторе;</w:t>
      </w:r>
    </w:p>
    <w:p w14:paraId="27EF8064" w14:textId="470AB3A1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пересмотреть внутреннюю правовую и административную базу, регулирующую права профсоюзов, включая Закон о прозрачности иностранного влияния (2024 год), с целью обеспечения ее полного соответствия Пакту, а также соответствующим стандартам МОТ;</w:t>
      </w:r>
    </w:p>
    <w:p w14:paraId="2A1D533F" w14:textId="0099FF89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рассмотреть возможность ратификации Конвенции МОТ о коллективных переговорах 1981 года (№ 154) и Конвенции о защите прав представителей работников 1971 года (№ 134);</w:t>
      </w:r>
    </w:p>
    <w:p w14:paraId="420F6656" w14:textId="2EECC84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e)</w:t>
      </w:r>
      <w:r w:rsidR="00222A44" w:rsidRPr="00912A99">
        <w:rPr>
          <w:b/>
          <w:bCs/>
        </w:rPr>
        <w:tab/>
        <w:t>принимать во внимание совместное с Комитетом по правам человека заявление о свободе ассоциации, включая право создавать профсоюзы и вступать в них.</w:t>
      </w:r>
    </w:p>
    <w:p w14:paraId="63D5D1E6" w14:textId="77777777" w:rsidR="00222A44" w:rsidRPr="00901AE2" w:rsidRDefault="00222A44" w:rsidP="00222A44">
      <w:pPr>
        <w:pStyle w:val="H23G"/>
      </w:pPr>
      <w:r>
        <w:lastRenderedPageBreak/>
        <w:tab/>
      </w:r>
      <w:r>
        <w:tab/>
      </w:r>
      <w:r>
        <w:rPr>
          <w:bCs/>
        </w:rPr>
        <w:t>Право на социальное обеспечение</w:t>
      </w:r>
    </w:p>
    <w:p w14:paraId="1CE24A89" w14:textId="77777777" w:rsidR="00222A44" w:rsidRPr="00901AE2" w:rsidRDefault="00222A44" w:rsidP="00222A44">
      <w:pPr>
        <w:pStyle w:val="SingleTxtG"/>
      </w:pPr>
      <w:r>
        <w:t>35.</w:t>
      </w:r>
      <w:r>
        <w:tab/>
        <w:t>Комитет приветствует увеличение доли национального бюджета, выделяемой на социальное обеспечение, расширение охвата различных программ социального обеспечения, таких как Программа адресной социальной помощи, а также внедрение механизмов индексации пенсий и отдельных видов социальной помощи. Вместе с тем Комитет обеспокоен:</w:t>
      </w:r>
    </w:p>
    <w:p w14:paraId="3052256A" w14:textId="4CCCAE74" w:rsidR="00222A44" w:rsidRPr="00901AE2" w:rsidRDefault="00912A99" w:rsidP="00222A44">
      <w:pPr>
        <w:pStyle w:val="SingleTxtG"/>
      </w:pPr>
      <w:r>
        <w:tab/>
      </w:r>
      <w:r w:rsidR="00222A44">
        <w:t>a)</w:t>
      </w:r>
      <w:r w:rsidR="00222A44">
        <w:tab/>
        <w:t>отсутствием комплексной стратегии в области социального обеспечения и фрагментацией социальных услуг между национальным и муниципальным уровнями;</w:t>
      </w:r>
    </w:p>
    <w:p w14:paraId="5A721D76" w14:textId="634D68E0" w:rsidR="00222A44" w:rsidRPr="00901AE2" w:rsidRDefault="00912A99" w:rsidP="00222A44">
      <w:pPr>
        <w:pStyle w:val="SingleTxtG"/>
      </w:pPr>
      <w:r>
        <w:tab/>
      </w:r>
      <w:r w:rsidR="00222A44">
        <w:t>b)</w:t>
      </w:r>
      <w:r w:rsidR="00222A44">
        <w:tab/>
        <w:t>сообщениями о том, что размер социальных выплат, в том числе в рамках Программы адресной социальной помощи, для инвалидов, пожилых людей и внутренне перемещенных лиц по-прежнему недостаточен для обеспечения достойного уровня жизни;</w:t>
      </w:r>
    </w:p>
    <w:p w14:paraId="66E11C6B" w14:textId="2BBD3B88" w:rsidR="00222A44" w:rsidRPr="00901AE2" w:rsidRDefault="00912A99" w:rsidP="00222A44">
      <w:pPr>
        <w:pStyle w:val="SingleTxtG"/>
      </w:pPr>
      <w:r>
        <w:tab/>
      </w:r>
      <w:r w:rsidR="00222A44">
        <w:t>c)</w:t>
      </w:r>
      <w:r w:rsidR="00222A44">
        <w:tab/>
        <w:t>сообщениями о недостатках методологии проверки доходов с использованием косвенных показателей, а также процедурными задержками и препятствиями в процессах предоставления пособий и рассмотрения апелляций, которые могут привести к исключению лиц, имеющих право на получение пособий, и затруднить доступ к другим основным услугам (ст. 2 (п. 2), 9 и 11).</w:t>
      </w:r>
    </w:p>
    <w:p w14:paraId="650C2BEE" w14:textId="77777777" w:rsidR="00222A44" w:rsidRPr="00901AE2" w:rsidRDefault="00222A44" w:rsidP="00222A4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EFE3B5B" w14:textId="15A1A84D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разработать и принять комплексную стратегию в области социального обеспечения, в том числе путем принятия единого социального кодекса, с целью улучшения координации между национальным и муниципальным уровнями и обеспечения справедливой и эффективной социальной защиты;</w:t>
      </w:r>
    </w:p>
    <w:p w14:paraId="1A37C922" w14:textId="75C247E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 xml:space="preserve">обеспечить регулярную индексацию социальных выплат с учетом реальной стоимости жизни, чтобы обеспечить бенефициарам достаточный жизненный уровень; </w:t>
      </w:r>
    </w:p>
    <w:p w14:paraId="692BE43B" w14:textId="394DFA2F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пересмотреть и усовершенствовать существующие процедуры и критерии предоставления пособий, а также оптимизировать административные и апелляционные процедуры, с тем чтобы не допускать исключения лиц, имеющих право на получение пособий, и сократить задержки в их предоставлении;</w:t>
      </w:r>
    </w:p>
    <w:p w14:paraId="53DFA531" w14:textId="7F83A1A1" w:rsidR="00222A44" w:rsidRPr="00901AE2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принимать во внимание замечание общего порядка № 19 (2007) Комитета о праве на социальное обеспечение.</w:t>
      </w:r>
    </w:p>
    <w:p w14:paraId="45D12902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041F1443" w14:textId="0CE07AE4" w:rsidR="00222A44" w:rsidRPr="00901AE2" w:rsidRDefault="00222A44" w:rsidP="00222A44">
      <w:pPr>
        <w:pStyle w:val="SingleTxtG"/>
      </w:pPr>
      <w:r>
        <w:t>37.</w:t>
      </w:r>
      <w:r>
        <w:tab/>
        <w:t>Комитет приветствует принятие ряда законодательных актов и внесение изменений в действующее законодательство, а также институциональные реформы, например создание Межведомственной комиссии по вопросам гендерного равенства, насилия в отношении женщин и насилия в семье, направленные на усиление защиты семьи и детей. В то же время Комитет выражает обеспокоенность тем, что домашнее насилие, в том числе в отношении женщин и девочек, остается массовым явлением, а также тем, что, по имеющимся данным, среди населения широко распространено мнение, что домашнее насилие является частным делом, а не уголовным преступлением (ст. 10).</w:t>
      </w:r>
    </w:p>
    <w:p w14:paraId="3758FC59" w14:textId="77777777" w:rsidR="00222A44" w:rsidRPr="00901AE2" w:rsidRDefault="00222A44" w:rsidP="00222A4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BD5AA09" w14:textId="77DCA56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продолжать проводить целевые информационно-просветительские кампании для информирования граждан, особенно в сельских районах;</w:t>
      </w:r>
    </w:p>
    <w:p w14:paraId="7EE914F3" w14:textId="66C273CD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усилить поддержку пострадавших путем оказания долгосрочной помощи, реализации программ расширения прав и возможностей, а также обеспечения доступа к экономическим возможностям;</w:t>
      </w:r>
    </w:p>
    <w:p w14:paraId="4ED5ADE1" w14:textId="4CE1646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разработать обязательные программы коррекции поведения специально для лиц, совершающих насилие в семье, в том числе для тех, в отношении кого были вынесены ограничительные или защитные судебные приказы;</w:t>
      </w:r>
    </w:p>
    <w:p w14:paraId="767C7776" w14:textId="7DD59097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продолжать консультироваться и сотрудничать со Структурой Организации Объединенных Наций по вопросам гендерного равенства и расширения прав и возможностей женщин в целях наиболее эффективного осуществления мер по борьбе с домашним насилием.</w:t>
      </w:r>
    </w:p>
    <w:p w14:paraId="1FFFEB32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Бедность</w:t>
      </w:r>
    </w:p>
    <w:p w14:paraId="37EEA46C" w14:textId="77777777" w:rsidR="00222A44" w:rsidRPr="00901AE2" w:rsidRDefault="00222A44" w:rsidP="00222A44">
      <w:pPr>
        <w:pStyle w:val="SingleTxtG"/>
      </w:pPr>
      <w:r>
        <w:t>39.</w:t>
      </w:r>
      <w:r>
        <w:tab/>
        <w:t>Приветствуя снижение доли населения, живущего в последние годы за установленной в стране чертой бедности и в абсолютной нищете, Комитет выражает в то же время озабоченность по поводу того, что уровень бедности среди женщин, пожилых людей, детей, инвалидов и внутренне перемещенных лиц остается сравнительно высоким. Озабоченность Комитета вызывает также сохранение довольно заметных различий в уровне жизни в городских и сельских районах (ст. 11).</w:t>
      </w:r>
    </w:p>
    <w:p w14:paraId="5926931B" w14:textId="77777777" w:rsidR="00222A44" w:rsidRPr="00901AE2" w:rsidRDefault="00222A44" w:rsidP="00222A4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7E664C6" w14:textId="0518F482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увеличить целевые социальные выплаты женщинам, пожилым людям, инвалидам, внутренне перемещенным лицам и жителям сельских районов;</w:t>
      </w:r>
    </w:p>
    <w:p w14:paraId="1CB4E456" w14:textId="2968D840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>уделять особое внимание различиям в уровне жизни между городскими и сельскими районами с целью повышения уровня жизни в менее благополучных районах;</w:t>
      </w:r>
    </w:p>
    <w:p w14:paraId="62A87A00" w14:textId="363CCB7E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принимать во внимание заявление Комитета по вопросу о нищете и Пакте.</w:t>
      </w:r>
    </w:p>
    <w:p w14:paraId="745D4C21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</w:p>
    <w:p w14:paraId="3A3E910A" w14:textId="77777777" w:rsidR="00222A44" w:rsidRPr="00901AE2" w:rsidRDefault="00222A44" w:rsidP="00222A44">
      <w:pPr>
        <w:pStyle w:val="SingleTxtG"/>
      </w:pPr>
      <w:r>
        <w:t>41.</w:t>
      </w:r>
      <w:r>
        <w:tab/>
        <w:t>Комитет отмечает реализуемые государством-участником программы поддержки сельского хозяйства, направленные на оказание помощи мелким фермерам и развитие местного производства продовольствия, включая субсидированные кредиты и программы микрокредитования. Вместе с тем он по-прежнему обеспокоен сообщениями о продовольственной незащищенности и недостаточном питании определенных групп населения, включая детей, внутренне перемещенных лиц и домохозяйства с низким уровнем дохода, особенно в сельских районах (ст. 11).</w:t>
      </w:r>
    </w:p>
    <w:p w14:paraId="0D4EFAA3" w14:textId="77777777" w:rsidR="00222A44" w:rsidRPr="00901AE2" w:rsidRDefault="00222A44" w:rsidP="00222A4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активизировать меры по обеспечению доступа к полноценному и питательному продовольствию для всех, в частности для детей, кормящих матерей, внутренне перемещенных лиц и других лиц, находящихся в уязвимом положении.</w:t>
      </w:r>
      <w:r>
        <w:t xml:space="preserve"> </w:t>
      </w:r>
      <w:r>
        <w:rPr>
          <w:b/>
          <w:bCs/>
        </w:rPr>
        <w:t>Он также рекомендует расширить меры по обеспечению питания детей младшего возраста и программы школьного питания, где это целесообразно.</w:t>
      </w:r>
      <w:r>
        <w:t xml:space="preserve"> </w:t>
      </w:r>
      <w:r>
        <w:rPr>
          <w:b/>
          <w:bCs/>
        </w:rPr>
        <w:t>Комитет также рекомендует продолжать и расширять поддержку мелкого фермерства в целях укрепления источников средств к существованию в сельских районах и обеспечения наличия и доступности достаточных объемов продовольствия в сельских районах.</w:t>
      </w:r>
    </w:p>
    <w:p w14:paraId="29F1F610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жилище</w:t>
      </w:r>
    </w:p>
    <w:p w14:paraId="42799C27" w14:textId="18412820" w:rsidR="00222A44" w:rsidRPr="00901AE2" w:rsidRDefault="00222A44" w:rsidP="00222A44">
      <w:pPr>
        <w:pStyle w:val="SingleTxtG"/>
      </w:pPr>
      <w:r>
        <w:t>43.</w:t>
      </w:r>
      <w:r>
        <w:tab/>
        <w:t>Комитет выражает озабоченность отсутствием национальной стратегии жилищного строительства или плана действий в этой области, а также тем, что с 2014</w:t>
      </w:r>
      <w:r w:rsidR="00912A99">
        <w:t> </w:t>
      </w:r>
      <w:r>
        <w:t xml:space="preserve">года объем государственных расходов на жилищное строительство составлял менее 1 % годового бюджета, что ведет к усилению дефицита доступного жилья. Комитет также выражает озабоченность тем, что значительная часть населения проживает в жилых помещениях, не отвечающих нормативным требованиям, и/или в условиях перенаселенности, а также уязвимостью внутренне перемещенных лиц и, в частности, домохозяйств с низким уровнем дохода перед эксплуататорской практикой арендодателей и ростовщиков, включающей хищническое кредитование и высокие процентные ставки, в отсутствие надлежащих нормативных гарантий, что может </w:t>
      </w:r>
      <w:r>
        <w:lastRenderedPageBreak/>
        <w:t>привести к чрезмерной задолженности домохозяйств, потере жилья и принудительному выселению (ст. 11).</w:t>
      </w:r>
    </w:p>
    <w:p w14:paraId="4E6863ED" w14:textId="77777777" w:rsidR="00222A44" w:rsidRPr="00901AE2" w:rsidRDefault="00222A44" w:rsidP="00A96535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5CE5A2F" w14:textId="1866E91B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 xml:space="preserve">принять национальную стратегию жилищного строительства и план действий; </w:t>
      </w:r>
    </w:p>
    <w:p w14:paraId="286683CF" w14:textId="3F095DD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 xml:space="preserve">увеличить бюджет на жилищное строительство и активизировать усилия по расширению предложения жилья и улучшению жилищных условий, уделяя особое внимание потребностям внутренне перемещенных лиц и домохозяйств с низким уровнем дохода; </w:t>
      </w:r>
    </w:p>
    <w:p w14:paraId="7FDB61A7" w14:textId="6561F850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принять надлежащие законодательные и административные меры для обеспечения правовых гарантий против принудительного выселения и эксплуататорской практики арендодателей и ростовщиков, а также следить за тем, чтобы выселения осуществлялись только в крайнем случае и в полном соответствии с Пактом;</w:t>
      </w:r>
    </w:p>
    <w:p w14:paraId="1E3E527C" w14:textId="7A8014E3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принимать во внимание замечания общего порядка № 4 (1991) Комитета о праве на достаточное жилище и № 7 (1997) о принудительных выселениях.</w:t>
      </w:r>
    </w:p>
    <w:p w14:paraId="57EF1A9D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0ADCE263" w14:textId="77777777" w:rsidR="00222A44" w:rsidRPr="00901AE2" w:rsidRDefault="00222A44" w:rsidP="00222A44">
      <w:pPr>
        <w:pStyle w:val="SingleTxtG"/>
      </w:pPr>
      <w:r>
        <w:t>45.</w:t>
      </w:r>
      <w:r>
        <w:tab/>
        <w:t>Приветствуя информацию о различных мерах адаптации к изменению климата, планах действий и стратегиях, таких как национальная стратегия по снижению риска бедствий, представленную государством-участником, Комитет выражает озабоченность тем, что меры государства-участника могут оказаться недостаточными для эффективного противодействия его уязвимости перед последствиями изменения климата, включая экстремальные погодные явления, такие как наводнения, засухи и лесные пожары (ст. 11).</w:t>
      </w:r>
    </w:p>
    <w:p w14:paraId="56E5B246" w14:textId="23163C43" w:rsidR="00222A44" w:rsidRPr="00901AE2" w:rsidRDefault="00222A44" w:rsidP="00222A4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активизировать национальные усилия по адаптации к изменению климата для решения проблемы неблагоприятных последствий климатических изменений для экономических, социальных и культурных прав, усилив меры по борьбе с бедствиями и выделив на это достаточные людские, технические и финансовые ресурсы.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</w:t>
      </w:r>
      <w:r w:rsidR="00912A99">
        <w:rPr>
          <w:b/>
          <w:bCs/>
        </w:rPr>
        <w:br/>
      </w:r>
      <w:r>
        <w:rPr>
          <w:b/>
          <w:bCs/>
        </w:rPr>
        <w:t>порядка №</w:t>
      </w:r>
      <w:r w:rsidR="00912A99">
        <w:rPr>
          <w:b/>
          <w:bCs/>
        </w:rPr>
        <w:t> </w:t>
      </w:r>
      <w:r>
        <w:rPr>
          <w:b/>
          <w:bCs/>
        </w:rPr>
        <w:t>27 (2025) и свое заявление по вопросу об изменении климата и Пакте.</w:t>
      </w:r>
    </w:p>
    <w:p w14:paraId="44F51E1E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0A9133F4" w14:textId="77777777" w:rsidR="00222A44" w:rsidRPr="00901AE2" w:rsidRDefault="00222A44" w:rsidP="00222A44">
      <w:pPr>
        <w:pStyle w:val="SingleTxtG"/>
      </w:pPr>
      <w:r>
        <w:t>47.</w:t>
      </w:r>
      <w:r>
        <w:tab/>
        <w:t xml:space="preserve">Приветствуя внесенные в 2024 году поправки в Закон об охране здоровья и Закон о высшем образовании, в том числе меры, направленные на укрепление профессии медсестры и повышение стандартов, Комитет выражает озабоченность по поводу следующего (ст. 12): </w:t>
      </w:r>
    </w:p>
    <w:p w14:paraId="7F82BCF4" w14:textId="271296B5" w:rsidR="00222A44" w:rsidRPr="00901AE2" w:rsidRDefault="00912A99" w:rsidP="00222A44">
      <w:pPr>
        <w:pStyle w:val="SingleTxtG"/>
      </w:pPr>
      <w:r>
        <w:tab/>
      </w:r>
      <w:r w:rsidR="00222A44">
        <w:t>a)</w:t>
      </w:r>
      <w:r w:rsidR="00222A44">
        <w:tab/>
        <w:t>общей нехватки медицинских сестер в государстве-участнике;</w:t>
      </w:r>
    </w:p>
    <w:p w14:paraId="5597C803" w14:textId="79DD573D" w:rsidR="00222A44" w:rsidRPr="00901AE2" w:rsidRDefault="00912A99" w:rsidP="00222A44">
      <w:pPr>
        <w:pStyle w:val="SingleTxtG"/>
      </w:pPr>
      <w:r>
        <w:tab/>
      </w:r>
      <w:r w:rsidR="00222A44">
        <w:t>b)</w:t>
      </w:r>
      <w:r w:rsidR="00222A44">
        <w:tab/>
        <w:t>неравномерного распределени</w:t>
      </w:r>
      <w:r w:rsidR="0041436C">
        <w:t>я</w:t>
      </w:r>
      <w:r w:rsidR="00222A44">
        <w:t xml:space="preserve"> медицинских кадров: в сельских районах ощущается острая нехватка врачей и медсестер, в то время как в столице наблюдается концентрация медицинского персонала и современных медицинских учреждений;</w:t>
      </w:r>
    </w:p>
    <w:p w14:paraId="3AE1002B" w14:textId="3260342B" w:rsidR="00222A44" w:rsidRPr="00901AE2" w:rsidRDefault="00912A99" w:rsidP="00222A44">
      <w:pPr>
        <w:pStyle w:val="SingleTxtG"/>
      </w:pPr>
      <w:r>
        <w:tab/>
      </w:r>
      <w:r w:rsidR="00222A44">
        <w:t>c)</w:t>
      </w:r>
      <w:r w:rsidR="00222A44">
        <w:tab/>
        <w:t xml:space="preserve">того факта, что значительное число сельских жителей не зарегистрировано в учреждениях первичной медицинской помощи, что ограничивает их доступ к услугам первичной медицинской помощи. </w:t>
      </w:r>
    </w:p>
    <w:p w14:paraId="64D04CBB" w14:textId="77777777" w:rsidR="00222A44" w:rsidRPr="00901AE2" w:rsidRDefault="00222A44" w:rsidP="00222A4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61C9D58" w14:textId="2FBE178F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a)</w:t>
      </w:r>
      <w:r w:rsidR="00222A44" w:rsidRPr="00912A99">
        <w:rPr>
          <w:b/>
          <w:bCs/>
        </w:rPr>
        <w:tab/>
        <w:t>продолжать и активизировать усилия по подготовке и удержанию большего числа медицинских сестер, в том числе путем рассмотрения возможности улучшения их вознаграждения и предоставления им надлежащих стимулов для продолжения работы на своих должностях;</w:t>
      </w:r>
    </w:p>
    <w:p w14:paraId="32CCF2AA" w14:textId="2A9A9CCC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22A44" w:rsidRPr="00912A99">
        <w:rPr>
          <w:b/>
          <w:bCs/>
        </w:rPr>
        <w:t>b)</w:t>
      </w:r>
      <w:r w:rsidR="00222A44" w:rsidRPr="00912A99">
        <w:rPr>
          <w:b/>
          <w:bCs/>
        </w:rPr>
        <w:tab/>
        <w:t xml:space="preserve">принять меры для сокращения неравенства и региональных различий в доступе к медицинской помощи, уделяя особое внимание обеспечению справедливого распределения медицинских работников; </w:t>
      </w:r>
    </w:p>
    <w:p w14:paraId="7B863859" w14:textId="087DFB6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c)</w:t>
      </w:r>
      <w:r w:rsidR="00222A44" w:rsidRPr="00912A99">
        <w:rPr>
          <w:b/>
          <w:bCs/>
        </w:rPr>
        <w:tab/>
        <w:t>обеспечить, чтобы жители сельских и отдаленных районов были зарегистрированы для получения услуг первичной медицинской помощи;</w:t>
      </w:r>
    </w:p>
    <w:p w14:paraId="672CB14E" w14:textId="64226838" w:rsidR="00222A44" w:rsidRPr="00912A99" w:rsidRDefault="00912A99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912A99">
        <w:rPr>
          <w:b/>
          <w:bCs/>
        </w:rPr>
        <w:t>d)</w:t>
      </w:r>
      <w:r w:rsidR="00222A44" w:rsidRPr="00912A99">
        <w:rPr>
          <w:b/>
          <w:bCs/>
        </w:rPr>
        <w:tab/>
        <w:t>принимать во внимание замечание общего порядка № 14 (2000) Комитета о праве на наивысший достижимый уровень здоровья.</w:t>
      </w:r>
    </w:p>
    <w:p w14:paraId="389AEAA8" w14:textId="3F94A860" w:rsidR="00222A44" w:rsidRPr="00901AE2" w:rsidRDefault="00222A44" w:rsidP="00222A44">
      <w:pPr>
        <w:pStyle w:val="SingleTxtG"/>
      </w:pPr>
      <w:r>
        <w:t>49.</w:t>
      </w:r>
      <w:r>
        <w:tab/>
        <w:t xml:space="preserve">Приветствуя недавние реформы в фармацевтической сфере, проведенные государством-участником, в том числе введение внешнего референтного ценообразования и соглашений о разделе рисков для вывода на рынок фармацевтических препаратов, Комитет выражает озабоченность в связи с сообщениями о высокой степени концентрации рынка и вертикальной интеграции в фармацевтическом секторе. Такая концентрация может привести к формированию нежелательной структуры стимулов, способствующей завышению счетов и росту цен на фармацевтическую продукцию, что в свою очередь негативно скажется на доступности и предложении </w:t>
      </w:r>
      <w:r w:rsidR="00912A99">
        <w:t>лекарственных</w:t>
      </w:r>
      <w:r>
        <w:t xml:space="preserve"> препаратов в государстве-участнике (ст. 2 (п. 1), 11 и 12).</w:t>
      </w:r>
    </w:p>
    <w:p w14:paraId="2A290965" w14:textId="77777777" w:rsidR="00222A44" w:rsidRPr="00901AE2" w:rsidRDefault="00222A44" w:rsidP="00222A4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укрепить свою правовую и регуляторную базу в целях предотвращения и устранения негативных последствий чрезмерной концентрации рынка в фармацевтическом секторе для прав человека, в том числе путем обеспечения эффективного надзора за конкуренцией, надежных механизмов правоприменения и ощутимого повышения доступности и предложения лекарственных препаратов.</w:t>
      </w:r>
      <w:r>
        <w:t xml:space="preserve"> </w:t>
      </w:r>
      <w:r>
        <w:rPr>
          <w:b/>
          <w:bCs/>
        </w:rPr>
        <w:t>В этой связи Комитет также напоминает о своем замечании общего порядка № 24 (2017).</w:t>
      </w:r>
    </w:p>
    <w:p w14:paraId="035A43C8" w14:textId="77777777" w:rsidR="00222A44" w:rsidRPr="00901AE2" w:rsidRDefault="00222A44" w:rsidP="00222A44">
      <w:pPr>
        <w:pStyle w:val="SingleTxtG"/>
      </w:pPr>
      <w:r>
        <w:t>51.</w:t>
      </w:r>
      <w:r>
        <w:tab/>
        <w:t>Комитет выражает озабоченность тем, что правовые, административные и оперативные нормы, касающиеся практики суррогатного материнства, которое разрешено законодательством государства-участника, не подкрепляются надлежащими медицинскими, научными и правовыми гарантиями, обеспечивающими уважение и защиту права суррогатной матери на здоровье, в том числе на сексуальное и репродуктивное здоровье (ст. 12).</w:t>
      </w:r>
    </w:p>
    <w:p w14:paraId="38E70C33" w14:textId="77777777" w:rsidR="00222A44" w:rsidRPr="00901AE2" w:rsidRDefault="00222A44" w:rsidP="00222A4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провести анализ своих правовых, административных, оперативных и иных соответствующих норм, касающихся практики суррогатного материнства, с целью обеспечения того, чтобы как в законодательстве, так и на практике эти нормы обеспечивали надлежащие медицинские, научные и правовые гарантии для защиты права суррогатной матери на здоровье, в том числе на сексуальное и репродуктивное здоровье.</w:t>
      </w:r>
    </w:p>
    <w:p w14:paraId="12CBD161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302C2957" w14:textId="5AF5D420" w:rsidR="00222A44" w:rsidRPr="00901AE2" w:rsidRDefault="00222A44" w:rsidP="00222A44">
      <w:pPr>
        <w:pStyle w:val="SingleTxtG"/>
        <w:rPr>
          <w:rStyle w:val="a8"/>
        </w:rPr>
      </w:pPr>
      <w:r>
        <w:t>53.</w:t>
      </w:r>
      <w:r>
        <w:tab/>
        <w:t>Приветствуя прогресс, достигнутый государством-участником с момента проведения в 2002 году предыдущего обзора доступа к образованию, Комитет разделяет озабоченность Комитета по правам ребенка по поводу следующих моментов</w:t>
      </w:r>
      <w:r w:rsidR="00912A99">
        <w:t> </w:t>
      </w:r>
      <w:r>
        <w:t>(ст. 2 (п. 2), 13 и 14)</w:t>
      </w:r>
      <w:r w:rsidRPr="00051436">
        <w:rPr>
          <w:rStyle w:val="a8"/>
        </w:rPr>
        <w:footnoteReference w:id="5"/>
      </w:r>
      <w:r>
        <w:t>:</w:t>
      </w:r>
    </w:p>
    <w:p w14:paraId="293AC3CD" w14:textId="3848EF3C" w:rsidR="00222A44" w:rsidRPr="00901AE2" w:rsidRDefault="00DC7138" w:rsidP="00222A44">
      <w:pPr>
        <w:pStyle w:val="SingleTxtG"/>
      </w:pPr>
      <w:r>
        <w:tab/>
      </w:r>
      <w:r w:rsidR="00222A44">
        <w:t>a)</w:t>
      </w:r>
      <w:r w:rsidR="00222A44">
        <w:tab/>
        <w:t>ограниченного доступа к общему образованию на языке национального меньшинства на всех уровнях, отчасти из-за нехватки учителей в школах с преподаванием на языке национального меньшинства;</w:t>
      </w:r>
    </w:p>
    <w:p w14:paraId="4E76571B" w14:textId="610E9175" w:rsidR="00222A44" w:rsidRPr="00901AE2" w:rsidRDefault="00DC7138" w:rsidP="00222A44">
      <w:pPr>
        <w:pStyle w:val="SingleTxtG"/>
      </w:pPr>
      <w:r>
        <w:tab/>
      </w:r>
      <w:r w:rsidR="00222A44">
        <w:t>b)</w:t>
      </w:r>
      <w:r w:rsidR="00222A44">
        <w:tab/>
        <w:t>низкого качества образования;</w:t>
      </w:r>
    </w:p>
    <w:p w14:paraId="2CF87329" w14:textId="06EF2C58" w:rsidR="00222A44" w:rsidRPr="00901AE2" w:rsidRDefault="00DC7138" w:rsidP="00222A44">
      <w:pPr>
        <w:pStyle w:val="SingleTxtG"/>
      </w:pPr>
      <w:r>
        <w:tab/>
      </w:r>
      <w:r w:rsidR="00222A44">
        <w:t>c)</w:t>
      </w:r>
      <w:r w:rsidR="00222A44">
        <w:tab/>
        <w:t>низкой заработной платы учителей, непрестижности их профессии и ограниченных возможностей для профессионального развития;</w:t>
      </w:r>
    </w:p>
    <w:p w14:paraId="5266C941" w14:textId="2084E298" w:rsidR="00222A44" w:rsidRPr="00901AE2" w:rsidRDefault="00DC7138" w:rsidP="00222A44">
      <w:pPr>
        <w:pStyle w:val="SingleTxtG"/>
      </w:pPr>
      <w:r>
        <w:tab/>
      </w:r>
      <w:r w:rsidR="00222A44">
        <w:t>d)</w:t>
      </w:r>
      <w:r w:rsidR="00222A44">
        <w:tab/>
        <w:t>плохой инфраструктуры школ и дошкольных учреждений в отдаленных районах, где многие из них не имеют водоснабжения и санитарных удобств.</w:t>
      </w:r>
    </w:p>
    <w:p w14:paraId="4C43A8E4" w14:textId="77777777" w:rsidR="00222A44" w:rsidRPr="00901AE2" w:rsidRDefault="00222A44" w:rsidP="00DC7138">
      <w:pPr>
        <w:pStyle w:val="SingleTxtG"/>
        <w:pageBreakBefore/>
        <w:rPr>
          <w:b/>
          <w:bCs/>
        </w:rPr>
      </w:pPr>
      <w:r>
        <w:lastRenderedPageBreak/>
        <w:t>54.</w:t>
      </w:r>
      <w:r>
        <w:tab/>
      </w:r>
      <w:r>
        <w:rPr>
          <w:b/>
          <w:bCs/>
        </w:rPr>
        <w:t>Комитет напоминает рекомендацию Комитета по правам ребенка и рекомендует государству-участнику</w:t>
      </w:r>
      <w:r w:rsidRPr="007E57D7">
        <w:rPr>
          <w:rStyle w:val="a8"/>
        </w:rPr>
        <w:footnoteReference w:id="6"/>
      </w:r>
      <w:r>
        <w:rPr>
          <w:b/>
          <w:bCs/>
        </w:rPr>
        <w:t>:</w:t>
      </w:r>
      <w:r>
        <w:t xml:space="preserve"> </w:t>
      </w:r>
    </w:p>
    <w:p w14:paraId="5AB30A58" w14:textId="7A1DC58C" w:rsidR="00222A44" w:rsidRPr="00DC7138" w:rsidRDefault="00DC7138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DC7138">
        <w:rPr>
          <w:b/>
          <w:bCs/>
        </w:rPr>
        <w:t>a)</w:t>
      </w:r>
      <w:r w:rsidR="00222A44" w:rsidRPr="00DC7138">
        <w:rPr>
          <w:b/>
          <w:bCs/>
        </w:rPr>
        <w:tab/>
        <w:t>обеспечить всем детям, в том числе детям, принадлежащим к национальному меньшинству, возможность получения бесплатного, равноправного и качественного начального и среднего образования со значимыми и эффективными результатами обучения;</w:t>
      </w:r>
    </w:p>
    <w:p w14:paraId="21A0B1CE" w14:textId="63307EA6" w:rsidR="00222A44" w:rsidRPr="00DC7138" w:rsidRDefault="00DC7138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DC7138">
        <w:rPr>
          <w:b/>
          <w:bCs/>
        </w:rPr>
        <w:t>b)</w:t>
      </w:r>
      <w:r w:rsidR="00222A44" w:rsidRPr="00DC7138">
        <w:rPr>
          <w:b/>
          <w:bCs/>
        </w:rPr>
        <w:tab/>
        <w:t>принять необходимые меры для повышения качества подготовки учителей и обеспечить им привлекательные карьерные перспективы;</w:t>
      </w:r>
    </w:p>
    <w:p w14:paraId="2CD1EB87" w14:textId="56778AA2" w:rsidR="00222A44" w:rsidRPr="00DC7138" w:rsidRDefault="00DC7138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DC7138">
        <w:rPr>
          <w:b/>
          <w:bCs/>
        </w:rPr>
        <w:t>c)</w:t>
      </w:r>
      <w:r w:rsidR="00222A44" w:rsidRPr="00DC7138">
        <w:rPr>
          <w:b/>
          <w:bCs/>
        </w:rPr>
        <w:tab/>
        <w:t xml:space="preserve">улучшить школьную инфраструктуру и обеспечить все школы надлежащими системами водоснабжения и санитарными удобствами, уделяя особое внимание школам и дошкольным учреждениям в сельских районах; </w:t>
      </w:r>
    </w:p>
    <w:p w14:paraId="0C455CA8" w14:textId="6AFB0F12" w:rsidR="00222A44" w:rsidRPr="00DC7138" w:rsidRDefault="00DC7138" w:rsidP="00222A44">
      <w:pPr>
        <w:pStyle w:val="SingleTxtG"/>
        <w:rPr>
          <w:b/>
          <w:bCs/>
        </w:rPr>
      </w:pPr>
      <w:r>
        <w:rPr>
          <w:b/>
          <w:bCs/>
        </w:rPr>
        <w:tab/>
      </w:r>
      <w:r w:rsidR="00222A44" w:rsidRPr="00DC7138">
        <w:rPr>
          <w:b/>
          <w:bCs/>
        </w:rPr>
        <w:t>d)</w:t>
      </w:r>
      <w:r w:rsidR="00222A44" w:rsidRPr="00DC7138">
        <w:rPr>
          <w:b/>
          <w:bCs/>
        </w:rPr>
        <w:tab/>
        <w:t>принимать во внимание замечание общего порядка № 13 (1999) Комитета о праве на образование.</w:t>
      </w:r>
    </w:p>
    <w:p w14:paraId="5C005EDD" w14:textId="77777777" w:rsidR="00222A44" w:rsidRPr="00901AE2" w:rsidRDefault="00222A44" w:rsidP="00222A44">
      <w:pPr>
        <w:pStyle w:val="SingleTxtG"/>
      </w:pPr>
      <w:r>
        <w:t>55.</w:t>
      </w:r>
      <w:r>
        <w:tab/>
        <w:t>Приветствуя достигнутый прогресс в области оценки инвалидности и оказания поддержки, Комитет выражает озабоченность в связи с сообщениями о пробелах в организации инклюзивного образования, особенно в сельских районах (ст. 2 (п. 2), 13 и 14).</w:t>
      </w:r>
    </w:p>
    <w:p w14:paraId="15442937" w14:textId="77777777" w:rsidR="00222A44" w:rsidRPr="00901AE2" w:rsidRDefault="00222A44" w:rsidP="00222A4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укрепить политику инклюзивного образования и выделить на эти цели достаточные ресурсы, улучшить подготовку учителей и обеспечить принятие разумных мер по адаптации, с тем чтобы гарантировать равный доступ и полноценное участие учеников с инвалидностью на всех уровнях образования.</w:t>
      </w:r>
    </w:p>
    <w:p w14:paraId="72EDF027" w14:textId="77777777" w:rsidR="00222A44" w:rsidRPr="00901AE2" w:rsidRDefault="00222A44" w:rsidP="00222A44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Интернету</w:t>
      </w:r>
      <w:r>
        <w:t xml:space="preserve"> </w:t>
      </w:r>
    </w:p>
    <w:p w14:paraId="2D230BD2" w14:textId="77777777" w:rsidR="00222A44" w:rsidRPr="00901AE2" w:rsidRDefault="00222A44" w:rsidP="00222A44">
      <w:pPr>
        <w:pStyle w:val="SingleTxtG"/>
      </w:pPr>
      <w:r>
        <w:t>57.</w:t>
      </w:r>
      <w:r>
        <w:tab/>
        <w:t>Приветствуя расширение доступа к Интернету в государстве-участнике, Комитет выражает озабоченность тем, что в сельских и горных районах доступ к Интернету может быть неравномерным, низкоскоростным или нестабильным, что ограничивает возможность реализации экономических, социальных и культурных прав (ст. 15).</w:t>
      </w:r>
    </w:p>
    <w:p w14:paraId="3489304F" w14:textId="77777777" w:rsidR="00222A44" w:rsidRPr="00901AE2" w:rsidRDefault="00222A44" w:rsidP="00222A44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продолжать и активизировать свои усилия по обеспечению доступа к высокоскоростному и качественному Интернету во всех регионах государства-участника.</w:t>
      </w:r>
    </w:p>
    <w:p w14:paraId="0E0F294F" w14:textId="77777777" w:rsidR="00222A44" w:rsidRPr="00901AE2" w:rsidRDefault="00222A44" w:rsidP="00222A44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76B070AC" w14:textId="16E41EB9" w:rsidR="00222A44" w:rsidRPr="00901AE2" w:rsidRDefault="00222A44" w:rsidP="00222A44">
      <w:pPr>
        <w:pStyle w:val="SingleTxtG"/>
      </w:pPr>
      <w:r>
        <w:t>59.</w:t>
      </w:r>
      <w:r>
        <w:tab/>
        <w:t xml:space="preserve">Комитет выражает озабоченность ограниченностью знаний большинства населения о национальных меньшинствах как неотъемлемой части грузинского общества, а также </w:t>
      </w:r>
      <w:r w:rsidR="00DC7138">
        <w:t>существованием</w:t>
      </w:r>
      <w:r>
        <w:t xml:space="preserve"> предрассудков, стереотипов и представлений, связанных с некоторыми из этих меньшинств, в том числе восприятием некоторых из них как угрозы безопасности (ст. 2 (п. 2) и 15).</w:t>
      </w:r>
    </w:p>
    <w:p w14:paraId="69DF606E" w14:textId="77777777" w:rsidR="00222A44" w:rsidRPr="00901AE2" w:rsidRDefault="00222A44" w:rsidP="00222A44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принять меры, в том числе посредством проведения информационно-просветительской работы, в интересах уважения, защиты и поощрения культурного разнообразия как в законодательстве, так и на практике, тем самым обеспечив признание национальных меньшинств в качестве неотъемлемой части грузинского общества.</w:t>
      </w:r>
    </w:p>
    <w:p w14:paraId="3983562B" w14:textId="7176E988" w:rsidR="00222A44" w:rsidRPr="00DC7138" w:rsidRDefault="00DC7138" w:rsidP="00DC7138">
      <w:pPr>
        <w:pStyle w:val="H1G"/>
      </w:pPr>
      <w:r>
        <w:tab/>
      </w:r>
      <w:r w:rsidR="00222A44" w:rsidRPr="00DC7138">
        <w:t>D.</w:t>
      </w:r>
      <w:r w:rsidR="00222A44" w:rsidRPr="00DC7138">
        <w:tab/>
        <w:t>Другие рекомендации</w:t>
      </w:r>
    </w:p>
    <w:p w14:paraId="7E8D9346" w14:textId="77777777" w:rsidR="00222A44" w:rsidRPr="00901AE2" w:rsidRDefault="00222A44" w:rsidP="00222A44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обращается к государству-участнику с призывом ратифицировать Факультативный протокол к Пакту.</w:t>
      </w:r>
      <w:r>
        <w:t xml:space="preserve"> </w:t>
      </w:r>
    </w:p>
    <w:p w14:paraId="1857D49A" w14:textId="77777777" w:rsidR="00222A44" w:rsidRPr="00901AE2" w:rsidRDefault="00222A44" w:rsidP="00222A44">
      <w:pPr>
        <w:pStyle w:val="SingleTxtG"/>
        <w:rPr>
          <w:b/>
          <w:bCs/>
        </w:rPr>
      </w:pPr>
      <w:r>
        <w:lastRenderedPageBreak/>
        <w:t>62.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основных договоров по правам человека, стороной которых оно еще не является, а именно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14:paraId="7C83C845" w14:textId="3E1175E5" w:rsidR="00222A44" w:rsidRPr="00901AE2" w:rsidRDefault="00222A44" w:rsidP="00222A44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помощи по линии государственных программ как к носителям прав,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Более того, Комитет рекомендует государству-участнику поддержать глобальное обязательство в рамках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гарантировать, что никто не останется без внимания.</w:t>
      </w:r>
      <w:r>
        <w:t xml:space="preserve"> </w:t>
      </w:r>
      <w:r>
        <w:rPr>
          <w:b/>
          <w:bCs/>
        </w:rPr>
        <w:t>В</w:t>
      </w:r>
      <w:r w:rsidR="00DC7138">
        <w:rPr>
          <w:b/>
          <w:bCs/>
        </w:rPr>
        <w:t> </w:t>
      </w:r>
      <w:r>
        <w:rPr>
          <w:b/>
          <w:bCs/>
        </w:rPr>
        <w:t>этой связи Комитет обращает внимание государства-участника на свое заявление об обязательстве никого не забыть.</w:t>
      </w:r>
    </w:p>
    <w:p w14:paraId="66A70556" w14:textId="48B4C4C3" w:rsidR="00222A44" w:rsidRPr="00901AE2" w:rsidRDefault="00222A44" w:rsidP="00222A44">
      <w:pPr>
        <w:pStyle w:val="SingleTxtG"/>
        <w:rPr>
          <w:rStyle w:val="a8"/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принять меры по поэтапной разработке и внедрению надлежащих показателей реализации экономических, социальных и культурных прав, с тем чтобы облегчить оценку прогресса, достигнутого государством-участником в выполнении его обязательств по Пакту в отношении различных слоев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определения показателей в области прав человека, подготовленные Управлением Верховного комиссара Организации Объединенных Наций по правам человека</w:t>
      </w:r>
      <w:r w:rsidRPr="003E2348">
        <w:rPr>
          <w:rStyle w:val="a8"/>
        </w:rPr>
        <w:footnoteReference w:id="7"/>
      </w:r>
      <w:r>
        <w:rPr>
          <w:b/>
          <w:bCs/>
        </w:rPr>
        <w:t>.</w:t>
      </w:r>
    </w:p>
    <w:p w14:paraId="3084A144" w14:textId="77777777" w:rsidR="00222A44" w:rsidRPr="00901AE2" w:rsidRDefault="00222A44" w:rsidP="00222A44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обращается к государству-участнику с просьбой широко распространить текст настоящих заключительных замечаний на всех уровнях общества, в частности среди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 парламента в выполнении рекомендаций, сформулированных в настоящих заключительных замечаниях, и обращается к государству-участнику с призывом обеспечить его участие в будущих процедурах представления докладов и последующей деятельности.</w:t>
      </w:r>
      <w:r>
        <w:t xml:space="preserve"> </w:t>
      </w:r>
      <w:r>
        <w:rPr>
          <w:b/>
          <w:bCs/>
        </w:rPr>
        <w:t>Комитет обращается к государству-участнику с призывом привлечь Аппарат Народного защитника (Омбудсмена) Грузии, неправительственные организации и других членов гражданского общества к работе по реализации настоящих заключительных замечаний, а также к процессу консультаций, которые будут проводиться на национальном уровне перед представлением следующего периодического доклада государства-участника.</w:t>
      </w:r>
      <w:r>
        <w:t xml:space="preserve"> </w:t>
      </w:r>
    </w:p>
    <w:p w14:paraId="6B2B6C31" w14:textId="62EE0001" w:rsidR="00222A44" w:rsidRPr="00901AE2" w:rsidRDefault="00222A44" w:rsidP="00222A44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(до 28 февраля 2028 года) информацию о выполнении рекомендаций, содержащихся в пунктах 14 а) (план действий в области предпринимательской деятельности и прав человека),</w:t>
      </w:r>
      <w:r w:rsidR="00DC7138">
        <w:rPr>
          <w:b/>
          <w:bCs/>
        </w:rPr>
        <w:br/>
      </w:r>
      <w:r>
        <w:rPr>
          <w:b/>
          <w:bCs/>
        </w:rPr>
        <w:t>34 d) (ратификация конвенций МОТ) и 50 (чрезмерная концентрация рынка в секторе здравоохранения) выше.</w:t>
      </w:r>
      <w:bookmarkStart w:id="4" w:name="_Hlk154052285"/>
      <w:bookmarkEnd w:id="4"/>
    </w:p>
    <w:p w14:paraId="7BE2805E" w14:textId="77777777" w:rsidR="00222A44" w:rsidRPr="00901AE2" w:rsidRDefault="00222A44" w:rsidP="00E67720">
      <w:pPr>
        <w:pStyle w:val="SingleTxtG"/>
        <w:pageBreakBefore/>
        <w:rPr>
          <w:b/>
          <w:bCs/>
        </w:rPr>
      </w:pPr>
      <w:r>
        <w:lastRenderedPageBreak/>
        <w:t>67.</w:t>
      </w:r>
      <w:r>
        <w:tab/>
      </w:r>
      <w:r>
        <w:rPr>
          <w:b/>
          <w:bCs/>
        </w:rPr>
        <w:t>Комитет обращается к государству-участнику с просьбой представить свой четвертый периодический доклад в соответствии со статьей 16 Пакта не позднее 28 февраля 2031 года, если только оно не будет уведомлено об изменении цикла обзора.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>
        <w:t xml:space="preserve"> </w:t>
      </w:r>
    </w:p>
    <w:p w14:paraId="3B639DFE" w14:textId="77777777" w:rsidR="00222A44" w:rsidRPr="00901AE2" w:rsidRDefault="00222A44" w:rsidP="00222A44">
      <w:pPr>
        <w:spacing w:before="240"/>
        <w:jc w:val="center"/>
        <w:rPr>
          <w:u w:val="single"/>
        </w:rPr>
      </w:pPr>
      <w:r w:rsidRPr="00901AE2">
        <w:rPr>
          <w:u w:val="single"/>
        </w:rPr>
        <w:tab/>
      </w:r>
      <w:r w:rsidRPr="00901AE2">
        <w:rPr>
          <w:u w:val="single"/>
        </w:rPr>
        <w:tab/>
      </w:r>
      <w:r w:rsidRPr="00901AE2">
        <w:rPr>
          <w:u w:val="single"/>
        </w:rPr>
        <w:tab/>
      </w:r>
    </w:p>
    <w:p w14:paraId="2899EE5B" w14:textId="77777777" w:rsidR="00381C24" w:rsidRPr="00222A44" w:rsidRDefault="00381C24" w:rsidP="00896BA2"/>
    <w:sectPr w:rsidR="00381C24" w:rsidRPr="00222A44" w:rsidSect="00B34F70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E06FF" w14:textId="77777777" w:rsidR="00737ABD" w:rsidRPr="00A312BC" w:rsidRDefault="00737ABD" w:rsidP="00A312BC"/>
  </w:endnote>
  <w:endnote w:type="continuationSeparator" w:id="0">
    <w:p w14:paraId="26984096" w14:textId="77777777" w:rsidR="00737ABD" w:rsidRPr="00A312BC" w:rsidRDefault="00737AB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B09C3" w14:textId="55B4A624" w:rsidR="00B34F70" w:rsidRPr="00B34F70" w:rsidRDefault="00B34F70">
    <w:pPr>
      <w:pStyle w:val="aa"/>
    </w:pPr>
    <w:r w:rsidRPr="00B34F70">
      <w:rPr>
        <w:b/>
        <w:sz w:val="18"/>
      </w:rPr>
      <w:fldChar w:fldCharType="begin"/>
    </w:r>
    <w:r w:rsidRPr="00B34F70">
      <w:rPr>
        <w:b/>
        <w:sz w:val="18"/>
      </w:rPr>
      <w:instrText xml:space="preserve"> PAGE  \* MERGEFORMAT </w:instrText>
    </w:r>
    <w:r w:rsidRPr="00B34F70">
      <w:rPr>
        <w:b/>
        <w:sz w:val="18"/>
      </w:rPr>
      <w:fldChar w:fldCharType="separate"/>
    </w:r>
    <w:r w:rsidRPr="00B34F70">
      <w:rPr>
        <w:b/>
        <w:noProof/>
        <w:sz w:val="18"/>
      </w:rPr>
      <w:t>2</w:t>
    </w:r>
    <w:r w:rsidRPr="00B34F70">
      <w:rPr>
        <w:b/>
        <w:sz w:val="18"/>
      </w:rPr>
      <w:fldChar w:fldCharType="end"/>
    </w:r>
    <w:r>
      <w:rPr>
        <w:b/>
        <w:sz w:val="18"/>
      </w:rPr>
      <w:tab/>
    </w:r>
    <w:r>
      <w:t>GE.26-03044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4A26D" w14:textId="49226432" w:rsidR="00B34F70" w:rsidRPr="00B34F70" w:rsidRDefault="00B34F70" w:rsidP="00B34F70">
    <w:pPr>
      <w:pStyle w:val="aa"/>
      <w:tabs>
        <w:tab w:val="clear" w:pos="9639"/>
        <w:tab w:val="right" w:pos="9638"/>
      </w:tabs>
      <w:rPr>
        <w:b/>
        <w:sz w:val="18"/>
      </w:rPr>
    </w:pPr>
    <w:r>
      <w:t>GE.26-03044</w:t>
    </w:r>
    <w:r>
      <w:tab/>
    </w:r>
    <w:r w:rsidRPr="00B34F70">
      <w:rPr>
        <w:b/>
        <w:sz w:val="18"/>
      </w:rPr>
      <w:fldChar w:fldCharType="begin"/>
    </w:r>
    <w:r w:rsidRPr="00B34F70">
      <w:rPr>
        <w:b/>
        <w:sz w:val="18"/>
      </w:rPr>
      <w:instrText xml:space="preserve"> PAGE  \* MERGEFORMAT </w:instrText>
    </w:r>
    <w:r w:rsidRPr="00B34F70">
      <w:rPr>
        <w:b/>
        <w:sz w:val="18"/>
      </w:rPr>
      <w:fldChar w:fldCharType="separate"/>
    </w:r>
    <w:r w:rsidRPr="00B34F70">
      <w:rPr>
        <w:b/>
        <w:noProof/>
        <w:sz w:val="18"/>
      </w:rPr>
      <w:t>3</w:t>
    </w:r>
    <w:r w:rsidRPr="00B34F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C20D9" w14:textId="1C2DF965" w:rsidR="00042B72" w:rsidRPr="00B34F70" w:rsidRDefault="00B34F70" w:rsidP="00B34F7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391C306" wp14:editId="2EF6E41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26-03044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C19CCE4" wp14:editId="1B06D94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546B">
      <w:t xml:space="preserve">  270526  2</w:t>
    </w:r>
    <w:r w:rsidR="006751E0">
      <w:t>9</w:t>
    </w:r>
    <w:r w:rsidR="003A546B">
      <w:t>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E636D" w14:textId="77777777" w:rsidR="00737ABD" w:rsidRPr="001075E9" w:rsidRDefault="00737AB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1CB2DB" w14:textId="77777777" w:rsidR="00737ABD" w:rsidRDefault="00737AB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7B0FF3F" w14:textId="77777777" w:rsidR="00222A44" w:rsidRPr="00901AE2" w:rsidRDefault="00222A44" w:rsidP="00222A44">
      <w:pPr>
        <w:pStyle w:val="af"/>
      </w:pPr>
      <w:r>
        <w:tab/>
      </w:r>
      <w:r w:rsidRPr="003A546B">
        <w:rPr>
          <w:sz w:val="20"/>
        </w:rPr>
        <w:t>*</w:t>
      </w:r>
      <w:r>
        <w:tab/>
        <w:t>Приняты Комитетом на его семьдесят девятой сессии (9–25 февраля 2026 года).</w:t>
      </w:r>
    </w:p>
  </w:footnote>
  <w:footnote w:id="2">
    <w:p w14:paraId="5C3D1C41" w14:textId="7F876C1B" w:rsidR="00222A44" w:rsidRPr="00D322C8" w:rsidRDefault="00222A44" w:rsidP="00222A44">
      <w:pPr>
        <w:pStyle w:val="af"/>
        <w:rPr>
          <w:lang w:val="de-CH"/>
        </w:rPr>
      </w:pPr>
      <w:r w:rsidRPr="00051436">
        <w:tab/>
      </w:r>
      <w:r w:rsidRPr="00051436">
        <w:rPr>
          <w:rStyle w:val="a8"/>
        </w:rPr>
        <w:footnoteRef/>
      </w:r>
      <w:r w:rsidRPr="00D322C8">
        <w:rPr>
          <w:lang w:val="de-CH"/>
        </w:rPr>
        <w:tab/>
      </w:r>
      <w:hyperlink r:id="rId1" w:history="1">
        <w:r w:rsidR="003C3636" w:rsidRPr="003C544B">
          <w:rPr>
            <w:rStyle w:val="a7"/>
            <w:lang w:val="es-ES"/>
          </w:rPr>
          <w:t>E/C.12/GEO/3</w:t>
        </w:r>
      </w:hyperlink>
      <w:r w:rsidRPr="00D322C8">
        <w:rPr>
          <w:lang w:val="de-CH"/>
        </w:rPr>
        <w:t>.</w:t>
      </w:r>
      <w:hyperlink r:id="rId2" w:history="1"/>
    </w:p>
  </w:footnote>
  <w:footnote w:id="3">
    <w:p w14:paraId="2F71D9EF" w14:textId="6A7CB5E4" w:rsidR="00222A44" w:rsidRPr="00D322C8" w:rsidRDefault="00222A44" w:rsidP="00222A44">
      <w:pPr>
        <w:pStyle w:val="af"/>
        <w:rPr>
          <w:lang w:val="de-CH"/>
        </w:rPr>
      </w:pPr>
      <w:r w:rsidRPr="00D322C8">
        <w:rPr>
          <w:lang w:val="de-CH"/>
        </w:rPr>
        <w:tab/>
      </w:r>
      <w:r w:rsidRPr="00051436">
        <w:rPr>
          <w:rStyle w:val="a8"/>
        </w:rPr>
        <w:footnoteRef/>
      </w:r>
      <w:r w:rsidRPr="00D322C8">
        <w:rPr>
          <w:lang w:val="de-CH"/>
        </w:rPr>
        <w:tab/>
      </w:r>
      <w:r>
        <w:t>См</w:t>
      </w:r>
      <w:r w:rsidRPr="00D322C8">
        <w:rPr>
          <w:lang w:val="de-CH"/>
        </w:rPr>
        <w:t xml:space="preserve">. </w:t>
      </w:r>
      <w:hyperlink r:id="rId3" w:history="1">
        <w:r w:rsidRPr="008D2936">
          <w:rPr>
            <w:rStyle w:val="a7"/>
            <w:lang w:val="de-CH"/>
          </w:rPr>
          <w:t>E/C.12/2026/SR.6</w:t>
        </w:r>
      </w:hyperlink>
      <w:r w:rsidRPr="00D322C8">
        <w:rPr>
          <w:lang w:val="de-CH"/>
        </w:rPr>
        <w:t xml:space="preserve"> </w:t>
      </w:r>
      <w:r>
        <w:t>и</w:t>
      </w:r>
      <w:r w:rsidRPr="00D322C8">
        <w:rPr>
          <w:lang w:val="de-CH"/>
        </w:rPr>
        <w:t xml:space="preserve"> </w:t>
      </w:r>
      <w:hyperlink r:id="rId4" w:history="1">
        <w:r w:rsidRPr="008D2936">
          <w:rPr>
            <w:rStyle w:val="a7"/>
            <w:lang w:val="de-CH"/>
          </w:rPr>
          <w:t>E/C.12/2026/SR.7</w:t>
        </w:r>
      </w:hyperlink>
      <w:r w:rsidRPr="00D322C8">
        <w:rPr>
          <w:lang w:val="de-CH"/>
        </w:rPr>
        <w:t>.</w:t>
      </w:r>
      <w:hyperlink r:id="rId5" w:history="1"/>
      <w:hyperlink r:id="rId6" w:history="1"/>
    </w:p>
  </w:footnote>
  <w:footnote w:id="4">
    <w:p w14:paraId="3DC26404" w14:textId="4D9F95C7" w:rsidR="00222A44" w:rsidRPr="008D2936" w:rsidRDefault="00222A44" w:rsidP="00222A44">
      <w:pPr>
        <w:pStyle w:val="af"/>
        <w:rPr>
          <w:lang w:val="de-CH"/>
        </w:rPr>
      </w:pPr>
      <w:r w:rsidRPr="00D322C8">
        <w:rPr>
          <w:lang w:val="de-CH"/>
        </w:rPr>
        <w:tab/>
      </w:r>
      <w:r w:rsidRPr="00051436">
        <w:rPr>
          <w:rStyle w:val="a8"/>
        </w:rPr>
        <w:footnoteRef/>
      </w:r>
      <w:r w:rsidRPr="008D2936">
        <w:rPr>
          <w:lang w:val="de-CH"/>
        </w:rPr>
        <w:tab/>
      </w:r>
      <w:hyperlink r:id="rId7" w:history="1">
        <w:r w:rsidR="008D2936" w:rsidRPr="008D2936">
          <w:rPr>
            <w:rStyle w:val="a7"/>
            <w:lang w:val="de-CH"/>
          </w:rPr>
          <w:t>E/C.12/GEO/RQ/3</w:t>
        </w:r>
      </w:hyperlink>
      <w:r w:rsidRPr="008D2936">
        <w:rPr>
          <w:lang w:val="de-CH"/>
        </w:rPr>
        <w:t>.</w:t>
      </w:r>
      <w:hyperlink r:id="rId8" w:history="1"/>
    </w:p>
  </w:footnote>
  <w:footnote w:id="5">
    <w:p w14:paraId="6583BE26" w14:textId="262BD1D6" w:rsidR="00222A44" w:rsidRPr="00DC7138" w:rsidRDefault="00222A44" w:rsidP="00222A44">
      <w:pPr>
        <w:pStyle w:val="af"/>
        <w:rPr>
          <w:lang w:val="en-US"/>
        </w:rPr>
      </w:pPr>
      <w:r w:rsidRPr="008D2936">
        <w:rPr>
          <w:lang w:val="de-CH"/>
        </w:rPr>
        <w:tab/>
      </w:r>
      <w:r w:rsidRPr="00051436">
        <w:rPr>
          <w:rStyle w:val="a8"/>
        </w:rPr>
        <w:footnoteRef/>
      </w:r>
      <w:r w:rsidRPr="00DC7138">
        <w:rPr>
          <w:lang w:val="en-US"/>
        </w:rPr>
        <w:tab/>
      </w:r>
      <w:hyperlink r:id="rId9" w:history="1">
        <w:r w:rsidRPr="00DC7138">
          <w:rPr>
            <w:rStyle w:val="a7"/>
            <w:lang w:val="en-US"/>
          </w:rPr>
          <w:t>CRC/C/GEO/CO/5-6</w:t>
        </w:r>
      </w:hyperlink>
      <w:r w:rsidRPr="00DC7138">
        <w:rPr>
          <w:lang w:val="en-US"/>
        </w:rPr>
        <w:t xml:space="preserve">, </w:t>
      </w:r>
      <w:r>
        <w:t>п</w:t>
      </w:r>
      <w:r w:rsidRPr="00DC7138">
        <w:rPr>
          <w:lang w:val="en-US"/>
        </w:rPr>
        <w:t>. 36 a)–c).</w:t>
      </w:r>
      <w:hyperlink r:id="rId10" w:history="1"/>
    </w:p>
  </w:footnote>
  <w:footnote w:id="6">
    <w:p w14:paraId="0A22A9B3" w14:textId="77777777" w:rsidR="00222A44" w:rsidRPr="008D2936" w:rsidRDefault="00222A44" w:rsidP="00222A44">
      <w:pPr>
        <w:pStyle w:val="af"/>
        <w:rPr>
          <w:lang w:val="de-CH"/>
        </w:rPr>
      </w:pPr>
      <w:r w:rsidRPr="00DC7138">
        <w:rPr>
          <w:lang w:val="en-US"/>
        </w:rPr>
        <w:tab/>
      </w:r>
      <w:r w:rsidRPr="00051436">
        <w:rPr>
          <w:rStyle w:val="a8"/>
        </w:rPr>
        <w:footnoteRef/>
      </w:r>
      <w:r w:rsidRPr="008D2936">
        <w:rPr>
          <w:lang w:val="de-CH"/>
        </w:rPr>
        <w:tab/>
      </w:r>
      <w:r>
        <w:t>Там</w:t>
      </w:r>
      <w:r w:rsidRPr="008D2936">
        <w:rPr>
          <w:lang w:val="de-CH"/>
        </w:rPr>
        <w:t xml:space="preserve"> </w:t>
      </w:r>
      <w:r>
        <w:t>же</w:t>
      </w:r>
      <w:r w:rsidRPr="008D2936">
        <w:rPr>
          <w:lang w:val="de-CH"/>
        </w:rPr>
        <w:t xml:space="preserve">, </w:t>
      </w:r>
      <w:r>
        <w:t>п</w:t>
      </w:r>
      <w:r w:rsidRPr="008D2936">
        <w:rPr>
          <w:lang w:val="de-CH"/>
        </w:rPr>
        <w:t>. 37 a)–c).</w:t>
      </w:r>
    </w:p>
  </w:footnote>
  <w:footnote w:id="7">
    <w:p w14:paraId="6ED4EF19" w14:textId="4F93A81E" w:rsidR="00222A44" w:rsidRPr="008D2936" w:rsidRDefault="00222A44" w:rsidP="00222A44">
      <w:pPr>
        <w:pStyle w:val="af"/>
        <w:rPr>
          <w:lang w:val="de-CH"/>
        </w:rPr>
      </w:pPr>
      <w:r w:rsidRPr="008D2936">
        <w:rPr>
          <w:lang w:val="de-CH"/>
        </w:rPr>
        <w:tab/>
      </w:r>
      <w:r w:rsidRPr="00051436">
        <w:rPr>
          <w:rStyle w:val="a8"/>
        </w:rPr>
        <w:footnoteRef/>
      </w:r>
      <w:r w:rsidRPr="008D2936">
        <w:rPr>
          <w:lang w:val="de-CH"/>
        </w:rPr>
        <w:tab/>
      </w:r>
      <w:hyperlink r:id="rId11" w:history="1">
        <w:r w:rsidR="00E67720" w:rsidRPr="00051436">
          <w:rPr>
            <w:rStyle w:val="a7"/>
          </w:rPr>
          <w:t>HRI/MC/2008/3</w:t>
        </w:r>
      </w:hyperlink>
      <w:r w:rsidRPr="008D2936">
        <w:rPr>
          <w:lang w:val="de-CH"/>
        </w:rPr>
        <w:t>.</w:t>
      </w:r>
      <w:hyperlink r:id="rId1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AC480" w14:textId="411E2068" w:rsidR="00B34F70" w:rsidRPr="00B34F70" w:rsidRDefault="00B34F70">
    <w:pPr>
      <w:pStyle w:val="a5"/>
    </w:pPr>
    <w:fldSimple w:instr=" TITLE  \* MERGEFORMAT ">
      <w:r>
        <w:t>E/C.12/GEO/CO/3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00596" w14:textId="4D123615" w:rsidR="00B34F70" w:rsidRPr="00B34F70" w:rsidRDefault="00B34F70" w:rsidP="00B34F70">
    <w:pPr>
      <w:pStyle w:val="a5"/>
      <w:jc w:val="right"/>
    </w:pPr>
    <w:fldSimple w:instr=" TITLE  \* MERGEFORMAT ">
      <w:r>
        <w:t>E/C.12/GEO/CO/3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E2"/>
    <w:rsid w:val="000041D5"/>
    <w:rsid w:val="00033EE1"/>
    <w:rsid w:val="00042B72"/>
    <w:rsid w:val="00043B08"/>
    <w:rsid w:val="000558BD"/>
    <w:rsid w:val="000857D2"/>
    <w:rsid w:val="000B1BD7"/>
    <w:rsid w:val="000B57E7"/>
    <w:rsid w:val="000B6373"/>
    <w:rsid w:val="000F09DF"/>
    <w:rsid w:val="000F61B2"/>
    <w:rsid w:val="001075E9"/>
    <w:rsid w:val="001253D8"/>
    <w:rsid w:val="0014152F"/>
    <w:rsid w:val="00142F5E"/>
    <w:rsid w:val="00170BA7"/>
    <w:rsid w:val="00180183"/>
    <w:rsid w:val="0018024D"/>
    <w:rsid w:val="0018649F"/>
    <w:rsid w:val="00196389"/>
    <w:rsid w:val="001B3EF6"/>
    <w:rsid w:val="001C7A89"/>
    <w:rsid w:val="001D5C5A"/>
    <w:rsid w:val="00203065"/>
    <w:rsid w:val="00222A44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A546B"/>
    <w:rsid w:val="003B00E5"/>
    <w:rsid w:val="003C3636"/>
    <w:rsid w:val="003D6B66"/>
    <w:rsid w:val="00407B78"/>
    <w:rsid w:val="0041436C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66384"/>
    <w:rsid w:val="005709E0"/>
    <w:rsid w:val="00572E19"/>
    <w:rsid w:val="005961C8"/>
    <w:rsid w:val="005966F1"/>
    <w:rsid w:val="005A45FE"/>
    <w:rsid w:val="005B2F86"/>
    <w:rsid w:val="005D7914"/>
    <w:rsid w:val="005E2B41"/>
    <w:rsid w:val="005F0B42"/>
    <w:rsid w:val="005F1707"/>
    <w:rsid w:val="00640F49"/>
    <w:rsid w:val="006751E0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37ABD"/>
    <w:rsid w:val="00757357"/>
    <w:rsid w:val="007846E2"/>
    <w:rsid w:val="00792497"/>
    <w:rsid w:val="00806737"/>
    <w:rsid w:val="00811570"/>
    <w:rsid w:val="00822343"/>
    <w:rsid w:val="00825F8D"/>
    <w:rsid w:val="00834B71"/>
    <w:rsid w:val="0086445C"/>
    <w:rsid w:val="008729D9"/>
    <w:rsid w:val="00873343"/>
    <w:rsid w:val="00881771"/>
    <w:rsid w:val="00894693"/>
    <w:rsid w:val="00896BA2"/>
    <w:rsid w:val="008A08D7"/>
    <w:rsid w:val="008B6909"/>
    <w:rsid w:val="008C30BC"/>
    <w:rsid w:val="008D2936"/>
    <w:rsid w:val="00906890"/>
    <w:rsid w:val="00911BE4"/>
    <w:rsid w:val="00912A99"/>
    <w:rsid w:val="00951972"/>
    <w:rsid w:val="009608F3"/>
    <w:rsid w:val="009A24AC"/>
    <w:rsid w:val="009F1700"/>
    <w:rsid w:val="00A14DA8"/>
    <w:rsid w:val="00A21F00"/>
    <w:rsid w:val="00A312BC"/>
    <w:rsid w:val="00A32576"/>
    <w:rsid w:val="00A84021"/>
    <w:rsid w:val="00A84D35"/>
    <w:rsid w:val="00A917B3"/>
    <w:rsid w:val="00A96535"/>
    <w:rsid w:val="00AB2DBD"/>
    <w:rsid w:val="00AB4B51"/>
    <w:rsid w:val="00AC3430"/>
    <w:rsid w:val="00B10CC7"/>
    <w:rsid w:val="00B21886"/>
    <w:rsid w:val="00B34F70"/>
    <w:rsid w:val="00B36DF7"/>
    <w:rsid w:val="00B520D9"/>
    <w:rsid w:val="00B539E7"/>
    <w:rsid w:val="00B62458"/>
    <w:rsid w:val="00BC18B2"/>
    <w:rsid w:val="00BD33EE"/>
    <w:rsid w:val="00BF21E1"/>
    <w:rsid w:val="00C106D6"/>
    <w:rsid w:val="00C27B11"/>
    <w:rsid w:val="00C60F0C"/>
    <w:rsid w:val="00C805C9"/>
    <w:rsid w:val="00C92939"/>
    <w:rsid w:val="00CA1679"/>
    <w:rsid w:val="00CB151C"/>
    <w:rsid w:val="00CE5A1A"/>
    <w:rsid w:val="00CF55F6"/>
    <w:rsid w:val="00D1565E"/>
    <w:rsid w:val="00D25B29"/>
    <w:rsid w:val="00D33D63"/>
    <w:rsid w:val="00D34308"/>
    <w:rsid w:val="00D5253A"/>
    <w:rsid w:val="00D62A45"/>
    <w:rsid w:val="00D90028"/>
    <w:rsid w:val="00D90138"/>
    <w:rsid w:val="00DB1DA6"/>
    <w:rsid w:val="00DC7138"/>
    <w:rsid w:val="00DD1D1E"/>
    <w:rsid w:val="00DD44B1"/>
    <w:rsid w:val="00DD78D1"/>
    <w:rsid w:val="00DE32CD"/>
    <w:rsid w:val="00DF71B9"/>
    <w:rsid w:val="00E67720"/>
    <w:rsid w:val="00E73F76"/>
    <w:rsid w:val="00E77A26"/>
    <w:rsid w:val="00E90403"/>
    <w:rsid w:val="00EA2C9F"/>
    <w:rsid w:val="00EA420E"/>
    <w:rsid w:val="00EC5B55"/>
    <w:rsid w:val="00ED0BDA"/>
    <w:rsid w:val="00EE142A"/>
    <w:rsid w:val="00EF1360"/>
    <w:rsid w:val="00EF3220"/>
    <w:rsid w:val="00F13AEF"/>
    <w:rsid w:val="00F3606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5B60B"/>
  <w15:docId w15:val="{AA71E3EC-66D6-433F-99EA-169112D6A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222A4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A54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lex.ilo.org/dyn/nrmlx_en/f?p=NORMLEXPUB:12100:0::NO:12100:P12100_INSTRUMENT_ID:312300:NO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normlex.ilo.org/dyn/nrmlx_en/f?p=NORMLEXPUB:12100:0::NO:12100:P12100_INSTRUMENT_ID:312226: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lex.ilo.org/dyn/nrmlx_en/f?p=NORMLEXPUB:12100:0::NO:12100:P12100_INSTRUMENT_ID:312332:NO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E/C.12/GEO/RQ/3" TargetMode="External"/><Relationship Id="rId3" Type="http://schemas.openxmlformats.org/officeDocument/2006/relationships/hyperlink" Target="https://docs.un.org/ru/E/C.12/2026/SR.6" TargetMode="External"/><Relationship Id="rId7" Type="http://schemas.openxmlformats.org/officeDocument/2006/relationships/hyperlink" Target="https://docs.un.org/en/E/C.12/GEO/RQ/3" TargetMode="External"/><Relationship Id="rId12" Type="http://schemas.openxmlformats.org/officeDocument/2006/relationships/hyperlink" Target="https://docs.un.org/en/HRI/MC/2008/3" TargetMode="External"/><Relationship Id="rId2" Type="http://schemas.openxmlformats.org/officeDocument/2006/relationships/hyperlink" Target="https://docs.un.org/en/E/C.12/GEO/3" TargetMode="External"/><Relationship Id="rId1" Type="http://schemas.openxmlformats.org/officeDocument/2006/relationships/hyperlink" Target="https://docs.un.org/en/E/C.12/GEO/3" TargetMode="External"/><Relationship Id="rId6" Type="http://schemas.openxmlformats.org/officeDocument/2006/relationships/hyperlink" Target="https://docs.un.org/en/E/C.12/2026/SR.7" TargetMode="External"/><Relationship Id="rId11" Type="http://schemas.openxmlformats.org/officeDocument/2006/relationships/hyperlink" Target="https://docs.un.org/en/HRI/MC/2008/3" TargetMode="External"/><Relationship Id="rId5" Type="http://schemas.openxmlformats.org/officeDocument/2006/relationships/hyperlink" Target="https://docs.un.org/en/E/C.12/2026/SR.6" TargetMode="External"/><Relationship Id="rId10" Type="http://schemas.openxmlformats.org/officeDocument/2006/relationships/hyperlink" Target="https://docs.un.org/en/CRC/C/GEO/CO/5-6" TargetMode="External"/><Relationship Id="rId4" Type="http://schemas.openxmlformats.org/officeDocument/2006/relationships/hyperlink" Target="https://docs.un.org/ru/E/C.12/2026/SR.7" TargetMode="External"/><Relationship Id="rId9" Type="http://schemas.openxmlformats.org/officeDocument/2006/relationships/hyperlink" Target="https://docs.un.org/ru/CRC/C/GEO/CO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16</Pages>
  <Words>5883</Words>
  <Characters>41304</Characters>
  <Application>Microsoft Office Word</Application>
  <DocSecurity>0</DocSecurity>
  <Lines>779</Lines>
  <Paragraphs>224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46963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E/C.12/GEO/CO/3</dc:title>
  <dc:subject/>
  <dc:creator>Uliana ANTIPOVA</dc:creator>
  <cp:keywords/>
  <cp:lastModifiedBy>Uliana Antipova</cp:lastModifiedBy>
  <cp:revision>3</cp:revision>
  <cp:lastPrinted>2026-05-29T08:45:00Z</cp:lastPrinted>
  <dcterms:created xsi:type="dcterms:W3CDTF">2026-05-29T08:45:00Z</dcterms:created>
  <dcterms:modified xsi:type="dcterms:W3CDTF">2026-05-29T08:48:00Z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