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E4E1B" w:rsidP="00BE4E1B">
            <w:pPr>
              <w:suppressAutoHyphens w:val="0"/>
              <w:spacing w:after="20"/>
              <w:jc w:val="right"/>
            </w:pPr>
            <w:r w:rsidRPr="00BE4E1B">
              <w:rPr>
                <w:sz w:val="40"/>
              </w:rPr>
              <w:t>CAT</w:t>
            </w:r>
            <w:r>
              <w:t>/C/GTM/FCO/7</w:t>
            </w:r>
            <w:r w:rsidR="00117E8C">
              <w:t>*</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E4E1B" w:rsidP="00BE4E1B">
            <w:pPr>
              <w:suppressAutoHyphens w:val="0"/>
              <w:spacing w:before="240"/>
            </w:pPr>
            <w:r>
              <w:t>Distr.: General</w:t>
            </w:r>
          </w:p>
          <w:p w:rsidR="00BE4E1B" w:rsidRDefault="00BE4E1B" w:rsidP="00BE4E1B">
            <w:pPr>
              <w:suppressAutoHyphens w:val="0"/>
            </w:pPr>
            <w:r>
              <w:t>29 January 2020</w:t>
            </w:r>
          </w:p>
          <w:p w:rsidR="00BE4E1B" w:rsidRDefault="00BE4E1B" w:rsidP="00BE4E1B">
            <w:pPr>
              <w:suppressAutoHyphens w:val="0"/>
            </w:pPr>
            <w:r>
              <w:t>English</w:t>
            </w:r>
          </w:p>
          <w:p w:rsidR="00BE4E1B" w:rsidRDefault="00BE4E1B" w:rsidP="00BE4E1B">
            <w:pPr>
              <w:suppressAutoHyphens w:val="0"/>
            </w:pPr>
            <w:r>
              <w:t>Original: Spanish</w:t>
            </w:r>
          </w:p>
          <w:p w:rsidR="00996D8E" w:rsidRDefault="00996D8E" w:rsidP="00BE4E1B">
            <w:pPr>
              <w:suppressAutoHyphens w:val="0"/>
            </w:pPr>
            <w:r>
              <w:t>English</w:t>
            </w:r>
            <w:r w:rsidR="00117E8C">
              <w:t>, French</w:t>
            </w:r>
            <w:r>
              <w:t xml:space="preserve"> and Spanish only</w:t>
            </w:r>
          </w:p>
        </w:tc>
      </w:tr>
    </w:tbl>
    <w:p w:rsidR="00F25710" w:rsidRPr="00612A9C" w:rsidRDefault="00F25710" w:rsidP="00F25710">
      <w:pPr>
        <w:spacing w:before="120"/>
        <w:rPr>
          <w:b/>
          <w:bCs/>
          <w:sz w:val="24"/>
          <w:szCs w:val="24"/>
        </w:rPr>
      </w:pPr>
      <w:r w:rsidRPr="00612A9C">
        <w:rPr>
          <w:b/>
          <w:bCs/>
          <w:sz w:val="24"/>
          <w:szCs w:val="24"/>
        </w:rPr>
        <w:t>Committee against Torture</w:t>
      </w:r>
    </w:p>
    <w:p w:rsidR="00F25710" w:rsidRPr="00A93EAD" w:rsidRDefault="00F25710" w:rsidP="00612A9C">
      <w:pPr>
        <w:pStyle w:val="HChG"/>
      </w:pPr>
      <w:r w:rsidRPr="00A93EAD">
        <w:tab/>
      </w:r>
      <w:r w:rsidRPr="00A93EAD">
        <w:tab/>
        <w:t>Information received from Guatemala on follow-up to the concluding observations on its seventh periodic report</w:t>
      </w:r>
      <w:r w:rsidR="00612A9C" w:rsidRPr="00976BD9">
        <w:rPr>
          <w:rStyle w:val="FootnoteReference"/>
          <w:b w:val="0"/>
          <w:bCs/>
          <w:sz w:val="20"/>
          <w:vertAlign w:val="baseline"/>
        </w:rPr>
        <w:footnoteReference w:customMarkFollows="1" w:id="1"/>
        <w:t>*</w:t>
      </w:r>
      <w:r w:rsidR="00117E8C">
        <w:rPr>
          <w:b w:val="0"/>
          <w:bCs/>
          <w:sz w:val="20"/>
        </w:rPr>
        <w:t>*</w:t>
      </w:r>
      <w:r w:rsidR="00E64931">
        <w:rPr>
          <w:b w:val="0"/>
          <w:bCs/>
          <w:sz w:val="20"/>
        </w:rPr>
        <w:t xml:space="preserve"> </w:t>
      </w:r>
      <w:bookmarkStart w:id="0" w:name="_GoBack"/>
      <w:bookmarkEnd w:id="0"/>
    </w:p>
    <w:p w:rsidR="00F25710" w:rsidRPr="00A93EAD" w:rsidRDefault="00F25710" w:rsidP="00612A9C">
      <w:pPr>
        <w:pStyle w:val="SingleTxtG"/>
        <w:jc w:val="right"/>
      </w:pPr>
      <w:r w:rsidRPr="00A93EAD">
        <w:t>[Date received: 24 December 2019]</w:t>
      </w:r>
    </w:p>
    <w:p w:rsidR="00543250" w:rsidRPr="00A93EAD" w:rsidRDefault="00BE4E1B" w:rsidP="00543250">
      <w:pPr>
        <w:pStyle w:val="HChG"/>
      </w:pPr>
      <w:r>
        <w:rPr>
          <w:rFonts w:eastAsiaTheme="minorEastAsia"/>
        </w:rPr>
        <w:br w:type="page"/>
      </w:r>
      <w:r w:rsidR="00543250" w:rsidRPr="00A93EAD">
        <w:lastRenderedPageBreak/>
        <w:tab/>
        <w:t>I.</w:t>
      </w:r>
      <w:r w:rsidR="00543250" w:rsidRPr="00A93EAD">
        <w:tab/>
        <w:t>Introduction</w:t>
      </w:r>
    </w:p>
    <w:p w:rsidR="00543250" w:rsidRPr="00A93EAD" w:rsidRDefault="00543250" w:rsidP="00543250">
      <w:pPr>
        <w:pStyle w:val="SingleTxtG"/>
      </w:pPr>
      <w:r w:rsidRPr="00A93EAD">
        <w:t>1.</w:t>
      </w:r>
      <w:r w:rsidRPr="00A93EAD">
        <w:tab/>
        <w:t>The Committee against Torture considered the seventh periodic report of Guatemala (CAT/C/GTM/7) at its 1689th and 1692nd meetings (see CAT/C/SR.1689 and CAT/C/SR.1692), held on 16 and 19 November 2018, and adopted its concluding observations (CAT/C/GTM/CO/7) at its 1711th meeting, held on 3 December 2018.</w:t>
      </w:r>
    </w:p>
    <w:p w:rsidR="00543250" w:rsidRPr="00A93EAD" w:rsidRDefault="00543250" w:rsidP="00543250">
      <w:pPr>
        <w:pStyle w:val="SingleTxtG"/>
      </w:pPr>
      <w:r w:rsidRPr="00A93EAD">
        <w:t>2.</w:t>
      </w:r>
      <w:r w:rsidRPr="00A93EAD">
        <w:tab/>
        <w:t xml:space="preserve">Under the follow-up procedure, the Committee requested the State of Guatemala to provide information on </w:t>
      </w:r>
      <w:r w:rsidR="00664508">
        <w:t>“</w:t>
      </w:r>
      <w:r w:rsidRPr="00A93EAD">
        <w:t>the national mechanism for the prevention of torture; deaths and ill-treatment occurring in shelters and detention centres for adolescents; investigation of acts of torture and other serious violations committed during the internal armed conflict; and violent deaths, evictions and internal security (see paras. 15 (b), 25 (a) and (b), 27 (a) and 33 (d) and (e) above)</w:t>
      </w:r>
      <w:r w:rsidR="00664508">
        <w:t>”</w:t>
      </w:r>
      <w:r w:rsidRPr="00A93EAD">
        <w:t>.</w:t>
      </w:r>
    </w:p>
    <w:p w:rsidR="00543250" w:rsidRPr="00A93EAD" w:rsidRDefault="00543250" w:rsidP="00543250">
      <w:pPr>
        <w:pStyle w:val="SingleTxtG"/>
      </w:pPr>
      <w:r w:rsidRPr="00A93EAD">
        <w:t>3.</w:t>
      </w:r>
      <w:r w:rsidRPr="00A93EAD">
        <w:tab/>
        <w:t>Accordingly, the Presidential Commission for the Coordination of Human Rights Policy submits the following information on behalf of the State of Guatemala.</w:t>
      </w:r>
    </w:p>
    <w:p w:rsidR="00543250" w:rsidRPr="00A93EAD" w:rsidRDefault="00543250" w:rsidP="0087596F">
      <w:pPr>
        <w:pStyle w:val="HChG"/>
      </w:pPr>
      <w:r w:rsidRPr="00A93EAD">
        <w:tab/>
        <w:t>II.</w:t>
      </w:r>
      <w:r w:rsidRPr="00A93EAD">
        <w:tab/>
        <w:t>Follow-up information</w:t>
      </w:r>
    </w:p>
    <w:p w:rsidR="00543250" w:rsidRPr="00A93EAD" w:rsidRDefault="00543250" w:rsidP="0087596F">
      <w:pPr>
        <w:pStyle w:val="H1G"/>
      </w:pPr>
      <w:r w:rsidRPr="00A93EAD">
        <w:tab/>
        <w:t>A.</w:t>
      </w:r>
      <w:r w:rsidRPr="00A93EAD">
        <w:tab/>
        <w:t>Follow-up information relating to paragraph 15 of the concluding observations</w:t>
      </w:r>
    </w:p>
    <w:p w:rsidR="00543250" w:rsidRPr="00A93EAD" w:rsidRDefault="00543250" w:rsidP="00543250">
      <w:pPr>
        <w:pStyle w:val="SingleTxtG"/>
      </w:pPr>
      <w:r w:rsidRPr="00A93EAD">
        <w:t>4.</w:t>
      </w:r>
      <w:r w:rsidRPr="00A93EAD">
        <w:tab/>
        <w:t xml:space="preserve">In accordance with article 21, </w:t>
      </w:r>
      <w:r w:rsidR="00664508">
        <w:t>“</w:t>
      </w:r>
      <w:r w:rsidRPr="00A93EAD">
        <w:t>Selection and appointment of rapporteurs</w:t>
      </w:r>
      <w:r w:rsidR="00664508">
        <w:t>”</w:t>
      </w:r>
      <w:r w:rsidRPr="00A93EAD">
        <w:t>, of the Act on the National Mechanism for the Prevention of Torture and Other Cruel, Inhuman or Degrading Treatment or Punishment, the process of appointing rapporteurs to the National Office for the Prevention of Torture was conducted as follows</w:t>
      </w:r>
      <w:r w:rsidR="00DE0236">
        <w:t>:</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On 6 May 2019, a preliminary vetting of the candidates for rapporteur was completed.</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On 10 June 2019, the Human Rights Commission of the Guatemalan Congress finished ranking the candidates on the basis of their academic qualifications, professional experience and suitability for the role.</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On 11 July 2019, the assessment and ranking of the 17 candidates</w:t>
      </w:r>
      <w:r w:rsidR="00664508">
        <w:t>’</w:t>
      </w:r>
      <w:r w:rsidR="00543250" w:rsidRPr="00A93EAD">
        <w:t xml:space="preserve"> applications were finalized.</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On 17 July 2019, the Commission concluded the interview phase, in which the candidates were asked about their experience in the area of human rights.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On 14 August 2019, the Commission finalized two candidate lists, each consisting of three nominees, for the positions of rapporteur and alternate rapporteur.</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 xml:space="preserve">On 28 August 2019, the Congress held its forty-eighth regular meeting. The record of the meeting (No. 048-2019) indicates, under item four, that </w:t>
      </w:r>
      <w:r w:rsidR="00664508">
        <w:t>“</w:t>
      </w:r>
      <w:r w:rsidR="00543250" w:rsidRPr="00A93EAD">
        <w:t>the following citizens have been elected to the positions of rapporteur and alternate rapporteur of the National Office for the Prevention of Torture and Other Cruel, Inhuman or Degrading Treatment or Punishment for the term ending 25 March 2024: as rapporteur, Gloria Margarita López Rodas de Corado, and, as her alternate, Hilario Roderico Pineda Sánchez; as rapporteur, Carlos Alberto Solórzano Rivera, and, as his alternate, Mónica Liseth Solórzano Perusina</w:t>
      </w:r>
      <w:r w:rsidR="00664508">
        <w:t>”</w:t>
      </w:r>
      <w:r w:rsidR="00543250" w:rsidRPr="00A93EAD">
        <w:t>. In accordance with the relevant legal framework, the successful candidates were sworn in at that same meeting and their appointment was officially declared in decision No. 9-2019 of the Congress of the Republic.</w:t>
      </w:r>
    </w:p>
    <w:p w:rsidR="00543250" w:rsidRPr="00A93EAD" w:rsidRDefault="00543250" w:rsidP="0087596F">
      <w:pPr>
        <w:pStyle w:val="H1G"/>
      </w:pPr>
      <w:r w:rsidRPr="00A93EAD">
        <w:lastRenderedPageBreak/>
        <w:tab/>
        <w:t>B.</w:t>
      </w:r>
      <w:r w:rsidRPr="00A93EAD">
        <w:tab/>
        <w:t>Follow-up information relating to paragraph 15 (b) of the concluding observations</w:t>
      </w:r>
    </w:p>
    <w:p w:rsidR="00543250" w:rsidRPr="00A93EAD" w:rsidRDefault="00543250" w:rsidP="00543250">
      <w:pPr>
        <w:pStyle w:val="SingleTxtG"/>
      </w:pPr>
      <w:r w:rsidRPr="00A93EAD">
        <w:t>5.</w:t>
      </w:r>
      <w:r w:rsidRPr="00A93EAD">
        <w:tab/>
        <w:t>Article 13 of the Act on the National Mechanism for the Prevention of Torture and Other Cruel, Inhuman or Degrading Treatment or Punishment establishes the mechanism</w:t>
      </w:r>
      <w:r w:rsidR="00664508">
        <w:t>’</w:t>
      </w:r>
      <w:r w:rsidRPr="00A93EAD">
        <w:t>s powers and responsibilities, which include:</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Unrestricted access to all places of deprivation of liberty, detention or restriction of freedom of movement and their installations and facilities.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The authority to interview any person deprived of his or her liberty, without witnesses, either personally or with the assistance of a translator or other professional if deemed necessary, in a confidential setting.</w:t>
      </w:r>
    </w:p>
    <w:p w:rsidR="00543250" w:rsidRPr="00A93EAD" w:rsidRDefault="00543250" w:rsidP="00543250">
      <w:pPr>
        <w:pStyle w:val="SingleTxtG"/>
      </w:pPr>
      <w:r w:rsidRPr="00A93EAD">
        <w:t>6.</w:t>
      </w:r>
      <w:r w:rsidRPr="00A93EAD">
        <w:tab/>
        <w:t>Rapporteurs are thus guaranteed free and unrestricted access to places of deprivation of liberty and their facilities.</w:t>
      </w:r>
    </w:p>
    <w:p w:rsidR="00543250" w:rsidRPr="00A93EAD" w:rsidRDefault="00543250" w:rsidP="0087596F">
      <w:pPr>
        <w:pStyle w:val="H1G"/>
      </w:pPr>
      <w:r w:rsidRPr="00A93EAD">
        <w:tab/>
        <w:t>C.</w:t>
      </w:r>
      <w:r w:rsidRPr="00A93EAD">
        <w:tab/>
        <w:t xml:space="preserve">Follow-up information relating to paragraph 25 (a) of the concluding observations </w:t>
      </w:r>
    </w:p>
    <w:p w:rsidR="00543250" w:rsidRPr="00A93EAD" w:rsidRDefault="00543250" w:rsidP="00543250">
      <w:pPr>
        <w:pStyle w:val="SingleTxtG"/>
      </w:pPr>
      <w:r w:rsidRPr="00A93EAD">
        <w:t>7.</w:t>
      </w:r>
      <w:r w:rsidRPr="00A93EAD">
        <w:tab/>
        <w:t>The Fourth Criminal Court of First Instance and the Seventh Criminal Trial Court have jurisdiction over investigations into the former public officials accused in connection with the deaths of the 41 minors who perished as a result of the fire.</w:t>
      </w:r>
    </w:p>
    <w:p w:rsidR="00543250" w:rsidRPr="00A93EAD" w:rsidRDefault="00543250" w:rsidP="00543250">
      <w:pPr>
        <w:pStyle w:val="SingleTxtG"/>
      </w:pPr>
      <w:r w:rsidRPr="00A93EAD">
        <w:t>8.</w:t>
      </w:r>
      <w:r w:rsidRPr="00A93EAD">
        <w:tab/>
        <w:t>Three criminal cases have been opened:</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The first case is against the former secretary of the Social Welfare Secretariat, a former under-secretary of the Secretariat and the former director of the shelter, who are awaiting trial for failing in their responsibility to protect the minors. They are currently being held in pretrial detention and have been charged with abuse of authority, manslaughter, ill-treatment of minors, dereliction of duty and unintentional injury. A deputy inspector of the National Civil Police has been charged with manslaughter, ill-treatment of minors and unintentional injury, and a deputy superintendent has been charged with abuse of authority and ill-treatment of minors.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The second case is against the Advocate for Children and Adolescents of the Counsel General</w:t>
      </w:r>
      <w:r w:rsidR="00664508">
        <w:t>’</w:t>
      </w:r>
      <w:r w:rsidR="00543250" w:rsidRPr="00A93EAD">
        <w:t>s Office and the former head of the Department for Special Protection against Ill-treatment in the Virgen de la Asunción Shelter, who are both currently under house arrest, having been charged with manslaughter, ill-treatment of minors, dereliction of duty and unintentional injury. The former Ombudsperson for Children and Young Persons of the Office of the Human Rights Advocate has also been charged with dereliction of duty.</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 xml:space="preserve">The third case involves a justice of the peace, Rocío Murillo; a former clerk of the court; the warden of Los Gorriones detention centre; and the former coordinator of the </w:t>
      </w:r>
      <w:r w:rsidR="00664508">
        <w:t>“</w:t>
      </w:r>
      <w:r w:rsidR="00543250" w:rsidRPr="00A93EAD">
        <w:t>Mi Hogar</w:t>
      </w:r>
      <w:r w:rsidR="00664508">
        <w:t>”</w:t>
      </w:r>
      <w:r w:rsidR="00543250" w:rsidRPr="00A93EAD">
        <w:t xml:space="preserve"> area of the shelter, who are awaiting the conclusion of their arraignment hearing.</w:t>
      </w:r>
    </w:p>
    <w:p w:rsidR="00543250" w:rsidRPr="00A93EAD" w:rsidRDefault="00543250" w:rsidP="00543250">
      <w:pPr>
        <w:pStyle w:val="SingleTxtG"/>
      </w:pPr>
      <w:r w:rsidRPr="00A93EAD">
        <w:t>9.</w:t>
      </w:r>
      <w:r w:rsidRPr="00A93EAD">
        <w:tab/>
        <w:t>The following hearings are due to take place as part of the proceedings: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A hearing to gather the testimony of 7 of the 15 surviving girls in advance of court proceedings.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A hearing on the presentation of evidence in respect of the Advocate for Children and Adolescents of the Counsel General</w:t>
      </w:r>
      <w:r w:rsidR="00664508">
        <w:t>’</w:t>
      </w:r>
      <w:r w:rsidR="00543250" w:rsidRPr="00A93EAD">
        <w:t>s Office, the deputy police inspector, the former director of the Department for Special Protection against Ill-treatment in the Virgen de la Asunción Shelter, the former Ombudsperson for Children and Young Persons of the Office of the Human Rights Advocate and the deputy police superintendent, scheduled to take place on 19 December 2019.</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 xml:space="preserve">An arraignment hearing in respect of the justice of the peace and the former court clerk, both of whom served in the same court, as well as the prison warden and the former coordinator of </w:t>
      </w:r>
      <w:r w:rsidR="00664508">
        <w:t>“</w:t>
      </w:r>
      <w:r w:rsidR="00543250" w:rsidRPr="00A93EAD">
        <w:t>Mi Hogar</w:t>
      </w:r>
      <w:r w:rsidR="00664508">
        <w:t>”</w:t>
      </w:r>
      <w:r w:rsidR="00543250" w:rsidRPr="00A93EAD">
        <w:t>, scheduled to take place on 7 and 8 January 2020.</w:t>
      </w:r>
    </w:p>
    <w:p w:rsidR="00543250" w:rsidRPr="00A93EAD" w:rsidRDefault="008853A6" w:rsidP="008853A6">
      <w:pPr>
        <w:pStyle w:val="Bullet1G"/>
        <w:numPr>
          <w:ilvl w:val="0"/>
          <w:numId w:val="0"/>
        </w:numPr>
        <w:tabs>
          <w:tab w:val="left" w:pos="1701"/>
        </w:tabs>
        <w:ind w:left="1701" w:hanging="170"/>
      </w:pPr>
      <w:r w:rsidRPr="00A93EAD">
        <w:lastRenderedPageBreak/>
        <w:t>•</w:t>
      </w:r>
      <w:r w:rsidRPr="00A93EAD">
        <w:tab/>
      </w:r>
      <w:r w:rsidR="00543250" w:rsidRPr="00A93EAD">
        <w:t>A hearing to gather testimony and evidence in respect of a motion for disqualification put forward by the defence counsel of the former under-secretary of the Social Welfare Secretariat, scheduled to take place on 31 January 2020 in the second chamber of appeals.</w:t>
      </w:r>
    </w:p>
    <w:p w:rsidR="00543250" w:rsidRPr="00A93EAD" w:rsidRDefault="00543250" w:rsidP="0087596F">
      <w:pPr>
        <w:pStyle w:val="H1G"/>
      </w:pPr>
      <w:r w:rsidRPr="00A93EAD">
        <w:tab/>
        <w:t>D.</w:t>
      </w:r>
      <w:r w:rsidRPr="00A93EAD">
        <w:tab/>
        <w:t xml:space="preserve">Follow-up information relating to paragraph 25 (b) of the concluding observations </w:t>
      </w:r>
    </w:p>
    <w:p w:rsidR="00543250" w:rsidRPr="00A93EAD" w:rsidRDefault="00543250" w:rsidP="00543250">
      <w:pPr>
        <w:pStyle w:val="SingleTxtG"/>
      </w:pPr>
      <w:r w:rsidRPr="00A93EAD">
        <w:t>10.</w:t>
      </w:r>
      <w:r w:rsidRPr="00A93EAD">
        <w:tab/>
        <w:t>The Social Welfare Secretariat allocated 29,597,947.00 quetzales to the budget of the Office of the Under-Secretary for the Reintegration and Social Rehabilitation of Adolescents in Conflict with the Law for the 2019 fiscal year, of which 15,918,034.36 quetzales – or 53.78 per cent – has been implemented as of August 2019.</w:t>
      </w:r>
    </w:p>
    <w:p w:rsidR="00543250" w:rsidRPr="00A93EAD" w:rsidRDefault="00543250" w:rsidP="00543250">
      <w:pPr>
        <w:pStyle w:val="SingleTxtG"/>
      </w:pPr>
      <w:r w:rsidRPr="00A93EAD">
        <w:t>11.</w:t>
      </w:r>
      <w:r w:rsidRPr="00A93EAD">
        <w:tab/>
        <w:t xml:space="preserve">A total of 23,000,000.00 quetzales were allocated to the budget line </w:t>
      </w:r>
      <w:r w:rsidR="00664508">
        <w:t>“</w:t>
      </w:r>
      <w:r w:rsidRPr="00A93EAD">
        <w:t>Support for adolescents in conflict with the criminal law</w:t>
      </w:r>
      <w:r w:rsidR="00664508">
        <w:t>”</w:t>
      </w:r>
      <w:r w:rsidRPr="00A93EAD">
        <w:t>, of which 22,789,339.70 quetzales – or 98 per cent – has been implemented as of August 2019.</w:t>
      </w:r>
    </w:p>
    <w:p w:rsidR="00543250" w:rsidRPr="00A93EAD" w:rsidRDefault="00543250" w:rsidP="005451A0">
      <w:pPr>
        <w:pStyle w:val="SingleTxtG"/>
        <w:spacing w:after="240"/>
      </w:pPr>
      <w:r w:rsidRPr="00A93EAD">
        <w:t>12.</w:t>
      </w:r>
      <w:r w:rsidRPr="00A93EAD">
        <w:tab/>
        <w:t>Between 2017 and 2019, the average rate of overcrowding fell by 17 per cent. In 2017, the average rate of overcrowding in juvenile detention centres was 58 per cent; this figure fell by 7 per cent in 2018 and, as of 10 September 2019, had fallen by 17 per cent compared to 2018. Detailed information is presented in the tables below</w:t>
      </w:r>
      <w:r w:rsidR="00BF0337">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60"/>
        <w:gridCol w:w="1610"/>
        <w:gridCol w:w="1372"/>
        <w:gridCol w:w="1553"/>
        <w:gridCol w:w="1575"/>
      </w:tblGrid>
      <w:tr w:rsidR="00550390" w:rsidRPr="00550390" w:rsidTr="00C945E1">
        <w:trPr>
          <w:tblHeader/>
        </w:trPr>
        <w:tc>
          <w:tcPr>
            <w:tcW w:w="7370" w:type="dxa"/>
            <w:gridSpan w:val="5"/>
            <w:tcBorders>
              <w:top w:val="single" w:sz="4" w:space="0" w:color="auto"/>
              <w:bottom w:val="single" w:sz="4" w:space="0" w:color="auto"/>
            </w:tcBorders>
            <w:shd w:val="clear" w:color="auto" w:fill="auto"/>
            <w:vAlign w:val="bottom"/>
          </w:tcPr>
          <w:p w:rsidR="00543250" w:rsidRPr="00550390" w:rsidRDefault="00543250" w:rsidP="00EF0124">
            <w:pPr>
              <w:suppressAutoHyphens w:val="0"/>
              <w:spacing w:before="80" w:after="80" w:line="200" w:lineRule="exact"/>
              <w:ind w:right="113"/>
              <w:jc w:val="center"/>
              <w:rPr>
                <w:i/>
                <w:sz w:val="16"/>
              </w:rPr>
            </w:pPr>
            <w:bookmarkStart w:id="1" w:name="_Hlk31021353"/>
            <w:r w:rsidRPr="00550390">
              <w:rPr>
                <w:i/>
                <w:sz w:val="16"/>
              </w:rPr>
              <w:t>Population</w:t>
            </w:r>
            <w:r w:rsidR="00550390" w:rsidRPr="00550390">
              <w:rPr>
                <w:i/>
                <w:sz w:val="16"/>
              </w:rPr>
              <w:br/>
            </w:r>
            <w:r w:rsidRPr="00550390">
              <w:rPr>
                <w:i/>
                <w:sz w:val="16"/>
              </w:rPr>
              <w:t>Directorate of Specialized Detention Centres (18 October 2017)</w:t>
            </w:r>
          </w:p>
        </w:tc>
      </w:tr>
      <w:tr w:rsidR="00C945E1" w:rsidRPr="00550390" w:rsidTr="00C945E1">
        <w:trPr>
          <w:tblHeader/>
        </w:trPr>
        <w:tc>
          <w:tcPr>
            <w:tcW w:w="1260" w:type="dxa"/>
            <w:tcBorders>
              <w:top w:val="single" w:sz="4" w:space="0" w:color="auto"/>
              <w:bottom w:val="single" w:sz="12" w:space="0" w:color="auto"/>
            </w:tcBorders>
            <w:shd w:val="clear" w:color="auto" w:fill="auto"/>
          </w:tcPr>
          <w:p w:rsidR="00543250" w:rsidRPr="00550390" w:rsidRDefault="00543250" w:rsidP="00550390">
            <w:pPr>
              <w:suppressAutoHyphens w:val="0"/>
              <w:spacing w:before="80" w:after="80" w:line="200" w:lineRule="exact"/>
              <w:ind w:right="113"/>
              <w:rPr>
                <w:i/>
                <w:sz w:val="16"/>
              </w:rPr>
            </w:pPr>
            <w:r w:rsidRPr="00550390">
              <w:rPr>
                <w:i/>
                <w:sz w:val="16"/>
              </w:rPr>
              <w:t>Centre</w:t>
            </w:r>
          </w:p>
        </w:tc>
        <w:tc>
          <w:tcPr>
            <w:tcW w:w="1610" w:type="dxa"/>
            <w:tcBorders>
              <w:top w:val="single" w:sz="4" w:space="0" w:color="auto"/>
              <w:bottom w:val="single" w:sz="12" w:space="0" w:color="auto"/>
            </w:tcBorders>
            <w:shd w:val="clear" w:color="auto" w:fill="auto"/>
          </w:tcPr>
          <w:p w:rsidR="00543250" w:rsidRPr="00550390" w:rsidRDefault="00543250" w:rsidP="00550390">
            <w:pPr>
              <w:suppressAutoHyphens w:val="0"/>
              <w:spacing w:before="80" w:after="80" w:line="200" w:lineRule="exact"/>
              <w:ind w:right="113"/>
              <w:jc w:val="right"/>
              <w:rPr>
                <w:i/>
                <w:sz w:val="16"/>
              </w:rPr>
            </w:pPr>
            <w:r w:rsidRPr="00550390">
              <w:rPr>
                <w:i/>
                <w:sz w:val="16"/>
              </w:rPr>
              <w:t>Capacity</w:t>
            </w:r>
          </w:p>
        </w:tc>
        <w:tc>
          <w:tcPr>
            <w:tcW w:w="1372" w:type="dxa"/>
            <w:tcBorders>
              <w:top w:val="single" w:sz="4" w:space="0" w:color="auto"/>
              <w:bottom w:val="single" w:sz="12" w:space="0" w:color="auto"/>
            </w:tcBorders>
            <w:shd w:val="clear" w:color="auto" w:fill="auto"/>
          </w:tcPr>
          <w:p w:rsidR="00543250" w:rsidRPr="00550390" w:rsidRDefault="00543250" w:rsidP="00550390">
            <w:pPr>
              <w:suppressAutoHyphens w:val="0"/>
              <w:spacing w:before="80" w:after="80" w:line="200" w:lineRule="exact"/>
              <w:ind w:right="113"/>
              <w:jc w:val="right"/>
              <w:rPr>
                <w:i/>
                <w:sz w:val="16"/>
              </w:rPr>
            </w:pPr>
            <w:r w:rsidRPr="00550390">
              <w:rPr>
                <w:i/>
                <w:sz w:val="16"/>
              </w:rPr>
              <w:t>Population</w:t>
            </w:r>
          </w:p>
        </w:tc>
        <w:tc>
          <w:tcPr>
            <w:tcW w:w="1553" w:type="dxa"/>
            <w:tcBorders>
              <w:top w:val="single" w:sz="4" w:space="0" w:color="auto"/>
              <w:bottom w:val="single" w:sz="12" w:space="0" w:color="auto"/>
            </w:tcBorders>
            <w:shd w:val="clear" w:color="auto" w:fill="auto"/>
          </w:tcPr>
          <w:p w:rsidR="00543250" w:rsidRPr="00550390" w:rsidRDefault="00543250" w:rsidP="00550390">
            <w:pPr>
              <w:suppressAutoHyphens w:val="0"/>
              <w:spacing w:before="80" w:after="80" w:line="200" w:lineRule="exact"/>
              <w:ind w:right="113"/>
              <w:jc w:val="right"/>
              <w:rPr>
                <w:i/>
                <w:sz w:val="16"/>
              </w:rPr>
            </w:pPr>
            <w:r w:rsidRPr="00550390">
              <w:rPr>
                <w:i/>
                <w:sz w:val="16"/>
              </w:rPr>
              <w:t>Overcrowding</w:t>
            </w:r>
            <w:r w:rsidR="00550390" w:rsidRPr="00550390">
              <w:rPr>
                <w:i/>
                <w:sz w:val="16"/>
              </w:rPr>
              <w:br/>
            </w:r>
            <w:r w:rsidRPr="00550390">
              <w:rPr>
                <w:i/>
                <w:sz w:val="16"/>
              </w:rPr>
              <w:t>(as a percentage)</w:t>
            </w:r>
          </w:p>
        </w:tc>
        <w:tc>
          <w:tcPr>
            <w:tcW w:w="1575" w:type="dxa"/>
            <w:tcBorders>
              <w:top w:val="single" w:sz="4" w:space="0" w:color="auto"/>
              <w:bottom w:val="single" w:sz="12" w:space="0" w:color="auto"/>
            </w:tcBorders>
            <w:shd w:val="clear" w:color="auto" w:fill="auto"/>
          </w:tcPr>
          <w:p w:rsidR="00543250" w:rsidRPr="00550390" w:rsidRDefault="00543250" w:rsidP="00550390">
            <w:pPr>
              <w:suppressAutoHyphens w:val="0"/>
              <w:spacing w:before="80" w:after="80" w:line="200" w:lineRule="exact"/>
              <w:ind w:right="113"/>
              <w:jc w:val="right"/>
              <w:rPr>
                <w:i/>
                <w:sz w:val="16"/>
              </w:rPr>
            </w:pPr>
            <w:r w:rsidRPr="00550390">
              <w:rPr>
                <w:i/>
                <w:sz w:val="16"/>
              </w:rPr>
              <w:t xml:space="preserve">Occupancy rate </w:t>
            </w:r>
            <w:r w:rsidR="00550390" w:rsidRPr="00550390">
              <w:rPr>
                <w:i/>
                <w:sz w:val="16"/>
              </w:rPr>
              <w:br/>
            </w:r>
            <w:r w:rsidRPr="00550390">
              <w:rPr>
                <w:i/>
                <w:sz w:val="16"/>
              </w:rPr>
              <w:t>(as a percentage)</w:t>
            </w:r>
          </w:p>
        </w:tc>
      </w:tr>
      <w:tr w:rsidR="00543250" w:rsidRPr="00550390" w:rsidTr="00C945E1">
        <w:tc>
          <w:tcPr>
            <w:tcW w:w="1260" w:type="dxa"/>
            <w:tcBorders>
              <w:top w:val="single" w:sz="12" w:space="0" w:color="auto"/>
            </w:tcBorders>
            <w:shd w:val="clear" w:color="auto" w:fill="auto"/>
          </w:tcPr>
          <w:p w:rsidR="00543250" w:rsidRPr="00550390" w:rsidRDefault="00543250" w:rsidP="00550390">
            <w:pPr>
              <w:suppressAutoHyphens w:val="0"/>
              <w:spacing w:before="40" w:after="40" w:line="220" w:lineRule="exact"/>
              <w:ind w:right="113"/>
              <w:rPr>
                <w:sz w:val="18"/>
              </w:rPr>
            </w:pPr>
            <w:r w:rsidRPr="00550390">
              <w:rPr>
                <w:sz w:val="18"/>
              </w:rPr>
              <w:t>Gaviotas</w:t>
            </w:r>
          </w:p>
        </w:tc>
        <w:tc>
          <w:tcPr>
            <w:tcW w:w="1610" w:type="dxa"/>
            <w:tcBorders>
              <w:top w:val="single" w:sz="12" w:space="0" w:color="auto"/>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144</w:t>
            </w:r>
          </w:p>
        </w:tc>
        <w:tc>
          <w:tcPr>
            <w:tcW w:w="1372" w:type="dxa"/>
            <w:tcBorders>
              <w:top w:val="single" w:sz="12" w:space="0" w:color="auto"/>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448</w:t>
            </w:r>
          </w:p>
        </w:tc>
        <w:tc>
          <w:tcPr>
            <w:tcW w:w="1553" w:type="dxa"/>
            <w:tcBorders>
              <w:top w:val="single" w:sz="12" w:space="0" w:color="auto"/>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304</w:t>
            </w:r>
          </w:p>
        </w:tc>
        <w:tc>
          <w:tcPr>
            <w:tcW w:w="1575" w:type="dxa"/>
            <w:tcBorders>
              <w:top w:val="single" w:sz="12" w:space="0" w:color="auto"/>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211</w:t>
            </w:r>
          </w:p>
        </w:tc>
      </w:tr>
      <w:tr w:rsidR="00543250" w:rsidRPr="00550390" w:rsidTr="00550390">
        <w:tc>
          <w:tcPr>
            <w:tcW w:w="1260" w:type="dxa"/>
            <w:shd w:val="clear" w:color="auto" w:fill="auto"/>
          </w:tcPr>
          <w:p w:rsidR="00543250" w:rsidRPr="00550390" w:rsidRDefault="00543250" w:rsidP="00550390">
            <w:pPr>
              <w:suppressAutoHyphens w:val="0"/>
              <w:spacing w:before="40" w:after="40" w:line="220" w:lineRule="exact"/>
              <w:ind w:right="113"/>
              <w:rPr>
                <w:sz w:val="18"/>
              </w:rPr>
            </w:pPr>
            <w:r w:rsidRPr="00550390">
              <w:rPr>
                <w:sz w:val="18"/>
              </w:rPr>
              <w:t>Gorriones</w:t>
            </w:r>
          </w:p>
        </w:tc>
        <w:tc>
          <w:tcPr>
            <w:tcW w:w="1610" w:type="dxa"/>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55</w:t>
            </w:r>
          </w:p>
        </w:tc>
        <w:tc>
          <w:tcPr>
            <w:tcW w:w="1372" w:type="dxa"/>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125</w:t>
            </w:r>
          </w:p>
        </w:tc>
        <w:tc>
          <w:tcPr>
            <w:tcW w:w="1553" w:type="dxa"/>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70</w:t>
            </w:r>
          </w:p>
        </w:tc>
        <w:tc>
          <w:tcPr>
            <w:tcW w:w="1575" w:type="dxa"/>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127</w:t>
            </w:r>
          </w:p>
        </w:tc>
      </w:tr>
      <w:tr w:rsidR="00543250" w:rsidRPr="00550390" w:rsidTr="00550390">
        <w:tc>
          <w:tcPr>
            <w:tcW w:w="1260" w:type="dxa"/>
            <w:tcBorders>
              <w:bottom w:val="nil"/>
            </w:tcBorders>
            <w:shd w:val="clear" w:color="auto" w:fill="auto"/>
          </w:tcPr>
          <w:p w:rsidR="00543250" w:rsidRPr="00550390" w:rsidRDefault="00543250" w:rsidP="00550390">
            <w:pPr>
              <w:suppressAutoHyphens w:val="0"/>
              <w:spacing w:before="40" w:after="40" w:line="220" w:lineRule="exact"/>
              <w:ind w:right="113"/>
              <w:rPr>
                <w:sz w:val="18"/>
              </w:rPr>
            </w:pPr>
            <w:r w:rsidRPr="00550390">
              <w:rPr>
                <w:sz w:val="18"/>
              </w:rPr>
              <w:t>Anexo</w:t>
            </w:r>
          </w:p>
        </w:tc>
        <w:tc>
          <w:tcPr>
            <w:tcW w:w="1610" w:type="dxa"/>
            <w:tcBorders>
              <w:bottom w:val="nil"/>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115</w:t>
            </w:r>
          </w:p>
        </w:tc>
        <w:tc>
          <w:tcPr>
            <w:tcW w:w="1372" w:type="dxa"/>
            <w:tcBorders>
              <w:bottom w:val="nil"/>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100</w:t>
            </w:r>
          </w:p>
        </w:tc>
        <w:tc>
          <w:tcPr>
            <w:tcW w:w="1553" w:type="dxa"/>
            <w:tcBorders>
              <w:bottom w:val="nil"/>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-15</w:t>
            </w:r>
          </w:p>
        </w:tc>
        <w:tc>
          <w:tcPr>
            <w:tcW w:w="1575" w:type="dxa"/>
            <w:tcBorders>
              <w:bottom w:val="nil"/>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-13</w:t>
            </w:r>
          </w:p>
        </w:tc>
      </w:tr>
      <w:tr w:rsidR="00543250" w:rsidRPr="00550390" w:rsidTr="00550390">
        <w:tc>
          <w:tcPr>
            <w:tcW w:w="1260" w:type="dxa"/>
            <w:tcBorders>
              <w:top w:val="nil"/>
              <w:bottom w:val="single" w:sz="4" w:space="0" w:color="auto"/>
            </w:tcBorders>
            <w:shd w:val="clear" w:color="auto" w:fill="auto"/>
          </w:tcPr>
          <w:p w:rsidR="00543250" w:rsidRPr="00550390" w:rsidRDefault="00543250" w:rsidP="00550390">
            <w:pPr>
              <w:suppressAutoHyphens w:val="0"/>
              <w:spacing w:before="40" w:after="40" w:line="220" w:lineRule="exact"/>
              <w:ind w:right="113"/>
              <w:rPr>
                <w:sz w:val="18"/>
              </w:rPr>
            </w:pPr>
            <w:r w:rsidRPr="00550390">
              <w:rPr>
                <w:sz w:val="18"/>
              </w:rPr>
              <w:t>Etapa</w:t>
            </w:r>
          </w:p>
        </w:tc>
        <w:tc>
          <w:tcPr>
            <w:tcW w:w="1610" w:type="dxa"/>
            <w:tcBorders>
              <w:top w:val="nil"/>
              <w:bottom w:val="single" w:sz="4" w:space="0" w:color="auto"/>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192</w:t>
            </w:r>
          </w:p>
        </w:tc>
        <w:tc>
          <w:tcPr>
            <w:tcW w:w="1372" w:type="dxa"/>
            <w:tcBorders>
              <w:top w:val="nil"/>
              <w:bottom w:val="single" w:sz="4" w:space="0" w:color="auto"/>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63</w:t>
            </w:r>
          </w:p>
        </w:tc>
        <w:tc>
          <w:tcPr>
            <w:tcW w:w="1553" w:type="dxa"/>
            <w:tcBorders>
              <w:top w:val="nil"/>
              <w:bottom w:val="single" w:sz="4" w:space="0" w:color="auto"/>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-129</w:t>
            </w:r>
          </w:p>
        </w:tc>
        <w:tc>
          <w:tcPr>
            <w:tcW w:w="1575" w:type="dxa"/>
            <w:tcBorders>
              <w:top w:val="nil"/>
              <w:bottom w:val="single" w:sz="4" w:space="0" w:color="auto"/>
            </w:tcBorders>
            <w:shd w:val="clear" w:color="auto" w:fill="auto"/>
          </w:tcPr>
          <w:p w:rsidR="00543250" w:rsidRPr="00550390" w:rsidRDefault="00543250" w:rsidP="00550390">
            <w:pPr>
              <w:suppressAutoHyphens w:val="0"/>
              <w:spacing w:before="40" w:after="40" w:line="220" w:lineRule="exact"/>
              <w:ind w:right="113"/>
              <w:jc w:val="right"/>
              <w:rPr>
                <w:sz w:val="18"/>
              </w:rPr>
            </w:pPr>
            <w:r w:rsidRPr="00550390">
              <w:rPr>
                <w:sz w:val="18"/>
              </w:rPr>
              <w:t>-67</w:t>
            </w:r>
          </w:p>
        </w:tc>
      </w:tr>
      <w:tr w:rsidR="00C945E1" w:rsidRPr="00550390" w:rsidTr="00C945E1">
        <w:tc>
          <w:tcPr>
            <w:tcW w:w="1260" w:type="dxa"/>
            <w:tcBorders>
              <w:top w:val="single" w:sz="4" w:space="0" w:color="auto"/>
              <w:bottom w:val="single" w:sz="4" w:space="0" w:color="auto"/>
            </w:tcBorders>
            <w:shd w:val="clear" w:color="auto" w:fill="auto"/>
          </w:tcPr>
          <w:p w:rsidR="00543250" w:rsidRPr="00550390" w:rsidRDefault="00543250" w:rsidP="00550390">
            <w:pPr>
              <w:suppressAutoHyphens w:val="0"/>
              <w:spacing w:before="80" w:after="80" w:line="220" w:lineRule="exact"/>
              <w:ind w:right="113"/>
              <w:jc w:val="right"/>
              <w:rPr>
                <w:b/>
                <w:sz w:val="18"/>
              </w:rPr>
            </w:pPr>
            <w:r w:rsidRPr="00550390">
              <w:rPr>
                <w:b/>
                <w:sz w:val="18"/>
              </w:rPr>
              <w:t>Total</w:t>
            </w:r>
          </w:p>
        </w:tc>
        <w:tc>
          <w:tcPr>
            <w:tcW w:w="1610" w:type="dxa"/>
            <w:tcBorders>
              <w:top w:val="single" w:sz="4" w:space="0" w:color="auto"/>
              <w:bottom w:val="single" w:sz="4" w:space="0" w:color="auto"/>
            </w:tcBorders>
            <w:shd w:val="clear" w:color="auto" w:fill="auto"/>
          </w:tcPr>
          <w:p w:rsidR="00543250" w:rsidRPr="00550390" w:rsidRDefault="00543250" w:rsidP="00550390">
            <w:pPr>
              <w:suppressAutoHyphens w:val="0"/>
              <w:spacing w:before="80" w:after="80" w:line="220" w:lineRule="exact"/>
              <w:ind w:right="113"/>
              <w:jc w:val="right"/>
              <w:rPr>
                <w:b/>
                <w:sz w:val="18"/>
              </w:rPr>
            </w:pPr>
            <w:r w:rsidRPr="00550390">
              <w:rPr>
                <w:b/>
                <w:sz w:val="18"/>
              </w:rPr>
              <w:t>506</w:t>
            </w:r>
          </w:p>
        </w:tc>
        <w:tc>
          <w:tcPr>
            <w:tcW w:w="1372" w:type="dxa"/>
            <w:tcBorders>
              <w:top w:val="single" w:sz="4" w:space="0" w:color="auto"/>
              <w:bottom w:val="single" w:sz="4" w:space="0" w:color="auto"/>
            </w:tcBorders>
            <w:shd w:val="clear" w:color="auto" w:fill="auto"/>
          </w:tcPr>
          <w:p w:rsidR="00543250" w:rsidRPr="00550390" w:rsidRDefault="00543250" w:rsidP="00550390">
            <w:pPr>
              <w:suppressAutoHyphens w:val="0"/>
              <w:spacing w:before="80" w:after="80" w:line="220" w:lineRule="exact"/>
              <w:ind w:right="113"/>
              <w:jc w:val="right"/>
              <w:rPr>
                <w:b/>
                <w:sz w:val="18"/>
              </w:rPr>
            </w:pPr>
            <w:r w:rsidRPr="00550390">
              <w:rPr>
                <w:b/>
                <w:sz w:val="18"/>
              </w:rPr>
              <w:t>736</w:t>
            </w:r>
          </w:p>
        </w:tc>
        <w:tc>
          <w:tcPr>
            <w:tcW w:w="1553" w:type="dxa"/>
            <w:tcBorders>
              <w:top w:val="single" w:sz="4" w:space="0" w:color="auto"/>
              <w:bottom w:val="single" w:sz="4" w:space="0" w:color="auto"/>
            </w:tcBorders>
            <w:shd w:val="clear" w:color="auto" w:fill="auto"/>
          </w:tcPr>
          <w:p w:rsidR="00543250" w:rsidRPr="00550390" w:rsidRDefault="00543250" w:rsidP="00550390">
            <w:pPr>
              <w:suppressAutoHyphens w:val="0"/>
              <w:spacing w:before="80" w:after="80" w:line="220" w:lineRule="exact"/>
              <w:ind w:right="113"/>
              <w:jc w:val="right"/>
              <w:rPr>
                <w:b/>
                <w:sz w:val="18"/>
              </w:rPr>
            </w:pPr>
            <w:r w:rsidRPr="00550390">
              <w:rPr>
                <w:b/>
                <w:sz w:val="18"/>
              </w:rPr>
              <w:t>58</w:t>
            </w:r>
          </w:p>
        </w:tc>
        <w:tc>
          <w:tcPr>
            <w:tcW w:w="1575" w:type="dxa"/>
            <w:tcBorders>
              <w:top w:val="single" w:sz="4" w:space="0" w:color="auto"/>
              <w:bottom w:val="single" w:sz="4" w:space="0" w:color="auto"/>
            </w:tcBorders>
            <w:shd w:val="clear" w:color="auto" w:fill="auto"/>
          </w:tcPr>
          <w:p w:rsidR="00543250" w:rsidRPr="00550390" w:rsidRDefault="00543250" w:rsidP="00550390">
            <w:pPr>
              <w:suppressAutoHyphens w:val="0"/>
              <w:spacing w:before="80" w:after="80" w:line="220" w:lineRule="exact"/>
              <w:ind w:right="113"/>
              <w:jc w:val="right"/>
              <w:rPr>
                <w:b/>
                <w:sz w:val="18"/>
              </w:rPr>
            </w:pPr>
            <w:r w:rsidRPr="00550390">
              <w:rPr>
                <w:b/>
                <w:sz w:val="18"/>
              </w:rPr>
              <w:t>258</w:t>
            </w:r>
          </w:p>
        </w:tc>
      </w:tr>
    </w:tbl>
    <w:bookmarkEnd w:id="1"/>
    <w:p w:rsidR="00543250" w:rsidRPr="00782F2E" w:rsidRDefault="00543250" w:rsidP="00782F2E">
      <w:pPr>
        <w:spacing w:before="120" w:after="240"/>
        <w:ind w:left="1134" w:right="1134" w:firstLine="170"/>
        <w:rPr>
          <w:sz w:val="18"/>
        </w:rPr>
      </w:pPr>
      <w:r w:rsidRPr="00782F2E">
        <w:rPr>
          <w:i/>
          <w:iCs/>
          <w:sz w:val="18"/>
        </w:rPr>
        <w:t>Source:</w:t>
      </w:r>
      <w:r w:rsidR="00782F2E">
        <w:rPr>
          <w:sz w:val="18"/>
        </w:rPr>
        <w:t xml:space="preserve"> </w:t>
      </w:r>
      <w:r w:rsidRPr="00782F2E">
        <w:rPr>
          <w:sz w:val="18"/>
        </w:rPr>
        <w:t xml:space="preserve"> Social Welfare Secretariat.</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260"/>
        <w:gridCol w:w="1610"/>
        <w:gridCol w:w="1372"/>
        <w:gridCol w:w="1553"/>
        <w:gridCol w:w="1575"/>
      </w:tblGrid>
      <w:tr w:rsidR="005451A0" w:rsidRPr="00782F2E" w:rsidTr="005451A0">
        <w:trPr>
          <w:tblHeader/>
        </w:trPr>
        <w:tc>
          <w:tcPr>
            <w:tcW w:w="7370" w:type="dxa"/>
            <w:gridSpan w:val="5"/>
            <w:tcBorders>
              <w:top w:val="single" w:sz="4" w:space="0" w:color="auto"/>
              <w:bottom w:val="single" w:sz="4" w:space="0" w:color="auto"/>
            </w:tcBorders>
            <w:shd w:val="clear" w:color="auto" w:fill="auto"/>
            <w:vAlign w:val="bottom"/>
          </w:tcPr>
          <w:p w:rsidR="00543250" w:rsidRPr="00782F2E" w:rsidRDefault="00543250" w:rsidP="005D16A0">
            <w:pPr>
              <w:suppressAutoHyphens w:val="0"/>
              <w:spacing w:before="80" w:after="80" w:line="200" w:lineRule="exact"/>
              <w:ind w:right="113"/>
              <w:jc w:val="center"/>
              <w:rPr>
                <w:i/>
                <w:sz w:val="16"/>
              </w:rPr>
            </w:pPr>
            <w:r w:rsidRPr="00782F2E">
              <w:rPr>
                <w:i/>
                <w:sz w:val="16"/>
              </w:rPr>
              <w:t>Population</w:t>
            </w:r>
            <w:r w:rsidR="00782F2E">
              <w:rPr>
                <w:i/>
                <w:sz w:val="16"/>
              </w:rPr>
              <w:br/>
            </w:r>
            <w:r w:rsidRPr="00782F2E">
              <w:rPr>
                <w:i/>
                <w:sz w:val="16"/>
              </w:rPr>
              <w:t>Directorate of Specialized Detention Centres (22 October 2018)</w:t>
            </w:r>
          </w:p>
        </w:tc>
      </w:tr>
      <w:tr w:rsidR="005451A0" w:rsidRPr="00782F2E" w:rsidTr="005451A0">
        <w:trPr>
          <w:tblHeader/>
        </w:trPr>
        <w:tc>
          <w:tcPr>
            <w:tcW w:w="1260" w:type="dxa"/>
            <w:tcBorders>
              <w:top w:val="single" w:sz="4" w:space="0" w:color="auto"/>
              <w:bottom w:val="single" w:sz="12" w:space="0" w:color="auto"/>
            </w:tcBorders>
            <w:shd w:val="clear" w:color="auto" w:fill="auto"/>
          </w:tcPr>
          <w:p w:rsidR="00543250" w:rsidRPr="00782F2E" w:rsidRDefault="00543250" w:rsidP="00782F2E">
            <w:pPr>
              <w:suppressAutoHyphens w:val="0"/>
              <w:spacing w:before="80" w:after="80" w:line="200" w:lineRule="exact"/>
              <w:ind w:right="113"/>
              <w:rPr>
                <w:i/>
                <w:sz w:val="16"/>
              </w:rPr>
            </w:pPr>
            <w:r w:rsidRPr="00782F2E">
              <w:rPr>
                <w:i/>
                <w:sz w:val="16"/>
              </w:rPr>
              <w:t>Centre</w:t>
            </w:r>
          </w:p>
        </w:tc>
        <w:tc>
          <w:tcPr>
            <w:tcW w:w="1610" w:type="dxa"/>
            <w:tcBorders>
              <w:top w:val="single" w:sz="4" w:space="0" w:color="auto"/>
              <w:bottom w:val="single" w:sz="12" w:space="0" w:color="auto"/>
            </w:tcBorders>
            <w:shd w:val="clear" w:color="auto" w:fill="auto"/>
          </w:tcPr>
          <w:p w:rsidR="00543250" w:rsidRPr="00782F2E" w:rsidRDefault="00543250" w:rsidP="00C945E1">
            <w:pPr>
              <w:suppressAutoHyphens w:val="0"/>
              <w:spacing w:before="80" w:after="80" w:line="200" w:lineRule="exact"/>
              <w:ind w:right="113"/>
              <w:jc w:val="right"/>
              <w:rPr>
                <w:i/>
                <w:sz w:val="16"/>
              </w:rPr>
            </w:pPr>
            <w:r w:rsidRPr="00782F2E">
              <w:rPr>
                <w:i/>
                <w:sz w:val="16"/>
              </w:rPr>
              <w:t>Capacity</w:t>
            </w:r>
          </w:p>
        </w:tc>
        <w:tc>
          <w:tcPr>
            <w:tcW w:w="1372" w:type="dxa"/>
            <w:tcBorders>
              <w:top w:val="single" w:sz="4" w:space="0" w:color="auto"/>
              <w:bottom w:val="single" w:sz="12" w:space="0" w:color="auto"/>
            </w:tcBorders>
            <w:shd w:val="clear" w:color="auto" w:fill="auto"/>
          </w:tcPr>
          <w:p w:rsidR="00543250" w:rsidRPr="00782F2E" w:rsidRDefault="00543250" w:rsidP="00C945E1">
            <w:pPr>
              <w:suppressAutoHyphens w:val="0"/>
              <w:spacing w:before="80" w:after="80" w:line="200" w:lineRule="exact"/>
              <w:ind w:right="113"/>
              <w:jc w:val="right"/>
              <w:rPr>
                <w:i/>
                <w:sz w:val="16"/>
              </w:rPr>
            </w:pPr>
            <w:r w:rsidRPr="00782F2E">
              <w:rPr>
                <w:i/>
                <w:sz w:val="16"/>
              </w:rPr>
              <w:t>Population</w:t>
            </w:r>
          </w:p>
        </w:tc>
        <w:tc>
          <w:tcPr>
            <w:tcW w:w="1553" w:type="dxa"/>
            <w:tcBorders>
              <w:top w:val="single" w:sz="4" w:space="0" w:color="auto"/>
              <w:bottom w:val="single" w:sz="12" w:space="0" w:color="auto"/>
            </w:tcBorders>
            <w:shd w:val="clear" w:color="auto" w:fill="auto"/>
          </w:tcPr>
          <w:p w:rsidR="00543250" w:rsidRPr="00782F2E" w:rsidRDefault="00543250" w:rsidP="00C945E1">
            <w:pPr>
              <w:suppressAutoHyphens w:val="0"/>
              <w:spacing w:before="80" w:after="80" w:line="200" w:lineRule="exact"/>
              <w:ind w:right="113"/>
              <w:jc w:val="right"/>
              <w:rPr>
                <w:i/>
                <w:sz w:val="16"/>
              </w:rPr>
            </w:pPr>
            <w:r w:rsidRPr="00782F2E">
              <w:rPr>
                <w:i/>
                <w:sz w:val="16"/>
              </w:rPr>
              <w:t>Overcrowding</w:t>
            </w:r>
            <w:r w:rsidR="00782F2E">
              <w:rPr>
                <w:i/>
                <w:sz w:val="16"/>
              </w:rPr>
              <w:br/>
            </w:r>
            <w:r w:rsidRPr="00782F2E">
              <w:rPr>
                <w:i/>
                <w:sz w:val="16"/>
              </w:rPr>
              <w:t xml:space="preserve">(as a percentage) </w:t>
            </w:r>
          </w:p>
        </w:tc>
        <w:tc>
          <w:tcPr>
            <w:tcW w:w="1575" w:type="dxa"/>
            <w:tcBorders>
              <w:top w:val="single" w:sz="4" w:space="0" w:color="auto"/>
              <w:bottom w:val="single" w:sz="12" w:space="0" w:color="auto"/>
            </w:tcBorders>
            <w:shd w:val="clear" w:color="auto" w:fill="auto"/>
          </w:tcPr>
          <w:p w:rsidR="00543250" w:rsidRPr="00782F2E" w:rsidRDefault="00543250" w:rsidP="00C945E1">
            <w:pPr>
              <w:suppressAutoHyphens w:val="0"/>
              <w:spacing w:before="80" w:after="80" w:line="200" w:lineRule="exact"/>
              <w:ind w:right="113"/>
              <w:jc w:val="right"/>
              <w:rPr>
                <w:i/>
                <w:sz w:val="16"/>
              </w:rPr>
            </w:pPr>
            <w:r w:rsidRPr="00782F2E">
              <w:rPr>
                <w:i/>
                <w:sz w:val="16"/>
              </w:rPr>
              <w:t>Occupancy rate</w:t>
            </w:r>
            <w:r w:rsidR="00782F2E">
              <w:rPr>
                <w:i/>
                <w:sz w:val="16"/>
              </w:rPr>
              <w:br/>
            </w:r>
            <w:r w:rsidRPr="00782F2E">
              <w:rPr>
                <w:i/>
                <w:sz w:val="16"/>
              </w:rPr>
              <w:t>(as a percentage)</w:t>
            </w:r>
          </w:p>
        </w:tc>
      </w:tr>
      <w:tr w:rsidR="00543250" w:rsidRPr="00782F2E" w:rsidTr="005451A0">
        <w:tc>
          <w:tcPr>
            <w:tcW w:w="1260" w:type="dxa"/>
            <w:tcBorders>
              <w:top w:val="single" w:sz="12" w:space="0" w:color="auto"/>
            </w:tcBorders>
            <w:shd w:val="clear" w:color="auto" w:fill="auto"/>
          </w:tcPr>
          <w:p w:rsidR="00543250" w:rsidRPr="00782F2E" w:rsidRDefault="00543250" w:rsidP="00782F2E">
            <w:pPr>
              <w:suppressAutoHyphens w:val="0"/>
              <w:spacing w:before="40" w:after="40" w:line="220" w:lineRule="exact"/>
              <w:ind w:right="113"/>
              <w:rPr>
                <w:sz w:val="18"/>
              </w:rPr>
            </w:pPr>
            <w:r w:rsidRPr="00782F2E">
              <w:rPr>
                <w:sz w:val="18"/>
              </w:rPr>
              <w:t>Gaviotas</w:t>
            </w:r>
          </w:p>
        </w:tc>
        <w:tc>
          <w:tcPr>
            <w:tcW w:w="1610" w:type="dxa"/>
            <w:tcBorders>
              <w:top w:val="single" w:sz="12" w:space="0" w:color="auto"/>
            </w:tcBorders>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144</w:t>
            </w:r>
          </w:p>
        </w:tc>
        <w:tc>
          <w:tcPr>
            <w:tcW w:w="1372" w:type="dxa"/>
            <w:tcBorders>
              <w:top w:val="single" w:sz="12" w:space="0" w:color="auto"/>
            </w:tcBorders>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186</w:t>
            </w:r>
          </w:p>
        </w:tc>
        <w:tc>
          <w:tcPr>
            <w:tcW w:w="1553" w:type="dxa"/>
            <w:tcBorders>
              <w:top w:val="single" w:sz="12" w:space="0" w:color="auto"/>
            </w:tcBorders>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42</w:t>
            </w:r>
          </w:p>
        </w:tc>
        <w:tc>
          <w:tcPr>
            <w:tcW w:w="1575" w:type="dxa"/>
            <w:tcBorders>
              <w:top w:val="single" w:sz="12" w:space="0" w:color="auto"/>
            </w:tcBorders>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29</w:t>
            </w:r>
          </w:p>
        </w:tc>
      </w:tr>
      <w:tr w:rsidR="00543250" w:rsidRPr="00782F2E" w:rsidTr="005451A0">
        <w:tc>
          <w:tcPr>
            <w:tcW w:w="1260" w:type="dxa"/>
            <w:shd w:val="clear" w:color="auto" w:fill="auto"/>
          </w:tcPr>
          <w:p w:rsidR="00543250" w:rsidRPr="00782F2E" w:rsidRDefault="00543250" w:rsidP="00782F2E">
            <w:pPr>
              <w:suppressAutoHyphens w:val="0"/>
              <w:spacing w:before="40" w:after="40" w:line="220" w:lineRule="exact"/>
              <w:ind w:right="113"/>
              <w:rPr>
                <w:sz w:val="18"/>
              </w:rPr>
            </w:pPr>
            <w:r w:rsidRPr="00782F2E">
              <w:rPr>
                <w:sz w:val="18"/>
              </w:rPr>
              <w:t>Gorriones</w:t>
            </w:r>
          </w:p>
        </w:tc>
        <w:tc>
          <w:tcPr>
            <w:tcW w:w="1610" w:type="dxa"/>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55</w:t>
            </w:r>
          </w:p>
        </w:tc>
        <w:tc>
          <w:tcPr>
            <w:tcW w:w="1372" w:type="dxa"/>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96</w:t>
            </w:r>
          </w:p>
        </w:tc>
        <w:tc>
          <w:tcPr>
            <w:tcW w:w="1553" w:type="dxa"/>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41</w:t>
            </w:r>
          </w:p>
        </w:tc>
        <w:tc>
          <w:tcPr>
            <w:tcW w:w="1575" w:type="dxa"/>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75</w:t>
            </w:r>
          </w:p>
        </w:tc>
      </w:tr>
      <w:tr w:rsidR="00543250" w:rsidRPr="00782F2E" w:rsidTr="005451A0">
        <w:tc>
          <w:tcPr>
            <w:tcW w:w="1260" w:type="dxa"/>
            <w:shd w:val="clear" w:color="auto" w:fill="auto"/>
          </w:tcPr>
          <w:p w:rsidR="00543250" w:rsidRPr="00782F2E" w:rsidRDefault="00543250" w:rsidP="00782F2E">
            <w:pPr>
              <w:suppressAutoHyphens w:val="0"/>
              <w:spacing w:before="40" w:after="40" w:line="220" w:lineRule="exact"/>
              <w:ind w:right="113"/>
              <w:rPr>
                <w:sz w:val="18"/>
              </w:rPr>
            </w:pPr>
            <w:r w:rsidRPr="00782F2E">
              <w:rPr>
                <w:sz w:val="18"/>
              </w:rPr>
              <w:t>Anexo</w:t>
            </w:r>
          </w:p>
        </w:tc>
        <w:tc>
          <w:tcPr>
            <w:tcW w:w="1610" w:type="dxa"/>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115</w:t>
            </w:r>
          </w:p>
        </w:tc>
        <w:tc>
          <w:tcPr>
            <w:tcW w:w="1372" w:type="dxa"/>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139</w:t>
            </w:r>
          </w:p>
        </w:tc>
        <w:tc>
          <w:tcPr>
            <w:tcW w:w="1553" w:type="dxa"/>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24</w:t>
            </w:r>
          </w:p>
        </w:tc>
        <w:tc>
          <w:tcPr>
            <w:tcW w:w="1575" w:type="dxa"/>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21</w:t>
            </w:r>
          </w:p>
        </w:tc>
      </w:tr>
      <w:tr w:rsidR="00543250" w:rsidRPr="00782F2E" w:rsidTr="007E00D3">
        <w:tc>
          <w:tcPr>
            <w:tcW w:w="1260" w:type="dxa"/>
            <w:tcBorders>
              <w:bottom w:val="single" w:sz="4" w:space="0" w:color="auto"/>
            </w:tcBorders>
            <w:shd w:val="clear" w:color="auto" w:fill="auto"/>
          </w:tcPr>
          <w:p w:rsidR="00543250" w:rsidRPr="00782F2E" w:rsidRDefault="00543250" w:rsidP="00782F2E">
            <w:pPr>
              <w:suppressAutoHyphens w:val="0"/>
              <w:spacing w:before="40" w:after="40" w:line="220" w:lineRule="exact"/>
              <w:ind w:right="113"/>
              <w:rPr>
                <w:sz w:val="18"/>
              </w:rPr>
            </w:pPr>
            <w:r w:rsidRPr="00782F2E">
              <w:rPr>
                <w:sz w:val="18"/>
              </w:rPr>
              <w:t>Etapa</w:t>
            </w:r>
          </w:p>
        </w:tc>
        <w:tc>
          <w:tcPr>
            <w:tcW w:w="1610" w:type="dxa"/>
            <w:tcBorders>
              <w:bottom w:val="single" w:sz="4" w:space="0" w:color="auto"/>
            </w:tcBorders>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192</w:t>
            </w:r>
          </w:p>
        </w:tc>
        <w:tc>
          <w:tcPr>
            <w:tcW w:w="1372" w:type="dxa"/>
            <w:tcBorders>
              <w:bottom w:val="single" w:sz="4" w:space="0" w:color="auto"/>
            </w:tcBorders>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302</w:t>
            </w:r>
          </w:p>
        </w:tc>
        <w:tc>
          <w:tcPr>
            <w:tcW w:w="1553" w:type="dxa"/>
            <w:tcBorders>
              <w:bottom w:val="single" w:sz="4" w:space="0" w:color="auto"/>
            </w:tcBorders>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110</w:t>
            </w:r>
          </w:p>
        </w:tc>
        <w:tc>
          <w:tcPr>
            <w:tcW w:w="1575" w:type="dxa"/>
            <w:tcBorders>
              <w:bottom w:val="single" w:sz="4" w:space="0" w:color="auto"/>
            </w:tcBorders>
            <w:shd w:val="clear" w:color="auto" w:fill="auto"/>
          </w:tcPr>
          <w:p w:rsidR="00543250" w:rsidRPr="00782F2E" w:rsidRDefault="00543250" w:rsidP="00C945E1">
            <w:pPr>
              <w:suppressAutoHyphens w:val="0"/>
              <w:spacing w:before="40" w:after="40" w:line="220" w:lineRule="exact"/>
              <w:ind w:right="113"/>
              <w:jc w:val="right"/>
              <w:rPr>
                <w:sz w:val="18"/>
              </w:rPr>
            </w:pPr>
            <w:r w:rsidRPr="00782F2E">
              <w:rPr>
                <w:sz w:val="18"/>
              </w:rPr>
              <w:t>57</w:t>
            </w:r>
          </w:p>
        </w:tc>
      </w:tr>
      <w:tr w:rsidR="00543250" w:rsidRPr="005451A0" w:rsidTr="007E00D3">
        <w:tc>
          <w:tcPr>
            <w:tcW w:w="1260" w:type="dxa"/>
            <w:tcBorders>
              <w:top w:val="single" w:sz="4" w:space="0" w:color="auto"/>
              <w:bottom w:val="single" w:sz="4" w:space="0" w:color="auto"/>
            </w:tcBorders>
            <w:shd w:val="clear" w:color="auto" w:fill="auto"/>
          </w:tcPr>
          <w:p w:rsidR="00543250" w:rsidRPr="005451A0" w:rsidRDefault="00543250" w:rsidP="005451A0">
            <w:pPr>
              <w:suppressAutoHyphens w:val="0"/>
              <w:spacing w:before="80" w:after="80" w:line="220" w:lineRule="exact"/>
              <w:ind w:right="113"/>
              <w:jc w:val="right"/>
              <w:rPr>
                <w:b/>
                <w:sz w:val="18"/>
              </w:rPr>
            </w:pPr>
            <w:r w:rsidRPr="005451A0">
              <w:rPr>
                <w:b/>
                <w:sz w:val="18"/>
              </w:rPr>
              <w:t>Total</w:t>
            </w:r>
          </w:p>
        </w:tc>
        <w:tc>
          <w:tcPr>
            <w:tcW w:w="1610" w:type="dxa"/>
            <w:tcBorders>
              <w:top w:val="single" w:sz="4" w:space="0" w:color="auto"/>
              <w:bottom w:val="single" w:sz="4" w:space="0" w:color="auto"/>
            </w:tcBorders>
            <w:shd w:val="clear" w:color="auto" w:fill="auto"/>
          </w:tcPr>
          <w:p w:rsidR="00543250" w:rsidRPr="005451A0" w:rsidRDefault="00543250" w:rsidP="005451A0">
            <w:pPr>
              <w:suppressAutoHyphens w:val="0"/>
              <w:spacing w:before="80" w:after="80" w:line="220" w:lineRule="exact"/>
              <w:ind w:right="113"/>
              <w:jc w:val="right"/>
              <w:rPr>
                <w:b/>
                <w:sz w:val="18"/>
              </w:rPr>
            </w:pPr>
            <w:r w:rsidRPr="005451A0">
              <w:rPr>
                <w:b/>
                <w:sz w:val="18"/>
              </w:rPr>
              <w:t>506</w:t>
            </w:r>
          </w:p>
        </w:tc>
        <w:tc>
          <w:tcPr>
            <w:tcW w:w="1372" w:type="dxa"/>
            <w:tcBorders>
              <w:top w:val="single" w:sz="4" w:space="0" w:color="auto"/>
              <w:bottom w:val="single" w:sz="4" w:space="0" w:color="auto"/>
            </w:tcBorders>
            <w:shd w:val="clear" w:color="auto" w:fill="auto"/>
          </w:tcPr>
          <w:p w:rsidR="00543250" w:rsidRPr="005451A0" w:rsidRDefault="00543250" w:rsidP="005451A0">
            <w:pPr>
              <w:suppressAutoHyphens w:val="0"/>
              <w:spacing w:before="80" w:after="80" w:line="220" w:lineRule="exact"/>
              <w:ind w:right="113"/>
              <w:jc w:val="right"/>
              <w:rPr>
                <w:b/>
                <w:sz w:val="18"/>
              </w:rPr>
            </w:pPr>
            <w:r w:rsidRPr="005451A0">
              <w:rPr>
                <w:b/>
                <w:sz w:val="18"/>
              </w:rPr>
              <w:t>723</w:t>
            </w:r>
          </w:p>
        </w:tc>
        <w:tc>
          <w:tcPr>
            <w:tcW w:w="1553" w:type="dxa"/>
            <w:tcBorders>
              <w:top w:val="single" w:sz="4" w:space="0" w:color="auto"/>
              <w:bottom w:val="single" w:sz="4" w:space="0" w:color="auto"/>
            </w:tcBorders>
            <w:shd w:val="clear" w:color="auto" w:fill="auto"/>
          </w:tcPr>
          <w:p w:rsidR="00543250" w:rsidRPr="005451A0" w:rsidRDefault="00543250" w:rsidP="005451A0">
            <w:pPr>
              <w:suppressAutoHyphens w:val="0"/>
              <w:spacing w:before="80" w:after="80" w:line="220" w:lineRule="exact"/>
              <w:ind w:right="113"/>
              <w:jc w:val="right"/>
              <w:rPr>
                <w:b/>
                <w:sz w:val="18"/>
              </w:rPr>
            </w:pPr>
            <w:r w:rsidRPr="005451A0">
              <w:rPr>
                <w:b/>
                <w:sz w:val="18"/>
              </w:rPr>
              <w:t>54</w:t>
            </w:r>
          </w:p>
        </w:tc>
        <w:tc>
          <w:tcPr>
            <w:tcW w:w="1575" w:type="dxa"/>
            <w:tcBorders>
              <w:top w:val="single" w:sz="4" w:space="0" w:color="auto"/>
              <w:bottom w:val="single" w:sz="4" w:space="0" w:color="auto"/>
            </w:tcBorders>
            <w:shd w:val="clear" w:color="auto" w:fill="auto"/>
          </w:tcPr>
          <w:p w:rsidR="00543250" w:rsidRPr="005451A0" w:rsidRDefault="00543250" w:rsidP="005451A0">
            <w:pPr>
              <w:suppressAutoHyphens w:val="0"/>
              <w:spacing w:before="80" w:after="80" w:line="220" w:lineRule="exact"/>
              <w:ind w:right="113"/>
              <w:jc w:val="right"/>
              <w:rPr>
                <w:b/>
                <w:sz w:val="18"/>
              </w:rPr>
            </w:pPr>
            <w:r w:rsidRPr="005451A0">
              <w:rPr>
                <w:b/>
                <w:sz w:val="18"/>
              </w:rPr>
              <w:t>182</w:t>
            </w:r>
          </w:p>
        </w:tc>
      </w:tr>
    </w:tbl>
    <w:p w:rsidR="00543250" w:rsidRPr="005451A0" w:rsidRDefault="00543250" w:rsidP="00515294">
      <w:pPr>
        <w:spacing w:before="120" w:after="240"/>
        <w:ind w:left="1134" w:right="1134" w:firstLine="170"/>
        <w:rPr>
          <w:sz w:val="18"/>
        </w:rPr>
      </w:pPr>
      <w:r w:rsidRPr="00515294">
        <w:rPr>
          <w:i/>
          <w:iCs/>
          <w:sz w:val="18"/>
        </w:rPr>
        <w:t>Source:</w:t>
      </w:r>
      <w:r w:rsidRPr="005451A0">
        <w:rPr>
          <w:sz w:val="18"/>
        </w:rPr>
        <w:t xml:space="preserve"> </w:t>
      </w:r>
      <w:r w:rsidR="00515294">
        <w:rPr>
          <w:sz w:val="18"/>
        </w:rPr>
        <w:t xml:space="preserve"> </w:t>
      </w:r>
      <w:r w:rsidRPr="005451A0">
        <w:rPr>
          <w:sz w:val="18"/>
        </w:rPr>
        <w:t>Social Welfare Secretariat.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4"/>
        <w:gridCol w:w="1477"/>
        <w:gridCol w:w="1259"/>
        <w:gridCol w:w="1425"/>
        <w:gridCol w:w="1445"/>
      </w:tblGrid>
      <w:tr w:rsidR="00543250" w:rsidRPr="00515294" w:rsidTr="007E00D3">
        <w:trPr>
          <w:tblHeader/>
        </w:trPr>
        <w:tc>
          <w:tcPr>
            <w:tcW w:w="7370" w:type="dxa"/>
            <w:gridSpan w:val="5"/>
            <w:tcBorders>
              <w:top w:val="single" w:sz="4" w:space="0" w:color="auto"/>
              <w:bottom w:val="single" w:sz="4" w:space="0" w:color="auto"/>
            </w:tcBorders>
            <w:shd w:val="clear" w:color="auto" w:fill="auto"/>
            <w:vAlign w:val="bottom"/>
          </w:tcPr>
          <w:p w:rsidR="00543250" w:rsidRPr="00515294" w:rsidRDefault="00543250" w:rsidP="005D16A0">
            <w:pPr>
              <w:suppressAutoHyphens w:val="0"/>
              <w:spacing w:before="80" w:after="80" w:line="200" w:lineRule="exact"/>
              <w:ind w:right="113"/>
              <w:jc w:val="center"/>
              <w:rPr>
                <w:i/>
                <w:sz w:val="16"/>
              </w:rPr>
            </w:pPr>
            <w:r w:rsidRPr="00515294">
              <w:rPr>
                <w:i/>
                <w:sz w:val="16"/>
              </w:rPr>
              <w:t xml:space="preserve">Population </w:t>
            </w:r>
            <w:r w:rsidR="00515294">
              <w:rPr>
                <w:i/>
                <w:sz w:val="16"/>
              </w:rPr>
              <w:br/>
            </w:r>
            <w:r w:rsidRPr="00515294">
              <w:rPr>
                <w:i/>
                <w:sz w:val="16"/>
              </w:rPr>
              <w:t>Directorate of Specialized Detention Centres (10 September 2019)</w:t>
            </w:r>
          </w:p>
        </w:tc>
      </w:tr>
      <w:tr w:rsidR="002E4963" w:rsidRPr="007E00D3" w:rsidTr="002E4963">
        <w:trPr>
          <w:tblHeader/>
        </w:trPr>
        <w:tc>
          <w:tcPr>
            <w:tcW w:w="1764" w:type="dxa"/>
            <w:tcBorders>
              <w:top w:val="single" w:sz="4" w:space="0" w:color="auto"/>
              <w:bottom w:val="single" w:sz="12" w:space="0" w:color="auto"/>
            </w:tcBorders>
            <w:shd w:val="clear" w:color="auto" w:fill="auto"/>
          </w:tcPr>
          <w:p w:rsidR="00543250" w:rsidRPr="007E00D3" w:rsidRDefault="00543250" w:rsidP="007E00D3">
            <w:pPr>
              <w:suppressAutoHyphens w:val="0"/>
              <w:spacing w:before="80" w:after="80" w:line="200" w:lineRule="exact"/>
              <w:ind w:right="113"/>
              <w:jc w:val="center"/>
              <w:rPr>
                <w:i/>
                <w:sz w:val="16"/>
              </w:rPr>
            </w:pPr>
            <w:r w:rsidRPr="007E00D3">
              <w:rPr>
                <w:i/>
                <w:sz w:val="16"/>
              </w:rPr>
              <w:t>Centre</w:t>
            </w:r>
          </w:p>
        </w:tc>
        <w:tc>
          <w:tcPr>
            <w:tcW w:w="1477" w:type="dxa"/>
            <w:tcBorders>
              <w:top w:val="single" w:sz="4" w:space="0" w:color="auto"/>
              <w:bottom w:val="single" w:sz="12" w:space="0" w:color="auto"/>
            </w:tcBorders>
            <w:shd w:val="clear" w:color="auto" w:fill="auto"/>
          </w:tcPr>
          <w:p w:rsidR="00543250" w:rsidRPr="007E00D3" w:rsidRDefault="00543250" w:rsidP="00824DDB">
            <w:pPr>
              <w:suppressAutoHyphens w:val="0"/>
              <w:spacing w:before="80" w:after="80" w:line="200" w:lineRule="exact"/>
              <w:ind w:right="113"/>
              <w:jc w:val="right"/>
              <w:rPr>
                <w:i/>
                <w:sz w:val="16"/>
              </w:rPr>
            </w:pPr>
            <w:r w:rsidRPr="007E00D3">
              <w:rPr>
                <w:i/>
                <w:sz w:val="16"/>
              </w:rPr>
              <w:t>Capacity</w:t>
            </w:r>
          </w:p>
        </w:tc>
        <w:tc>
          <w:tcPr>
            <w:tcW w:w="1259" w:type="dxa"/>
            <w:tcBorders>
              <w:top w:val="single" w:sz="4" w:space="0" w:color="auto"/>
              <w:bottom w:val="single" w:sz="12" w:space="0" w:color="auto"/>
            </w:tcBorders>
            <w:shd w:val="clear" w:color="auto" w:fill="auto"/>
          </w:tcPr>
          <w:p w:rsidR="00543250" w:rsidRPr="007E00D3" w:rsidRDefault="00543250" w:rsidP="00824DDB">
            <w:pPr>
              <w:suppressAutoHyphens w:val="0"/>
              <w:spacing w:before="80" w:after="80" w:line="200" w:lineRule="exact"/>
              <w:ind w:right="113"/>
              <w:jc w:val="right"/>
              <w:rPr>
                <w:i/>
                <w:sz w:val="16"/>
              </w:rPr>
            </w:pPr>
            <w:r w:rsidRPr="007E00D3">
              <w:rPr>
                <w:i/>
                <w:sz w:val="16"/>
              </w:rPr>
              <w:t>Population</w:t>
            </w:r>
          </w:p>
        </w:tc>
        <w:tc>
          <w:tcPr>
            <w:tcW w:w="1425" w:type="dxa"/>
            <w:tcBorders>
              <w:top w:val="single" w:sz="4" w:space="0" w:color="auto"/>
              <w:bottom w:val="single" w:sz="12" w:space="0" w:color="auto"/>
            </w:tcBorders>
            <w:shd w:val="clear" w:color="auto" w:fill="auto"/>
          </w:tcPr>
          <w:p w:rsidR="00543250" w:rsidRPr="007E00D3" w:rsidRDefault="00543250" w:rsidP="00824DDB">
            <w:pPr>
              <w:suppressAutoHyphens w:val="0"/>
              <w:spacing w:before="80" w:after="80" w:line="200" w:lineRule="exact"/>
              <w:ind w:right="113"/>
              <w:jc w:val="right"/>
              <w:rPr>
                <w:i/>
                <w:sz w:val="16"/>
              </w:rPr>
            </w:pPr>
            <w:r w:rsidRPr="007E00D3">
              <w:rPr>
                <w:i/>
                <w:sz w:val="16"/>
              </w:rPr>
              <w:t>Overcrowding</w:t>
            </w:r>
            <w:r w:rsidR="007E00D3">
              <w:rPr>
                <w:i/>
                <w:sz w:val="16"/>
              </w:rPr>
              <w:br/>
            </w:r>
            <w:r w:rsidRPr="007E00D3">
              <w:rPr>
                <w:i/>
                <w:sz w:val="16"/>
              </w:rPr>
              <w:t>(as a percentage)</w:t>
            </w:r>
          </w:p>
        </w:tc>
        <w:tc>
          <w:tcPr>
            <w:tcW w:w="1445" w:type="dxa"/>
            <w:tcBorders>
              <w:top w:val="single" w:sz="4" w:space="0" w:color="auto"/>
              <w:bottom w:val="single" w:sz="12" w:space="0" w:color="auto"/>
            </w:tcBorders>
            <w:shd w:val="clear" w:color="auto" w:fill="auto"/>
          </w:tcPr>
          <w:p w:rsidR="00543250" w:rsidRPr="007E00D3" w:rsidRDefault="00543250" w:rsidP="00824DDB">
            <w:pPr>
              <w:suppressAutoHyphens w:val="0"/>
              <w:spacing w:before="80" w:after="80" w:line="200" w:lineRule="exact"/>
              <w:ind w:right="113"/>
              <w:jc w:val="right"/>
              <w:rPr>
                <w:i/>
                <w:sz w:val="16"/>
              </w:rPr>
            </w:pPr>
            <w:r w:rsidRPr="007E00D3">
              <w:rPr>
                <w:i/>
                <w:sz w:val="16"/>
              </w:rPr>
              <w:t xml:space="preserve">Occupancy rate </w:t>
            </w:r>
            <w:r w:rsidR="00824DDB">
              <w:rPr>
                <w:i/>
                <w:sz w:val="16"/>
              </w:rPr>
              <w:br/>
            </w:r>
            <w:r w:rsidRPr="007E00D3">
              <w:rPr>
                <w:i/>
                <w:sz w:val="16"/>
              </w:rPr>
              <w:t>(as a percentage)</w:t>
            </w:r>
          </w:p>
        </w:tc>
      </w:tr>
      <w:tr w:rsidR="00543250" w:rsidRPr="00515294" w:rsidTr="002E4963">
        <w:tc>
          <w:tcPr>
            <w:tcW w:w="1764" w:type="dxa"/>
            <w:tcBorders>
              <w:top w:val="single" w:sz="12" w:space="0" w:color="auto"/>
            </w:tcBorders>
            <w:shd w:val="clear" w:color="auto" w:fill="auto"/>
          </w:tcPr>
          <w:p w:rsidR="00543250" w:rsidRPr="00515294" w:rsidRDefault="00543250" w:rsidP="00515294">
            <w:pPr>
              <w:suppressAutoHyphens w:val="0"/>
              <w:spacing w:before="40" w:after="40" w:line="220" w:lineRule="exact"/>
              <w:ind w:right="113"/>
              <w:rPr>
                <w:sz w:val="18"/>
              </w:rPr>
            </w:pPr>
            <w:r w:rsidRPr="00515294">
              <w:rPr>
                <w:sz w:val="18"/>
              </w:rPr>
              <w:t>Etapa</w:t>
            </w:r>
          </w:p>
        </w:tc>
        <w:tc>
          <w:tcPr>
            <w:tcW w:w="1477" w:type="dxa"/>
            <w:tcBorders>
              <w:top w:val="single" w:sz="12" w:space="0" w:color="auto"/>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144</w:t>
            </w:r>
          </w:p>
        </w:tc>
        <w:tc>
          <w:tcPr>
            <w:tcW w:w="1259" w:type="dxa"/>
            <w:tcBorders>
              <w:top w:val="single" w:sz="12" w:space="0" w:color="auto"/>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161</w:t>
            </w:r>
          </w:p>
        </w:tc>
        <w:tc>
          <w:tcPr>
            <w:tcW w:w="1425" w:type="dxa"/>
            <w:tcBorders>
              <w:top w:val="single" w:sz="12" w:space="0" w:color="auto"/>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12</w:t>
            </w:r>
          </w:p>
        </w:tc>
        <w:tc>
          <w:tcPr>
            <w:tcW w:w="1445" w:type="dxa"/>
            <w:tcBorders>
              <w:top w:val="single" w:sz="12" w:space="0" w:color="auto"/>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112</w:t>
            </w:r>
          </w:p>
        </w:tc>
      </w:tr>
      <w:tr w:rsidR="00543250" w:rsidRPr="00515294" w:rsidTr="002E4963">
        <w:tc>
          <w:tcPr>
            <w:tcW w:w="1764" w:type="dxa"/>
            <w:tcBorders>
              <w:bottom w:val="nil"/>
            </w:tcBorders>
            <w:shd w:val="clear" w:color="auto" w:fill="auto"/>
          </w:tcPr>
          <w:p w:rsidR="00543250" w:rsidRPr="00515294" w:rsidRDefault="00543250" w:rsidP="00515294">
            <w:pPr>
              <w:suppressAutoHyphens w:val="0"/>
              <w:spacing w:before="40" w:after="40" w:line="220" w:lineRule="exact"/>
              <w:ind w:right="113"/>
              <w:rPr>
                <w:sz w:val="18"/>
              </w:rPr>
            </w:pPr>
            <w:r w:rsidRPr="00515294">
              <w:rPr>
                <w:sz w:val="18"/>
              </w:rPr>
              <w:t>Gaviotas</w:t>
            </w:r>
          </w:p>
        </w:tc>
        <w:tc>
          <w:tcPr>
            <w:tcW w:w="1477" w:type="dxa"/>
            <w:tcBorders>
              <w:bottom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155</w:t>
            </w:r>
          </w:p>
        </w:tc>
        <w:tc>
          <w:tcPr>
            <w:tcW w:w="1259" w:type="dxa"/>
            <w:tcBorders>
              <w:bottom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316</w:t>
            </w:r>
          </w:p>
        </w:tc>
        <w:tc>
          <w:tcPr>
            <w:tcW w:w="1425" w:type="dxa"/>
            <w:tcBorders>
              <w:bottom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104</w:t>
            </w:r>
          </w:p>
        </w:tc>
        <w:tc>
          <w:tcPr>
            <w:tcW w:w="1445" w:type="dxa"/>
            <w:tcBorders>
              <w:bottom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204</w:t>
            </w:r>
          </w:p>
        </w:tc>
      </w:tr>
      <w:tr w:rsidR="002E4963" w:rsidRPr="00515294" w:rsidTr="002E4963">
        <w:tc>
          <w:tcPr>
            <w:tcW w:w="1764" w:type="dxa"/>
            <w:tcBorders>
              <w:top w:val="nil"/>
              <w:bottom w:val="nil"/>
            </w:tcBorders>
            <w:shd w:val="clear" w:color="auto" w:fill="auto"/>
          </w:tcPr>
          <w:p w:rsidR="00543250" w:rsidRPr="00515294" w:rsidRDefault="00543250" w:rsidP="00515294">
            <w:pPr>
              <w:suppressAutoHyphens w:val="0"/>
              <w:spacing w:before="40" w:after="40" w:line="220" w:lineRule="exact"/>
              <w:ind w:right="113"/>
              <w:rPr>
                <w:sz w:val="18"/>
              </w:rPr>
            </w:pPr>
            <w:r w:rsidRPr="00515294">
              <w:rPr>
                <w:sz w:val="18"/>
              </w:rPr>
              <w:t>Anexo</w:t>
            </w:r>
          </w:p>
        </w:tc>
        <w:tc>
          <w:tcPr>
            <w:tcW w:w="1477" w:type="dxa"/>
            <w:tcBorders>
              <w:top w:val="nil"/>
              <w:bottom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115</w:t>
            </w:r>
          </w:p>
        </w:tc>
        <w:tc>
          <w:tcPr>
            <w:tcW w:w="1259" w:type="dxa"/>
            <w:tcBorders>
              <w:top w:val="nil"/>
              <w:bottom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129</w:t>
            </w:r>
          </w:p>
        </w:tc>
        <w:tc>
          <w:tcPr>
            <w:tcW w:w="1425" w:type="dxa"/>
            <w:tcBorders>
              <w:top w:val="nil"/>
              <w:bottom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12</w:t>
            </w:r>
          </w:p>
        </w:tc>
        <w:tc>
          <w:tcPr>
            <w:tcW w:w="1445" w:type="dxa"/>
            <w:tcBorders>
              <w:top w:val="nil"/>
              <w:bottom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112</w:t>
            </w:r>
          </w:p>
        </w:tc>
      </w:tr>
      <w:tr w:rsidR="00543250" w:rsidRPr="00515294" w:rsidTr="002E4963">
        <w:tc>
          <w:tcPr>
            <w:tcW w:w="1764" w:type="dxa"/>
            <w:tcBorders>
              <w:top w:val="nil"/>
            </w:tcBorders>
            <w:shd w:val="clear" w:color="auto" w:fill="auto"/>
          </w:tcPr>
          <w:p w:rsidR="00543250" w:rsidRPr="00515294" w:rsidRDefault="00543250" w:rsidP="00515294">
            <w:pPr>
              <w:suppressAutoHyphens w:val="0"/>
              <w:spacing w:before="40" w:after="40" w:line="220" w:lineRule="exact"/>
              <w:ind w:right="113"/>
              <w:rPr>
                <w:sz w:val="18"/>
              </w:rPr>
            </w:pPr>
            <w:r w:rsidRPr="00515294">
              <w:rPr>
                <w:sz w:val="18"/>
              </w:rPr>
              <w:lastRenderedPageBreak/>
              <w:t>Gorriones</w:t>
            </w:r>
          </w:p>
        </w:tc>
        <w:tc>
          <w:tcPr>
            <w:tcW w:w="1477" w:type="dxa"/>
            <w:tcBorders>
              <w:top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55</w:t>
            </w:r>
          </w:p>
        </w:tc>
        <w:tc>
          <w:tcPr>
            <w:tcW w:w="1259" w:type="dxa"/>
            <w:tcBorders>
              <w:top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93</w:t>
            </w:r>
          </w:p>
        </w:tc>
        <w:tc>
          <w:tcPr>
            <w:tcW w:w="1425" w:type="dxa"/>
            <w:tcBorders>
              <w:top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69</w:t>
            </w:r>
          </w:p>
        </w:tc>
        <w:tc>
          <w:tcPr>
            <w:tcW w:w="1445" w:type="dxa"/>
            <w:tcBorders>
              <w:top w:val="nil"/>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169</w:t>
            </w:r>
          </w:p>
        </w:tc>
      </w:tr>
      <w:tr w:rsidR="002E4963" w:rsidRPr="00515294" w:rsidTr="002E4963">
        <w:tc>
          <w:tcPr>
            <w:tcW w:w="1764" w:type="dxa"/>
            <w:tcBorders>
              <w:bottom w:val="single" w:sz="4" w:space="0" w:color="auto"/>
            </w:tcBorders>
            <w:shd w:val="clear" w:color="auto" w:fill="auto"/>
          </w:tcPr>
          <w:p w:rsidR="00543250" w:rsidRPr="00515294" w:rsidRDefault="00543250" w:rsidP="00515294">
            <w:pPr>
              <w:suppressAutoHyphens w:val="0"/>
              <w:spacing w:before="40" w:after="40" w:line="220" w:lineRule="exact"/>
              <w:ind w:right="113"/>
              <w:rPr>
                <w:sz w:val="18"/>
              </w:rPr>
            </w:pPr>
            <w:r w:rsidRPr="00515294">
              <w:rPr>
                <w:sz w:val="18"/>
              </w:rPr>
              <w:t>Casa Intermedia</w:t>
            </w:r>
          </w:p>
        </w:tc>
        <w:tc>
          <w:tcPr>
            <w:tcW w:w="1477" w:type="dxa"/>
            <w:tcBorders>
              <w:bottom w:val="single" w:sz="4" w:space="0" w:color="auto"/>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60</w:t>
            </w:r>
          </w:p>
        </w:tc>
        <w:tc>
          <w:tcPr>
            <w:tcW w:w="1259" w:type="dxa"/>
            <w:tcBorders>
              <w:bottom w:val="single" w:sz="4" w:space="0" w:color="auto"/>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28</w:t>
            </w:r>
          </w:p>
        </w:tc>
        <w:tc>
          <w:tcPr>
            <w:tcW w:w="1425" w:type="dxa"/>
            <w:tcBorders>
              <w:bottom w:val="single" w:sz="4" w:space="0" w:color="auto"/>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0</w:t>
            </w:r>
          </w:p>
        </w:tc>
        <w:tc>
          <w:tcPr>
            <w:tcW w:w="1445" w:type="dxa"/>
            <w:tcBorders>
              <w:bottom w:val="single" w:sz="4" w:space="0" w:color="auto"/>
            </w:tcBorders>
            <w:shd w:val="clear" w:color="auto" w:fill="auto"/>
          </w:tcPr>
          <w:p w:rsidR="00543250" w:rsidRPr="00515294" w:rsidRDefault="00543250" w:rsidP="00824DDB">
            <w:pPr>
              <w:suppressAutoHyphens w:val="0"/>
              <w:spacing w:before="40" w:after="40" w:line="220" w:lineRule="exact"/>
              <w:ind w:right="113"/>
              <w:jc w:val="right"/>
              <w:rPr>
                <w:sz w:val="18"/>
              </w:rPr>
            </w:pPr>
            <w:r w:rsidRPr="00515294">
              <w:rPr>
                <w:sz w:val="18"/>
              </w:rPr>
              <w:t>47</w:t>
            </w:r>
          </w:p>
        </w:tc>
      </w:tr>
      <w:tr w:rsidR="002E4963" w:rsidRPr="00824DDB" w:rsidTr="002E4963">
        <w:tc>
          <w:tcPr>
            <w:tcW w:w="1764" w:type="dxa"/>
            <w:tcBorders>
              <w:top w:val="single" w:sz="4" w:space="0" w:color="auto"/>
              <w:bottom w:val="single" w:sz="12" w:space="0" w:color="auto"/>
            </w:tcBorders>
            <w:shd w:val="clear" w:color="auto" w:fill="auto"/>
          </w:tcPr>
          <w:p w:rsidR="00543250" w:rsidRPr="00824DDB" w:rsidRDefault="00543250" w:rsidP="00824DDB">
            <w:pPr>
              <w:suppressAutoHyphens w:val="0"/>
              <w:spacing w:before="80" w:after="80" w:line="220" w:lineRule="exact"/>
              <w:ind w:right="113"/>
              <w:jc w:val="right"/>
              <w:rPr>
                <w:b/>
                <w:sz w:val="18"/>
              </w:rPr>
            </w:pPr>
            <w:r w:rsidRPr="00824DDB">
              <w:rPr>
                <w:b/>
                <w:sz w:val="18"/>
              </w:rPr>
              <w:t>Total</w:t>
            </w:r>
          </w:p>
        </w:tc>
        <w:tc>
          <w:tcPr>
            <w:tcW w:w="1477" w:type="dxa"/>
            <w:tcBorders>
              <w:top w:val="single" w:sz="4" w:space="0" w:color="auto"/>
              <w:bottom w:val="single" w:sz="12" w:space="0" w:color="auto"/>
            </w:tcBorders>
            <w:shd w:val="clear" w:color="auto" w:fill="auto"/>
          </w:tcPr>
          <w:p w:rsidR="00543250" w:rsidRPr="00824DDB" w:rsidRDefault="00543250" w:rsidP="00824DDB">
            <w:pPr>
              <w:suppressAutoHyphens w:val="0"/>
              <w:spacing w:before="80" w:after="80" w:line="220" w:lineRule="exact"/>
              <w:ind w:right="113"/>
              <w:jc w:val="right"/>
              <w:rPr>
                <w:b/>
                <w:sz w:val="18"/>
              </w:rPr>
            </w:pPr>
            <w:r w:rsidRPr="00824DDB">
              <w:rPr>
                <w:b/>
                <w:sz w:val="18"/>
              </w:rPr>
              <w:t>529</w:t>
            </w:r>
          </w:p>
        </w:tc>
        <w:tc>
          <w:tcPr>
            <w:tcW w:w="1259" w:type="dxa"/>
            <w:tcBorders>
              <w:top w:val="single" w:sz="4" w:space="0" w:color="auto"/>
              <w:bottom w:val="single" w:sz="12" w:space="0" w:color="auto"/>
            </w:tcBorders>
            <w:shd w:val="clear" w:color="auto" w:fill="auto"/>
          </w:tcPr>
          <w:p w:rsidR="00543250" w:rsidRPr="00824DDB" w:rsidRDefault="00543250" w:rsidP="00824DDB">
            <w:pPr>
              <w:suppressAutoHyphens w:val="0"/>
              <w:spacing w:before="80" w:after="80" w:line="220" w:lineRule="exact"/>
              <w:ind w:right="113"/>
              <w:jc w:val="right"/>
              <w:rPr>
                <w:b/>
                <w:sz w:val="18"/>
              </w:rPr>
            </w:pPr>
            <w:r w:rsidRPr="00824DDB">
              <w:rPr>
                <w:b/>
                <w:sz w:val="18"/>
              </w:rPr>
              <w:t>727</w:t>
            </w:r>
          </w:p>
        </w:tc>
        <w:tc>
          <w:tcPr>
            <w:tcW w:w="1425" w:type="dxa"/>
            <w:tcBorders>
              <w:top w:val="single" w:sz="4" w:space="0" w:color="auto"/>
              <w:bottom w:val="single" w:sz="12" w:space="0" w:color="auto"/>
            </w:tcBorders>
            <w:shd w:val="clear" w:color="auto" w:fill="auto"/>
          </w:tcPr>
          <w:p w:rsidR="00543250" w:rsidRPr="00824DDB" w:rsidRDefault="00543250" w:rsidP="00824DDB">
            <w:pPr>
              <w:suppressAutoHyphens w:val="0"/>
              <w:spacing w:before="80" w:after="80" w:line="220" w:lineRule="exact"/>
              <w:ind w:right="113"/>
              <w:jc w:val="right"/>
              <w:rPr>
                <w:b/>
                <w:sz w:val="18"/>
              </w:rPr>
            </w:pPr>
            <w:r w:rsidRPr="00824DDB">
              <w:rPr>
                <w:b/>
                <w:sz w:val="18"/>
              </w:rPr>
              <w:t>41</w:t>
            </w:r>
          </w:p>
        </w:tc>
        <w:tc>
          <w:tcPr>
            <w:tcW w:w="1445" w:type="dxa"/>
            <w:tcBorders>
              <w:top w:val="single" w:sz="4" w:space="0" w:color="auto"/>
              <w:bottom w:val="single" w:sz="12" w:space="0" w:color="auto"/>
            </w:tcBorders>
            <w:shd w:val="clear" w:color="auto" w:fill="auto"/>
          </w:tcPr>
          <w:p w:rsidR="00543250" w:rsidRPr="00824DDB" w:rsidRDefault="00543250" w:rsidP="00824DDB">
            <w:pPr>
              <w:suppressAutoHyphens w:val="0"/>
              <w:spacing w:before="80" w:after="80" w:line="220" w:lineRule="exact"/>
              <w:ind w:right="113"/>
              <w:jc w:val="right"/>
              <w:rPr>
                <w:b/>
                <w:sz w:val="18"/>
              </w:rPr>
            </w:pPr>
            <w:r w:rsidRPr="00824DDB">
              <w:rPr>
                <w:b/>
                <w:sz w:val="18"/>
              </w:rPr>
              <w:t>128</w:t>
            </w:r>
          </w:p>
        </w:tc>
      </w:tr>
    </w:tbl>
    <w:p w:rsidR="00543250" w:rsidRPr="00824DDB" w:rsidRDefault="00543250" w:rsidP="005159AF">
      <w:pPr>
        <w:spacing w:before="120" w:after="240"/>
        <w:ind w:left="1134" w:right="1134" w:firstLine="170"/>
        <w:rPr>
          <w:sz w:val="18"/>
        </w:rPr>
      </w:pPr>
      <w:r w:rsidRPr="005159AF">
        <w:rPr>
          <w:i/>
          <w:iCs/>
          <w:sz w:val="18"/>
        </w:rPr>
        <w:t>Source:</w:t>
      </w:r>
      <w:r w:rsidRPr="00824DDB">
        <w:rPr>
          <w:sz w:val="18"/>
        </w:rPr>
        <w:t xml:space="preserve"> </w:t>
      </w:r>
      <w:r w:rsidR="005159AF">
        <w:rPr>
          <w:sz w:val="18"/>
        </w:rPr>
        <w:t xml:space="preserve"> </w:t>
      </w:r>
      <w:r w:rsidRPr="00824DDB">
        <w:rPr>
          <w:sz w:val="18"/>
        </w:rPr>
        <w:t xml:space="preserve">Social Welfare Secretariat. </w:t>
      </w:r>
    </w:p>
    <w:p w:rsidR="00543250" w:rsidRPr="00A93EAD" w:rsidRDefault="00543250" w:rsidP="005159AF">
      <w:pPr>
        <w:pStyle w:val="H23G"/>
      </w:pPr>
      <w:r w:rsidRPr="00A93EAD">
        <w:tab/>
      </w:r>
      <w:r w:rsidRPr="00A93EAD">
        <w:tab/>
      </w:r>
      <w:r w:rsidR="00664508">
        <w:t>“</w:t>
      </w:r>
      <w:r w:rsidRPr="00A93EAD">
        <w:t>Casa Intermedia</w:t>
      </w:r>
      <w:r w:rsidR="00664508">
        <w:t>”</w:t>
      </w:r>
      <w:r w:rsidRPr="00A93EAD">
        <w:t xml:space="preserve"> halfway house</w:t>
      </w:r>
    </w:p>
    <w:p w:rsidR="00543250" w:rsidRPr="00A93EAD" w:rsidRDefault="00543250" w:rsidP="000C141E">
      <w:pPr>
        <w:pStyle w:val="SingleTxtG"/>
      </w:pPr>
      <w:r w:rsidRPr="00A93EAD">
        <w:t>13.</w:t>
      </w:r>
      <w:r w:rsidRPr="00A93EAD">
        <w:tab/>
        <w:t>As of mid-2019, 36 young adult and adolescent offenders aged 13 or above are serving custodial sentences in this semi-open facility. It is staffed by multidisciplinary teams offering comprehensive services to the adolescents through the elaboration and execution of individual plans and educational projects; the production of progress reports; and attendance at the review hearings required by the relevant courts.</w:t>
      </w:r>
    </w:p>
    <w:p w:rsidR="00543250" w:rsidRPr="00A93EAD" w:rsidRDefault="00543250" w:rsidP="000C141E">
      <w:pPr>
        <w:pStyle w:val="SingleTxtG"/>
      </w:pPr>
      <w:r w:rsidRPr="00A93EAD">
        <w:t>14.</w:t>
      </w:r>
      <w:r w:rsidRPr="00A93EAD">
        <w:tab/>
        <w:t>While in detention the young people receive psychological, psychiatric, medical and educational services and benefit from occupational therapy and social work by means of different activities with a view to their reintegration into the family environment, society, education and work. These activities include:</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Enrolment of adolescents in primary and basic education at the Centre for Extramural Education: Since its inauguration, Casa Intermedia has been ensuring the education of its adolescent residents at various levels. Reading circles are organized once a week by the teaching team.</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Occupational therapy: The following workshops were held at the facility this year:</w:t>
      </w:r>
    </w:p>
    <w:p w:rsidR="00543250" w:rsidRPr="00A93EAD" w:rsidRDefault="008853A6" w:rsidP="008853A6">
      <w:pPr>
        <w:pStyle w:val="Bullet2G"/>
        <w:numPr>
          <w:ilvl w:val="0"/>
          <w:numId w:val="0"/>
        </w:numPr>
        <w:tabs>
          <w:tab w:val="left" w:pos="2268"/>
        </w:tabs>
        <w:ind w:left="2268" w:hanging="170"/>
      </w:pPr>
      <w:r w:rsidRPr="00A93EAD">
        <w:t>•</w:t>
      </w:r>
      <w:r w:rsidRPr="00A93EAD">
        <w:tab/>
      </w:r>
      <w:r w:rsidR="00543250" w:rsidRPr="00A93EAD">
        <w:t>A workshop on dissociating from gang life, organized with the Division for the National Programme against Criminal Gang Activity</w:t>
      </w:r>
    </w:p>
    <w:p w:rsidR="00543250" w:rsidRPr="00A93EAD" w:rsidRDefault="008853A6" w:rsidP="008853A6">
      <w:pPr>
        <w:pStyle w:val="Bullet2G"/>
        <w:numPr>
          <w:ilvl w:val="0"/>
          <w:numId w:val="0"/>
        </w:numPr>
        <w:tabs>
          <w:tab w:val="left" w:pos="2268"/>
        </w:tabs>
        <w:ind w:left="2268" w:hanging="170"/>
      </w:pPr>
      <w:r w:rsidRPr="00A93EAD">
        <w:t>•</w:t>
      </w:r>
      <w:r w:rsidRPr="00A93EAD">
        <w:tab/>
      </w:r>
      <w:r w:rsidR="00543250" w:rsidRPr="00A93EAD">
        <w:t>A course in the use of office technology, taken by 20 residents and organized by the Technical Institute of Training and Productivity</w:t>
      </w:r>
    </w:p>
    <w:p w:rsidR="00543250" w:rsidRPr="00A93EAD" w:rsidRDefault="008853A6" w:rsidP="008853A6">
      <w:pPr>
        <w:pStyle w:val="Bullet2G"/>
        <w:numPr>
          <w:ilvl w:val="0"/>
          <w:numId w:val="0"/>
        </w:numPr>
        <w:tabs>
          <w:tab w:val="left" w:pos="2268"/>
        </w:tabs>
        <w:ind w:left="2268" w:hanging="170"/>
      </w:pPr>
      <w:r w:rsidRPr="00A93EAD">
        <w:t>•</w:t>
      </w:r>
      <w:r w:rsidRPr="00A93EAD">
        <w:tab/>
      </w:r>
      <w:r w:rsidR="00543250" w:rsidRPr="00A93EAD">
        <w:t>A course intended to reinforce moral and spiritual values through recreational activities, taken by 27 adolescents and organized by the Guatemalan Sports Coalition</w:t>
      </w:r>
    </w:p>
    <w:p w:rsidR="00543250" w:rsidRPr="00A93EAD" w:rsidRDefault="008853A6" w:rsidP="008853A6">
      <w:pPr>
        <w:pStyle w:val="Bullet2G"/>
        <w:numPr>
          <w:ilvl w:val="0"/>
          <w:numId w:val="0"/>
        </w:numPr>
        <w:tabs>
          <w:tab w:val="left" w:pos="2268"/>
        </w:tabs>
        <w:ind w:left="2268" w:hanging="170"/>
      </w:pPr>
      <w:r w:rsidRPr="00A93EAD">
        <w:t>•</w:t>
      </w:r>
      <w:r w:rsidRPr="00A93EAD">
        <w:tab/>
      </w:r>
      <w:r w:rsidR="00543250" w:rsidRPr="00A93EAD">
        <w:t>An English course, taken by 20 residents and taught by a representative of the Bureau of International Narcotics and Law Enforcement Affairs</w:t>
      </w:r>
    </w:p>
    <w:p w:rsidR="00543250" w:rsidRPr="00A93EAD" w:rsidRDefault="008853A6" w:rsidP="008853A6">
      <w:pPr>
        <w:pStyle w:val="Bullet2G"/>
        <w:numPr>
          <w:ilvl w:val="0"/>
          <w:numId w:val="0"/>
        </w:numPr>
        <w:tabs>
          <w:tab w:val="left" w:pos="2268"/>
        </w:tabs>
        <w:ind w:left="2268" w:hanging="170"/>
      </w:pPr>
      <w:r w:rsidRPr="00A93EAD">
        <w:t>•</w:t>
      </w:r>
      <w:r w:rsidRPr="00A93EAD">
        <w:tab/>
      </w:r>
      <w:r w:rsidR="00543250" w:rsidRPr="00A93EAD">
        <w:t>Workshops on employment-related subjects, taken by 18 adolescents and organized by Rafael Landívar University</w:t>
      </w:r>
    </w:p>
    <w:p w:rsidR="00543250" w:rsidRPr="00A93EAD" w:rsidRDefault="008853A6" w:rsidP="008853A6">
      <w:pPr>
        <w:pStyle w:val="Bullet2G"/>
        <w:numPr>
          <w:ilvl w:val="0"/>
          <w:numId w:val="0"/>
        </w:numPr>
        <w:tabs>
          <w:tab w:val="left" w:pos="2268"/>
        </w:tabs>
        <w:ind w:left="2268" w:hanging="170"/>
      </w:pPr>
      <w:r w:rsidRPr="00A93EAD">
        <w:t>•</w:t>
      </w:r>
      <w:r w:rsidRPr="00A93EAD">
        <w:tab/>
      </w:r>
      <w:r w:rsidR="00543250" w:rsidRPr="00A93EAD">
        <w:t>A workshop on agricultural field practices, taken by 18 adolescents and organized by the Ministry of Agriculture, Livestock and Food</w:t>
      </w:r>
    </w:p>
    <w:p w:rsidR="00543250" w:rsidRPr="00A93EAD" w:rsidRDefault="008853A6" w:rsidP="008853A6">
      <w:pPr>
        <w:pStyle w:val="Bullet2G"/>
        <w:numPr>
          <w:ilvl w:val="0"/>
          <w:numId w:val="0"/>
        </w:numPr>
        <w:tabs>
          <w:tab w:val="left" w:pos="2268"/>
        </w:tabs>
        <w:ind w:left="2268" w:hanging="170"/>
      </w:pPr>
      <w:r w:rsidRPr="00A93EAD">
        <w:t>•</w:t>
      </w:r>
      <w:r w:rsidRPr="00A93EAD">
        <w:tab/>
      </w:r>
      <w:r w:rsidR="00543250" w:rsidRPr="00A93EAD">
        <w:t>A workshop on good practices, taken by 10 adolescents and organized by the Guatemalan Chamber of Construction</w:t>
      </w:r>
    </w:p>
    <w:p w:rsidR="00543250" w:rsidRPr="00A93EAD" w:rsidRDefault="008853A6" w:rsidP="008853A6">
      <w:pPr>
        <w:pStyle w:val="Bullet2G"/>
        <w:numPr>
          <w:ilvl w:val="0"/>
          <w:numId w:val="0"/>
        </w:numPr>
        <w:tabs>
          <w:tab w:val="left" w:pos="2268"/>
        </w:tabs>
        <w:ind w:left="2268" w:hanging="170"/>
      </w:pPr>
      <w:r w:rsidRPr="00A93EAD">
        <w:t>•</w:t>
      </w:r>
      <w:r w:rsidRPr="00A93EAD">
        <w:tab/>
      </w:r>
      <w:r w:rsidR="00543250" w:rsidRPr="00A93EAD">
        <w:t>Workshops on personal hygiene and sexually transmitted infections, organized by the doctor assigned to the facility</w:t>
      </w:r>
    </w:p>
    <w:p w:rsidR="00543250" w:rsidRPr="00A93EAD" w:rsidRDefault="008853A6" w:rsidP="008853A6">
      <w:pPr>
        <w:pStyle w:val="Bullet2G"/>
        <w:numPr>
          <w:ilvl w:val="0"/>
          <w:numId w:val="0"/>
        </w:numPr>
        <w:tabs>
          <w:tab w:val="left" w:pos="2268"/>
        </w:tabs>
        <w:ind w:left="2268" w:hanging="170"/>
      </w:pPr>
      <w:r w:rsidRPr="00A93EAD">
        <w:t>•</w:t>
      </w:r>
      <w:r w:rsidRPr="00A93EAD">
        <w:tab/>
      </w:r>
      <w:r w:rsidR="00543250" w:rsidRPr="00A93EAD">
        <w:t>Training courses in cooking, breadmaking, baking and computing for the adolescents</w:t>
      </w:r>
    </w:p>
    <w:p w:rsidR="00543250" w:rsidRPr="00A93EAD" w:rsidRDefault="008853A6" w:rsidP="008853A6">
      <w:pPr>
        <w:pStyle w:val="Bullet2G"/>
        <w:numPr>
          <w:ilvl w:val="0"/>
          <w:numId w:val="0"/>
        </w:numPr>
        <w:tabs>
          <w:tab w:val="left" w:pos="2268"/>
        </w:tabs>
        <w:ind w:left="2268" w:hanging="170"/>
      </w:pPr>
      <w:r w:rsidRPr="00A93EAD">
        <w:t>•</w:t>
      </w:r>
      <w:r w:rsidRPr="00A93EAD">
        <w:tab/>
      </w:r>
      <w:r w:rsidR="00543250" w:rsidRPr="00A93EAD">
        <w:t>Outings to the military museum for 18 adolescents as a reward for good behaviour during their internment at the facility.</w:t>
      </w:r>
    </w:p>
    <w:p w:rsidR="00543250" w:rsidRPr="00A93EAD" w:rsidRDefault="00543250" w:rsidP="00BE3204">
      <w:pPr>
        <w:pStyle w:val="SingleTxtG"/>
        <w:keepNext/>
        <w:keepLines/>
      </w:pPr>
      <w:r w:rsidRPr="00A93EAD">
        <w:lastRenderedPageBreak/>
        <w:t>15.</w:t>
      </w:r>
      <w:r w:rsidRPr="00A93EAD">
        <w:tab/>
        <w:t>Informative talks and information sessions on the internal rules of the facility have been offered to parents since mid-2019.</w:t>
      </w:r>
    </w:p>
    <w:p w:rsidR="00543250" w:rsidRPr="00A93EAD" w:rsidRDefault="00543250" w:rsidP="00BE3204">
      <w:pPr>
        <w:pStyle w:val="SingleTxtG"/>
        <w:keepNext/>
        <w:keepLines/>
      </w:pPr>
      <w:r w:rsidRPr="00A93EAD">
        <w:t>16.</w:t>
      </w:r>
      <w:r w:rsidRPr="00A93EAD">
        <w:tab/>
        <w:t>The National Adoption Council makes monthly supervisory visits to all temporary shelters under the responsibility of the Social Welfare Secretariat, during which the shelters</w:t>
      </w:r>
      <w:r w:rsidR="00664508">
        <w:t>’</w:t>
      </w:r>
      <w:r w:rsidRPr="00A93EAD">
        <w:t xml:space="preserve"> coordinators and multidisciplinary teams are offered guidance on the need to implement the Quality Standards for the Care of Children and Adolescents in Temporary Shelters and the Guidelines for the Alternative Care of Children.</w:t>
      </w:r>
    </w:p>
    <w:p w:rsidR="00543250" w:rsidRPr="00A93EAD" w:rsidRDefault="00543250" w:rsidP="000C141E">
      <w:pPr>
        <w:pStyle w:val="SingleTxtG"/>
      </w:pPr>
      <w:r w:rsidRPr="00A93EAD">
        <w:t>17.</w:t>
      </w:r>
      <w:r w:rsidRPr="00A93EAD">
        <w:tab/>
        <w:t>These supervisory visits are conducted in coordination and conjunction with the Social Welfare Secretariat. All of the children and adolescents who survived the tragedy at the Virgen de la Asunción shelter have been placed under collective and individual protection arrangements, which are permanently monitored by the courts.</w:t>
      </w:r>
    </w:p>
    <w:p w:rsidR="00543250" w:rsidRPr="00A93EAD" w:rsidRDefault="00543250" w:rsidP="000C141E">
      <w:pPr>
        <w:pStyle w:val="SingleTxtG"/>
      </w:pPr>
      <w:r w:rsidRPr="00A93EAD">
        <w:t>18.</w:t>
      </w:r>
      <w:r w:rsidRPr="00A93EAD">
        <w:tab/>
        <w:t>An inter-institutional committee has been set up to prepare a guide for the comprehensive care of children and adolescents with disabilities who are served by the Social Welfare Secretariat</w:t>
      </w:r>
      <w:r w:rsidR="00664508">
        <w:t>’</w:t>
      </w:r>
      <w:r w:rsidRPr="00A93EAD">
        <w:t>s shelter programmes.</w:t>
      </w:r>
    </w:p>
    <w:p w:rsidR="00543250" w:rsidRPr="00A93EAD" w:rsidRDefault="00543250" w:rsidP="000C141E">
      <w:pPr>
        <w:pStyle w:val="SingleTxtG"/>
      </w:pPr>
      <w:r w:rsidRPr="00A93EAD">
        <w:t>19.</w:t>
      </w:r>
      <w:r w:rsidRPr="00A93EAD">
        <w:tab/>
        <w:t>The Social Welfare Secretariat has taken a number of other measures, of which the following four are particularly relevant:</w:t>
      </w:r>
    </w:p>
    <w:p w:rsidR="00543250" w:rsidRPr="00A93EAD" w:rsidRDefault="00A86E9D" w:rsidP="000C141E">
      <w:pPr>
        <w:pStyle w:val="SingleTxtG"/>
      </w:pPr>
      <w:r>
        <w:tab/>
      </w:r>
      <w:r w:rsidR="00543250" w:rsidRPr="00A93EAD">
        <w:t>(a)</w:t>
      </w:r>
      <w:r w:rsidR="00543250" w:rsidRPr="00A93EAD">
        <w:tab/>
        <w:t>In accordance with the principle of non-repetition, which is both preventive and restorative in nature, the Secretariat</w:t>
      </w:r>
      <w:r w:rsidR="00664508">
        <w:t>’</w:t>
      </w:r>
      <w:r w:rsidR="00543250" w:rsidRPr="00A93EAD">
        <w:t>s macroinstitution has been broken down into smaller residential units as an initial preventive measure;</w:t>
      </w:r>
    </w:p>
    <w:p w:rsidR="00543250" w:rsidRPr="00A93EAD" w:rsidRDefault="00A86E9D" w:rsidP="000C141E">
      <w:pPr>
        <w:pStyle w:val="SingleTxtG"/>
      </w:pPr>
      <w:r>
        <w:tab/>
      </w:r>
      <w:r w:rsidR="00543250" w:rsidRPr="00A93EAD">
        <w:t>(b)</w:t>
      </w:r>
      <w:r w:rsidR="00543250" w:rsidRPr="00A93EAD">
        <w:tab/>
        <w:t>These residential units function in accordance with a system of profiling applied to each adolescent resident based on four different profiles: persons gradually becoming independent, victims of any kind of ill-treatment, persons with a history of substance abuse or high-risk behaviour, and persons with disabilities;</w:t>
      </w:r>
    </w:p>
    <w:p w:rsidR="00543250" w:rsidRPr="00A93EAD" w:rsidRDefault="00A86E9D" w:rsidP="000C141E">
      <w:pPr>
        <w:pStyle w:val="SingleTxtG"/>
      </w:pPr>
      <w:r>
        <w:tab/>
      </w:r>
      <w:r w:rsidR="00543250" w:rsidRPr="00A93EAD">
        <w:t>(c)</w:t>
      </w:r>
      <w:r w:rsidR="00543250" w:rsidRPr="00A93EAD">
        <w:tab/>
        <w:t>Specific profile-based models and cross-cutting programmes encompassing all multidisciplinary services have been drawn up and are being implemented;</w:t>
      </w:r>
    </w:p>
    <w:p w:rsidR="00543250" w:rsidRPr="00A93EAD" w:rsidRDefault="00A86E9D" w:rsidP="000C141E">
      <w:pPr>
        <w:pStyle w:val="SingleTxtG"/>
      </w:pPr>
      <w:r>
        <w:tab/>
      </w:r>
      <w:r w:rsidR="00543250" w:rsidRPr="00A93EAD">
        <w:t>(d)</w:t>
      </w:r>
      <w:r w:rsidR="00543250" w:rsidRPr="00A93EAD">
        <w:tab/>
        <w:t>Psychosocial support is provided to children and adolescents who have been reunited with their families in their places of origin (currently 15 departments nationwide). Support is offered locally and with respect for the best interests of such children, and specialized, differentiated services are provided to survivors of the fire.</w:t>
      </w:r>
    </w:p>
    <w:p w:rsidR="00543250" w:rsidRPr="00A93EAD" w:rsidRDefault="00543250" w:rsidP="002F3D50">
      <w:pPr>
        <w:pStyle w:val="SingleTxtG"/>
        <w:spacing w:after="240"/>
      </w:pPr>
      <w:r w:rsidRPr="00A93EAD">
        <w:t>20.</w:t>
      </w:r>
      <w:r w:rsidRPr="00A93EAD">
        <w:tab/>
        <w:t>In accordance with the principle of non-repetition, the macroinstitutional model has been replaced with a residential model, an alternative system under which children and adolescents receive basic services that are tailored to each residential unit. Although there were initially eight residential units, the number of units has been doubled in order to prevent overcrowding and guarantee non-repetition, decent treatment and comprehensive care; there are now 16 units, which provide shelter to 343 children and adolescents – 173 girls and 170 boys – with an average of 21 children and adolescents per unit.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4252"/>
        <w:gridCol w:w="897"/>
        <w:gridCol w:w="897"/>
        <w:gridCol w:w="898"/>
      </w:tblGrid>
      <w:tr w:rsidR="00F24B5A" w:rsidRPr="00F24B5A" w:rsidTr="00F24B5A">
        <w:trPr>
          <w:tblHeader/>
        </w:trPr>
        <w:tc>
          <w:tcPr>
            <w:tcW w:w="7370" w:type="dxa"/>
            <w:gridSpan w:val="5"/>
            <w:tcBorders>
              <w:top w:val="single" w:sz="4" w:space="0" w:color="auto"/>
              <w:bottom w:val="single" w:sz="4" w:space="0" w:color="auto"/>
            </w:tcBorders>
            <w:shd w:val="clear" w:color="auto" w:fill="auto"/>
            <w:vAlign w:val="bottom"/>
          </w:tcPr>
          <w:p w:rsidR="00543250" w:rsidRPr="00F24B5A" w:rsidRDefault="00543250" w:rsidP="00F24B5A">
            <w:pPr>
              <w:suppressAutoHyphens w:val="0"/>
              <w:spacing w:before="80" w:after="80" w:line="200" w:lineRule="exact"/>
              <w:ind w:right="113"/>
              <w:rPr>
                <w:i/>
                <w:sz w:val="16"/>
              </w:rPr>
            </w:pPr>
            <w:r w:rsidRPr="00F24B5A">
              <w:rPr>
                <w:i/>
                <w:sz w:val="16"/>
              </w:rPr>
              <w:t>Population of residential units managed by the Directorate of Special Residential Protection Virgen de la Asunción Shelter as at 30 August 2019</w:t>
            </w:r>
          </w:p>
        </w:tc>
      </w:tr>
      <w:tr w:rsidR="00F24B5A" w:rsidRPr="00F24B5A" w:rsidTr="00BC108F">
        <w:trPr>
          <w:tblHeader/>
        </w:trPr>
        <w:tc>
          <w:tcPr>
            <w:tcW w:w="426" w:type="dxa"/>
            <w:tcBorders>
              <w:top w:val="single" w:sz="4" w:space="0" w:color="auto"/>
              <w:bottom w:val="single" w:sz="12" w:space="0" w:color="auto"/>
            </w:tcBorders>
            <w:shd w:val="clear" w:color="auto" w:fill="auto"/>
          </w:tcPr>
          <w:p w:rsidR="00543250" w:rsidRPr="00F24B5A" w:rsidRDefault="00543250" w:rsidP="00F24B5A">
            <w:pPr>
              <w:suppressAutoHyphens w:val="0"/>
              <w:spacing w:before="80" w:after="80" w:line="200" w:lineRule="exact"/>
              <w:ind w:right="113"/>
              <w:rPr>
                <w:i/>
                <w:sz w:val="16"/>
              </w:rPr>
            </w:pPr>
            <w:r w:rsidRPr="00F24B5A">
              <w:rPr>
                <w:i/>
                <w:sz w:val="16"/>
              </w:rPr>
              <w:t xml:space="preserve">No. </w:t>
            </w:r>
          </w:p>
        </w:tc>
        <w:tc>
          <w:tcPr>
            <w:tcW w:w="4252" w:type="dxa"/>
            <w:tcBorders>
              <w:top w:val="single" w:sz="4" w:space="0" w:color="auto"/>
              <w:bottom w:val="single" w:sz="12" w:space="0" w:color="auto"/>
            </w:tcBorders>
            <w:shd w:val="clear" w:color="auto" w:fill="auto"/>
          </w:tcPr>
          <w:p w:rsidR="00543250" w:rsidRPr="00F24B5A" w:rsidRDefault="00543250" w:rsidP="00F24B5A">
            <w:pPr>
              <w:suppressAutoHyphens w:val="0"/>
              <w:spacing w:before="80" w:after="80" w:line="200" w:lineRule="exact"/>
              <w:ind w:right="113"/>
              <w:rPr>
                <w:i/>
                <w:sz w:val="16"/>
              </w:rPr>
            </w:pPr>
            <w:r w:rsidRPr="00F24B5A">
              <w:rPr>
                <w:i/>
                <w:sz w:val="16"/>
              </w:rPr>
              <w:t>Residential unit</w:t>
            </w:r>
          </w:p>
        </w:tc>
        <w:tc>
          <w:tcPr>
            <w:tcW w:w="897" w:type="dxa"/>
            <w:tcBorders>
              <w:top w:val="single" w:sz="4" w:space="0" w:color="auto"/>
              <w:bottom w:val="single" w:sz="12" w:space="0" w:color="auto"/>
            </w:tcBorders>
            <w:shd w:val="clear" w:color="auto" w:fill="auto"/>
          </w:tcPr>
          <w:p w:rsidR="00543250" w:rsidRPr="00F24B5A" w:rsidRDefault="00543250" w:rsidP="00BC108F">
            <w:pPr>
              <w:suppressAutoHyphens w:val="0"/>
              <w:spacing w:before="80" w:after="80" w:line="200" w:lineRule="exact"/>
              <w:ind w:right="113"/>
              <w:jc w:val="right"/>
              <w:rPr>
                <w:i/>
                <w:sz w:val="16"/>
              </w:rPr>
            </w:pPr>
            <w:r w:rsidRPr="00F24B5A">
              <w:rPr>
                <w:i/>
                <w:sz w:val="16"/>
              </w:rPr>
              <w:t>Female</w:t>
            </w:r>
          </w:p>
        </w:tc>
        <w:tc>
          <w:tcPr>
            <w:tcW w:w="897" w:type="dxa"/>
            <w:tcBorders>
              <w:top w:val="single" w:sz="4" w:space="0" w:color="auto"/>
              <w:bottom w:val="single" w:sz="12" w:space="0" w:color="auto"/>
            </w:tcBorders>
            <w:shd w:val="clear" w:color="auto" w:fill="auto"/>
          </w:tcPr>
          <w:p w:rsidR="00543250" w:rsidRPr="00F24B5A" w:rsidRDefault="00543250" w:rsidP="00BC108F">
            <w:pPr>
              <w:suppressAutoHyphens w:val="0"/>
              <w:spacing w:before="80" w:after="80" w:line="200" w:lineRule="exact"/>
              <w:ind w:right="113"/>
              <w:jc w:val="right"/>
              <w:rPr>
                <w:i/>
                <w:sz w:val="16"/>
              </w:rPr>
            </w:pPr>
            <w:r w:rsidRPr="00F24B5A">
              <w:rPr>
                <w:i/>
                <w:sz w:val="16"/>
              </w:rPr>
              <w:t>Male</w:t>
            </w:r>
          </w:p>
        </w:tc>
        <w:tc>
          <w:tcPr>
            <w:tcW w:w="898" w:type="dxa"/>
            <w:tcBorders>
              <w:top w:val="single" w:sz="4" w:space="0" w:color="auto"/>
              <w:bottom w:val="single" w:sz="12" w:space="0" w:color="auto"/>
            </w:tcBorders>
            <w:shd w:val="clear" w:color="auto" w:fill="auto"/>
          </w:tcPr>
          <w:p w:rsidR="00543250" w:rsidRPr="00F24B5A" w:rsidRDefault="00543250" w:rsidP="00BC108F">
            <w:pPr>
              <w:suppressAutoHyphens w:val="0"/>
              <w:spacing w:before="80" w:after="80" w:line="200" w:lineRule="exact"/>
              <w:ind w:right="113"/>
              <w:jc w:val="right"/>
              <w:rPr>
                <w:i/>
                <w:sz w:val="16"/>
              </w:rPr>
            </w:pPr>
            <w:r w:rsidRPr="00F24B5A">
              <w:rPr>
                <w:i/>
                <w:sz w:val="16"/>
              </w:rPr>
              <w:t xml:space="preserve">Total </w:t>
            </w:r>
          </w:p>
        </w:tc>
      </w:tr>
      <w:tr w:rsidR="00543250" w:rsidRPr="00F24B5A" w:rsidTr="00BC108F">
        <w:tc>
          <w:tcPr>
            <w:tcW w:w="426" w:type="dxa"/>
            <w:tcBorders>
              <w:top w:val="single" w:sz="12" w:space="0" w:color="auto"/>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1</w:t>
            </w:r>
          </w:p>
        </w:tc>
        <w:tc>
          <w:tcPr>
            <w:tcW w:w="4252" w:type="dxa"/>
            <w:tcBorders>
              <w:top w:val="single" w:sz="12" w:space="0" w:color="auto"/>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Nidia Martínez 1</w:t>
            </w:r>
          </w:p>
        </w:tc>
        <w:tc>
          <w:tcPr>
            <w:tcW w:w="897" w:type="dxa"/>
            <w:tcBorders>
              <w:top w:val="single" w:sz="12" w:space="0" w:color="auto"/>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23</w:t>
            </w:r>
          </w:p>
        </w:tc>
        <w:tc>
          <w:tcPr>
            <w:tcW w:w="897" w:type="dxa"/>
            <w:tcBorders>
              <w:top w:val="single" w:sz="12" w:space="0" w:color="auto"/>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22</w:t>
            </w:r>
          </w:p>
        </w:tc>
        <w:tc>
          <w:tcPr>
            <w:tcW w:w="898" w:type="dxa"/>
            <w:tcBorders>
              <w:top w:val="single" w:sz="12" w:space="0" w:color="auto"/>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45</w:t>
            </w:r>
          </w:p>
        </w:tc>
      </w:tr>
      <w:tr w:rsidR="00543250" w:rsidRPr="00F24B5A" w:rsidTr="00BC108F">
        <w:tc>
          <w:tcPr>
            <w:tcW w:w="426"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2</w:t>
            </w:r>
          </w:p>
        </w:tc>
        <w:tc>
          <w:tcPr>
            <w:tcW w:w="4252"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 xml:space="preserve">Nidia Martínez 2 a.p. </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6</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w:t>
            </w:r>
          </w:p>
        </w:tc>
        <w:tc>
          <w:tcPr>
            <w:tcW w:w="898"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8</w:t>
            </w:r>
          </w:p>
        </w:tc>
      </w:tr>
      <w:tr w:rsidR="00543250" w:rsidRPr="00F24B5A" w:rsidTr="00BC108F">
        <w:tc>
          <w:tcPr>
            <w:tcW w:w="426"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3</w:t>
            </w:r>
          </w:p>
        </w:tc>
        <w:tc>
          <w:tcPr>
            <w:tcW w:w="4252"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 xml:space="preserve">Asociación Esperanza de Vida </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10</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18</w:t>
            </w:r>
          </w:p>
        </w:tc>
        <w:tc>
          <w:tcPr>
            <w:tcW w:w="898"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28</w:t>
            </w:r>
          </w:p>
        </w:tc>
      </w:tr>
      <w:tr w:rsidR="00543250" w:rsidRPr="00F24B5A" w:rsidTr="00BC108F">
        <w:tc>
          <w:tcPr>
            <w:tcW w:w="426"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4</w:t>
            </w:r>
          </w:p>
        </w:tc>
        <w:tc>
          <w:tcPr>
            <w:tcW w:w="4252"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Onice 1 (Quetzaltenango)</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22</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8"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22</w:t>
            </w:r>
          </w:p>
        </w:tc>
      </w:tr>
      <w:tr w:rsidR="00543250" w:rsidRPr="00F24B5A" w:rsidTr="00BC108F">
        <w:tc>
          <w:tcPr>
            <w:tcW w:w="426"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5</w:t>
            </w:r>
          </w:p>
        </w:tc>
        <w:tc>
          <w:tcPr>
            <w:tcW w:w="4252"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Onice 2 (Quetzaltenango)</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17</w:t>
            </w:r>
          </w:p>
        </w:tc>
        <w:tc>
          <w:tcPr>
            <w:tcW w:w="898"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17</w:t>
            </w:r>
          </w:p>
        </w:tc>
      </w:tr>
      <w:tr w:rsidR="00543250" w:rsidRPr="00F24B5A" w:rsidTr="00BC108F">
        <w:tc>
          <w:tcPr>
            <w:tcW w:w="426"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6</w:t>
            </w:r>
          </w:p>
        </w:tc>
        <w:tc>
          <w:tcPr>
            <w:tcW w:w="4252"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Onice 3 (Quetzaltenango)</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24</w:t>
            </w:r>
          </w:p>
        </w:tc>
        <w:tc>
          <w:tcPr>
            <w:tcW w:w="898"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24</w:t>
            </w:r>
          </w:p>
        </w:tc>
      </w:tr>
      <w:tr w:rsidR="00543250" w:rsidRPr="00F24B5A" w:rsidTr="00BC108F">
        <w:tc>
          <w:tcPr>
            <w:tcW w:w="426"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7</w:t>
            </w:r>
          </w:p>
        </w:tc>
        <w:tc>
          <w:tcPr>
            <w:tcW w:w="4252"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Casa San Cristóbal (hostel)</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w:t>
            </w:r>
          </w:p>
        </w:tc>
        <w:tc>
          <w:tcPr>
            <w:tcW w:w="898"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w:t>
            </w:r>
          </w:p>
        </w:tc>
      </w:tr>
      <w:tr w:rsidR="00543250" w:rsidRPr="00F24B5A" w:rsidTr="00BC108F">
        <w:tc>
          <w:tcPr>
            <w:tcW w:w="426"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8</w:t>
            </w:r>
          </w:p>
        </w:tc>
        <w:tc>
          <w:tcPr>
            <w:tcW w:w="4252" w:type="dxa"/>
            <w:shd w:val="clear" w:color="auto" w:fill="auto"/>
          </w:tcPr>
          <w:p w:rsidR="00543250" w:rsidRPr="00F24B5A" w:rsidRDefault="00664508" w:rsidP="00F24B5A">
            <w:pPr>
              <w:suppressAutoHyphens w:val="0"/>
              <w:spacing w:before="40" w:after="40" w:line="220" w:lineRule="exact"/>
              <w:ind w:right="113"/>
              <w:rPr>
                <w:sz w:val="18"/>
              </w:rPr>
            </w:pPr>
            <w:r>
              <w:rPr>
                <w:sz w:val="18"/>
              </w:rPr>
              <w:t>“</w:t>
            </w:r>
            <w:r w:rsidR="00543250" w:rsidRPr="00F24B5A">
              <w:rPr>
                <w:sz w:val="18"/>
              </w:rPr>
              <w:t>Paso a Paso</w:t>
            </w:r>
            <w:r>
              <w:rPr>
                <w:sz w:val="18"/>
              </w:rPr>
              <w:t>”</w:t>
            </w:r>
            <w:r w:rsidR="00543250" w:rsidRPr="00F24B5A">
              <w:rPr>
                <w:sz w:val="18"/>
              </w:rPr>
              <w:t xml:space="preserve"> rehabilitation centre, Jocotenango</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8</w:t>
            </w:r>
          </w:p>
        </w:tc>
        <w:tc>
          <w:tcPr>
            <w:tcW w:w="898"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8</w:t>
            </w:r>
          </w:p>
        </w:tc>
      </w:tr>
      <w:tr w:rsidR="00543250" w:rsidRPr="00F24B5A" w:rsidTr="00BC108F">
        <w:tc>
          <w:tcPr>
            <w:tcW w:w="426"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9</w:t>
            </w:r>
          </w:p>
        </w:tc>
        <w:tc>
          <w:tcPr>
            <w:tcW w:w="4252"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Diamante 1 (zone 12 residence)</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6</w:t>
            </w:r>
          </w:p>
        </w:tc>
        <w:tc>
          <w:tcPr>
            <w:tcW w:w="898"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6</w:t>
            </w:r>
          </w:p>
        </w:tc>
      </w:tr>
      <w:tr w:rsidR="00543250" w:rsidRPr="00F24B5A" w:rsidTr="00D27B79">
        <w:tc>
          <w:tcPr>
            <w:tcW w:w="426" w:type="dxa"/>
            <w:tcBorders>
              <w:bottom w:val="nil"/>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10</w:t>
            </w:r>
          </w:p>
        </w:tc>
        <w:tc>
          <w:tcPr>
            <w:tcW w:w="4252" w:type="dxa"/>
            <w:tcBorders>
              <w:bottom w:val="nil"/>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 xml:space="preserve">Diamante 2 a.p. </w:t>
            </w:r>
          </w:p>
        </w:tc>
        <w:tc>
          <w:tcPr>
            <w:tcW w:w="897" w:type="dxa"/>
            <w:tcBorders>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7" w:type="dxa"/>
            <w:tcBorders>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12</w:t>
            </w:r>
          </w:p>
        </w:tc>
        <w:tc>
          <w:tcPr>
            <w:tcW w:w="898" w:type="dxa"/>
            <w:tcBorders>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12</w:t>
            </w:r>
          </w:p>
        </w:tc>
      </w:tr>
      <w:tr w:rsidR="00543250" w:rsidRPr="00F24B5A" w:rsidTr="00D27B79">
        <w:tc>
          <w:tcPr>
            <w:tcW w:w="426" w:type="dxa"/>
            <w:tcBorders>
              <w:top w:val="nil"/>
              <w:bottom w:val="nil"/>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11</w:t>
            </w:r>
          </w:p>
        </w:tc>
        <w:tc>
          <w:tcPr>
            <w:tcW w:w="4252" w:type="dxa"/>
            <w:tcBorders>
              <w:top w:val="nil"/>
              <w:bottom w:val="nil"/>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 xml:space="preserve">Diamante 3 building 2 zone 14 </w:t>
            </w:r>
          </w:p>
        </w:tc>
        <w:tc>
          <w:tcPr>
            <w:tcW w:w="897" w:type="dxa"/>
            <w:tcBorders>
              <w:top w:val="nil"/>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7" w:type="dxa"/>
            <w:tcBorders>
              <w:top w:val="nil"/>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25</w:t>
            </w:r>
          </w:p>
        </w:tc>
        <w:tc>
          <w:tcPr>
            <w:tcW w:w="898" w:type="dxa"/>
            <w:tcBorders>
              <w:top w:val="nil"/>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25</w:t>
            </w:r>
          </w:p>
        </w:tc>
      </w:tr>
      <w:tr w:rsidR="00543250" w:rsidRPr="00F24B5A" w:rsidTr="00D27B79">
        <w:tc>
          <w:tcPr>
            <w:tcW w:w="426" w:type="dxa"/>
            <w:tcBorders>
              <w:top w:val="nil"/>
              <w:bottom w:val="nil"/>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lastRenderedPageBreak/>
              <w:t>12</w:t>
            </w:r>
          </w:p>
        </w:tc>
        <w:tc>
          <w:tcPr>
            <w:tcW w:w="4252" w:type="dxa"/>
            <w:tcBorders>
              <w:top w:val="nil"/>
              <w:bottom w:val="nil"/>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Diamante 4 zone 11</w:t>
            </w:r>
          </w:p>
        </w:tc>
        <w:tc>
          <w:tcPr>
            <w:tcW w:w="897" w:type="dxa"/>
            <w:tcBorders>
              <w:top w:val="nil"/>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7" w:type="dxa"/>
            <w:tcBorders>
              <w:top w:val="nil"/>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23</w:t>
            </w:r>
          </w:p>
        </w:tc>
        <w:tc>
          <w:tcPr>
            <w:tcW w:w="898" w:type="dxa"/>
            <w:tcBorders>
              <w:top w:val="nil"/>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23</w:t>
            </w:r>
          </w:p>
        </w:tc>
      </w:tr>
      <w:tr w:rsidR="00543250" w:rsidRPr="00F24B5A" w:rsidTr="00BC108F">
        <w:tc>
          <w:tcPr>
            <w:tcW w:w="426" w:type="dxa"/>
            <w:tcBorders>
              <w:top w:val="nil"/>
              <w:bottom w:val="nil"/>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13</w:t>
            </w:r>
          </w:p>
        </w:tc>
        <w:tc>
          <w:tcPr>
            <w:tcW w:w="4252" w:type="dxa"/>
            <w:tcBorders>
              <w:top w:val="nil"/>
              <w:bottom w:val="nil"/>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Diamante 5 (Quetzaltenango) (Luna de Xelajú)</w:t>
            </w:r>
          </w:p>
        </w:tc>
        <w:tc>
          <w:tcPr>
            <w:tcW w:w="897" w:type="dxa"/>
            <w:tcBorders>
              <w:top w:val="nil"/>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7" w:type="dxa"/>
            <w:tcBorders>
              <w:top w:val="nil"/>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12</w:t>
            </w:r>
          </w:p>
        </w:tc>
        <w:tc>
          <w:tcPr>
            <w:tcW w:w="898" w:type="dxa"/>
            <w:tcBorders>
              <w:top w:val="nil"/>
              <w:bottom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12</w:t>
            </w:r>
          </w:p>
        </w:tc>
      </w:tr>
      <w:tr w:rsidR="00543250" w:rsidRPr="00F24B5A" w:rsidTr="00BC108F">
        <w:tc>
          <w:tcPr>
            <w:tcW w:w="426" w:type="dxa"/>
            <w:tcBorders>
              <w:top w:val="nil"/>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14</w:t>
            </w:r>
          </w:p>
        </w:tc>
        <w:tc>
          <w:tcPr>
            <w:tcW w:w="4252" w:type="dxa"/>
            <w:tcBorders>
              <w:top w:val="nil"/>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Zafiro 1</w:t>
            </w:r>
          </w:p>
        </w:tc>
        <w:tc>
          <w:tcPr>
            <w:tcW w:w="897" w:type="dxa"/>
            <w:tcBorders>
              <w:top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45</w:t>
            </w:r>
          </w:p>
        </w:tc>
        <w:tc>
          <w:tcPr>
            <w:tcW w:w="897" w:type="dxa"/>
            <w:tcBorders>
              <w:top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8" w:type="dxa"/>
            <w:tcBorders>
              <w:top w:val="nil"/>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45</w:t>
            </w:r>
          </w:p>
        </w:tc>
      </w:tr>
      <w:tr w:rsidR="00543250" w:rsidRPr="00F24B5A" w:rsidTr="00BC108F">
        <w:tc>
          <w:tcPr>
            <w:tcW w:w="426"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15</w:t>
            </w:r>
          </w:p>
        </w:tc>
        <w:tc>
          <w:tcPr>
            <w:tcW w:w="4252"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Zafiro 2</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28</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8"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28</w:t>
            </w:r>
          </w:p>
        </w:tc>
      </w:tr>
      <w:tr w:rsidR="00543250" w:rsidRPr="00F24B5A" w:rsidTr="00BC108F">
        <w:tc>
          <w:tcPr>
            <w:tcW w:w="426"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16</w:t>
            </w:r>
          </w:p>
        </w:tc>
        <w:tc>
          <w:tcPr>
            <w:tcW w:w="4252" w:type="dxa"/>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 xml:space="preserve">Zafiro 3 </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26</w:t>
            </w:r>
          </w:p>
        </w:tc>
        <w:tc>
          <w:tcPr>
            <w:tcW w:w="897"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8" w:type="dxa"/>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26</w:t>
            </w:r>
          </w:p>
        </w:tc>
      </w:tr>
      <w:tr w:rsidR="00543250" w:rsidRPr="00F24B5A" w:rsidTr="00BC108F">
        <w:tc>
          <w:tcPr>
            <w:tcW w:w="426" w:type="dxa"/>
            <w:tcBorders>
              <w:bottom w:val="single" w:sz="4" w:space="0" w:color="auto"/>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17</w:t>
            </w:r>
          </w:p>
        </w:tc>
        <w:tc>
          <w:tcPr>
            <w:tcW w:w="4252" w:type="dxa"/>
            <w:tcBorders>
              <w:bottom w:val="single" w:sz="4" w:space="0" w:color="auto"/>
            </w:tcBorders>
            <w:shd w:val="clear" w:color="auto" w:fill="auto"/>
          </w:tcPr>
          <w:p w:rsidR="00543250" w:rsidRPr="00F24B5A" w:rsidRDefault="00543250" w:rsidP="00F24B5A">
            <w:pPr>
              <w:suppressAutoHyphens w:val="0"/>
              <w:spacing w:before="40" w:after="40" w:line="220" w:lineRule="exact"/>
              <w:ind w:right="113"/>
              <w:rPr>
                <w:sz w:val="18"/>
              </w:rPr>
            </w:pPr>
            <w:r w:rsidRPr="00F24B5A">
              <w:rPr>
                <w:sz w:val="18"/>
              </w:rPr>
              <w:t xml:space="preserve">Zafiro 4 a.p. </w:t>
            </w:r>
          </w:p>
        </w:tc>
        <w:tc>
          <w:tcPr>
            <w:tcW w:w="897" w:type="dxa"/>
            <w:tcBorders>
              <w:bottom w:val="single" w:sz="4" w:space="0" w:color="auto"/>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13</w:t>
            </w:r>
          </w:p>
        </w:tc>
        <w:tc>
          <w:tcPr>
            <w:tcW w:w="897" w:type="dxa"/>
            <w:tcBorders>
              <w:bottom w:val="single" w:sz="4" w:space="0" w:color="auto"/>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0</w:t>
            </w:r>
          </w:p>
        </w:tc>
        <w:tc>
          <w:tcPr>
            <w:tcW w:w="898" w:type="dxa"/>
            <w:tcBorders>
              <w:bottom w:val="single" w:sz="4" w:space="0" w:color="auto"/>
            </w:tcBorders>
            <w:shd w:val="clear" w:color="auto" w:fill="auto"/>
          </w:tcPr>
          <w:p w:rsidR="00543250" w:rsidRPr="00F24B5A" w:rsidRDefault="00543250" w:rsidP="00BC108F">
            <w:pPr>
              <w:suppressAutoHyphens w:val="0"/>
              <w:spacing w:before="40" w:after="40" w:line="220" w:lineRule="exact"/>
              <w:ind w:right="113"/>
              <w:jc w:val="right"/>
              <w:rPr>
                <w:sz w:val="18"/>
              </w:rPr>
            </w:pPr>
            <w:r w:rsidRPr="00F24B5A">
              <w:rPr>
                <w:sz w:val="18"/>
              </w:rPr>
              <w:t>13</w:t>
            </w:r>
          </w:p>
        </w:tc>
      </w:tr>
      <w:tr w:rsidR="00543250" w:rsidRPr="00BC108F" w:rsidTr="00BC108F">
        <w:tc>
          <w:tcPr>
            <w:tcW w:w="4678" w:type="dxa"/>
            <w:gridSpan w:val="2"/>
            <w:tcBorders>
              <w:top w:val="single" w:sz="4" w:space="0" w:color="auto"/>
              <w:bottom w:val="single" w:sz="4" w:space="0" w:color="auto"/>
            </w:tcBorders>
            <w:shd w:val="clear" w:color="auto" w:fill="auto"/>
          </w:tcPr>
          <w:p w:rsidR="00543250" w:rsidRPr="00BC108F" w:rsidRDefault="00543250" w:rsidP="00BC108F">
            <w:pPr>
              <w:suppressAutoHyphens w:val="0"/>
              <w:spacing w:before="80" w:after="80" w:line="220" w:lineRule="exact"/>
              <w:ind w:right="113"/>
              <w:jc w:val="right"/>
              <w:rPr>
                <w:b/>
                <w:sz w:val="18"/>
              </w:rPr>
            </w:pPr>
            <w:r w:rsidRPr="00BC108F">
              <w:rPr>
                <w:b/>
                <w:sz w:val="18"/>
              </w:rPr>
              <w:t>Total</w:t>
            </w:r>
          </w:p>
        </w:tc>
        <w:tc>
          <w:tcPr>
            <w:tcW w:w="897" w:type="dxa"/>
            <w:tcBorders>
              <w:top w:val="single" w:sz="4" w:space="0" w:color="auto"/>
              <w:bottom w:val="single" w:sz="4" w:space="0" w:color="auto"/>
            </w:tcBorders>
            <w:shd w:val="clear" w:color="auto" w:fill="auto"/>
          </w:tcPr>
          <w:p w:rsidR="00543250" w:rsidRPr="00BC108F" w:rsidRDefault="00543250" w:rsidP="00BC108F">
            <w:pPr>
              <w:suppressAutoHyphens w:val="0"/>
              <w:spacing w:before="80" w:after="80" w:line="220" w:lineRule="exact"/>
              <w:ind w:right="113"/>
              <w:jc w:val="right"/>
              <w:rPr>
                <w:b/>
                <w:sz w:val="18"/>
              </w:rPr>
            </w:pPr>
            <w:r w:rsidRPr="00BC108F">
              <w:rPr>
                <w:b/>
                <w:sz w:val="18"/>
              </w:rPr>
              <w:t>173</w:t>
            </w:r>
          </w:p>
        </w:tc>
        <w:tc>
          <w:tcPr>
            <w:tcW w:w="897" w:type="dxa"/>
            <w:tcBorders>
              <w:top w:val="single" w:sz="4" w:space="0" w:color="auto"/>
              <w:bottom w:val="single" w:sz="4" w:space="0" w:color="auto"/>
            </w:tcBorders>
            <w:shd w:val="clear" w:color="auto" w:fill="auto"/>
          </w:tcPr>
          <w:p w:rsidR="00543250" w:rsidRPr="00BC108F" w:rsidRDefault="00543250" w:rsidP="00BC108F">
            <w:pPr>
              <w:suppressAutoHyphens w:val="0"/>
              <w:spacing w:before="80" w:after="80" w:line="220" w:lineRule="exact"/>
              <w:ind w:right="113"/>
              <w:jc w:val="right"/>
              <w:rPr>
                <w:b/>
                <w:sz w:val="18"/>
              </w:rPr>
            </w:pPr>
            <w:r w:rsidRPr="00BC108F">
              <w:rPr>
                <w:b/>
                <w:sz w:val="18"/>
              </w:rPr>
              <w:t>170</w:t>
            </w:r>
          </w:p>
        </w:tc>
        <w:tc>
          <w:tcPr>
            <w:tcW w:w="898" w:type="dxa"/>
            <w:tcBorders>
              <w:top w:val="single" w:sz="4" w:space="0" w:color="auto"/>
              <w:bottom w:val="single" w:sz="4" w:space="0" w:color="auto"/>
            </w:tcBorders>
            <w:shd w:val="clear" w:color="auto" w:fill="auto"/>
          </w:tcPr>
          <w:p w:rsidR="00543250" w:rsidRPr="00BC108F" w:rsidRDefault="00543250" w:rsidP="00BC108F">
            <w:pPr>
              <w:suppressAutoHyphens w:val="0"/>
              <w:spacing w:before="80" w:after="80" w:line="220" w:lineRule="exact"/>
              <w:ind w:right="113"/>
              <w:jc w:val="right"/>
              <w:rPr>
                <w:b/>
                <w:sz w:val="18"/>
              </w:rPr>
            </w:pPr>
            <w:r w:rsidRPr="00BC108F">
              <w:rPr>
                <w:b/>
                <w:sz w:val="18"/>
              </w:rPr>
              <w:t>343</w:t>
            </w:r>
          </w:p>
        </w:tc>
      </w:tr>
    </w:tbl>
    <w:p w:rsidR="00543250" w:rsidRPr="00A93EAD" w:rsidRDefault="00543250" w:rsidP="00C64106">
      <w:pPr>
        <w:pStyle w:val="SingleTxtG"/>
        <w:spacing w:before="240"/>
      </w:pPr>
      <w:r w:rsidRPr="00A93EAD">
        <w:t>21.</w:t>
      </w:r>
      <w:r w:rsidRPr="00A93EAD">
        <w:tab/>
        <w:t>The roll-out of the residential model has resulted in the following achievements: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Profiling on the basis of residents</w:t>
      </w:r>
      <w:r w:rsidR="00664508">
        <w:t>’</w:t>
      </w:r>
      <w:r w:rsidR="00543250" w:rsidRPr="00A93EAD">
        <w:t xml:space="preserve"> most salient characteristics: a history of ill-treatment, substance abuse or high-risk behaviour; disability; or readiness for the transition to independence</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Definition of the populations served by each residential unit</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Staff training on the specific profile-group to which they have been assigned</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Regular supervisory visits by a coordination team and the administrative authorities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Specific models and programmes based on profiling</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Guidelines for multidisciplinary assessment and resident profiling</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Recruitment of new staff whose academic background and experience are better suited to work with the profiles established</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Efforts to encourage deinstitutionalization in an appropriate and organized fashion</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 xml:space="preserve">Introduction of </w:t>
      </w:r>
      <w:proofErr w:type="spellStart"/>
      <w:r w:rsidR="00543250" w:rsidRPr="00A93EAD">
        <w:t>extraresidential</w:t>
      </w:r>
      <w:proofErr w:type="spellEnd"/>
      <w:r w:rsidR="00543250" w:rsidRPr="00A93EAD">
        <w:t xml:space="preserve"> activities as part of the therapeutic and recreational process.</w:t>
      </w:r>
    </w:p>
    <w:p w:rsidR="00543250" w:rsidRPr="00A93EAD" w:rsidRDefault="00543250" w:rsidP="000C141E">
      <w:pPr>
        <w:pStyle w:val="SingleTxtG"/>
      </w:pPr>
      <w:r w:rsidRPr="00A93EAD">
        <w:t>22.</w:t>
      </w:r>
      <w:r w:rsidRPr="00A93EAD">
        <w:tab/>
        <w:t>Between 9 March 2017 and May 2019, 279 of the 600 children and adolescents who had been living in the Virgen de la Asunción shelter were reunited with their immediate or extended families.</w:t>
      </w:r>
    </w:p>
    <w:p w:rsidR="00543250" w:rsidRPr="00A93EAD" w:rsidRDefault="00543250" w:rsidP="000C141E">
      <w:pPr>
        <w:pStyle w:val="SingleTxtG"/>
      </w:pPr>
      <w:r w:rsidRPr="00A93EAD">
        <w:t>23.</w:t>
      </w:r>
      <w:r w:rsidRPr="00A93EAD">
        <w:tab/>
        <w:t>Among those who have been reintegrated, 266 children and adolescents have been referred for psychosocial follow-up under the restitution plan established by the Counsel General</w:t>
      </w:r>
      <w:r w:rsidR="00664508">
        <w:t>’</w:t>
      </w:r>
      <w:r w:rsidRPr="00A93EAD">
        <w:t>s Office.</w:t>
      </w:r>
    </w:p>
    <w:p w:rsidR="00543250" w:rsidRPr="00A93EAD" w:rsidRDefault="00543250" w:rsidP="000C141E">
      <w:pPr>
        <w:pStyle w:val="SingleTxtG"/>
      </w:pPr>
      <w:r w:rsidRPr="00A93EAD">
        <w:t>24.</w:t>
      </w:r>
      <w:r w:rsidRPr="00A93EAD">
        <w:tab/>
        <w:t>As a guarantee of non-repetition, follow-up is provided by multidisciplinary teams in the form of outpatient psychosocial and educational services for each child or adolescent and his or her immediate or extended family through decentralized programmes and services managed by the Social Welfare Secretariat, including family allowances and tools for assertive child-rearing in families, as well as support and guidance for families on the services of other institutions such as health centres, schools and municipal offices for the protection of children and adolescents.</w:t>
      </w:r>
    </w:p>
    <w:p w:rsidR="00543250" w:rsidRPr="00A93EAD" w:rsidRDefault="00543250" w:rsidP="00390C46">
      <w:pPr>
        <w:pStyle w:val="SingleTxtG"/>
        <w:spacing w:after="240"/>
      </w:pPr>
      <w:r w:rsidRPr="00A93EAD">
        <w:t>25.</w:t>
      </w:r>
      <w:r w:rsidRPr="00A93EAD">
        <w:tab/>
        <w:t>Below is a detailed breakdown, by department, of the geographical distribution of the 266 children and adolescents who have been reintegrated after the tragedy at the Virgen de la Asunción shelter.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16"/>
        <w:gridCol w:w="2002"/>
        <w:gridCol w:w="1750"/>
        <w:gridCol w:w="1528"/>
        <w:gridCol w:w="1474"/>
      </w:tblGrid>
      <w:tr w:rsidR="00390C46" w:rsidRPr="00390C46" w:rsidTr="009D72A6">
        <w:trPr>
          <w:tblHeader/>
        </w:trPr>
        <w:tc>
          <w:tcPr>
            <w:tcW w:w="616" w:type="dxa"/>
            <w:tcBorders>
              <w:top w:val="single" w:sz="4" w:space="0" w:color="auto"/>
              <w:bottom w:val="nil"/>
            </w:tcBorders>
            <w:shd w:val="clear" w:color="auto" w:fill="auto"/>
            <w:vAlign w:val="bottom"/>
          </w:tcPr>
          <w:p w:rsidR="00543250" w:rsidRPr="00390C46" w:rsidRDefault="00543250" w:rsidP="00390C46">
            <w:pPr>
              <w:suppressAutoHyphens w:val="0"/>
              <w:spacing w:before="80" w:after="80" w:line="200" w:lineRule="exact"/>
              <w:ind w:right="113"/>
              <w:rPr>
                <w:i/>
                <w:sz w:val="16"/>
              </w:rPr>
            </w:pPr>
          </w:p>
        </w:tc>
        <w:tc>
          <w:tcPr>
            <w:tcW w:w="2002" w:type="dxa"/>
            <w:tcBorders>
              <w:top w:val="single" w:sz="4" w:space="0" w:color="auto"/>
              <w:bottom w:val="nil"/>
            </w:tcBorders>
            <w:shd w:val="clear" w:color="auto" w:fill="auto"/>
            <w:vAlign w:val="bottom"/>
          </w:tcPr>
          <w:p w:rsidR="00543250" w:rsidRPr="00390C46" w:rsidRDefault="00543250" w:rsidP="00390C46">
            <w:pPr>
              <w:suppressAutoHyphens w:val="0"/>
              <w:spacing w:before="80" w:after="80" w:line="200" w:lineRule="exact"/>
              <w:ind w:right="113"/>
              <w:jc w:val="right"/>
              <w:rPr>
                <w:i/>
                <w:sz w:val="16"/>
              </w:rPr>
            </w:pPr>
          </w:p>
        </w:tc>
        <w:tc>
          <w:tcPr>
            <w:tcW w:w="1750" w:type="dxa"/>
            <w:vMerge w:val="restart"/>
            <w:tcBorders>
              <w:top w:val="single" w:sz="4" w:space="0" w:color="auto"/>
              <w:bottom w:val="single" w:sz="12" w:space="0" w:color="auto"/>
            </w:tcBorders>
            <w:shd w:val="clear" w:color="auto" w:fill="auto"/>
            <w:vAlign w:val="bottom"/>
          </w:tcPr>
          <w:p w:rsidR="00543250" w:rsidRPr="00390C46" w:rsidRDefault="00543250" w:rsidP="00390C46">
            <w:pPr>
              <w:suppressAutoHyphens w:val="0"/>
              <w:spacing w:before="80" w:after="80" w:line="200" w:lineRule="exact"/>
              <w:ind w:right="113"/>
              <w:jc w:val="right"/>
              <w:rPr>
                <w:i/>
                <w:sz w:val="16"/>
              </w:rPr>
            </w:pPr>
            <w:r w:rsidRPr="00390C46">
              <w:rPr>
                <w:i/>
                <w:sz w:val="16"/>
              </w:rPr>
              <w:t>Children and adolescents referred by the Counsel General</w:t>
            </w:r>
            <w:r w:rsidR="00664508">
              <w:rPr>
                <w:i/>
                <w:sz w:val="16"/>
              </w:rPr>
              <w:t>’</w:t>
            </w:r>
            <w:r w:rsidRPr="00390C46">
              <w:rPr>
                <w:i/>
                <w:sz w:val="16"/>
              </w:rPr>
              <w:t>s Office since May 2017</w:t>
            </w:r>
          </w:p>
        </w:tc>
        <w:tc>
          <w:tcPr>
            <w:tcW w:w="3002" w:type="dxa"/>
            <w:gridSpan w:val="2"/>
            <w:tcBorders>
              <w:top w:val="single" w:sz="4" w:space="0" w:color="auto"/>
              <w:bottom w:val="single" w:sz="4" w:space="0" w:color="auto"/>
            </w:tcBorders>
            <w:shd w:val="clear" w:color="auto" w:fill="auto"/>
            <w:vAlign w:val="bottom"/>
          </w:tcPr>
          <w:p w:rsidR="00543250" w:rsidRPr="00390C46" w:rsidRDefault="00543250" w:rsidP="00390C46">
            <w:pPr>
              <w:suppressAutoHyphens w:val="0"/>
              <w:spacing w:before="80" w:after="80" w:line="200" w:lineRule="exact"/>
              <w:ind w:right="113"/>
              <w:jc w:val="center"/>
              <w:rPr>
                <w:i/>
                <w:sz w:val="16"/>
              </w:rPr>
            </w:pPr>
            <w:r w:rsidRPr="00390C46">
              <w:rPr>
                <w:i/>
                <w:sz w:val="16"/>
              </w:rPr>
              <w:t>Gender</w:t>
            </w:r>
          </w:p>
        </w:tc>
      </w:tr>
      <w:tr w:rsidR="00390C46" w:rsidRPr="00390C46" w:rsidTr="009D72A6">
        <w:trPr>
          <w:tblHeader/>
        </w:trPr>
        <w:tc>
          <w:tcPr>
            <w:tcW w:w="616" w:type="dxa"/>
            <w:tcBorders>
              <w:top w:val="nil"/>
              <w:bottom w:val="single" w:sz="12" w:space="0" w:color="auto"/>
            </w:tcBorders>
            <w:shd w:val="clear" w:color="auto" w:fill="auto"/>
          </w:tcPr>
          <w:p w:rsidR="00543250" w:rsidRPr="00390C46" w:rsidRDefault="009D72A6" w:rsidP="00390C46">
            <w:pPr>
              <w:suppressAutoHyphens w:val="0"/>
              <w:spacing w:before="80" w:after="80" w:line="200" w:lineRule="exact"/>
              <w:ind w:right="113"/>
              <w:jc w:val="center"/>
              <w:rPr>
                <w:i/>
                <w:sz w:val="16"/>
              </w:rPr>
            </w:pPr>
            <w:r>
              <w:rPr>
                <w:i/>
                <w:sz w:val="16"/>
              </w:rPr>
              <w:br/>
            </w:r>
            <w:r w:rsidR="00543250" w:rsidRPr="00390C46">
              <w:rPr>
                <w:i/>
                <w:sz w:val="16"/>
              </w:rPr>
              <w:t>No.</w:t>
            </w:r>
          </w:p>
        </w:tc>
        <w:tc>
          <w:tcPr>
            <w:tcW w:w="2002" w:type="dxa"/>
            <w:tcBorders>
              <w:top w:val="nil"/>
              <w:bottom w:val="single" w:sz="12" w:space="0" w:color="auto"/>
            </w:tcBorders>
            <w:shd w:val="clear" w:color="auto" w:fill="auto"/>
            <w:vAlign w:val="bottom"/>
          </w:tcPr>
          <w:p w:rsidR="00543250" w:rsidRPr="00390C46" w:rsidRDefault="00543250" w:rsidP="00C52D58">
            <w:pPr>
              <w:suppressAutoHyphens w:val="0"/>
              <w:spacing w:before="80" w:after="80" w:line="200" w:lineRule="exact"/>
              <w:ind w:right="113"/>
              <w:rPr>
                <w:i/>
                <w:sz w:val="16"/>
              </w:rPr>
            </w:pPr>
            <w:r w:rsidRPr="00390C46">
              <w:rPr>
                <w:i/>
                <w:sz w:val="16"/>
              </w:rPr>
              <w:t>Department</w:t>
            </w:r>
          </w:p>
        </w:tc>
        <w:tc>
          <w:tcPr>
            <w:tcW w:w="1750" w:type="dxa"/>
            <w:vMerge/>
            <w:tcBorders>
              <w:top w:val="single" w:sz="12" w:space="0" w:color="auto"/>
              <w:bottom w:val="single" w:sz="12" w:space="0" w:color="auto"/>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p>
        </w:tc>
        <w:tc>
          <w:tcPr>
            <w:tcW w:w="1528" w:type="dxa"/>
            <w:tcBorders>
              <w:top w:val="single" w:sz="4" w:space="0" w:color="auto"/>
              <w:bottom w:val="single" w:sz="12" w:space="0" w:color="auto"/>
            </w:tcBorders>
            <w:shd w:val="clear" w:color="auto" w:fill="auto"/>
            <w:vAlign w:val="bottom"/>
          </w:tcPr>
          <w:p w:rsidR="00543250" w:rsidRPr="00390C46" w:rsidRDefault="00543250" w:rsidP="00C52D58">
            <w:pPr>
              <w:suppressAutoHyphens w:val="0"/>
              <w:spacing w:before="80" w:after="80" w:line="200" w:lineRule="exact"/>
              <w:ind w:right="113"/>
              <w:jc w:val="right"/>
              <w:rPr>
                <w:i/>
                <w:sz w:val="16"/>
              </w:rPr>
            </w:pPr>
            <w:r w:rsidRPr="00390C46">
              <w:rPr>
                <w:i/>
                <w:sz w:val="16"/>
              </w:rPr>
              <w:t>Male</w:t>
            </w:r>
          </w:p>
        </w:tc>
        <w:tc>
          <w:tcPr>
            <w:tcW w:w="1474" w:type="dxa"/>
            <w:tcBorders>
              <w:top w:val="single" w:sz="4" w:space="0" w:color="auto"/>
              <w:bottom w:val="single" w:sz="12" w:space="0" w:color="auto"/>
            </w:tcBorders>
            <w:shd w:val="clear" w:color="auto" w:fill="auto"/>
            <w:vAlign w:val="bottom"/>
          </w:tcPr>
          <w:p w:rsidR="00543250" w:rsidRPr="00390C46" w:rsidRDefault="00543250" w:rsidP="00C52D58">
            <w:pPr>
              <w:suppressAutoHyphens w:val="0"/>
              <w:spacing w:before="80" w:after="80" w:line="200" w:lineRule="exact"/>
              <w:ind w:right="113"/>
              <w:jc w:val="right"/>
              <w:rPr>
                <w:i/>
                <w:sz w:val="16"/>
              </w:rPr>
            </w:pPr>
            <w:r w:rsidRPr="00390C46">
              <w:rPr>
                <w:i/>
                <w:sz w:val="16"/>
              </w:rPr>
              <w:t>Female</w:t>
            </w:r>
          </w:p>
        </w:tc>
      </w:tr>
      <w:tr w:rsidR="00543250" w:rsidRPr="00390C46" w:rsidTr="00D27B79">
        <w:tc>
          <w:tcPr>
            <w:tcW w:w="616" w:type="dxa"/>
            <w:tcBorders>
              <w:top w:val="single" w:sz="12" w:space="0" w:color="auto"/>
              <w:bottom w:val="nil"/>
            </w:tcBorders>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1</w:t>
            </w:r>
          </w:p>
        </w:tc>
        <w:tc>
          <w:tcPr>
            <w:tcW w:w="2002" w:type="dxa"/>
            <w:tcBorders>
              <w:top w:val="single" w:sz="12" w:space="0" w:color="auto"/>
              <w:bottom w:val="nil"/>
            </w:tcBorders>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Alta Verapaz</w:t>
            </w:r>
          </w:p>
        </w:tc>
        <w:tc>
          <w:tcPr>
            <w:tcW w:w="1750" w:type="dxa"/>
            <w:tcBorders>
              <w:top w:val="single" w:sz="12" w:space="0" w:color="auto"/>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9</w:t>
            </w:r>
          </w:p>
        </w:tc>
        <w:tc>
          <w:tcPr>
            <w:tcW w:w="1528" w:type="dxa"/>
            <w:tcBorders>
              <w:top w:val="single" w:sz="12" w:space="0" w:color="auto"/>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3</w:t>
            </w:r>
          </w:p>
        </w:tc>
        <w:tc>
          <w:tcPr>
            <w:tcW w:w="1474" w:type="dxa"/>
            <w:tcBorders>
              <w:top w:val="single" w:sz="12" w:space="0" w:color="auto"/>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6</w:t>
            </w:r>
          </w:p>
        </w:tc>
      </w:tr>
      <w:tr w:rsidR="00543250" w:rsidRPr="00390C46" w:rsidTr="00D27B79">
        <w:tc>
          <w:tcPr>
            <w:tcW w:w="616" w:type="dxa"/>
            <w:tcBorders>
              <w:top w:val="nil"/>
              <w:bottom w:val="nil"/>
            </w:tcBorders>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2</w:t>
            </w:r>
          </w:p>
        </w:tc>
        <w:tc>
          <w:tcPr>
            <w:tcW w:w="2002" w:type="dxa"/>
            <w:tcBorders>
              <w:top w:val="nil"/>
              <w:bottom w:val="nil"/>
            </w:tcBorders>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Baja Verapaz</w:t>
            </w:r>
          </w:p>
        </w:tc>
        <w:tc>
          <w:tcPr>
            <w:tcW w:w="1750" w:type="dxa"/>
            <w:tcBorders>
              <w:top w:val="nil"/>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8</w:t>
            </w:r>
          </w:p>
        </w:tc>
        <w:tc>
          <w:tcPr>
            <w:tcW w:w="1528" w:type="dxa"/>
            <w:tcBorders>
              <w:top w:val="nil"/>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5</w:t>
            </w:r>
          </w:p>
        </w:tc>
        <w:tc>
          <w:tcPr>
            <w:tcW w:w="1474" w:type="dxa"/>
            <w:tcBorders>
              <w:top w:val="nil"/>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3</w:t>
            </w:r>
          </w:p>
        </w:tc>
      </w:tr>
      <w:tr w:rsidR="00543250" w:rsidRPr="00390C46" w:rsidTr="00D27B79">
        <w:tc>
          <w:tcPr>
            <w:tcW w:w="616" w:type="dxa"/>
            <w:tcBorders>
              <w:top w:val="nil"/>
              <w:bottom w:val="nil"/>
            </w:tcBorders>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lastRenderedPageBreak/>
              <w:t>3</w:t>
            </w:r>
          </w:p>
        </w:tc>
        <w:tc>
          <w:tcPr>
            <w:tcW w:w="2002" w:type="dxa"/>
            <w:tcBorders>
              <w:top w:val="nil"/>
              <w:bottom w:val="nil"/>
            </w:tcBorders>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Chimaltenango</w:t>
            </w:r>
          </w:p>
        </w:tc>
        <w:tc>
          <w:tcPr>
            <w:tcW w:w="1750" w:type="dxa"/>
            <w:tcBorders>
              <w:top w:val="nil"/>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8</w:t>
            </w:r>
          </w:p>
        </w:tc>
        <w:tc>
          <w:tcPr>
            <w:tcW w:w="1528" w:type="dxa"/>
            <w:tcBorders>
              <w:top w:val="nil"/>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2</w:t>
            </w:r>
          </w:p>
        </w:tc>
        <w:tc>
          <w:tcPr>
            <w:tcW w:w="1474" w:type="dxa"/>
            <w:tcBorders>
              <w:top w:val="nil"/>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6</w:t>
            </w:r>
          </w:p>
        </w:tc>
      </w:tr>
      <w:tr w:rsidR="00543250" w:rsidRPr="00390C46" w:rsidTr="009D72A6">
        <w:tc>
          <w:tcPr>
            <w:tcW w:w="616" w:type="dxa"/>
            <w:tcBorders>
              <w:top w:val="nil"/>
              <w:bottom w:val="nil"/>
            </w:tcBorders>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4</w:t>
            </w:r>
          </w:p>
        </w:tc>
        <w:tc>
          <w:tcPr>
            <w:tcW w:w="2002" w:type="dxa"/>
            <w:tcBorders>
              <w:top w:val="nil"/>
              <w:bottom w:val="nil"/>
            </w:tcBorders>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Escuintla</w:t>
            </w:r>
          </w:p>
        </w:tc>
        <w:tc>
          <w:tcPr>
            <w:tcW w:w="1750" w:type="dxa"/>
            <w:tcBorders>
              <w:top w:val="nil"/>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34</w:t>
            </w:r>
          </w:p>
        </w:tc>
        <w:tc>
          <w:tcPr>
            <w:tcW w:w="1528" w:type="dxa"/>
            <w:tcBorders>
              <w:top w:val="nil"/>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19</w:t>
            </w:r>
          </w:p>
        </w:tc>
        <w:tc>
          <w:tcPr>
            <w:tcW w:w="1474" w:type="dxa"/>
            <w:tcBorders>
              <w:top w:val="nil"/>
              <w:bottom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15</w:t>
            </w:r>
          </w:p>
        </w:tc>
      </w:tr>
      <w:tr w:rsidR="00543250" w:rsidRPr="00390C46" w:rsidTr="009D72A6">
        <w:tc>
          <w:tcPr>
            <w:tcW w:w="616" w:type="dxa"/>
            <w:tcBorders>
              <w:top w:val="nil"/>
            </w:tcBorders>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5</w:t>
            </w:r>
          </w:p>
        </w:tc>
        <w:tc>
          <w:tcPr>
            <w:tcW w:w="2002" w:type="dxa"/>
            <w:tcBorders>
              <w:top w:val="nil"/>
            </w:tcBorders>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Guatemala</w:t>
            </w:r>
          </w:p>
        </w:tc>
        <w:tc>
          <w:tcPr>
            <w:tcW w:w="1750" w:type="dxa"/>
            <w:tcBorders>
              <w:top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106</w:t>
            </w:r>
          </w:p>
        </w:tc>
        <w:tc>
          <w:tcPr>
            <w:tcW w:w="1528" w:type="dxa"/>
            <w:tcBorders>
              <w:top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72</w:t>
            </w:r>
          </w:p>
        </w:tc>
        <w:tc>
          <w:tcPr>
            <w:tcW w:w="1474" w:type="dxa"/>
            <w:tcBorders>
              <w:top w:val="nil"/>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34</w:t>
            </w:r>
          </w:p>
        </w:tc>
      </w:tr>
      <w:tr w:rsidR="00543250" w:rsidRPr="00390C46" w:rsidTr="00390C46">
        <w:tc>
          <w:tcPr>
            <w:tcW w:w="616"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6</w:t>
            </w:r>
          </w:p>
        </w:tc>
        <w:tc>
          <w:tcPr>
            <w:tcW w:w="2002" w:type="dxa"/>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Huehuetenango</w:t>
            </w:r>
          </w:p>
        </w:tc>
        <w:tc>
          <w:tcPr>
            <w:tcW w:w="1750"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8</w:t>
            </w:r>
          </w:p>
        </w:tc>
        <w:tc>
          <w:tcPr>
            <w:tcW w:w="1528"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5</w:t>
            </w:r>
          </w:p>
        </w:tc>
        <w:tc>
          <w:tcPr>
            <w:tcW w:w="1474"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3</w:t>
            </w:r>
          </w:p>
        </w:tc>
      </w:tr>
      <w:tr w:rsidR="00543250" w:rsidRPr="00390C46" w:rsidTr="00390C46">
        <w:tc>
          <w:tcPr>
            <w:tcW w:w="616"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7</w:t>
            </w:r>
          </w:p>
        </w:tc>
        <w:tc>
          <w:tcPr>
            <w:tcW w:w="2002" w:type="dxa"/>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 xml:space="preserve">Izabal </w:t>
            </w:r>
          </w:p>
        </w:tc>
        <w:tc>
          <w:tcPr>
            <w:tcW w:w="1750"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16</w:t>
            </w:r>
          </w:p>
        </w:tc>
        <w:tc>
          <w:tcPr>
            <w:tcW w:w="1528"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9</w:t>
            </w:r>
          </w:p>
        </w:tc>
        <w:tc>
          <w:tcPr>
            <w:tcW w:w="1474"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7</w:t>
            </w:r>
          </w:p>
        </w:tc>
      </w:tr>
      <w:tr w:rsidR="00543250" w:rsidRPr="00390C46" w:rsidTr="00390C46">
        <w:tc>
          <w:tcPr>
            <w:tcW w:w="616"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8</w:t>
            </w:r>
          </w:p>
        </w:tc>
        <w:tc>
          <w:tcPr>
            <w:tcW w:w="2002" w:type="dxa"/>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 xml:space="preserve">Jutiapa </w:t>
            </w:r>
          </w:p>
        </w:tc>
        <w:tc>
          <w:tcPr>
            <w:tcW w:w="1750"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17</w:t>
            </w:r>
          </w:p>
        </w:tc>
        <w:tc>
          <w:tcPr>
            <w:tcW w:w="1528"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12</w:t>
            </w:r>
          </w:p>
        </w:tc>
        <w:tc>
          <w:tcPr>
            <w:tcW w:w="1474"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5</w:t>
            </w:r>
          </w:p>
        </w:tc>
      </w:tr>
      <w:tr w:rsidR="00543250" w:rsidRPr="00390C46" w:rsidTr="00390C46">
        <w:tc>
          <w:tcPr>
            <w:tcW w:w="616"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9</w:t>
            </w:r>
          </w:p>
        </w:tc>
        <w:tc>
          <w:tcPr>
            <w:tcW w:w="2002" w:type="dxa"/>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 xml:space="preserve">Petén </w:t>
            </w:r>
          </w:p>
        </w:tc>
        <w:tc>
          <w:tcPr>
            <w:tcW w:w="1750"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3</w:t>
            </w:r>
          </w:p>
        </w:tc>
        <w:tc>
          <w:tcPr>
            <w:tcW w:w="1528"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w:t>
            </w:r>
          </w:p>
        </w:tc>
        <w:tc>
          <w:tcPr>
            <w:tcW w:w="1474"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2</w:t>
            </w:r>
          </w:p>
        </w:tc>
      </w:tr>
      <w:tr w:rsidR="00543250" w:rsidRPr="00390C46" w:rsidTr="00390C46">
        <w:tc>
          <w:tcPr>
            <w:tcW w:w="616"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10</w:t>
            </w:r>
          </w:p>
        </w:tc>
        <w:tc>
          <w:tcPr>
            <w:tcW w:w="2002" w:type="dxa"/>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 xml:space="preserve">Quetzaltenango </w:t>
            </w:r>
          </w:p>
        </w:tc>
        <w:tc>
          <w:tcPr>
            <w:tcW w:w="1750"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12</w:t>
            </w:r>
          </w:p>
        </w:tc>
        <w:tc>
          <w:tcPr>
            <w:tcW w:w="1528"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10</w:t>
            </w:r>
          </w:p>
        </w:tc>
        <w:tc>
          <w:tcPr>
            <w:tcW w:w="1474"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2</w:t>
            </w:r>
          </w:p>
        </w:tc>
      </w:tr>
      <w:tr w:rsidR="00543250" w:rsidRPr="00390C46" w:rsidTr="00390C46">
        <w:tc>
          <w:tcPr>
            <w:tcW w:w="616"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11</w:t>
            </w:r>
          </w:p>
        </w:tc>
        <w:tc>
          <w:tcPr>
            <w:tcW w:w="2002" w:type="dxa"/>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 xml:space="preserve">Quiché </w:t>
            </w:r>
          </w:p>
        </w:tc>
        <w:tc>
          <w:tcPr>
            <w:tcW w:w="1750"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2</w:t>
            </w:r>
          </w:p>
        </w:tc>
        <w:tc>
          <w:tcPr>
            <w:tcW w:w="1528"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2</w:t>
            </w:r>
          </w:p>
        </w:tc>
        <w:tc>
          <w:tcPr>
            <w:tcW w:w="1474"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0</w:t>
            </w:r>
          </w:p>
        </w:tc>
      </w:tr>
      <w:tr w:rsidR="00543250" w:rsidRPr="00390C46" w:rsidTr="00390C46">
        <w:tc>
          <w:tcPr>
            <w:tcW w:w="616"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12</w:t>
            </w:r>
          </w:p>
        </w:tc>
        <w:tc>
          <w:tcPr>
            <w:tcW w:w="2002" w:type="dxa"/>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Sacatepéquez</w:t>
            </w:r>
          </w:p>
        </w:tc>
        <w:tc>
          <w:tcPr>
            <w:tcW w:w="1750"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8</w:t>
            </w:r>
          </w:p>
        </w:tc>
        <w:tc>
          <w:tcPr>
            <w:tcW w:w="1528"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2</w:t>
            </w:r>
          </w:p>
        </w:tc>
        <w:tc>
          <w:tcPr>
            <w:tcW w:w="1474"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6</w:t>
            </w:r>
          </w:p>
        </w:tc>
      </w:tr>
      <w:tr w:rsidR="00543250" w:rsidRPr="00390C46" w:rsidTr="00390C46">
        <w:tc>
          <w:tcPr>
            <w:tcW w:w="616"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13</w:t>
            </w:r>
          </w:p>
        </w:tc>
        <w:tc>
          <w:tcPr>
            <w:tcW w:w="2002" w:type="dxa"/>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 xml:space="preserve">San Marcos </w:t>
            </w:r>
          </w:p>
        </w:tc>
        <w:tc>
          <w:tcPr>
            <w:tcW w:w="1750"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9</w:t>
            </w:r>
          </w:p>
        </w:tc>
        <w:tc>
          <w:tcPr>
            <w:tcW w:w="1528"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5</w:t>
            </w:r>
          </w:p>
        </w:tc>
        <w:tc>
          <w:tcPr>
            <w:tcW w:w="1474"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4</w:t>
            </w:r>
          </w:p>
        </w:tc>
      </w:tr>
      <w:tr w:rsidR="00543250" w:rsidRPr="00390C46" w:rsidTr="00390C46">
        <w:tc>
          <w:tcPr>
            <w:tcW w:w="616"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14</w:t>
            </w:r>
          </w:p>
        </w:tc>
        <w:tc>
          <w:tcPr>
            <w:tcW w:w="2002" w:type="dxa"/>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 xml:space="preserve">Suchitepéquez </w:t>
            </w:r>
          </w:p>
        </w:tc>
        <w:tc>
          <w:tcPr>
            <w:tcW w:w="1750"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11</w:t>
            </w:r>
          </w:p>
        </w:tc>
        <w:tc>
          <w:tcPr>
            <w:tcW w:w="1528"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8</w:t>
            </w:r>
          </w:p>
        </w:tc>
        <w:tc>
          <w:tcPr>
            <w:tcW w:w="1474"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3</w:t>
            </w:r>
          </w:p>
        </w:tc>
      </w:tr>
      <w:tr w:rsidR="00543250" w:rsidRPr="00390C46" w:rsidTr="00181BFF">
        <w:tc>
          <w:tcPr>
            <w:tcW w:w="616" w:type="dxa"/>
            <w:tcBorders>
              <w:bottom w:val="single" w:sz="4" w:space="0" w:color="auto"/>
            </w:tcBorders>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15</w:t>
            </w:r>
          </w:p>
        </w:tc>
        <w:tc>
          <w:tcPr>
            <w:tcW w:w="2002" w:type="dxa"/>
            <w:tcBorders>
              <w:bottom w:val="single" w:sz="4" w:space="0" w:color="auto"/>
            </w:tcBorders>
            <w:shd w:val="clear" w:color="auto" w:fill="auto"/>
            <w:vAlign w:val="bottom"/>
          </w:tcPr>
          <w:p w:rsidR="00543250" w:rsidRPr="00390C46" w:rsidRDefault="00543250" w:rsidP="00C52D58">
            <w:pPr>
              <w:suppressAutoHyphens w:val="0"/>
              <w:spacing w:before="40" w:after="40" w:line="220" w:lineRule="exact"/>
              <w:ind w:right="113"/>
              <w:rPr>
                <w:sz w:val="18"/>
              </w:rPr>
            </w:pPr>
            <w:r w:rsidRPr="00390C46">
              <w:rPr>
                <w:sz w:val="18"/>
              </w:rPr>
              <w:t>Zacapa</w:t>
            </w:r>
          </w:p>
        </w:tc>
        <w:tc>
          <w:tcPr>
            <w:tcW w:w="1750" w:type="dxa"/>
            <w:tcBorders>
              <w:bottom w:val="single" w:sz="4" w:space="0" w:color="auto"/>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15</w:t>
            </w:r>
          </w:p>
        </w:tc>
        <w:tc>
          <w:tcPr>
            <w:tcW w:w="1528" w:type="dxa"/>
            <w:tcBorders>
              <w:bottom w:val="single" w:sz="4" w:space="0" w:color="auto"/>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6</w:t>
            </w:r>
          </w:p>
        </w:tc>
        <w:tc>
          <w:tcPr>
            <w:tcW w:w="1474" w:type="dxa"/>
            <w:tcBorders>
              <w:bottom w:val="single" w:sz="4" w:space="0" w:color="auto"/>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9</w:t>
            </w:r>
          </w:p>
        </w:tc>
      </w:tr>
      <w:tr w:rsidR="00543250" w:rsidRPr="00181BFF" w:rsidTr="00181BFF">
        <w:tc>
          <w:tcPr>
            <w:tcW w:w="2618" w:type="dxa"/>
            <w:gridSpan w:val="2"/>
            <w:tcBorders>
              <w:top w:val="single" w:sz="4" w:space="0" w:color="auto"/>
              <w:bottom w:val="single" w:sz="4" w:space="0" w:color="auto"/>
            </w:tcBorders>
            <w:shd w:val="clear" w:color="auto" w:fill="auto"/>
          </w:tcPr>
          <w:p w:rsidR="00543250" w:rsidRPr="00181BFF" w:rsidRDefault="00543250" w:rsidP="00181BFF">
            <w:pPr>
              <w:suppressAutoHyphens w:val="0"/>
              <w:spacing w:before="80" w:after="80" w:line="220" w:lineRule="exact"/>
              <w:ind w:right="113"/>
              <w:jc w:val="right"/>
              <w:rPr>
                <w:b/>
                <w:sz w:val="18"/>
              </w:rPr>
            </w:pPr>
            <w:r w:rsidRPr="00181BFF">
              <w:rPr>
                <w:b/>
                <w:sz w:val="18"/>
              </w:rPr>
              <w:t>Total</w:t>
            </w:r>
          </w:p>
        </w:tc>
        <w:tc>
          <w:tcPr>
            <w:tcW w:w="1750" w:type="dxa"/>
            <w:tcBorders>
              <w:top w:val="single" w:sz="4" w:space="0" w:color="auto"/>
              <w:bottom w:val="single" w:sz="4" w:space="0" w:color="auto"/>
            </w:tcBorders>
            <w:shd w:val="clear" w:color="auto" w:fill="auto"/>
            <w:vAlign w:val="bottom"/>
          </w:tcPr>
          <w:p w:rsidR="00543250" w:rsidRPr="00181BFF" w:rsidRDefault="00543250" w:rsidP="00181BFF">
            <w:pPr>
              <w:suppressAutoHyphens w:val="0"/>
              <w:spacing w:before="80" w:after="80" w:line="220" w:lineRule="exact"/>
              <w:ind w:right="113"/>
              <w:jc w:val="right"/>
              <w:rPr>
                <w:b/>
                <w:sz w:val="18"/>
              </w:rPr>
            </w:pPr>
            <w:r w:rsidRPr="00181BFF">
              <w:rPr>
                <w:b/>
                <w:sz w:val="18"/>
              </w:rPr>
              <w:t>266</w:t>
            </w:r>
          </w:p>
        </w:tc>
        <w:tc>
          <w:tcPr>
            <w:tcW w:w="1528" w:type="dxa"/>
            <w:tcBorders>
              <w:top w:val="single" w:sz="4" w:space="0" w:color="auto"/>
              <w:bottom w:val="single" w:sz="4" w:space="0" w:color="auto"/>
            </w:tcBorders>
            <w:shd w:val="clear" w:color="auto" w:fill="auto"/>
            <w:vAlign w:val="bottom"/>
          </w:tcPr>
          <w:p w:rsidR="00543250" w:rsidRPr="00181BFF" w:rsidRDefault="00543250" w:rsidP="00181BFF">
            <w:pPr>
              <w:suppressAutoHyphens w:val="0"/>
              <w:spacing w:before="80" w:after="80" w:line="220" w:lineRule="exact"/>
              <w:ind w:right="113"/>
              <w:jc w:val="right"/>
              <w:rPr>
                <w:b/>
                <w:sz w:val="18"/>
              </w:rPr>
            </w:pPr>
            <w:r w:rsidRPr="00181BFF">
              <w:rPr>
                <w:b/>
                <w:sz w:val="18"/>
              </w:rPr>
              <w:t>161</w:t>
            </w:r>
          </w:p>
        </w:tc>
        <w:tc>
          <w:tcPr>
            <w:tcW w:w="1474" w:type="dxa"/>
            <w:tcBorders>
              <w:top w:val="single" w:sz="4" w:space="0" w:color="auto"/>
              <w:bottom w:val="single" w:sz="4" w:space="0" w:color="auto"/>
            </w:tcBorders>
            <w:shd w:val="clear" w:color="auto" w:fill="auto"/>
            <w:vAlign w:val="bottom"/>
          </w:tcPr>
          <w:p w:rsidR="00543250" w:rsidRPr="00181BFF" w:rsidRDefault="00543250" w:rsidP="00181BFF">
            <w:pPr>
              <w:suppressAutoHyphens w:val="0"/>
              <w:spacing w:before="80" w:after="80" w:line="220" w:lineRule="exact"/>
              <w:ind w:right="113"/>
              <w:jc w:val="right"/>
              <w:rPr>
                <w:b/>
                <w:sz w:val="18"/>
              </w:rPr>
            </w:pPr>
            <w:r w:rsidRPr="00181BFF">
              <w:rPr>
                <w:b/>
                <w:sz w:val="18"/>
              </w:rPr>
              <w:t>105</w:t>
            </w:r>
          </w:p>
        </w:tc>
      </w:tr>
    </w:tbl>
    <w:p w:rsidR="00543250" w:rsidRPr="00D6477A" w:rsidRDefault="00543250" w:rsidP="00D6477A">
      <w:pPr>
        <w:spacing w:before="120" w:after="240"/>
        <w:ind w:left="1134" w:right="1134" w:firstLine="170"/>
        <w:rPr>
          <w:sz w:val="18"/>
        </w:rPr>
      </w:pPr>
      <w:r w:rsidRPr="00D6477A">
        <w:rPr>
          <w:i/>
          <w:iCs/>
          <w:sz w:val="18"/>
        </w:rPr>
        <w:t>Source:</w:t>
      </w:r>
      <w:r w:rsidRPr="00D6477A">
        <w:rPr>
          <w:sz w:val="18"/>
        </w:rPr>
        <w:t xml:space="preserve"> </w:t>
      </w:r>
      <w:r w:rsidR="00D6477A">
        <w:rPr>
          <w:sz w:val="18"/>
        </w:rPr>
        <w:t xml:space="preserve"> </w:t>
      </w:r>
      <w:r w:rsidRPr="00D6477A">
        <w:rPr>
          <w:sz w:val="18"/>
        </w:rPr>
        <w:t>Social Welfare Secretariat.</w:t>
      </w:r>
    </w:p>
    <w:p w:rsidR="00543250" w:rsidRPr="00A93EAD" w:rsidRDefault="00543250" w:rsidP="000C141E">
      <w:pPr>
        <w:pStyle w:val="SingleTxtG"/>
      </w:pPr>
      <w:r w:rsidRPr="00A93EAD">
        <w:t>26.</w:t>
      </w:r>
      <w:r w:rsidRPr="00A93EAD">
        <w:tab/>
        <w:t>Of the 266 persons being monitored in 15 departments nationwide, 112 are now adults and are receiving support in their transition to adult life, each according to his or her particular situation.</w:t>
      </w:r>
    </w:p>
    <w:p w:rsidR="00543250" w:rsidRPr="00A93EAD" w:rsidRDefault="00543250" w:rsidP="000C141E">
      <w:pPr>
        <w:pStyle w:val="SingleTxtG"/>
      </w:pPr>
      <w:r w:rsidRPr="00A93EAD">
        <w:t>27.</w:t>
      </w:r>
      <w:r w:rsidRPr="00A93EAD">
        <w:tab/>
        <w:t xml:space="preserve">Through the adoption of Decree No. 16-2018, the Congress declared 8 March a national day of remembrance of the victims of the tragedy and granted life annuities to the 15 survivors. </w:t>
      </w:r>
    </w:p>
    <w:p w:rsidR="00543250" w:rsidRPr="00A93EAD" w:rsidRDefault="00543250" w:rsidP="000C141E">
      <w:pPr>
        <w:pStyle w:val="SingleTxtG"/>
      </w:pPr>
      <w:r w:rsidRPr="00A93EAD">
        <w:t>28.</w:t>
      </w:r>
      <w:r w:rsidRPr="00A93EAD">
        <w:tab/>
        <w:t>To allow survivors to remain in their home settings, as a guarantee of non-repetition and to ensure that children and adolescents who have been reunited with their immediate or extended families are not institutionalized or revictimized as a result of factors that caused them be placed in a shelter in the first place, the Social Welfare Secretariat issued Decision No. 247-2018 on 18 September 2018, thereby adopting regulations on the granting of family allowances to child and adolescent victims of the tragedy of 8 March 2017. The allowances may be granted for a maximum period of four years, during which time the authorities will see to it that the money is used by its designated administrator for the benefit of the child or adolescent in question. Allowances expire when the child or adolescent reaches the age of majority.</w:t>
      </w:r>
    </w:p>
    <w:p w:rsidR="00543250" w:rsidRPr="00A93EAD" w:rsidRDefault="00543250" w:rsidP="00D6477A">
      <w:pPr>
        <w:pStyle w:val="H1G"/>
      </w:pPr>
      <w:r w:rsidRPr="00A93EAD">
        <w:tab/>
        <w:t>E.</w:t>
      </w:r>
      <w:r w:rsidRPr="00A93EAD">
        <w:tab/>
        <w:t>Follow-up information relating to paragraph 27 (a) of the concluding observations</w:t>
      </w:r>
    </w:p>
    <w:p w:rsidR="00543250" w:rsidRPr="00A93EAD" w:rsidRDefault="00543250" w:rsidP="000C141E">
      <w:pPr>
        <w:pStyle w:val="SingleTxtG"/>
      </w:pPr>
      <w:r w:rsidRPr="00A93EAD">
        <w:t>29.</w:t>
      </w:r>
      <w:r w:rsidRPr="00A93EAD">
        <w:tab/>
        <w:t>In October 2019, the Public Prosecution Service presented its policy for the criminal prosecution of human rights violations, the aim of which is to protect the rights of victims and to facilitate the investigation and criminal prosecution of grave violations of human rights and international humanitarian law.</w:t>
      </w:r>
    </w:p>
    <w:p w:rsidR="00543250" w:rsidRPr="00A93EAD" w:rsidRDefault="00543250" w:rsidP="000C141E">
      <w:pPr>
        <w:pStyle w:val="SingleTxtG"/>
      </w:pPr>
      <w:r w:rsidRPr="00A93EAD">
        <w:t>30.</w:t>
      </w:r>
      <w:r w:rsidRPr="00A93EAD">
        <w:tab/>
        <w:t xml:space="preserve">The policy is intended to strengthen the Public Prosecution Service, in particular the Office of the Prosecutor for Human Rights, which investigates cases involving offences against human life. The Office has five special units responsible for investigating: (a) human rights violations; (b) special cases related to the internal armed conflict; (c) offences against trade unionists; (d) offences against human rights activists, justice officials and journalists; and (e) discrimination offences. These units were established to ensure the continued pursuit of effective, efficient investigations into offences against human rights </w:t>
      </w:r>
      <w:r w:rsidRPr="00A93EAD">
        <w:lastRenderedPageBreak/>
        <w:t>defenders and activists, journalists, justice officials and trade unionists, cases of discrimination and crimes committed in the context of the internal armed conflict.</w:t>
      </w:r>
    </w:p>
    <w:p w:rsidR="00543250" w:rsidRPr="00A93EAD" w:rsidRDefault="00543250" w:rsidP="000C141E">
      <w:pPr>
        <w:pStyle w:val="SingleTxtG"/>
      </w:pPr>
      <w:r w:rsidRPr="00A93EAD">
        <w:t>31.</w:t>
      </w:r>
      <w:r w:rsidRPr="00A93EAD">
        <w:tab/>
        <w:t>The policy is implemented through a strategic framework and a plan of action structured around three main priorities: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Investigation and criminal prosecution of violations of human rights and international humanitarian law</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Action on cases related to the internal armed conflict</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Victims</w:t>
      </w:r>
      <w:r w:rsidR="00664508">
        <w:t>’</w:t>
      </w:r>
      <w:r w:rsidR="00543250" w:rsidRPr="00A93EAD">
        <w:t xml:space="preserve"> rights.</w:t>
      </w:r>
    </w:p>
    <w:p w:rsidR="00543250" w:rsidRPr="00A93EAD" w:rsidRDefault="00543250" w:rsidP="000C141E">
      <w:pPr>
        <w:pStyle w:val="SingleTxtG"/>
      </w:pPr>
      <w:r w:rsidRPr="00A93EAD">
        <w:t>32.</w:t>
      </w:r>
      <w:r w:rsidRPr="00A93EAD">
        <w:tab/>
        <w:t>The policy reflects a human-rights and gender-based approach and is grounded in the principle of non-discrimination and the rights to truth, justice, full reparation and guarantees of non-repetition.</w:t>
      </w:r>
    </w:p>
    <w:p w:rsidR="00543250" w:rsidRPr="00A93EAD" w:rsidRDefault="00543250" w:rsidP="000C141E">
      <w:pPr>
        <w:pStyle w:val="SingleTxtG"/>
      </w:pPr>
      <w:r w:rsidRPr="00A93EAD">
        <w:t>33.</w:t>
      </w:r>
      <w:r w:rsidRPr="00A93EAD">
        <w:tab/>
        <w:t>The National Civil Police assists in the investigation process in accordance with the requirements of the investigating body. Police officers and officials carry out their tasks under the orders and direct supervision of the Public Prosecution Service, which sees to it that the police and other security forces properly perform their auxiliary role in the conduct of investigative tasks. The prosecutors in charge of the investigation may give police officials instructions in this regard, while taking care to respect the administrative organization of the police force.</w:t>
      </w:r>
    </w:p>
    <w:p w:rsidR="00543250" w:rsidRPr="00664508" w:rsidRDefault="00543250" w:rsidP="000C141E">
      <w:pPr>
        <w:pStyle w:val="SingleTxtG"/>
        <w:rPr>
          <w:rStyle w:val="FootnoteReference"/>
        </w:rPr>
      </w:pPr>
      <w:r w:rsidRPr="00A93EAD">
        <w:t>34.</w:t>
      </w:r>
      <w:r w:rsidRPr="00A93EAD">
        <w:tab/>
        <w:t>The National Institute of Forensic Sciences assists the justice system by conducting forensic investigations; its main purpose is to provide an independent scientific investigation service that includes issuing scientific expert opinions.</w:t>
      </w:r>
      <w:r w:rsidRPr="00664508">
        <w:rPr>
          <w:rStyle w:val="FootnoteReference"/>
        </w:rPr>
        <w:footnoteReference w:id="2"/>
      </w:r>
    </w:p>
    <w:p w:rsidR="00543250" w:rsidRPr="00A93EAD" w:rsidRDefault="00543250" w:rsidP="00E0090A">
      <w:pPr>
        <w:pStyle w:val="H1G"/>
      </w:pPr>
      <w:r w:rsidRPr="00A93EAD">
        <w:tab/>
        <w:t>F.</w:t>
      </w:r>
      <w:r w:rsidRPr="00A93EAD">
        <w:tab/>
        <w:t xml:space="preserve">Follow-up information relating to paragraph 33 (d) of the concluding observations </w:t>
      </w:r>
    </w:p>
    <w:p w:rsidR="00543250" w:rsidRPr="00A93EAD" w:rsidRDefault="00543250" w:rsidP="000C141E">
      <w:pPr>
        <w:pStyle w:val="SingleTxtG"/>
      </w:pPr>
      <w:r w:rsidRPr="00A93EAD">
        <w:t>35.</w:t>
      </w:r>
      <w:r w:rsidRPr="00A93EAD">
        <w:tab/>
        <w:t>In December 2016, the National Security Council adopted an operational plan for the gradual withdrawal of the Guatemalan army from public safety operations as of 2017. The Ministry of the Interior was responsible for overseeing the plan, which was launched in January 2017 and implemented in three phases.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 xml:space="preserve">Phase one: Beginning on 6 January 2017, steps were taken to adapt and reorganize the Public Security Special Reserve Corps, which from then on was to act only at the request of and in cooperation with the National Civil Police in </w:t>
      </w:r>
      <w:r w:rsidR="00327831">
        <w:t>5</w:t>
      </w:r>
      <w:r w:rsidR="00543250" w:rsidRPr="00A93EAD">
        <w:t xml:space="preserve"> departments and 30 municipalities that had been identified as red zones.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Phase two: On 1 April 2017, 50 per cent of the personnel of the Public Security Special Reserve Corps were discharged from their support duties, with the remaining personnel acting only at the request of the National Civil Police and only in 11 municipalities of departments that had been identified as red zones.</w:t>
      </w:r>
    </w:p>
    <w:p w:rsidR="00543250" w:rsidRPr="00A93EAD" w:rsidRDefault="008853A6" w:rsidP="008853A6">
      <w:pPr>
        <w:pStyle w:val="Bullet1G"/>
        <w:numPr>
          <w:ilvl w:val="0"/>
          <w:numId w:val="0"/>
        </w:numPr>
        <w:tabs>
          <w:tab w:val="left" w:pos="1701"/>
        </w:tabs>
        <w:ind w:left="1701" w:hanging="170"/>
      </w:pPr>
      <w:r w:rsidRPr="00A93EAD">
        <w:t>•</w:t>
      </w:r>
      <w:r w:rsidRPr="00A93EAD">
        <w:tab/>
      </w:r>
      <w:r w:rsidR="00543250" w:rsidRPr="00A93EAD">
        <w:t>Phase three: On 1 January 2018, the remaining 50 per cent of the personnel of the Public Security Special Reserve Corps were discharged, and full responsibility for public safety operations was left with the National Civil Police.</w:t>
      </w:r>
    </w:p>
    <w:p w:rsidR="00543250" w:rsidRPr="00A93EAD" w:rsidRDefault="00543250" w:rsidP="000C141E">
      <w:pPr>
        <w:pStyle w:val="SingleTxtG"/>
      </w:pPr>
      <w:r w:rsidRPr="00A93EAD">
        <w:t>36.</w:t>
      </w:r>
      <w:r w:rsidRPr="00A93EAD">
        <w:tab/>
        <w:t>Military police brigades continue to maintain discipline, law and order in military units, to assist other State institutions and, at the request of the National Civil Police, to provide support during operations to ensure public safety and well-being.</w:t>
      </w:r>
    </w:p>
    <w:p w:rsidR="00543250" w:rsidRPr="00A93EAD" w:rsidRDefault="00543250" w:rsidP="000C141E">
      <w:pPr>
        <w:pStyle w:val="SingleTxtG"/>
      </w:pPr>
      <w:r w:rsidRPr="00A93EAD">
        <w:t>37.</w:t>
      </w:r>
      <w:r w:rsidRPr="00A93EAD">
        <w:tab/>
        <w:t>The Guatemalan army provides support to the Ministry of the Interior, as the entity responsible for the area of public safety, only at the request of the National Civil Police.</w:t>
      </w:r>
    </w:p>
    <w:p w:rsidR="00543250" w:rsidRPr="00A93EAD" w:rsidRDefault="00543250" w:rsidP="000C141E">
      <w:pPr>
        <w:pStyle w:val="SingleTxtG"/>
      </w:pPr>
      <w:r w:rsidRPr="00A93EAD">
        <w:t>38.</w:t>
      </w:r>
      <w:r w:rsidRPr="00A93EAD">
        <w:tab/>
        <w:t xml:space="preserve">In consequence, changes were made to programme 12, </w:t>
      </w:r>
      <w:r w:rsidR="00664508">
        <w:t>“</w:t>
      </w:r>
      <w:r w:rsidRPr="00A93EAD">
        <w:t>Prevention of offences against property</w:t>
      </w:r>
      <w:r w:rsidR="00664508">
        <w:t>”</w:t>
      </w:r>
      <w:r w:rsidRPr="00A93EAD">
        <w:t xml:space="preserve">, in 2018 to transfer personnel from the Public Security Special Reserve Corps to the various mission areas under a new activity included in programme 11, </w:t>
      </w:r>
      <w:r w:rsidR="00664508">
        <w:t>“</w:t>
      </w:r>
      <w:r w:rsidRPr="00A93EAD">
        <w:t>Defence of sovereignty and territorial integrity</w:t>
      </w:r>
      <w:r w:rsidR="00664508">
        <w:t>”</w:t>
      </w:r>
      <w:r w:rsidRPr="00A93EAD">
        <w:t>.</w:t>
      </w:r>
    </w:p>
    <w:p w:rsidR="00543250" w:rsidRPr="00A93EAD" w:rsidRDefault="00543250" w:rsidP="00E0090A">
      <w:pPr>
        <w:pStyle w:val="H1G"/>
      </w:pPr>
      <w:r w:rsidRPr="00A93EAD">
        <w:lastRenderedPageBreak/>
        <w:tab/>
        <w:t>G.</w:t>
      </w:r>
      <w:r w:rsidRPr="00A93EAD">
        <w:tab/>
        <w:t xml:space="preserve">Follow-up information relating to paragraph 33 (e) of the concluding observations </w:t>
      </w:r>
    </w:p>
    <w:p w:rsidR="00543250" w:rsidRPr="00A93EAD" w:rsidRDefault="00543250" w:rsidP="000C141E">
      <w:pPr>
        <w:pStyle w:val="SingleTxtG"/>
      </w:pPr>
      <w:r w:rsidRPr="00A93EAD">
        <w:t>39.</w:t>
      </w:r>
      <w:r w:rsidRPr="00A93EAD">
        <w:tab/>
        <w:t>The Ministry of the Interior has reported the following information relating to private security firms (figures are for 2019).</w:t>
      </w:r>
    </w:p>
    <w:p w:rsidR="00543250" w:rsidRPr="00A93EAD" w:rsidRDefault="00543250" w:rsidP="00390C46">
      <w:pPr>
        <w:pStyle w:val="H23G"/>
      </w:pPr>
      <w:r w:rsidRPr="00A93EAD">
        <w:tab/>
      </w:r>
      <w:r w:rsidRPr="00A93EAD">
        <w:tab/>
        <w:t>Training</w:t>
      </w:r>
    </w:p>
    <w:p w:rsidR="00543250" w:rsidRPr="00A93EAD" w:rsidRDefault="00543250" w:rsidP="000C141E">
      <w:pPr>
        <w:pStyle w:val="SingleTxtG"/>
      </w:pPr>
      <w:r w:rsidRPr="00A93EAD">
        <w:t>40.</w:t>
      </w:r>
      <w:r w:rsidRPr="00A93EAD">
        <w:tab/>
        <w:t>Five training sessions were organized for 53 employees of the General Directorate of Private Security Services.</w:t>
      </w:r>
    </w:p>
    <w:p w:rsidR="00543250" w:rsidRPr="00A93EAD" w:rsidRDefault="00543250" w:rsidP="000C141E">
      <w:pPr>
        <w:pStyle w:val="SingleTxtG"/>
      </w:pPr>
      <w:r w:rsidRPr="00A93EAD">
        <w:t>41.</w:t>
      </w:r>
      <w:r w:rsidRPr="00A93EAD">
        <w:tab/>
        <w:t>Training was also organized for 39 persons from other institutions (National Civil Police, Weapons and Explosives Investigation and Disposal Division).</w:t>
      </w:r>
      <w:r w:rsidR="00DF123E">
        <w:t xml:space="preserve"> </w:t>
      </w:r>
    </w:p>
    <w:p w:rsidR="00543250" w:rsidRPr="00A93EAD" w:rsidRDefault="00543250" w:rsidP="000C141E">
      <w:pPr>
        <w:pStyle w:val="SingleTxtG"/>
      </w:pPr>
      <w:r w:rsidRPr="00A93EAD">
        <w:t>42.</w:t>
      </w:r>
      <w:r w:rsidRPr="00A93EAD">
        <w:tab/>
        <w:t xml:space="preserve">Three training sessions were held for directors and instructors. </w:t>
      </w:r>
    </w:p>
    <w:p w:rsidR="00543250" w:rsidRPr="00A93EAD" w:rsidRDefault="00543250" w:rsidP="00390C46">
      <w:pPr>
        <w:pStyle w:val="H23G"/>
      </w:pPr>
      <w:r w:rsidRPr="00A93EAD">
        <w:tab/>
      </w:r>
      <w:r w:rsidRPr="00A93EAD">
        <w:tab/>
        <w:t>Accreditation of private security officers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543250" w:rsidRPr="00390C46" w:rsidTr="00390C46">
        <w:trPr>
          <w:tblHeader/>
        </w:trPr>
        <w:tc>
          <w:tcPr>
            <w:tcW w:w="3685" w:type="dxa"/>
            <w:tcBorders>
              <w:top w:val="single" w:sz="4" w:space="0" w:color="auto"/>
              <w:bottom w:val="single" w:sz="12" w:space="0" w:color="auto"/>
            </w:tcBorders>
            <w:shd w:val="clear" w:color="auto" w:fill="auto"/>
            <w:vAlign w:val="bottom"/>
          </w:tcPr>
          <w:p w:rsidR="00543250" w:rsidRPr="00390C46" w:rsidRDefault="00543250" w:rsidP="00390C46">
            <w:pPr>
              <w:suppressAutoHyphens w:val="0"/>
              <w:spacing w:before="80" w:after="80" w:line="200" w:lineRule="exact"/>
              <w:ind w:right="113"/>
              <w:rPr>
                <w:i/>
                <w:sz w:val="16"/>
              </w:rPr>
            </w:pPr>
            <w:r w:rsidRPr="00390C46">
              <w:rPr>
                <w:i/>
                <w:sz w:val="16"/>
              </w:rPr>
              <w:t>Classification</w:t>
            </w:r>
          </w:p>
        </w:tc>
        <w:tc>
          <w:tcPr>
            <w:tcW w:w="3685" w:type="dxa"/>
            <w:tcBorders>
              <w:top w:val="single" w:sz="4" w:space="0" w:color="auto"/>
              <w:bottom w:val="single" w:sz="12" w:space="0" w:color="auto"/>
            </w:tcBorders>
            <w:shd w:val="clear" w:color="auto" w:fill="auto"/>
            <w:vAlign w:val="bottom"/>
          </w:tcPr>
          <w:p w:rsidR="00543250" w:rsidRPr="00390C46" w:rsidRDefault="00543250" w:rsidP="00390C46">
            <w:pPr>
              <w:suppressAutoHyphens w:val="0"/>
              <w:spacing w:before="80" w:after="80" w:line="200" w:lineRule="exact"/>
              <w:ind w:right="113"/>
              <w:jc w:val="right"/>
              <w:rPr>
                <w:i/>
                <w:sz w:val="16"/>
              </w:rPr>
            </w:pPr>
            <w:r w:rsidRPr="00390C46">
              <w:rPr>
                <w:i/>
                <w:sz w:val="16"/>
              </w:rPr>
              <w:t>Total</w:t>
            </w:r>
          </w:p>
        </w:tc>
      </w:tr>
      <w:tr w:rsidR="00543250" w:rsidRPr="00390C46" w:rsidTr="00390C46">
        <w:tc>
          <w:tcPr>
            <w:tcW w:w="3685" w:type="dxa"/>
            <w:tcBorders>
              <w:top w:val="single" w:sz="12" w:space="0" w:color="auto"/>
            </w:tcBorders>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Private security guards</w:t>
            </w:r>
          </w:p>
        </w:tc>
        <w:tc>
          <w:tcPr>
            <w:tcW w:w="3685" w:type="dxa"/>
            <w:tcBorders>
              <w:top w:val="single" w:sz="12" w:space="0" w:color="auto"/>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3 238</w:t>
            </w:r>
          </w:p>
        </w:tc>
      </w:tr>
      <w:tr w:rsidR="00543250" w:rsidRPr="00390C46" w:rsidTr="00390C46">
        <w:tc>
          <w:tcPr>
            <w:tcW w:w="3685"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Guards tasked with protecting rural estates</w:t>
            </w:r>
          </w:p>
        </w:tc>
        <w:tc>
          <w:tcPr>
            <w:tcW w:w="3685"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43</w:t>
            </w:r>
          </w:p>
        </w:tc>
      </w:tr>
      <w:tr w:rsidR="00543250" w:rsidRPr="00390C46" w:rsidTr="00390C46">
        <w:tc>
          <w:tcPr>
            <w:tcW w:w="3685"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Private bodyguards</w:t>
            </w:r>
          </w:p>
        </w:tc>
        <w:tc>
          <w:tcPr>
            <w:tcW w:w="3685"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53</w:t>
            </w:r>
          </w:p>
        </w:tc>
      </w:tr>
      <w:tr w:rsidR="00543250" w:rsidRPr="00390C46" w:rsidTr="00390C46">
        <w:tc>
          <w:tcPr>
            <w:tcW w:w="3685" w:type="dxa"/>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Training centre instructors</w:t>
            </w:r>
          </w:p>
        </w:tc>
        <w:tc>
          <w:tcPr>
            <w:tcW w:w="3685" w:type="dxa"/>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40</w:t>
            </w:r>
          </w:p>
        </w:tc>
      </w:tr>
      <w:tr w:rsidR="00543250" w:rsidRPr="00390C46" w:rsidTr="00A21819">
        <w:tc>
          <w:tcPr>
            <w:tcW w:w="3685" w:type="dxa"/>
            <w:tcBorders>
              <w:bottom w:val="single" w:sz="4" w:space="0" w:color="auto"/>
            </w:tcBorders>
            <w:shd w:val="clear" w:color="auto" w:fill="auto"/>
          </w:tcPr>
          <w:p w:rsidR="00543250" w:rsidRPr="00390C46" w:rsidRDefault="00543250" w:rsidP="00390C46">
            <w:pPr>
              <w:suppressAutoHyphens w:val="0"/>
              <w:spacing w:before="40" w:after="40" w:line="220" w:lineRule="exact"/>
              <w:ind w:right="113"/>
              <w:rPr>
                <w:sz w:val="18"/>
              </w:rPr>
            </w:pPr>
            <w:r w:rsidRPr="00390C46">
              <w:rPr>
                <w:sz w:val="18"/>
              </w:rPr>
              <w:t>Training centre directors</w:t>
            </w:r>
          </w:p>
        </w:tc>
        <w:tc>
          <w:tcPr>
            <w:tcW w:w="3685" w:type="dxa"/>
            <w:tcBorders>
              <w:bottom w:val="single" w:sz="4" w:space="0" w:color="auto"/>
            </w:tcBorders>
            <w:shd w:val="clear" w:color="auto" w:fill="auto"/>
            <w:vAlign w:val="bottom"/>
          </w:tcPr>
          <w:p w:rsidR="00543250" w:rsidRPr="00390C46" w:rsidRDefault="00543250" w:rsidP="00390C46">
            <w:pPr>
              <w:suppressAutoHyphens w:val="0"/>
              <w:spacing w:before="40" w:after="40" w:line="220" w:lineRule="exact"/>
              <w:ind w:right="113"/>
              <w:jc w:val="right"/>
              <w:rPr>
                <w:sz w:val="18"/>
              </w:rPr>
            </w:pPr>
            <w:r w:rsidRPr="00390C46">
              <w:rPr>
                <w:sz w:val="18"/>
              </w:rPr>
              <w:t>26</w:t>
            </w:r>
          </w:p>
        </w:tc>
      </w:tr>
      <w:tr w:rsidR="00543250" w:rsidRPr="00390C46" w:rsidTr="00A21819">
        <w:tc>
          <w:tcPr>
            <w:tcW w:w="3685" w:type="dxa"/>
            <w:tcBorders>
              <w:top w:val="single" w:sz="4" w:space="0" w:color="auto"/>
              <w:bottom w:val="single" w:sz="12" w:space="0" w:color="auto"/>
            </w:tcBorders>
            <w:shd w:val="clear" w:color="auto" w:fill="auto"/>
          </w:tcPr>
          <w:p w:rsidR="00543250" w:rsidRPr="00390C46" w:rsidRDefault="00543250" w:rsidP="00390C46">
            <w:pPr>
              <w:suppressAutoHyphens w:val="0"/>
              <w:spacing w:before="80" w:after="80" w:line="220" w:lineRule="exact"/>
              <w:ind w:right="113"/>
              <w:jc w:val="right"/>
              <w:rPr>
                <w:b/>
                <w:sz w:val="18"/>
              </w:rPr>
            </w:pPr>
            <w:r w:rsidRPr="00390C46">
              <w:rPr>
                <w:b/>
                <w:sz w:val="18"/>
              </w:rPr>
              <w:t xml:space="preserve">Total </w:t>
            </w:r>
          </w:p>
        </w:tc>
        <w:tc>
          <w:tcPr>
            <w:tcW w:w="3685" w:type="dxa"/>
            <w:tcBorders>
              <w:top w:val="single" w:sz="4" w:space="0" w:color="auto"/>
              <w:bottom w:val="single" w:sz="12" w:space="0" w:color="auto"/>
            </w:tcBorders>
            <w:shd w:val="clear" w:color="auto" w:fill="auto"/>
            <w:vAlign w:val="bottom"/>
          </w:tcPr>
          <w:p w:rsidR="00543250" w:rsidRPr="00390C46" w:rsidRDefault="00543250" w:rsidP="00390C46">
            <w:pPr>
              <w:suppressAutoHyphens w:val="0"/>
              <w:spacing w:before="80" w:after="80" w:line="220" w:lineRule="exact"/>
              <w:ind w:right="113"/>
              <w:jc w:val="right"/>
              <w:rPr>
                <w:b/>
                <w:sz w:val="18"/>
              </w:rPr>
            </w:pPr>
            <w:r w:rsidRPr="00390C46">
              <w:rPr>
                <w:b/>
                <w:sz w:val="18"/>
              </w:rPr>
              <w:t>3 400</w:t>
            </w:r>
          </w:p>
        </w:tc>
      </w:tr>
    </w:tbl>
    <w:p w:rsidR="00543250" w:rsidRPr="00A93EAD" w:rsidRDefault="00543250" w:rsidP="00CF1AC5">
      <w:pPr>
        <w:pStyle w:val="H23G"/>
      </w:pPr>
      <w:r w:rsidRPr="00A93EAD">
        <w:tab/>
      </w:r>
      <w:r w:rsidRPr="00A93EAD">
        <w:tab/>
        <w:t>Regulation</w:t>
      </w:r>
    </w:p>
    <w:p w:rsidR="00543250" w:rsidRPr="00A93EAD" w:rsidRDefault="00543250" w:rsidP="00CF1AC5">
      <w:pPr>
        <w:pStyle w:val="SingleTxtG"/>
        <w:spacing w:after="240"/>
      </w:pPr>
      <w:r w:rsidRPr="00A93EAD">
        <w:t>43.</w:t>
      </w:r>
      <w:r w:rsidRPr="00A93EAD">
        <w:tab/>
        <w:t>Total number of firms with operating licences as of August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10"/>
        <w:gridCol w:w="3460"/>
      </w:tblGrid>
      <w:tr w:rsidR="00543250" w:rsidRPr="00BF3C75" w:rsidTr="00BF3C75">
        <w:trPr>
          <w:tblHeader/>
        </w:trPr>
        <w:tc>
          <w:tcPr>
            <w:tcW w:w="3910" w:type="dxa"/>
            <w:tcBorders>
              <w:top w:val="single" w:sz="4" w:space="0" w:color="auto"/>
              <w:bottom w:val="nil"/>
            </w:tcBorders>
            <w:shd w:val="clear" w:color="auto" w:fill="auto"/>
            <w:vAlign w:val="bottom"/>
          </w:tcPr>
          <w:p w:rsidR="00543250" w:rsidRPr="00BF3C75" w:rsidRDefault="00543250" w:rsidP="00BF3C75">
            <w:pPr>
              <w:suppressAutoHyphens w:val="0"/>
              <w:spacing w:before="40" w:after="40" w:line="220" w:lineRule="exact"/>
              <w:ind w:right="113"/>
              <w:rPr>
                <w:sz w:val="18"/>
              </w:rPr>
            </w:pPr>
            <w:r w:rsidRPr="00BF3C75">
              <w:rPr>
                <w:sz w:val="18"/>
              </w:rPr>
              <w:t>Entities authorized by governmental decision in accordance with Decree No. 52-2010</w:t>
            </w:r>
          </w:p>
        </w:tc>
        <w:tc>
          <w:tcPr>
            <w:tcW w:w="3460" w:type="dxa"/>
            <w:tcBorders>
              <w:top w:val="single" w:sz="4" w:space="0" w:color="auto"/>
              <w:bottom w:val="nil"/>
            </w:tcBorders>
            <w:shd w:val="clear" w:color="auto" w:fill="auto"/>
            <w:vAlign w:val="bottom"/>
          </w:tcPr>
          <w:p w:rsidR="00543250" w:rsidRPr="00BF3C75" w:rsidRDefault="00543250" w:rsidP="00444349">
            <w:pPr>
              <w:suppressAutoHyphens w:val="0"/>
              <w:spacing w:before="40" w:after="40" w:line="220" w:lineRule="exact"/>
              <w:ind w:right="113"/>
              <w:jc w:val="right"/>
              <w:rPr>
                <w:sz w:val="18"/>
              </w:rPr>
            </w:pPr>
            <w:r w:rsidRPr="00BF3C75">
              <w:rPr>
                <w:sz w:val="18"/>
              </w:rPr>
              <w:t>9</w:t>
            </w:r>
          </w:p>
        </w:tc>
      </w:tr>
      <w:tr w:rsidR="00543250" w:rsidRPr="00BF3C75" w:rsidTr="00BF3C75">
        <w:tc>
          <w:tcPr>
            <w:tcW w:w="3910" w:type="dxa"/>
            <w:tcBorders>
              <w:top w:val="nil"/>
            </w:tcBorders>
            <w:shd w:val="clear" w:color="auto" w:fill="auto"/>
          </w:tcPr>
          <w:p w:rsidR="00543250" w:rsidRPr="00BF3C75" w:rsidRDefault="00543250" w:rsidP="00BF3C75">
            <w:pPr>
              <w:suppressAutoHyphens w:val="0"/>
              <w:spacing w:before="40" w:after="40" w:line="220" w:lineRule="exact"/>
              <w:ind w:right="113"/>
              <w:rPr>
                <w:sz w:val="18"/>
              </w:rPr>
            </w:pPr>
            <w:r w:rsidRPr="00BF3C75">
              <w:rPr>
                <w:sz w:val="18"/>
              </w:rPr>
              <w:t>Entities authorized by ministerial decision in accordance with Decree No. 52-2010</w:t>
            </w:r>
          </w:p>
        </w:tc>
        <w:tc>
          <w:tcPr>
            <w:tcW w:w="3460" w:type="dxa"/>
            <w:tcBorders>
              <w:top w:val="nil"/>
            </w:tcBorders>
            <w:shd w:val="clear" w:color="auto" w:fill="auto"/>
            <w:vAlign w:val="bottom"/>
          </w:tcPr>
          <w:p w:rsidR="00543250" w:rsidRPr="00BF3C75" w:rsidRDefault="00543250" w:rsidP="00BF3C75">
            <w:pPr>
              <w:suppressAutoHyphens w:val="0"/>
              <w:spacing w:before="40" w:after="40" w:line="220" w:lineRule="exact"/>
              <w:ind w:right="113"/>
              <w:jc w:val="right"/>
              <w:rPr>
                <w:sz w:val="18"/>
              </w:rPr>
            </w:pPr>
            <w:r w:rsidRPr="00BF3C75">
              <w:rPr>
                <w:sz w:val="18"/>
              </w:rPr>
              <w:t>31</w:t>
            </w:r>
          </w:p>
        </w:tc>
      </w:tr>
      <w:tr w:rsidR="00543250" w:rsidRPr="00BF3C75" w:rsidTr="00BF3C75">
        <w:tc>
          <w:tcPr>
            <w:tcW w:w="3910" w:type="dxa"/>
            <w:shd w:val="clear" w:color="auto" w:fill="auto"/>
          </w:tcPr>
          <w:p w:rsidR="00543250" w:rsidRPr="00BF3C75" w:rsidRDefault="00543250" w:rsidP="00BF3C75">
            <w:pPr>
              <w:suppressAutoHyphens w:val="0"/>
              <w:spacing w:before="40" w:after="40" w:line="220" w:lineRule="exact"/>
              <w:ind w:right="113"/>
              <w:rPr>
                <w:sz w:val="18"/>
              </w:rPr>
            </w:pPr>
            <w:r w:rsidRPr="00BF3C75">
              <w:rPr>
                <w:sz w:val="18"/>
              </w:rPr>
              <w:t>Entities in accordance with Decree No. 52-2010</w:t>
            </w:r>
          </w:p>
        </w:tc>
        <w:tc>
          <w:tcPr>
            <w:tcW w:w="3460" w:type="dxa"/>
            <w:shd w:val="clear" w:color="auto" w:fill="auto"/>
            <w:vAlign w:val="bottom"/>
          </w:tcPr>
          <w:p w:rsidR="00543250" w:rsidRPr="00BF3C75" w:rsidRDefault="00543250" w:rsidP="00BF3C75">
            <w:pPr>
              <w:suppressAutoHyphens w:val="0"/>
              <w:spacing w:before="40" w:after="40" w:line="220" w:lineRule="exact"/>
              <w:ind w:right="113"/>
              <w:jc w:val="right"/>
              <w:rPr>
                <w:sz w:val="18"/>
              </w:rPr>
            </w:pPr>
            <w:r w:rsidRPr="00BF3C75">
              <w:rPr>
                <w:sz w:val="18"/>
              </w:rPr>
              <w:t>98</w:t>
            </w:r>
          </w:p>
        </w:tc>
      </w:tr>
      <w:tr w:rsidR="00543250" w:rsidRPr="00BF3C75" w:rsidTr="00BF3C75">
        <w:tc>
          <w:tcPr>
            <w:tcW w:w="3910" w:type="dxa"/>
            <w:tcBorders>
              <w:bottom w:val="single" w:sz="4" w:space="0" w:color="auto"/>
            </w:tcBorders>
            <w:shd w:val="clear" w:color="auto" w:fill="auto"/>
          </w:tcPr>
          <w:p w:rsidR="00543250" w:rsidRPr="00BF3C75" w:rsidRDefault="00543250" w:rsidP="00BF3C75">
            <w:pPr>
              <w:suppressAutoHyphens w:val="0"/>
              <w:spacing w:before="40" w:after="40" w:line="220" w:lineRule="exact"/>
              <w:ind w:right="113"/>
              <w:rPr>
                <w:sz w:val="18"/>
              </w:rPr>
            </w:pPr>
            <w:r w:rsidRPr="00BF3C75">
              <w:rPr>
                <w:sz w:val="18"/>
              </w:rPr>
              <w:t>Entities authorized by Decree No. 52-2010</w:t>
            </w:r>
          </w:p>
        </w:tc>
        <w:tc>
          <w:tcPr>
            <w:tcW w:w="3460" w:type="dxa"/>
            <w:tcBorders>
              <w:bottom w:val="single" w:sz="4" w:space="0" w:color="auto"/>
            </w:tcBorders>
            <w:shd w:val="clear" w:color="auto" w:fill="auto"/>
            <w:vAlign w:val="bottom"/>
          </w:tcPr>
          <w:p w:rsidR="00543250" w:rsidRPr="00BF3C75" w:rsidRDefault="00543250" w:rsidP="00BF3C75">
            <w:pPr>
              <w:suppressAutoHyphens w:val="0"/>
              <w:spacing w:before="40" w:after="40" w:line="220" w:lineRule="exact"/>
              <w:ind w:right="113"/>
              <w:jc w:val="right"/>
              <w:rPr>
                <w:sz w:val="18"/>
              </w:rPr>
            </w:pPr>
            <w:r w:rsidRPr="00BF3C75">
              <w:rPr>
                <w:sz w:val="18"/>
              </w:rPr>
              <w:t>65</w:t>
            </w:r>
          </w:p>
        </w:tc>
      </w:tr>
      <w:tr w:rsidR="00543250" w:rsidRPr="00BF3C75" w:rsidTr="00BF3C75">
        <w:tc>
          <w:tcPr>
            <w:tcW w:w="3910" w:type="dxa"/>
            <w:tcBorders>
              <w:top w:val="single" w:sz="4" w:space="0" w:color="auto"/>
              <w:bottom w:val="single" w:sz="12" w:space="0" w:color="auto"/>
            </w:tcBorders>
            <w:shd w:val="clear" w:color="auto" w:fill="auto"/>
          </w:tcPr>
          <w:p w:rsidR="00543250" w:rsidRPr="00BF3C75" w:rsidRDefault="00543250" w:rsidP="00BF3C75">
            <w:pPr>
              <w:suppressAutoHyphens w:val="0"/>
              <w:spacing w:before="80" w:after="80" w:line="220" w:lineRule="exact"/>
              <w:ind w:right="113"/>
              <w:jc w:val="right"/>
              <w:rPr>
                <w:b/>
                <w:sz w:val="18"/>
              </w:rPr>
            </w:pPr>
            <w:r w:rsidRPr="00BF3C75">
              <w:rPr>
                <w:b/>
                <w:sz w:val="18"/>
              </w:rPr>
              <w:t>Total number of authorized entities</w:t>
            </w:r>
          </w:p>
        </w:tc>
        <w:tc>
          <w:tcPr>
            <w:tcW w:w="3460" w:type="dxa"/>
            <w:tcBorders>
              <w:top w:val="single" w:sz="4" w:space="0" w:color="auto"/>
              <w:bottom w:val="single" w:sz="12" w:space="0" w:color="auto"/>
            </w:tcBorders>
            <w:shd w:val="clear" w:color="auto" w:fill="auto"/>
            <w:vAlign w:val="bottom"/>
          </w:tcPr>
          <w:p w:rsidR="00543250" w:rsidRPr="00BF3C75" w:rsidRDefault="00543250" w:rsidP="00BF3C75">
            <w:pPr>
              <w:suppressAutoHyphens w:val="0"/>
              <w:spacing w:before="80" w:after="80" w:line="220" w:lineRule="exact"/>
              <w:ind w:right="113"/>
              <w:jc w:val="right"/>
              <w:rPr>
                <w:b/>
                <w:sz w:val="18"/>
              </w:rPr>
            </w:pPr>
            <w:r w:rsidRPr="00BF3C75">
              <w:rPr>
                <w:b/>
                <w:sz w:val="18"/>
              </w:rPr>
              <w:t>203</w:t>
            </w:r>
          </w:p>
        </w:tc>
      </w:tr>
    </w:tbl>
    <w:p w:rsidR="00543250" w:rsidRPr="00A93EAD" w:rsidRDefault="00543250" w:rsidP="00444349">
      <w:pPr>
        <w:pStyle w:val="H23G"/>
      </w:pPr>
      <w:r w:rsidRPr="00A93EAD">
        <w:tab/>
      </w:r>
      <w:r w:rsidRPr="00A93EAD">
        <w:tab/>
        <w:t>Licensing</w:t>
      </w:r>
    </w:p>
    <w:p w:rsidR="00543250" w:rsidRPr="00A93EAD" w:rsidRDefault="00543250" w:rsidP="00B86FC8">
      <w:pPr>
        <w:pStyle w:val="SingleTxtG"/>
        <w:spacing w:after="240"/>
      </w:pPr>
      <w:r w:rsidRPr="00A93EAD">
        <w:t>44.</w:t>
      </w:r>
      <w:r w:rsidRPr="00A93EAD">
        <w:tab/>
        <w:t>The number of valid operating licences as of August 2019 is presented below.</w:t>
      </w:r>
    </w:p>
    <w:tbl>
      <w:tblPr>
        <w:tblW w:w="7370" w:type="dxa"/>
        <w:tblInd w:w="1134" w:type="dxa"/>
        <w:tblBorders>
          <w:top w:val="single" w:sz="4" w:space="0" w:color="auto"/>
          <w:bottom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B441ED" w:rsidRPr="00B86FC8" w:rsidTr="00B441ED">
        <w:trPr>
          <w:tblHeader/>
        </w:trPr>
        <w:tc>
          <w:tcPr>
            <w:tcW w:w="7370" w:type="dxa"/>
            <w:gridSpan w:val="10"/>
            <w:tcBorders>
              <w:bottom w:val="single" w:sz="4" w:space="0" w:color="auto"/>
            </w:tcBorders>
            <w:shd w:val="clear" w:color="auto" w:fill="auto"/>
            <w:vAlign w:val="bottom"/>
          </w:tcPr>
          <w:p w:rsidR="00543250" w:rsidRPr="00B86FC8" w:rsidRDefault="00543250" w:rsidP="00B441ED">
            <w:pPr>
              <w:suppressAutoHyphens w:val="0"/>
              <w:spacing w:before="80" w:after="80" w:line="200" w:lineRule="exact"/>
              <w:ind w:right="113"/>
              <w:jc w:val="center"/>
              <w:rPr>
                <w:i/>
                <w:sz w:val="16"/>
              </w:rPr>
            </w:pPr>
            <w:r w:rsidRPr="00B86FC8">
              <w:rPr>
                <w:i/>
                <w:sz w:val="16"/>
              </w:rPr>
              <w:t>Total number of valid licences</w:t>
            </w:r>
          </w:p>
        </w:tc>
      </w:tr>
      <w:tr w:rsidR="00543250" w:rsidRPr="00B441ED" w:rsidTr="00B441ED">
        <w:tc>
          <w:tcPr>
            <w:tcW w:w="737" w:type="dxa"/>
            <w:tcBorders>
              <w:bottom w:val="single" w:sz="12" w:space="0" w:color="auto"/>
            </w:tcBorders>
            <w:shd w:val="clear" w:color="auto" w:fill="auto"/>
          </w:tcPr>
          <w:p w:rsidR="00543250" w:rsidRPr="00B441ED" w:rsidRDefault="00543250" w:rsidP="00B441ED">
            <w:pPr>
              <w:suppressAutoHyphens w:val="0"/>
              <w:spacing w:before="80" w:after="80" w:line="200" w:lineRule="exact"/>
              <w:ind w:right="113"/>
              <w:rPr>
                <w:i/>
                <w:sz w:val="16"/>
              </w:rPr>
            </w:pPr>
            <w:r w:rsidRPr="00B441ED">
              <w:rPr>
                <w:i/>
                <w:sz w:val="16"/>
              </w:rPr>
              <w:t>A</w:t>
            </w:r>
          </w:p>
        </w:tc>
        <w:tc>
          <w:tcPr>
            <w:tcW w:w="737" w:type="dxa"/>
            <w:tcBorders>
              <w:bottom w:val="single" w:sz="12" w:space="0" w:color="auto"/>
            </w:tcBorders>
            <w:shd w:val="clear" w:color="auto" w:fill="auto"/>
          </w:tcPr>
          <w:p w:rsidR="00543250" w:rsidRPr="00B441ED" w:rsidRDefault="00543250" w:rsidP="00B441ED">
            <w:pPr>
              <w:suppressAutoHyphens w:val="0"/>
              <w:spacing w:before="80" w:after="80" w:line="200" w:lineRule="exact"/>
              <w:ind w:right="113"/>
              <w:rPr>
                <w:i/>
                <w:sz w:val="16"/>
              </w:rPr>
            </w:pPr>
            <w:r w:rsidRPr="00B441ED">
              <w:rPr>
                <w:i/>
                <w:sz w:val="16"/>
              </w:rPr>
              <w:t>B</w:t>
            </w:r>
          </w:p>
        </w:tc>
        <w:tc>
          <w:tcPr>
            <w:tcW w:w="737" w:type="dxa"/>
            <w:tcBorders>
              <w:bottom w:val="single" w:sz="12" w:space="0" w:color="auto"/>
            </w:tcBorders>
            <w:shd w:val="clear" w:color="auto" w:fill="auto"/>
          </w:tcPr>
          <w:p w:rsidR="00543250" w:rsidRPr="00B441ED" w:rsidRDefault="00543250" w:rsidP="00B441ED">
            <w:pPr>
              <w:suppressAutoHyphens w:val="0"/>
              <w:spacing w:before="80" w:after="80" w:line="200" w:lineRule="exact"/>
              <w:ind w:right="113"/>
              <w:rPr>
                <w:i/>
                <w:sz w:val="16"/>
              </w:rPr>
            </w:pPr>
            <w:r w:rsidRPr="00B441ED">
              <w:rPr>
                <w:i/>
                <w:sz w:val="16"/>
              </w:rPr>
              <w:t>C</w:t>
            </w:r>
          </w:p>
        </w:tc>
        <w:tc>
          <w:tcPr>
            <w:tcW w:w="737" w:type="dxa"/>
            <w:tcBorders>
              <w:bottom w:val="single" w:sz="12" w:space="0" w:color="auto"/>
            </w:tcBorders>
            <w:shd w:val="clear" w:color="auto" w:fill="auto"/>
          </w:tcPr>
          <w:p w:rsidR="00543250" w:rsidRPr="00B441ED" w:rsidRDefault="00543250" w:rsidP="00B441ED">
            <w:pPr>
              <w:suppressAutoHyphens w:val="0"/>
              <w:spacing w:before="80" w:after="80" w:line="200" w:lineRule="exact"/>
              <w:ind w:right="113"/>
              <w:rPr>
                <w:i/>
                <w:sz w:val="16"/>
              </w:rPr>
            </w:pPr>
            <w:r w:rsidRPr="00B441ED">
              <w:rPr>
                <w:i/>
                <w:sz w:val="16"/>
              </w:rPr>
              <w:t>D</w:t>
            </w:r>
          </w:p>
        </w:tc>
        <w:tc>
          <w:tcPr>
            <w:tcW w:w="737" w:type="dxa"/>
            <w:tcBorders>
              <w:bottom w:val="single" w:sz="12" w:space="0" w:color="auto"/>
            </w:tcBorders>
            <w:shd w:val="clear" w:color="auto" w:fill="auto"/>
          </w:tcPr>
          <w:p w:rsidR="00543250" w:rsidRPr="00B441ED" w:rsidRDefault="00543250" w:rsidP="00B441ED">
            <w:pPr>
              <w:suppressAutoHyphens w:val="0"/>
              <w:spacing w:before="80" w:after="80" w:line="200" w:lineRule="exact"/>
              <w:ind w:right="113"/>
              <w:rPr>
                <w:i/>
                <w:sz w:val="16"/>
              </w:rPr>
            </w:pPr>
            <w:r w:rsidRPr="00B441ED">
              <w:rPr>
                <w:i/>
                <w:sz w:val="16"/>
              </w:rPr>
              <w:t>E</w:t>
            </w:r>
          </w:p>
        </w:tc>
        <w:tc>
          <w:tcPr>
            <w:tcW w:w="737" w:type="dxa"/>
            <w:tcBorders>
              <w:bottom w:val="single" w:sz="12" w:space="0" w:color="auto"/>
            </w:tcBorders>
            <w:shd w:val="clear" w:color="auto" w:fill="auto"/>
          </w:tcPr>
          <w:p w:rsidR="00543250" w:rsidRPr="00B441ED" w:rsidRDefault="00543250" w:rsidP="00B441ED">
            <w:pPr>
              <w:suppressAutoHyphens w:val="0"/>
              <w:spacing w:before="80" w:after="80" w:line="200" w:lineRule="exact"/>
              <w:ind w:right="113"/>
              <w:rPr>
                <w:i/>
                <w:sz w:val="16"/>
              </w:rPr>
            </w:pPr>
            <w:r w:rsidRPr="00B441ED">
              <w:rPr>
                <w:i/>
                <w:sz w:val="16"/>
              </w:rPr>
              <w:t>F</w:t>
            </w:r>
          </w:p>
        </w:tc>
        <w:tc>
          <w:tcPr>
            <w:tcW w:w="737" w:type="dxa"/>
            <w:tcBorders>
              <w:bottom w:val="single" w:sz="12" w:space="0" w:color="auto"/>
            </w:tcBorders>
            <w:shd w:val="clear" w:color="auto" w:fill="auto"/>
          </w:tcPr>
          <w:p w:rsidR="00543250" w:rsidRPr="00B441ED" w:rsidRDefault="00543250" w:rsidP="00B441ED">
            <w:pPr>
              <w:suppressAutoHyphens w:val="0"/>
              <w:spacing w:before="80" w:after="80" w:line="200" w:lineRule="exact"/>
              <w:ind w:right="113"/>
              <w:rPr>
                <w:i/>
                <w:sz w:val="16"/>
              </w:rPr>
            </w:pPr>
            <w:r w:rsidRPr="00B441ED">
              <w:rPr>
                <w:i/>
                <w:sz w:val="16"/>
              </w:rPr>
              <w:t>G</w:t>
            </w:r>
          </w:p>
        </w:tc>
        <w:tc>
          <w:tcPr>
            <w:tcW w:w="737" w:type="dxa"/>
            <w:tcBorders>
              <w:bottom w:val="single" w:sz="12" w:space="0" w:color="auto"/>
            </w:tcBorders>
            <w:shd w:val="clear" w:color="auto" w:fill="auto"/>
          </w:tcPr>
          <w:p w:rsidR="00543250" w:rsidRPr="00B441ED" w:rsidRDefault="00543250" w:rsidP="00B441ED">
            <w:pPr>
              <w:suppressAutoHyphens w:val="0"/>
              <w:spacing w:before="80" w:after="80" w:line="200" w:lineRule="exact"/>
              <w:ind w:right="113"/>
              <w:rPr>
                <w:i/>
                <w:sz w:val="16"/>
              </w:rPr>
            </w:pPr>
            <w:r w:rsidRPr="00B441ED">
              <w:rPr>
                <w:i/>
                <w:sz w:val="16"/>
              </w:rPr>
              <w:t>H</w:t>
            </w:r>
          </w:p>
        </w:tc>
        <w:tc>
          <w:tcPr>
            <w:tcW w:w="737" w:type="dxa"/>
            <w:tcBorders>
              <w:bottom w:val="single" w:sz="12" w:space="0" w:color="auto"/>
            </w:tcBorders>
            <w:shd w:val="clear" w:color="auto" w:fill="auto"/>
          </w:tcPr>
          <w:p w:rsidR="00543250" w:rsidRPr="00B441ED" w:rsidRDefault="00543250" w:rsidP="00B441ED">
            <w:pPr>
              <w:suppressAutoHyphens w:val="0"/>
              <w:spacing w:before="80" w:after="80" w:line="200" w:lineRule="exact"/>
              <w:ind w:right="113"/>
              <w:rPr>
                <w:i/>
                <w:sz w:val="16"/>
              </w:rPr>
            </w:pPr>
            <w:r w:rsidRPr="00B441ED">
              <w:rPr>
                <w:i/>
                <w:sz w:val="16"/>
              </w:rPr>
              <w:t>I</w:t>
            </w:r>
          </w:p>
        </w:tc>
        <w:tc>
          <w:tcPr>
            <w:tcW w:w="737" w:type="dxa"/>
            <w:tcBorders>
              <w:bottom w:val="single" w:sz="12" w:space="0" w:color="auto"/>
            </w:tcBorders>
            <w:shd w:val="clear" w:color="auto" w:fill="auto"/>
          </w:tcPr>
          <w:p w:rsidR="00543250" w:rsidRPr="00B441ED" w:rsidRDefault="00543250" w:rsidP="00B441ED">
            <w:pPr>
              <w:suppressAutoHyphens w:val="0"/>
              <w:spacing w:before="80" w:after="80" w:line="200" w:lineRule="exact"/>
              <w:ind w:right="113"/>
              <w:rPr>
                <w:i/>
                <w:sz w:val="16"/>
              </w:rPr>
            </w:pPr>
            <w:r w:rsidRPr="00B441ED">
              <w:rPr>
                <w:i/>
                <w:sz w:val="16"/>
              </w:rPr>
              <w:t>Total</w:t>
            </w:r>
          </w:p>
        </w:tc>
      </w:tr>
      <w:tr w:rsidR="00543250" w:rsidRPr="00B86FC8" w:rsidTr="00B441ED">
        <w:tc>
          <w:tcPr>
            <w:tcW w:w="737" w:type="dxa"/>
            <w:tcBorders>
              <w:top w:val="single" w:sz="12" w:space="0" w:color="auto"/>
            </w:tcBorders>
            <w:shd w:val="clear" w:color="auto" w:fill="auto"/>
          </w:tcPr>
          <w:p w:rsidR="00543250" w:rsidRPr="00B86FC8" w:rsidRDefault="00543250" w:rsidP="00B86FC8">
            <w:pPr>
              <w:suppressAutoHyphens w:val="0"/>
              <w:spacing w:before="40" w:after="40" w:line="220" w:lineRule="exact"/>
              <w:ind w:right="113"/>
              <w:rPr>
                <w:sz w:val="18"/>
              </w:rPr>
            </w:pPr>
            <w:r w:rsidRPr="00B86FC8">
              <w:rPr>
                <w:sz w:val="18"/>
              </w:rPr>
              <w:t>132</w:t>
            </w:r>
          </w:p>
        </w:tc>
        <w:tc>
          <w:tcPr>
            <w:tcW w:w="737" w:type="dxa"/>
            <w:tcBorders>
              <w:top w:val="single" w:sz="12" w:space="0" w:color="auto"/>
            </w:tcBorders>
            <w:shd w:val="clear" w:color="auto" w:fill="auto"/>
          </w:tcPr>
          <w:p w:rsidR="00543250" w:rsidRPr="00B86FC8" w:rsidRDefault="00543250" w:rsidP="00B86FC8">
            <w:pPr>
              <w:suppressAutoHyphens w:val="0"/>
              <w:spacing w:before="40" w:after="40" w:line="220" w:lineRule="exact"/>
              <w:ind w:right="113"/>
              <w:rPr>
                <w:sz w:val="18"/>
              </w:rPr>
            </w:pPr>
            <w:r w:rsidRPr="00B86FC8">
              <w:rPr>
                <w:sz w:val="18"/>
              </w:rPr>
              <w:t>55</w:t>
            </w:r>
          </w:p>
        </w:tc>
        <w:tc>
          <w:tcPr>
            <w:tcW w:w="737" w:type="dxa"/>
            <w:tcBorders>
              <w:top w:val="single" w:sz="12" w:space="0" w:color="auto"/>
            </w:tcBorders>
            <w:shd w:val="clear" w:color="auto" w:fill="auto"/>
          </w:tcPr>
          <w:p w:rsidR="00543250" w:rsidRPr="00B86FC8" w:rsidRDefault="00543250" w:rsidP="00B86FC8">
            <w:pPr>
              <w:suppressAutoHyphens w:val="0"/>
              <w:spacing w:before="40" w:after="40" w:line="220" w:lineRule="exact"/>
              <w:ind w:right="113"/>
              <w:rPr>
                <w:sz w:val="18"/>
              </w:rPr>
            </w:pPr>
            <w:r w:rsidRPr="00B86FC8">
              <w:rPr>
                <w:sz w:val="18"/>
              </w:rPr>
              <w:t>50</w:t>
            </w:r>
          </w:p>
        </w:tc>
        <w:tc>
          <w:tcPr>
            <w:tcW w:w="737" w:type="dxa"/>
            <w:tcBorders>
              <w:top w:val="single" w:sz="12" w:space="0" w:color="auto"/>
            </w:tcBorders>
            <w:shd w:val="clear" w:color="auto" w:fill="auto"/>
          </w:tcPr>
          <w:p w:rsidR="00543250" w:rsidRPr="00B86FC8" w:rsidRDefault="00543250" w:rsidP="00B86FC8">
            <w:pPr>
              <w:suppressAutoHyphens w:val="0"/>
              <w:spacing w:before="40" w:after="40" w:line="220" w:lineRule="exact"/>
              <w:ind w:right="113"/>
              <w:rPr>
                <w:sz w:val="18"/>
              </w:rPr>
            </w:pPr>
            <w:r w:rsidRPr="00B86FC8">
              <w:rPr>
                <w:sz w:val="18"/>
              </w:rPr>
              <w:t>22</w:t>
            </w:r>
          </w:p>
        </w:tc>
        <w:tc>
          <w:tcPr>
            <w:tcW w:w="737" w:type="dxa"/>
            <w:tcBorders>
              <w:top w:val="single" w:sz="12" w:space="0" w:color="auto"/>
            </w:tcBorders>
            <w:shd w:val="clear" w:color="auto" w:fill="auto"/>
          </w:tcPr>
          <w:p w:rsidR="00543250" w:rsidRPr="00B86FC8" w:rsidRDefault="00543250" w:rsidP="00B86FC8">
            <w:pPr>
              <w:suppressAutoHyphens w:val="0"/>
              <w:spacing w:before="40" w:after="40" w:line="220" w:lineRule="exact"/>
              <w:ind w:right="113"/>
              <w:rPr>
                <w:sz w:val="18"/>
              </w:rPr>
            </w:pPr>
            <w:r w:rsidRPr="00B86FC8">
              <w:rPr>
                <w:sz w:val="18"/>
              </w:rPr>
              <w:t>11</w:t>
            </w:r>
          </w:p>
        </w:tc>
        <w:tc>
          <w:tcPr>
            <w:tcW w:w="737" w:type="dxa"/>
            <w:tcBorders>
              <w:top w:val="single" w:sz="12" w:space="0" w:color="auto"/>
            </w:tcBorders>
            <w:shd w:val="clear" w:color="auto" w:fill="auto"/>
          </w:tcPr>
          <w:p w:rsidR="00543250" w:rsidRPr="00B86FC8" w:rsidRDefault="00543250" w:rsidP="00B86FC8">
            <w:pPr>
              <w:suppressAutoHyphens w:val="0"/>
              <w:spacing w:before="40" w:after="40" w:line="220" w:lineRule="exact"/>
              <w:ind w:right="113"/>
              <w:rPr>
                <w:sz w:val="18"/>
              </w:rPr>
            </w:pPr>
            <w:r w:rsidRPr="00B86FC8">
              <w:rPr>
                <w:sz w:val="18"/>
              </w:rPr>
              <w:t>22</w:t>
            </w:r>
          </w:p>
        </w:tc>
        <w:tc>
          <w:tcPr>
            <w:tcW w:w="737" w:type="dxa"/>
            <w:tcBorders>
              <w:top w:val="single" w:sz="12" w:space="0" w:color="auto"/>
            </w:tcBorders>
            <w:shd w:val="clear" w:color="auto" w:fill="auto"/>
          </w:tcPr>
          <w:p w:rsidR="00543250" w:rsidRPr="00B86FC8" w:rsidRDefault="00543250" w:rsidP="00B86FC8">
            <w:pPr>
              <w:suppressAutoHyphens w:val="0"/>
              <w:spacing w:before="40" w:after="40" w:line="220" w:lineRule="exact"/>
              <w:ind w:right="113"/>
              <w:rPr>
                <w:sz w:val="18"/>
              </w:rPr>
            </w:pPr>
            <w:r w:rsidRPr="00B86FC8">
              <w:rPr>
                <w:sz w:val="18"/>
              </w:rPr>
              <w:t>2</w:t>
            </w:r>
          </w:p>
        </w:tc>
        <w:tc>
          <w:tcPr>
            <w:tcW w:w="737" w:type="dxa"/>
            <w:tcBorders>
              <w:top w:val="single" w:sz="12" w:space="0" w:color="auto"/>
            </w:tcBorders>
            <w:shd w:val="clear" w:color="auto" w:fill="auto"/>
          </w:tcPr>
          <w:p w:rsidR="00543250" w:rsidRPr="00B86FC8" w:rsidRDefault="00543250" w:rsidP="00B86FC8">
            <w:pPr>
              <w:suppressAutoHyphens w:val="0"/>
              <w:spacing w:before="40" w:after="40" w:line="220" w:lineRule="exact"/>
              <w:ind w:right="113"/>
              <w:rPr>
                <w:sz w:val="18"/>
              </w:rPr>
            </w:pPr>
            <w:r w:rsidRPr="00B86FC8">
              <w:rPr>
                <w:sz w:val="18"/>
              </w:rPr>
              <w:t>42</w:t>
            </w:r>
          </w:p>
        </w:tc>
        <w:tc>
          <w:tcPr>
            <w:tcW w:w="737" w:type="dxa"/>
            <w:tcBorders>
              <w:top w:val="single" w:sz="12" w:space="0" w:color="auto"/>
            </w:tcBorders>
            <w:shd w:val="clear" w:color="auto" w:fill="auto"/>
          </w:tcPr>
          <w:p w:rsidR="00543250" w:rsidRPr="00B86FC8" w:rsidRDefault="00543250" w:rsidP="00B86FC8">
            <w:pPr>
              <w:suppressAutoHyphens w:val="0"/>
              <w:spacing w:before="40" w:after="40" w:line="220" w:lineRule="exact"/>
              <w:ind w:right="113"/>
              <w:rPr>
                <w:sz w:val="18"/>
              </w:rPr>
            </w:pPr>
            <w:r w:rsidRPr="00B86FC8">
              <w:rPr>
                <w:sz w:val="18"/>
              </w:rPr>
              <w:t>4</w:t>
            </w:r>
          </w:p>
        </w:tc>
        <w:tc>
          <w:tcPr>
            <w:tcW w:w="737" w:type="dxa"/>
            <w:tcBorders>
              <w:top w:val="single" w:sz="12" w:space="0" w:color="auto"/>
            </w:tcBorders>
            <w:shd w:val="clear" w:color="auto" w:fill="auto"/>
          </w:tcPr>
          <w:p w:rsidR="00543250" w:rsidRPr="00B86FC8" w:rsidRDefault="00543250" w:rsidP="00B86FC8">
            <w:pPr>
              <w:suppressAutoHyphens w:val="0"/>
              <w:spacing w:before="40" w:after="40" w:line="220" w:lineRule="exact"/>
              <w:ind w:right="113"/>
              <w:rPr>
                <w:sz w:val="18"/>
              </w:rPr>
            </w:pPr>
            <w:r w:rsidRPr="00B86FC8">
              <w:rPr>
                <w:sz w:val="18"/>
              </w:rPr>
              <w:t>340</w:t>
            </w:r>
          </w:p>
        </w:tc>
      </w:tr>
    </w:tbl>
    <w:p w:rsidR="00543250" w:rsidRPr="00A93EAD" w:rsidRDefault="00543250" w:rsidP="000F5085">
      <w:pPr>
        <w:pStyle w:val="H23G"/>
      </w:pPr>
      <w:r w:rsidRPr="00A93EAD">
        <w:tab/>
      </w:r>
      <w:r w:rsidRPr="00A93EAD">
        <w:tab/>
        <w:t>Auditing and oversight</w:t>
      </w:r>
    </w:p>
    <w:p w:rsidR="00543250" w:rsidRPr="00A93EAD" w:rsidRDefault="00543250" w:rsidP="000C141E">
      <w:pPr>
        <w:pStyle w:val="SingleTxtG"/>
      </w:pPr>
      <w:r w:rsidRPr="00A93EAD">
        <w:t>45.</w:t>
      </w:r>
      <w:r w:rsidRPr="00A93EAD">
        <w:tab/>
        <w:t>The regular operations of 91 private security firms underwent specialized auditing and oversight.</w:t>
      </w:r>
    </w:p>
    <w:p w:rsidR="00543250" w:rsidRPr="00A93EAD" w:rsidRDefault="00543250" w:rsidP="000C141E">
      <w:pPr>
        <w:pStyle w:val="SingleTxtG"/>
      </w:pPr>
      <w:r w:rsidRPr="00A93EAD">
        <w:t>46.</w:t>
      </w:r>
      <w:r w:rsidRPr="00A93EAD">
        <w:tab/>
        <w:t>Six training centres were audited.</w:t>
      </w:r>
    </w:p>
    <w:p w:rsidR="00543250" w:rsidRPr="00A93EAD" w:rsidRDefault="00543250" w:rsidP="000C141E">
      <w:pPr>
        <w:pStyle w:val="SingleTxtG"/>
      </w:pPr>
      <w:r w:rsidRPr="00A93EAD">
        <w:t>47.</w:t>
      </w:r>
      <w:r w:rsidRPr="00A93EAD">
        <w:tab/>
        <w:t>There were 99 instances of specialized auditing and oversight of materials and equipment.</w:t>
      </w:r>
    </w:p>
    <w:p w:rsidR="00543250" w:rsidRPr="00A93EAD" w:rsidRDefault="00543250" w:rsidP="00D27B79">
      <w:pPr>
        <w:pStyle w:val="SingleTxtG"/>
        <w:keepNext/>
        <w:keepLines/>
        <w:spacing w:after="240"/>
      </w:pPr>
      <w:r w:rsidRPr="00A93EAD">
        <w:lastRenderedPageBreak/>
        <w:t>48.</w:t>
      </w:r>
      <w:r w:rsidRPr="00A93EAD">
        <w:tab/>
        <w:t>The total number of preliminary checks conducted on new and first licences, licence renewals, changes of premises and branches is set out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06"/>
        <w:gridCol w:w="3464"/>
      </w:tblGrid>
      <w:tr w:rsidR="00543250" w:rsidRPr="006048D4" w:rsidTr="006048D4">
        <w:trPr>
          <w:tblHeader/>
        </w:trPr>
        <w:tc>
          <w:tcPr>
            <w:tcW w:w="3906" w:type="dxa"/>
            <w:tcBorders>
              <w:top w:val="single" w:sz="4" w:space="0" w:color="auto"/>
              <w:bottom w:val="single" w:sz="12" w:space="0" w:color="auto"/>
            </w:tcBorders>
            <w:shd w:val="clear" w:color="auto" w:fill="auto"/>
            <w:vAlign w:val="bottom"/>
          </w:tcPr>
          <w:p w:rsidR="00543250" w:rsidRPr="006048D4" w:rsidRDefault="00543250" w:rsidP="00D27B79">
            <w:pPr>
              <w:keepNext/>
              <w:keepLines/>
              <w:suppressAutoHyphens w:val="0"/>
              <w:spacing w:before="80" w:after="80" w:line="200" w:lineRule="exact"/>
              <w:ind w:right="113"/>
              <w:rPr>
                <w:i/>
                <w:sz w:val="16"/>
              </w:rPr>
            </w:pPr>
            <w:r w:rsidRPr="006048D4">
              <w:rPr>
                <w:i/>
                <w:sz w:val="16"/>
              </w:rPr>
              <w:t>Auditing and oversight</w:t>
            </w:r>
          </w:p>
        </w:tc>
        <w:tc>
          <w:tcPr>
            <w:tcW w:w="3464" w:type="dxa"/>
            <w:tcBorders>
              <w:top w:val="single" w:sz="4" w:space="0" w:color="auto"/>
              <w:bottom w:val="single" w:sz="12" w:space="0" w:color="auto"/>
            </w:tcBorders>
            <w:shd w:val="clear" w:color="auto" w:fill="auto"/>
            <w:vAlign w:val="bottom"/>
          </w:tcPr>
          <w:p w:rsidR="00543250" w:rsidRPr="006048D4" w:rsidRDefault="00543250" w:rsidP="00D27B79">
            <w:pPr>
              <w:keepNext/>
              <w:keepLines/>
              <w:suppressAutoHyphens w:val="0"/>
              <w:spacing w:before="80" w:after="80" w:line="200" w:lineRule="exact"/>
              <w:ind w:right="113"/>
              <w:jc w:val="right"/>
              <w:rPr>
                <w:i/>
                <w:sz w:val="16"/>
              </w:rPr>
            </w:pPr>
            <w:r w:rsidRPr="006048D4">
              <w:rPr>
                <w:i/>
                <w:sz w:val="16"/>
              </w:rPr>
              <w:t>Total</w:t>
            </w:r>
          </w:p>
        </w:tc>
      </w:tr>
      <w:tr w:rsidR="00543250" w:rsidRPr="006048D4" w:rsidTr="006048D4">
        <w:tc>
          <w:tcPr>
            <w:tcW w:w="3906" w:type="dxa"/>
            <w:tcBorders>
              <w:top w:val="single" w:sz="12" w:space="0" w:color="auto"/>
            </w:tcBorders>
            <w:shd w:val="clear" w:color="auto" w:fill="auto"/>
          </w:tcPr>
          <w:p w:rsidR="00543250" w:rsidRPr="006048D4" w:rsidRDefault="00543250" w:rsidP="00D27B79">
            <w:pPr>
              <w:keepNext/>
              <w:keepLines/>
              <w:suppressAutoHyphens w:val="0"/>
              <w:spacing w:before="40" w:after="40" w:line="220" w:lineRule="exact"/>
              <w:ind w:right="113"/>
              <w:rPr>
                <w:sz w:val="18"/>
              </w:rPr>
            </w:pPr>
            <w:r w:rsidRPr="006048D4">
              <w:rPr>
                <w:sz w:val="18"/>
              </w:rPr>
              <w:t>Checks on new and first licences</w:t>
            </w:r>
          </w:p>
        </w:tc>
        <w:tc>
          <w:tcPr>
            <w:tcW w:w="3464" w:type="dxa"/>
            <w:tcBorders>
              <w:top w:val="single" w:sz="12" w:space="0" w:color="auto"/>
            </w:tcBorders>
            <w:shd w:val="clear" w:color="auto" w:fill="auto"/>
            <w:vAlign w:val="bottom"/>
          </w:tcPr>
          <w:p w:rsidR="00543250" w:rsidRPr="006048D4" w:rsidRDefault="00543250" w:rsidP="00D27B79">
            <w:pPr>
              <w:keepNext/>
              <w:keepLines/>
              <w:suppressAutoHyphens w:val="0"/>
              <w:spacing w:before="40" w:after="40" w:line="220" w:lineRule="exact"/>
              <w:ind w:right="113"/>
              <w:jc w:val="right"/>
              <w:rPr>
                <w:sz w:val="18"/>
              </w:rPr>
            </w:pPr>
            <w:r w:rsidRPr="006048D4">
              <w:rPr>
                <w:sz w:val="18"/>
              </w:rPr>
              <w:t>32</w:t>
            </w:r>
          </w:p>
        </w:tc>
      </w:tr>
      <w:tr w:rsidR="00543250" w:rsidRPr="006048D4" w:rsidTr="006048D4">
        <w:tc>
          <w:tcPr>
            <w:tcW w:w="3906" w:type="dxa"/>
            <w:shd w:val="clear" w:color="auto" w:fill="auto"/>
          </w:tcPr>
          <w:p w:rsidR="00543250" w:rsidRPr="006048D4" w:rsidRDefault="00543250" w:rsidP="006048D4">
            <w:pPr>
              <w:suppressAutoHyphens w:val="0"/>
              <w:spacing w:before="40" w:after="40" w:line="220" w:lineRule="exact"/>
              <w:ind w:right="113"/>
              <w:rPr>
                <w:sz w:val="18"/>
              </w:rPr>
            </w:pPr>
            <w:r w:rsidRPr="006048D4">
              <w:rPr>
                <w:sz w:val="18"/>
              </w:rPr>
              <w:t>Checks on licence renewals</w:t>
            </w:r>
          </w:p>
        </w:tc>
        <w:tc>
          <w:tcPr>
            <w:tcW w:w="3464" w:type="dxa"/>
            <w:shd w:val="clear" w:color="auto" w:fill="auto"/>
            <w:vAlign w:val="bottom"/>
          </w:tcPr>
          <w:p w:rsidR="00543250" w:rsidRPr="006048D4" w:rsidRDefault="00543250" w:rsidP="006048D4">
            <w:pPr>
              <w:suppressAutoHyphens w:val="0"/>
              <w:spacing w:before="40" w:after="40" w:line="220" w:lineRule="exact"/>
              <w:ind w:right="113"/>
              <w:jc w:val="right"/>
              <w:rPr>
                <w:sz w:val="18"/>
              </w:rPr>
            </w:pPr>
            <w:r w:rsidRPr="006048D4">
              <w:rPr>
                <w:sz w:val="18"/>
              </w:rPr>
              <w:t>23</w:t>
            </w:r>
          </w:p>
        </w:tc>
      </w:tr>
      <w:tr w:rsidR="00543250" w:rsidRPr="006048D4" w:rsidTr="006048D4">
        <w:tc>
          <w:tcPr>
            <w:tcW w:w="3906" w:type="dxa"/>
            <w:shd w:val="clear" w:color="auto" w:fill="auto"/>
          </w:tcPr>
          <w:p w:rsidR="00543250" w:rsidRPr="006048D4" w:rsidRDefault="00543250" w:rsidP="006048D4">
            <w:pPr>
              <w:suppressAutoHyphens w:val="0"/>
              <w:spacing w:before="40" w:after="40" w:line="220" w:lineRule="exact"/>
              <w:ind w:right="113"/>
              <w:rPr>
                <w:sz w:val="18"/>
              </w:rPr>
            </w:pPr>
            <w:r w:rsidRPr="006048D4">
              <w:rPr>
                <w:sz w:val="18"/>
              </w:rPr>
              <w:t xml:space="preserve">Compliance checks </w:t>
            </w:r>
          </w:p>
        </w:tc>
        <w:tc>
          <w:tcPr>
            <w:tcW w:w="3464" w:type="dxa"/>
            <w:shd w:val="clear" w:color="auto" w:fill="auto"/>
            <w:vAlign w:val="bottom"/>
          </w:tcPr>
          <w:p w:rsidR="00543250" w:rsidRPr="006048D4" w:rsidRDefault="00543250" w:rsidP="006048D4">
            <w:pPr>
              <w:suppressAutoHyphens w:val="0"/>
              <w:spacing w:before="40" w:after="40" w:line="220" w:lineRule="exact"/>
              <w:ind w:right="113"/>
              <w:jc w:val="right"/>
              <w:rPr>
                <w:sz w:val="18"/>
              </w:rPr>
            </w:pPr>
            <w:r w:rsidRPr="006048D4">
              <w:rPr>
                <w:sz w:val="18"/>
              </w:rPr>
              <w:t>8</w:t>
            </w:r>
          </w:p>
        </w:tc>
      </w:tr>
      <w:tr w:rsidR="00543250" w:rsidRPr="006048D4" w:rsidTr="006048D4">
        <w:tc>
          <w:tcPr>
            <w:tcW w:w="3906" w:type="dxa"/>
            <w:shd w:val="clear" w:color="auto" w:fill="auto"/>
          </w:tcPr>
          <w:p w:rsidR="00543250" w:rsidRPr="006048D4" w:rsidRDefault="00543250" w:rsidP="006048D4">
            <w:pPr>
              <w:suppressAutoHyphens w:val="0"/>
              <w:spacing w:before="40" w:after="40" w:line="220" w:lineRule="exact"/>
              <w:ind w:right="113"/>
              <w:rPr>
                <w:sz w:val="18"/>
              </w:rPr>
            </w:pPr>
            <w:r w:rsidRPr="006048D4">
              <w:rPr>
                <w:sz w:val="18"/>
              </w:rPr>
              <w:t>Checks on changes of premises</w:t>
            </w:r>
          </w:p>
        </w:tc>
        <w:tc>
          <w:tcPr>
            <w:tcW w:w="3464" w:type="dxa"/>
            <w:shd w:val="clear" w:color="auto" w:fill="auto"/>
            <w:vAlign w:val="bottom"/>
          </w:tcPr>
          <w:p w:rsidR="00543250" w:rsidRPr="006048D4" w:rsidRDefault="00543250" w:rsidP="006048D4">
            <w:pPr>
              <w:suppressAutoHyphens w:val="0"/>
              <w:spacing w:before="40" w:after="40" w:line="220" w:lineRule="exact"/>
              <w:ind w:right="113"/>
              <w:jc w:val="right"/>
              <w:rPr>
                <w:sz w:val="18"/>
              </w:rPr>
            </w:pPr>
            <w:r w:rsidRPr="006048D4">
              <w:rPr>
                <w:sz w:val="18"/>
              </w:rPr>
              <w:t>6</w:t>
            </w:r>
          </w:p>
        </w:tc>
      </w:tr>
      <w:tr w:rsidR="00543250" w:rsidRPr="006048D4" w:rsidTr="00D712D4">
        <w:tc>
          <w:tcPr>
            <w:tcW w:w="3906" w:type="dxa"/>
            <w:tcBorders>
              <w:bottom w:val="single" w:sz="4" w:space="0" w:color="auto"/>
            </w:tcBorders>
            <w:shd w:val="clear" w:color="auto" w:fill="auto"/>
          </w:tcPr>
          <w:p w:rsidR="00543250" w:rsidRPr="006048D4" w:rsidRDefault="00543250" w:rsidP="006048D4">
            <w:pPr>
              <w:suppressAutoHyphens w:val="0"/>
              <w:spacing w:before="40" w:after="40" w:line="220" w:lineRule="exact"/>
              <w:ind w:right="113"/>
              <w:rPr>
                <w:sz w:val="18"/>
              </w:rPr>
            </w:pPr>
            <w:r w:rsidRPr="006048D4">
              <w:rPr>
                <w:sz w:val="18"/>
              </w:rPr>
              <w:t xml:space="preserve">Checks on branches </w:t>
            </w:r>
          </w:p>
        </w:tc>
        <w:tc>
          <w:tcPr>
            <w:tcW w:w="3464" w:type="dxa"/>
            <w:tcBorders>
              <w:bottom w:val="single" w:sz="4" w:space="0" w:color="auto"/>
            </w:tcBorders>
            <w:shd w:val="clear" w:color="auto" w:fill="auto"/>
            <w:vAlign w:val="bottom"/>
          </w:tcPr>
          <w:p w:rsidR="00543250" w:rsidRPr="006048D4" w:rsidRDefault="00543250" w:rsidP="006048D4">
            <w:pPr>
              <w:suppressAutoHyphens w:val="0"/>
              <w:spacing w:before="40" w:after="40" w:line="220" w:lineRule="exact"/>
              <w:ind w:right="113"/>
              <w:jc w:val="right"/>
              <w:rPr>
                <w:sz w:val="18"/>
              </w:rPr>
            </w:pPr>
            <w:r w:rsidRPr="006048D4">
              <w:rPr>
                <w:sz w:val="18"/>
              </w:rPr>
              <w:t>1</w:t>
            </w:r>
          </w:p>
        </w:tc>
      </w:tr>
      <w:tr w:rsidR="00543250" w:rsidRPr="00917982" w:rsidTr="00D712D4">
        <w:tc>
          <w:tcPr>
            <w:tcW w:w="3906" w:type="dxa"/>
            <w:tcBorders>
              <w:top w:val="single" w:sz="4" w:space="0" w:color="auto"/>
              <w:bottom w:val="single" w:sz="12" w:space="0" w:color="auto"/>
            </w:tcBorders>
            <w:shd w:val="clear" w:color="auto" w:fill="auto"/>
          </w:tcPr>
          <w:p w:rsidR="00543250" w:rsidRPr="00917982" w:rsidRDefault="00543250" w:rsidP="00917982">
            <w:pPr>
              <w:suppressAutoHyphens w:val="0"/>
              <w:spacing w:before="80" w:after="80" w:line="220" w:lineRule="exact"/>
              <w:ind w:right="113"/>
              <w:jc w:val="right"/>
              <w:rPr>
                <w:b/>
                <w:sz w:val="18"/>
              </w:rPr>
            </w:pPr>
            <w:r w:rsidRPr="00917982">
              <w:rPr>
                <w:b/>
                <w:sz w:val="18"/>
              </w:rPr>
              <w:t>Total</w:t>
            </w:r>
          </w:p>
        </w:tc>
        <w:tc>
          <w:tcPr>
            <w:tcW w:w="3464" w:type="dxa"/>
            <w:tcBorders>
              <w:top w:val="single" w:sz="4" w:space="0" w:color="auto"/>
              <w:bottom w:val="single" w:sz="12" w:space="0" w:color="auto"/>
            </w:tcBorders>
            <w:shd w:val="clear" w:color="auto" w:fill="auto"/>
            <w:vAlign w:val="bottom"/>
          </w:tcPr>
          <w:p w:rsidR="00543250" w:rsidRPr="00917982" w:rsidRDefault="00543250" w:rsidP="00917982">
            <w:pPr>
              <w:suppressAutoHyphens w:val="0"/>
              <w:spacing w:before="80" w:after="80" w:line="220" w:lineRule="exact"/>
              <w:ind w:right="113"/>
              <w:jc w:val="right"/>
              <w:rPr>
                <w:b/>
                <w:sz w:val="18"/>
              </w:rPr>
            </w:pPr>
            <w:r w:rsidRPr="00917982">
              <w:rPr>
                <w:b/>
                <w:sz w:val="18"/>
              </w:rPr>
              <w:t>70</w:t>
            </w:r>
          </w:p>
        </w:tc>
      </w:tr>
    </w:tbl>
    <w:p w:rsidR="00543250" w:rsidRPr="00A93EAD" w:rsidRDefault="00543250" w:rsidP="00D712D4">
      <w:pPr>
        <w:pStyle w:val="SingleTxtG"/>
        <w:spacing w:before="240"/>
      </w:pPr>
      <w:r w:rsidRPr="00A93EAD">
        <w:t>49.</w:t>
      </w:r>
      <w:r w:rsidRPr="00A93EAD">
        <w:tab/>
        <w:t>A total of 30 checks on commissioned private security services were carried out.</w:t>
      </w:r>
    </w:p>
    <w:p w:rsidR="00543250" w:rsidRPr="00A93EAD" w:rsidRDefault="00543250" w:rsidP="00D712D4">
      <w:pPr>
        <w:pStyle w:val="H23G"/>
      </w:pPr>
      <w:r w:rsidRPr="00A93EAD">
        <w:tab/>
      </w:r>
      <w:r w:rsidRPr="00A93EAD">
        <w:tab/>
        <w:t>Violent deaths, evictions and internal security</w:t>
      </w:r>
    </w:p>
    <w:p w:rsidR="00543250" w:rsidRPr="00A93EAD" w:rsidRDefault="00543250" w:rsidP="000C141E">
      <w:pPr>
        <w:pStyle w:val="SingleTxtG"/>
      </w:pPr>
      <w:r w:rsidRPr="00A93EAD">
        <w:t>50.</w:t>
      </w:r>
      <w:r w:rsidRPr="00A93EAD">
        <w:tab/>
        <w:t>The Ministry of the Interior reports that between January and 31 October 2019, the homicide rate per 100,000 inhabitants was 24.3; this represented a decrease from the rate of 26.3 recorded for the same period in 2018.</w:t>
      </w:r>
    </w:p>
    <w:p w:rsidR="00543250" w:rsidRPr="00A93EAD" w:rsidRDefault="00543250" w:rsidP="00D712D4">
      <w:pPr>
        <w:pStyle w:val="SingleTxtG"/>
        <w:spacing w:after="240"/>
      </w:pPr>
      <w:r w:rsidRPr="00A93EAD">
        <w:t>51.</w:t>
      </w:r>
      <w:r w:rsidRPr="00A93EAD">
        <w:tab/>
        <w:t>According to statistical data made available by the National Civil Police, there has been a 6.2-point decrease in the rate of persons injured by acts of violence, which fell from 29.8 in 2018 to 23.6 in 2019.</w:t>
      </w:r>
    </w:p>
    <w:p w:rsidR="00543250" w:rsidRPr="00A93EAD" w:rsidRDefault="00543250" w:rsidP="000C141E">
      <w:pPr>
        <w:pStyle w:val="SingleTxtG"/>
      </w:pPr>
      <w:r w:rsidRPr="00A93EAD">
        <w:rPr>
          <w:noProof/>
          <w:lang w:val="en-US"/>
        </w:rPr>
        <w:drawing>
          <wp:inline distT="0" distB="0" distL="0" distR="0" wp14:anchorId="1BCFCB0A" wp14:editId="0DACFD47">
            <wp:extent cx="4668520" cy="2562860"/>
            <wp:effectExtent l="0" t="0" r="0" b="8890"/>
            <wp:docPr id="3" name="Picture 3" descr="https://mingob.gob.gt/wp-content/uploads/2019/09/c36d3d1c-f3a1-416e-a21b-e226d6ab5d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ngob.gob.gt/wp-content/uploads/2019/09/c36d3d1c-f3a1-416e-a21b-e226d6ab5d7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8520" cy="2562860"/>
                    </a:xfrm>
                    <a:prstGeom prst="rect">
                      <a:avLst/>
                    </a:prstGeom>
                    <a:noFill/>
                    <a:ln>
                      <a:noFill/>
                    </a:ln>
                  </pic:spPr>
                </pic:pic>
              </a:graphicData>
            </a:graphic>
          </wp:inline>
        </w:drawing>
      </w:r>
    </w:p>
    <w:p w:rsidR="00543250" w:rsidRPr="00D712D4" w:rsidRDefault="00543250" w:rsidP="00D712D4">
      <w:pPr>
        <w:spacing w:before="120" w:after="240"/>
        <w:ind w:left="1134" w:right="1134" w:firstLine="170"/>
        <w:rPr>
          <w:sz w:val="18"/>
        </w:rPr>
      </w:pPr>
      <w:r w:rsidRPr="00D712D4">
        <w:rPr>
          <w:i/>
          <w:iCs/>
          <w:sz w:val="18"/>
        </w:rPr>
        <w:t>Source:</w:t>
      </w:r>
      <w:r w:rsidRPr="00D712D4">
        <w:rPr>
          <w:sz w:val="18"/>
        </w:rPr>
        <w:t xml:space="preserve"> </w:t>
      </w:r>
      <w:r w:rsidR="00D712D4">
        <w:rPr>
          <w:sz w:val="18"/>
        </w:rPr>
        <w:t xml:space="preserve"> </w:t>
      </w:r>
      <w:r w:rsidRPr="00D712D4">
        <w:rPr>
          <w:sz w:val="18"/>
        </w:rPr>
        <w:t>Ministry of the Interior.</w:t>
      </w:r>
    </w:p>
    <w:p w:rsidR="00543250" w:rsidRPr="00A93EAD" w:rsidRDefault="00543250" w:rsidP="000C141E">
      <w:pPr>
        <w:pStyle w:val="SingleTxtG"/>
      </w:pPr>
      <w:r w:rsidRPr="00A93EAD">
        <w:t>52.</w:t>
      </w:r>
      <w:r w:rsidRPr="00A93EAD">
        <w:tab/>
        <w:t>More than 44,550 persons were arrested for various offences between 1 January and 1 September 2019, an increase of 450 over the 44,100 persons arrested over the same period in 2018.</w:t>
      </w:r>
    </w:p>
    <w:p w:rsidR="00543250" w:rsidRPr="00A93EAD" w:rsidRDefault="00543250" w:rsidP="00191998">
      <w:pPr>
        <w:pStyle w:val="H23G"/>
      </w:pPr>
      <w:r w:rsidRPr="00A93EAD">
        <w:tab/>
      </w:r>
      <w:r w:rsidRPr="00A93EAD">
        <w:tab/>
        <w:t xml:space="preserve">Evictions </w:t>
      </w:r>
    </w:p>
    <w:p w:rsidR="00543250" w:rsidRPr="00A93EAD" w:rsidRDefault="00543250" w:rsidP="000C141E">
      <w:pPr>
        <w:pStyle w:val="SingleTxtG"/>
      </w:pPr>
      <w:r w:rsidRPr="00A93EAD">
        <w:t>53.</w:t>
      </w:r>
      <w:r w:rsidRPr="00A93EAD">
        <w:tab/>
        <w:t>Through Decision No. 18-2018, the National Civil Police adopted a protocol on evictions setting out responsibilities and standardized measures that all police officials must observe and practi</w:t>
      </w:r>
      <w:r w:rsidR="001423C0">
        <w:t>s</w:t>
      </w:r>
      <w:r w:rsidRPr="00A93EAD">
        <w:t>e when carrying out an eviction, in accordance with the law and human rights. It also adopted General Order No. 11-2019, which sets out guidelines on the use of force in the course of police activities.</w:t>
      </w:r>
    </w:p>
    <w:p w:rsidR="00543250" w:rsidRPr="00A93EAD" w:rsidRDefault="00543250" w:rsidP="00191998">
      <w:pPr>
        <w:pStyle w:val="H23G"/>
      </w:pPr>
      <w:r w:rsidRPr="00A93EAD">
        <w:tab/>
      </w:r>
      <w:r w:rsidRPr="00A93EAD">
        <w:tab/>
        <w:t xml:space="preserve">Internal security </w:t>
      </w:r>
    </w:p>
    <w:p w:rsidR="00543250" w:rsidRDefault="00543250" w:rsidP="000C141E">
      <w:pPr>
        <w:pStyle w:val="SingleTxtG"/>
      </w:pPr>
      <w:r w:rsidRPr="00A93EAD">
        <w:t>54.</w:t>
      </w:r>
      <w:r w:rsidRPr="00A93EAD">
        <w:tab/>
        <w:t xml:space="preserve">The Ministry of the Interior has more than 42,000 police officers, of whom 35,000 are men and more than 6,700 are women, distributed among 896 police stations. There are </w:t>
      </w:r>
      <w:r w:rsidRPr="00A93EAD">
        <w:lastRenderedPageBreak/>
        <w:t>2,787 radio patrol cars, 1,091 private vehicles and a fleet of motorcycles and specialized bicycles for accessing hard-to-reach areas.</w:t>
      </w:r>
    </w:p>
    <w:p w:rsidR="00BE3204" w:rsidRPr="00A93EAD" w:rsidRDefault="00D27B79" w:rsidP="00D27B79">
      <w:pPr>
        <w:pStyle w:val="SingleTxtG"/>
        <w:spacing w:before="240"/>
        <w:jc w:val="center"/>
      </w:pPr>
      <w:r>
        <w:rPr>
          <w:u w:val="single"/>
        </w:rPr>
        <w:tab/>
      </w:r>
      <w:r>
        <w:rPr>
          <w:u w:val="single"/>
        </w:rPr>
        <w:tab/>
      </w:r>
      <w:r>
        <w:rPr>
          <w:u w:val="single"/>
        </w:rPr>
        <w:tab/>
      </w:r>
    </w:p>
    <w:sectPr w:rsidR="00BE3204" w:rsidRPr="00A93EAD"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59D" w:rsidRPr="008779DC" w:rsidRDefault="007D759D" w:rsidP="008779DC">
      <w:pPr>
        <w:pStyle w:val="Footer"/>
      </w:pPr>
    </w:p>
  </w:endnote>
  <w:endnote w:type="continuationSeparator" w:id="0">
    <w:p w:rsidR="007D759D" w:rsidRPr="008779DC" w:rsidRDefault="007D759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59D" w:rsidRDefault="007D759D" w:rsidP="00BE4E1B">
    <w:pPr>
      <w:pStyle w:val="Footer"/>
      <w:tabs>
        <w:tab w:val="right" w:pos="9638"/>
      </w:tabs>
    </w:pPr>
    <w:r w:rsidRPr="00BE4E1B">
      <w:rPr>
        <w:b/>
        <w:bCs/>
        <w:sz w:val="18"/>
      </w:rPr>
      <w:fldChar w:fldCharType="begin"/>
    </w:r>
    <w:r w:rsidRPr="00BE4E1B">
      <w:rPr>
        <w:b/>
        <w:bCs/>
        <w:sz w:val="18"/>
      </w:rPr>
      <w:instrText xml:space="preserve"> PAGE  \* MERGEFORMAT </w:instrText>
    </w:r>
    <w:r w:rsidRPr="00BE4E1B">
      <w:rPr>
        <w:b/>
        <w:bCs/>
        <w:sz w:val="18"/>
      </w:rPr>
      <w:fldChar w:fldCharType="separate"/>
    </w:r>
    <w:r w:rsidR="00150F15">
      <w:rPr>
        <w:b/>
        <w:bCs/>
        <w:noProof/>
        <w:sz w:val="18"/>
      </w:rPr>
      <w:t>12</w:t>
    </w:r>
    <w:r w:rsidRPr="00BE4E1B">
      <w:rPr>
        <w:b/>
        <w:bCs/>
        <w:sz w:val="18"/>
      </w:rPr>
      <w:fldChar w:fldCharType="end"/>
    </w:r>
    <w:r>
      <w:tab/>
      <w:t>GE.20-01299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59D" w:rsidRDefault="007D759D" w:rsidP="00BE4E1B">
    <w:pPr>
      <w:pStyle w:val="Footer"/>
      <w:tabs>
        <w:tab w:val="right" w:pos="9638"/>
      </w:tabs>
    </w:pPr>
    <w:r>
      <w:t>GE.20-01299</w:t>
    </w:r>
    <w:r>
      <w:tab/>
    </w:r>
    <w:r w:rsidRPr="00BE4E1B">
      <w:rPr>
        <w:b/>
        <w:bCs/>
        <w:sz w:val="18"/>
      </w:rPr>
      <w:fldChar w:fldCharType="begin"/>
    </w:r>
    <w:r w:rsidRPr="00BE4E1B">
      <w:rPr>
        <w:b/>
        <w:bCs/>
        <w:sz w:val="18"/>
      </w:rPr>
      <w:instrText xml:space="preserve"> PAGE  \* MERGEFORMAT </w:instrText>
    </w:r>
    <w:r w:rsidRPr="00BE4E1B">
      <w:rPr>
        <w:b/>
        <w:bCs/>
        <w:sz w:val="18"/>
      </w:rPr>
      <w:fldChar w:fldCharType="separate"/>
    </w:r>
    <w:r w:rsidR="00150F15">
      <w:rPr>
        <w:b/>
        <w:bCs/>
        <w:noProof/>
        <w:sz w:val="18"/>
      </w:rPr>
      <w:t>11</w:t>
    </w:r>
    <w:r w:rsidRPr="00BE4E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59D" w:rsidRDefault="007D759D">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D759D" w:rsidRDefault="007D759D" w:rsidP="00B067BA">
    <w:pPr>
      <w:pStyle w:val="Footer"/>
      <w:rPr>
        <w:sz w:val="20"/>
      </w:rPr>
    </w:pPr>
    <w:r>
      <w:rPr>
        <w:sz w:val="20"/>
      </w:rPr>
      <w:t>GE.20-</w:t>
    </w:r>
    <w:proofErr w:type="gramStart"/>
    <w:r>
      <w:rPr>
        <w:sz w:val="20"/>
      </w:rPr>
      <w:t>01299  (</w:t>
    </w:r>
    <w:proofErr w:type="gramEnd"/>
    <w:r>
      <w:rPr>
        <w:sz w:val="20"/>
      </w:rPr>
      <w:t>E)    1</w:t>
    </w:r>
    <w:r w:rsidR="00B067BA">
      <w:rPr>
        <w:sz w:val="20"/>
      </w:rPr>
      <w:t>3</w:t>
    </w:r>
    <w:r>
      <w:rPr>
        <w:sz w:val="20"/>
      </w:rPr>
      <w:t>0220    1</w:t>
    </w:r>
    <w:r w:rsidR="00B067BA">
      <w:rPr>
        <w:sz w:val="20"/>
      </w:rPr>
      <w:t>4</w:t>
    </w:r>
    <w:r>
      <w:rPr>
        <w:sz w:val="20"/>
      </w:rPr>
      <w:t>0220</w:t>
    </w:r>
  </w:p>
  <w:p w:rsidR="007D759D" w:rsidRPr="00BE4E1B" w:rsidRDefault="007D759D" w:rsidP="00BE4E1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GTM/F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TM/F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59D" w:rsidRPr="008779DC" w:rsidRDefault="007D759D" w:rsidP="008779DC">
      <w:pPr>
        <w:tabs>
          <w:tab w:val="right" w:pos="2155"/>
        </w:tabs>
        <w:spacing w:after="80" w:line="240" w:lineRule="auto"/>
        <w:ind w:left="680"/>
      </w:pPr>
      <w:r>
        <w:rPr>
          <w:u w:val="single"/>
        </w:rPr>
        <w:tab/>
      </w:r>
    </w:p>
  </w:footnote>
  <w:footnote w:type="continuationSeparator" w:id="0">
    <w:p w:rsidR="007D759D" w:rsidRPr="008779DC" w:rsidRDefault="007D759D" w:rsidP="008779DC">
      <w:pPr>
        <w:tabs>
          <w:tab w:val="right" w:pos="2155"/>
        </w:tabs>
        <w:spacing w:after="80" w:line="240" w:lineRule="auto"/>
        <w:ind w:left="680"/>
      </w:pPr>
      <w:r>
        <w:rPr>
          <w:u w:val="single"/>
        </w:rPr>
        <w:tab/>
      </w:r>
    </w:p>
  </w:footnote>
  <w:footnote w:id="1">
    <w:p w:rsidR="007D759D" w:rsidRDefault="007D759D" w:rsidP="00390C46">
      <w:pPr>
        <w:pStyle w:val="FootnoteText"/>
      </w:pPr>
      <w:r>
        <w:tab/>
      </w:r>
      <w:r w:rsidRPr="007D759D">
        <w:rPr>
          <w:sz w:val="20"/>
          <w:szCs w:val="22"/>
        </w:rPr>
        <w:t>*</w:t>
      </w:r>
      <w:r>
        <w:rPr>
          <w:sz w:val="20"/>
          <w:szCs w:val="22"/>
        </w:rPr>
        <w:tab/>
      </w:r>
      <w:r w:rsidRPr="007D759D">
        <w:t>Reissued for technical reasons on 13 February 2020.</w:t>
      </w:r>
    </w:p>
    <w:p w:rsidR="007D759D" w:rsidRPr="00612A9C" w:rsidRDefault="007D759D" w:rsidP="00390C46">
      <w:pPr>
        <w:pStyle w:val="FootnoteText"/>
      </w:pPr>
      <w:r>
        <w:rPr>
          <w:rStyle w:val="FootnoteReference"/>
        </w:rPr>
        <w:tab/>
      </w:r>
      <w:r w:rsidRPr="007D759D">
        <w:rPr>
          <w:sz w:val="20"/>
          <w:szCs w:val="22"/>
        </w:rPr>
        <w:t>*</w:t>
      </w:r>
      <w:r w:rsidRPr="00612A9C">
        <w:rPr>
          <w:rStyle w:val="FootnoteReference"/>
          <w:sz w:val="20"/>
          <w:vertAlign w:val="baseline"/>
        </w:rPr>
        <w:t>*</w:t>
      </w:r>
      <w:r>
        <w:rPr>
          <w:rStyle w:val="FootnoteReference"/>
          <w:sz w:val="20"/>
          <w:vertAlign w:val="baseline"/>
        </w:rPr>
        <w:tab/>
      </w:r>
      <w:r>
        <w:t>The present document is being issued without formal editing.</w:t>
      </w:r>
    </w:p>
  </w:footnote>
  <w:footnote w:id="2">
    <w:p w:rsidR="007D759D" w:rsidRDefault="007D759D" w:rsidP="00390C46">
      <w:pPr>
        <w:pStyle w:val="FootnoteText"/>
      </w:pPr>
      <w:r>
        <w:tab/>
      </w:r>
      <w:r w:rsidRPr="00664508">
        <w:rPr>
          <w:rStyle w:val="FootnoteReference"/>
        </w:rPr>
        <w:footnoteRef/>
      </w:r>
      <w:r w:rsidRPr="00664508">
        <w:rPr>
          <w:rStyle w:val="FootnoteReference"/>
        </w:rPr>
        <w:tab/>
      </w:r>
      <w:r>
        <w:t>Congressional Decree No. 32-2006.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59D" w:rsidRDefault="007D759D" w:rsidP="00BE4E1B">
    <w:pPr>
      <w:pStyle w:val="Header"/>
    </w:pPr>
    <w:r>
      <w:t>CAT/C/GTM/FCO/7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59D" w:rsidRDefault="007D759D" w:rsidP="00BE4E1B">
    <w:pPr>
      <w:pStyle w:val="Header"/>
      <w:jc w:val="right"/>
    </w:pPr>
    <w:r>
      <w:t>CAT/C/GTM/FCO/7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153"/>
    <w:rsid w:val="00046E92"/>
    <w:rsid w:val="00062024"/>
    <w:rsid w:val="000C141E"/>
    <w:rsid w:val="000F5085"/>
    <w:rsid w:val="0011190E"/>
    <w:rsid w:val="00113E7B"/>
    <w:rsid w:val="00117E8C"/>
    <w:rsid w:val="001423C0"/>
    <w:rsid w:val="00150F15"/>
    <w:rsid w:val="00181BFF"/>
    <w:rsid w:val="00191998"/>
    <w:rsid w:val="001A5C60"/>
    <w:rsid w:val="001F3118"/>
    <w:rsid w:val="002047F8"/>
    <w:rsid w:val="00247E2C"/>
    <w:rsid w:val="00254A4D"/>
    <w:rsid w:val="002867A3"/>
    <w:rsid w:val="00293316"/>
    <w:rsid w:val="002D6C53"/>
    <w:rsid w:val="002E4963"/>
    <w:rsid w:val="002F3D50"/>
    <w:rsid w:val="002F5595"/>
    <w:rsid w:val="002F7D86"/>
    <w:rsid w:val="00327831"/>
    <w:rsid w:val="00334F6A"/>
    <w:rsid w:val="00342AC8"/>
    <w:rsid w:val="00381399"/>
    <w:rsid w:val="00390C46"/>
    <w:rsid w:val="003B4550"/>
    <w:rsid w:val="003E18E4"/>
    <w:rsid w:val="0041750F"/>
    <w:rsid w:val="00444349"/>
    <w:rsid w:val="00461253"/>
    <w:rsid w:val="004A6B08"/>
    <w:rsid w:val="005042C2"/>
    <w:rsid w:val="00515294"/>
    <w:rsid w:val="005159AF"/>
    <w:rsid w:val="00532415"/>
    <w:rsid w:val="00543250"/>
    <w:rsid w:val="005451A0"/>
    <w:rsid w:val="00550390"/>
    <w:rsid w:val="005D16A0"/>
    <w:rsid w:val="006048D4"/>
    <w:rsid w:val="00612A9C"/>
    <w:rsid w:val="006365DF"/>
    <w:rsid w:val="00664508"/>
    <w:rsid w:val="00671529"/>
    <w:rsid w:val="006A458A"/>
    <w:rsid w:val="006E1B45"/>
    <w:rsid w:val="007268F9"/>
    <w:rsid w:val="007309C0"/>
    <w:rsid w:val="00782F2E"/>
    <w:rsid w:val="007C52B0"/>
    <w:rsid w:val="007D759D"/>
    <w:rsid w:val="007E00D3"/>
    <w:rsid w:val="00824DDB"/>
    <w:rsid w:val="00834108"/>
    <w:rsid w:val="00864F4A"/>
    <w:rsid w:val="0087596F"/>
    <w:rsid w:val="008779DC"/>
    <w:rsid w:val="008853A6"/>
    <w:rsid w:val="008B5F85"/>
    <w:rsid w:val="00917982"/>
    <w:rsid w:val="0093545A"/>
    <w:rsid w:val="009411B4"/>
    <w:rsid w:val="00976BD9"/>
    <w:rsid w:val="00996D8E"/>
    <w:rsid w:val="009D0139"/>
    <w:rsid w:val="009D72A6"/>
    <w:rsid w:val="009F5CDC"/>
    <w:rsid w:val="00A21819"/>
    <w:rsid w:val="00A26153"/>
    <w:rsid w:val="00A43F01"/>
    <w:rsid w:val="00A63DA1"/>
    <w:rsid w:val="00A775CF"/>
    <w:rsid w:val="00A86E9D"/>
    <w:rsid w:val="00B06045"/>
    <w:rsid w:val="00B067BA"/>
    <w:rsid w:val="00B441ED"/>
    <w:rsid w:val="00B86FC8"/>
    <w:rsid w:val="00BC108F"/>
    <w:rsid w:val="00BE3204"/>
    <w:rsid w:val="00BE4E1B"/>
    <w:rsid w:val="00BF0337"/>
    <w:rsid w:val="00BF3C75"/>
    <w:rsid w:val="00C27CE2"/>
    <w:rsid w:val="00C35A27"/>
    <w:rsid w:val="00C52D58"/>
    <w:rsid w:val="00C64106"/>
    <w:rsid w:val="00C77619"/>
    <w:rsid w:val="00C9269A"/>
    <w:rsid w:val="00C945E1"/>
    <w:rsid w:val="00CF1AC5"/>
    <w:rsid w:val="00D27B79"/>
    <w:rsid w:val="00D6477A"/>
    <w:rsid w:val="00D712D4"/>
    <w:rsid w:val="00DE0236"/>
    <w:rsid w:val="00DF123E"/>
    <w:rsid w:val="00E0090A"/>
    <w:rsid w:val="00E02C2B"/>
    <w:rsid w:val="00E64931"/>
    <w:rsid w:val="00E67FFB"/>
    <w:rsid w:val="00ED6C48"/>
    <w:rsid w:val="00EE4F25"/>
    <w:rsid w:val="00EF0124"/>
    <w:rsid w:val="00EF3559"/>
    <w:rsid w:val="00F022BB"/>
    <w:rsid w:val="00F04DB0"/>
    <w:rsid w:val="00F24B5A"/>
    <w:rsid w:val="00F25710"/>
    <w:rsid w:val="00F40D0C"/>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4261D4"/>
  <w15:docId w15:val="{7AF3CDD5-5C96-45CD-B360-F570A52E7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E32D6-5122-4B6C-A2A1-A1146BCFD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4169</Words>
  <Characters>22654</Characters>
  <Application>Microsoft Office Word</Application>
  <DocSecurity>0</DocSecurity>
  <Lines>713</Lines>
  <Paragraphs>471</Paragraphs>
  <ScaleCrop>false</ScaleCrop>
  <HeadingPairs>
    <vt:vector size="2" baseType="variant">
      <vt:variant>
        <vt:lpstr>Title</vt:lpstr>
      </vt:variant>
      <vt:variant>
        <vt:i4>1</vt:i4>
      </vt:variant>
    </vt:vector>
  </HeadingPairs>
  <TitlesOfParts>
    <vt:vector size="1" baseType="lpstr">
      <vt:lpstr>CAT/C/GTM/FCO/7</vt:lpstr>
    </vt:vector>
  </TitlesOfParts>
  <Company>DCM</Company>
  <LinksUpToDate>false</LinksUpToDate>
  <CharactersWithSpaces>26475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CAT/C/GTM/FCO/7</dc:title>
  <dc:subject>2001299</dc:subject>
  <dc:creator>Brigoli</dc:creator>
  <cp:keywords/>
  <dc:description/>
  <cp:lastModifiedBy>Generic Pdf eng</cp:lastModifiedBy>
  <cp:revision>2</cp:revision>
  <cp:lastPrinted>2020-02-14T07:19:00Z</cp:lastPrinted>
  <dcterms:created xsi:type="dcterms:W3CDTF">2020-02-14T07:19:00Z</dcterms:created>
  <dcterms:modified xsi:type="dcterms:W3CDTF">2020-02-14T07:19:00Z</dcterms:modified>
</cp:coreProperties>
</file>