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A7E" w:rsidRPr="00046D9D" w:rsidRDefault="00D41A7E" w:rsidP="00D41A7E">
      <w:pPr>
        <w:spacing w:line="240" w:lineRule="auto"/>
        <w:rPr>
          <w:sz w:val="6"/>
        </w:rPr>
        <w:sectPr w:rsidR="00D41A7E" w:rsidRPr="00046D9D" w:rsidSect="009B5B53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type w:val="continuous"/>
          <w:pgSz w:w="11909" w:h="16834" w:code="1"/>
          <w:pgMar w:top="1742" w:right="936" w:bottom="1898" w:left="936" w:header="576" w:footer="1030" w:gutter="0"/>
          <w:cols w:space="708"/>
          <w:noEndnote/>
          <w:titlePg/>
          <w:docGrid w:linePitch="360"/>
        </w:sectPr>
      </w:pPr>
      <w:r w:rsidRPr="00046D9D">
        <w:rPr>
          <w:rStyle w:val="CommentReference"/>
          <w:szCs w:val="20"/>
        </w:rPr>
        <w:commentReference w:id="0"/>
      </w:r>
      <w:bookmarkStart w:id="1" w:name="_GoBack"/>
      <w:bookmarkEnd w:id="1"/>
    </w:p>
    <w:p w:rsidR="00D41A7E" w:rsidRPr="00046D9D" w:rsidRDefault="00D41A7E" w:rsidP="00D41A7E">
      <w:pPr>
        <w:pStyle w:val="H1"/>
      </w:pPr>
      <w:r w:rsidRPr="00046D9D">
        <w:lastRenderedPageBreak/>
        <w:t>Consejo de Derechos Humanos</w:t>
      </w:r>
    </w:p>
    <w:p w:rsidR="00D41A7E" w:rsidRPr="00046D9D" w:rsidRDefault="00524BEA" w:rsidP="00D41A7E">
      <w:pPr>
        <w:pStyle w:val="H23"/>
        <w:rPr>
          <w:b w:val="0"/>
        </w:rPr>
      </w:pPr>
      <w:r>
        <w:t>30º</w:t>
      </w:r>
      <w:r w:rsidR="00D41A7E" w:rsidRPr="00046D9D">
        <w:t xml:space="preserve"> período de sesiones</w:t>
      </w:r>
      <w:r w:rsidR="00D41A7E" w:rsidRPr="00046D9D">
        <w:br/>
      </w:r>
      <w:r w:rsidR="00D41A7E" w:rsidRPr="00046D9D">
        <w:rPr>
          <w:b w:val="0"/>
        </w:rPr>
        <w:t xml:space="preserve">Tema </w:t>
      </w:r>
      <w:r>
        <w:rPr>
          <w:b w:val="0"/>
        </w:rPr>
        <w:t>10</w:t>
      </w:r>
      <w:r w:rsidR="00D41A7E" w:rsidRPr="00046D9D">
        <w:rPr>
          <w:b w:val="0"/>
        </w:rPr>
        <w:t xml:space="preserve"> de la agenda</w:t>
      </w:r>
    </w:p>
    <w:p w:rsidR="00D41A7E" w:rsidRPr="00524BEA" w:rsidRDefault="00D41A7E" w:rsidP="00524BEA">
      <w:pPr>
        <w:spacing w:line="120" w:lineRule="exact"/>
        <w:rPr>
          <w:sz w:val="10"/>
        </w:rPr>
      </w:pPr>
    </w:p>
    <w:p w:rsidR="00524BEA" w:rsidRPr="00524BEA" w:rsidRDefault="00524BEA" w:rsidP="00524BEA">
      <w:pPr>
        <w:spacing w:line="120" w:lineRule="exact"/>
        <w:rPr>
          <w:sz w:val="10"/>
        </w:rPr>
      </w:pPr>
    </w:p>
    <w:p w:rsidR="00524BEA" w:rsidRPr="00524BEA" w:rsidRDefault="00524BEA" w:rsidP="00524BEA">
      <w:pPr>
        <w:spacing w:line="120" w:lineRule="exact"/>
        <w:rPr>
          <w:sz w:val="10"/>
        </w:rPr>
      </w:pPr>
    </w:p>
    <w:p w:rsidR="00046D9D" w:rsidRDefault="00524BEA" w:rsidP="00524BE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="00046D9D" w:rsidRPr="00046D9D">
        <w:t>Resolución aprobada por el Consejo de Derechos Humanos</w:t>
      </w:r>
      <w:r>
        <w:t> </w:t>
      </w:r>
      <w:r w:rsidR="00046D9D" w:rsidRPr="00046D9D">
        <w:t>el</w:t>
      </w:r>
      <w:r>
        <w:t> </w:t>
      </w:r>
      <w:r w:rsidR="00046D9D" w:rsidRPr="00046D9D">
        <w:t>2 de octubre de 2015</w:t>
      </w:r>
    </w:p>
    <w:p w:rsidR="00524BEA" w:rsidRPr="00524BEA" w:rsidRDefault="00524BEA" w:rsidP="00524BEA">
      <w:pPr>
        <w:pStyle w:val="SingleTxt"/>
        <w:spacing w:after="0" w:line="120" w:lineRule="exact"/>
        <w:rPr>
          <w:sz w:val="10"/>
        </w:rPr>
      </w:pPr>
    </w:p>
    <w:p w:rsidR="00524BEA" w:rsidRPr="00524BEA" w:rsidRDefault="00524BEA" w:rsidP="00524BEA">
      <w:pPr>
        <w:pStyle w:val="SingleTxt"/>
        <w:spacing w:after="0" w:line="120" w:lineRule="exact"/>
        <w:rPr>
          <w:sz w:val="10"/>
        </w:rPr>
      </w:pPr>
    </w:p>
    <w:p w:rsidR="00F577BD" w:rsidRDefault="00F577BD" w:rsidP="00873AD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F577BD">
        <w:t>30/23.</w:t>
      </w:r>
      <w:r w:rsidRPr="00F577BD">
        <w:tab/>
        <w:t>Servicios de asesoramiento y asistencia técnica</w:t>
      </w:r>
      <w:r>
        <w:br/>
      </w:r>
      <w:r>
        <w:tab/>
      </w:r>
      <w:r>
        <w:tab/>
      </w:r>
      <w:r w:rsidRPr="00F577BD">
        <w:t>para</w:t>
      </w:r>
      <w:r>
        <w:t xml:space="preserve"> </w:t>
      </w:r>
      <w:r w:rsidRPr="00F577BD">
        <w:t>Camboya</w:t>
      </w:r>
    </w:p>
    <w:p w:rsidR="00F577BD" w:rsidRPr="00F577BD" w:rsidRDefault="00F577BD" w:rsidP="00F577BD">
      <w:pPr>
        <w:pStyle w:val="SingleTxt"/>
        <w:spacing w:after="0" w:line="120" w:lineRule="exact"/>
        <w:rPr>
          <w:sz w:val="10"/>
        </w:rPr>
      </w:pPr>
    </w:p>
    <w:p w:rsidR="00F577BD" w:rsidRPr="00F577BD" w:rsidRDefault="00F577BD" w:rsidP="00F577BD">
      <w:pPr>
        <w:pStyle w:val="SingleTxt"/>
        <w:spacing w:after="0" w:line="120" w:lineRule="exact"/>
        <w:rPr>
          <w:sz w:val="10"/>
        </w:rPr>
      </w:pPr>
    </w:p>
    <w:p w:rsidR="00046D9D" w:rsidRPr="00046D9D" w:rsidRDefault="00046D9D" w:rsidP="00046D9D">
      <w:pPr>
        <w:pStyle w:val="SingleTxt"/>
        <w:rPr>
          <w:i/>
        </w:rPr>
      </w:pPr>
      <w:r w:rsidRPr="00046D9D">
        <w:rPr>
          <w:i/>
        </w:rPr>
        <w:tab/>
        <w:t>El Consejo de Derechos Humanos</w:t>
      </w:r>
      <w:r w:rsidRPr="00046D9D">
        <w:t>,</w:t>
      </w:r>
    </w:p>
    <w:p w:rsidR="00046D9D" w:rsidRPr="00046D9D" w:rsidRDefault="00046D9D" w:rsidP="00046D9D">
      <w:pPr>
        <w:pStyle w:val="SingleTxt"/>
      </w:pPr>
      <w:r w:rsidRPr="00046D9D">
        <w:rPr>
          <w:i/>
        </w:rPr>
        <w:tab/>
        <w:t xml:space="preserve">Reafirmando </w:t>
      </w:r>
      <w:r w:rsidRPr="00046D9D">
        <w:t>que todos los Estados Miembros tienen la obligación de promover y proteger los derechos humanos y las libertades fundamentales consagrados en la Carta de las Naciones Unidas y reafirmados en la Declaración Universal de Derechos Humanos, y de conformidad con las obligaciones que les imponen los Pactos Internacionales de Derechos Humanos y otros instrumentos de derechos humanos aplicables,</w:t>
      </w:r>
    </w:p>
    <w:p w:rsidR="00046D9D" w:rsidRPr="00046D9D" w:rsidRDefault="00046D9D" w:rsidP="00046D9D">
      <w:pPr>
        <w:pStyle w:val="SingleTxt"/>
      </w:pPr>
      <w:r w:rsidRPr="00046D9D">
        <w:rPr>
          <w:i/>
        </w:rPr>
        <w:tab/>
        <w:t xml:space="preserve">Recordando </w:t>
      </w:r>
      <w:r w:rsidRPr="00046D9D">
        <w:t>la resolución 60/251 de la Asamblea General, de 15 de marzo de 2006,</w:t>
      </w:r>
    </w:p>
    <w:p w:rsidR="00046D9D" w:rsidRPr="00046D9D" w:rsidRDefault="00046D9D" w:rsidP="00046D9D">
      <w:pPr>
        <w:pStyle w:val="SingleTxt"/>
      </w:pPr>
      <w:r w:rsidRPr="00046D9D">
        <w:rPr>
          <w:i/>
        </w:rPr>
        <w:tab/>
        <w:t xml:space="preserve">Recordando también </w:t>
      </w:r>
      <w:r w:rsidRPr="00046D9D">
        <w:t>las resoluciones del Consejo de Derechos Humanos 5/1 y</w:t>
      </w:r>
      <w:r w:rsidR="00524BEA">
        <w:t> </w:t>
      </w:r>
      <w:r w:rsidRPr="00046D9D">
        <w:t>5/2, de 18 de junio de 2007, y destacando que los titulares de mandatos deberán desempeñar sus funciones de conformidad con lo dispuesto en dichas resoluciones y en sus anexos,</w:t>
      </w:r>
    </w:p>
    <w:p w:rsidR="00046D9D" w:rsidRPr="00046D9D" w:rsidRDefault="00046D9D" w:rsidP="00046D9D">
      <w:pPr>
        <w:pStyle w:val="SingleTxt"/>
      </w:pPr>
      <w:r w:rsidRPr="00046D9D">
        <w:rPr>
          <w:i/>
        </w:rPr>
        <w:tab/>
        <w:t xml:space="preserve">Recordando además </w:t>
      </w:r>
      <w:r w:rsidRPr="00046D9D">
        <w:t>la resolución 24/32 del Consejo de Derechos Humanos, de 20 de septiembre de 2013, y otras resoluciones pertinentes,</w:t>
      </w:r>
    </w:p>
    <w:p w:rsidR="00046D9D" w:rsidRPr="00046D9D" w:rsidRDefault="00046D9D" w:rsidP="00046D9D">
      <w:pPr>
        <w:pStyle w:val="SingleTxt"/>
      </w:pPr>
      <w:r w:rsidRPr="00046D9D">
        <w:rPr>
          <w:i/>
        </w:rPr>
        <w:tab/>
        <w:t xml:space="preserve">Teniendo presente </w:t>
      </w:r>
      <w:r w:rsidRPr="00046D9D">
        <w:t>el informe del Secretario General sobre la función y los logros de la Oficina del Alto Comisionado de las Naciones Unidas para los Derechos Humanos en la prestación de asistencia al Gobierno y al pueblo de Camboya para la promoción y protección de los derechos humanos</w:t>
      </w:r>
      <w:r w:rsidRPr="00046D9D">
        <w:rPr>
          <w:vertAlign w:val="superscript"/>
        </w:rPr>
        <w:footnoteReference w:id="1"/>
      </w:r>
      <w:r w:rsidRPr="00046D9D">
        <w:t>,</w:t>
      </w:r>
    </w:p>
    <w:p w:rsidR="00046D9D" w:rsidRPr="00046D9D" w:rsidRDefault="00046D9D" w:rsidP="00046D9D">
      <w:pPr>
        <w:pStyle w:val="SingleTxt"/>
      </w:pPr>
      <w:r w:rsidRPr="00046D9D">
        <w:rPr>
          <w:i/>
        </w:rPr>
        <w:tab/>
        <w:t xml:space="preserve">Reconociendo </w:t>
      </w:r>
      <w:r w:rsidRPr="00046D9D">
        <w:t>que la trágica historia de Camboya exige la adopción de medidas especiales para asegurar la protección de los derechos humanos e impedir que se vuelva a las políticas y prácticas del pasado, conforme a lo estipulado en el Acuerdo sobre un Arreglo Político Amplio del Conflicto de Camboya, firmado en París el 23 de octubre de 1991,</w:t>
      </w:r>
    </w:p>
    <w:p w:rsidR="00046D9D" w:rsidRPr="00046D9D" w:rsidRDefault="00046D9D" w:rsidP="00046D9D">
      <w:pPr>
        <w:pStyle w:val="SingleTxt"/>
      </w:pPr>
      <w:r w:rsidRPr="00046D9D">
        <w:rPr>
          <w:i/>
        </w:rPr>
        <w:tab/>
        <w:t xml:space="preserve">Tomando nota </w:t>
      </w:r>
      <w:r w:rsidRPr="00046D9D">
        <w:t xml:space="preserve">de los acontecimientos ocurridos recientemente en Camboya, en particular los logros y las mejoras obtenidos en los últimos años en las esferas social, </w:t>
      </w:r>
      <w:r w:rsidRPr="00046D9D">
        <w:lastRenderedPageBreak/>
        <w:t>económica, política y cultural mediante los planes, estrategias y marcos nacionales pertinentes,</w:t>
      </w:r>
    </w:p>
    <w:p w:rsidR="00046D9D" w:rsidRPr="00046D9D" w:rsidRDefault="00046D9D" w:rsidP="00046D9D">
      <w:pPr>
        <w:pStyle w:val="SingleTxt"/>
      </w:pPr>
      <w:r w:rsidRPr="00046D9D">
        <w:tab/>
        <w:t>1.</w:t>
      </w:r>
      <w:r w:rsidRPr="00046D9D">
        <w:tab/>
      </w:r>
      <w:r w:rsidRPr="00046D9D">
        <w:rPr>
          <w:i/>
        </w:rPr>
        <w:t xml:space="preserve">Reafirma </w:t>
      </w:r>
      <w:r w:rsidRPr="00046D9D">
        <w:t>la importancia de las salas especiales de los tribunales de Camboya en cuanto órganos independientes e imparciales, y cree que su labor contribuirá sensiblemente a erradicar la impunidad y establecer el estado de derecho, entre otras cosas si se aprovecha la posibilidad de que sirvan de tribunales modelo en Camboya;</w:t>
      </w:r>
    </w:p>
    <w:p w:rsidR="00046D9D" w:rsidRPr="00046D9D" w:rsidRDefault="00046D9D" w:rsidP="00046D9D">
      <w:pPr>
        <w:pStyle w:val="SingleTxt"/>
      </w:pPr>
      <w:r w:rsidRPr="00046D9D">
        <w:tab/>
        <w:t>2.</w:t>
      </w:r>
      <w:r w:rsidRPr="00046D9D">
        <w:tab/>
      </w:r>
      <w:r w:rsidRPr="00046D9D">
        <w:rPr>
          <w:i/>
        </w:rPr>
        <w:t xml:space="preserve">Acoge con beneplácito </w:t>
      </w:r>
      <w:r w:rsidRPr="00046D9D">
        <w:t>los progresos logrados por las salas especiales, entre ellos la sentencia dictada por la Sala de Primera Instancia en la causa núm. 002/01 contra Nuon Chea y Khieu Samphan, antiguos altos dirigentes de la Kampuchea Democrática, que fueron declarados culpables de crímenes de lesa humanidad y condenados a reclusión perpetua el 7 de agosto de 2014, y el inicio de las vistas de la causa núm. 002/02 el 17 de octubre de 2014, y apoya la posición del Gobierno de Camboya y de las Naciones Unidas de llevar adelante las actividades del tribunal de manera imparcial, eficiente y rápida, habida cuenta de la avanzada edad y delicada salud de los acusados y de lo mucho que se ha tardado en hacer justicia en el caso del pueblo de Camboya;</w:t>
      </w:r>
    </w:p>
    <w:p w:rsidR="00046D9D" w:rsidRPr="00046D9D" w:rsidRDefault="00046D9D" w:rsidP="00046D9D">
      <w:pPr>
        <w:pStyle w:val="SingleTxt"/>
      </w:pPr>
      <w:r w:rsidRPr="00046D9D">
        <w:tab/>
        <w:t>3.</w:t>
      </w:r>
      <w:r w:rsidRPr="00046D9D">
        <w:tab/>
      </w:r>
      <w:r w:rsidRPr="00046D9D">
        <w:rPr>
          <w:i/>
        </w:rPr>
        <w:t xml:space="preserve">Expresa su continuada preocupación </w:t>
      </w:r>
      <w:r w:rsidRPr="00046D9D">
        <w:t>ante la grave situación financiera de las salas especiales, insta al Gobierno de Camboya a que colabore con las Naciones Unidas y los Estados que prestan asistencia para asegurar los más altos niveles de administración de las salas especiales, destaca la necesidad de que el Gobierno y la comunidad internacional presten toda la asistencia apropiada a las salas especiales y destaca también la importancia de que se gestionen de manera eficiente y sostenible los recursos financieros de las salas especiales;</w:t>
      </w:r>
    </w:p>
    <w:p w:rsidR="00046D9D" w:rsidRPr="00046D9D" w:rsidRDefault="00046D9D" w:rsidP="00046D9D">
      <w:pPr>
        <w:pStyle w:val="SingleTxt"/>
      </w:pPr>
      <w:r w:rsidRPr="00046D9D">
        <w:tab/>
        <w:t>4.</w:t>
      </w:r>
      <w:r w:rsidRPr="00046D9D">
        <w:tab/>
      </w:r>
      <w:r w:rsidRPr="00046D9D">
        <w:rPr>
          <w:i/>
        </w:rPr>
        <w:t xml:space="preserve">Acoge con beneplácito </w:t>
      </w:r>
      <w:r w:rsidRPr="00046D9D">
        <w:t>la positiva participación del Gobierno de Camboya en el proceso del examen periódico universal, así como su aceptación de la mayoría de las recomendaciones formuladas en el examen y los progresos realizados hasta la fecha en su aplicación;</w:t>
      </w:r>
    </w:p>
    <w:p w:rsidR="00046D9D" w:rsidRPr="00046D9D" w:rsidRDefault="00046D9D" w:rsidP="00046D9D">
      <w:pPr>
        <w:pStyle w:val="SingleTxt"/>
      </w:pPr>
      <w:r w:rsidRPr="00046D9D">
        <w:tab/>
        <w:t>5.</w:t>
      </w:r>
      <w:r w:rsidRPr="00046D9D">
        <w:tab/>
      </w:r>
      <w:r w:rsidRPr="00046D9D">
        <w:rPr>
          <w:i/>
        </w:rPr>
        <w:t xml:space="preserve">Acoge con beneplácito también </w:t>
      </w:r>
      <w:r w:rsidRPr="00046D9D">
        <w:t>los informes de los Relatores Especiales sobre la situación de los derechos humanos en Camboya</w:t>
      </w:r>
      <w:r w:rsidRPr="00046D9D">
        <w:rPr>
          <w:vertAlign w:val="superscript"/>
        </w:rPr>
        <w:footnoteReference w:id="2"/>
      </w:r>
      <w:r w:rsidRPr="00046D9D">
        <w:t xml:space="preserve"> y las recomendaciones que figuran en ellos, toma nota de la necesidad de mantener consultas estrechas y respetuosas entre el Gobierno de Camboya y la Relatora Especial para seguir mejorando la situación de los derechos humanos en el país y para proseguir la cooperación técnica entre la Oficina del Alto Comisionado de las Naciones Unidas para los Derechos Humanos y el Gobierno, y alienta a la Relatora Especial y a la oficina sobre el terreno de la Oficina del Alto Comisionado en Phnom Penh a que sigan intercambiando información en aras de la efectiva ejecución de sus respectivos mandatos, teniendo en cuenta que son independientes;</w:t>
      </w:r>
    </w:p>
    <w:p w:rsidR="00046D9D" w:rsidRPr="00046D9D" w:rsidRDefault="00046D9D" w:rsidP="00046D9D">
      <w:pPr>
        <w:pStyle w:val="SingleTxt"/>
      </w:pPr>
      <w:r w:rsidRPr="00046D9D">
        <w:tab/>
        <w:t>6.</w:t>
      </w:r>
      <w:r w:rsidRPr="00046D9D">
        <w:tab/>
      </w:r>
      <w:r w:rsidRPr="00046D9D">
        <w:rPr>
          <w:i/>
        </w:rPr>
        <w:t xml:space="preserve">Reafirma </w:t>
      </w:r>
      <w:r w:rsidRPr="00046D9D">
        <w:t>la necesidad de que el Gobierno de Camboya redoble sus esfuerzos por consolidar el estado de derecho, por ejemplo mediante la promulgación y posterior aplicación de las leyes y los códigos esenciales para el establecimiento de una sociedad democrática y un poder judicial independiente;</w:t>
      </w:r>
    </w:p>
    <w:p w:rsidR="00046D9D" w:rsidRPr="00046D9D" w:rsidRDefault="00046D9D" w:rsidP="00046D9D">
      <w:pPr>
        <w:pStyle w:val="SingleTxt"/>
      </w:pPr>
      <w:r w:rsidRPr="00046D9D">
        <w:tab/>
        <w:t>7.</w:t>
      </w:r>
      <w:r w:rsidRPr="00046D9D">
        <w:tab/>
      </w:r>
      <w:r w:rsidRPr="00046D9D">
        <w:rPr>
          <w:i/>
        </w:rPr>
        <w:t xml:space="preserve">Observa </w:t>
      </w:r>
      <w:r w:rsidRPr="00046D9D">
        <w:t>los esfuerzos desplegados y los progresos logrados por el Gobierno de Camboya para promover una reforma legal bajo la dirección del Consejo de Reforma Legal y Judicial, incluida la aplicación de leyes fundamentales, como el Código de Procedimiento Civil, el Código Civil, el Código de Procedimiento Penal y el Código Penal;</w:t>
      </w:r>
    </w:p>
    <w:p w:rsidR="00046D9D" w:rsidRPr="00046D9D" w:rsidRDefault="00046D9D" w:rsidP="00046D9D">
      <w:pPr>
        <w:pStyle w:val="SingleTxt"/>
      </w:pPr>
      <w:r w:rsidRPr="00046D9D">
        <w:tab/>
        <w:t>8.</w:t>
      </w:r>
      <w:r w:rsidRPr="00046D9D">
        <w:tab/>
      </w:r>
      <w:r w:rsidRPr="00046D9D">
        <w:rPr>
          <w:i/>
        </w:rPr>
        <w:t xml:space="preserve">Observa también </w:t>
      </w:r>
      <w:r w:rsidRPr="00046D9D">
        <w:t xml:space="preserve">que se han promulgado tres leyes fundamentales sobre el poder judicial, a saber, la Ley sobre el Estatuto de los Jueces y Fiscales, la Ley sobre </w:t>
      </w:r>
      <w:r w:rsidRPr="00046D9D">
        <w:lastRenderedPageBreak/>
        <w:t>la Organización y el Funcionamiento de los Tribunales y la enmienda de la Ley de Organización y Funcionamiento del Consejo Superior de la Magistratura, e insta al Gobierno de Camboya a que continúe con su reforma judicial, entre otras cosas mediante la aplicación imparcial, efectiva y transparente de estas leyes, la transferencia de los conocimientos del personal judicial y el intercambio de buenas prácticas en las salas especiales;</w:t>
      </w:r>
    </w:p>
    <w:p w:rsidR="00046D9D" w:rsidRPr="00046D9D" w:rsidRDefault="00046D9D" w:rsidP="00046D9D">
      <w:pPr>
        <w:pStyle w:val="SingleTxt"/>
      </w:pPr>
      <w:r w:rsidRPr="00046D9D">
        <w:tab/>
        <w:t>9.</w:t>
      </w:r>
      <w:r w:rsidRPr="00046D9D">
        <w:tab/>
      </w:r>
      <w:r w:rsidRPr="00046D9D">
        <w:rPr>
          <w:i/>
        </w:rPr>
        <w:t xml:space="preserve">Destaca </w:t>
      </w:r>
      <w:r w:rsidRPr="00046D9D">
        <w:t>la necesidad de que el Gobierno de Camboya siga intensificando sus esfuerzos para investigar con urgencia y someter a juicio, con las debidas garantías procesales y en cumplimiento de las obligaciones que tiene en virtud de los tratados internacionales de derechos humanos, a todos los que hayan perpetrado delitos graves, en particular violaciones de los derechos humanos;</w:t>
      </w:r>
    </w:p>
    <w:p w:rsidR="00046D9D" w:rsidRPr="00046D9D" w:rsidRDefault="00046D9D" w:rsidP="00046D9D">
      <w:pPr>
        <w:pStyle w:val="SingleTxt"/>
      </w:pPr>
      <w:r w:rsidRPr="00046D9D">
        <w:tab/>
        <w:t>10.</w:t>
      </w:r>
      <w:r w:rsidRPr="00046D9D">
        <w:tab/>
      </w:r>
      <w:r w:rsidRPr="00046D9D">
        <w:rPr>
          <w:i/>
        </w:rPr>
        <w:t xml:space="preserve">Acoge con beneplácito </w:t>
      </w:r>
      <w:r w:rsidRPr="00046D9D">
        <w:t>los esfuerzos del Gobierno de Camboya por combatir la corrupción, alienta a que se apliquen el Código Penal y la legislación anticorrupción, y también exhorta al Gobierno a que prosiga otros esfuerzos de este tipo, en particular mediante las actividades de la Dependencia de Lucha contra la Corrupción;</w:t>
      </w:r>
    </w:p>
    <w:p w:rsidR="00046D9D" w:rsidRPr="00046D9D" w:rsidRDefault="00046D9D" w:rsidP="00046D9D">
      <w:pPr>
        <w:pStyle w:val="SingleTxt"/>
      </w:pPr>
      <w:r w:rsidRPr="00046D9D">
        <w:tab/>
        <w:t>11.</w:t>
      </w:r>
      <w:r w:rsidRPr="00046D9D">
        <w:tab/>
      </w:r>
      <w:r w:rsidRPr="00046D9D">
        <w:rPr>
          <w:i/>
        </w:rPr>
        <w:t xml:space="preserve">Acoge con beneplácito también </w:t>
      </w:r>
      <w:r w:rsidRPr="00046D9D">
        <w:t>los esfuerzos realizados por el Gobierno de Camboya para luchar contra delitos como la trata de personas, la explotación laboral y la explotación sexual de mujeres y niños, e insta al Gobierno a que redoble sus esfuerzos en ese sentido, de acuerdo con la comunidad internacional, para combatir los principales problemas pendientes en esa materia;</w:t>
      </w:r>
    </w:p>
    <w:p w:rsidR="00046D9D" w:rsidRPr="00046D9D" w:rsidRDefault="00046D9D" w:rsidP="00046D9D">
      <w:pPr>
        <w:pStyle w:val="SingleTxt"/>
      </w:pPr>
      <w:r w:rsidRPr="00046D9D">
        <w:tab/>
        <w:t>12.</w:t>
      </w:r>
      <w:r w:rsidRPr="00046D9D">
        <w:tab/>
      </w:r>
      <w:r w:rsidRPr="00046D9D">
        <w:rPr>
          <w:i/>
        </w:rPr>
        <w:t xml:space="preserve">Toma nota </w:t>
      </w:r>
      <w:r w:rsidRPr="00046D9D">
        <w:t>de los hechos constatados últimamente sobre las cuestiones de género en Camboya y alienta al Gobierno de Camboya a que redoble sus esfuerzos en materia de cuestiones de género, entre otras cosas mediante la aplicación efectiva de las leyes y los reglamentos vigentes;</w:t>
      </w:r>
    </w:p>
    <w:p w:rsidR="00046D9D" w:rsidRPr="00046D9D" w:rsidRDefault="00046D9D" w:rsidP="00046D9D">
      <w:pPr>
        <w:pStyle w:val="SingleTxt"/>
      </w:pPr>
      <w:r w:rsidRPr="00046D9D">
        <w:tab/>
        <w:t>13.</w:t>
      </w:r>
      <w:r w:rsidRPr="00046D9D">
        <w:tab/>
      </w:r>
      <w:r w:rsidRPr="00046D9D">
        <w:rPr>
          <w:i/>
        </w:rPr>
        <w:t>Alienta</w:t>
      </w:r>
      <w:r w:rsidRPr="00046D9D">
        <w:t xml:space="preserve"> al Gobierno de Camboya a que aplique su Estrategia Quinquenal para la Igualdad de Género, promoviendo el empoderamiento económico, social y político de la mujer, incluida su participación en los procesos de adopción de decisiones, y la ampliación de los beneficios económicos para la mujer por medio de mejores condiciones de trabajo, protección social y normas laborales;</w:t>
      </w:r>
    </w:p>
    <w:p w:rsidR="00046D9D" w:rsidRPr="00046D9D" w:rsidRDefault="00046D9D" w:rsidP="00046D9D">
      <w:pPr>
        <w:pStyle w:val="SingleTxt"/>
      </w:pPr>
      <w:r w:rsidRPr="00046D9D">
        <w:tab/>
        <w:t>14.</w:t>
      </w:r>
      <w:r w:rsidRPr="00046D9D">
        <w:tab/>
      </w:r>
      <w:r w:rsidRPr="00046D9D">
        <w:rPr>
          <w:i/>
        </w:rPr>
        <w:t>Alienta</w:t>
      </w:r>
      <w:r w:rsidRPr="00046D9D">
        <w:t>, en este contexto, al Gobierno de Camboya a que supervise la aplicación de la Ley del Suelo, en particular en lo que respecta a los obstáculos concretos con que tropiezan las mujeres y los grupos vulnerables para obtener la propiedad de la tierra y los derechos sobre la tierra;</w:t>
      </w:r>
    </w:p>
    <w:p w:rsidR="00046D9D" w:rsidRPr="00046D9D" w:rsidRDefault="00046D9D" w:rsidP="00046D9D">
      <w:pPr>
        <w:pStyle w:val="SingleTxt"/>
      </w:pPr>
      <w:r w:rsidRPr="00046D9D">
        <w:tab/>
        <w:t>15.</w:t>
      </w:r>
      <w:r w:rsidRPr="00046D9D">
        <w:tab/>
      </w:r>
      <w:r w:rsidRPr="00046D9D">
        <w:rPr>
          <w:i/>
        </w:rPr>
        <w:t>Observa</w:t>
      </w:r>
      <w:r w:rsidRPr="00046D9D">
        <w:t xml:space="preserve"> que el Gobierno de Camboya ha realizado esfuerzos para resolver las cuestiones relacionadas con la tierra, entre otras cosas mediante la aplicación de las leyes y los reglamentos pertinentes y la moratoria aplicada a las concesiones de tierras con fines económicos, expresa preocupación por los problemas pendientes en esta materia e insta al Gobierno a que continúe y redoble sus esfuerzos para resolverlos de manera equitativa, rápida, justa y transparente, tomando en consideración los derechos de las partes interesadas y las consecuencias reales para ellas, y de conformidad con las leyes y los reglamentos pertinentes, como la Ley del Suelo de 2001, la Ley de Expropiaciones, la Circular sobre la Construcción de Edificios Temporales Ilegales en las Ciudades y Zonas Urbanas y la Política Nacional de Vivienda, así como fortaleciendo la capacidad y la eficacia de las instituciones pertinentes, como la Dirección Nacional de Solución de Litigios de Tierras y los comités catastrales de nivel nacional y provincial y de los distritos;</w:t>
      </w:r>
    </w:p>
    <w:p w:rsidR="00046D9D" w:rsidRPr="00046D9D" w:rsidRDefault="00046D9D" w:rsidP="00046D9D">
      <w:pPr>
        <w:pStyle w:val="SingleTxt"/>
      </w:pPr>
      <w:r w:rsidRPr="00046D9D">
        <w:tab/>
        <w:t>16.</w:t>
      </w:r>
      <w:r w:rsidRPr="00046D9D">
        <w:tab/>
      </w:r>
      <w:r w:rsidRPr="00046D9D">
        <w:rPr>
          <w:i/>
        </w:rPr>
        <w:t xml:space="preserve">Acoge con beneplácito </w:t>
      </w:r>
      <w:r w:rsidRPr="00046D9D">
        <w:t xml:space="preserve">los compromisos asumidos y los progresos logrados por el Gobierno de Camboya en el cumplimiento de las obligaciones que le imponen los tratados y convenciones internacionales de derechos humanos en que es parte con </w:t>
      </w:r>
      <w:r w:rsidRPr="00046D9D">
        <w:lastRenderedPageBreak/>
        <w:t>respecto a su compromiso de establecer una institución nacional de derechos humanos y de velar por que se haga consultando suficientemente con las partes interesadas; e insta al Gobierno a que siga tomando medidas para cumplir las obligaciones que le imponen los tratados y convenciones en que es parte y, con este fin, intensifique su cooperación con los organismos de las Naciones Unidas, incluida la Oficina del Alto Comisionado, reforzando el diálogo y realizando actividades conjuntas;</w:t>
      </w:r>
    </w:p>
    <w:p w:rsidR="00046D9D" w:rsidRPr="00046D9D" w:rsidRDefault="00046D9D" w:rsidP="00046D9D">
      <w:pPr>
        <w:pStyle w:val="SingleTxt"/>
      </w:pPr>
      <w:r w:rsidRPr="00046D9D">
        <w:tab/>
        <w:t>17.</w:t>
      </w:r>
      <w:r w:rsidRPr="00046D9D">
        <w:tab/>
      </w:r>
      <w:r w:rsidRPr="00046D9D">
        <w:rPr>
          <w:i/>
        </w:rPr>
        <w:t xml:space="preserve">Acoge con beneplácito también </w:t>
      </w:r>
      <w:r w:rsidRPr="00046D9D">
        <w:t>los esfuerzos desplegados por el Comité Camboyano de Derechos Humanos, en particular para resolver las denuncias de particulares;</w:t>
      </w:r>
    </w:p>
    <w:p w:rsidR="00046D9D" w:rsidRPr="00046D9D" w:rsidRDefault="00046D9D" w:rsidP="00046D9D">
      <w:pPr>
        <w:pStyle w:val="SingleTxt"/>
      </w:pPr>
      <w:r w:rsidRPr="00046D9D">
        <w:tab/>
        <w:t>18.</w:t>
      </w:r>
      <w:r w:rsidRPr="00046D9D">
        <w:tab/>
      </w:r>
      <w:r w:rsidRPr="00046D9D">
        <w:rPr>
          <w:i/>
        </w:rPr>
        <w:t xml:space="preserve">Acoge con beneplácito además </w:t>
      </w:r>
      <w:r w:rsidRPr="00046D9D">
        <w:t>los esfuerzos realizados y los progresos logrados por el Gobierno de Camboya en la labor de promover una reforma encaminada a la descentralización y desconcentración, con objeto de lograr un desarrollo democrático mediante el fortalecimiento de las instituciones subnacionales y comunitarias;</w:t>
      </w:r>
    </w:p>
    <w:p w:rsidR="00046D9D" w:rsidRPr="00046D9D" w:rsidRDefault="00046D9D" w:rsidP="00046D9D">
      <w:pPr>
        <w:pStyle w:val="SingleTxt"/>
      </w:pPr>
      <w:r w:rsidRPr="00046D9D">
        <w:tab/>
        <w:t>19.</w:t>
      </w:r>
      <w:r w:rsidRPr="00046D9D">
        <w:tab/>
      </w:r>
      <w:r w:rsidRPr="00046D9D">
        <w:rPr>
          <w:i/>
        </w:rPr>
        <w:t xml:space="preserve">Observa </w:t>
      </w:r>
      <w:r w:rsidRPr="00046D9D">
        <w:t xml:space="preserve">que el partido gobernante y la oposición alcanzaron el 22 de julio de 2014 un acuerdo que llevó a la participación del partido de la oposición en la Asamblea Nacional y a su estrecha colaboración en la reforma electoral, especialmente la revisión de la condición jurídica del órgano de gestión electoral y de las disposiciones sobre su composición, así como la revisión de su proceso electoral, incluido el empadronamiento de los votantes, por medio de la enmienda de la Constitución y la aprobación de la Ley de Organización y Funcionamiento del Comité Electoral Nacional y la Ley sobre la Elección de los Miembros de la Asamblea Nacional, así como el anuncio realizado conjuntamente por el partido gobernante y la oposición el 16 de septiembre acerca de </w:t>
      </w:r>
      <w:r w:rsidR="00BE0757">
        <w:t xml:space="preserve">la </w:t>
      </w:r>
      <w:r w:rsidRPr="00046D9D">
        <w:t>reforma electoral, e insta al Gobierno de Camboya a que haga esfuerzos constantes para promover un entorno propicio a las actividades políticas legítimas de todos los partidos políticos, y a que haga más por mejorar su sistema electoral de conformidad con las normas internacionales, de manera que el proceso electoral en su conjunto sea satisfactorio y aceptable para todas las partes interesadas;</w:t>
      </w:r>
    </w:p>
    <w:p w:rsidR="00046D9D" w:rsidRPr="00046D9D" w:rsidRDefault="00046D9D" w:rsidP="00046D9D">
      <w:pPr>
        <w:pStyle w:val="SingleTxt"/>
      </w:pPr>
      <w:r w:rsidRPr="00046D9D">
        <w:tab/>
        <w:t>20.</w:t>
      </w:r>
      <w:r w:rsidRPr="00046D9D">
        <w:tab/>
      </w:r>
      <w:r w:rsidRPr="00046D9D">
        <w:rPr>
          <w:i/>
        </w:rPr>
        <w:t xml:space="preserve">Destaca </w:t>
      </w:r>
      <w:r w:rsidRPr="00046D9D">
        <w:t>la necesidad de que el Gobierno de Camboya siga avanzando y esforzándose por promover un proceso pluralista y democrático en Camboya a través de un debate parlamentario acorde con la Constitución;</w:t>
      </w:r>
    </w:p>
    <w:p w:rsidR="00046D9D" w:rsidRPr="00046D9D" w:rsidRDefault="00046D9D" w:rsidP="00046D9D">
      <w:pPr>
        <w:pStyle w:val="SingleTxt"/>
      </w:pPr>
      <w:r w:rsidRPr="00046D9D">
        <w:tab/>
        <w:t>21.</w:t>
      </w:r>
      <w:r w:rsidRPr="00046D9D">
        <w:tab/>
      </w:r>
      <w:r w:rsidRPr="00046D9D">
        <w:rPr>
          <w:i/>
        </w:rPr>
        <w:t xml:space="preserve">Insta </w:t>
      </w:r>
      <w:r w:rsidRPr="00046D9D">
        <w:t>al Gobierno de Camboya a que adopte las medidas apropiadas para alentar a la sociedad civil, incluidos los sindicatos independientes y los medios de comunicación, a desempeñar un papel constructivo en la consolidación del desarrollo democrático en Camboya, y para hacer posible que cumplan ese papel, entre otras cosas garantizando y promoviendo sus actividades y fomentando la igualdad de acceso de todos los partidos a los medios de comunicación;</w:t>
      </w:r>
    </w:p>
    <w:p w:rsidR="00046D9D" w:rsidRPr="00046D9D" w:rsidRDefault="00046D9D" w:rsidP="00046D9D">
      <w:pPr>
        <w:pStyle w:val="SingleTxt"/>
      </w:pPr>
      <w:r w:rsidRPr="00046D9D">
        <w:tab/>
        <w:t>22.</w:t>
      </w:r>
      <w:r w:rsidRPr="00046D9D">
        <w:tab/>
      </w:r>
      <w:r w:rsidRPr="00046D9D">
        <w:rPr>
          <w:i/>
        </w:rPr>
        <w:t xml:space="preserve">Insta también </w:t>
      </w:r>
      <w:r w:rsidRPr="00046D9D">
        <w:t>al Gobierno de Camboya a que tenga en cuenta los intereses y las preocupaciones de todas las partes interesadas al aplicar la Ley de Asociaciones y Organizaciones no Gubernamentales</w:t>
      </w:r>
      <w:r w:rsidRPr="00BE0757">
        <w:t>,</w:t>
      </w:r>
      <w:r w:rsidRPr="00046D9D">
        <w:rPr>
          <w:i/>
        </w:rPr>
        <w:t xml:space="preserve"> </w:t>
      </w:r>
      <w:r w:rsidRPr="00046D9D">
        <w:t>con el fin de propiciar una sociedad civil dinámica, y de proteger y asegurar la libertad de expresión, asociación y reunión pacífica, conforme a lo dispuesto en la Constitución y en el Pacto Internacional de Derechos Civiles y Políticos;</w:t>
      </w:r>
    </w:p>
    <w:p w:rsidR="00046D9D" w:rsidRPr="00046D9D" w:rsidRDefault="00046D9D" w:rsidP="00046D9D">
      <w:pPr>
        <w:pStyle w:val="SingleTxt"/>
      </w:pPr>
      <w:r w:rsidRPr="00046D9D">
        <w:tab/>
        <w:t>23.</w:t>
      </w:r>
      <w:r w:rsidRPr="00046D9D">
        <w:tab/>
      </w:r>
      <w:r w:rsidRPr="00046D9D">
        <w:rPr>
          <w:i/>
        </w:rPr>
        <w:t xml:space="preserve">Alienta </w:t>
      </w:r>
      <w:r w:rsidRPr="00046D9D">
        <w:t>al Gobierno de Camboya a que continúe adoptando medidas para promover los derechos y la dignidad de todos los camboyanos, protegiendo para ello sus derechos civiles y políticos, incluida la libertad de opinión y de expresión, y, con ese fin, vele por que las leyes pertinentes, entre ellas el Código Penal, se interpreten y apliquen de forma sensata, de manera que se promuevan los derechos económicos, sociales y culturales de conformidad con el estado de derecho;</w:t>
      </w:r>
    </w:p>
    <w:p w:rsidR="00046D9D" w:rsidRPr="00046D9D" w:rsidRDefault="00046D9D" w:rsidP="00046D9D">
      <w:pPr>
        <w:pStyle w:val="SingleTxt"/>
      </w:pPr>
      <w:r w:rsidRPr="00046D9D">
        <w:lastRenderedPageBreak/>
        <w:tab/>
        <w:t>24.</w:t>
      </w:r>
      <w:r w:rsidRPr="00046D9D">
        <w:tab/>
      </w:r>
      <w:r w:rsidRPr="00046D9D">
        <w:rPr>
          <w:i/>
        </w:rPr>
        <w:t xml:space="preserve">Invita </w:t>
      </w:r>
      <w:r w:rsidRPr="00046D9D">
        <w:t>al Secretario General, a los organismos del sistema de las Naciones Unidas presentes en Camboya y a la comunidad internacional, incluida la sociedad civil, a que sigan colaborando con el Gobierno de Camboya para consolidar la democracia y velar por la protección y promoción de los derechos humanos de toda la población de Camboya, en particular prestando asistencia en lo que se refiere a:</w:t>
      </w:r>
    </w:p>
    <w:p w:rsidR="00046D9D" w:rsidRPr="00046D9D" w:rsidRDefault="00046D9D" w:rsidP="00046D9D">
      <w:pPr>
        <w:pStyle w:val="SingleTxt"/>
      </w:pPr>
      <w:r w:rsidRPr="00046D9D">
        <w:tab/>
        <w:t>a)</w:t>
      </w:r>
      <w:r w:rsidRPr="00046D9D">
        <w:tab/>
        <w:t>La formulación de leyes y el establecimiento de una institución nacional de derechos humanos independiente;</w:t>
      </w:r>
    </w:p>
    <w:p w:rsidR="00046D9D" w:rsidRPr="00046D9D" w:rsidRDefault="00046D9D" w:rsidP="00046D9D">
      <w:pPr>
        <w:pStyle w:val="SingleTxt"/>
      </w:pPr>
      <w:r w:rsidRPr="00046D9D">
        <w:tab/>
        <w:t>b)</w:t>
      </w:r>
      <w:r w:rsidRPr="00046D9D">
        <w:tab/>
        <w:t>El fomento de la capacidad para fortalecer las instituciones judiciales, entre otras cosas mejorando la formación y la independencia de los jueces, los fiscales, los abogados y el personal judicial, y aprovechando la experiencia adquirida por los ciudadanos camboyanos que trabajan en las salas especiales de los tribunales de Camboya;</w:t>
      </w:r>
    </w:p>
    <w:p w:rsidR="00046D9D" w:rsidRPr="00046D9D" w:rsidRDefault="00046D9D" w:rsidP="00046D9D">
      <w:pPr>
        <w:pStyle w:val="SingleTxt"/>
      </w:pPr>
      <w:r w:rsidRPr="00046D9D">
        <w:tab/>
        <w:t>c)</w:t>
      </w:r>
      <w:r w:rsidRPr="00046D9D">
        <w:tab/>
        <w:t>El fomento de la capacidad para consolidar las instituciones nacionales de investigación penal y de orden público, así como el suministro del equipo necesario para ello;</w:t>
      </w:r>
    </w:p>
    <w:p w:rsidR="00046D9D" w:rsidRPr="00046D9D" w:rsidRDefault="00046D9D" w:rsidP="00046D9D">
      <w:pPr>
        <w:pStyle w:val="SingleTxt"/>
      </w:pPr>
      <w:r w:rsidRPr="00046D9D">
        <w:tab/>
        <w:t>d)</w:t>
      </w:r>
      <w:r w:rsidRPr="00046D9D">
        <w:tab/>
        <w:t>La aplicación de las recomendaciones del examen periódico universal aceptadas;</w:t>
      </w:r>
    </w:p>
    <w:p w:rsidR="00046D9D" w:rsidRPr="00046D9D" w:rsidRDefault="00046D9D" w:rsidP="00046D9D">
      <w:pPr>
        <w:pStyle w:val="SingleTxt"/>
      </w:pPr>
      <w:r w:rsidRPr="00046D9D">
        <w:tab/>
        <w:t>e)</w:t>
      </w:r>
      <w:r w:rsidRPr="00046D9D">
        <w:tab/>
        <w:t>La evaluación de los progresos realizados en materia de derechos humanos;</w:t>
      </w:r>
    </w:p>
    <w:p w:rsidR="00046D9D" w:rsidRPr="00046D9D" w:rsidRDefault="00046D9D" w:rsidP="00046D9D">
      <w:pPr>
        <w:pStyle w:val="SingleTxt"/>
      </w:pPr>
      <w:r w:rsidRPr="00046D9D">
        <w:tab/>
        <w:t>25.</w:t>
      </w:r>
      <w:r w:rsidRPr="00046D9D">
        <w:tab/>
      </w:r>
      <w:r w:rsidRPr="00046D9D">
        <w:rPr>
          <w:i/>
        </w:rPr>
        <w:t xml:space="preserve">Decide </w:t>
      </w:r>
      <w:r w:rsidRPr="00046D9D">
        <w:t>prorrogar por dos años el mandato de la Relatora Especial sobre la situación de los derechos humanos en Camboya, y solicita a la Relatora Especial que</w:t>
      </w:r>
      <w:r w:rsidR="00F577BD">
        <w:t> </w:t>
      </w:r>
      <w:r w:rsidRPr="00046D9D">
        <w:t>informe sobre el cumplimiento de su mandato al Consejo en sus períodos de sesiones</w:t>
      </w:r>
      <w:r w:rsidR="00F577BD">
        <w:t xml:space="preserve"> </w:t>
      </w:r>
      <w:r w:rsidRPr="00046D9D">
        <w:t>33</w:t>
      </w:r>
      <w:r w:rsidR="00F577BD">
        <w:t>º</w:t>
      </w:r>
      <w:r w:rsidRPr="00046D9D">
        <w:t xml:space="preserve"> y 36º, y que mantenga una colaboración constructiva con el Gobierno de Camboya para seguir mejorando la situación de los derechos humanos en el país;</w:t>
      </w:r>
    </w:p>
    <w:p w:rsidR="00046D9D" w:rsidRPr="00046D9D" w:rsidRDefault="00046D9D" w:rsidP="00046D9D">
      <w:pPr>
        <w:pStyle w:val="SingleTxt"/>
      </w:pPr>
      <w:r w:rsidRPr="00046D9D">
        <w:tab/>
        <w:t>26.</w:t>
      </w:r>
      <w:r w:rsidRPr="00046D9D">
        <w:tab/>
      </w:r>
      <w:r w:rsidRPr="00046D9D">
        <w:rPr>
          <w:i/>
        </w:rPr>
        <w:t xml:space="preserve">Solicita </w:t>
      </w:r>
      <w:r w:rsidRPr="00046D9D">
        <w:t>al Secretario General que informe al Consejo de Derechos Humanos en sus períodos de sesiones 33º y 36º sobre la función y los logros de la Oficina del Alto Comisionado en la prestación de asistencia al Gobierno y al pueblo de Camboya para promover y proteger los derechos humanos;</w:t>
      </w:r>
    </w:p>
    <w:p w:rsidR="00046D9D" w:rsidRPr="00046D9D" w:rsidRDefault="00046D9D" w:rsidP="00046D9D">
      <w:pPr>
        <w:pStyle w:val="SingleTxt"/>
      </w:pPr>
      <w:r w:rsidRPr="00046D9D">
        <w:tab/>
        <w:t>27.</w:t>
      </w:r>
      <w:r w:rsidRPr="00046D9D">
        <w:tab/>
      </w:r>
      <w:r w:rsidRPr="00046D9D">
        <w:rPr>
          <w:i/>
        </w:rPr>
        <w:t xml:space="preserve">Decide </w:t>
      </w:r>
      <w:r w:rsidRPr="00046D9D">
        <w:t>seguir examinando la situación de los derechos humanos en Camboya en su 36º período de sesiones.</w:t>
      </w:r>
    </w:p>
    <w:p w:rsidR="00046D9D" w:rsidRPr="00046D9D" w:rsidRDefault="00046D9D" w:rsidP="00F577BD">
      <w:pPr>
        <w:pStyle w:val="SingleTxt"/>
        <w:jc w:val="right"/>
        <w:rPr>
          <w:i/>
        </w:rPr>
      </w:pPr>
      <w:r w:rsidRPr="00046D9D">
        <w:rPr>
          <w:i/>
        </w:rPr>
        <w:t>42ª sesión</w:t>
      </w:r>
      <w:r w:rsidR="00F577BD">
        <w:rPr>
          <w:i/>
        </w:rPr>
        <w:br/>
      </w:r>
      <w:r w:rsidRPr="00046D9D">
        <w:rPr>
          <w:i/>
        </w:rPr>
        <w:t>2 de octubre de 2015</w:t>
      </w:r>
    </w:p>
    <w:p w:rsidR="00046D9D" w:rsidRDefault="00046D9D" w:rsidP="00046D9D">
      <w:pPr>
        <w:pStyle w:val="SingleTxt"/>
      </w:pPr>
      <w:r w:rsidRPr="00046D9D">
        <w:t>[Aprobada sin votación</w:t>
      </w:r>
      <w:r w:rsidR="00F577BD">
        <w:t>.</w:t>
      </w:r>
      <w:r w:rsidRPr="00046D9D">
        <w:t>]</w:t>
      </w:r>
    </w:p>
    <w:p w:rsidR="00F577BD" w:rsidRPr="00046D9D" w:rsidRDefault="00F577BD" w:rsidP="00046D9D">
      <w:pPr>
        <w:pStyle w:val="SingleTxt"/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24pt" to="282.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" strokecolor="#010000" strokeweight=".25pt"/>
            </w:pict>
          </mc:Fallback>
        </mc:AlternateContent>
      </w:r>
    </w:p>
    <w:sectPr w:rsidR="00F577BD" w:rsidRPr="00046D9D" w:rsidSect="009B5B53">
      <w:endnotePr>
        <w:numFmt w:val="decimal"/>
      </w:endnotePr>
      <w:type w:val="continuous"/>
      <w:pgSz w:w="11909" w:h="16834" w:code="1"/>
      <w:pgMar w:top="1742" w:right="936" w:bottom="1898" w:left="936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10-15T09:05:00Z" w:initials="Start">
    <w:p w:rsidR="00D41A7E" w:rsidRPr="00046D9D" w:rsidRDefault="00D41A7E">
      <w:pPr>
        <w:pStyle w:val="CommentText"/>
        <w:rPr>
          <w:lang w:val="en-US"/>
        </w:rPr>
      </w:pPr>
      <w:r>
        <w:fldChar w:fldCharType="begin"/>
      </w:r>
      <w:r w:rsidRPr="00046D9D">
        <w:rPr>
          <w:rStyle w:val="CommentReference"/>
          <w:lang w:val="en-US"/>
        </w:rPr>
        <w:instrText xml:space="preserve"> </w:instrText>
      </w:r>
      <w:r w:rsidRPr="00046D9D">
        <w:rPr>
          <w:lang w:val="en-US"/>
        </w:rPr>
        <w:instrText>PAGE \# "'Page: '#'</w:instrText>
      </w:r>
      <w:r w:rsidRPr="00046D9D">
        <w:rPr>
          <w:lang w:val="en-US"/>
        </w:rPr>
        <w:br/>
        <w:instrText>'"</w:instrText>
      </w:r>
      <w:r w:rsidRPr="00046D9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46D9D">
        <w:rPr>
          <w:lang w:val="en-US"/>
        </w:rPr>
        <w:t>&lt;&lt;ODS JOB NO&gt;&gt;N1523231S&lt;&lt;ODS JOB NO&gt;&gt;</w:t>
      </w:r>
    </w:p>
    <w:p w:rsidR="00D41A7E" w:rsidRDefault="00D41A7E">
      <w:pPr>
        <w:pStyle w:val="CommentText"/>
      </w:pPr>
      <w:r>
        <w:t>&lt;&lt;ODS DOC SYMBOL1&gt;&gt;A/HRC/RES/30/23&lt;&lt;ODS DOC SYMBOL1&gt;&gt;</w:t>
      </w:r>
    </w:p>
    <w:p w:rsidR="00D41A7E" w:rsidRDefault="00D41A7E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739D" w:rsidRDefault="0075739D" w:rsidP="008F1E8F">
      <w:pPr>
        <w:spacing w:line="240" w:lineRule="auto"/>
      </w:pPr>
      <w:r>
        <w:separator/>
      </w:r>
    </w:p>
  </w:endnote>
  <w:endnote w:type="continuationSeparator" w:id="0">
    <w:p w:rsidR="0075739D" w:rsidRDefault="0075739D" w:rsidP="008F1E8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D41A7E" w:rsidTr="00D41A7E">
      <w:trPr>
        <w:jc w:val="center"/>
      </w:trPr>
      <w:tc>
        <w:tcPr>
          <w:tcW w:w="5126" w:type="dxa"/>
          <w:shd w:val="clear" w:color="auto" w:fill="auto"/>
        </w:tcPr>
        <w:p w:rsidR="00D41A7E" w:rsidRPr="00D41A7E" w:rsidRDefault="00D41A7E" w:rsidP="00D41A7E">
          <w:pPr>
            <w:pStyle w:val="Footer"/>
            <w:jc w:val="right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160BC5">
            <w:rPr>
              <w:b w:val="0"/>
              <w:color w:val="000000"/>
              <w:w w:val="103"/>
              <w:sz w:val="14"/>
            </w:rPr>
            <w:t>GE.15-17565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D41A7E" w:rsidRPr="00D41A7E" w:rsidRDefault="00D41A7E" w:rsidP="00D41A7E">
          <w:pPr>
            <w:pStyle w:val="Footer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160BC5">
            <w:rPr>
              <w:color w:val="000000"/>
              <w:w w:val="103"/>
            </w:rPr>
            <w:t>4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160BC5">
            <w:rPr>
              <w:color w:val="000000"/>
              <w:w w:val="103"/>
            </w:rPr>
            <w:t>5</w:t>
          </w:r>
          <w:r>
            <w:rPr>
              <w:color w:val="000000"/>
              <w:w w:val="103"/>
            </w:rPr>
            <w:fldChar w:fldCharType="end"/>
          </w:r>
        </w:p>
      </w:tc>
    </w:tr>
  </w:tbl>
  <w:p w:rsidR="00D41A7E" w:rsidRPr="00D41A7E" w:rsidRDefault="00D41A7E" w:rsidP="00D41A7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D41A7E" w:rsidTr="00D41A7E">
      <w:trPr>
        <w:jc w:val="center"/>
      </w:trPr>
      <w:tc>
        <w:tcPr>
          <w:tcW w:w="5126" w:type="dxa"/>
          <w:shd w:val="clear" w:color="auto" w:fill="auto"/>
        </w:tcPr>
        <w:p w:rsidR="00D41A7E" w:rsidRPr="00D41A7E" w:rsidRDefault="00D41A7E" w:rsidP="00D41A7E">
          <w:pPr>
            <w:pStyle w:val="Footer"/>
            <w:jc w:val="right"/>
            <w:rPr>
              <w:color w:val="000000"/>
              <w:w w:val="103"/>
            </w:rPr>
          </w:pP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PAGE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160BC5">
            <w:rPr>
              <w:color w:val="000000"/>
              <w:w w:val="103"/>
            </w:rPr>
            <w:t>5</w:t>
          </w:r>
          <w:r>
            <w:rPr>
              <w:color w:val="000000"/>
              <w:w w:val="103"/>
            </w:rPr>
            <w:fldChar w:fldCharType="end"/>
          </w:r>
          <w:r>
            <w:rPr>
              <w:color w:val="000000"/>
              <w:w w:val="103"/>
            </w:rPr>
            <w:t>/</w:t>
          </w:r>
          <w:r>
            <w:rPr>
              <w:color w:val="000000"/>
              <w:w w:val="103"/>
            </w:rPr>
            <w:fldChar w:fldCharType="begin"/>
          </w:r>
          <w:r>
            <w:rPr>
              <w:color w:val="000000"/>
              <w:w w:val="103"/>
            </w:rPr>
            <w:instrText xml:space="preserve"> NUMPAGES  \* Arabic  \* MERGEFORMAT </w:instrText>
          </w:r>
          <w:r>
            <w:rPr>
              <w:color w:val="000000"/>
              <w:w w:val="103"/>
            </w:rPr>
            <w:fldChar w:fldCharType="separate"/>
          </w:r>
          <w:r w:rsidR="00160BC5">
            <w:rPr>
              <w:color w:val="000000"/>
              <w:w w:val="103"/>
            </w:rPr>
            <w:t>5</w:t>
          </w:r>
          <w:r>
            <w:rPr>
              <w:color w:val="000000"/>
              <w:w w:val="103"/>
            </w:rPr>
            <w:fldChar w:fldCharType="end"/>
          </w:r>
        </w:p>
      </w:tc>
      <w:tc>
        <w:tcPr>
          <w:tcW w:w="5127" w:type="dxa"/>
          <w:shd w:val="clear" w:color="auto" w:fill="auto"/>
        </w:tcPr>
        <w:p w:rsidR="00D41A7E" w:rsidRPr="00D41A7E" w:rsidRDefault="00D41A7E" w:rsidP="00D41A7E">
          <w:pPr>
            <w:pStyle w:val="Footer"/>
            <w:rPr>
              <w:b w:val="0"/>
              <w:color w:val="000000"/>
              <w:w w:val="103"/>
              <w:sz w:val="14"/>
            </w:rPr>
          </w:pPr>
          <w:r>
            <w:rPr>
              <w:b w:val="0"/>
              <w:color w:val="000000"/>
              <w:w w:val="103"/>
              <w:sz w:val="14"/>
            </w:rPr>
            <w:fldChar w:fldCharType="begin"/>
          </w:r>
          <w:r>
            <w:rPr>
              <w:b w:val="0"/>
              <w:color w:val="00000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w w:val="103"/>
              <w:sz w:val="14"/>
            </w:rPr>
            <w:fldChar w:fldCharType="separate"/>
          </w:r>
          <w:r w:rsidR="00160BC5">
            <w:rPr>
              <w:b w:val="0"/>
              <w:color w:val="000000"/>
              <w:w w:val="103"/>
              <w:sz w:val="14"/>
            </w:rPr>
            <w:t>GE.15-17565</w:t>
          </w:r>
          <w:r>
            <w:rPr>
              <w:b w:val="0"/>
              <w:color w:val="000000"/>
              <w:w w:val="103"/>
              <w:sz w:val="14"/>
            </w:rPr>
            <w:fldChar w:fldCharType="end"/>
          </w:r>
        </w:p>
      </w:tc>
    </w:tr>
  </w:tbl>
  <w:p w:rsidR="00D41A7E" w:rsidRPr="00D41A7E" w:rsidRDefault="00D41A7E" w:rsidP="00D41A7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A7E" w:rsidRPr="00D41A7E" w:rsidRDefault="00D41A7E" w:rsidP="00D41A7E">
    <w:pPr>
      <w:pStyle w:val="Footer"/>
      <w:spacing w:line="120" w:lineRule="exact"/>
      <w:rPr>
        <w:b w:val="0"/>
        <w:sz w:val="10"/>
      </w:rPr>
    </w:pPr>
    <w:r>
      <w:rPr>
        <w:b w:val="0"/>
        <w:sz w:val="10"/>
      </w:rPr>
      <w:drawing>
        <wp:anchor distT="0" distB="0" distL="114300" distR="114300" simplePos="0" relativeHeight="251658240" behindDoc="0" locked="0" layoutInCell="1" allowOverlap="1" wp14:anchorId="0B31A3EB" wp14:editId="0A6A2D8A">
          <wp:simplePos x="0" y="0"/>
          <wp:positionH relativeFrom="column">
            <wp:posOffset>5669280</wp:posOffset>
          </wp:positionH>
          <wp:positionV relativeFrom="paragraph">
            <wp:posOffset>-283210</wp:posOffset>
          </wp:positionV>
          <wp:extent cx="694690" cy="694690"/>
          <wp:effectExtent l="0" t="0" r="0" b="0"/>
          <wp:wrapNone/>
          <wp:docPr id="3" name="Picture 3" descr="http://undocs.org/m2/QRCode2.ashx?DS=A/HRC/RES/30/23&amp;Size =1&amp;Lang = 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2.ashx?DS=A/HRC/RES/30/23&amp;Size =1&amp;Lang = 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3859"/>
      <w:gridCol w:w="5127"/>
    </w:tblGrid>
    <w:tr w:rsidR="00D41A7E" w:rsidTr="00D41A7E">
      <w:tc>
        <w:tcPr>
          <w:tcW w:w="3859" w:type="dxa"/>
        </w:tcPr>
        <w:p w:rsidR="00D41A7E" w:rsidRDefault="00D41A7E" w:rsidP="00D41A7E">
          <w:pPr>
            <w:pStyle w:val="ReleaseDate"/>
          </w:pPr>
          <w:r>
            <w:t>GE.15-17565 (S)    1</w:t>
          </w:r>
          <w:r w:rsidR="00F577BD">
            <w:t>4</w:t>
          </w:r>
          <w:r>
            <w:t>1015    151015</w:t>
          </w:r>
        </w:p>
        <w:p w:rsidR="00D41A7E" w:rsidRPr="00D41A7E" w:rsidRDefault="00D41A7E" w:rsidP="00D41A7E">
          <w:pPr>
            <w:pStyle w:val="Footer"/>
            <w:spacing w:before="80" w:line="210" w:lineRule="exact"/>
            <w:rPr>
              <w:rFonts w:ascii="Barcode 3 of 9 by request" w:hAnsi="Barcode 3 of 9 by request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*1517565*</w:t>
          </w:r>
        </w:p>
      </w:tc>
      <w:tc>
        <w:tcPr>
          <w:tcW w:w="5127" w:type="dxa"/>
        </w:tcPr>
        <w:p w:rsidR="00D41A7E" w:rsidRDefault="00D41A7E" w:rsidP="00D41A7E">
          <w:pPr>
            <w:pStyle w:val="Footer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2661BF55" wp14:editId="0EF5DC33">
                <wp:extent cx="1082042" cy="231648"/>
                <wp:effectExtent l="0" t="0" r="381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204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D41A7E" w:rsidRPr="00D41A7E" w:rsidRDefault="00D41A7E" w:rsidP="00D41A7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739D" w:rsidRPr="00524BEA" w:rsidRDefault="00524BEA" w:rsidP="00524BEA">
      <w:pPr>
        <w:pStyle w:val="Footer"/>
        <w:spacing w:after="80"/>
        <w:ind w:left="792"/>
        <w:rPr>
          <w:sz w:val="16"/>
        </w:rPr>
      </w:pPr>
      <w:r w:rsidRPr="00524BEA">
        <w:rPr>
          <w:sz w:val="16"/>
        </w:rPr>
        <w:t>__________________</w:t>
      </w:r>
    </w:p>
  </w:footnote>
  <w:footnote w:type="continuationSeparator" w:id="0">
    <w:p w:rsidR="0075739D" w:rsidRPr="00524BEA" w:rsidRDefault="00524BEA" w:rsidP="00524BEA">
      <w:pPr>
        <w:pStyle w:val="Footer"/>
        <w:spacing w:after="80"/>
        <w:ind w:left="792"/>
        <w:rPr>
          <w:sz w:val="16"/>
        </w:rPr>
      </w:pPr>
      <w:r w:rsidRPr="00524BEA">
        <w:rPr>
          <w:sz w:val="16"/>
        </w:rPr>
        <w:t>__________________</w:t>
      </w:r>
    </w:p>
  </w:footnote>
  <w:footnote w:id="1">
    <w:p w:rsidR="00046D9D" w:rsidRDefault="00046D9D" w:rsidP="00524BE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432"/>
      </w:pPr>
      <w:r>
        <w:tab/>
      </w:r>
      <w:r>
        <w:rPr>
          <w:rStyle w:val="FootnoteReference"/>
        </w:rPr>
        <w:footnoteRef/>
      </w:r>
      <w:r>
        <w:tab/>
        <w:t>A/HRC/24/32.</w:t>
      </w:r>
    </w:p>
  </w:footnote>
  <w:footnote w:id="2">
    <w:p w:rsidR="00046D9D" w:rsidRDefault="00046D9D" w:rsidP="00524BE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432"/>
      </w:pPr>
      <w:r>
        <w:tab/>
      </w:r>
      <w:r>
        <w:rPr>
          <w:rStyle w:val="FootnoteReference"/>
        </w:rPr>
        <w:footnoteRef/>
      </w:r>
      <w:r>
        <w:tab/>
        <w:t>A/HRC/27/70 y A/HRC/30/58.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D41A7E" w:rsidTr="00D41A7E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D41A7E" w:rsidRPr="00D41A7E" w:rsidRDefault="00D41A7E" w:rsidP="00D41A7E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160BC5">
            <w:rPr>
              <w:b/>
              <w:color w:val="000000"/>
            </w:rPr>
            <w:t>A/HRC/RES/30/23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D41A7E" w:rsidRDefault="00D41A7E" w:rsidP="00D41A7E">
          <w:pPr>
            <w:pStyle w:val="Header"/>
          </w:pPr>
        </w:p>
      </w:tc>
    </w:tr>
  </w:tbl>
  <w:p w:rsidR="00D41A7E" w:rsidRPr="00D41A7E" w:rsidRDefault="00D41A7E" w:rsidP="00D41A7E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D41A7E" w:rsidTr="00D41A7E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D41A7E" w:rsidRDefault="00D41A7E" w:rsidP="00D41A7E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D41A7E" w:rsidRPr="00D41A7E" w:rsidRDefault="00D41A7E" w:rsidP="00D41A7E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160BC5">
            <w:rPr>
              <w:b/>
              <w:color w:val="000000"/>
            </w:rPr>
            <w:t>A/HRC/RES/30/23</w:t>
          </w:r>
          <w:r>
            <w:rPr>
              <w:b/>
              <w:color w:val="000000"/>
            </w:rPr>
            <w:fldChar w:fldCharType="end"/>
          </w:r>
        </w:p>
      </w:tc>
    </w:tr>
  </w:tbl>
  <w:p w:rsidR="00D41A7E" w:rsidRPr="00D41A7E" w:rsidRDefault="00D41A7E" w:rsidP="00D41A7E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3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280"/>
      <w:gridCol w:w="18"/>
    </w:tblGrid>
    <w:tr w:rsidR="00D41A7E" w:rsidTr="00D41A7E"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41A7E" w:rsidRDefault="00D41A7E" w:rsidP="00D41A7E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41A7E" w:rsidRPr="00D41A7E" w:rsidRDefault="00D41A7E" w:rsidP="00D41A7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Naciones Unidas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41A7E" w:rsidRDefault="00D41A7E" w:rsidP="00D41A7E">
          <w:pPr>
            <w:pStyle w:val="Header"/>
            <w:spacing w:after="120"/>
          </w:pPr>
        </w:p>
      </w:tc>
      <w:tc>
        <w:tcPr>
          <w:tcW w:w="665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D41A7E" w:rsidRPr="00D41A7E" w:rsidRDefault="00D41A7E" w:rsidP="00D41A7E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A</w:t>
          </w:r>
          <w:r>
            <w:rPr>
              <w:position w:val="-4"/>
            </w:rPr>
            <w:t>/HRC/RES/30/23</w:t>
          </w:r>
        </w:p>
      </w:tc>
    </w:tr>
    <w:tr w:rsidR="00D41A7E" w:rsidRPr="00D41A7E" w:rsidTr="00D41A7E">
      <w:trPr>
        <w:gridAfter w:val="1"/>
        <w:wAfter w:w="1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41A7E" w:rsidRPr="00D41A7E" w:rsidRDefault="00D41A7E" w:rsidP="00D41A7E">
          <w:pPr>
            <w:pStyle w:val="Header"/>
            <w:spacing w:before="120"/>
            <w:jc w:val="center"/>
          </w:pPr>
          <w:r>
            <w:t xml:space="preserve"> </w:t>
          </w:r>
          <w:r>
            <w:drawing>
              <wp:inline distT="0" distB="0" distL="0" distR="0" wp14:anchorId="4831F65D" wp14:editId="3FC5329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41A7E" w:rsidRPr="00D41A7E" w:rsidRDefault="00D41A7E" w:rsidP="00D41A7E">
          <w:pPr>
            <w:pStyle w:val="XLarge"/>
            <w:spacing w:before="109"/>
          </w:pPr>
          <w:r>
            <w:t>Asamblea General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41A7E" w:rsidRPr="00D41A7E" w:rsidRDefault="00D41A7E" w:rsidP="00D41A7E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41A7E" w:rsidRDefault="00D41A7E" w:rsidP="00D41A7E">
          <w:pPr>
            <w:pStyle w:val="Distribution"/>
            <w:spacing w:before="240"/>
          </w:pPr>
          <w:r>
            <w:t>Distr. general</w:t>
          </w:r>
        </w:p>
        <w:p w:rsidR="00D41A7E" w:rsidRDefault="00D41A7E" w:rsidP="00D41A7E">
          <w:pPr>
            <w:pStyle w:val="Publication"/>
          </w:pPr>
          <w:r>
            <w:t>12 de octubre de 2015</w:t>
          </w:r>
        </w:p>
        <w:p w:rsidR="00D41A7E" w:rsidRDefault="00D41A7E" w:rsidP="00D41A7E">
          <w:r>
            <w:t>Español</w:t>
          </w:r>
        </w:p>
        <w:p w:rsidR="00D41A7E" w:rsidRDefault="00D41A7E" w:rsidP="00D41A7E">
          <w:pPr>
            <w:pStyle w:val="Original"/>
          </w:pPr>
          <w:r>
            <w:t>Original: inglés</w:t>
          </w:r>
        </w:p>
        <w:p w:rsidR="00D41A7E" w:rsidRPr="00D41A7E" w:rsidRDefault="00D41A7E" w:rsidP="00D41A7E"/>
      </w:tc>
    </w:tr>
  </w:tbl>
  <w:p w:rsidR="00D41A7E" w:rsidRPr="00D41A7E" w:rsidRDefault="00D41A7E" w:rsidP="00D41A7E">
    <w:pPr>
      <w:pStyle w:val="Header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1">
    <w:nsid w:val="193A0B02"/>
    <w:multiLevelType w:val="multilevel"/>
    <w:tmpl w:val="DBD65340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3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4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5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efaultTabStop w:val="475"/>
  <w:hyphenationZone w:val="20"/>
  <w:doNotHyphenateCaps/>
  <w:evenAndOddHeaders/>
  <w:drawingGridHorizontalSpacing w:val="82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noColumnBalance/>
    <w:printColBlack/>
    <w:showBreaksInFrames/>
    <w:suppressBottomSpacing/>
    <w:suppressTopSpacing/>
    <w:shapeLayoutLikeWW8/>
    <w:layoutRawTableWidth/>
    <w:doNotBreakWrappedTables/>
    <w:doNotSnapToGridInCell/>
    <w:doNotUseEastAsianBreakRules/>
    <w:compatSetting w:name="compatibilityMode" w:uri="http://schemas.microsoft.com/office/word" w:val="14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517565*"/>
    <w:docVar w:name="CreationDt" w:val="10/15/2015 9:05: AM"/>
    <w:docVar w:name="DocCategory" w:val="Doc"/>
    <w:docVar w:name="DocType" w:val="Final"/>
    <w:docVar w:name="DutyStation" w:val="Geneva"/>
    <w:docVar w:name="FooterJN" w:val="GE.15-17565"/>
    <w:docVar w:name="jobn" w:val="GE.15-17565 (S)"/>
    <w:docVar w:name="jobnDT" w:val="GE.15-17565 (S)   151015"/>
    <w:docVar w:name="jobnDTDT" w:val="GE.15-17565 (S)   151015   151015"/>
    <w:docVar w:name="JobNo" w:val="GE.1517565S"/>
    <w:docVar w:name="JobNo2" w:val="15232319:05: AM"/>
    <w:docVar w:name="LocalDrive" w:val="0"/>
    <w:docVar w:name="OandT" w:val="cb"/>
    <w:docVar w:name="PaperSize" w:val="A4"/>
    <w:docVar w:name="sss1" w:val="A/HRC/RES/30/23"/>
    <w:docVar w:name="sss2" w:val="-"/>
    <w:docVar w:name="Symbol1" w:val="A/HRC/RES/30/23"/>
    <w:docVar w:name="Symbol2" w:val="-"/>
  </w:docVars>
  <w:rsids>
    <w:rsidRoot w:val="0075739D"/>
    <w:rsid w:val="0000104C"/>
    <w:rsid w:val="00001CC4"/>
    <w:rsid w:val="000025A2"/>
    <w:rsid w:val="00002B98"/>
    <w:rsid w:val="0000430F"/>
    <w:rsid w:val="00005995"/>
    <w:rsid w:val="0001023A"/>
    <w:rsid w:val="00011ED9"/>
    <w:rsid w:val="000145F1"/>
    <w:rsid w:val="0001710A"/>
    <w:rsid w:val="00023216"/>
    <w:rsid w:val="00025DF8"/>
    <w:rsid w:val="00026454"/>
    <w:rsid w:val="000271D6"/>
    <w:rsid w:val="00033058"/>
    <w:rsid w:val="000336E0"/>
    <w:rsid w:val="0003430A"/>
    <w:rsid w:val="000349DD"/>
    <w:rsid w:val="00035AAF"/>
    <w:rsid w:val="00040B8F"/>
    <w:rsid w:val="00043D79"/>
    <w:rsid w:val="00044517"/>
    <w:rsid w:val="00046D9D"/>
    <w:rsid w:val="0005203D"/>
    <w:rsid w:val="000534EB"/>
    <w:rsid w:val="00054DB8"/>
    <w:rsid w:val="0006088E"/>
    <w:rsid w:val="00061177"/>
    <w:rsid w:val="000637D6"/>
    <w:rsid w:val="000667E7"/>
    <w:rsid w:val="00067D9C"/>
    <w:rsid w:val="000724E5"/>
    <w:rsid w:val="0007540F"/>
    <w:rsid w:val="00076C30"/>
    <w:rsid w:val="00076E01"/>
    <w:rsid w:val="000806AC"/>
    <w:rsid w:val="000871C1"/>
    <w:rsid w:val="0009032B"/>
    <w:rsid w:val="00095062"/>
    <w:rsid w:val="000A0C7C"/>
    <w:rsid w:val="000A1971"/>
    <w:rsid w:val="000A53F1"/>
    <w:rsid w:val="000A6B28"/>
    <w:rsid w:val="000B0965"/>
    <w:rsid w:val="000B2A4E"/>
    <w:rsid w:val="000B71D9"/>
    <w:rsid w:val="000C1009"/>
    <w:rsid w:val="000C4DCC"/>
    <w:rsid w:val="000C6904"/>
    <w:rsid w:val="000D11F7"/>
    <w:rsid w:val="000D1E48"/>
    <w:rsid w:val="000D21E6"/>
    <w:rsid w:val="000D4A11"/>
    <w:rsid w:val="000D64ED"/>
    <w:rsid w:val="000D686E"/>
    <w:rsid w:val="000E5000"/>
    <w:rsid w:val="000E66F5"/>
    <w:rsid w:val="000E67FD"/>
    <w:rsid w:val="000E6FEB"/>
    <w:rsid w:val="000F5982"/>
    <w:rsid w:val="000F7375"/>
    <w:rsid w:val="00101405"/>
    <w:rsid w:val="00102135"/>
    <w:rsid w:val="001023C5"/>
    <w:rsid w:val="00107739"/>
    <w:rsid w:val="001109AD"/>
    <w:rsid w:val="00111CCB"/>
    <w:rsid w:val="001179C3"/>
    <w:rsid w:val="0012119F"/>
    <w:rsid w:val="001259AF"/>
    <w:rsid w:val="00127EBE"/>
    <w:rsid w:val="00135E50"/>
    <w:rsid w:val="00140F45"/>
    <w:rsid w:val="00143B7C"/>
    <w:rsid w:val="00144177"/>
    <w:rsid w:val="0014610D"/>
    <w:rsid w:val="001471F6"/>
    <w:rsid w:val="00147CC5"/>
    <w:rsid w:val="00152E53"/>
    <w:rsid w:val="00153EA2"/>
    <w:rsid w:val="00153FD7"/>
    <w:rsid w:val="00154204"/>
    <w:rsid w:val="001561B2"/>
    <w:rsid w:val="0015662C"/>
    <w:rsid w:val="001571BC"/>
    <w:rsid w:val="00160BC5"/>
    <w:rsid w:val="001701FE"/>
    <w:rsid w:val="00170784"/>
    <w:rsid w:val="00174971"/>
    <w:rsid w:val="0017756D"/>
    <w:rsid w:val="00177A61"/>
    <w:rsid w:val="0018579A"/>
    <w:rsid w:val="00186A14"/>
    <w:rsid w:val="00187C4A"/>
    <w:rsid w:val="00190B00"/>
    <w:rsid w:val="00195EFF"/>
    <w:rsid w:val="001A2E38"/>
    <w:rsid w:val="001A2FAC"/>
    <w:rsid w:val="001A546F"/>
    <w:rsid w:val="001A72EA"/>
    <w:rsid w:val="001B2FC3"/>
    <w:rsid w:val="001B4AB9"/>
    <w:rsid w:val="001B4AD2"/>
    <w:rsid w:val="001B56CE"/>
    <w:rsid w:val="001B5CC5"/>
    <w:rsid w:val="001B5DD4"/>
    <w:rsid w:val="001C00F4"/>
    <w:rsid w:val="001C1FA6"/>
    <w:rsid w:val="001C2044"/>
    <w:rsid w:val="001C2D40"/>
    <w:rsid w:val="001C2E87"/>
    <w:rsid w:val="001C4833"/>
    <w:rsid w:val="001D04E3"/>
    <w:rsid w:val="001D0CA8"/>
    <w:rsid w:val="001D4A0C"/>
    <w:rsid w:val="001D681C"/>
    <w:rsid w:val="001E04C4"/>
    <w:rsid w:val="001E2641"/>
    <w:rsid w:val="001E290A"/>
    <w:rsid w:val="001E4835"/>
    <w:rsid w:val="001F0EC3"/>
    <w:rsid w:val="001F1D4C"/>
    <w:rsid w:val="001F2FC0"/>
    <w:rsid w:val="001F74B0"/>
    <w:rsid w:val="00200A61"/>
    <w:rsid w:val="0020684C"/>
    <w:rsid w:val="002070C6"/>
    <w:rsid w:val="00211015"/>
    <w:rsid w:val="00214AF3"/>
    <w:rsid w:val="00217E05"/>
    <w:rsid w:val="0022060C"/>
    <w:rsid w:val="002277C7"/>
    <w:rsid w:val="002345EA"/>
    <w:rsid w:val="00240653"/>
    <w:rsid w:val="00242088"/>
    <w:rsid w:val="0024283D"/>
    <w:rsid w:val="00244CF4"/>
    <w:rsid w:val="00247894"/>
    <w:rsid w:val="00251995"/>
    <w:rsid w:val="0025615B"/>
    <w:rsid w:val="00260DF5"/>
    <w:rsid w:val="00261CCA"/>
    <w:rsid w:val="002639B8"/>
    <w:rsid w:val="002652F7"/>
    <w:rsid w:val="00266F6B"/>
    <w:rsid w:val="00272964"/>
    <w:rsid w:val="00273280"/>
    <w:rsid w:val="002744AC"/>
    <w:rsid w:val="00276848"/>
    <w:rsid w:val="00283B0F"/>
    <w:rsid w:val="002841B4"/>
    <w:rsid w:val="0028737C"/>
    <w:rsid w:val="00295FD6"/>
    <w:rsid w:val="00297ED1"/>
    <w:rsid w:val="002A06DE"/>
    <w:rsid w:val="002A2E26"/>
    <w:rsid w:val="002A7DDE"/>
    <w:rsid w:val="002B0F08"/>
    <w:rsid w:val="002B105C"/>
    <w:rsid w:val="002B1378"/>
    <w:rsid w:val="002B1548"/>
    <w:rsid w:val="002B2680"/>
    <w:rsid w:val="002B6B53"/>
    <w:rsid w:val="002B7407"/>
    <w:rsid w:val="002C2CAF"/>
    <w:rsid w:val="002C345B"/>
    <w:rsid w:val="002C379E"/>
    <w:rsid w:val="002C3E79"/>
    <w:rsid w:val="002D3F35"/>
    <w:rsid w:val="002D422C"/>
    <w:rsid w:val="002D56D8"/>
    <w:rsid w:val="002E1262"/>
    <w:rsid w:val="002E2A29"/>
    <w:rsid w:val="002E6792"/>
    <w:rsid w:val="002F0A5D"/>
    <w:rsid w:val="002F4C08"/>
    <w:rsid w:val="003034FD"/>
    <w:rsid w:val="00303A2A"/>
    <w:rsid w:val="00323F27"/>
    <w:rsid w:val="00327A13"/>
    <w:rsid w:val="00330167"/>
    <w:rsid w:val="00332BD8"/>
    <w:rsid w:val="003359DE"/>
    <w:rsid w:val="003363C7"/>
    <w:rsid w:val="00343253"/>
    <w:rsid w:val="003452B8"/>
    <w:rsid w:val="00346CBE"/>
    <w:rsid w:val="0034771F"/>
    <w:rsid w:val="00347865"/>
    <w:rsid w:val="0035601E"/>
    <w:rsid w:val="003626AF"/>
    <w:rsid w:val="00363CCE"/>
    <w:rsid w:val="00364682"/>
    <w:rsid w:val="00364F73"/>
    <w:rsid w:val="00365806"/>
    <w:rsid w:val="00367739"/>
    <w:rsid w:val="0037312C"/>
    <w:rsid w:val="0037429E"/>
    <w:rsid w:val="003754AD"/>
    <w:rsid w:val="00375801"/>
    <w:rsid w:val="003779EE"/>
    <w:rsid w:val="00377C84"/>
    <w:rsid w:val="00383890"/>
    <w:rsid w:val="003926E1"/>
    <w:rsid w:val="00393F05"/>
    <w:rsid w:val="00396585"/>
    <w:rsid w:val="003965EE"/>
    <w:rsid w:val="00397636"/>
    <w:rsid w:val="003A1259"/>
    <w:rsid w:val="003A5683"/>
    <w:rsid w:val="003A5CE7"/>
    <w:rsid w:val="003B145C"/>
    <w:rsid w:val="003B613E"/>
    <w:rsid w:val="003C12C7"/>
    <w:rsid w:val="003C2AA1"/>
    <w:rsid w:val="003C2D96"/>
    <w:rsid w:val="003C473B"/>
    <w:rsid w:val="003C4940"/>
    <w:rsid w:val="003C5008"/>
    <w:rsid w:val="003C67B3"/>
    <w:rsid w:val="003C6A56"/>
    <w:rsid w:val="003D0989"/>
    <w:rsid w:val="003D1093"/>
    <w:rsid w:val="003D2D4A"/>
    <w:rsid w:val="003E5AAE"/>
    <w:rsid w:val="003E60D2"/>
    <w:rsid w:val="003E7A69"/>
    <w:rsid w:val="003F2A56"/>
    <w:rsid w:val="003F3052"/>
    <w:rsid w:val="003F3C3C"/>
    <w:rsid w:val="00400307"/>
    <w:rsid w:val="00400A6A"/>
    <w:rsid w:val="00403D85"/>
    <w:rsid w:val="00404990"/>
    <w:rsid w:val="0040564F"/>
    <w:rsid w:val="004057C7"/>
    <w:rsid w:val="004072AB"/>
    <w:rsid w:val="004211F7"/>
    <w:rsid w:val="00423CFD"/>
    <w:rsid w:val="0042642D"/>
    <w:rsid w:val="00431501"/>
    <w:rsid w:val="004318E8"/>
    <w:rsid w:val="00433FB5"/>
    <w:rsid w:val="00434234"/>
    <w:rsid w:val="004374B8"/>
    <w:rsid w:val="00437612"/>
    <w:rsid w:val="004411D4"/>
    <w:rsid w:val="00443CA4"/>
    <w:rsid w:val="004450AF"/>
    <w:rsid w:val="004452B0"/>
    <w:rsid w:val="004465F9"/>
    <w:rsid w:val="00451290"/>
    <w:rsid w:val="0045204A"/>
    <w:rsid w:val="0045650A"/>
    <w:rsid w:val="00456674"/>
    <w:rsid w:val="00460AD1"/>
    <w:rsid w:val="00465121"/>
    <w:rsid w:val="00466635"/>
    <w:rsid w:val="00467907"/>
    <w:rsid w:val="004700F4"/>
    <w:rsid w:val="004713D8"/>
    <w:rsid w:val="00471F9B"/>
    <w:rsid w:val="00474035"/>
    <w:rsid w:val="00474F6E"/>
    <w:rsid w:val="00476219"/>
    <w:rsid w:val="004762F7"/>
    <w:rsid w:val="004806A1"/>
    <w:rsid w:val="00480D83"/>
    <w:rsid w:val="004836F3"/>
    <w:rsid w:val="00484133"/>
    <w:rsid w:val="004843EE"/>
    <w:rsid w:val="00486DF8"/>
    <w:rsid w:val="00490E18"/>
    <w:rsid w:val="00491613"/>
    <w:rsid w:val="0049207E"/>
    <w:rsid w:val="00496527"/>
    <w:rsid w:val="004A146B"/>
    <w:rsid w:val="004A3174"/>
    <w:rsid w:val="004A7C6C"/>
    <w:rsid w:val="004B2460"/>
    <w:rsid w:val="004B47A3"/>
    <w:rsid w:val="004B7559"/>
    <w:rsid w:val="004C1BCD"/>
    <w:rsid w:val="004C75AE"/>
    <w:rsid w:val="004C7731"/>
    <w:rsid w:val="004C7EA8"/>
    <w:rsid w:val="004D4AC0"/>
    <w:rsid w:val="004D6407"/>
    <w:rsid w:val="004D779E"/>
    <w:rsid w:val="004E4F87"/>
    <w:rsid w:val="004E6C35"/>
    <w:rsid w:val="004E757B"/>
    <w:rsid w:val="004F14EE"/>
    <w:rsid w:val="004F4843"/>
    <w:rsid w:val="004F4A39"/>
    <w:rsid w:val="0050020B"/>
    <w:rsid w:val="00500463"/>
    <w:rsid w:val="005053EA"/>
    <w:rsid w:val="005056C9"/>
    <w:rsid w:val="0050627B"/>
    <w:rsid w:val="00506C71"/>
    <w:rsid w:val="00506F95"/>
    <w:rsid w:val="00507265"/>
    <w:rsid w:val="00507434"/>
    <w:rsid w:val="00511D5E"/>
    <w:rsid w:val="005130D6"/>
    <w:rsid w:val="00522CE1"/>
    <w:rsid w:val="00523F4C"/>
    <w:rsid w:val="00524BEA"/>
    <w:rsid w:val="00524C14"/>
    <w:rsid w:val="00531F88"/>
    <w:rsid w:val="00533E81"/>
    <w:rsid w:val="00534962"/>
    <w:rsid w:val="00534D37"/>
    <w:rsid w:val="00534E25"/>
    <w:rsid w:val="00535721"/>
    <w:rsid w:val="0054067F"/>
    <w:rsid w:val="00542A52"/>
    <w:rsid w:val="00543025"/>
    <w:rsid w:val="005434BC"/>
    <w:rsid w:val="0054650A"/>
    <w:rsid w:val="005466CD"/>
    <w:rsid w:val="0054783D"/>
    <w:rsid w:val="00550243"/>
    <w:rsid w:val="00552359"/>
    <w:rsid w:val="00552711"/>
    <w:rsid w:val="00556B04"/>
    <w:rsid w:val="00556CEB"/>
    <w:rsid w:val="00562263"/>
    <w:rsid w:val="005625F8"/>
    <w:rsid w:val="00562CA9"/>
    <w:rsid w:val="00565717"/>
    <w:rsid w:val="00567942"/>
    <w:rsid w:val="00571A1C"/>
    <w:rsid w:val="00571DC3"/>
    <w:rsid w:val="00571F2A"/>
    <w:rsid w:val="005737E7"/>
    <w:rsid w:val="00573ECA"/>
    <w:rsid w:val="00576731"/>
    <w:rsid w:val="0058043D"/>
    <w:rsid w:val="00582B10"/>
    <w:rsid w:val="00585931"/>
    <w:rsid w:val="00587E23"/>
    <w:rsid w:val="005906B3"/>
    <w:rsid w:val="00595DE1"/>
    <w:rsid w:val="00596535"/>
    <w:rsid w:val="00596BFD"/>
    <w:rsid w:val="00597B0E"/>
    <w:rsid w:val="005A1929"/>
    <w:rsid w:val="005A651B"/>
    <w:rsid w:val="005B68DB"/>
    <w:rsid w:val="005C547D"/>
    <w:rsid w:val="005D3721"/>
    <w:rsid w:val="005D63A4"/>
    <w:rsid w:val="005E4F7D"/>
    <w:rsid w:val="005E6371"/>
    <w:rsid w:val="005E6B39"/>
    <w:rsid w:val="005E7C8B"/>
    <w:rsid w:val="005F4603"/>
    <w:rsid w:val="005F6986"/>
    <w:rsid w:val="00601523"/>
    <w:rsid w:val="006111BB"/>
    <w:rsid w:val="0061177D"/>
    <w:rsid w:val="00612DA1"/>
    <w:rsid w:val="00614C74"/>
    <w:rsid w:val="00616088"/>
    <w:rsid w:val="006169F5"/>
    <w:rsid w:val="00620953"/>
    <w:rsid w:val="00626449"/>
    <w:rsid w:val="00630C54"/>
    <w:rsid w:val="00630CE1"/>
    <w:rsid w:val="00631114"/>
    <w:rsid w:val="0063405C"/>
    <w:rsid w:val="00636DA1"/>
    <w:rsid w:val="00637AB0"/>
    <w:rsid w:val="00641130"/>
    <w:rsid w:val="006429E9"/>
    <w:rsid w:val="00643833"/>
    <w:rsid w:val="00645DF2"/>
    <w:rsid w:val="006463C7"/>
    <w:rsid w:val="006471BF"/>
    <w:rsid w:val="006510D7"/>
    <w:rsid w:val="00651574"/>
    <w:rsid w:val="006533BB"/>
    <w:rsid w:val="00653EF9"/>
    <w:rsid w:val="00664183"/>
    <w:rsid w:val="00666B35"/>
    <w:rsid w:val="006671BC"/>
    <w:rsid w:val="00671096"/>
    <w:rsid w:val="00672CCA"/>
    <w:rsid w:val="00677761"/>
    <w:rsid w:val="006807E7"/>
    <w:rsid w:val="00680FD1"/>
    <w:rsid w:val="00682F18"/>
    <w:rsid w:val="006878DB"/>
    <w:rsid w:val="0069047A"/>
    <w:rsid w:val="006956F4"/>
    <w:rsid w:val="00696921"/>
    <w:rsid w:val="006A3096"/>
    <w:rsid w:val="006A3806"/>
    <w:rsid w:val="006A5BF0"/>
    <w:rsid w:val="006B08F8"/>
    <w:rsid w:val="006B7D41"/>
    <w:rsid w:val="006C3274"/>
    <w:rsid w:val="006C3A65"/>
    <w:rsid w:val="006C4163"/>
    <w:rsid w:val="006C6173"/>
    <w:rsid w:val="006D3321"/>
    <w:rsid w:val="006E0E95"/>
    <w:rsid w:val="006E0EF0"/>
    <w:rsid w:val="006E296C"/>
    <w:rsid w:val="006E3436"/>
    <w:rsid w:val="006E39F5"/>
    <w:rsid w:val="006E66D5"/>
    <w:rsid w:val="006E689B"/>
    <w:rsid w:val="006F171A"/>
    <w:rsid w:val="006F36E2"/>
    <w:rsid w:val="006F4381"/>
    <w:rsid w:val="006F5827"/>
    <w:rsid w:val="0070417F"/>
    <w:rsid w:val="0070602F"/>
    <w:rsid w:val="007070B8"/>
    <w:rsid w:val="007137B2"/>
    <w:rsid w:val="007142B6"/>
    <w:rsid w:val="00716C1C"/>
    <w:rsid w:val="0072046A"/>
    <w:rsid w:val="00723B89"/>
    <w:rsid w:val="007253D7"/>
    <w:rsid w:val="00732348"/>
    <w:rsid w:val="0073329F"/>
    <w:rsid w:val="0073710F"/>
    <w:rsid w:val="0074000F"/>
    <w:rsid w:val="007401AE"/>
    <w:rsid w:val="007502C6"/>
    <w:rsid w:val="00750DA9"/>
    <w:rsid w:val="00754308"/>
    <w:rsid w:val="007549E2"/>
    <w:rsid w:val="00754F43"/>
    <w:rsid w:val="0075739D"/>
    <w:rsid w:val="007577D7"/>
    <w:rsid w:val="00765F44"/>
    <w:rsid w:val="00776DCA"/>
    <w:rsid w:val="00777C17"/>
    <w:rsid w:val="00777C5C"/>
    <w:rsid w:val="00781040"/>
    <w:rsid w:val="00781DFE"/>
    <w:rsid w:val="00793FFF"/>
    <w:rsid w:val="007A384D"/>
    <w:rsid w:val="007A7681"/>
    <w:rsid w:val="007B04E8"/>
    <w:rsid w:val="007B2E44"/>
    <w:rsid w:val="007B3555"/>
    <w:rsid w:val="007B4E24"/>
    <w:rsid w:val="007B5BC1"/>
    <w:rsid w:val="007B6129"/>
    <w:rsid w:val="007C51E9"/>
    <w:rsid w:val="007C566A"/>
    <w:rsid w:val="007C7D32"/>
    <w:rsid w:val="007D0893"/>
    <w:rsid w:val="007D4943"/>
    <w:rsid w:val="007D59F4"/>
    <w:rsid w:val="007E282F"/>
    <w:rsid w:val="007E31CA"/>
    <w:rsid w:val="007E322D"/>
    <w:rsid w:val="007E4015"/>
    <w:rsid w:val="007E4B86"/>
    <w:rsid w:val="007E5F23"/>
    <w:rsid w:val="007E647A"/>
    <w:rsid w:val="007E671C"/>
    <w:rsid w:val="007F42D3"/>
    <w:rsid w:val="007F5AF9"/>
    <w:rsid w:val="00801B3F"/>
    <w:rsid w:val="00813690"/>
    <w:rsid w:val="00813C40"/>
    <w:rsid w:val="00815287"/>
    <w:rsid w:val="00815EA8"/>
    <w:rsid w:val="00817D11"/>
    <w:rsid w:val="00821E34"/>
    <w:rsid w:val="00823340"/>
    <w:rsid w:val="00823BE3"/>
    <w:rsid w:val="00824B02"/>
    <w:rsid w:val="00824EA5"/>
    <w:rsid w:val="008305DF"/>
    <w:rsid w:val="00832268"/>
    <w:rsid w:val="00833B57"/>
    <w:rsid w:val="00834163"/>
    <w:rsid w:val="00834408"/>
    <w:rsid w:val="0083457C"/>
    <w:rsid w:val="00837A70"/>
    <w:rsid w:val="008463C4"/>
    <w:rsid w:val="008466A7"/>
    <w:rsid w:val="00850504"/>
    <w:rsid w:val="0085192D"/>
    <w:rsid w:val="008521F6"/>
    <w:rsid w:val="008539AC"/>
    <w:rsid w:val="00860B12"/>
    <w:rsid w:val="0086143E"/>
    <w:rsid w:val="008620C3"/>
    <w:rsid w:val="0086249C"/>
    <w:rsid w:val="00863869"/>
    <w:rsid w:val="00871928"/>
    <w:rsid w:val="00872139"/>
    <w:rsid w:val="00873ADC"/>
    <w:rsid w:val="00875415"/>
    <w:rsid w:val="00875F65"/>
    <w:rsid w:val="00880535"/>
    <w:rsid w:val="0089324E"/>
    <w:rsid w:val="00894D50"/>
    <w:rsid w:val="00897EE4"/>
    <w:rsid w:val="008A2A83"/>
    <w:rsid w:val="008A2C2B"/>
    <w:rsid w:val="008A5EA2"/>
    <w:rsid w:val="008A680C"/>
    <w:rsid w:val="008B30AC"/>
    <w:rsid w:val="008B3D57"/>
    <w:rsid w:val="008B59F9"/>
    <w:rsid w:val="008B5FC3"/>
    <w:rsid w:val="008B789B"/>
    <w:rsid w:val="008C1BC4"/>
    <w:rsid w:val="008C70A0"/>
    <w:rsid w:val="008D0F57"/>
    <w:rsid w:val="008D17EE"/>
    <w:rsid w:val="008D1C04"/>
    <w:rsid w:val="008D2AE1"/>
    <w:rsid w:val="008D436B"/>
    <w:rsid w:val="008D53A0"/>
    <w:rsid w:val="008E2B2E"/>
    <w:rsid w:val="008E37CD"/>
    <w:rsid w:val="008E41D0"/>
    <w:rsid w:val="008F1890"/>
    <w:rsid w:val="008F1E8F"/>
    <w:rsid w:val="008F2959"/>
    <w:rsid w:val="008F7AE0"/>
    <w:rsid w:val="008F7DC0"/>
    <w:rsid w:val="00900BCE"/>
    <w:rsid w:val="0090577F"/>
    <w:rsid w:val="00906D4E"/>
    <w:rsid w:val="009108CF"/>
    <w:rsid w:val="00912204"/>
    <w:rsid w:val="00913197"/>
    <w:rsid w:val="0091591F"/>
    <w:rsid w:val="00917F05"/>
    <w:rsid w:val="00917F62"/>
    <w:rsid w:val="009226E3"/>
    <w:rsid w:val="00925606"/>
    <w:rsid w:val="00926916"/>
    <w:rsid w:val="0092733C"/>
    <w:rsid w:val="00927C68"/>
    <w:rsid w:val="0093190E"/>
    <w:rsid w:val="00931AC8"/>
    <w:rsid w:val="00934B5B"/>
    <w:rsid w:val="00935619"/>
    <w:rsid w:val="00935AD9"/>
    <w:rsid w:val="00936752"/>
    <w:rsid w:val="00936782"/>
    <w:rsid w:val="00937166"/>
    <w:rsid w:val="00942639"/>
    <w:rsid w:val="0094747E"/>
    <w:rsid w:val="00950936"/>
    <w:rsid w:val="00952BAE"/>
    <w:rsid w:val="009540A8"/>
    <w:rsid w:val="00961828"/>
    <w:rsid w:val="0098045D"/>
    <w:rsid w:val="0098055D"/>
    <w:rsid w:val="00984E6C"/>
    <w:rsid w:val="00991572"/>
    <w:rsid w:val="00995BD2"/>
    <w:rsid w:val="009A54AA"/>
    <w:rsid w:val="009A73EA"/>
    <w:rsid w:val="009A7735"/>
    <w:rsid w:val="009B1C06"/>
    <w:rsid w:val="009B26B8"/>
    <w:rsid w:val="009B26E0"/>
    <w:rsid w:val="009B5B53"/>
    <w:rsid w:val="009B6140"/>
    <w:rsid w:val="009C0D3E"/>
    <w:rsid w:val="009C31A4"/>
    <w:rsid w:val="009C3306"/>
    <w:rsid w:val="009C3952"/>
    <w:rsid w:val="009C558E"/>
    <w:rsid w:val="009D32AC"/>
    <w:rsid w:val="009D5257"/>
    <w:rsid w:val="009D6DC5"/>
    <w:rsid w:val="009D7DE0"/>
    <w:rsid w:val="009E11DA"/>
    <w:rsid w:val="009E300B"/>
    <w:rsid w:val="009E5765"/>
    <w:rsid w:val="009E6D58"/>
    <w:rsid w:val="009F0782"/>
    <w:rsid w:val="009F3F73"/>
    <w:rsid w:val="009F6D65"/>
    <w:rsid w:val="009F701F"/>
    <w:rsid w:val="009F75FD"/>
    <w:rsid w:val="009F793E"/>
    <w:rsid w:val="00A01177"/>
    <w:rsid w:val="00A0166A"/>
    <w:rsid w:val="00A01C7B"/>
    <w:rsid w:val="00A02FF4"/>
    <w:rsid w:val="00A058FF"/>
    <w:rsid w:val="00A10FDF"/>
    <w:rsid w:val="00A138BA"/>
    <w:rsid w:val="00A17B2C"/>
    <w:rsid w:val="00A21683"/>
    <w:rsid w:val="00A24508"/>
    <w:rsid w:val="00A26619"/>
    <w:rsid w:val="00A3163E"/>
    <w:rsid w:val="00A4039A"/>
    <w:rsid w:val="00A5353F"/>
    <w:rsid w:val="00A5537A"/>
    <w:rsid w:val="00A607E7"/>
    <w:rsid w:val="00A627D6"/>
    <w:rsid w:val="00A64A88"/>
    <w:rsid w:val="00A64E36"/>
    <w:rsid w:val="00A65B90"/>
    <w:rsid w:val="00A65C9E"/>
    <w:rsid w:val="00A6761C"/>
    <w:rsid w:val="00A71D7C"/>
    <w:rsid w:val="00A81007"/>
    <w:rsid w:val="00A84D3A"/>
    <w:rsid w:val="00A8503D"/>
    <w:rsid w:val="00A86FEA"/>
    <w:rsid w:val="00A875E5"/>
    <w:rsid w:val="00A9599A"/>
    <w:rsid w:val="00AA0543"/>
    <w:rsid w:val="00AA3114"/>
    <w:rsid w:val="00AA7DC9"/>
    <w:rsid w:val="00AB0ED1"/>
    <w:rsid w:val="00AB7836"/>
    <w:rsid w:val="00AC3F53"/>
    <w:rsid w:val="00AC5CBF"/>
    <w:rsid w:val="00AC6AD9"/>
    <w:rsid w:val="00AD0BE5"/>
    <w:rsid w:val="00AD37F0"/>
    <w:rsid w:val="00AD5D6A"/>
    <w:rsid w:val="00AD778A"/>
    <w:rsid w:val="00AE52EC"/>
    <w:rsid w:val="00AE6D02"/>
    <w:rsid w:val="00AF0741"/>
    <w:rsid w:val="00AF1C63"/>
    <w:rsid w:val="00AF7054"/>
    <w:rsid w:val="00B11C44"/>
    <w:rsid w:val="00B151F5"/>
    <w:rsid w:val="00B232EC"/>
    <w:rsid w:val="00B2358F"/>
    <w:rsid w:val="00B30002"/>
    <w:rsid w:val="00B308D0"/>
    <w:rsid w:val="00B34BCE"/>
    <w:rsid w:val="00B35DD0"/>
    <w:rsid w:val="00B367B0"/>
    <w:rsid w:val="00B42469"/>
    <w:rsid w:val="00B426AB"/>
    <w:rsid w:val="00B44E52"/>
    <w:rsid w:val="00B47A82"/>
    <w:rsid w:val="00B57DFF"/>
    <w:rsid w:val="00B6163A"/>
    <w:rsid w:val="00B63CDA"/>
    <w:rsid w:val="00B645EF"/>
    <w:rsid w:val="00B7700F"/>
    <w:rsid w:val="00B77D31"/>
    <w:rsid w:val="00B8368A"/>
    <w:rsid w:val="00B91514"/>
    <w:rsid w:val="00B9503A"/>
    <w:rsid w:val="00BA68A6"/>
    <w:rsid w:val="00BB0959"/>
    <w:rsid w:val="00BB23DE"/>
    <w:rsid w:val="00BC0F7D"/>
    <w:rsid w:val="00BC2142"/>
    <w:rsid w:val="00BC31B5"/>
    <w:rsid w:val="00BC40A4"/>
    <w:rsid w:val="00BC5963"/>
    <w:rsid w:val="00BC60F3"/>
    <w:rsid w:val="00BC6A42"/>
    <w:rsid w:val="00BC7B5B"/>
    <w:rsid w:val="00BD4396"/>
    <w:rsid w:val="00BD47B9"/>
    <w:rsid w:val="00BE0757"/>
    <w:rsid w:val="00BE0EA5"/>
    <w:rsid w:val="00BE2BF9"/>
    <w:rsid w:val="00BE32B5"/>
    <w:rsid w:val="00BE41BC"/>
    <w:rsid w:val="00BF1D37"/>
    <w:rsid w:val="00BF32B0"/>
    <w:rsid w:val="00BF438B"/>
    <w:rsid w:val="00BF5A1E"/>
    <w:rsid w:val="00C0050E"/>
    <w:rsid w:val="00C00E64"/>
    <w:rsid w:val="00C00E6C"/>
    <w:rsid w:val="00C02367"/>
    <w:rsid w:val="00C053A0"/>
    <w:rsid w:val="00C10265"/>
    <w:rsid w:val="00C127DC"/>
    <w:rsid w:val="00C13749"/>
    <w:rsid w:val="00C13D38"/>
    <w:rsid w:val="00C13D48"/>
    <w:rsid w:val="00C154A9"/>
    <w:rsid w:val="00C161D9"/>
    <w:rsid w:val="00C22EDA"/>
    <w:rsid w:val="00C24049"/>
    <w:rsid w:val="00C242E4"/>
    <w:rsid w:val="00C2551F"/>
    <w:rsid w:val="00C2704A"/>
    <w:rsid w:val="00C32D88"/>
    <w:rsid w:val="00C35339"/>
    <w:rsid w:val="00C36A7F"/>
    <w:rsid w:val="00C41651"/>
    <w:rsid w:val="00C468A1"/>
    <w:rsid w:val="00C51D2E"/>
    <w:rsid w:val="00C55BFC"/>
    <w:rsid w:val="00C56024"/>
    <w:rsid w:val="00C6016B"/>
    <w:rsid w:val="00C71D8C"/>
    <w:rsid w:val="00C72875"/>
    <w:rsid w:val="00C72AD9"/>
    <w:rsid w:val="00C7369D"/>
    <w:rsid w:val="00C8131F"/>
    <w:rsid w:val="00C833E6"/>
    <w:rsid w:val="00C847F0"/>
    <w:rsid w:val="00C859E1"/>
    <w:rsid w:val="00C86A01"/>
    <w:rsid w:val="00C903E1"/>
    <w:rsid w:val="00C91CE9"/>
    <w:rsid w:val="00C92DF7"/>
    <w:rsid w:val="00C94035"/>
    <w:rsid w:val="00C9498D"/>
    <w:rsid w:val="00C94BB6"/>
    <w:rsid w:val="00C95408"/>
    <w:rsid w:val="00C95E8C"/>
    <w:rsid w:val="00CA12C8"/>
    <w:rsid w:val="00CA2127"/>
    <w:rsid w:val="00CA5568"/>
    <w:rsid w:val="00CA5A12"/>
    <w:rsid w:val="00CB5C47"/>
    <w:rsid w:val="00CC1FF9"/>
    <w:rsid w:val="00CC5750"/>
    <w:rsid w:val="00CC67D4"/>
    <w:rsid w:val="00CC6DBC"/>
    <w:rsid w:val="00CD1545"/>
    <w:rsid w:val="00CD2C4C"/>
    <w:rsid w:val="00CD4760"/>
    <w:rsid w:val="00CD57FF"/>
    <w:rsid w:val="00CD5ACA"/>
    <w:rsid w:val="00CD7F4C"/>
    <w:rsid w:val="00CE0045"/>
    <w:rsid w:val="00CE1381"/>
    <w:rsid w:val="00CE2A43"/>
    <w:rsid w:val="00CE4E1A"/>
    <w:rsid w:val="00D00E66"/>
    <w:rsid w:val="00D02C41"/>
    <w:rsid w:val="00D037B1"/>
    <w:rsid w:val="00D051A5"/>
    <w:rsid w:val="00D10D1C"/>
    <w:rsid w:val="00D139B1"/>
    <w:rsid w:val="00D15615"/>
    <w:rsid w:val="00D1714E"/>
    <w:rsid w:val="00D2412C"/>
    <w:rsid w:val="00D27113"/>
    <w:rsid w:val="00D27C55"/>
    <w:rsid w:val="00D30E8B"/>
    <w:rsid w:val="00D316E6"/>
    <w:rsid w:val="00D32925"/>
    <w:rsid w:val="00D36FEB"/>
    <w:rsid w:val="00D40561"/>
    <w:rsid w:val="00D41A7E"/>
    <w:rsid w:val="00D42CA0"/>
    <w:rsid w:val="00D42E58"/>
    <w:rsid w:val="00D450BF"/>
    <w:rsid w:val="00D5080B"/>
    <w:rsid w:val="00D535F0"/>
    <w:rsid w:val="00D60200"/>
    <w:rsid w:val="00D621E4"/>
    <w:rsid w:val="00D66326"/>
    <w:rsid w:val="00D75748"/>
    <w:rsid w:val="00D75DCF"/>
    <w:rsid w:val="00D81FDD"/>
    <w:rsid w:val="00D82D56"/>
    <w:rsid w:val="00D83A97"/>
    <w:rsid w:val="00D84103"/>
    <w:rsid w:val="00D93984"/>
    <w:rsid w:val="00D95982"/>
    <w:rsid w:val="00DA0BDF"/>
    <w:rsid w:val="00DA0F47"/>
    <w:rsid w:val="00DA1417"/>
    <w:rsid w:val="00DA212D"/>
    <w:rsid w:val="00DA4419"/>
    <w:rsid w:val="00DA5058"/>
    <w:rsid w:val="00DA7865"/>
    <w:rsid w:val="00DA7DFA"/>
    <w:rsid w:val="00DB2B5E"/>
    <w:rsid w:val="00DB2EA7"/>
    <w:rsid w:val="00DC0389"/>
    <w:rsid w:val="00DC070F"/>
    <w:rsid w:val="00DC425C"/>
    <w:rsid w:val="00DC4B85"/>
    <w:rsid w:val="00DC52AB"/>
    <w:rsid w:val="00DC6A91"/>
    <w:rsid w:val="00DD5564"/>
    <w:rsid w:val="00DD5908"/>
    <w:rsid w:val="00DD5DA8"/>
    <w:rsid w:val="00DD76B9"/>
    <w:rsid w:val="00DE6AD7"/>
    <w:rsid w:val="00DE7D2F"/>
    <w:rsid w:val="00DF00C0"/>
    <w:rsid w:val="00DF33AF"/>
    <w:rsid w:val="00DF4C48"/>
    <w:rsid w:val="00DF74B2"/>
    <w:rsid w:val="00DF7A50"/>
    <w:rsid w:val="00E0123F"/>
    <w:rsid w:val="00E01FF9"/>
    <w:rsid w:val="00E04ABB"/>
    <w:rsid w:val="00E054C0"/>
    <w:rsid w:val="00E05743"/>
    <w:rsid w:val="00E119D6"/>
    <w:rsid w:val="00E11A78"/>
    <w:rsid w:val="00E1561C"/>
    <w:rsid w:val="00E22845"/>
    <w:rsid w:val="00E241A1"/>
    <w:rsid w:val="00E26954"/>
    <w:rsid w:val="00E31D49"/>
    <w:rsid w:val="00E35244"/>
    <w:rsid w:val="00E4205B"/>
    <w:rsid w:val="00E42271"/>
    <w:rsid w:val="00E427B7"/>
    <w:rsid w:val="00E50390"/>
    <w:rsid w:val="00E51BC9"/>
    <w:rsid w:val="00E54F48"/>
    <w:rsid w:val="00E606CA"/>
    <w:rsid w:val="00E6115F"/>
    <w:rsid w:val="00E65BE8"/>
    <w:rsid w:val="00E70B1D"/>
    <w:rsid w:val="00E72F59"/>
    <w:rsid w:val="00E73276"/>
    <w:rsid w:val="00E73409"/>
    <w:rsid w:val="00E73A8A"/>
    <w:rsid w:val="00E75679"/>
    <w:rsid w:val="00E774C3"/>
    <w:rsid w:val="00E8075A"/>
    <w:rsid w:val="00E82666"/>
    <w:rsid w:val="00E8338A"/>
    <w:rsid w:val="00E84B10"/>
    <w:rsid w:val="00E875CB"/>
    <w:rsid w:val="00E926C5"/>
    <w:rsid w:val="00E932A5"/>
    <w:rsid w:val="00E96210"/>
    <w:rsid w:val="00EA2C66"/>
    <w:rsid w:val="00EA425E"/>
    <w:rsid w:val="00EA60AF"/>
    <w:rsid w:val="00EB158E"/>
    <w:rsid w:val="00EB3BF0"/>
    <w:rsid w:val="00EB48D9"/>
    <w:rsid w:val="00EB5A41"/>
    <w:rsid w:val="00EC0D8B"/>
    <w:rsid w:val="00EC3D06"/>
    <w:rsid w:val="00ED1F10"/>
    <w:rsid w:val="00ED3CA7"/>
    <w:rsid w:val="00ED4905"/>
    <w:rsid w:val="00ED6290"/>
    <w:rsid w:val="00ED7A82"/>
    <w:rsid w:val="00EE1800"/>
    <w:rsid w:val="00EE3038"/>
    <w:rsid w:val="00EE707B"/>
    <w:rsid w:val="00EF4A6F"/>
    <w:rsid w:val="00EF5CB7"/>
    <w:rsid w:val="00EF68AA"/>
    <w:rsid w:val="00F03369"/>
    <w:rsid w:val="00F061A0"/>
    <w:rsid w:val="00F06B9B"/>
    <w:rsid w:val="00F07B3F"/>
    <w:rsid w:val="00F11159"/>
    <w:rsid w:val="00F118F9"/>
    <w:rsid w:val="00F14B66"/>
    <w:rsid w:val="00F16127"/>
    <w:rsid w:val="00F20CFF"/>
    <w:rsid w:val="00F21DF3"/>
    <w:rsid w:val="00F249E4"/>
    <w:rsid w:val="00F254E2"/>
    <w:rsid w:val="00F274AF"/>
    <w:rsid w:val="00F3021B"/>
    <w:rsid w:val="00F3034B"/>
    <w:rsid w:val="00F35068"/>
    <w:rsid w:val="00F35B3D"/>
    <w:rsid w:val="00F378BF"/>
    <w:rsid w:val="00F40902"/>
    <w:rsid w:val="00F44608"/>
    <w:rsid w:val="00F446FD"/>
    <w:rsid w:val="00F448BB"/>
    <w:rsid w:val="00F44E91"/>
    <w:rsid w:val="00F45262"/>
    <w:rsid w:val="00F47FCF"/>
    <w:rsid w:val="00F532D8"/>
    <w:rsid w:val="00F55A8D"/>
    <w:rsid w:val="00F564E9"/>
    <w:rsid w:val="00F577BD"/>
    <w:rsid w:val="00F60962"/>
    <w:rsid w:val="00F61A78"/>
    <w:rsid w:val="00F624F3"/>
    <w:rsid w:val="00F659BF"/>
    <w:rsid w:val="00F66F3D"/>
    <w:rsid w:val="00F73315"/>
    <w:rsid w:val="00F82AFC"/>
    <w:rsid w:val="00F82B13"/>
    <w:rsid w:val="00F8623C"/>
    <w:rsid w:val="00F9064B"/>
    <w:rsid w:val="00F918A1"/>
    <w:rsid w:val="00F91BA8"/>
    <w:rsid w:val="00F920FD"/>
    <w:rsid w:val="00F92E1F"/>
    <w:rsid w:val="00F936E2"/>
    <w:rsid w:val="00F93DB3"/>
    <w:rsid w:val="00FA1384"/>
    <w:rsid w:val="00FA4010"/>
    <w:rsid w:val="00FA4383"/>
    <w:rsid w:val="00FA5E33"/>
    <w:rsid w:val="00FB22DA"/>
    <w:rsid w:val="00FB255D"/>
    <w:rsid w:val="00FB2CE9"/>
    <w:rsid w:val="00FC4C00"/>
    <w:rsid w:val="00FD0A87"/>
    <w:rsid w:val="00FD17C3"/>
    <w:rsid w:val="00FD1A5F"/>
    <w:rsid w:val="00FD6A19"/>
    <w:rsid w:val="00FD76C7"/>
    <w:rsid w:val="00FE0627"/>
    <w:rsid w:val="00FE1345"/>
    <w:rsid w:val="00FE6520"/>
    <w:rsid w:val="00FF2087"/>
    <w:rsid w:val="00FF2C05"/>
    <w:rsid w:val="00FF3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145C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SingleTxt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SingleTxt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3B145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character" w:styleId="EndnoteReference">
    <w:name w:val="endnote reference"/>
    <w:semiHidden/>
    <w:rsid w:val="00276848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Session">
    <w:name w:val="Session"/>
    <w:basedOn w:val="H23"/>
    <w:autoRedefine/>
    <w:qFormat/>
    <w:rsid w:val="00871928"/>
  </w:style>
  <w:style w:type="paragraph" w:customStyle="1" w:styleId="Committee">
    <w:name w:val="Committee"/>
    <w:basedOn w:val="H1"/>
    <w:autoRedefine/>
    <w:qFormat/>
    <w:rsid w:val="00894D50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894D50"/>
  </w:style>
  <w:style w:type="paragraph" w:customStyle="1" w:styleId="Sponsors">
    <w:name w:val="Sponsors"/>
    <w:basedOn w:val="H23"/>
    <w:autoRedefine/>
    <w:qFormat/>
    <w:rsid w:val="00894D50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4B2460"/>
    <w:pPr>
      <w:numPr>
        <w:numId w:val="4"/>
      </w:numPr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4B2460"/>
    <w:pPr>
      <w:numPr>
        <w:numId w:val="5"/>
      </w:numPr>
      <w:spacing w:after="120"/>
      <w:ind w:left="2217" w:right="1264" w:hanging="130"/>
      <w:jc w:val="both"/>
    </w:pPr>
  </w:style>
  <w:style w:type="paragraph" w:customStyle="1" w:styleId="Bullet3">
    <w:name w:val="Bullet 3"/>
    <w:basedOn w:val="SingleTxt"/>
    <w:qFormat/>
    <w:rsid w:val="00596BFD"/>
    <w:pPr>
      <w:numPr>
        <w:numId w:val="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CommentText">
    <w:name w:val="annotation text"/>
    <w:basedOn w:val="Normal"/>
    <w:link w:val="CommentTextChar"/>
    <w:rsid w:val="00D41A7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D41A7E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D41A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41A7E"/>
    <w:rPr>
      <w:rFonts w:ascii="Times New Roman" w:hAnsi="Times New Roman"/>
      <w:b/>
      <w:bCs/>
      <w:spacing w:val="4"/>
      <w:w w:val="103"/>
      <w:lang w:val="es-ES"/>
    </w:rPr>
  </w:style>
  <w:style w:type="paragraph" w:styleId="Revision">
    <w:name w:val="Revision"/>
    <w:hidden/>
    <w:uiPriority w:val="99"/>
    <w:semiHidden/>
    <w:rsid w:val="006A5BF0"/>
    <w:rPr>
      <w:rFonts w:ascii="Times New Roman" w:hAnsi="Times New Roman"/>
      <w:spacing w:val="4"/>
      <w:w w:val="103"/>
      <w:szCs w:val="22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qFormat="1"/>
    <w:lsdException w:name="footer" w:qFormat="1"/>
    <w:lsdException w:name="caption" w:semiHidden="1" w:uiPriority="35" w:unhideWhenUsed="1"/>
    <w:lsdException w:name="line number" w:qFormat="1"/>
    <w:lsdException w:name="Title" w:uiPriority="10"/>
    <w:lsdException w:name="Subtitle" w:uiPriority="11"/>
    <w:lsdException w:name="Strong" w:uiPriority="22"/>
    <w:lsdException w:name="Emphasis" w:uiPriority="20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B145C"/>
    <w:pPr>
      <w:suppressAutoHyphens/>
      <w:spacing w:line="240" w:lineRule="exact"/>
    </w:pPr>
    <w:rPr>
      <w:rFonts w:ascii="Times New Roman" w:hAnsi="Times New Roman"/>
      <w:spacing w:val="4"/>
      <w:w w:val="103"/>
      <w:szCs w:val="22"/>
      <w:lang w:val="es-ES"/>
    </w:rPr>
  </w:style>
  <w:style w:type="paragraph" w:styleId="Heading1">
    <w:name w:val="heading 1"/>
    <w:basedOn w:val="Normal"/>
    <w:next w:val="Normal"/>
    <w:link w:val="Heading1Char"/>
    <w:uiPriority w:val="9"/>
    <w:qFormat/>
    <w:rsid w:val="00BB0959"/>
    <w:pPr>
      <w:keepNext/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61A78"/>
    <w:pPr>
      <w:keepNext/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F61A78"/>
    <w:pPr>
      <w:keepNext/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2E87"/>
    <w:p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2E87"/>
    <w:p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2E87"/>
    <w:p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2E87"/>
    <w:p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2E87"/>
    <w:p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2E87"/>
    <w:p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4">
    <w:name w:val="_ H_4"/>
    <w:basedOn w:val="Normal"/>
    <w:next w:val="Normal"/>
    <w:qFormat/>
    <w:rsid w:val="002B105C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7P">
    <w:name w:val="_ 7_ P"/>
    <w:basedOn w:val="Normal"/>
    <w:next w:val="Normal"/>
    <w:qFormat/>
    <w:rsid w:val="00ED4905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paragraph" w:customStyle="1" w:styleId="H1">
    <w:name w:val="_ H_1"/>
    <w:basedOn w:val="Normal"/>
    <w:next w:val="SingleTxt"/>
    <w:qFormat/>
    <w:rsid w:val="006E296C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SingleTxt"/>
    <w:qFormat/>
    <w:rsid w:val="00E26954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6E296C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6E296C"/>
    <w:pPr>
      <w:spacing w:line="240" w:lineRule="exact"/>
      <w:outlineLvl w:val="1"/>
    </w:pPr>
    <w:rPr>
      <w:spacing w:val="2"/>
      <w:sz w:val="20"/>
    </w:rPr>
  </w:style>
  <w:style w:type="paragraph" w:customStyle="1" w:styleId="H56">
    <w:name w:val="_ H_5/6"/>
    <w:basedOn w:val="Normal"/>
    <w:next w:val="Normal"/>
    <w:qFormat/>
    <w:rsid w:val="0064383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64383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D051A5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6438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D051A5"/>
    <w:pPr>
      <w:ind w:left="1267" w:right="1267"/>
    </w:pPr>
  </w:style>
  <w:style w:type="paragraph" w:customStyle="1" w:styleId="SingleTxt">
    <w:name w:val="__Single Txt"/>
    <w:basedOn w:val="Normal"/>
    <w:qFormat/>
    <w:rsid w:val="00D051A5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  <w:rPr>
      <w:kern w:val="14"/>
    </w:rPr>
  </w:style>
  <w:style w:type="paragraph" w:styleId="BalloonText">
    <w:name w:val="Balloon Text"/>
    <w:basedOn w:val="Normal"/>
    <w:semiHidden/>
    <w:rsid w:val="000A1971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0A1971"/>
    <w:rPr>
      <w:sz w:val="6"/>
    </w:rPr>
  </w:style>
  <w:style w:type="character" w:styleId="FootnoteReference">
    <w:name w:val="footnote reference"/>
    <w:semiHidden/>
    <w:rsid w:val="003B145C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character" w:styleId="EndnoteReference">
    <w:name w:val="endnote reference"/>
    <w:semiHidden/>
    <w:rsid w:val="00276848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rsid w:val="000A1971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0A1971"/>
    <w:pPr>
      <w:spacing w:after="80"/>
    </w:pPr>
  </w:style>
  <w:style w:type="paragraph" w:styleId="Footer">
    <w:name w:val="footer"/>
    <w:qFormat/>
    <w:rsid w:val="000F7375"/>
    <w:pPr>
      <w:tabs>
        <w:tab w:val="center" w:pos="4320"/>
        <w:tab w:val="right" w:pos="8640"/>
      </w:tabs>
    </w:pPr>
    <w:rPr>
      <w:rFonts w:ascii="Times New Roman" w:hAnsi="Times New Roman"/>
      <w:b/>
      <w:noProof/>
      <w:sz w:val="17"/>
      <w:szCs w:val="22"/>
    </w:rPr>
  </w:style>
  <w:style w:type="paragraph" w:styleId="Header">
    <w:name w:val="header"/>
    <w:qFormat/>
    <w:rsid w:val="00BB0959"/>
    <w:pPr>
      <w:tabs>
        <w:tab w:val="center" w:pos="4320"/>
        <w:tab w:val="right" w:pos="8640"/>
      </w:tabs>
    </w:pPr>
    <w:rPr>
      <w:rFonts w:ascii="Times New Roman" w:hAnsi="Times New Roman"/>
      <w:noProof/>
      <w:sz w:val="17"/>
      <w:szCs w:val="22"/>
    </w:rPr>
  </w:style>
  <w:style w:type="character" w:styleId="LineNumber">
    <w:name w:val="line number"/>
    <w:qFormat/>
    <w:rsid w:val="000A1971"/>
    <w:rPr>
      <w:sz w:val="14"/>
    </w:rPr>
  </w:style>
  <w:style w:type="paragraph" w:customStyle="1" w:styleId="Small">
    <w:name w:val="Small"/>
    <w:basedOn w:val="Normal"/>
    <w:next w:val="Normal"/>
    <w:qFormat/>
    <w:rsid w:val="00ED4905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ED4905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ED4905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NormalBullet">
    <w:name w:val="Normal Bullet"/>
    <w:basedOn w:val="Normal"/>
    <w:next w:val="Normal"/>
    <w:qFormat/>
    <w:rsid w:val="0006088E"/>
    <w:pPr>
      <w:keepLines/>
      <w:numPr>
        <w:numId w:val="3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06088E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customStyle="1" w:styleId="HdChapterBdLg">
    <w:name w:val="Hd Chapter Bd Lg"/>
    <w:basedOn w:val="HdChapterBD"/>
    <w:next w:val="Normal"/>
    <w:qFormat/>
    <w:rsid w:val="00BB0959"/>
    <w:rPr>
      <w:spacing w:val="-3"/>
      <w:w w:val="99"/>
      <w:kern w:val="14"/>
      <w:sz w:val="34"/>
      <w:szCs w:val="34"/>
    </w:rPr>
  </w:style>
  <w:style w:type="paragraph" w:customStyle="1" w:styleId="HdChapterLt">
    <w:name w:val="Hd Chapter Lt"/>
    <w:basedOn w:val="Normal"/>
    <w:next w:val="Normal"/>
    <w:qFormat/>
    <w:rsid w:val="00BB0959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BB0959"/>
    <w:pPr>
      <w:spacing w:before="240"/>
    </w:pPr>
    <w:rPr>
      <w:b/>
      <w:spacing w:val="-2"/>
      <w:w w:val="100"/>
    </w:rPr>
  </w:style>
  <w:style w:type="paragraph" w:customStyle="1" w:styleId="HdBanner">
    <w:name w:val="Hd Banner"/>
    <w:basedOn w:val="Normal"/>
    <w:next w:val="Normal"/>
    <w:qFormat/>
    <w:rsid w:val="00BB0959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JournalHeading1">
    <w:name w:val="Journal_Heading1"/>
    <w:basedOn w:val="Normal"/>
    <w:next w:val="Normal"/>
    <w:qFormat/>
    <w:rsid w:val="00F61A78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F61A78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06088E"/>
    <w:pPr>
      <w:keepNext/>
      <w:keepLines/>
      <w:spacing w:before="240"/>
      <w:outlineLvl w:val="3"/>
    </w:pPr>
    <w:rPr>
      <w:i/>
      <w:kern w:val="14"/>
    </w:rPr>
  </w:style>
  <w:style w:type="character" w:customStyle="1" w:styleId="Heading1Char">
    <w:name w:val="Heading 1 Char"/>
    <w:link w:val="Heading1"/>
    <w:uiPriority w:val="9"/>
    <w:rsid w:val="00BB0959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</w:rPr>
  </w:style>
  <w:style w:type="character" w:customStyle="1" w:styleId="Heading2Char">
    <w:name w:val="Heading 2 Char"/>
    <w:link w:val="Heading2"/>
    <w:uiPriority w:val="9"/>
    <w:rsid w:val="00F61A78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F61A78"/>
    <w:rPr>
      <w:rFonts w:ascii="Arial" w:eastAsia="Times New Roman" w:hAnsi="Arial" w:cs="Times New Roman"/>
      <w:b/>
      <w:bCs/>
      <w:spacing w:val="4"/>
      <w:w w:val="103"/>
      <w:kern w:val="14"/>
      <w:sz w:val="26"/>
    </w:rPr>
  </w:style>
  <w:style w:type="character" w:customStyle="1" w:styleId="Heading4Char">
    <w:name w:val="Heading 4 Char"/>
    <w:link w:val="Heading4"/>
    <w:uiPriority w:val="9"/>
    <w:semiHidden/>
    <w:rsid w:val="001C2E87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1C2E87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1C2E87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1C2E87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1C2E87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1C2E87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NoSpacing">
    <w:name w:val="No Spacing"/>
    <w:basedOn w:val="Normal"/>
    <w:uiPriority w:val="1"/>
    <w:rsid w:val="001C2E87"/>
    <w:pPr>
      <w:spacing w:line="240" w:lineRule="auto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1C2E87"/>
    <w:pPr>
      <w:outlineLvl w:val="9"/>
    </w:pPr>
    <w:rPr>
      <w:rFonts w:eastAsiaTheme="majorEastAsia" w:cstheme="majorBidi"/>
      <w:lang w:bidi="en-US"/>
    </w:rPr>
  </w:style>
  <w:style w:type="paragraph" w:styleId="Caption">
    <w:name w:val="caption"/>
    <w:basedOn w:val="Normal"/>
    <w:next w:val="Normal"/>
    <w:uiPriority w:val="35"/>
    <w:semiHidden/>
    <w:unhideWhenUsed/>
    <w:rsid w:val="001C2E87"/>
    <w:pPr>
      <w:spacing w:line="240" w:lineRule="auto"/>
    </w:pPr>
    <w:rPr>
      <w:b/>
      <w:bCs/>
      <w:color w:val="4F81BD"/>
      <w:sz w:val="18"/>
      <w:szCs w:val="18"/>
    </w:rPr>
  </w:style>
  <w:style w:type="paragraph" w:customStyle="1" w:styleId="Distribution">
    <w:name w:val="Distribution"/>
    <w:next w:val="Normal"/>
    <w:autoRedefine/>
    <w:qFormat/>
    <w:rsid w:val="001023C5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Publication">
    <w:name w:val="Publication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Original">
    <w:name w:val="Original"/>
    <w:next w:val="Normal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ReleaseDate">
    <w:name w:val="ReleaseDate"/>
    <w:next w:val="Footer"/>
    <w:autoRedefine/>
    <w:qFormat/>
    <w:rsid w:val="00871928"/>
    <w:rPr>
      <w:rFonts w:ascii="Times New Roman" w:hAnsi="Times New Roman"/>
      <w:spacing w:val="4"/>
      <w:w w:val="103"/>
      <w:szCs w:val="22"/>
      <w:lang w:val="es-ES"/>
    </w:rPr>
  </w:style>
  <w:style w:type="paragraph" w:customStyle="1" w:styleId="Session">
    <w:name w:val="Session"/>
    <w:basedOn w:val="H23"/>
    <w:autoRedefine/>
    <w:qFormat/>
    <w:rsid w:val="00871928"/>
  </w:style>
  <w:style w:type="paragraph" w:customStyle="1" w:styleId="Committee">
    <w:name w:val="Committee"/>
    <w:basedOn w:val="H1"/>
    <w:autoRedefine/>
    <w:qFormat/>
    <w:rsid w:val="00894D50"/>
    <w:pPr>
      <w:ind w:right="1267"/>
    </w:pPr>
  </w:style>
  <w:style w:type="paragraph" w:customStyle="1" w:styleId="AgendaTitle">
    <w:name w:val="Agenda Title"/>
    <w:basedOn w:val="Normal"/>
    <w:next w:val="Normal"/>
    <w:autoRedefine/>
    <w:qFormat/>
    <w:rsid w:val="00894D50"/>
  </w:style>
  <w:style w:type="paragraph" w:customStyle="1" w:styleId="Sponsors">
    <w:name w:val="Sponsors"/>
    <w:basedOn w:val="H23"/>
    <w:autoRedefine/>
    <w:qFormat/>
    <w:rsid w:val="00894D50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  <w:rPr>
      <w:lang w:val="en-US"/>
    </w:rPr>
  </w:style>
  <w:style w:type="paragraph" w:customStyle="1" w:styleId="Title2">
    <w:name w:val="Title 2"/>
    <w:basedOn w:val="H1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5053EA"/>
    <w:pPr>
      <w:tabs>
        <w:tab w:val="right" w:pos="1022"/>
        <w:tab w:val="left" w:pos="1267"/>
      </w:tabs>
      <w:ind w:left="1267" w:right="1267" w:hanging="1267"/>
    </w:pPr>
  </w:style>
  <w:style w:type="paragraph" w:customStyle="1" w:styleId="Bullet1">
    <w:name w:val="Bullet 1"/>
    <w:basedOn w:val="Normal"/>
    <w:qFormat/>
    <w:rsid w:val="004B2460"/>
    <w:pPr>
      <w:numPr>
        <w:numId w:val="4"/>
      </w:numPr>
      <w:spacing w:after="120"/>
      <w:ind w:left="1746" w:right="1264" w:hanging="130"/>
      <w:jc w:val="both"/>
    </w:pPr>
  </w:style>
  <w:style w:type="paragraph" w:customStyle="1" w:styleId="Bullet2">
    <w:name w:val="Bullet 2"/>
    <w:basedOn w:val="Normal"/>
    <w:qFormat/>
    <w:rsid w:val="004B2460"/>
    <w:pPr>
      <w:numPr>
        <w:numId w:val="5"/>
      </w:numPr>
      <w:spacing w:after="120"/>
      <w:ind w:left="2217" w:right="1264" w:hanging="130"/>
      <w:jc w:val="both"/>
    </w:pPr>
  </w:style>
  <w:style w:type="paragraph" w:customStyle="1" w:styleId="Bullet3">
    <w:name w:val="Bullet 3"/>
    <w:basedOn w:val="SingleTxt"/>
    <w:qFormat/>
    <w:rsid w:val="00596BFD"/>
    <w:pPr>
      <w:numPr>
        <w:numId w:val="6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  <w:ind w:left="2693" w:hanging="130"/>
    </w:pPr>
  </w:style>
  <w:style w:type="paragraph" w:styleId="CommentText">
    <w:name w:val="annotation text"/>
    <w:basedOn w:val="Normal"/>
    <w:link w:val="CommentTextChar"/>
    <w:rsid w:val="00D41A7E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rsid w:val="00D41A7E"/>
    <w:rPr>
      <w:rFonts w:ascii="Times New Roman" w:hAnsi="Times New Roman"/>
      <w:spacing w:val="4"/>
      <w:w w:val="103"/>
      <w:lang w:val="es-ES"/>
    </w:rPr>
  </w:style>
  <w:style w:type="paragraph" w:styleId="CommentSubject">
    <w:name w:val="annotation subject"/>
    <w:basedOn w:val="CommentText"/>
    <w:next w:val="CommentText"/>
    <w:link w:val="CommentSubjectChar"/>
    <w:rsid w:val="00D41A7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41A7E"/>
    <w:rPr>
      <w:rFonts w:ascii="Times New Roman" w:hAnsi="Times New Roman"/>
      <w:b/>
      <w:bCs/>
      <w:spacing w:val="4"/>
      <w:w w:val="103"/>
      <w:lang w:val="es-ES"/>
    </w:rPr>
  </w:style>
  <w:style w:type="paragraph" w:styleId="Revision">
    <w:name w:val="Revision"/>
    <w:hidden/>
    <w:uiPriority w:val="99"/>
    <w:semiHidden/>
    <w:rsid w:val="006A5BF0"/>
    <w:rPr>
      <w:rFonts w:ascii="Times New Roman" w:hAnsi="Times New Roman"/>
      <w:spacing w:val="4"/>
      <w:w w:val="103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D3FF95-2C6A-4510-A00C-FFB9361C2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2253</Words>
  <Characters>12846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Spanish Text Processing Unit</vt:lpstr>
    </vt:vector>
  </TitlesOfParts>
  <Company>DCM</Company>
  <LinksUpToDate>false</LinksUpToDate>
  <CharactersWithSpaces>15069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Spanish Text Processing Unit</dc:title>
  <dc:subject/>
  <dc:creator>Bragunde</dc:creator>
  <cp:keywords/>
  <dc:description/>
  <cp:lastModifiedBy>María de la Plaza</cp:lastModifiedBy>
  <cp:revision>3</cp:revision>
  <cp:lastPrinted>2015-10-15T11:08:00Z</cp:lastPrinted>
  <dcterms:created xsi:type="dcterms:W3CDTF">2015-10-15T11:08:00Z</dcterms:created>
  <dcterms:modified xsi:type="dcterms:W3CDTF">2015-10-15T11:09:00Z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1517565</vt:lpwstr>
  </property>
  <property fmtid="{D5CDD505-2E9C-101B-9397-08002B2CF9AE}" pid="3" name="ODSRefJobNo">
    <vt:lpwstr>1523231</vt:lpwstr>
  </property>
  <property fmtid="{D5CDD505-2E9C-101B-9397-08002B2CF9AE}" pid="4" name="Symbol1">
    <vt:lpwstr>A/HRC/RES/30/23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cb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12 de octubre de 2015</vt:lpwstr>
  </property>
  <property fmtid="{D5CDD505-2E9C-101B-9397-08002B2CF9AE}" pid="12" name="Original">
    <vt:lpwstr>inglés</vt:lpwstr>
  </property>
  <property fmtid="{D5CDD505-2E9C-101B-9397-08002B2CF9AE}" pid="13" name="Release Date">
    <vt:lpwstr>151015</vt:lpwstr>
  </property>
</Properties>
</file>