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pStyle w:val="Heading8"/>
              <w:tabs>
                <w:tab w:val="clear" w:pos="7086"/>
              </w:tabs>
            </w:pPr>
            <w:r>
              <w:t>ОРГАНИЗАЦИЯ</w:t>
            </w:r>
          </w:p>
          <w:p w:rsidR="00000000" w:rsidRDefault="00000000">
            <w:pPr>
              <w:pStyle w:val="Heading8"/>
            </w:pPr>
            <w: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lang w:val="en-US"/>
              </w:rPr>
              <w:t>CAT/C/SR.403</w:t>
            </w:r>
            <w:r>
              <w:rPr>
                <w:sz w:val="22"/>
              </w:rPr>
              <w:fldChar w:fldCharType="begin"/>
            </w:r>
            <w:r>
              <w:rPr>
                <w:sz w:val="22"/>
              </w:rPr>
              <w:instrText xml:space="preserve"> FILLIN "Символ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r>
              <w:rPr>
                <w:sz w:val="22"/>
                <w:lang w:val="en-US"/>
              </w:rPr>
              <w:t>19 November 1999</w:t>
            </w:r>
            <w:r>
              <w:rPr>
                <w:sz w:val="22"/>
              </w:rPr>
              <w:fldChar w:fldCharType="begin"/>
            </w:r>
            <w:r>
              <w:rPr>
                <w:sz w:val="22"/>
              </w:rPr>
              <w:instrText xml:space="preserve"> FILLIN "Дата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tabs>
                <w:tab w:val="left" w:pos="0"/>
                <w:tab w:val="left" w:pos="7086"/>
              </w:tabs>
              <w:suppressAutoHyphens/>
              <w:spacing w:line="216" w:lineRule="auto"/>
              <w:ind w:left="29"/>
              <w:rPr>
                <w:sz w:val="22"/>
                <w:lang w:val="en-US"/>
              </w:rPr>
            </w:pPr>
            <w:r>
              <w:rPr>
                <w:sz w:val="22"/>
              </w:rPr>
              <w:t xml:space="preserve">Original:  </w:t>
            </w:r>
            <w:r>
              <w:rPr>
                <w:sz w:val="22"/>
                <w:lang w:val="en-US"/>
              </w:rPr>
              <w:t>ENGLISH</w:t>
            </w:r>
          </w:p>
        </w:tc>
      </w:tr>
    </w:tbl>
    <w:p w:rsidR="00000000" w:rsidRDefault="00000000">
      <w:pPr>
        <w:pStyle w:val="16"/>
        <w:spacing w:line="240" w:lineRule="auto"/>
      </w:pPr>
    </w:p>
    <w:p w:rsidR="00000000" w:rsidRDefault="00000000">
      <w:pPr>
        <w:pStyle w:val="Heading2"/>
        <w:spacing w:line="240" w:lineRule="auto"/>
        <w:jc w:val="center"/>
        <w:rPr>
          <w:u w:val="none"/>
        </w:rPr>
      </w:pPr>
      <w:r>
        <w:rPr>
          <w:u w:val="none"/>
        </w:rPr>
        <w:t>КОМИТЕТ ПРОТИВ ПЫТОК</w:t>
      </w:r>
    </w:p>
    <w:p w:rsidR="00000000" w:rsidRDefault="00000000">
      <w:pPr>
        <w:spacing w:line="240" w:lineRule="auto"/>
      </w:pPr>
    </w:p>
    <w:p w:rsidR="00000000" w:rsidRDefault="00000000">
      <w:pPr>
        <w:spacing w:line="240" w:lineRule="auto"/>
        <w:jc w:val="center"/>
      </w:pPr>
      <w:r>
        <w:t>Двадцать третья сессия</w:t>
      </w:r>
    </w:p>
    <w:p w:rsidR="00000000" w:rsidRDefault="00000000">
      <w:pPr>
        <w:spacing w:line="240" w:lineRule="auto"/>
        <w:jc w:val="center"/>
      </w:pPr>
    </w:p>
    <w:p w:rsidR="00000000" w:rsidRDefault="00000000">
      <w:pPr>
        <w:spacing w:line="240" w:lineRule="auto"/>
        <w:jc w:val="center"/>
      </w:pPr>
      <w:r>
        <w:t>КРАТКИЙ ОТЧЕТ О ПЕРВОЙ (ОТКРЫТОЙ)* ЧАСТИ 403-го ЗАСЕДАНИЯ,</w:t>
      </w:r>
    </w:p>
    <w:p w:rsidR="00000000" w:rsidRDefault="00000000">
      <w:pPr>
        <w:spacing w:line="240" w:lineRule="auto"/>
        <w:jc w:val="center"/>
      </w:pPr>
    </w:p>
    <w:p w:rsidR="00000000" w:rsidRDefault="00000000">
      <w:pPr>
        <w:spacing w:line="240" w:lineRule="auto"/>
        <w:jc w:val="center"/>
      </w:pPr>
      <w:r>
        <w:t>состоявшегося во Дворце Наций в Женеве во вторник,</w:t>
      </w:r>
    </w:p>
    <w:p w:rsidR="00000000" w:rsidRDefault="00000000">
      <w:pPr>
        <w:spacing w:line="240" w:lineRule="auto"/>
        <w:jc w:val="center"/>
      </w:pPr>
      <w:r>
        <w:t>16 ноября 1999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БЁРНС</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 xml:space="preserve">) </w:t>
      </w:r>
    </w:p>
    <w:p w:rsidR="00000000" w:rsidRDefault="00000000">
      <w:pPr>
        <w:spacing w:line="240" w:lineRule="auto"/>
      </w:pPr>
    </w:p>
    <w:p w:rsidR="00000000" w:rsidRDefault="00000000">
      <w:pPr>
        <w:pStyle w:val="FootnoteText"/>
      </w:pPr>
    </w:p>
    <w:p w:rsidR="00000000" w:rsidRDefault="00000000">
      <w:pPr>
        <w:spacing w:line="240" w:lineRule="auto"/>
        <w:rPr>
          <w:lang w:val="en-US"/>
        </w:rPr>
      </w:pPr>
      <w:r>
        <w:tab/>
      </w:r>
      <w:r>
        <w:rPr>
          <w:u w:val="single"/>
        </w:rPr>
        <w:t>Первоначальный доклад Кыргыстана</w:t>
      </w:r>
    </w:p>
    <w:p w:rsidR="00000000" w:rsidRDefault="00000000">
      <w:pPr>
        <w:spacing w:line="240" w:lineRule="auto"/>
      </w:pPr>
    </w:p>
    <w:p w:rsidR="00000000" w:rsidRDefault="00000000">
      <w:pPr>
        <w:spacing w:line="240" w:lineRule="auto"/>
        <w:rPr>
          <w:sz w:val="22"/>
        </w:rPr>
      </w:pPr>
      <w:r>
        <w:rPr>
          <w:sz w:val="22"/>
        </w:rPr>
        <w:t>__________________</w:t>
      </w:r>
    </w:p>
    <w:p w:rsidR="00000000" w:rsidRDefault="00000000">
      <w:pPr>
        <w:spacing w:line="240" w:lineRule="auto"/>
        <w:rPr>
          <w:sz w:val="22"/>
        </w:rPr>
      </w:pPr>
    </w:p>
    <w:p w:rsidR="00000000" w:rsidRDefault="00000000">
      <w:pPr>
        <w:spacing w:line="240" w:lineRule="auto"/>
        <w:rPr>
          <w:sz w:val="22"/>
        </w:rPr>
      </w:pPr>
      <w:r>
        <w:rPr>
          <w:sz w:val="22"/>
        </w:rPr>
        <w:tab/>
        <w:t>*</w:t>
      </w:r>
      <w:r>
        <w:rPr>
          <w:sz w:val="22"/>
        </w:rPr>
        <w:tab/>
        <w:t>Краткий отчет о второй (закрытой) части заседаний издан в качестве документа САТ/С/SR.403/Add.1.</w:t>
      </w:r>
    </w:p>
    <w:p w:rsidR="00000000" w:rsidRDefault="00000000">
      <w:pPr>
        <w:spacing w:line="240" w:lineRule="auto"/>
      </w:pPr>
    </w:p>
    <w:p w:rsidR="00000000" w:rsidRDefault="00000000">
      <w:pPr>
        <w:pStyle w:val="FootnoteText"/>
      </w:pPr>
      <w:r>
        <w:t>__________________</w:t>
      </w:r>
    </w:p>
    <w:p w:rsidR="00000000" w:rsidRDefault="00000000">
      <w:pPr>
        <w:spacing w:line="240" w:lineRule="auto"/>
      </w:pPr>
    </w:p>
    <w:p w:rsidR="00000000" w:rsidRDefault="00000000">
      <w:pPr>
        <w:spacing w:line="240" w:lineRule="auto"/>
        <w:rPr>
          <w:sz w:val="22"/>
        </w:rPr>
      </w:pPr>
      <w:r>
        <w:rPr>
          <w:sz w:val="22"/>
        </w:rPr>
        <w:tab/>
        <w:t>В настоящий отчет могут вноситься поправки.</w:t>
      </w:r>
    </w:p>
    <w:p w:rsidR="00000000" w:rsidRDefault="00000000">
      <w:pPr>
        <w:spacing w:line="240" w:lineRule="auto"/>
        <w:rPr>
          <w:sz w:val="22"/>
        </w:rPr>
      </w:pPr>
    </w:p>
    <w:p w:rsidR="00000000" w:rsidRDefault="00000000">
      <w:pPr>
        <w:spacing w:line="240" w:lineRule="auto"/>
        <w:rPr>
          <w:sz w:val="22"/>
        </w:rPr>
      </w:pPr>
      <w:r>
        <w:rPr>
          <w:sz w:val="22"/>
        </w:rPr>
        <w:tab/>
        <w:t xml:space="preserve">Поправки должны представляться на одном из рабочих языков.  Они должны изложены в пояснительной записке, а также внесены в один из экземпляров отчета.  Поправки следует направлять </w:t>
      </w:r>
      <w:r>
        <w:rPr>
          <w:sz w:val="22"/>
          <w:u w:val="single"/>
        </w:rPr>
        <w:t>в течение одной недели с момента выпуска настоящего документа</w:t>
      </w:r>
      <w:r>
        <w:rPr>
          <w:sz w:val="22"/>
        </w:rPr>
        <w:t xml:space="preserve"> в Секцию редактирования официальных отчетов, комната Е.4108, Дворец Наций, Женева.</w:t>
      </w:r>
    </w:p>
    <w:p w:rsidR="00000000" w:rsidRDefault="00000000">
      <w:pPr>
        <w:spacing w:line="240" w:lineRule="auto"/>
        <w:rPr>
          <w:sz w:val="22"/>
        </w:rPr>
      </w:pPr>
    </w:p>
    <w:p w:rsidR="00000000" w:rsidRDefault="00000000">
      <w:pPr>
        <w:spacing w:line="240" w:lineRule="auto"/>
        <w:rPr>
          <w:sz w:val="22"/>
        </w:rPr>
      </w:pPr>
      <w:r>
        <w:rPr>
          <w:sz w:val="22"/>
        </w:rPr>
        <w:tab/>
        <w:t>Все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0"/>
          <w:tab w:val="left" w:pos="7086"/>
        </w:tabs>
        <w:suppressAutoHyphens/>
        <w:spacing w:line="240" w:lineRule="auto"/>
        <w:rPr>
          <w:sz w:val="22"/>
          <w:lang w:val="en-US"/>
        </w:rPr>
      </w:pPr>
    </w:p>
    <w:p w:rsidR="00000000" w:rsidRDefault="00000000">
      <w:pPr>
        <w:tabs>
          <w:tab w:val="left" w:pos="7086"/>
        </w:tabs>
        <w:suppressAutoHyphens/>
        <w:spacing w:line="240" w:lineRule="auto"/>
        <w:rPr>
          <w:sz w:val="22"/>
          <w:lang w:val="en-US"/>
        </w:rPr>
      </w:pPr>
    </w:p>
    <w:p w:rsidR="00000000" w:rsidRDefault="00000000">
      <w:pPr>
        <w:tabs>
          <w:tab w:val="left" w:pos="0"/>
          <w:tab w:val="left" w:pos="7086"/>
        </w:tabs>
        <w:suppressAutoHyphens/>
        <w:spacing w:line="240" w:lineRule="auto"/>
        <w:rPr>
          <w:sz w:val="22"/>
          <w:lang w:val="en-US"/>
        </w:rPr>
      </w:pPr>
    </w:p>
    <w:p w:rsidR="00000000" w:rsidRDefault="00000000">
      <w:pPr>
        <w:rPr>
          <w:lang w:val="en-US"/>
        </w:rPr>
      </w:pPr>
      <w:r>
        <w:rPr>
          <w:lang w:val="en-US"/>
        </w:rPr>
        <w:t>GE.99-45738   (R)</w:t>
      </w:r>
    </w:p>
    <w:p w:rsidR="00000000" w:rsidRDefault="00000000">
      <w:pPr>
        <w:rPr>
          <w:lang w:val="en-US"/>
        </w:rPr>
      </w:pPr>
    </w:p>
    <w:p w:rsidR="00000000" w:rsidRDefault="00000000">
      <w:pPr>
        <w:jc w:val="center"/>
      </w:pPr>
      <w:r>
        <w:rPr>
          <w:u w:val="single"/>
        </w:rPr>
        <w:t>Заседание открывается в 10 час. 10 мин</w:t>
      </w:r>
      <w:r>
        <w:t>.</w:t>
      </w:r>
    </w:p>
    <w:p w:rsidR="00000000" w:rsidRDefault="00000000">
      <w:pPr>
        <w:pStyle w:val="16"/>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(пункт 4 повестки дня) (</w:t>
      </w:r>
      <w:r>
        <w:rPr>
          <w:u w:val="single"/>
        </w:rPr>
        <w:t>продолжение</w:t>
      </w:r>
      <w:r>
        <w:t xml:space="preserve">) </w:t>
      </w:r>
    </w:p>
    <w:p w:rsidR="00000000" w:rsidRDefault="00000000">
      <w:pPr>
        <w:pStyle w:val="FootnoteText"/>
      </w:pPr>
    </w:p>
    <w:p w:rsidR="00000000" w:rsidRDefault="00000000">
      <w:pPr>
        <w:rPr>
          <w:lang w:val="en-US"/>
        </w:rPr>
      </w:pPr>
      <w:r>
        <w:tab/>
      </w:r>
      <w:r>
        <w:rPr>
          <w:u w:val="single"/>
        </w:rPr>
        <w:t>Рассмотрение первоначального доклада Кыргыстана</w:t>
      </w:r>
      <w:r>
        <w:t xml:space="preserve"> (</w:t>
      </w:r>
      <w:r>
        <w:rPr>
          <w:lang w:val="en-US"/>
        </w:rPr>
        <w:t>CAT/C/42/Add.1)</w:t>
      </w:r>
    </w:p>
    <w:p w:rsidR="00000000" w:rsidRDefault="00000000">
      <w:pPr>
        <w:pStyle w:val="FootnoteText"/>
        <w:spacing w:line="288" w:lineRule="auto"/>
      </w:pPr>
    </w:p>
    <w:p w:rsidR="00000000" w:rsidRDefault="00000000">
      <w:pPr>
        <w:pStyle w:val="FootnoteText"/>
        <w:spacing w:line="288" w:lineRule="auto"/>
      </w:pPr>
      <w:r>
        <w:t>1.</w:t>
      </w:r>
      <w:r>
        <w:tab/>
      </w:r>
      <w:r>
        <w:rPr>
          <w:u w:val="single"/>
        </w:rPr>
        <w:t>По приглашению Председателя делегация Кыргыстана занимает места за столом Комитета</w:t>
      </w:r>
      <w:r>
        <w:t>.</w:t>
      </w:r>
    </w:p>
    <w:p w:rsidR="00000000" w:rsidRDefault="00000000">
      <w:pPr>
        <w:pStyle w:val="FootnoteText"/>
        <w:spacing w:line="288" w:lineRule="auto"/>
      </w:pPr>
    </w:p>
    <w:p w:rsidR="00000000" w:rsidRDefault="00000000">
      <w:pPr>
        <w:pStyle w:val="FootnoteText"/>
        <w:spacing w:line="288" w:lineRule="auto"/>
      </w:pPr>
      <w:r>
        <w:t>2.</w:t>
      </w:r>
      <w:r>
        <w:tab/>
      </w:r>
      <w:r>
        <w:rPr>
          <w:u w:val="single"/>
        </w:rPr>
        <w:t>Г-н ШАРШЕНАЛИЕВ</w:t>
      </w:r>
      <w:r>
        <w:t xml:space="preserve"> (Кыргыстан) говорит, что после обретения независимости в 1991 году его страна незамедлительно ратифицировала Всеобщую декларацию прав человека, что является проявлением первостепенной важности, придаваемой делу обеспечения и защиты прав человека во внутренней и внешней политике.  Его правительству хорошо известно, что успех проводимых им политических и социально-экономических реформ неотделим от демократических реформ и институционального уважения прав человека и основных свобод.  Исторический опыт определенно свидетельствует о том, что систематическое нарушение прав человека неизбежно ведет к социально-политической дестабилизации сначала на национальном, а затем на региональном уровне.</w:t>
      </w:r>
    </w:p>
    <w:p w:rsidR="00000000" w:rsidRDefault="00000000">
      <w:pPr>
        <w:pStyle w:val="FootnoteText"/>
        <w:spacing w:line="288" w:lineRule="auto"/>
      </w:pPr>
    </w:p>
    <w:p w:rsidR="00000000" w:rsidRDefault="00000000">
      <w:pPr>
        <w:pStyle w:val="FootnoteText"/>
        <w:spacing w:line="288" w:lineRule="auto"/>
      </w:pPr>
      <w:r>
        <w:t>3.</w:t>
      </w:r>
      <w:r>
        <w:tab/>
        <w:t>После обретения независимости Кыргыстан подписал и ратифицировал, в частности, шесть основных международных договоров, касающихся гражданских, политических, экономических, социальных и культурных прав.  Особенности внутренней и внешней политики Кыргыстана являются отражением принципа, согласно которому все права человека являются всеобщими, взаимозависимыми и неотделимыми друг от друга.  В Конституцию страны в полной мере включены принципы суверенитета и представительства народа, разделения властей, признания основных прав человека и свобод, а также политического и идеологического плюрализма.  В соответствии с Конституцией Кыргыстана государство гарантирует соблюдение прав и свобод не только в отношении граждан этой страны, но и всех лиц, находящихся или проживающих на территории Республики.  Международные эксперты ни в коей мере не сомневаются в том, что в Кыргыстане создана национальная система защиты прав человека.</w:t>
      </w:r>
    </w:p>
    <w:p w:rsidR="00000000" w:rsidRDefault="00000000">
      <w:pPr>
        <w:pStyle w:val="FootnoteText"/>
        <w:spacing w:line="288" w:lineRule="auto"/>
      </w:pPr>
    </w:p>
    <w:p w:rsidR="00000000" w:rsidRDefault="00000000">
      <w:pPr>
        <w:pStyle w:val="FootnoteText"/>
        <w:spacing w:line="288" w:lineRule="auto"/>
      </w:pPr>
      <w:r>
        <w:t>4.</w:t>
      </w:r>
      <w:r>
        <w:tab/>
        <w:t>По результатам референдума 1998 года в Конституции страны было закреплено неотъемлемое право народа на частную собственность, включая землю, в качестве естественного источника благосостояния и экономической и творческой деятельности, а также в качестве гарантии экономической и личной независимости.  Еще одним результатом референдума стало включение в Конституцию Кыргыстана положений, обеспечивающих бóльшую свободу слова и печати.  Статья 65 содержит четкое запрещение принятия законов, ограничивающих эти свободы.</w:t>
      </w:r>
    </w:p>
    <w:p w:rsidR="00000000" w:rsidRDefault="00000000">
      <w:pPr>
        <w:pStyle w:val="FootnoteText"/>
        <w:spacing w:line="288" w:lineRule="auto"/>
      </w:pPr>
    </w:p>
    <w:p w:rsidR="00000000" w:rsidRDefault="00000000">
      <w:pPr>
        <w:pStyle w:val="FootnoteText"/>
        <w:spacing w:line="288" w:lineRule="auto"/>
      </w:pPr>
      <w:r>
        <w:t>5.</w:t>
      </w:r>
      <w:r>
        <w:tab/>
        <w:t>Меры, принятые по укреплению общего положения в сфере прав человека, были дополнены другими примечательными новшествами.  Во</w:t>
      </w:r>
      <w:r>
        <w:noBreakHyphen/>
        <w:t>первых, президентским указом от 5 июля 1997 года была сформирована Комиссия по правам человека, подотчетная Президенту Кыргызской Республики, в состав которой входят представители жогорку кенеша (парламента), политических партий, а также ряда министерств и ведомств.  В этот же период была создана также Государственная комиссия по делам семьи и женщин, подотчетная правительству Кыргыстана.  Парламент страны ратифицировал Конвенцию о правах ребенка, Конвенцию о ликвидации всех форм дискриминации в отношении женщин, Конвенцию о политических правах женщин, а также Конвенцию о борьбе с торговлей людьми и с эксплуатацией проституции третьими лицами.  В настоящее время осуществляется подготовка к ратификации международных соглашений, касающихся прав национальных меньшинств.  Ключевым элементом национальной стратегии в деле защиты прав человека кыргызских граждан в будущем является существование независимой судебной власти, сформированной в соответствии со статьей 79 Конституции страны.</w:t>
      </w:r>
    </w:p>
    <w:p w:rsidR="00000000" w:rsidRDefault="00000000">
      <w:pPr>
        <w:pStyle w:val="FootnoteText"/>
        <w:spacing w:line="288" w:lineRule="auto"/>
      </w:pPr>
    </w:p>
    <w:p w:rsidR="00000000" w:rsidRDefault="00000000">
      <w:pPr>
        <w:pStyle w:val="FootnoteText"/>
        <w:spacing w:line="288" w:lineRule="auto"/>
      </w:pPr>
      <w:r>
        <w:t>6.</w:t>
      </w:r>
      <w:r>
        <w:tab/>
        <w:t>В соответствии с резолюцией 52/117 Генеральной Ассамблеи Организации Объединенных Наций правительство Кыргыстана сформировало национальный организационный комитет для проведения в Кыргыстане мероприятий в ознаменование 50</w:t>
      </w:r>
      <w:r>
        <w:noBreakHyphen/>
        <w:t> годовщины принятия Всеобщей декларации прав человека.  Деятельность этого комитета включала в себя публикацию документов и отдельных статей, организацию научных конференций, симпозиумов и семинаров, а также издание серии марок, демонстрирующих борьбу за права человека.  Кроме того, был принят закон об амнистии в связи с 7-й годовщиной независимости Кыргызской Республики и 50-й годовщиной принятия Всеобщей декларации.  В 1988 году был объявлен двухлетний мораторий на применение смертной казни в качестве одной из мер, введенных президентским указом в ознаменование вышеупомянутых событий.</w:t>
      </w:r>
    </w:p>
    <w:p w:rsidR="00000000" w:rsidRDefault="00000000">
      <w:pPr>
        <w:pStyle w:val="FootnoteText"/>
        <w:spacing w:line="288" w:lineRule="auto"/>
      </w:pPr>
    </w:p>
    <w:p w:rsidR="00000000" w:rsidRDefault="00000000">
      <w:pPr>
        <w:pStyle w:val="FootnoteText"/>
        <w:spacing w:line="288" w:lineRule="auto"/>
      </w:pPr>
      <w:r>
        <w:t>7.</w:t>
      </w:r>
      <w:r>
        <w:tab/>
        <w:t>Кыргыстан полностью выполняет свои обязательства по договорам о правах человека, к которым он присоединился в рамках Организации Объединенных Наций и Организации по безопасности и сотрудничеству в Европе (ОБСЕ).  Страна твердо следует принципам цивилизованного сосуществования и постоянно работает над подготовкой национальных докладов, подлежащих представлению в соответствии с шестью основными договорами по правам человека, в целях обеспечения последовательности в деле международного контроля за положением в области прав человека в Кыргыстане.  1 357 неправительственных организаций (НПО), в настоящее время существующих в Кыргыстане, играют все более активную роль в укреплении законности и демократических институтов.</w:t>
      </w:r>
    </w:p>
    <w:p w:rsidR="00000000" w:rsidRDefault="00000000">
      <w:pPr>
        <w:pStyle w:val="FootnoteText"/>
        <w:spacing w:line="288" w:lineRule="auto"/>
      </w:pPr>
    </w:p>
    <w:p w:rsidR="00000000" w:rsidRDefault="00000000">
      <w:pPr>
        <w:pStyle w:val="FootnoteText"/>
        <w:spacing w:line="288" w:lineRule="auto"/>
      </w:pPr>
      <w:r>
        <w:t>8.</w:t>
      </w:r>
      <w:r>
        <w:tab/>
        <w:t>В заключение он не может не упомянуть те проблемы, с которыми молодая республика часто сталкивается в вопросах, касающихся защиты и обеспечения прав человека.  Аналогично другим государствам с переходной экономикой Кыргыстан испытывает экономические трудности, которые не дают ему возможности обеспечить полное соблюдение социальных и экономических прав, прежде всего права на труд.  На пути демократических реформ и обеспечения защиты прав человека в Кыргыстане стоят неизменно низкий уровень жизни, безработица, преступность и наличие незаконных мигрантов и беженцев из соседних среднеазиатских стран.  Существующие препятствия социально-экономического характера еще в течение значительного периода времени будут оказывать негативное воздействие на усилия по созданию гражданского общества.</w:t>
      </w:r>
    </w:p>
    <w:p w:rsidR="00000000" w:rsidRDefault="00000000">
      <w:pPr>
        <w:pStyle w:val="FootnoteText"/>
        <w:spacing w:line="288" w:lineRule="auto"/>
      </w:pPr>
    </w:p>
    <w:p w:rsidR="00000000" w:rsidRDefault="00000000">
      <w:pPr>
        <w:pStyle w:val="FootnoteText"/>
        <w:spacing w:line="288" w:lineRule="auto"/>
      </w:pPr>
      <w:r>
        <w:t>9.</w:t>
      </w:r>
      <w:r>
        <w:tab/>
      </w:r>
      <w:r>
        <w:rPr>
          <w:u w:val="single"/>
        </w:rPr>
        <w:t>ПРЕДСЕДАТЕЛЬ</w:t>
      </w:r>
      <w:r>
        <w:t>, выступая в качестве Докладчика по стране, благодарит делегацию за своевременное представление Кыргыстаном первоначального доклада.  Комитет приветствует тот факт, что Кыргыстан не сделал никаких оговорок в связи со статьей 20, и выражает надежду на то, что в ближайшем будущем Кыргыстан обретет достаточную уверенность, чтобы сделать заявления, предусмотренные в статьях 21 и 22.  В своих замечаниях он намерен затронуть некоторые из многочисленных сведений, полученных Комитетом от НПО, а именно:  описание отдельных случаев, представленных Кыргызским советом по правам человека (КСПЧ).</w:t>
      </w:r>
    </w:p>
    <w:p w:rsidR="00000000" w:rsidRDefault="00000000">
      <w:pPr>
        <w:pStyle w:val="FootnoteText"/>
        <w:spacing w:line="288" w:lineRule="auto"/>
      </w:pPr>
    </w:p>
    <w:p w:rsidR="00000000" w:rsidRDefault="00000000">
      <w:pPr>
        <w:pStyle w:val="FootnoteText"/>
        <w:spacing w:line="288" w:lineRule="auto"/>
      </w:pPr>
      <w:r>
        <w:t>10.</w:t>
      </w:r>
      <w:r>
        <w:tab/>
        <w:t>В соответствии с представленной в докладе информацией в Кыргыстане запрещено применение пыток, но Уголовный кодекс не содержит определения преступления пыток.  Если это не так, то он просит делегацию назвать Комитету соответствующее положение и представить действующее определение.  Если же это утверждение верно, то ему хотелось бы знать, каким образом в Кыргыстане то или иное лицо может быть привлечено к ответственности за применение пыток и каким образом делегация может приводить соответствующие статистические данные в отсутствие определения этого преступления, так как это делает их сбор невозможным.</w:t>
      </w:r>
    </w:p>
    <w:p w:rsidR="00000000" w:rsidRDefault="00000000">
      <w:pPr>
        <w:pStyle w:val="FootnoteText"/>
        <w:spacing w:line="288" w:lineRule="auto"/>
      </w:pPr>
    </w:p>
    <w:p w:rsidR="00000000" w:rsidRDefault="00000000">
      <w:pPr>
        <w:pStyle w:val="FootnoteText"/>
        <w:spacing w:line="288" w:lineRule="auto"/>
      </w:pPr>
      <w:r>
        <w:t>11.</w:t>
      </w:r>
      <w:r>
        <w:tab/>
        <w:t>В связи со статьями 1 и 2 Конвенции он констатирует, что согласно статье 16 Конституции Кыргыстана "В Кыргыской Республике признаются и гарантируются основные права и свободы человека в соответствии с общепризнанными принципами и нормами международного права, межгосударственными договорами и соглашениями по вопросам прав человека, ратифицированными Кыргыской Республикой".  Как представляется, такая формулировка создает значительные сложности в тех случаях, когда необходимо четко определить характер основных правя, как в отношении судебного преследования или разбирательства относительно компенсации.  Кроме того, каким образом Кыргыстан включает договоры в национальное законодательство на такой основе?  Из доклада следует, что некоторые ограничения относительно осуществления прав человека и свобод до сих пор считаются конституционно признанными.  Не могла бы делегация привести примеры?  Что касается роли Комиссии по правам человека, то он с удивлением узнал, что в ее состав входят представители министерств и ведомств.  Это вряд ли гарантирует ее независимость.  В большинстве стран такой орган вызывал бы сильные подозрения.  В этой связи ему хотелось бы получить информацию о порядке функционирования этой Комиссии, о ее полномочиях, а также о том, какие министерства представлены в ее составе.  Если ее председатель выступает в роли омбудсмена, то до какой степени его обязанности включают в себя расследование сообщений о нарушениях со стороны правительства, и кому он более подотчетен в этой роли:  парламенту или исполнительной власти?</w:t>
      </w:r>
    </w:p>
    <w:p w:rsidR="00000000" w:rsidRDefault="00000000">
      <w:pPr>
        <w:pStyle w:val="FootnoteText"/>
        <w:spacing w:line="288" w:lineRule="auto"/>
      </w:pPr>
    </w:p>
    <w:p w:rsidR="00000000" w:rsidRDefault="00000000">
      <w:pPr>
        <w:pStyle w:val="FootnoteText"/>
        <w:spacing w:line="288" w:lineRule="auto"/>
      </w:pPr>
      <w:r>
        <w:t>12.</w:t>
      </w:r>
      <w:r>
        <w:tab/>
        <w:t>В пункте 3 статьи 18 Конституции Кыргыстана сказано, что никто не может быть подвергнут аресту и содержанию под стражей "иначе, как на основании закона".  Он спрашивает, что имеется в виду, а также что означает пункт 4, в котором говорится, что смертная казнь может быть назначена "только в исключительных случаях".  Какие могут быть исключительные случаи?  Кроме того, ему стало известно, что в течение двух лет, предшествовавших объявлению действующего в настоящее время моратория, смертной казни было подвергнуто 40 человек.  Какой метод используется для приведения смертного приговора в исполнение?</w:t>
      </w:r>
    </w:p>
    <w:p w:rsidR="00000000" w:rsidRDefault="00000000">
      <w:pPr>
        <w:pStyle w:val="FootnoteText"/>
        <w:spacing w:line="288" w:lineRule="auto"/>
      </w:pPr>
    </w:p>
    <w:p w:rsidR="00000000" w:rsidRDefault="00000000">
      <w:pPr>
        <w:pStyle w:val="FootnoteText"/>
        <w:spacing w:line="288" w:lineRule="auto"/>
      </w:pPr>
      <w:r>
        <w:t>13.</w:t>
      </w:r>
      <w:r>
        <w:tab/>
        <w:t>Хотя Уголовный кодекс не содержит определения преступления пыток, он предполагает наказание за "побои и истязания".  Ему хотелось бы узнать мнение делегации о составе этого преступления.  В докладе сказано, что в статье 21 Уголовного кодекса запрещено использование насилия или силы для получения свидетельских показаний в ходе расследования.  Несмотря на это, НПО представили многочисленные сведения, свидетельствующие о широком распространении принуждения к даче показаний.  Используются ли такие показания, полученные под принуждением, в ходе последующих судебных процессов в отношении обвиняемых?  Как долго лицо может оставаться под стражей в ходе предварительного следствия в отделении милиции, не имея доступа к представителям судебной власти?  Можно ли содержать заключенного без связи с внешним миром, и предоставляется ли ему доступ к адвокату по собственному выбору и/или к медицинским работникам?  С учетом значительного объема информации, представленной НПО относительно жестоких избиений под стражей, в некоторых случаях, приводящих к смерти, ему хотелось бы получить пояснения делегации относительно юридических норм и реальных фактов, касающихся содержания под стражей до судебного процесса.</w:t>
      </w:r>
    </w:p>
    <w:p w:rsidR="00000000" w:rsidRDefault="00000000">
      <w:pPr>
        <w:pStyle w:val="FootnoteText"/>
        <w:spacing w:line="288" w:lineRule="auto"/>
      </w:pPr>
    </w:p>
    <w:p w:rsidR="00000000" w:rsidRDefault="00000000">
      <w:pPr>
        <w:pStyle w:val="FootnoteText"/>
        <w:spacing w:line="288" w:lineRule="auto"/>
      </w:pPr>
      <w:r>
        <w:t>14.</w:t>
      </w:r>
      <w:r>
        <w:tab/>
        <w:t>У него сложилось впечатление, что в рамках действующей системы прокурор по</w:t>
      </w:r>
      <w:r>
        <w:noBreakHyphen/>
        <w:t>прежнему обладает решающим влиянием, как и при прежней советской системе.  Он просит делегацию представить замечания о роли судей в деле обеспечения защиты обвиняемых.  Обладают ли заключенные в Кыргыстане правом хабеас корпус, т.е. существует ли такая процедура, которая обеспечивает рассмотрение дела задержанного обвиняемого судьей, а не прокурором.  В свете утверждения, сделанного делегацией во вступительном слове о том, что в Кыргыстане судебная власть является независимой, ему хотелось бы получить следующую информацию:  кто назначает и смещает судей и назначаются ли они на определенный срок или до достижения определенного возраста.  Не могла бы делегация представить аналогичную информацию в отношении прокуроров?</w:t>
      </w:r>
    </w:p>
    <w:p w:rsidR="00000000" w:rsidRDefault="00000000">
      <w:pPr>
        <w:pStyle w:val="FootnoteText"/>
        <w:spacing w:line="288" w:lineRule="auto"/>
      </w:pPr>
    </w:p>
    <w:p w:rsidR="00000000" w:rsidRDefault="00000000">
      <w:pPr>
        <w:pStyle w:val="FootnoteText"/>
        <w:spacing w:line="288" w:lineRule="auto"/>
      </w:pPr>
      <w:r>
        <w:t>15.</w:t>
      </w:r>
      <w:r>
        <w:tab/>
        <w:t>В докладе указано, что исторически Кыргыстан строго придерживается и по</w:t>
      </w:r>
      <w:r>
        <w:noBreakHyphen/>
        <w:t>прежнему придерживается территориальной юрисдикции.  Как представляется, такое положение необходимо будет пересмотреть в контексте Конвенции против пыток, статьи 5-8 которой определенно накладывают на государства обязательство принять всеобщую юрисдикцию в отношении лиц, применяющих пытки.  Сможет ли Кыргыстан применить всеобщую юрисдикцию в случае прибывающих в эту страну граждан других государств, применявших пытки?  Может ли такое лицо быть подвергнуто судебному преследованию в случае наличия необходимых доказательств и отсутствия просьбы о его экстрадиции?</w:t>
      </w:r>
    </w:p>
    <w:p w:rsidR="00000000" w:rsidRDefault="00000000">
      <w:pPr>
        <w:pStyle w:val="FootnoteText"/>
        <w:spacing w:line="288" w:lineRule="auto"/>
      </w:pPr>
    </w:p>
    <w:p w:rsidR="00000000" w:rsidRDefault="00000000">
      <w:pPr>
        <w:pStyle w:val="FootnoteText"/>
        <w:spacing w:line="288" w:lineRule="auto"/>
      </w:pPr>
      <w:r>
        <w:t>16.</w:t>
      </w:r>
      <w:r>
        <w:tab/>
        <w:t>Что представляет из себя "карцер", упомянутый в пункте 57 на странице 17 первоначального доклада?  Какие методы преподавания используются для подготовки руководства полиции и для повышения осознания важности прав человека общественностью?  Во многих сообщениях НПО упомянуты "сотрудники милиции";  что имеется в виду:  полиция или какие-либо другие подразделения?  Если речь идет о других подразделениях, то какую подготовку получают сотрудники милиции в вопросах прав человека, прежде всего в отношении пыток?  Какую подготовку получают медицинские работники в вопросах обнаружения и выявления последствий применения пыток?  В устном докладе были упомянуты курсы по правам человека в юридических училищах и в двух университетах, но Комитету хотелось бы получить информацию о том, насколько строго проводится подготовка сотрудников полиции на практике;  включены ли в учебную программу вопросы прав человека и обязанностей сотрудников полиции по отношению к гражданам?</w:t>
      </w:r>
    </w:p>
    <w:p w:rsidR="00000000" w:rsidRDefault="00000000">
      <w:pPr>
        <w:pStyle w:val="FootnoteText"/>
        <w:spacing w:line="288" w:lineRule="auto"/>
      </w:pPr>
    </w:p>
    <w:p w:rsidR="00000000" w:rsidRDefault="00000000">
      <w:pPr>
        <w:pStyle w:val="FootnoteText"/>
        <w:spacing w:line="288" w:lineRule="auto"/>
      </w:pPr>
      <w:r>
        <w:t>17.</w:t>
      </w:r>
      <w:r>
        <w:tab/>
        <w:t>Как долго может продолжаться содержание под стражей до суда?  Одна НПО привела случай, когда некое лицо оставалось под стражей без суда в течение шести лет.  Какой защитой пользуется лицо в таких обстоятельствах в плане прекращения его дела или рассмотрения его судом?  Поскольку делегация получила экземпляр альтернативного доклада, подготовленного Кыргыским комитетом по правам человека (октябрь 1999 года), он не будет подробно перечислять все случаи, но отмечает, что во многих из них можно выделить основные вызывающие тревогу черты.  Они особенно ярко отражают атмосферу повседневной жестокости и насилия со стороны милиции в отношении граждан, включая жестокие избиения, целью которых зачастую является лишь демонстрация власти.  Кроме того, согласно утверждениям, сотрудники полиции используют свое служебное положение для извлечения финансовой выгоды.  Помимо этого, в случае регистрации жалоб зачастую результатом этого становится дальнейшее насилие в отношении подавших их лиц.  Он просит делегацию рассмотреть, к сожалению, типичный случай г</w:t>
      </w:r>
      <w:r>
        <w:noBreakHyphen/>
        <w:t>на Скороходова, проблемы которого начались, когда он подал заявление на лицо, укравшее у его жены часы на рынке.  После этого г</w:t>
      </w:r>
      <w:r>
        <w:noBreakHyphen/>
        <w:t>н Скороходов был арестован, против него было выдвинуто обвинение, и он был оштрафован.  Ему были нанесены серьезные телесные повреждения, а когда он подал жалобу на полицейскую жестокость, он подвергся угрозам со стороны милиционеров.  Когда он изложил свою историю в газете, он был привлечен к судебной ответственности, оштрафован и приговорен к шести годам лишения свободы.  Не могла бы делегация сообщить Комитету, отвечают ли эти факты действительности, и в этом случае, какие меры были приняты по исправлению ситуации и обеспечению жертве компенсации.  В соответствии с информацией НПО, милиция и полиция действуют в условиях безнаказанности, и граждане не пользуются никакой судебной защитой.  Как представляется, государство не предпринимает значительных усилий для исправления этой ситуации.  Лица, подающие жалобы, зачастую подвергаются дальнейшим жестокостям.  Эта серьезная проблема, и он хотел бы получить соответствующие замечания со стороны делегации.</w:t>
      </w:r>
    </w:p>
    <w:p w:rsidR="00000000" w:rsidRDefault="00000000">
      <w:pPr>
        <w:pStyle w:val="FootnoteText"/>
        <w:spacing w:line="288" w:lineRule="auto"/>
      </w:pPr>
    </w:p>
    <w:p w:rsidR="00000000" w:rsidRDefault="00000000">
      <w:pPr>
        <w:pStyle w:val="FootnoteText"/>
        <w:spacing w:line="288" w:lineRule="auto"/>
      </w:pPr>
      <w:r>
        <w:t>18.</w:t>
      </w:r>
      <w:r>
        <w:tab/>
        <w:t>Также обеспокоенность вызывается тем, что, хотя существующие законы и правовые структуры в основном удовлетворяют требованиям, на практике они не применяются.  Классической иллюстрацией этого является обязанность органов власти, задерживающих какое-либо лицо, разрешить ему доступ к медицинскому обслуживанию, что, как представляется, на практике осуществляется только в исключительных случаях.  Применительно к пыткам или даже жестокому или унижающему достоинство обращению и наказанию медицинское освидетельствование зачастую имеет решающее значение.  Кроме того, его проведение предоставляет равную защиту сотрудникам полиции и задержанным, поскольку оно может также подтвердить, что в случае ложных заявлений пытки не имели места.  В то же время, если задержанный не имел доступа к врачебной помощи или медицинскому освидетельствованию и смог попасть в больницу только по прошествии шести или семи недель, то в этом случае медицинские работники зачастую не в состоянии утверждать, действительно ли полученные им телесные повреждения связаны с обращением, которому он, по его утверждениям, подвергался.  Поэтому крайне важно обеспечить возможно более оперативный доступ к медицинским работникам.  Кроме того, предполагается, что задержанные обладают доступом к адвокату, который их представляет, но как это положение действует на практике?  Если задержанный обращается с просьбой о предоставлении адвоката в ходе допроса, то приостанавливается ли его введение до прибытия адвоката?  Существуют ли какие-либо положения о правовой помощи.</w:t>
      </w:r>
    </w:p>
    <w:p w:rsidR="00000000" w:rsidRDefault="00000000">
      <w:pPr>
        <w:pStyle w:val="FootnoteText"/>
        <w:spacing w:line="288" w:lineRule="auto"/>
      </w:pPr>
    </w:p>
    <w:p w:rsidR="00000000" w:rsidRDefault="00000000">
      <w:pPr>
        <w:pStyle w:val="FootnoteText"/>
        <w:spacing w:line="288" w:lineRule="auto"/>
      </w:pPr>
      <w:r>
        <w:t>19.</w:t>
      </w:r>
      <w:r>
        <w:tab/>
        <w:t>Генеральный прокурор отметил, что в связи с серьезными структурными изменениями не может существовать абсолютной гарантии соблюдения социальных и экономических прав.  Однако Конвенция против пыток носит даже более фундаментальный характер и касается только двух узких областей гражданских и политических прав, а именно:  физической и психологической безопасности личности.  Эти права не должны зависеть от наличия ресурсов у того или иного государства.  Комитет надеется прежде всего на готовность к соблюдению этих прав и на проявление искреннего стремления добиваться этой цели имеющимися средствами.  Члены Комитета делают замечания относительно собственного видения ситуации, которое зачастую весьма отличается от официальной версии.  Они делают предложения в целях проведения улучшений и налаживают диалог с государством в надежде со временем стать свидетелями изменений в плане структурного устройства, образования и отношения к этим вопросам.  Ранее Кыргыстан располагал очень структурированными институтами, и до некоторой степени это положение сохранилось;  если правительство страны намерено добиваться своих целей, то необходимо будет произвести значительные изменения.  Комитет признает, что в одночасье успеха не добиться.  В то же время он испытывает сильную обеспокоенность в связи с полученными Комитетом утверждениями о многочисленных, если эти утверждения верны, случаях, которые в соответствии с принятым Комитетом определением представляют собой практику пыток.  Он хотел бы услышать комментарии делегации относительно достоверности этой информации и о том, насколько решительно правительство действует по таким утверждениям.</w:t>
      </w:r>
    </w:p>
    <w:p w:rsidR="00000000" w:rsidRDefault="00000000">
      <w:pPr>
        <w:pStyle w:val="FootnoteText"/>
        <w:spacing w:line="288" w:lineRule="auto"/>
      </w:pPr>
    </w:p>
    <w:p w:rsidR="00000000" w:rsidRDefault="00000000">
      <w:pPr>
        <w:pStyle w:val="FootnoteText"/>
        <w:spacing w:line="288" w:lineRule="auto"/>
      </w:pPr>
      <w:r>
        <w:t>20.</w:t>
      </w:r>
      <w:r>
        <w:tab/>
      </w:r>
      <w:r>
        <w:rPr>
          <w:u w:val="single"/>
        </w:rPr>
        <w:t>Г-н ЮЙ Мэнцзя</w:t>
      </w:r>
      <w:r>
        <w:t xml:space="preserve"> (заместитель Докладчика по стране) благодарит главу делегации за его устное выступление.  Из этого выступления и из доклада явствует, что Кыргыстан предпринимает усилия по совершенствованию своего законодательства.  Комитету также известно, что в дополнение к многочисленным непредвиденным проблемам, вызванным процессом радикальной перестройки экономики и реформ, эти усилия затруднены неблагоприятным социальным и экономическим наследием советского режима.  Он поздравляет Кыргыстан с его достижениями, но считает необходимым поднять ряд важных вопросов.  Роль Комитета состоит не в предъявлении обвинений, а в попытке выявления действительных условий в конкретной стране, а также в разработке предложений в целях содействия совершенствованию процесса соблюдения Конвенции.</w:t>
      </w:r>
    </w:p>
    <w:p w:rsidR="00000000" w:rsidRDefault="00000000">
      <w:pPr>
        <w:pStyle w:val="FootnoteText"/>
        <w:spacing w:line="288" w:lineRule="auto"/>
      </w:pPr>
    </w:p>
    <w:p w:rsidR="00000000" w:rsidRDefault="00000000">
      <w:pPr>
        <w:pStyle w:val="FootnoteText"/>
        <w:spacing w:line="288" w:lineRule="auto"/>
      </w:pPr>
      <w:r>
        <w:t>21.</w:t>
      </w:r>
      <w:r>
        <w:tab/>
        <w:t>Статья 12 содержит призыв к проведению "быстрого и беспристрастного расследования" в целях выявления действительных фактов и привлечения к ответственности должностных лиц, нарушающих Конвенцию.  Невозможно переоценить важность обеспечения того, чтобы должностные лица не нарушали Конвенцию, пользуясь безнаказанностью.  В целом он считает, что законодательные положения соответствуют Конвенции, но четыре случая, приведенные в пунктах 81-85, не создают определенного впечатления относительно того, каким образом Кыргыстан старается следовать положениям статьи 12 на практике.  Комитет располагает серьезной информацией и сообщениями о случаях, когда применение пыток привело к нанесению тяжких телесных повреждений и даже к смерти жертв.  Эти случаи более поучительны применительно к данной проблеме;  однако в связи с ее решением не могла бы делегация привести некоторые типичные примеры для иллюстрации того, насколько серьезно Кыргыстан рассматривает свои обязательства по Конвенции.  Насколько серьезное наказание предусмотрено для должностных лиц, признанных виновными в применении пыток?  Если властям становится известно о случаях применения пыток благодаря деятельности НПО или средств массовой информации, то проводится ли расследование таких сообщений автоматически?  Какие судебные органы ответственны за подобное расследование?  Крайне важно создание независимого следственного механизма.  Хотя в Кыргыстане отсутствует четкое определение пыток, не могли бы члены делегации представить какие-либо статистические данные о случаях применения пыток в соответствии с их собственными критериями?  Например, сколько жалоб на применение пыток было подано в течение одного года?  По какому их проценту вынесено наказание или дисциплинарное взыскание?  Сколько из таких заявлений было отклонено в связи с недостатком доказательств, и по скольким из них соответствующие лица были признаны невиновными?</w:t>
      </w:r>
    </w:p>
    <w:p w:rsidR="00000000" w:rsidRDefault="00000000">
      <w:pPr>
        <w:pStyle w:val="FootnoteText"/>
        <w:spacing w:line="288" w:lineRule="auto"/>
      </w:pPr>
    </w:p>
    <w:p w:rsidR="00000000" w:rsidRDefault="00000000">
      <w:pPr>
        <w:pStyle w:val="FootnoteText"/>
        <w:spacing w:line="288" w:lineRule="auto"/>
      </w:pPr>
      <w:r>
        <w:t>22.</w:t>
      </w:r>
      <w:r>
        <w:tab/>
        <w:t>В соответствии со статьей 13 государство-участник должно обеспечить право на предъявление жалобы, а также защиту истца и свидетелей.  Комитет получил сообщения, что представившие жалобы жертвы пыток столкнулись с безразличием или просто были проигнорированы.  Жертвы по</w:t>
      </w:r>
      <w:r>
        <w:noBreakHyphen/>
        <w:t>прежнему подвергаются избиениям или другим методам пыток, а лица, их совершавшие, остаются безнаказанными.  Основная ответственность лежит на властях, которые, как представляется, предают такие правонарушения забвению, а в некоторых случаях даже потворствуют совершающим их лицам, если полученные утверждения соответствуют действительности.  В одном наиболее примечательном случае виновный был действительно отстранен от должности, но назначен на более высокий пост.  Могло ли такое произойти в реальности?  Какие практические меры принимаются властями?  В пункте 86 доклада утверждается, что жертва может обратиться с жалобой "к прокурору непосредственно либо через лицо, производившее дознание, либо через следователя".  Такая система изначально ущербна, поскольку прокурор до некоторой степени несет личную ответственность.  Подача же жалобы тем лицам, которые осуществляли предварительное расследование, имеет еще более сомнительную ценность, поскольку они могут быть именно теми, кто принимал участие в правонарушении.  Необходима разработка независимой процедуры представления жалоб.</w:t>
      </w:r>
    </w:p>
    <w:p w:rsidR="00000000" w:rsidRDefault="00000000">
      <w:pPr>
        <w:pStyle w:val="FootnoteText"/>
        <w:spacing w:line="288" w:lineRule="auto"/>
      </w:pPr>
    </w:p>
    <w:p w:rsidR="00000000" w:rsidRDefault="00000000">
      <w:pPr>
        <w:pStyle w:val="FootnoteText"/>
        <w:spacing w:line="288" w:lineRule="auto"/>
      </w:pPr>
      <w:r>
        <w:t>23.</w:t>
      </w:r>
      <w:r>
        <w:tab/>
        <w:t>Статья 15 запрещает использование пыток для принуждения к даче показаний и закрепляет неприемлемость полученных таким образом доказательств.  Несмотря на это, к сожалению, во всем мире по</w:t>
      </w:r>
      <w:r>
        <w:noBreakHyphen/>
        <w:t>прежнему широко используется сила для получения признаний.  Какова реальная ситуация в Кыргыстане и какие гарантии власти предоставляют в этом отношении?</w:t>
      </w:r>
    </w:p>
    <w:p w:rsidR="00000000" w:rsidRDefault="00000000">
      <w:pPr>
        <w:pStyle w:val="FootnoteText"/>
        <w:spacing w:line="288" w:lineRule="auto"/>
      </w:pPr>
    </w:p>
    <w:p w:rsidR="00000000" w:rsidRDefault="00000000">
      <w:pPr>
        <w:pStyle w:val="FootnoteText"/>
        <w:spacing w:line="288" w:lineRule="auto"/>
      </w:pPr>
      <w:r>
        <w:t>24.</w:t>
      </w:r>
      <w:r>
        <w:tab/>
        <w:t>Какие шаги были сделаны ими непосредственно для защиты уязвимых групп населения, таких, как женщины и дети?  Комитету стало известно, что несовершеннолетних правонарушителей содержат под стражей вместе со взрослыми и что маленькие дети подвергались жестокому обращению и даже пыткам.  Что будет сделано для исправления этого неприемлемого положения?  Комитет также получил сообщения о том, что в тюрьмах существуют крайне неблагоприятные условия содержания, усугубляющиеся их переполненностью.  Такие условия могут привести к распространению заболеваний и к совершению преступлений в тюрьмах.  Каким образом власти решают эту проблему?</w:t>
      </w:r>
    </w:p>
    <w:p w:rsidR="00000000" w:rsidRDefault="00000000">
      <w:pPr>
        <w:pStyle w:val="FootnoteText"/>
        <w:spacing w:line="288" w:lineRule="auto"/>
      </w:pPr>
    </w:p>
    <w:p w:rsidR="00000000" w:rsidRDefault="00000000">
      <w:pPr>
        <w:pStyle w:val="FootnoteText"/>
        <w:spacing w:line="288" w:lineRule="auto"/>
      </w:pPr>
      <w:r>
        <w:t>25.</w:t>
      </w:r>
      <w:r>
        <w:tab/>
        <w:t>Ему известно о трудной и сложной задаче преодоления переходного периода, и он ознакомился с базовым документом (</w:t>
      </w:r>
      <w:r>
        <w:rPr>
          <w:lang w:val="en-US"/>
        </w:rPr>
        <w:t>HRI/CORE/1/Add.100)</w:t>
      </w:r>
      <w:r>
        <w:t>, в котором говорится о резком ухудшении условий существования в обществе, невыплате зарплаты сотрудникам полиции, многомесячных задержках заработной платы и т.д., все из которых являются отрицательными факторами.  Несмотря на это, пытки представляют собой отвратительное явление, позор для всего человечества, а их применение подрывает мораль и доверие общественности;  независимо от существующих обстоятельств они должны вызывать нетерпимое отношение.  Он выражает надежду на то, что Кыргыстан всерьез продолжит искоренение этого предосудительного явления.</w:t>
      </w:r>
    </w:p>
    <w:p w:rsidR="00000000" w:rsidRDefault="00000000">
      <w:pPr>
        <w:pStyle w:val="FootnoteText"/>
        <w:spacing w:line="288" w:lineRule="auto"/>
      </w:pPr>
    </w:p>
    <w:p w:rsidR="00000000" w:rsidRDefault="00000000">
      <w:pPr>
        <w:pStyle w:val="FootnoteText"/>
        <w:spacing w:line="288" w:lineRule="auto"/>
      </w:pPr>
      <w:r>
        <w:t>26.</w:t>
      </w:r>
      <w:r>
        <w:tab/>
      </w:r>
      <w:r>
        <w:rPr>
          <w:u w:val="single"/>
        </w:rPr>
        <w:t>ПРЕДСЕДАТЕЛЬ</w:t>
      </w:r>
      <w:r>
        <w:t>, выступая в качестве члена Комитета, спрашивает, каким образом жертвы пыток получают компенсацию и в какой форме она производится.</w:t>
      </w:r>
    </w:p>
    <w:p w:rsidR="00000000" w:rsidRDefault="00000000">
      <w:pPr>
        <w:pStyle w:val="FootnoteText"/>
        <w:spacing w:line="288" w:lineRule="auto"/>
      </w:pPr>
    </w:p>
    <w:p w:rsidR="00000000" w:rsidRDefault="00000000">
      <w:pPr>
        <w:pStyle w:val="FootnoteText"/>
        <w:spacing w:line="288" w:lineRule="auto"/>
      </w:pPr>
      <w:r>
        <w:t>27.</w:t>
      </w:r>
      <w:r>
        <w:tab/>
      </w:r>
      <w:r>
        <w:rPr>
          <w:u w:val="single"/>
        </w:rPr>
        <w:t>Г-н СОРЕНСЕН</w:t>
      </w:r>
      <w:r>
        <w:t>, отметив, что делегация Кыргыстана упомянула законы об амнистии, спрашивает, каким образом они функционируют и что предусматривают.  Учтен ли в них тот факт, что Конвенция против пыток запрещает безнаказанность даже посредством амнистии?</w:t>
      </w:r>
    </w:p>
    <w:p w:rsidR="00000000" w:rsidRDefault="00000000">
      <w:pPr>
        <w:pStyle w:val="FootnoteText"/>
        <w:spacing w:line="288" w:lineRule="auto"/>
      </w:pPr>
    </w:p>
    <w:p w:rsidR="00000000" w:rsidRDefault="00000000">
      <w:pPr>
        <w:pStyle w:val="FootnoteText"/>
        <w:spacing w:line="288" w:lineRule="auto"/>
      </w:pPr>
      <w:r>
        <w:t>28.</w:t>
      </w:r>
      <w:r>
        <w:tab/>
        <w:t>Он с удовлетворением узнал о том, что в Кыргыстане отмечалась пятидесятая годовщина принятия Всеобщей декларации прав человека.  Он предложил также рассмотреть возможность празднования Международного дня Организации Объединенных Наций в поддержку жертв пыток.  В пункте 91 первоначального доклада сказано, что предоставляется в полном объеме возмещение материального и морального ущерба, причиненного жертвам пыток.  Празднование вышеупомянутого Международного дня позволит Кыргыстану продемонстрировать понимание положения жертв пыток и признание необходимости предоставления им компенсации.</w:t>
      </w:r>
    </w:p>
    <w:p w:rsidR="00000000" w:rsidRDefault="00000000">
      <w:pPr>
        <w:pStyle w:val="FootnoteText"/>
        <w:spacing w:line="288" w:lineRule="auto"/>
      </w:pPr>
    </w:p>
    <w:p w:rsidR="00000000" w:rsidRDefault="00000000">
      <w:pPr>
        <w:pStyle w:val="FootnoteText"/>
        <w:spacing w:line="288" w:lineRule="auto"/>
      </w:pPr>
      <w:r>
        <w:t>29.</w:t>
      </w:r>
      <w:r>
        <w:tab/>
        <w:t>Кыргыстан может также продемонстрировать свою готовность содействовать реабилитации жертв пыток, если внесет символический вклад в Добровольный фонд Организации Объединенных Наций для жертв пыток.</w:t>
      </w:r>
    </w:p>
    <w:p w:rsidR="00000000" w:rsidRDefault="00000000">
      <w:pPr>
        <w:pStyle w:val="FootnoteText"/>
        <w:spacing w:line="288" w:lineRule="auto"/>
      </w:pPr>
    </w:p>
    <w:p w:rsidR="00000000" w:rsidRDefault="00000000">
      <w:pPr>
        <w:pStyle w:val="FootnoteText"/>
        <w:spacing w:line="288" w:lineRule="auto"/>
      </w:pPr>
      <w:r>
        <w:t>30.</w:t>
      </w:r>
      <w:r>
        <w:tab/>
      </w:r>
      <w:r>
        <w:rPr>
          <w:u w:val="single"/>
        </w:rPr>
        <w:t>Г-н МАВРОММАТИС</w:t>
      </w:r>
      <w:r>
        <w:t xml:space="preserve"> говорит, что реальной проверкой того, располагает ли какая</w:t>
      </w:r>
      <w:r>
        <w:noBreakHyphen/>
        <w:t>либо страна соответствующим практическим механизмом, является действительный уровень обеспечения соблюдения прав человека.  В случае Кыргыстана, как представляется, не в полной мере создана даже правовая основа.  Каким образом можно рассматривать многочисленные утверждения о случаях пыток или жестокого обращения, если не разработано их определение, или в законодательстве не выделено отдельное преступление пыток?</w:t>
      </w:r>
    </w:p>
    <w:p w:rsidR="00000000" w:rsidRDefault="00000000">
      <w:pPr>
        <w:pStyle w:val="FootnoteText"/>
        <w:spacing w:line="288" w:lineRule="auto"/>
      </w:pPr>
    </w:p>
    <w:p w:rsidR="00000000" w:rsidRDefault="00000000">
      <w:pPr>
        <w:pStyle w:val="FootnoteText"/>
        <w:spacing w:line="288" w:lineRule="auto"/>
      </w:pPr>
      <w:r>
        <w:t>31.</w:t>
      </w:r>
      <w:r>
        <w:tab/>
        <w:t>Что касается количества конкретных примеров в первоначальном докладе, то он констатирует, что согласно пункту 8, Уголовно-процессуальный кодекс и соответствующие нормативные акты не содержат каких-либо положений, допускающих унижение чести и достоинства задержанных и арестованных.  Он заверяет делегацию Кыргыстана, что ни в одной стране не существует правил, непосредственно допускающих унижение или жесткое обращение.  Комитету же необходимо знать, какие практические меры принимаются для предотвращения такой практики.  Кроме того, в пункте 14 утверждается, что ничто в законодательстве не препятствует ссылаться на положения Конвенции, равно как и на другие действующие международные договоры в судах, тогда как ему хотелось бы знать, какие нормативные акты действительно поощряют граждан ссылаться на Конвенцию.  Например, не могла бы делегация Кыргыстана сообщить о случаях, когда суды цитировали положения Конвенции при оправдании какого-либо лица,  признание которого было получено силой?</w:t>
      </w:r>
    </w:p>
    <w:p w:rsidR="00000000" w:rsidRDefault="00000000">
      <w:pPr>
        <w:pStyle w:val="FootnoteText"/>
        <w:spacing w:line="288" w:lineRule="auto"/>
      </w:pPr>
      <w:r>
        <w:t>32.</w:t>
      </w:r>
      <w:r>
        <w:tab/>
        <w:t>Ему известны трудности, с которыми сталкивается страна, старающаяся преодолеть наследие существовавшего ранее режима угнетения, но он не убежден в том, что правительство Кыргыстана действительно твердо намерено добиваться обеспечения осуществления прав человека и основных свобод;  для предотвращения пыток в Кыргыстане многое еще предстоит сделать.</w:t>
      </w:r>
    </w:p>
    <w:p w:rsidR="00000000" w:rsidRDefault="00000000">
      <w:pPr>
        <w:pStyle w:val="FootnoteText"/>
        <w:spacing w:line="288" w:lineRule="auto"/>
      </w:pPr>
    </w:p>
    <w:p w:rsidR="00000000" w:rsidRDefault="00000000">
      <w:pPr>
        <w:pStyle w:val="FootnoteText"/>
        <w:spacing w:line="288" w:lineRule="auto"/>
      </w:pPr>
      <w:r>
        <w:t>33.</w:t>
      </w:r>
      <w:r>
        <w:tab/>
      </w:r>
      <w:r>
        <w:rPr>
          <w:u w:val="single"/>
        </w:rPr>
        <w:t>Г-н ЯКОВЛЕВ</w:t>
      </w:r>
      <w:r>
        <w:t xml:space="preserve"> говорит, что даже самые благородные заявления не означают автоматически, что цели защиты прав человека и предотвращения пыток достигаются на практике.  Для этого необходим судебный механизм.  Он спрашивает, планирует ли Кыргыстан осуществить реформу Уголовно-процессуального кодекса и сделать его более открытым, что уже реализовано большинством других государств, являющихся правопреемниками Советского Союза.</w:t>
      </w:r>
    </w:p>
    <w:p w:rsidR="00000000" w:rsidRDefault="00000000">
      <w:pPr>
        <w:pStyle w:val="FootnoteText"/>
        <w:spacing w:line="288" w:lineRule="auto"/>
      </w:pPr>
    </w:p>
    <w:p w:rsidR="00000000" w:rsidRDefault="00000000">
      <w:pPr>
        <w:pStyle w:val="FootnoteText"/>
        <w:spacing w:line="288" w:lineRule="auto"/>
      </w:pPr>
      <w:r>
        <w:t>34.</w:t>
      </w:r>
      <w:r>
        <w:tab/>
        <w:t>В закрытой системе прокуратура обладает огромной властью.  Судебный контроль в отношении предварительного расследования крайне важен для обеспечения эффективности, законности и недопустимости дискриминации со стороны прокуратуры.  Типичным для закрытых систем является осуществление арестов без какого-либо контроля со стороны судов, что создает ситуации, в которых личные права не пользуются защитой.  Это верно и в отношении права на обжалование ареста в суде.  Разделение функций прокуратуры и судов совсем не ослабляет систему правосудия, а фактически способствует ее укреплению.  Решение о продлении периода следствия должно приниматься с санкции суда, и должны быть обеспечены правовые гарантии относительно его сроков, поскольку иначе обвиняемые могут оставаться под стражей без судебного разбирательства в течение многих лет.</w:t>
      </w:r>
    </w:p>
    <w:p w:rsidR="00000000" w:rsidRDefault="00000000">
      <w:pPr>
        <w:pStyle w:val="FootnoteText"/>
        <w:spacing w:line="288" w:lineRule="auto"/>
      </w:pPr>
    </w:p>
    <w:p w:rsidR="00000000" w:rsidRDefault="00000000">
      <w:pPr>
        <w:pStyle w:val="FootnoteText"/>
        <w:spacing w:line="288" w:lineRule="auto"/>
      </w:pPr>
      <w:r>
        <w:t>35.</w:t>
      </w:r>
      <w:r>
        <w:tab/>
        <w:t>Другим важнейшим вопросом является участие адвоката в предварительном расследовании.  В Советском Союзе эта система была закрытой для защиты, и адвокаты допускались к работе только после завершения следствия и передачи дела в суд.  Каждому человеку должно быть разрешено получение помощи адвоката сразу же после его ареста.  Задержанные также должны иметь доступ к врачам.  В этом состоят важные гарантии предотвращения злоупотребления властью.  Признания, полученные под принуждением, не должны приниматься в качестве доказательства.  В этом контексте он спрашивает, существует ли какая-либо подготовка персонала для повышения осведомленности о принципах, закрепленных в Конвенции.</w:t>
      </w:r>
    </w:p>
    <w:p w:rsidR="00000000" w:rsidRDefault="00000000">
      <w:pPr>
        <w:pStyle w:val="FootnoteText"/>
        <w:spacing w:line="288" w:lineRule="auto"/>
      </w:pPr>
    </w:p>
    <w:p w:rsidR="00000000" w:rsidRDefault="00000000">
      <w:pPr>
        <w:pStyle w:val="FootnoteText"/>
        <w:spacing w:line="288" w:lineRule="auto"/>
      </w:pPr>
      <w:r>
        <w:t>36.</w:t>
      </w:r>
      <w:r>
        <w:tab/>
      </w:r>
      <w:r>
        <w:rPr>
          <w:u w:val="single"/>
        </w:rPr>
        <w:t>Г-н СИЛВА ЭНРИКИШ ГАШПАР</w:t>
      </w:r>
      <w:r>
        <w:t xml:space="preserve"> говорит, что в соответствии с пунктом 79 органы национальной безопасности имеют право возбуждать и расследовать уголовные дела, отнесенные к их компетенции.  Отличается ли она от компетенции Генеральной прокуратуры, и какие преступления имеются в виду в таком случае?  В развитие вопроса г</w:t>
      </w:r>
      <w:r>
        <w:noBreakHyphen/>
        <w:t>на Юй Мэнцзя он спрашивает, существуют ли специальные законодательные меры для несовершеннолетних и в каком возрасте несовершеннолетние могут нести уголовную ответственность за совершенные деяния и быть подвергнуты лишению свободы.  Ему хотелось бы получить дополнительную информацию об исправительно-трудовой системе.  Какие сроки и какой труд применяются в ее рамках?</w:t>
      </w:r>
    </w:p>
    <w:p w:rsidR="00000000" w:rsidRDefault="00000000">
      <w:pPr>
        <w:pStyle w:val="FootnoteText"/>
        <w:spacing w:line="288" w:lineRule="auto"/>
      </w:pPr>
    </w:p>
    <w:p w:rsidR="00000000" w:rsidRDefault="00000000">
      <w:pPr>
        <w:pStyle w:val="FootnoteText"/>
        <w:spacing w:line="288" w:lineRule="auto"/>
      </w:pPr>
      <w:r>
        <w:t>37.</w:t>
      </w:r>
      <w:r>
        <w:tab/>
      </w:r>
      <w:r>
        <w:rPr>
          <w:u w:val="single"/>
        </w:rPr>
        <w:t>Г-н ЭЛЬ-МАСРИ</w:t>
      </w:r>
      <w:r>
        <w:t>, сославшись на пункт 14, в котором утверждается, что положения Конвенции могут применяться в Республике путем реализации норм законодательства, закрепляющих положения данной Конвенции, спрашивает, существует ли какой-либо механизм для обеспечения того, чтобы на Конвенцию можно было автоматически ссылаться в рамках национальной правовой системы Кыргыстана.</w:t>
      </w:r>
    </w:p>
    <w:p w:rsidR="00000000" w:rsidRDefault="00000000">
      <w:pPr>
        <w:pStyle w:val="FootnoteText"/>
        <w:spacing w:line="288" w:lineRule="auto"/>
      </w:pPr>
    </w:p>
    <w:p w:rsidR="00000000" w:rsidRDefault="00000000">
      <w:pPr>
        <w:pStyle w:val="FootnoteText"/>
        <w:spacing w:line="288" w:lineRule="auto"/>
      </w:pPr>
      <w:r>
        <w:t>38.</w:t>
      </w:r>
      <w:r>
        <w:tab/>
      </w:r>
      <w:r>
        <w:rPr>
          <w:u w:val="single"/>
        </w:rPr>
        <w:t>Г-жа ПОЛАЙНАР-ПАВЧИК</w:t>
      </w:r>
      <w:r>
        <w:t>, отметив, что Кыргыстан по</w:t>
      </w:r>
      <w:r>
        <w:noBreakHyphen/>
        <w:t>прежнему применяет смертную казнь и использует исправительные колонии, хотела бы получить дополнительную информацию о наказаниях, предусмотренных Уголовным кодексом.</w:t>
      </w:r>
    </w:p>
    <w:p w:rsidR="00000000" w:rsidRDefault="00000000">
      <w:pPr>
        <w:pStyle w:val="FootnoteText"/>
        <w:spacing w:line="288" w:lineRule="auto"/>
      </w:pPr>
    </w:p>
    <w:p w:rsidR="00000000" w:rsidRDefault="00000000">
      <w:pPr>
        <w:pStyle w:val="FootnoteText"/>
        <w:spacing w:line="288" w:lineRule="auto"/>
        <w:jc w:val="center"/>
      </w:pPr>
      <w:r>
        <w:rPr>
          <w:u w:val="single"/>
        </w:rPr>
        <w:t>Открытая часть заседания закрывается в 11час. 50 мин</w:t>
      </w:r>
      <w:r>
        <w:t>.</w:t>
      </w:r>
    </w:p>
    <w:p w:rsidR="00000000" w:rsidRDefault="00000000">
      <w:pPr>
        <w:pStyle w:val="FootnoteText"/>
        <w:spacing w:line="288" w:lineRule="auto"/>
        <w:jc w:val="center"/>
      </w:pPr>
    </w:p>
    <w:p w:rsidR="00000000" w:rsidRDefault="00000000">
      <w:pPr>
        <w:pStyle w:val="FootnoteText"/>
        <w:spacing w:line="288" w:lineRule="auto"/>
        <w:jc w:val="center"/>
      </w:pPr>
      <w:r>
        <w:t>-----</w:t>
      </w:r>
    </w:p>
    <w:p w:rsidR="00000000" w:rsidRDefault="00000000">
      <w:pPr>
        <w:pStyle w:val="FootnoteText"/>
        <w:spacing w:line="288" w:lineRule="auto"/>
        <w:jc w:val="center"/>
      </w:pPr>
    </w:p>
    <w:sectPr w:rsidR="00000000">
      <w:headerReference w:type="even" r:id="rId8"/>
      <w:headerReference w:type="default" r:id="rId9"/>
      <w:type w:val="oddPage"/>
      <w:pgSz w:w="11907" w:h="16840" w:code="9"/>
      <w:pgMar w:top="851" w:right="851" w:bottom="1701"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CAT/C/SR.403</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CAT/C/SR.403</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activeWritingStyle w:appName="MSWord" w:lang="ru-RU" w:vendorID="1" w:dllVersion="512" w:checkStyle="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paragraph" w:styleId="Heading8">
    <w:name w:val="heading 8"/>
    <w:basedOn w:val="Normal"/>
    <w:next w:val="Normal"/>
    <w:qFormat/>
    <w:pPr>
      <w:keepNext/>
      <w:tabs>
        <w:tab w:val="left" w:pos="0"/>
        <w:tab w:val="left" w:pos="7086"/>
      </w:tabs>
      <w:suppressAutoHyphens/>
      <w:spacing w:line="216" w:lineRule="auto"/>
      <w:outlineLvl w:val="7"/>
    </w:pPr>
    <w:rPr>
      <w:b/>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4615</Words>
  <Characters>26309</Characters>
  <Application>Microsoft Office Word</Application>
  <DocSecurity>4</DocSecurity>
  <Lines>219</Lines>
  <Paragraphs>52</Paragraphs>
  <ScaleCrop>false</ScaleCrop>
  <HeadingPairs>
    <vt:vector size="2" baseType="variant">
      <vt:variant>
        <vt:lpstr>Title</vt:lpstr>
      </vt:variant>
      <vt:variant>
        <vt:i4>1</vt:i4>
      </vt:variant>
    </vt:vector>
  </HeadingPairs>
  <TitlesOfParts>
    <vt:vector size="1" baseType="lpstr">
      <vt:lpstr>99-45738.doc</vt:lpstr>
    </vt:vector>
  </TitlesOfParts>
  <Company>ONU</Company>
  <LinksUpToDate>false</LinksUpToDate>
  <CharactersWithSpaces>32309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99-45738.doc</dc:title>
  <dc:subject/>
  <dc:creator>TPS</dc:creator>
  <cp:keywords/>
  <dc:description/>
  <cp:lastModifiedBy>odsdba</cp:lastModifiedBy>
  <cp:revision>3</cp:revision>
  <cp:lastPrinted>2002-05-17T07:39:00Z</cp:lastPrinted>
  <dcterms:created xsi:type="dcterms:W3CDTF">2002-03-23T15:28:00Z</dcterms:created>
  <dcterms:modified xsi:type="dcterms:W3CDTF">2002-05-17T07:40:00Z</dcterms:modified>
</cp:coreProperties>
</file>