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3953AA" w:rsidP="00FD0540">
            <w:pPr>
              <w:bidi w:val="0"/>
              <w:spacing w:after="20"/>
              <w:jc w:val="left"/>
              <w:rPr>
                <w:szCs w:val="20"/>
              </w:rPr>
            </w:pPr>
            <w:r w:rsidRPr="003953AA">
              <w:rPr>
                <w:sz w:val="40"/>
                <w:szCs w:val="20"/>
              </w:rPr>
              <w:t>A</w:t>
            </w:r>
            <w:r>
              <w:rPr>
                <w:szCs w:val="20"/>
              </w:rPr>
              <w:t>/HRC/RES/32/32</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FD0540" w:rsidP="00FD0540">
            <w:pPr>
              <w:bidi w:val="0"/>
              <w:spacing w:before="240"/>
              <w:jc w:val="left"/>
              <w:rPr>
                <w:szCs w:val="20"/>
              </w:rPr>
            </w:pPr>
            <w:r>
              <w:rPr>
                <w:szCs w:val="20"/>
              </w:rPr>
              <w:t>Distr.: General</w:t>
            </w:r>
          </w:p>
          <w:p w:rsidR="00FD0540" w:rsidRDefault="00FD0540" w:rsidP="00FD0540">
            <w:pPr>
              <w:bidi w:val="0"/>
              <w:jc w:val="left"/>
              <w:rPr>
                <w:szCs w:val="20"/>
              </w:rPr>
            </w:pPr>
            <w:r>
              <w:rPr>
                <w:szCs w:val="20"/>
              </w:rPr>
              <w:t>18 July 2016</w:t>
            </w:r>
          </w:p>
          <w:p w:rsidR="00FD0540" w:rsidRDefault="00FD0540" w:rsidP="00FD0540">
            <w:pPr>
              <w:bidi w:val="0"/>
              <w:jc w:val="left"/>
              <w:rPr>
                <w:szCs w:val="20"/>
              </w:rPr>
            </w:pPr>
            <w:r>
              <w:rPr>
                <w:szCs w:val="20"/>
              </w:rPr>
              <w:t>Arabic</w:t>
            </w:r>
          </w:p>
          <w:p w:rsidR="00FD0540" w:rsidRPr="003E159A" w:rsidRDefault="00FD0540" w:rsidP="00FD0540">
            <w:pPr>
              <w:bidi w:val="0"/>
              <w:jc w:val="left"/>
              <w:rPr>
                <w:szCs w:val="20"/>
              </w:rPr>
            </w:pPr>
            <w:r>
              <w:rPr>
                <w:szCs w:val="20"/>
              </w:rPr>
              <w:t>Original: English</w:t>
            </w:r>
          </w:p>
        </w:tc>
      </w:tr>
    </w:tbl>
    <w:p w:rsidR="00FD0540" w:rsidRDefault="004A3FF8" w:rsidP="004A3FF8">
      <w:pPr>
        <w:spacing w:before="120" w:line="380" w:lineRule="exact"/>
        <w:rPr>
          <w:b/>
          <w:bCs/>
          <w:sz w:val="36"/>
          <w:szCs w:val="36"/>
          <w:rtl/>
        </w:rPr>
      </w:pPr>
      <w:r w:rsidRPr="00FF01B7">
        <w:rPr>
          <w:rFonts w:hint="cs"/>
          <w:b/>
          <w:bCs/>
          <w:sz w:val="36"/>
          <w:szCs w:val="36"/>
          <w:rtl/>
        </w:rPr>
        <w:t>مجلس حقوق الإنسان</w:t>
      </w:r>
    </w:p>
    <w:p w:rsidR="00FD0540" w:rsidRPr="005B40AB" w:rsidRDefault="00FD0540" w:rsidP="00FD0540">
      <w:pPr>
        <w:spacing w:line="380" w:lineRule="exact"/>
        <w:rPr>
          <w:b/>
          <w:bCs/>
          <w:sz w:val="30"/>
          <w:rtl/>
        </w:rPr>
      </w:pPr>
      <w:r w:rsidRPr="005B40AB">
        <w:rPr>
          <w:b/>
          <w:bCs/>
          <w:sz w:val="30"/>
          <w:rtl/>
        </w:rPr>
        <w:t>الدورة الثانية والثلاثون</w:t>
      </w:r>
    </w:p>
    <w:p w:rsidR="00FD0540" w:rsidRPr="005B40AB" w:rsidRDefault="00FD0540" w:rsidP="00FD0540">
      <w:pPr>
        <w:spacing w:line="380" w:lineRule="exact"/>
        <w:rPr>
          <w:rFonts w:hint="cs"/>
          <w:sz w:val="30"/>
          <w:rtl/>
        </w:rPr>
      </w:pPr>
      <w:r w:rsidRPr="005B40AB">
        <w:rPr>
          <w:sz w:val="30"/>
          <w:rtl/>
        </w:rPr>
        <w:t>البند 3 من جدول الأعمال</w:t>
      </w:r>
    </w:p>
    <w:p w:rsidR="00FD0540" w:rsidRDefault="00FD0540" w:rsidP="00FD0540">
      <w:pPr>
        <w:pStyle w:val="HChGA"/>
      </w:pPr>
      <w:r>
        <w:rPr>
          <w:rFonts w:hint="cs"/>
          <w:rtl/>
        </w:rPr>
        <w:tab/>
      </w:r>
      <w:r>
        <w:rPr>
          <w:rtl/>
        </w:rPr>
        <w:tab/>
        <w:t>قرار</w:t>
      </w:r>
      <w:r>
        <w:rPr>
          <w:rFonts w:hint="cs"/>
          <w:rtl/>
        </w:rPr>
        <w:t xml:space="preserve"> اعتمده مجلس حقوق الإنسان في 1 تموز/ يوليه 2016 </w:t>
      </w:r>
      <w:bookmarkStart w:id="0" w:name="_GoBack"/>
      <w:bookmarkEnd w:id="0"/>
    </w:p>
    <w:p w:rsidR="00FD0540" w:rsidRDefault="00FD0540" w:rsidP="00FD0540">
      <w:pPr>
        <w:pStyle w:val="H1GA"/>
        <w:tabs>
          <w:tab w:val="left" w:pos="2551"/>
        </w:tabs>
        <w:rPr>
          <w:rtl/>
          <w:lang w:eastAsia="ar-SA"/>
        </w:rPr>
      </w:pPr>
      <w:r>
        <w:rPr>
          <w:rFonts w:hint="cs"/>
          <w:rtl/>
          <w:lang w:eastAsia="ar-SA"/>
        </w:rPr>
        <w:tab/>
      </w:r>
      <w:r>
        <w:rPr>
          <w:rFonts w:hint="cs"/>
          <w:rtl/>
          <w:lang w:eastAsia="ar-SA"/>
        </w:rPr>
        <w:tab/>
      </w:r>
      <w:r>
        <w:rPr>
          <w:rtl/>
          <w:lang w:eastAsia="ar-SA"/>
        </w:rPr>
        <w:t>32/</w:t>
      </w:r>
      <w:r>
        <w:rPr>
          <w:rFonts w:hint="cs"/>
          <w:rtl/>
          <w:lang w:eastAsia="ar-SA"/>
        </w:rPr>
        <w:t>32</w:t>
      </w:r>
      <w:r>
        <w:rPr>
          <w:rFonts w:ascii="Traditional Arabic" w:hAnsi="Traditional Arabic" w:hint="cs"/>
          <w:rtl/>
          <w:lang w:eastAsia="ar-SA"/>
        </w:rPr>
        <w:t>-</w:t>
      </w:r>
      <w:r>
        <w:rPr>
          <w:rFonts w:ascii="Traditional Arabic" w:hAnsi="Traditional Arabic"/>
          <w:rtl/>
          <w:lang w:eastAsia="ar-SA"/>
        </w:rPr>
        <w:tab/>
      </w:r>
      <w:r>
        <w:rPr>
          <w:rFonts w:ascii="Traditional Arabic" w:hAnsi="Traditional Arabic" w:hint="cs"/>
          <w:rtl/>
          <w:lang w:eastAsia="ar-SA"/>
        </w:rPr>
        <w:t>الحق</w:t>
      </w:r>
      <w:r>
        <w:rPr>
          <w:rtl/>
          <w:lang w:eastAsia="ar-SA"/>
        </w:rPr>
        <w:t xml:space="preserve"> </w:t>
      </w:r>
      <w:r>
        <w:rPr>
          <w:rFonts w:ascii="Traditional Arabic" w:hAnsi="Traditional Arabic" w:hint="cs"/>
          <w:rtl/>
          <w:lang w:eastAsia="ar-SA"/>
        </w:rPr>
        <w:t>في</w:t>
      </w:r>
      <w:r>
        <w:rPr>
          <w:rtl/>
          <w:lang w:eastAsia="ar-SA"/>
        </w:rPr>
        <w:t xml:space="preserve"> </w:t>
      </w:r>
      <w:r>
        <w:rPr>
          <w:rFonts w:ascii="Traditional Arabic" w:hAnsi="Traditional Arabic" w:hint="cs"/>
          <w:rtl/>
          <w:lang w:eastAsia="ar-SA"/>
        </w:rPr>
        <w:t>حرية</w:t>
      </w:r>
      <w:r>
        <w:rPr>
          <w:rtl/>
          <w:lang w:eastAsia="ar-SA"/>
        </w:rPr>
        <w:t xml:space="preserve"> التجمع السلمي وتكوين الجمعيات</w:t>
      </w:r>
      <w:r>
        <w:rPr>
          <w:rFonts w:cs="Times New Roman" w:hint="cs"/>
          <w:rtl/>
          <w:lang w:eastAsia="ar-SA"/>
        </w:rPr>
        <w:t>‬</w:t>
      </w:r>
      <w:r>
        <w:rPr>
          <w:rFonts w:cs="Times New Roman" w:hint="cs"/>
          <w:rtl/>
          <w:lang w:eastAsia="ar-SA"/>
        </w:rPr>
        <w:t>‬</w:t>
      </w:r>
      <w:r>
        <w:t>‬</w:t>
      </w:r>
      <w:r>
        <w:t>‬</w:t>
      </w:r>
      <w:r>
        <w:t>‬</w:t>
      </w:r>
    </w:p>
    <w:p w:rsidR="00FD0540" w:rsidRPr="00FD0540" w:rsidRDefault="00FD0540" w:rsidP="00FD0540">
      <w:pPr>
        <w:pStyle w:val="SingleTxtGA"/>
        <w:rPr>
          <w:i/>
          <w:iCs/>
          <w:rtl/>
          <w:lang w:eastAsia="ar-SA"/>
        </w:rPr>
      </w:pPr>
      <w:r w:rsidRPr="00FD0540">
        <w:rPr>
          <w:i/>
          <w:iCs/>
          <w:rtl/>
          <w:lang w:eastAsia="ar-SA"/>
        </w:rPr>
        <w:tab/>
        <w:t>إن مجلس حقوق الإنسان،</w:t>
      </w:r>
    </w:p>
    <w:p w:rsidR="00FD0540" w:rsidRPr="00421E93" w:rsidRDefault="00FD0540" w:rsidP="00FD0540">
      <w:pPr>
        <w:pStyle w:val="SingleTxtGA"/>
        <w:rPr>
          <w:rtl/>
          <w:lang w:eastAsia="ar-SA"/>
        </w:rPr>
      </w:pPr>
      <w:r w:rsidRPr="00421E93">
        <w:rPr>
          <w:rtl/>
          <w:lang w:eastAsia="ar-SA"/>
        </w:rPr>
        <w:tab/>
      </w:r>
      <w:r w:rsidRPr="00421E93">
        <w:rPr>
          <w:i/>
          <w:iCs/>
          <w:rtl/>
          <w:lang w:eastAsia="ar-SA"/>
        </w:rPr>
        <w:t>إذ يسترشد</w:t>
      </w:r>
      <w:r w:rsidRPr="00421E93">
        <w:rPr>
          <w:rtl/>
          <w:lang w:eastAsia="ar-SA"/>
        </w:rPr>
        <w:t xml:space="preserve"> بأهداف ميثاق الأمم المتحدة ومبادئه،</w:t>
      </w:r>
    </w:p>
    <w:p w:rsidR="00FD0540" w:rsidRPr="0014089F" w:rsidRDefault="00FD0540" w:rsidP="0014089F">
      <w:pPr>
        <w:pStyle w:val="SingleTxtGA"/>
        <w:rPr>
          <w:rtl/>
          <w:lang w:eastAsia="ar-SA"/>
        </w:rPr>
      </w:pPr>
      <w:r w:rsidRPr="00421E93">
        <w:rPr>
          <w:rtl/>
          <w:lang w:eastAsia="ar-SA"/>
        </w:rPr>
        <w:tab/>
      </w:r>
      <w:dir w:val="rtl">
        <w:r w:rsidRPr="00421E93">
          <w:rPr>
            <w:rFonts w:hint="cs"/>
            <w:i/>
            <w:iCs/>
            <w:rtl/>
            <w:lang w:eastAsia="ar-SA"/>
          </w:rPr>
          <w:t>وإذ</w:t>
        </w:r>
        <w:r w:rsidRPr="00421E93">
          <w:rPr>
            <w:i/>
            <w:iCs/>
            <w:rtl/>
            <w:lang w:eastAsia="ar-SA"/>
          </w:rPr>
          <w:t xml:space="preserve"> </w:t>
        </w:r>
        <w:r w:rsidRPr="00421E93">
          <w:rPr>
            <w:rFonts w:hint="cs"/>
            <w:i/>
            <w:iCs/>
            <w:rtl/>
            <w:lang w:eastAsia="ar-SA"/>
          </w:rPr>
          <w:t>يشير</w:t>
        </w:r>
        <w:r w:rsidRPr="00421E93">
          <w:rPr>
            <w:rtl/>
            <w:lang w:eastAsia="ar-SA"/>
          </w:rPr>
          <w:t xml:space="preserve"> </w:t>
        </w:r>
        <w:r w:rsidRPr="00421E93">
          <w:rPr>
            <w:rFonts w:hint="cs"/>
            <w:rtl/>
            <w:lang w:eastAsia="ar-SA"/>
          </w:rPr>
          <w:t>إلى</w:t>
        </w:r>
        <w:r w:rsidRPr="00421E93">
          <w:rPr>
            <w:rtl/>
            <w:lang w:eastAsia="ar-SA"/>
          </w:rPr>
          <w:t xml:space="preserve"> </w:t>
        </w:r>
        <w:r w:rsidRPr="00421E93">
          <w:rPr>
            <w:rFonts w:hint="cs"/>
            <w:rtl/>
            <w:lang w:eastAsia="ar-SA"/>
          </w:rPr>
          <w:t>الإعلان</w:t>
        </w:r>
        <w:r w:rsidRPr="00421E93">
          <w:rPr>
            <w:rtl/>
            <w:lang w:eastAsia="ar-SA"/>
          </w:rPr>
          <w:t xml:space="preserve"> </w:t>
        </w:r>
        <w:r w:rsidRPr="00421E93">
          <w:rPr>
            <w:rFonts w:hint="cs"/>
            <w:rtl/>
            <w:lang w:eastAsia="ar-SA"/>
          </w:rPr>
          <w:t>العالمي</w:t>
        </w:r>
        <w:r w:rsidRPr="00421E93">
          <w:rPr>
            <w:rtl/>
            <w:lang w:eastAsia="ar-SA"/>
          </w:rPr>
          <w:t xml:space="preserve"> </w:t>
        </w:r>
        <w:r w:rsidRPr="00421E93">
          <w:rPr>
            <w:rFonts w:hint="cs"/>
            <w:rtl/>
            <w:lang w:eastAsia="ar-SA"/>
          </w:rPr>
          <w:t>لحقوق</w:t>
        </w:r>
        <w:r w:rsidRPr="00421E93">
          <w:rPr>
            <w:rtl/>
            <w:lang w:eastAsia="ar-SA"/>
          </w:rPr>
          <w:t xml:space="preserve"> </w:t>
        </w:r>
        <w:r w:rsidRPr="00421E93">
          <w:rPr>
            <w:rFonts w:hint="cs"/>
            <w:rtl/>
            <w:lang w:eastAsia="ar-SA"/>
          </w:rPr>
          <w:t>الإنسان،</w:t>
        </w:r>
        <w:r w:rsidRPr="00421E93">
          <w:rPr>
            <w:rtl/>
            <w:lang w:eastAsia="ar-SA"/>
          </w:rPr>
          <w:t xml:space="preserve"> </w:t>
        </w:r>
        <w:r w:rsidRPr="00421E93">
          <w:rPr>
            <w:rFonts w:hint="cs"/>
            <w:rtl/>
            <w:lang w:eastAsia="ar-SA"/>
          </w:rPr>
          <w:t>والعهد</w:t>
        </w:r>
        <w:r w:rsidRPr="00421E93">
          <w:rPr>
            <w:rtl/>
            <w:lang w:eastAsia="ar-SA"/>
          </w:rPr>
          <w:t xml:space="preserve"> </w:t>
        </w:r>
        <w:r w:rsidRPr="00421E93">
          <w:rPr>
            <w:rFonts w:hint="cs"/>
            <w:rtl/>
            <w:lang w:eastAsia="ar-SA"/>
          </w:rPr>
          <w:t>الدولي</w:t>
        </w:r>
        <w:r w:rsidRPr="00421E93">
          <w:rPr>
            <w:rtl/>
            <w:lang w:eastAsia="ar-SA"/>
          </w:rPr>
          <w:t xml:space="preserve"> </w:t>
        </w:r>
        <w:r w:rsidRPr="00421E93">
          <w:rPr>
            <w:rFonts w:hint="cs"/>
            <w:rtl/>
            <w:lang w:eastAsia="ar-SA"/>
          </w:rPr>
          <w:t>الخاص</w:t>
        </w:r>
        <w:r w:rsidRPr="00421E93">
          <w:rPr>
            <w:rtl/>
            <w:lang w:eastAsia="ar-SA"/>
          </w:rPr>
          <w:t xml:space="preserve"> </w:t>
        </w:r>
        <w:r w:rsidRPr="00421E93">
          <w:rPr>
            <w:rFonts w:hint="cs"/>
            <w:rtl/>
            <w:lang w:eastAsia="ar-SA"/>
          </w:rPr>
          <w:t>بالحقوق</w:t>
        </w:r>
        <w:r w:rsidRPr="00421E93">
          <w:rPr>
            <w:rtl/>
            <w:lang w:eastAsia="ar-SA"/>
          </w:rPr>
          <w:t xml:space="preserve"> </w:t>
        </w:r>
        <w:r w:rsidRPr="00421E93">
          <w:rPr>
            <w:rFonts w:hint="cs"/>
            <w:rtl/>
            <w:lang w:eastAsia="ar-SA"/>
          </w:rPr>
          <w:t>المدنية</w:t>
        </w:r>
        <w:r w:rsidRPr="00421E93">
          <w:rPr>
            <w:rtl/>
            <w:lang w:eastAsia="ar-SA"/>
          </w:rPr>
          <w:t xml:space="preserve"> </w:t>
        </w:r>
        <w:r w:rsidRPr="00421E93">
          <w:rPr>
            <w:rFonts w:hint="cs"/>
            <w:rtl/>
            <w:lang w:eastAsia="ar-SA"/>
          </w:rPr>
          <w:t>والسياسية،</w:t>
        </w:r>
        <w:r w:rsidRPr="00421E93">
          <w:rPr>
            <w:rtl/>
            <w:lang w:eastAsia="ar-SA"/>
          </w:rPr>
          <w:t xml:space="preserve"> </w:t>
        </w:r>
        <w:r w:rsidRPr="00421E93">
          <w:rPr>
            <w:rFonts w:hint="cs"/>
            <w:rtl/>
            <w:lang w:eastAsia="ar-SA"/>
          </w:rPr>
          <w:t>والعهد</w:t>
        </w:r>
        <w:r w:rsidRPr="00421E93">
          <w:rPr>
            <w:rtl/>
            <w:lang w:eastAsia="ar-SA"/>
          </w:rPr>
          <w:t xml:space="preserve"> </w:t>
        </w:r>
        <w:r w:rsidRPr="00421E93">
          <w:rPr>
            <w:rFonts w:hint="cs"/>
            <w:rtl/>
            <w:lang w:eastAsia="ar-SA"/>
          </w:rPr>
          <w:t>الدولي</w:t>
        </w:r>
        <w:r w:rsidRPr="00421E93">
          <w:rPr>
            <w:rtl/>
            <w:lang w:eastAsia="ar-SA"/>
          </w:rPr>
          <w:t xml:space="preserve"> </w:t>
        </w:r>
        <w:r w:rsidRPr="00421E93">
          <w:rPr>
            <w:rFonts w:hint="cs"/>
            <w:rtl/>
            <w:lang w:eastAsia="ar-SA"/>
          </w:rPr>
          <w:t>الخاص</w:t>
        </w:r>
        <w:r w:rsidRPr="00421E93">
          <w:rPr>
            <w:rtl/>
            <w:lang w:eastAsia="ar-SA"/>
          </w:rPr>
          <w:t xml:space="preserve"> </w:t>
        </w:r>
        <w:r w:rsidRPr="00421E93">
          <w:rPr>
            <w:rFonts w:hint="cs"/>
            <w:rtl/>
            <w:lang w:eastAsia="ar-SA"/>
          </w:rPr>
          <w:t>بالحقوق</w:t>
        </w:r>
        <w:r w:rsidRPr="00421E93">
          <w:rPr>
            <w:rtl/>
            <w:lang w:eastAsia="ar-SA"/>
          </w:rPr>
          <w:t xml:space="preserve"> </w:t>
        </w:r>
        <w:r w:rsidRPr="00421E93">
          <w:rPr>
            <w:rFonts w:hint="cs"/>
            <w:rtl/>
            <w:lang w:eastAsia="ar-SA"/>
          </w:rPr>
          <w:t>الاقتصادية</w:t>
        </w:r>
        <w:r w:rsidRPr="00421E93">
          <w:rPr>
            <w:rtl/>
            <w:lang w:eastAsia="ar-SA"/>
          </w:rPr>
          <w:t xml:space="preserve"> </w:t>
        </w:r>
        <w:r w:rsidRPr="00421E93">
          <w:rPr>
            <w:rFonts w:hint="cs"/>
            <w:rtl/>
            <w:lang w:eastAsia="ar-SA"/>
          </w:rPr>
          <w:t>والاجتماعية</w:t>
        </w:r>
        <w:r w:rsidRPr="00421E93">
          <w:rPr>
            <w:rtl/>
            <w:lang w:eastAsia="ar-SA"/>
          </w:rPr>
          <w:t xml:space="preserve"> </w:t>
        </w:r>
        <w:r w:rsidRPr="00421E93">
          <w:rPr>
            <w:rFonts w:hint="cs"/>
            <w:rtl/>
            <w:lang w:eastAsia="ar-SA"/>
          </w:rPr>
          <w:t>والثقافية،</w:t>
        </w:r>
        <w:r w:rsidRPr="00421E93">
          <w:rPr>
            <w:rtl/>
            <w:lang w:eastAsia="ar-SA"/>
          </w:rPr>
          <w:t xml:space="preserve"> </w:t>
        </w:r>
        <w:r w:rsidRPr="00421E93">
          <w:rPr>
            <w:rFonts w:hint="cs"/>
            <w:rtl/>
            <w:lang w:eastAsia="ar-SA"/>
          </w:rPr>
          <w:t>وغير</w:t>
        </w:r>
        <w:r w:rsidRPr="00421E93">
          <w:rPr>
            <w:rtl/>
            <w:lang w:eastAsia="ar-SA"/>
          </w:rPr>
          <w:t xml:space="preserve"> </w:t>
        </w:r>
        <w:r w:rsidRPr="00421E93">
          <w:rPr>
            <w:rFonts w:hint="cs"/>
            <w:rtl/>
            <w:lang w:eastAsia="ar-SA"/>
          </w:rPr>
          <w:t>ذلك</w:t>
        </w:r>
        <w:r w:rsidRPr="00421E93">
          <w:rPr>
            <w:rtl/>
            <w:lang w:eastAsia="ar-SA"/>
          </w:rPr>
          <w:t xml:space="preserve"> </w:t>
        </w:r>
        <w:r w:rsidRPr="00421E93">
          <w:rPr>
            <w:rFonts w:hint="cs"/>
            <w:rtl/>
            <w:lang w:eastAsia="ar-SA"/>
          </w:rPr>
          <w:t>من</w:t>
        </w:r>
        <w:r w:rsidRPr="00421E93">
          <w:rPr>
            <w:rtl/>
            <w:lang w:eastAsia="ar-SA"/>
          </w:rPr>
          <w:t xml:space="preserve"> </w:t>
        </w:r>
        <w:r w:rsidRPr="00421E93">
          <w:rPr>
            <w:rFonts w:hint="cs"/>
            <w:rtl/>
            <w:lang w:eastAsia="ar-SA"/>
          </w:rPr>
          <w:t>صكوك</w:t>
        </w:r>
        <w:r w:rsidRPr="00421E93">
          <w:rPr>
            <w:rtl/>
            <w:lang w:eastAsia="ar-SA"/>
          </w:rPr>
          <w:t xml:space="preserve"> </w:t>
        </w:r>
        <w:r w:rsidRPr="00421E93">
          <w:rPr>
            <w:rFonts w:hint="cs"/>
            <w:rtl/>
            <w:lang w:eastAsia="ar-SA"/>
          </w:rPr>
          <w:t>حقوق</w:t>
        </w:r>
        <w:r w:rsidRPr="00421E93">
          <w:rPr>
            <w:rtl/>
            <w:lang w:eastAsia="ar-SA"/>
          </w:rPr>
          <w:t xml:space="preserve"> </w:t>
        </w:r>
        <w:r w:rsidRPr="00421E93">
          <w:rPr>
            <w:rFonts w:hint="cs"/>
            <w:rtl/>
            <w:lang w:eastAsia="ar-SA"/>
          </w:rPr>
          <w:t>الإنسان</w:t>
        </w:r>
        <w:r w:rsidRPr="00421E93">
          <w:rPr>
            <w:rtl/>
            <w:lang w:eastAsia="ar-SA"/>
          </w:rPr>
          <w:t xml:space="preserve"> </w:t>
        </w:r>
        <w:r w:rsidRPr="00421E93">
          <w:rPr>
            <w:rFonts w:hint="cs"/>
            <w:rtl/>
            <w:lang w:eastAsia="ar-SA"/>
          </w:rPr>
          <w:t>ذات</w:t>
        </w:r>
        <w:r w:rsidRPr="00421E93">
          <w:rPr>
            <w:rtl/>
            <w:lang w:eastAsia="ar-SA"/>
          </w:rPr>
          <w:t xml:space="preserve"> </w:t>
        </w:r>
        <w:r w:rsidRPr="00421E93">
          <w:rPr>
            <w:rFonts w:hint="cs"/>
            <w:rtl/>
            <w:lang w:eastAsia="ar-SA"/>
          </w:rPr>
          <w:t>الصلة،</w:t>
        </w:r>
        <w:r w:rsidR="0014089F">
          <w:rPr>
            <w:rFonts w:hint="cs"/>
            <w:rtl/>
            <w:lang w:eastAsia="ar-SA"/>
          </w:rPr>
          <w:t xml:space="preserve"> </w:t>
        </w:r>
        <w:r w:rsidR="00556526">
          <w:t>‬</w:t>
        </w:r>
        <w:r w:rsidR="001A3623">
          <w:t>‬</w:t>
        </w:r>
      </w:dir>
    </w:p>
    <w:p w:rsidR="00FD0540" w:rsidRPr="00421E93" w:rsidRDefault="00FD0540" w:rsidP="00FD0540">
      <w:pPr>
        <w:pStyle w:val="SingleTxtGA"/>
        <w:spacing w:line="370" w:lineRule="exact"/>
        <w:rPr>
          <w:spacing w:val="-7"/>
          <w:rtl/>
          <w:lang w:eastAsia="ar-SA"/>
        </w:rPr>
      </w:pPr>
      <w:r w:rsidRPr="00421E93">
        <w:rPr>
          <w:rFonts w:hint="cs"/>
          <w:spacing w:val="-7"/>
          <w:rtl/>
          <w:lang w:eastAsia="ar-SA"/>
        </w:rPr>
        <w:tab/>
      </w:r>
      <w:r w:rsidRPr="00421E93">
        <w:rPr>
          <w:i/>
          <w:iCs/>
          <w:spacing w:val="-7"/>
          <w:rtl/>
          <w:lang w:eastAsia="ar-SA"/>
        </w:rPr>
        <w:t>وإذ يؤكد من جديد</w:t>
      </w:r>
      <w:r w:rsidRPr="00421E93">
        <w:rPr>
          <w:spacing w:val="-7"/>
          <w:rtl/>
          <w:lang w:eastAsia="ar-SA"/>
        </w:rPr>
        <w:t xml:space="preserve"> قرارات مجلس حقوق الإنسان 15/21 المؤرخ 30 أيلول/سبتمبر</w:t>
      </w:r>
      <w:r w:rsidRPr="00421E93">
        <w:rPr>
          <w:rFonts w:hint="cs"/>
          <w:spacing w:val="-7"/>
          <w:rtl/>
          <w:lang w:eastAsia="ar-SA"/>
        </w:rPr>
        <w:t xml:space="preserve"> </w:t>
      </w:r>
      <w:r w:rsidRPr="00421E93">
        <w:rPr>
          <w:spacing w:val="-7"/>
          <w:rtl/>
          <w:lang w:eastAsia="ar-SA"/>
        </w:rPr>
        <w:t>2010 و21/16 المؤرخ 27 أيلول/سبتمبر 2012 و24/5 المؤرخ 26 أيلول/سبتمبر</w:t>
      </w:r>
      <w:r w:rsidRPr="00421E93">
        <w:rPr>
          <w:rFonts w:hint="cs"/>
          <w:spacing w:val="-7"/>
          <w:rtl/>
          <w:lang w:eastAsia="ar-SA"/>
        </w:rPr>
        <w:t xml:space="preserve"> </w:t>
      </w:r>
      <w:r w:rsidRPr="00421E93">
        <w:rPr>
          <w:spacing w:val="-7"/>
          <w:rtl/>
          <w:lang w:eastAsia="ar-SA"/>
        </w:rPr>
        <w:t>2013، وإذ يشير إلى قرارات المجلس 22/10 المؤرخ 21 آذار/مارس 2013، و25/38 المؤرخ 28 آذار/مارس 2014 و26/13 المؤرخ 26 حزيران/يونيه 2014، والقرارات ذات الصلة الصادرة عن لجنة حقوق الإنسان،</w:t>
      </w:r>
      <w:r w:rsidR="0014089F">
        <w:rPr>
          <w:rFonts w:hint="cs"/>
          <w:spacing w:val="-7"/>
          <w:rtl/>
          <w:lang w:eastAsia="ar-SA"/>
        </w:rPr>
        <w:t xml:space="preserve"> </w:t>
      </w:r>
    </w:p>
    <w:p w:rsidR="00FD0540" w:rsidRPr="0014089F" w:rsidRDefault="00FD0540" w:rsidP="00FD0540">
      <w:pPr>
        <w:pStyle w:val="SingleTxtGA"/>
        <w:rPr>
          <w:rtl/>
          <w:lang w:eastAsia="ar-SA"/>
        </w:rPr>
      </w:pPr>
      <w:r w:rsidRPr="0014089F">
        <w:rPr>
          <w:rFonts w:hint="cs"/>
          <w:rtl/>
          <w:lang w:eastAsia="ar-SA"/>
        </w:rPr>
        <w:tab/>
      </w:r>
      <w:dir w:val="rtl">
        <w:r w:rsidRPr="0014089F">
          <w:rPr>
            <w:rFonts w:hint="cs"/>
            <w:i/>
            <w:iCs/>
            <w:rtl/>
            <w:lang w:eastAsia="ar-SA"/>
          </w:rPr>
          <w:t>وإذ</w:t>
        </w:r>
        <w:r w:rsidRPr="0014089F">
          <w:rPr>
            <w:i/>
            <w:iCs/>
            <w:rtl/>
            <w:lang w:eastAsia="ar-SA"/>
          </w:rPr>
          <w:t xml:space="preserve"> </w:t>
        </w:r>
        <w:r w:rsidRPr="0014089F">
          <w:rPr>
            <w:rFonts w:hint="cs"/>
            <w:i/>
            <w:iCs/>
            <w:rtl/>
            <w:lang w:eastAsia="ar-SA"/>
          </w:rPr>
          <w:t>يشير</w:t>
        </w:r>
        <w:r w:rsidRPr="0014089F">
          <w:rPr>
            <w:rtl/>
            <w:lang w:eastAsia="ar-SA"/>
          </w:rPr>
          <w:t xml:space="preserve"> </w:t>
        </w:r>
        <w:r w:rsidRPr="0014089F">
          <w:rPr>
            <w:rFonts w:ascii="Traditional Arabic" w:hAnsi="Traditional Arabic" w:hint="cs"/>
            <w:rtl/>
            <w:lang w:eastAsia="ar-SA"/>
          </w:rPr>
          <w:t>إلى</w:t>
        </w:r>
        <w:r w:rsidRPr="0014089F">
          <w:rPr>
            <w:rtl/>
            <w:lang w:eastAsia="ar-SA"/>
          </w:rPr>
          <w:t xml:space="preserve"> </w:t>
        </w:r>
        <w:r w:rsidRPr="0014089F">
          <w:rPr>
            <w:rFonts w:ascii="Traditional Arabic" w:hAnsi="Traditional Arabic" w:hint="cs"/>
            <w:rtl/>
            <w:lang w:eastAsia="ar-SA"/>
          </w:rPr>
          <w:t>قراري</w:t>
        </w:r>
        <w:r w:rsidRPr="0014089F">
          <w:rPr>
            <w:rtl/>
            <w:lang w:eastAsia="ar-SA"/>
          </w:rPr>
          <w:t xml:space="preserve"> </w:t>
        </w:r>
        <w:r w:rsidRPr="0014089F">
          <w:rPr>
            <w:rFonts w:ascii="Traditional Arabic" w:hAnsi="Traditional Arabic" w:hint="cs"/>
            <w:rtl/>
            <w:lang w:eastAsia="ar-SA"/>
          </w:rPr>
          <w:t>مجلس</w:t>
        </w:r>
        <w:r w:rsidRPr="0014089F">
          <w:rPr>
            <w:rtl/>
            <w:lang w:eastAsia="ar-SA"/>
          </w:rPr>
          <w:t xml:space="preserve"> </w:t>
        </w:r>
        <w:r w:rsidRPr="0014089F">
          <w:rPr>
            <w:rFonts w:ascii="Traditional Arabic" w:hAnsi="Traditional Arabic" w:hint="cs"/>
            <w:rtl/>
            <w:lang w:eastAsia="ar-SA"/>
          </w:rPr>
          <w:t>حقوق</w:t>
        </w:r>
        <w:r w:rsidRPr="0014089F">
          <w:rPr>
            <w:rtl/>
            <w:lang w:eastAsia="ar-SA"/>
          </w:rPr>
          <w:t xml:space="preserve"> </w:t>
        </w:r>
        <w:r w:rsidRPr="0014089F">
          <w:rPr>
            <w:rFonts w:ascii="Traditional Arabic" w:hAnsi="Traditional Arabic" w:hint="cs"/>
            <w:rtl/>
            <w:lang w:eastAsia="ar-SA"/>
          </w:rPr>
          <w:t>الإنسان</w:t>
        </w:r>
        <w:r w:rsidRPr="0014089F">
          <w:rPr>
            <w:rtl/>
            <w:lang w:eastAsia="ar-SA"/>
          </w:rPr>
          <w:t xml:space="preserve"> 5/1 </w:t>
        </w:r>
        <w:r w:rsidRPr="0014089F">
          <w:rPr>
            <w:rFonts w:ascii="Traditional Arabic" w:hAnsi="Traditional Arabic" w:hint="cs"/>
            <w:rtl/>
            <w:lang w:eastAsia="ar-SA"/>
          </w:rPr>
          <w:t>بشأن بناء مؤسسات مجلس حقوق الإنسان و</w:t>
        </w:r>
        <w:r w:rsidRPr="0014089F">
          <w:rPr>
            <w:rtl/>
            <w:lang w:eastAsia="ar-SA"/>
          </w:rPr>
          <w:t xml:space="preserve">5/2 </w:t>
        </w:r>
        <w:r w:rsidRPr="0014089F">
          <w:rPr>
            <w:rFonts w:ascii="Traditional Arabic" w:hAnsi="Traditional Arabic" w:hint="cs"/>
            <w:rtl/>
            <w:lang w:eastAsia="ar-SA"/>
          </w:rPr>
          <w:t xml:space="preserve">بشأن </w:t>
        </w:r>
        <w:r w:rsidRPr="0014089F">
          <w:rPr>
            <w:rFonts w:hint="cs"/>
            <w:rtl/>
          </w:rPr>
          <w:t>مدونة قواعد السلوك للمكلفين بولايات في إطار</w:t>
        </w:r>
        <w:r w:rsidRPr="0014089F">
          <w:rPr>
            <w:rFonts w:ascii="Traditional Arabic" w:hAnsi="Traditional Arabic" w:hint="cs"/>
            <w:rtl/>
            <w:lang w:eastAsia="ar-SA"/>
          </w:rPr>
          <w:t xml:space="preserve"> </w:t>
        </w:r>
        <w:r w:rsidRPr="0014089F">
          <w:rPr>
            <w:rFonts w:hint="cs"/>
            <w:rtl/>
          </w:rPr>
          <w:t>الإجراءات الخاصة لمجلس حقوق الإنسان</w:t>
        </w:r>
        <w:r w:rsidRPr="0014089F">
          <w:rPr>
            <w:rFonts w:ascii="Traditional Arabic" w:hAnsi="Traditional Arabic" w:hint="cs"/>
            <w:rtl/>
            <w:lang w:eastAsia="ar-SA"/>
          </w:rPr>
          <w:t xml:space="preserve"> المؤرخين</w:t>
        </w:r>
        <w:r w:rsidRPr="0014089F">
          <w:rPr>
            <w:rtl/>
            <w:lang w:eastAsia="ar-SA"/>
          </w:rPr>
          <w:t xml:space="preserve"> 18 </w:t>
        </w:r>
        <w:r w:rsidRPr="0014089F">
          <w:rPr>
            <w:rFonts w:ascii="Traditional Arabic" w:hAnsi="Traditional Arabic" w:hint="cs"/>
            <w:rtl/>
            <w:lang w:eastAsia="ar-SA"/>
          </w:rPr>
          <w:t>حزيران</w:t>
        </w:r>
        <w:r w:rsidRPr="0014089F">
          <w:rPr>
            <w:rtl/>
            <w:lang w:eastAsia="ar-SA"/>
          </w:rPr>
          <w:t>/</w:t>
        </w:r>
        <w:r w:rsidRPr="0014089F">
          <w:rPr>
            <w:rFonts w:ascii="Traditional Arabic" w:hAnsi="Traditional Arabic" w:hint="cs"/>
            <w:rtl/>
            <w:lang w:eastAsia="ar-SA"/>
          </w:rPr>
          <w:t>يونيه</w:t>
        </w:r>
        <w:r w:rsidRPr="0014089F">
          <w:rPr>
            <w:rtl/>
            <w:lang w:eastAsia="ar-SA"/>
          </w:rPr>
          <w:t xml:space="preserve"> 2007</w:t>
        </w:r>
        <w:r w:rsidRPr="0014089F">
          <w:rPr>
            <w:rFonts w:ascii="Traditional Arabic" w:hAnsi="Traditional Arabic" w:hint="cs"/>
            <w:rtl/>
            <w:lang w:eastAsia="ar-SA"/>
          </w:rPr>
          <w:t>،</w:t>
        </w:r>
        <w:r w:rsidRPr="0014089F">
          <w:rPr>
            <w:rFonts w:cs="Times New Roman" w:hint="cs"/>
            <w:rtl/>
            <w:lang w:eastAsia="ar-SA"/>
          </w:rPr>
          <w:t>‬</w:t>
        </w:r>
        <w:r w:rsidRPr="0014089F">
          <w:rPr>
            <w:rFonts w:cs="Times New Roman" w:hint="cs"/>
            <w:rtl/>
            <w:lang w:eastAsia="ar-SA"/>
          </w:rPr>
          <w:t>‬</w:t>
        </w:r>
        <w:r w:rsidRPr="0014089F">
          <w:t>‬</w:t>
        </w:r>
        <w:r w:rsidRPr="0014089F">
          <w:t>‬</w:t>
        </w:r>
        <w:r w:rsidRPr="0014089F">
          <w:t>‬</w:t>
        </w:r>
        <w:r w:rsidR="0014089F">
          <w:rPr>
            <w:rFonts w:hint="cs"/>
            <w:rtl/>
            <w:lang w:eastAsia="ar-SA"/>
          </w:rPr>
          <w:t xml:space="preserve"> </w:t>
        </w:r>
        <w:r w:rsidR="00556526">
          <w:t>‬</w:t>
        </w:r>
        <w:r w:rsidR="001A3623">
          <w:t>‬</w:t>
        </w:r>
      </w:dir>
    </w:p>
    <w:p w:rsidR="00FD0540" w:rsidRPr="00421E93" w:rsidRDefault="00FD0540" w:rsidP="00FD0540">
      <w:pPr>
        <w:pStyle w:val="SingleTxtGA"/>
        <w:rPr>
          <w:rtl/>
          <w:lang w:eastAsia="ar-SA"/>
        </w:rPr>
      </w:pPr>
      <w:r w:rsidRPr="00421E93">
        <w:rPr>
          <w:rtl/>
          <w:lang w:eastAsia="ar-SA"/>
        </w:rPr>
        <w:tab/>
      </w:r>
      <w:r w:rsidRPr="00421E93">
        <w:rPr>
          <w:i/>
          <w:iCs/>
          <w:rtl/>
          <w:lang w:eastAsia="ar-SA"/>
        </w:rPr>
        <w:t>وإذ يسلّم</w:t>
      </w:r>
      <w:r w:rsidRPr="00421E93">
        <w:rPr>
          <w:rtl/>
          <w:lang w:eastAsia="ar-SA"/>
        </w:rPr>
        <w:t xml:space="preserve"> بأن الممارسة الفعلية للحق في حرية التجمع السلمي وتكوين الجمعيات، المكرّسة في العهد الدولي الخاص بالحقوق المدنية والسياسية والإعلان العالمي لحقوق الإنسان، جوهريةٌ للتمتع بسائر حقوق الإنسان والحريات، ودعامةٌ أساسية لإقامة مجتمع ديمقراطي ولتعزيز الديمقراطية، وإذ يضع في اعتباره أن حقوق الإنسان جميعها عالمية وغير قابلة للتجزئة ومترابطة ومتشابكة،</w:t>
      </w:r>
    </w:p>
    <w:p w:rsidR="00FD0540" w:rsidRPr="00421E93" w:rsidRDefault="00FD0540" w:rsidP="00FD0540">
      <w:pPr>
        <w:pStyle w:val="SingleTxtGA"/>
        <w:rPr>
          <w:rtl/>
          <w:lang w:eastAsia="ar-SA"/>
        </w:rPr>
      </w:pPr>
      <w:r w:rsidRPr="00421E93">
        <w:rPr>
          <w:rtl/>
          <w:lang w:eastAsia="ar-SA"/>
        </w:rPr>
        <w:lastRenderedPageBreak/>
        <w:tab/>
      </w:r>
      <w:r w:rsidRPr="00421E93">
        <w:rPr>
          <w:i/>
          <w:iCs/>
          <w:rtl/>
          <w:lang w:eastAsia="ar-SA"/>
        </w:rPr>
        <w:t>وإذ يدرك</w:t>
      </w:r>
      <w:r w:rsidRPr="00421E93">
        <w:rPr>
          <w:rtl/>
          <w:lang w:eastAsia="ar-SA"/>
        </w:rPr>
        <w:t xml:space="preserve"> الأهمية البالغة لمشاركة المجتمع المدني بنشاط في عمليات الإدارة التي تؤثر في حياة الناس،</w:t>
      </w:r>
    </w:p>
    <w:p w:rsidR="00FD0540" w:rsidRPr="00421E93" w:rsidRDefault="00FD0540" w:rsidP="00FD0540">
      <w:pPr>
        <w:pStyle w:val="SingleTxtGA"/>
        <w:rPr>
          <w:rtl/>
          <w:lang w:eastAsia="ar-SA"/>
        </w:rPr>
      </w:pPr>
      <w:r w:rsidRPr="00421E93">
        <w:rPr>
          <w:rtl/>
          <w:lang w:eastAsia="ar-SA"/>
        </w:rPr>
        <w:tab/>
      </w:r>
      <w:r w:rsidRPr="00421E93">
        <w:rPr>
          <w:i/>
          <w:iCs/>
          <w:rtl/>
          <w:lang w:eastAsia="ar-SA"/>
        </w:rPr>
        <w:t>وإذ يحيط علماً</w:t>
      </w:r>
      <w:r w:rsidRPr="00421E93">
        <w:rPr>
          <w:rtl/>
          <w:lang w:eastAsia="ar-SA"/>
        </w:rPr>
        <w:t xml:space="preserve"> بتقرير المقرر الخاص المعني بالحق في حرية التجمع السلمي وتكوين الجمعيات المقدم إلى مجلس حقوق الإنسان في دورته الثانية والثلاثين</w:t>
      </w:r>
      <w:r w:rsidRPr="00421E93">
        <w:rPr>
          <w:vertAlign w:val="superscript"/>
          <w:rtl/>
          <w:lang w:eastAsia="ar-SA"/>
        </w:rPr>
        <w:t>(</w:t>
      </w:r>
      <w:r w:rsidRPr="00421E93">
        <w:rPr>
          <w:rStyle w:val="FootnoteReference"/>
          <w:rtl/>
          <w:lang w:eastAsia="ar-SA"/>
        </w:rPr>
        <w:footnoteReference w:id="1"/>
      </w:r>
      <w:r w:rsidRPr="00421E93">
        <w:rPr>
          <w:vertAlign w:val="superscript"/>
          <w:rtl/>
          <w:lang w:eastAsia="ar-SA"/>
        </w:rPr>
        <w:t>)</w:t>
      </w:r>
      <w:r w:rsidRPr="00421E93">
        <w:rPr>
          <w:rtl/>
          <w:lang w:eastAsia="ar-SA"/>
        </w:rPr>
        <w:t>،</w:t>
      </w:r>
      <w:r w:rsidRPr="00421E93">
        <w:rPr>
          <w:rFonts w:cs="Times New Roman" w:hint="cs"/>
          <w:rtl/>
          <w:lang w:eastAsia="ar-SA"/>
        </w:rPr>
        <w:t>‬</w:t>
      </w:r>
      <w:r w:rsidRPr="00421E93">
        <w:rPr>
          <w:rtl/>
          <w:lang w:eastAsia="ar-SA"/>
        </w:rPr>
        <w:t xml:space="preserve"> </w:t>
      </w:r>
    </w:p>
    <w:p w:rsidR="00FD0540" w:rsidRPr="00421E93" w:rsidRDefault="00FD0540" w:rsidP="00FD0540">
      <w:pPr>
        <w:pStyle w:val="SingleTxtGA"/>
        <w:rPr>
          <w:rtl/>
          <w:lang w:eastAsia="ar-SA"/>
        </w:rPr>
      </w:pPr>
      <w:r w:rsidRPr="00421E93">
        <w:rPr>
          <w:rtl/>
          <w:lang w:eastAsia="ar-SA"/>
        </w:rPr>
        <w:tab/>
      </w:r>
      <w:r w:rsidRPr="00421E93">
        <w:rPr>
          <w:i/>
          <w:iCs/>
          <w:rtl/>
          <w:lang w:eastAsia="ar-SA"/>
        </w:rPr>
        <w:t>وإذ يقر</w:t>
      </w:r>
      <w:r w:rsidRPr="00421E93">
        <w:rPr>
          <w:rtl/>
          <w:lang w:eastAsia="ar-SA"/>
        </w:rPr>
        <w:t xml:space="preserve"> بأن الرابطات المهنية </w:t>
      </w:r>
      <w:r>
        <w:rPr>
          <w:rFonts w:hint="cs"/>
          <w:rtl/>
          <w:lang w:eastAsia="ar-SA"/>
        </w:rPr>
        <w:t xml:space="preserve">هي إحدى تجليات </w:t>
      </w:r>
      <w:r w:rsidRPr="00421E93">
        <w:rPr>
          <w:rtl/>
          <w:lang w:eastAsia="ar-SA"/>
        </w:rPr>
        <w:t xml:space="preserve">الحق في حرية تكوين الجمعيات، </w:t>
      </w:r>
    </w:p>
    <w:p w:rsidR="00FD0540" w:rsidRPr="00421E93" w:rsidRDefault="00FD0540" w:rsidP="00FD0540">
      <w:pPr>
        <w:pStyle w:val="SingleTxtGA"/>
        <w:rPr>
          <w:rtl/>
          <w:lang w:eastAsia="ar-SA"/>
        </w:rPr>
      </w:pPr>
      <w:r w:rsidRPr="00421E93">
        <w:rPr>
          <w:rFonts w:hint="cs"/>
          <w:rtl/>
          <w:lang w:eastAsia="ar-SA"/>
        </w:rPr>
        <w:tab/>
      </w:r>
      <w:r w:rsidRPr="00421E93">
        <w:rPr>
          <w:rtl/>
          <w:lang w:eastAsia="ar-SA"/>
        </w:rPr>
        <w:t>١-</w:t>
      </w:r>
      <w:r w:rsidRPr="00421E93">
        <w:rPr>
          <w:rFonts w:hint="cs"/>
          <w:rtl/>
          <w:lang w:eastAsia="ar-SA"/>
        </w:rPr>
        <w:tab/>
      </w:r>
      <w:r w:rsidRPr="00421E93">
        <w:rPr>
          <w:i/>
          <w:iCs/>
          <w:rtl/>
          <w:lang w:eastAsia="ar-SA"/>
        </w:rPr>
        <w:t>يقرر</w:t>
      </w:r>
      <w:r w:rsidRPr="00421E93">
        <w:rPr>
          <w:rtl/>
          <w:lang w:eastAsia="ar-SA"/>
        </w:rPr>
        <w:t xml:space="preserve"> تمديد ولاية المقرر الخاص المعني بالحق في حرية التجمع السلمي وتكوين الجمعيات، على النحو الذي أُنشئت به في قرار مجلس حقوق الإنسان 15/21، لمدة ثلاث سنوات؛</w:t>
      </w:r>
    </w:p>
    <w:p w:rsidR="00FD0540" w:rsidRPr="00421E93" w:rsidRDefault="00FD0540" w:rsidP="00FD0540">
      <w:pPr>
        <w:pStyle w:val="SingleTxtGA"/>
        <w:rPr>
          <w:rtl/>
          <w:lang w:eastAsia="ar-SA"/>
        </w:rPr>
      </w:pPr>
      <w:r w:rsidRPr="00421E93">
        <w:rPr>
          <w:rFonts w:hint="cs"/>
          <w:rtl/>
          <w:lang w:eastAsia="ar-SA"/>
        </w:rPr>
        <w:tab/>
      </w:r>
      <w:r w:rsidRPr="00421E93">
        <w:rPr>
          <w:rtl/>
          <w:lang w:eastAsia="ar-SA"/>
        </w:rPr>
        <w:t>٢-</w:t>
      </w:r>
      <w:r w:rsidRPr="00421E93">
        <w:rPr>
          <w:rFonts w:hint="cs"/>
          <w:rtl/>
          <w:lang w:eastAsia="ar-SA"/>
        </w:rPr>
        <w:tab/>
      </w:r>
      <w:r w:rsidRPr="00421E93">
        <w:rPr>
          <w:i/>
          <w:iCs/>
          <w:rtl/>
          <w:lang w:eastAsia="ar-SA"/>
        </w:rPr>
        <w:t>يهيب</w:t>
      </w:r>
      <w:r w:rsidRPr="00421E93">
        <w:rPr>
          <w:rtl/>
          <w:lang w:eastAsia="ar-SA"/>
        </w:rPr>
        <w:t xml:space="preserve"> بجميع الدول أن تستمر في التعاون الكامل مع المقرِّر الخاص وأن تساعده على الاضطلاع بالولاية المكلف بها، وأن تستجيب فوراً لما يوجِّهه من نداءاتٍ عاجلة وغيرها من بلاغات، وأن تتجاوب مع ما يقدِّمه من طلبات الزيارات؛</w:t>
      </w:r>
    </w:p>
    <w:p w:rsidR="00FD0540" w:rsidRPr="00421E93" w:rsidRDefault="00FD0540" w:rsidP="00FD0540">
      <w:pPr>
        <w:pStyle w:val="SingleTxtGA"/>
        <w:rPr>
          <w:rtl/>
          <w:lang w:eastAsia="ar-SA"/>
        </w:rPr>
      </w:pPr>
      <w:r w:rsidRPr="00421E93">
        <w:rPr>
          <w:rFonts w:hint="cs"/>
          <w:rtl/>
          <w:lang w:eastAsia="ar-SA"/>
        </w:rPr>
        <w:tab/>
      </w:r>
      <w:r w:rsidRPr="00421E93">
        <w:rPr>
          <w:rtl/>
          <w:lang w:eastAsia="ar-SA"/>
        </w:rPr>
        <w:t>٣-</w:t>
      </w:r>
      <w:r w:rsidRPr="00421E93">
        <w:rPr>
          <w:rFonts w:hint="cs"/>
          <w:rtl/>
          <w:lang w:eastAsia="ar-SA"/>
        </w:rPr>
        <w:tab/>
      </w:r>
      <w:r w:rsidRPr="00421E93">
        <w:rPr>
          <w:i/>
          <w:iCs/>
          <w:rtl/>
          <w:lang w:eastAsia="ar-SA"/>
        </w:rPr>
        <w:t>يطلب</w:t>
      </w:r>
      <w:r w:rsidRPr="00421E93">
        <w:rPr>
          <w:rtl/>
          <w:lang w:eastAsia="ar-SA"/>
        </w:rPr>
        <w:t xml:space="preserve"> إلى المقرر الخاص أن يواصل تقديم تقارير سنوية إلى مجلس حقوق الإنسان وإلى الجمعية العامة؛</w:t>
      </w:r>
      <w:r w:rsidRPr="00421E93">
        <w:rPr>
          <w:rFonts w:cs="Times New Roman" w:hint="cs"/>
          <w:rtl/>
          <w:lang w:eastAsia="ar-SA"/>
        </w:rPr>
        <w:t>‬</w:t>
      </w:r>
    </w:p>
    <w:p w:rsidR="00FD0540" w:rsidRPr="00421E93" w:rsidRDefault="00FD0540" w:rsidP="00556526">
      <w:pPr>
        <w:pStyle w:val="SingleTxtGA"/>
        <w:rPr>
          <w:rtl/>
          <w:lang w:eastAsia="ar-SA"/>
        </w:rPr>
      </w:pPr>
      <w:r w:rsidRPr="00421E93">
        <w:rPr>
          <w:rFonts w:hint="cs"/>
          <w:rtl/>
          <w:lang w:eastAsia="ar-SA"/>
        </w:rPr>
        <w:tab/>
      </w:r>
      <w:r>
        <w:rPr>
          <w:rFonts w:hint="cs"/>
          <w:rtl/>
          <w:lang w:eastAsia="ar-SA"/>
        </w:rPr>
        <w:t>4</w:t>
      </w:r>
      <w:r w:rsidRPr="00421E93">
        <w:rPr>
          <w:rtl/>
          <w:lang w:eastAsia="ar-SA"/>
        </w:rPr>
        <w:t>-</w:t>
      </w:r>
      <w:r w:rsidRPr="00421E93">
        <w:rPr>
          <w:rFonts w:hint="cs"/>
          <w:rtl/>
          <w:lang w:eastAsia="ar-SA"/>
        </w:rPr>
        <w:tab/>
      </w:r>
      <w:r w:rsidRPr="00421E93">
        <w:rPr>
          <w:i/>
          <w:iCs/>
          <w:rtl/>
          <w:lang w:eastAsia="ar-SA"/>
        </w:rPr>
        <w:t>يدعو</w:t>
      </w:r>
      <w:r w:rsidRPr="00421E93">
        <w:rPr>
          <w:rtl/>
          <w:lang w:eastAsia="ar-SA"/>
        </w:rPr>
        <w:t xml:space="preserve"> المقرر الخاص إلى النظر في </w:t>
      </w:r>
      <w:r>
        <w:rPr>
          <w:rFonts w:hint="cs"/>
          <w:rtl/>
          <w:lang w:eastAsia="ar-SA"/>
        </w:rPr>
        <w:t xml:space="preserve">تناول </w:t>
      </w:r>
      <w:r w:rsidRPr="00421E93">
        <w:rPr>
          <w:rtl/>
          <w:lang w:eastAsia="ar-SA"/>
        </w:rPr>
        <w:t xml:space="preserve">موضوع الرابطات المهنية في </w:t>
      </w:r>
      <w:r>
        <w:rPr>
          <w:rFonts w:hint="cs"/>
          <w:rtl/>
          <w:lang w:eastAsia="ar-SA"/>
        </w:rPr>
        <w:t xml:space="preserve">تقاريره </w:t>
      </w:r>
      <w:r w:rsidRPr="00421E93">
        <w:rPr>
          <w:rtl/>
          <w:lang w:eastAsia="ar-SA"/>
        </w:rPr>
        <w:t>المقبلة</w:t>
      </w:r>
      <w:r>
        <w:rPr>
          <w:rFonts w:hint="cs"/>
          <w:rtl/>
          <w:lang w:eastAsia="ar-SA"/>
        </w:rPr>
        <w:t>، بما يشمل دور الرابطات المهنية في تعزيز وحماية جميع حقوق الإنسان، وفي الجهود الإنمائية، وفي بناء مجتمع ديمقراطي وصونه، فضلا</w:t>
      </w:r>
      <w:r w:rsidR="00556526">
        <w:rPr>
          <w:rFonts w:hint="cs"/>
          <w:rtl/>
          <w:lang w:eastAsia="ar-SA"/>
        </w:rPr>
        <w:t>ً</w:t>
      </w:r>
      <w:r>
        <w:rPr>
          <w:rFonts w:hint="cs"/>
          <w:rtl/>
          <w:lang w:eastAsia="ar-SA"/>
        </w:rPr>
        <w:t xml:space="preserve"> عن السبل التي يمكن بها ل</w:t>
      </w:r>
      <w:r w:rsidRPr="00421E93">
        <w:rPr>
          <w:rtl/>
          <w:lang w:eastAsia="ar-SA"/>
        </w:rPr>
        <w:t>لدول وغيرها من الجهات المعنية أن تشجع الظروف المواتية لتطور الرابطات المهنية وأنشطتها وتهيئ تلك الظروف وترعاها؛</w:t>
      </w:r>
    </w:p>
    <w:p w:rsidR="00FD0540" w:rsidRPr="00421E93" w:rsidRDefault="00FD0540" w:rsidP="00FD0540">
      <w:pPr>
        <w:pStyle w:val="SingleTxtGA"/>
        <w:rPr>
          <w:rtl/>
          <w:lang w:eastAsia="ar-SA"/>
        </w:rPr>
      </w:pPr>
      <w:r w:rsidRPr="00421E93">
        <w:rPr>
          <w:rFonts w:hint="cs"/>
          <w:rtl/>
          <w:lang w:eastAsia="ar-SA"/>
        </w:rPr>
        <w:tab/>
      </w:r>
      <w:r>
        <w:rPr>
          <w:rFonts w:hint="cs"/>
          <w:rtl/>
          <w:lang w:eastAsia="ar-SA"/>
        </w:rPr>
        <w:t>5</w:t>
      </w:r>
      <w:r w:rsidRPr="00421E93">
        <w:rPr>
          <w:rtl/>
          <w:lang w:eastAsia="ar-SA"/>
        </w:rPr>
        <w:t>-</w:t>
      </w:r>
      <w:r w:rsidRPr="00421E93">
        <w:rPr>
          <w:rFonts w:hint="cs"/>
          <w:rtl/>
          <w:lang w:eastAsia="ar-SA"/>
        </w:rPr>
        <w:tab/>
      </w:r>
      <w:r w:rsidRPr="00421E93">
        <w:rPr>
          <w:i/>
          <w:iCs/>
          <w:rtl/>
          <w:lang w:eastAsia="ar-SA"/>
        </w:rPr>
        <w:t>يطلب</w:t>
      </w:r>
      <w:r w:rsidRPr="00421E93">
        <w:rPr>
          <w:rtl/>
          <w:lang w:eastAsia="ar-SA"/>
        </w:rPr>
        <w:t xml:space="preserve"> إلى الأمين العام أن يقدم إلى المقرر الخاص ما يلزمه من مساعدة لكي يضطلع بولايته، لا سيما بوضع قدرٍ وافٍ من الموارد البشرية والمادية تحت تصرفه؛</w:t>
      </w:r>
    </w:p>
    <w:p w:rsidR="00FD0540" w:rsidRDefault="00FD0540" w:rsidP="00FD0540">
      <w:pPr>
        <w:pStyle w:val="SingleTxtGA"/>
        <w:rPr>
          <w:rtl/>
          <w:lang w:eastAsia="ar-SA"/>
        </w:rPr>
      </w:pPr>
      <w:r w:rsidRPr="00421E93">
        <w:rPr>
          <w:rFonts w:hint="cs"/>
          <w:rtl/>
          <w:lang w:eastAsia="ar-SA"/>
        </w:rPr>
        <w:tab/>
      </w:r>
      <w:r>
        <w:rPr>
          <w:rFonts w:hint="cs"/>
          <w:rtl/>
          <w:lang w:eastAsia="ar-SA"/>
        </w:rPr>
        <w:t>6</w:t>
      </w:r>
      <w:r w:rsidRPr="00421E93">
        <w:rPr>
          <w:rtl/>
          <w:lang w:eastAsia="ar-SA"/>
        </w:rPr>
        <w:t>-</w:t>
      </w:r>
      <w:r w:rsidRPr="00421E93">
        <w:rPr>
          <w:rFonts w:hint="cs"/>
          <w:rtl/>
          <w:lang w:eastAsia="ar-SA"/>
        </w:rPr>
        <w:tab/>
      </w:r>
      <w:r w:rsidRPr="00421E93">
        <w:rPr>
          <w:i/>
          <w:iCs/>
          <w:rtl/>
          <w:lang w:eastAsia="ar-SA"/>
        </w:rPr>
        <w:t>يقرِّر</w:t>
      </w:r>
      <w:r w:rsidRPr="00421E93">
        <w:rPr>
          <w:rtl/>
          <w:lang w:eastAsia="ar-SA"/>
        </w:rPr>
        <w:t xml:space="preserve"> أن يواصل نظره في مسألة الحق في حرية التجمع السلمي وتكوين الجمعيات وفقاً لبرنامج عمله.</w:t>
      </w:r>
    </w:p>
    <w:p w:rsidR="00FD0540" w:rsidRPr="00FD0540" w:rsidRDefault="00FD0540" w:rsidP="00FD0540">
      <w:pPr>
        <w:pStyle w:val="SingleTxtGA"/>
        <w:bidi w:val="0"/>
        <w:spacing w:after="0"/>
        <w:rPr>
          <w:i/>
          <w:iCs/>
          <w:rtl/>
          <w:lang w:eastAsia="ar-SA"/>
        </w:rPr>
      </w:pPr>
      <w:r w:rsidRPr="00FD0540">
        <w:rPr>
          <w:rFonts w:hint="cs"/>
          <w:i/>
          <w:iCs/>
          <w:rtl/>
          <w:lang w:eastAsia="ar-SA"/>
        </w:rPr>
        <w:t xml:space="preserve">الجلسة 46 </w:t>
      </w:r>
    </w:p>
    <w:p w:rsidR="00FD0540" w:rsidRPr="00FD0540" w:rsidRDefault="00FD0540" w:rsidP="00FD0540">
      <w:pPr>
        <w:pStyle w:val="SingleTxtGA"/>
        <w:bidi w:val="0"/>
        <w:rPr>
          <w:i/>
          <w:iCs/>
          <w:rtl/>
          <w:lang w:eastAsia="ar-SA"/>
        </w:rPr>
      </w:pPr>
      <w:r w:rsidRPr="00FD0540">
        <w:rPr>
          <w:rFonts w:hint="cs"/>
          <w:i/>
          <w:iCs/>
          <w:rtl/>
          <w:lang w:eastAsia="ar-SA"/>
        </w:rPr>
        <w:t xml:space="preserve">1 تموز/ يوليه 2016 </w:t>
      </w:r>
    </w:p>
    <w:p w:rsidR="00FD0540" w:rsidRPr="00421E93" w:rsidRDefault="00FD0540" w:rsidP="00FD0540">
      <w:pPr>
        <w:pStyle w:val="SingleTxtGA"/>
        <w:rPr>
          <w:rtl/>
          <w:lang w:eastAsia="ar-SA"/>
        </w:rPr>
      </w:pPr>
      <w:r>
        <w:rPr>
          <w:rFonts w:hint="cs"/>
          <w:rtl/>
          <w:lang w:eastAsia="ar-SA"/>
        </w:rPr>
        <w:t>[اعتمد بدون تصويت.]</w:t>
      </w:r>
    </w:p>
    <w:p w:rsidR="00FD0540" w:rsidRPr="005B40AB" w:rsidRDefault="00FD0540" w:rsidP="00FD0540">
      <w:pPr>
        <w:jc w:val="center"/>
        <w:rPr>
          <w:u w:val="single"/>
          <w:rtl/>
          <w:lang w:eastAsia="ar-SA"/>
        </w:rPr>
      </w:pPr>
      <w:r>
        <w:rPr>
          <w:u w:val="single"/>
          <w:rtl/>
          <w:lang w:eastAsia="ar-SA"/>
        </w:rPr>
        <w:tab/>
      </w:r>
      <w:r>
        <w:rPr>
          <w:u w:val="single"/>
          <w:rtl/>
          <w:lang w:eastAsia="ar-SA"/>
        </w:rPr>
        <w:tab/>
      </w:r>
      <w:r>
        <w:rPr>
          <w:u w:val="single"/>
          <w:rtl/>
          <w:lang w:eastAsia="ar-SA"/>
        </w:rPr>
        <w:tab/>
      </w:r>
    </w:p>
    <w:sectPr w:rsidR="00FD0540" w:rsidRPr="005B40AB" w:rsidSect="003953A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EBE" w:rsidRPr="002901D9" w:rsidRDefault="00A21EBE" w:rsidP="002901D9">
      <w:pPr>
        <w:spacing w:after="60" w:line="240" w:lineRule="auto"/>
        <w:rPr>
          <w:i/>
          <w:iCs/>
        </w:rPr>
      </w:pPr>
      <w:r>
        <w:rPr>
          <w:rFonts w:hint="cs"/>
          <w:i/>
          <w:iCs/>
          <w:rtl/>
        </w:rPr>
        <w:t>الحواشي</w:t>
      </w:r>
    </w:p>
  </w:endnote>
  <w:endnote w:type="continuationSeparator" w:id="0">
    <w:p w:rsidR="00A21EBE" w:rsidRDefault="00A21E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40" w:rsidRPr="00FD0540" w:rsidRDefault="00FD0540" w:rsidP="00FD0540">
    <w:pPr>
      <w:pStyle w:val="Footer"/>
      <w:tabs>
        <w:tab w:val="right" w:pos="9598"/>
      </w:tabs>
      <w:rPr>
        <w:sz w:val="17"/>
      </w:rPr>
    </w:pPr>
    <w:r>
      <w:rPr>
        <w:sz w:val="17"/>
      </w:rPr>
      <w:t>GE.16-12329</w:t>
    </w:r>
    <w:r>
      <w:rPr>
        <w:sz w:val="17"/>
      </w:rPr>
      <w:tab/>
    </w:r>
    <w:r w:rsidRPr="00FD0540">
      <w:rPr>
        <w:b/>
        <w:sz w:val="18"/>
      </w:rPr>
      <w:fldChar w:fldCharType="begin"/>
    </w:r>
    <w:r w:rsidRPr="00FD0540">
      <w:rPr>
        <w:b/>
        <w:sz w:val="18"/>
      </w:rPr>
      <w:instrText xml:space="preserve"> PAGE  \* MERGEFORMAT </w:instrText>
    </w:r>
    <w:r w:rsidRPr="00FD0540">
      <w:rPr>
        <w:b/>
        <w:sz w:val="18"/>
      </w:rPr>
      <w:fldChar w:fldCharType="separate"/>
    </w:r>
    <w:r w:rsidR="005D7A33">
      <w:rPr>
        <w:b/>
        <w:noProof/>
        <w:sz w:val="18"/>
      </w:rPr>
      <w:t>2</w:t>
    </w:r>
    <w:r w:rsidRPr="00FD05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D0540" w:rsidRDefault="00FD0540" w:rsidP="006959B0">
    <w:pPr>
      <w:pStyle w:val="Footer"/>
      <w:tabs>
        <w:tab w:val="right" w:pos="9599"/>
      </w:tabs>
      <w:jc w:val="left"/>
      <w:rPr>
        <w:b/>
        <w:sz w:val="18"/>
        <w:lang w:val="en-US"/>
      </w:rPr>
    </w:pPr>
    <w:r w:rsidRPr="00FD0540">
      <w:rPr>
        <w:b/>
        <w:sz w:val="18"/>
        <w:lang w:val="en-US"/>
      </w:rPr>
      <w:fldChar w:fldCharType="begin"/>
    </w:r>
    <w:r w:rsidRPr="00FD0540">
      <w:rPr>
        <w:b/>
        <w:sz w:val="18"/>
        <w:lang w:val="en-US"/>
      </w:rPr>
      <w:instrText xml:space="preserve"> PAGE  \* MERGEFORMAT </w:instrText>
    </w:r>
    <w:r w:rsidRPr="00FD0540">
      <w:rPr>
        <w:b/>
        <w:sz w:val="18"/>
        <w:lang w:val="en-US"/>
      </w:rPr>
      <w:fldChar w:fldCharType="separate"/>
    </w:r>
    <w:r>
      <w:rPr>
        <w:b/>
        <w:noProof/>
        <w:sz w:val="18"/>
        <w:lang w:val="en-US"/>
      </w:rPr>
      <w:t>3</w:t>
    </w:r>
    <w:r w:rsidRPr="00FD0540">
      <w:rPr>
        <w:b/>
        <w:sz w:val="18"/>
        <w:lang w:val="en-US"/>
      </w:rPr>
      <w:fldChar w:fldCharType="end"/>
    </w:r>
    <w:r>
      <w:rPr>
        <w:b/>
        <w:sz w:val="18"/>
        <w:lang w:val="en-US"/>
      </w:rPr>
      <w:tab/>
    </w:r>
    <w:r>
      <w:rPr>
        <w:sz w:val="17"/>
        <w:lang w:val="en-US"/>
      </w:rPr>
      <w:t>GE.16-12329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3953AA" w:rsidP="00FD4BC9">
    <w:pPr>
      <w:pStyle w:val="Footer"/>
      <w:jc w:val="right"/>
      <w:rPr>
        <w:sz w:val="20"/>
        <w:szCs w:val="20"/>
      </w:rPr>
    </w:pPr>
    <w:r>
      <w:rPr>
        <w:sz w:val="20"/>
        <w:szCs w:val="20"/>
      </w:rPr>
      <w:t>GE.16-12329</w:t>
    </w:r>
    <w:r w:rsidR="00FD4BC9">
      <w:rPr>
        <w:noProof/>
        <w:lang w:val="en-US"/>
      </w:rPr>
      <w:drawing>
        <wp:anchor distT="0" distB="0" distL="114300" distR="114300" simplePos="0" relativeHeight="251659264" behindDoc="1" locked="1" layoutInCell="0" allowOverlap="1" wp14:anchorId="30C783DB" wp14:editId="711A325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953AA" w:rsidRPr="003953AA" w:rsidRDefault="003953AA" w:rsidP="003953A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50AF068" wp14:editId="5FB5785B">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2/3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3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EBE" w:rsidRPr="0054762C" w:rsidRDefault="00A21EBE" w:rsidP="00173565">
      <w:pPr>
        <w:pStyle w:val="Footer"/>
        <w:bidi/>
        <w:spacing w:after="80" w:line="200" w:lineRule="exact"/>
        <w:ind w:left="680"/>
      </w:pPr>
      <w:r>
        <w:rPr>
          <w:rtl/>
        </w:rPr>
        <w:t>__________</w:t>
      </w:r>
    </w:p>
  </w:footnote>
  <w:footnote w:type="continuationSeparator" w:id="0">
    <w:p w:rsidR="00A21EBE" w:rsidRDefault="00A21EBE" w:rsidP="00656392">
      <w:pPr>
        <w:spacing w:line="240" w:lineRule="auto"/>
      </w:pPr>
      <w:r>
        <w:continuationSeparator/>
      </w:r>
    </w:p>
  </w:footnote>
  <w:footnote w:id="1">
    <w:p w:rsidR="00FD0540" w:rsidRPr="005B40AB" w:rsidRDefault="00FD0540" w:rsidP="00FD0540">
      <w:pPr>
        <w:pStyle w:val="FootnoteText1"/>
        <w:spacing w:line="240" w:lineRule="exact"/>
      </w:pPr>
      <w:r w:rsidRPr="0014089F">
        <w:rPr>
          <w:rFonts w:ascii="Traditional Arabic" w:hAnsi="Traditional Arabic"/>
          <w:sz w:val="26"/>
          <w:rtl/>
        </w:rPr>
        <w:t>(</w:t>
      </w:r>
      <w:r w:rsidRPr="0014089F">
        <w:rPr>
          <w:rStyle w:val="FootnoteReference"/>
          <w:rFonts w:ascii="Traditional Arabic" w:hAnsi="Traditional Arabic"/>
          <w:sz w:val="26"/>
          <w:szCs w:val="26"/>
          <w:vertAlign w:val="baseline"/>
        </w:rPr>
        <w:footnoteRef/>
      </w:r>
      <w:r w:rsidRPr="0014089F">
        <w:rPr>
          <w:rFonts w:ascii="Traditional Arabic" w:hAnsi="Traditional Arabic"/>
          <w:sz w:val="26"/>
          <w:rtl/>
        </w:rPr>
        <w:t>)</w:t>
      </w:r>
      <w:r>
        <w:rPr>
          <w:sz w:val="26"/>
          <w:rtl/>
        </w:rPr>
        <w:tab/>
      </w:r>
      <w:r>
        <w:t>A/HRC/32/36</w:t>
      </w:r>
      <w:r>
        <w:rPr>
          <w:rFonts w:hint="cs"/>
          <w:sz w:val="26"/>
          <w:rtl/>
        </w:rPr>
        <w:t>.</w:t>
      </w:r>
      <w:r w:rsidRPr="005B40AB">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40" w:rsidRPr="00FD0540" w:rsidRDefault="00FD0540" w:rsidP="00FD0540">
    <w:pPr>
      <w:pStyle w:val="Header"/>
      <w:jc w:val="right"/>
    </w:pPr>
    <w:r w:rsidRPr="00FD0540">
      <w:t>A/HRC/RES/32/32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540" w:rsidRPr="00FD0540" w:rsidRDefault="00FD0540" w:rsidP="00FD0540">
    <w:pPr>
      <w:pStyle w:val="Header"/>
      <w:jc w:val="left"/>
    </w:pPr>
    <w:r w:rsidRPr="00FD0540">
      <w:t>A/HRC/RES/32/32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21EBE"/>
    <w:rsid w:val="000076D5"/>
    <w:rsid w:val="00043663"/>
    <w:rsid w:val="000505CF"/>
    <w:rsid w:val="000D701C"/>
    <w:rsid w:val="000E2A71"/>
    <w:rsid w:val="0014089F"/>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953AA"/>
    <w:rsid w:val="003D1062"/>
    <w:rsid w:val="003D4C4E"/>
    <w:rsid w:val="003E159A"/>
    <w:rsid w:val="00420D7B"/>
    <w:rsid w:val="00450B21"/>
    <w:rsid w:val="00453B63"/>
    <w:rsid w:val="00455780"/>
    <w:rsid w:val="004570FA"/>
    <w:rsid w:val="004A3FF8"/>
    <w:rsid w:val="004B0A1C"/>
    <w:rsid w:val="004D298E"/>
    <w:rsid w:val="00517BC9"/>
    <w:rsid w:val="0054472E"/>
    <w:rsid w:val="0054762C"/>
    <w:rsid w:val="00556526"/>
    <w:rsid w:val="005662A9"/>
    <w:rsid w:val="005827D4"/>
    <w:rsid w:val="0059622A"/>
    <w:rsid w:val="005C281C"/>
    <w:rsid w:val="005C5878"/>
    <w:rsid w:val="005C7CEA"/>
    <w:rsid w:val="005D3C0B"/>
    <w:rsid w:val="005D7A33"/>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A70BB"/>
    <w:rsid w:val="00852A9A"/>
    <w:rsid w:val="008930DB"/>
    <w:rsid w:val="00895D16"/>
    <w:rsid w:val="008F49E1"/>
    <w:rsid w:val="0090370F"/>
    <w:rsid w:val="009269D2"/>
    <w:rsid w:val="00942135"/>
    <w:rsid w:val="009521B0"/>
    <w:rsid w:val="009A7E9F"/>
    <w:rsid w:val="009E5018"/>
    <w:rsid w:val="00A12B37"/>
    <w:rsid w:val="00A21EBE"/>
    <w:rsid w:val="00A50EC0"/>
    <w:rsid w:val="00AB6758"/>
    <w:rsid w:val="00B13763"/>
    <w:rsid w:val="00B477A4"/>
    <w:rsid w:val="00B54045"/>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C05A7"/>
    <w:rsid w:val="00EC4B6B"/>
    <w:rsid w:val="00ED7442"/>
    <w:rsid w:val="00EE0B18"/>
    <w:rsid w:val="00EF1EE5"/>
    <w:rsid w:val="00F0233D"/>
    <w:rsid w:val="00F16633"/>
    <w:rsid w:val="00F763B4"/>
    <w:rsid w:val="00F900C3"/>
    <w:rsid w:val="00FC75D1"/>
    <w:rsid w:val="00FD0540"/>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7EF05-E6C5-4F69-94F4-A6C0887A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A/HRC/RES/32/32</vt:lpstr>
    </vt:vector>
  </TitlesOfParts>
  <Company>DCM</Company>
  <LinksUpToDate>false</LinksUpToDate>
  <CharactersWithSpaces>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A/HRC/RES/32/32</dc:title>
  <dc:subject>GE.1612329(A)</dc:subject>
  <dc:creator>IHRZ - EM</dc:creator>
  <cp:keywords>ODS No.1615710</cp:keywords>
  <dc:description>Distr.: General_x000d_
18 July 2016_x000d_
Original: English</dc:description>
  <cp:lastModifiedBy>RKHO13</cp:lastModifiedBy>
  <cp:revision>2</cp:revision>
  <cp:lastPrinted>2016-09-06T15:50:00Z</cp:lastPrinted>
  <dcterms:created xsi:type="dcterms:W3CDTF">2016-09-07T06:55:00Z</dcterms:created>
  <dcterms:modified xsi:type="dcterms:W3CDTF">2016-09-07T06:55:00Z</dcterms:modified>
  <cp:category>Final</cp:category>
</cp:coreProperties>
</file>