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E2C58D5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DD280B8" w14:textId="77777777" w:rsidR="002D5AAC" w:rsidRDefault="002D5AAC" w:rsidP="009C48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FA0D9CD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8D067D6" w14:textId="2E9A66B7" w:rsidR="002D5AAC" w:rsidRDefault="009C4889" w:rsidP="009C4889">
            <w:pPr>
              <w:jc w:val="right"/>
            </w:pPr>
            <w:r w:rsidRPr="009C4889">
              <w:rPr>
                <w:sz w:val="40"/>
              </w:rPr>
              <w:t>CCPR</w:t>
            </w:r>
            <w:r>
              <w:t>/C/SYR/CO/4</w:t>
            </w:r>
          </w:p>
        </w:tc>
      </w:tr>
      <w:tr w:rsidR="002D5AAC" w:rsidRPr="007A32B9" w14:paraId="75562E69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589FEC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858116E" wp14:editId="75A1865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FBF195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F194DA" w14:textId="77777777" w:rsidR="002D5AAC" w:rsidRPr="009C4889" w:rsidRDefault="009C4889" w:rsidP="00BC3629">
            <w:pPr>
              <w:spacing w:before="240"/>
              <w:rPr>
                <w:lang w:val="en-US"/>
              </w:rPr>
            </w:pPr>
            <w:r w:rsidRPr="009C4889">
              <w:rPr>
                <w:lang w:val="en-US"/>
              </w:rPr>
              <w:t>Distr.: General</w:t>
            </w:r>
          </w:p>
          <w:p w14:paraId="4829F13C" w14:textId="6EDCBD61" w:rsidR="009C4889" w:rsidRPr="003D4642" w:rsidRDefault="003D4642" w:rsidP="009C4889">
            <w:pPr>
              <w:spacing w:line="240" w:lineRule="exact"/>
              <w:rPr>
                <w:lang w:val="en-US"/>
              </w:rPr>
            </w:pPr>
            <w:r w:rsidRPr="003D4642">
              <w:rPr>
                <w:lang w:val="en-US"/>
              </w:rPr>
              <w:t>2</w:t>
            </w:r>
            <w:r w:rsidRPr="007A32B9">
              <w:rPr>
                <w:lang w:val="en-US"/>
              </w:rPr>
              <w:t xml:space="preserve">1 </w:t>
            </w:r>
            <w:r>
              <w:rPr>
                <w:lang w:val="en-US"/>
              </w:rPr>
              <w:t>August 2024</w:t>
            </w:r>
          </w:p>
          <w:p w14:paraId="64B2245B" w14:textId="77777777" w:rsidR="009C4889" w:rsidRPr="009C4889" w:rsidRDefault="009C4889" w:rsidP="009C4889">
            <w:pPr>
              <w:spacing w:line="240" w:lineRule="exact"/>
              <w:rPr>
                <w:lang w:val="en-US"/>
              </w:rPr>
            </w:pPr>
            <w:r w:rsidRPr="009C4889">
              <w:rPr>
                <w:lang w:val="en-US"/>
              </w:rPr>
              <w:t>Russian</w:t>
            </w:r>
          </w:p>
          <w:p w14:paraId="4C6FBA98" w14:textId="52B6F894" w:rsidR="009C4889" w:rsidRPr="009C4889" w:rsidRDefault="009C4889" w:rsidP="009C4889">
            <w:pPr>
              <w:spacing w:line="240" w:lineRule="exact"/>
              <w:rPr>
                <w:lang w:val="en-US"/>
              </w:rPr>
            </w:pPr>
            <w:r w:rsidRPr="009C4889">
              <w:rPr>
                <w:lang w:val="en-US"/>
              </w:rPr>
              <w:t>Original: English</w:t>
            </w:r>
          </w:p>
        </w:tc>
      </w:tr>
    </w:tbl>
    <w:p w14:paraId="3245E80A" w14:textId="77777777" w:rsidR="003D4642" w:rsidRPr="003D4642" w:rsidRDefault="003D4642" w:rsidP="003D4642">
      <w:pPr>
        <w:spacing w:before="120"/>
        <w:rPr>
          <w:sz w:val="24"/>
          <w:szCs w:val="24"/>
        </w:rPr>
      </w:pPr>
      <w:r w:rsidRPr="003D4642">
        <w:rPr>
          <w:b/>
          <w:bCs/>
          <w:sz w:val="24"/>
          <w:szCs w:val="24"/>
        </w:rPr>
        <w:t>Комитет по правам человека</w:t>
      </w:r>
    </w:p>
    <w:p w14:paraId="110DADEA" w14:textId="77777777" w:rsidR="003D4642" w:rsidRPr="003D4642" w:rsidRDefault="003D4642" w:rsidP="003D4642">
      <w:pPr>
        <w:pStyle w:val="HChG"/>
      </w:pPr>
      <w:r w:rsidRPr="003D4642">
        <w:tab/>
      </w:r>
      <w:r w:rsidRPr="003D4642">
        <w:tab/>
        <w:t>Заключительные замечания по четвертому периодическому докладу Сирийской Арабской Республики</w:t>
      </w:r>
      <w:r w:rsidRPr="003D4642">
        <w:rPr>
          <w:b w:val="0"/>
          <w:bCs/>
          <w:sz w:val="20"/>
          <w:szCs w:val="14"/>
        </w:rPr>
        <w:footnoteReference w:customMarkFollows="1" w:id="1"/>
        <w:t>*</w:t>
      </w:r>
    </w:p>
    <w:p w14:paraId="54D598FD" w14:textId="77777777" w:rsidR="003D4642" w:rsidRPr="003D4642" w:rsidRDefault="003D4642" w:rsidP="003D4642">
      <w:pPr>
        <w:pStyle w:val="SingleTxtG"/>
      </w:pPr>
      <w:r w:rsidRPr="003D4642">
        <w:t>1.</w:t>
      </w:r>
      <w:r w:rsidRPr="003D4642">
        <w:tab/>
        <w:t>Комитет рассмотрел четвертый периодический доклад Сирийской Арабской Республики</w:t>
      </w:r>
      <w:r w:rsidRPr="003D4642">
        <w:rPr>
          <w:sz w:val="18"/>
          <w:szCs w:val="18"/>
          <w:vertAlign w:val="superscript"/>
        </w:rPr>
        <w:footnoteReference w:id="2"/>
      </w:r>
      <w:r w:rsidRPr="003D4642">
        <w:t xml:space="preserve"> на своих 4130</w:t>
      </w:r>
      <w:r w:rsidRPr="003D4642">
        <w:noBreakHyphen/>
        <w:t>м, 4131</w:t>
      </w:r>
      <w:r w:rsidRPr="003D4642">
        <w:noBreakHyphen/>
        <w:t>м и 4132</w:t>
      </w:r>
      <w:r w:rsidRPr="003D4642">
        <w:noBreakHyphen/>
        <w:t>м заседаниях</w:t>
      </w:r>
      <w:r w:rsidRPr="003D4642">
        <w:rPr>
          <w:sz w:val="18"/>
          <w:szCs w:val="18"/>
          <w:vertAlign w:val="superscript"/>
        </w:rPr>
        <w:footnoteReference w:id="3"/>
      </w:r>
      <w:r w:rsidRPr="003D4642">
        <w:t>, состоявшихся в смешанном формате 11 и 12 июля 2024 года. На своем 4143</w:t>
      </w:r>
      <w:r w:rsidRPr="003D4642">
        <w:noBreakHyphen/>
        <w:t>м заседании, состоявшемся 22 июля 2024 года, он принял настоящие заключительные замечания.</w:t>
      </w:r>
    </w:p>
    <w:p w14:paraId="215AF77B" w14:textId="77777777" w:rsidR="003D4642" w:rsidRPr="003D4642" w:rsidRDefault="003D4642" w:rsidP="003D4642">
      <w:pPr>
        <w:pStyle w:val="H1G"/>
      </w:pPr>
      <w:r w:rsidRPr="003D4642">
        <w:tab/>
        <w:t>A.</w:t>
      </w:r>
      <w:r w:rsidRPr="003D4642">
        <w:tab/>
        <w:t>Введение</w:t>
      </w:r>
    </w:p>
    <w:p w14:paraId="39D4EDCB" w14:textId="3A6A1D4E" w:rsidR="003D4642" w:rsidRPr="003D4642" w:rsidRDefault="003D4642" w:rsidP="003D4642">
      <w:pPr>
        <w:pStyle w:val="SingleTxtG"/>
      </w:pPr>
      <w:r w:rsidRPr="003D4642">
        <w:t>2.</w:t>
      </w:r>
      <w:r w:rsidRPr="003D4642">
        <w:tab/>
        <w:t xml:space="preserve">Комитет приветствует представление четвертого периодического доклада Сирийской Арабской Республики, а также содержащуюся в нем информацию. </w:t>
      </w:r>
      <w:r w:rsidRPr="007A32B9">
        <w:br/>
      </w:r>
      <w:r w:rsidRPr="003D4642">
        <w:t>Он выражает удовлетворение в связи с возможностью возобновить конструктивный диалог с делегацией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письменные ответы</w:t>
      </w:r>
      <w:r w:rsidRPr="003D4642">
        <w:rPr>
          <w:sz w:val="18"/>
          <w:szCs w:val="18"/>
          <w:vertAlign w:val="superscript"/>
        </w:rPr>
        <w:footnoteReference w:id="4"/>
      </w:r>
      <w:r w:rsidRPr="003D4642">
        <w:t xml:space="preserve"> на перечень вопросов</w:t>
      </w:r>
      <w:r w:rsidRPr="003D4642">
        <w:rPr>
          <w:sz w:val="18"/>
          <w:szCs w:val="18"/>
          <w:vertAlign w:val="superscript"/>
        </w:rPr>
        <w:footnoteReference w:id="5"/>
      </w:r>
      <w:r w:rsidRPr="003D4642">
        <w:t>, дополненные устными ответами делегации, а также за представленную ему в письменном виде дополнительную информацию.</w:t>
      </w:r>
    </w:p>
    <w:p w14:paraId="38B362DB" w14:textId="77777777" w:rsidR="003D4642" w:rsidRPr="003D4642" w:rsidRDefault="003D4642" w:rsidP="003D4642">
      <w:pPr>
        <w:pStyle w:val="SingleTxtG"/>
      </w:pPr>
      <w:r w:rsidRPr="003D4642">
        <w:t>3.</w:t>
      </w:r>
      <w:r w:rsidRPr="003D4642">
        <w:tab/>
        <w:t xml:space="preserve">Комитет признает тяжелые последствия продолжающегося вооруженного конфликта, землетрясения 2023 года, политической, экономической и социальной нестабильности, в том числе вследствие применения односторонних принудительных мер, а также присутствия иностранных вооруженных сил и негосударственных вооруженных групп, некоторые из которых признаны Организацией Объединенных Наций террористическими образованиями, что приводит к серьезным и грубым нарушениям прав человека всеми сторонами конфликта и представляет собой серьезное препятствие для осуществления прав, закрепленных в Пакте. Комитет отмечает сложность обеспечения прав отдельных лиц на территориях, на которых государство-участник не осуществляет эффективного контроля, в том числе на оккупированных сирийских Голанах. Комитет напоминает государству-участнику о непрерывности международных обязательств в области прав человека и о том, что права, закрепленные в Пакте, распространяются на всех людей во все времена и что государство-участник несет главную ответственность за защиту лиц, находящихся под его юрисдикцией, и поэтому должно принять незамедлительные меры для предотвращения дальнейшего насилия и нарушений их прав человека. Комитет также напоминает государству-участнику, что в ходе любых усилий по восстановлению оно обязано гарантировать все права, закрепленные в Пакте, всем лицам на всей </w:t>
      </w:r>
      <w:r w:rsidRPr="003D4642">
        <w:lastRenderedPageBreak/>
        <w:t xml:space="preserve">территории без дискриминации, независимо от места их проживания, и поощрять культуру терпимости, мира и примирения в отношениях между всеми людьми и общинами. </w:t>
      </w:r>
    </w:p>
    <w:p w14:paraId="54E44ACB" w14:textId="77777777" w:rsidR="003D4642" w:rsidRPr="003D4642" w:rsidRDefault="003D4642" w:rsidP="003D4642">
      <w:pPr>
        <w:pStyle w:val="H1G"/>
      </w:pPr>
      <w:r w:rsidRPr="003D4642">
        <w:tab/>
        <w:t>B.</w:t>
      </w:r>
      <w:r w:rsidRPr="003D4642">
        <w:tab/>
        <w:t>Позитивные аспекты</w:t>
      </w:r>
    </w:p>
    <w:p w14:paraId="5516226A" w14:textId="485CCF87" w:rsidR="003D4642" w:rsidRPr="003D4642" w:rsidRDefault="00D151EA" w:rsidP="003D4642">
      <w:pPr>
        <w:pStyle w:val="SingleTxtG"/>
      </w:pPr>
      <w:r>
        <w:t>4</w:t>
      </w:r>
      <w:r w:rsidR="003D4642" w:rsidRPr="003D4642">
        <w:t>.</w:t>
      </w:r>
      <w:r w:rsidR="003D4642" w:rsidRPr="003D4642">
        <w:tab/>
        <w:t>Комитет приветствует следующие законодательные меры, принятые государством-участником:</w:t>
      </w:r>
    </w:p>
    <w:p w14:paraId="4D332016" w14:textId="77777777" w:rsidR="003D4642" w:rsidRPr="003D4642" w:rsidRDefault="003D4642" w:rsidP="003D4642">
      <w:pPr>
        <w:pStyle w:val="SingleTxtG"/>
      </w:pPr>
      <w:r w:rsidRPr="003D4642">
        <w:tab/>
        <w:t>a)</w:t>
      </w:r>
      <w:r w:rsidRPr="003D4642">
        <w:tab/>
        <w:t>принятие в 2023 году Законодательного декрета № 32, в соответствии с которым прекращается деятельность военно-полевых судов;</w:t>
      </w:r>
    </w:p>
    <w:p w14:paraId="3D62D531" w14:textId="77777777" w:rsidR="003D4642" w:rsidRPr="003D4642" w:rsidRDefault="003D4642" w:rsidP="003D4642">
      <w:pPr>
        <w:pStyle w:val="SingleTxtG"/>
      </w:pPr>
      <w:r w:rsidRPr="003D4642">
        <w:tab/>
        <w:t>b)</w:t>
      </w:r>
      <w:r w:rsidRPr="003D4642">
        <w:tab/>
        <w:t>принятие в 2022 году Закона № 16 о предотвращении пыток, предусматривающего уголовную ответственность за умышленное совершение пыток, участие в них или подстрекательство к ним;</w:t>
      </w:r>
    </w:p>
    <w:p w14:paraId="1399938B" w14:textId="77777777" w:rsidR="003D4642" w:rsidRPr="003D4642" w:rsidRDefault="003D4642" w:rsidP="003D4642">
      <w:pPr>
        <w:pStyle w:val="SingleTxtG"/>
      </w:pPr>
      <w:r w:rsidRPr="003D4642">
        <w:tab/>
        <w:t>c)</w:t>
      </w:r>
      <w:r w:rsidRPr="003D4642">
        <w:tab/>
        <w:t>принятие в 2018 году Закона № 24 о внесении поправок в статьи Уголовного кодекса, запрещающих внесудебные браки в целях ограничения числа ранних браков;</w:t>
      </w:r>
    </w:p>
    <w:p w14:paraId="05BDEDB4" w14:textId="77777777" w:rsidR="003D4642" w:rsidRPr="003D4642" w:rsidRDefault="003D4642" w:rsidP="003D4642">
      <w:pPr>
        <w:pStyle w:val="SingleTxtG"/>
      </w:pPr>
      <w:r w:rsidRPr="003D4642">
        <w:tab/>
        <w:t>d)</w:t>
      </w:r>
      <w:r w:rsidRPr="003D4642">
        <w:tab/>
        <w:t>принятие в 2013 году Законодательного декрета № 20, предусматривающего уголовную ответственность за похищение в различных формах;</w:t>
      </w:r>
    </w:p>
    <w:p w14:paraId="6254BA53" w14:textId="77777777" w:rsidR="003D4642" w:rsidRPr="003D4642" w:rsidRDefault="003D4642" w:rsidP="003D4642">
      <w:pPr>
        <w:pStyle w:val="SingleTxtG"/>
      </w:pPr>
      <w:r w:rsidRPr="003D4642">
        <w:tab/>
        <w:t>e)</w:t>
      </w:r>
      <w:r w:rsidRPr="003D4642">
        <w:tab/>
        <w:t>принятие в 2013 году Закона № 11, который включает положения о включении в Уголовный кодекс новой статьи, предусматривающей наказание для тех, кто вербует детей в возрасте до 18 лет с намерением вовлечь их в боевые действия или аналогичные виды деятельности;</w:t>
      </w:r>
    </w:p>
    <w:p w14:paraId="677CFB3C" w14:textId="77777777" w:rsidR="003D4642" w:rsidRPr="003D4642" w:rsidRDefault="003D4642" w:rsidP="003D4642">
      <w:pPr>
        <w:pStyle w:val="SingleTxtG"/>
      </w:pPr>
      <w:r w:rsidRPr="003D4642">
        <w:tab/>
        <w:t>f)</w:t>
      </w:r>
      <w:r w:rsidRPr="003D4642">
        <w:tab/>
        <w:t>принятие в 2011 году Закона № 11, ужесточающего наказание за сексуальное насилие, особенно в случаях, когда жертва не достигла 15</w:t>
      </w:r>
      <w:r w:rsidRPr="003D4642">
        <w:noBreakHyphen/>
        <w:t>летнего возраста.</w:t>
      </w:r>
    </w:p>
    <w:p w14:paraId="40BF1B04" w14:textId="273E0ADE" w:rsidR="003D4642" w:rsidRPr="003D4642" w:rsidRDefault="00D151EA" w:rsidP="003D4642">
      <w:pPr>
        <w:pStyle w:val="SingleTxtG"/>
      </w:pPr>
      <w:r>
        <w:t>5</w:t>
      </w:r>
      <w:r w:rsidR="003D4642" w:rsidRPr="003D4642">
        <w:t>.</w:t>
      </w:r>
      <w:r w:rsidR="003D4642" w:rsidRPr="003D4642">
        <w:tab/>
        <w:t>Комитет также приветствует ратификацию государством-участником 10 июля 2009 года Конвенции о правах инвалидов и Факультативного протокола к ней.</w:t>
      </w:r>
    </w:p>
    <w:p w14:paraId="7E7C49B5" w14:textId="77777777" w:rsidR="003D4642" w:rsidRPr="003D4642" w:rsidRDefault="003D4642" w:rsidP="003D4642">
      <w:pPr>
        <w:pStyle w:val="H1G"/>
      </w:pPr>
      <w:r w:rsidRPr="003D4642">
        <w:tab/>
        <w:t>C.</w:t>
      </w:r>
      <w:r w:rsidRPr="003D4642">
        <w:tab/>
        <w:t>Основные вопросы, вызывающие обеспокоенность, и рекомендации</w:t>
      </w:r>
    </w:p>
    <w:p w14:paraId="01249C1E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Конституционная и правовая основа применения Пакта</w:t>
      </w:r>
    </w:p>
    <w:p w14:paraId="7485EC02" w14:textId="77777777" w:rsidR="003D4642" w:rsidRPr="003D4642" w:rsidRDefault="003D4642" w:rsidP="003D4642">
      <w:pPr>
        <w:pStyle w:val="SingleTxtG"/>
      </w:pPr>
      <w:r w:rsidRPr="003D4642">
        <w:t>6.</w:t>
      </w:r>
      <w:r w:rsidRPr="003D4642">
        <w:tab/>
        <w:t>Комитет принимает к сведению представленную государством-участником информацию о том, что Пакт является частью внутренней правовой системы и что положения Пакта реализуются национальными судами и национальным законодательством. Вместе с тем он выражает обеспокоенность в связи с тем, что между внутренней правовой системой и Пактом сохраняются несоответствия и что не было приведено ни одного примера дел, в которых суды ссылались бы на положения Пакта или применяли их. Комитет сожалеет о том, что в ходе диалога не было представлено никакой информации о шагах, предпринимаемых с целью создания национального механизма отчетности и последующих действий, а также о намерении государства-участника ратифицировать первый Факультативный протокол к Пакту (статья 2).</w:t>
      </w:r>
    </w:p>
    <w:p w14:paraId="50BC0303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7.</w:t>
      </w:r>
      <w:r w:rsidRPr="003D4642">
        <w:tab/>
      </w:r>
      <w:r w:rsidRPr="003D4642">
        <w:rPr>
          <w:b/>
          <w:bCs/>
        </w:rPr>
        <w:t xml:space="preserve">Государству-участнику следует активизировать свои усилия по обеспечению совместимости с Пактом национального законодательства и обеспечить полное осуществление положений Пакта в национальном законодательстве. Ему также следует осуществлять тщательную, доступную и регулярно обновляемую программу специализированной подготовки по Пакту для судей, прокуроров и адвокатов, с тем чтобы они применяли и толковали его в соответствии с обязательствами государства-участника по Пакту. Кроме того, государству-участнику следует рассмотреть возможность создания национального механизма представления докладов и осуществления последующих мер и обеспечить его эффективное функционирование, в том числе </w:t>
      </w:r>
      <w:r w:rsidRPr="003D4642">
        <w:rPr>
          <w:b/>
          <w:bCs/>
        </w:rPr>
        <w:lastRenderedPageBreak/>
        <w:t xml:space="preserve">путем содействия оказанию дальнейшей поддержки в укреплении потенциала Управлением Верховного комиссара Организации Объединенных Наций по правам человека. Ему также следует рассмотреть возможность присоединения к первому Факультативному протоколу к Пакту. </w:t>
      </w:r>
    </w:p>
    <w:p w14:paraId="57CC59E3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Национальное правозащитное учреждение</w:t>
      </w:r>
    </w:p>
    <w:p w14:paraId="55A14476" w14:textId="77777777" w:rsidR="003D4642" w:rsidRPr="003D4642" w:rsidRDefault="003D4642" w:rsidP="003D4642">
      <w:pPr>
        <w:pStyle w:val="SingleTxtG"/>
      </w:pPr>
      <w:r w:rsidRPr="003D4642">
        <w:t>8.</w:t>
      </w:r>
      <w:r w:rsidRPr="003D4642">
        <w:tab/>
        <w:t>Хотя Комитет принимает к сведению представленную государством-участником в своем докладе информацию о том, что в настоящее время национальный комитет разрабатывает комплексную основу для национального правозащитного учреждения, он сожалеет о том, что в ходе диалога не было представлено никакой информации о прогрессе, достигнутом в создании такого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 (статья 2).</w:t>
      </w:r>
    </w:p>
    <w:p w14:paraId="26CC4B65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9.</w:t>
      </w:r>
      <w:r w:rsidRPr="003D4642">
        <w:tab/>
      </w:r>
      <w:r w:rsidRPr="003D4642">
        <w:rPr>
          <w:b/>
          <w:bCs/>
        </w:rPr>
        <w:t>Государству-участнику следует в приоритетном порядке создать независимое национальное учреждение по правам человека в соответствии с Парижскими принципами и обеспечить, чтобы учреждение могло действенным образом и независимо выполнять свой мандат.</w:t>
      </w:r>
    </w:p>
    <w:p w14:paraId="06752415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Меры по борьбе с коррупцией</w:t>
      </w:r>
    </w:p>
    <w:p w14:paraId="56F5EA8E" w14:textId="77777777" w:rsidR="003D4642" w:rsidRPr="003D4642" w:rsidRDefault="003D4642" w:rsidP="003D4642">
      <w:pPr>
        <w:pStyle w:val="SingleTxtG"/>
      </w:pPr>
      <w:r w:rsidRPr="003D4642">
        <w:t>10.</w:t>
      </w:r>
      <w:r w:rsidRPr="003D4642">
        <w:tab/>
        <w:t>Комитет приветствует представленную информацию об усилиях государства-участника по предупреждению коррупции и борьбе с ней, в том числе о расследованиях в отношении государственных должностных лиц, проводимых Центральной комиссией по надзору и инспекции. Вместе с тем он обеспокоен сообщениями о том, что из-за экономического кризиса и сохранения односторонних принудительных мер как государственные должностные лица, так и негосударственные вооруженные группы все чаще прибегают к вымогательству, задержанию, торговле наркотиками, в том числе каптагоном, и другим незаконным видам деятельности для получения денежных средств (статьи 2 и 25).</w:t>
      </w:r>
    </w:p>
    <w:p w14:paraId="33343AE1" w14:textId="77777777" w:rsidR="003D4642" w:rsidRPr="003D4642" w:rsidRDefault="003D4642" w:rsidP="003D4642">
      <w:pPr>
        <w:pStyle w:val="SingleTxtG"/>
      </w:pPr>
      <w:r w:rsidRPr="003D4642">
        <w:t>11.</w:t>
      </w:r>
      <w:r w:rsidRPr="003D4642">
        <w:tab/>
      </w:r>
      <w:r w:rsidRPr="003D4642">
        <w:rPr>
          <w:b/>
          <w:bCs/>
        </w:rPr>
        <w:t>Государству-участнику следует активизировать свои усилия по предупреждению и искоренению коррупции и безнаказанности на всех уровнях. В частности, ему следует принять все необходимые меры для проведения независимого и беспристрастного расследования и обеспечения судебного преследования в отношении всех случаев коррупции, в том числе со стороны негосударственных вооруженных групп, и в случае вынесения обвинительного приговора назначать наказания, соразмерные тяжести совершенного преступления. Государству-участнику следует также обеспечить эффективное обучение сотрудников правоохранительных органов, прокуроров и судей по вопросам выявления, расследования и судебного преследования коррупции и проводить учебно-просветительские кампании в целях информирования государственных служащих, политических деятелей, представителей делового сектора и населения в целом об экономических и социальных издержках коррупции и механизмах борьбы с ней.</w:t>
      </w:r>
    </w:p>
    <w:p w14:paraId="75C395CA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Защита прав, закрепленных в Пакте, и привлечение к ответственности за предполагаемые нарушения прав человека в контексте вооруженного конфликта </w:t>
      </w:r>
    </w:p>
    <w:p w14:paraId="6B564E3B" w14:textId="370CD335" w:rsidR="003D4642" w:rsidRPr="003D4642" w:rsidRDefault="003D4642" w:rsidP="003D4642">
      <w:pPr>
        <w:pStyle w:val="SingleTxtG"/>
      </w:pPr>
      <w:r w:rsidRPr="003D4642">
        <w:t>12.</w:t>
      </w:r>
      <w:r w:rsidRPr="003D4642">
        <w:tab/>
        <w:t xml:space="preserve">Принимая к сведению представленную информацию о том, что вооруженные силы проходят подготовку по соблюдению гуманитарного права и принятию всех мер для защиты гражданских лиц, особенно женщин и детей, в ходе военных операций и операций по обеспечению безопасности, Комитет глубоко обеспокоен продолжающимся произвольным лишением жизни в условиях вооруженного конфликта. В этом контексте Комитет также серьезно обеспокоен сообщениями о предполагаемых систематических нарушениях прав человека, таких как пытки, тайные задержания, сексуальное насилие и насильственные исчезновения, в том числе в районах, находящихся под фактическим контролем государства-участника. Отмечая меры, принятые для обеспечения привлечения к ответственности за применение незаконных методов в ходе военных операций, Комитет обеспокоен сообщениями о </w:t>
      </w:r>
      <w:r w:rsidRPr="003D4642">
        <w:lastRenderedPageBreak/>
        <w:t>безнаказанности и отсутствии значительного прогресса в судебном преследовании и вынесении приговоров за предполагаемые нарушения Пакта, совершенные в ходе вооруженного конфликта, в котором участвовало государство-участник, такие как нарушения, предположительно совершенные в ходе военной операции «</w:t>
      </w:r>
      <w:proofErr w:type="spellStart"/>
      <w:r w:rsidRPr="003D4642">
        <w:t>Тадамон</w:t>
      </w:r>
      <w:proofErr w:type="spellEnd"/>
      <w:r w:rsidRPr="003D4642">
        <w:t xml:space="preserve">», </w:t>
      </w:r>
      <w:r w:rsidRPr="007A32B9">
        <w:br/>
      </w:r>
      <w:r w:rsidRPr="003D4642">
        <w:t>в результате которой было казнено 280 гражданских лиц, в том числе по меньшей мере 12 детей (статьи 2, 6, 7, 14, 24 и 25).</w:t>
      </w:r>
    </w:p>
    <w:p w14:paraId="6904245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13.</w:t>
      </w:r>
      <w:r w:rsidRPr="003D4642">
        <w:tab/>
      </w:r>
      <w:r w:rsidRPr="003D4642">
        <w:rPr>
          <w:b/>
          <w:bCs/>
        </w:rPr>
        <w:t>Ссылаясь на свое замечание общего порядка № 36 (2018) о праве на жизнь, Комитет призывает государство-участник продолжать и активизировать свои усилия по принятию всех необходимых мер с целью полного выполнения своих обязательств по защите права на жизнь, предотвращению нарушений прав, закрепленных в Пакте, и реализации прав на установление истины, справедливость и полное возмещение ущерба жертвам вооруженного конфликта. В частности, государству-участнику следует:</w:t>
      </w:r>
    </w:p>
    <w:p w14:paraId="5EF327FF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обеспечить проведение оперативного, тщательного, независимого и эффективного расследования в отношении всех сообщений о случаях нарушений прав человека, совершенных в отношении гражданских лиц в ходе продолжающегося вооруженного конфликта, и обеспечить привлечение виновных к ответственности, соразмерность назначенных наказаний тяжести совершенного преступления и прозрачное и справедливое проведение судебных процессов в соответствии с международными стандартами, а также широкое распространение информации о ходе судебных разбирательств среди широкой общественности;</w:t>
      </w:r>
    </w:p>
    <w:p w14:paraId="31524E49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гарантировать получение жертвами или членами их семей полного возмещения ущерба, включая надлежащую компенсацию, а также юридических, медицинских, психологических и реабилитационных услуг, и защиту жертв и их родственников, добивающихся справедливости и возмещения ущерба, от запугивания и преследований;</w:t>
      </w:r>
    </w:p>
    <w:p w14:paraId="3D92088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ускорить создание национального механизма правосудия переходного периода и примирения в соответствии с международным правом и стандартами в целях борьбы с безнаказанностью и обеспечения права на установление истины для всех жертв и их семей.</w:t>
      </w:r>
    </w:p>
    <w:p w14:paraId="265E2439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Недискриминация</w:t>
      </w:r>
    </w:p>
    <w:p w14:paraId="04A057E2" w14:textId="77777777" w:rsidR="003D4642" w:rsidRPr="003D4642" w:rsidRDefault="003D4642" w:rsidP="003D4642">
      <w:pPr>
        <w:pStyle w:val="SingleTxtG"/>
      </w:pPr>
      <w:r w:rsidRPr="003D4642">
        <w:t>14.</w:t>
      </w:r>
      <w:r w:rsidRPr="003D4642">
        <w:tab/>
        <w:t>Комитет приветствует информацию, представленную государством-участником в его ответах на перечень вопросов, относительно законодательных рамок, запрещающих дискриминацию, включая Трудовой кодекс (Закон № 17 от 2010 года). Вместе с тем он обеспокоен отсутствием информации об усилиях, предпринимаемых в целях принятия всеобъемлющего закона о предупреждении дискриминации и борьбе с ней. Комитет также обеспокоен сообщениями о том, что лица, принадлежащие к меньшинствам, особенно курды и езиды, продолжают подвергаться дискриминации, задержанию и насилию, в том числе сексуальному, и что курдские и езидские женщины подвергаются преследованиям и заключаются под стражу, в том числе для целей принудительного вступления в брак. Кроме того, он обеспокоен тем, что по-прежнему уголовно наказуемыми являются однополые сексуальные отношения по обоюдному согласию между совершеннолетними лицами и что лесбиянки, геи, бисексуалы и трансгендеры продолжают подвергаться преследованиям, дискриминации и насилию, в частности сексуальному (статьи 2, 26 и 27).</w:t>
      </w:r>
    </w:p>
    <w:p w14:paraId="16581CEC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15.</w:t>
      </w:r>
      <w:r w:rsidRPr="003D4642">
        <w:tab/>
      </w:r>
      <w:r w:rsidRPr="003D4642">
        <w:rPr>
          <w:b/>
          <w:bCs/>
        </w:rPr>
        <w:t>Государству-участнику следует принять соответствующие меры для ликвидации всех форм дискриминации. В частности, государству-участнику следует:</w:t>
      </w:r>
    </w:p>
    <w:p w14:paraId="4D5A3677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</w:r>
      <w:r w:rsidRPr="003D4642">
        <w:rPr>
          <w:b/>
          <w:bCs/>
          <w:spacing w:val="-1"/>
        </w:rPr>
        <w:t>принять всеобъемлющее антидискриминационное законодательство,</w:t>
      </w:r>
      <w:r w:rsidRPr="003D4642">
        <w:rPr>
          <w:b/>
          <w:bCs/>
        </w:rPr>
        <w:t xml:space="preserve"> четко охватывающее все сферы жизни и запрещающее прямую, косвенную и межсекторальную дискриминацию по всем признакам, включая расу, этническую принадлежность, возраст, гражданство, религию, миграционный статус, инвалидность, сексуальную ориентацию и гендерную идентичность;</w:t>
      </w:r>
    </w:p>
    <w:p w14:paraId="18E85DEE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lastRenderedPageBreak/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обеспечить всем лицам возможность в полной мере пользоваться, в рамках права и на практике, всеми правами человека, закрепленными в Пакте, независимо от их реальной или предполагаемой сексуальной ориентации или гендерной идентичности, в том числе путем декриминализации однополых отношений по обоюдному согласию</w:t>
      </w:r>
      <w:r w:rsidRPr="003D4642">
        <w:t xml:space="preserve"> </w:t>
      </w:r>
      <w:r w:rsidRPr="003D4642">
        <w:rPr>
          <w:b/>
          <w:bCs/>
        </w:rPr>
        <w:t>между совершеннолетними лицами;</w:t>
      </w:r>
    </w:p>
    <w:p w14:paraId="2568401D" w14:textId="47C5FAD2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</w:r>
      <w:r>
        <w:rPr>
          <w:b/>
          <w:bCs/>
        </w:rPr>
        <w:t>в</w:t>
      </w:r>
      <w:r w:rsidRPr="003D4642">
        <w:rPr>
          <w:b/>
          <w:bCs/>
        </w:rPr>
        <w:t xml:space="preserve"> частности, государству-участнику следует гарантировать, чтобы все лица, находящиеся под его юрисдикцией, в частности те, кто наиболее уязвим вследствие своей этнической или религиозной принадлежности либо реальной или предполагаемой сексуальной ориентации или гендерной идентичности, пользовались необходимой защитой от насильственных нападений и грубых нарушений прав человека и чтобы все акты насилия в отношении них оперативно и эффективно расследовались, чтобы виновные привлекались к ответственности и, в случае осуждения, подвергались соответствующим наказаниям, а жертвам предоставлялись надлежащие средства правовой защиты и эффективный доступ к юридической, медицинской, финансовой и психологической помощи.</w:t>
      </w:r>
    </w:p>
    <w:p w14:paraId="2B706B68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Чрезвычайное положение</w:t>
      </w:r>
    </w:p>
    <w:p w14:paraId="12D54A94" w14:textId="77777777" w:rsidR="003D4642" w:rsidRPr="003D4642" w:rsidRDefault="003D4642" w:rsidP="003D4642">
      <w:pPr>
        <w:pStyle w:val="SingleTxtG"/>
      </w:pPr>
      <w:r w:rsidRPr="003D4642">
        <w:t>16.</w:t>
      </w:r>
      <w:r w:rsidRPr="003D4642">
        <w:tab/>
        <w:t>Комитет приветствует вступление в силу Указа № 161 от 21 апреля 2011 года, которым было отменено давно действовавшее чрезвычайное положение и упразднен Верховный суд государственной безопасности, и принимает к сведению представленную информацию о том, что исключительные законы более не применяются. Вместе с тем он обеспокоен тем, что Законодательный декрет № 55 от 2011 года допускает исключения из гарантий в отношении предварительного заключения, позволяя содержать людей под стражей без судебного разбирательства до 60 дней за некоторые преступления, в том числе преступления, связанные с терроризмом, что подрывает право не подвергаться произвольному задержанию и право на справедливое судебное разбирательство, а также тем, что на практике люди остаются под стражей даже по истечении 60</w:t>
      </w:r>
      <w:r w:rsidRPr="003D4642">
        <w:noBreakHyphen/>
        <w:t>дневного срока. Кроме того, Комитет обеспокоен сообщениями o продолжающейся приостановке действия правовых гарантий, введенной в период чрезвычайного положения, на основании полномочий, предоставленных Контртеррористическому суду (статьи 4, 9 и 14).</w:t>
      </w:r>
    </w:p>
    <w:p w14:paraId="1B9AC26B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17.</w:t>
      </w:r>
      <w:r w:rsidRPr="003D4642">
        <w:tab/>
      </w:r>
      <w:r w:rsidRPr="003D4642">
        <w:rPr>
          <w:b/>
          <w:bCs/>
        </w:rPr>
        <w:t xml:space="preserve">В свете замечания общего порядка № 29 (2001) Комитета об отступлениях от обязательств в соответствии с положениями Пакта в период чрезвычайного положения государству-участнику следует: </w:t>
      </w:r>
    </w:p>
    <w:p w14:paraId="1B21549F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обеспечить гарантии того, чтобы любые меры, принимаемые для защиты населения в условиях чрезвычайного положения, были временными, соразмерными и строго необходимыми, а также подлежали судебному надзору;</w:t>
      </w:r>
    </w:p>
    <w:p w14:paraId="68B811C1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рассмотреть возможность внесения поправок в Законодательный декрет № 55 от 2011 года, чтобы обеспечить его соответствие положениям Пакта и исключить возможность его использования для применения отступлений от положений Пакта в период времени вне действия чрезвычайного положения;</w:t>
      </w:r>
    </w:p>
    <w:p w14:paraId="788E0994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обеспечить, чтобы законодательство не использовалось для необоснованного ограничения прав отдельных лиц, в том числе права не подвергаться произвольному задержанию и права на справедливое судебное разбирательство, с учетом того, что эти права представляют собой важные гарантии соблюдения при использовании государством-участником чрезвычайных полномочий его обязательств по Пакту;</w:t>
      </w:r>
    </w:p>
    <w:p w14:paraId="7C126541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d)</w:t>
      </w:r>
      <w:r w:rsidRPr="003D4642">
        <w:rPr>
          <w:b/>
          <w:bCs/>
        </w:rPr>
        <w:tab/>
        <w:t>гарантировать, чтобы по всем сообщениям о нарушениях прав человека проводились оперативные, тщательные, независимые и беспристрастные расследования, и обеспечить, чтобы виновные привлекались к ответственности и, в случае осуждения, подвергались наказаниям, соразмерным тяжести совершенного преступления, а жертвы получали полное возмещение ущерба.</w:t>
      </w:r>
    </w:p>
    <w:p w14:paraId="68C35D6E" w14:textId="77777777" w:rsidR="003D4642" w:rsidRPr="003D4642" w:rsidRDefault="003D4642" w:rsidP="003D4642">
      <w:pPr>
        <w:pStyle w:val="H23G"/>
      </w:pPr>
      <w:r w:rsidRPr="003D4642">
        <w:lastRenderedPageBreak/>
        <w:tab/>
      </w:r>
      <w:r w:rsidRPr="003D4642">
        <w:tab/>
        <w:t xml:space="preserve">Меры по борьбе с терроризмом </w:t>
      </w:r>
    </w:p>
    <w:p w14:paraId="29E437AE" w14:textId="77777777" w:rsidR="003D4642" w:rsidRPr="003D4642" w:rsidRDefault="003D4642" w:rsidP="003D4642">
      <w:pPr>
        <w:pStyle w:val="SingleTxtG"/>
      </w:pPr>
      <w:r w:rsidRPr="003D4642">
        <w:t>18.</w:t>
      </w:r>
      <w:r w:rsidRPr="003D4642">
        <w:tab/>
        <w:t>Признавая меры, принятые государством-участником в целях борьбы с терроризмом, Комитет выражает обеспокоенность по поводу расплывчатого определения понятия «террористический акт», содержащегося в статье 1 Законодательного декрета № 19 от 2012 года. Комитет также обеспокоен тем, что в Законе № 22 от 2012 года, которым был учрежден Контртеррористический суд, недостаточно полно изложены основные судебные гарантии, которые должен обеспечивать суд в соответствии с международными стандартами в области прав человека. В частности, статьей 7 Закона предусмотрено, что, сохраняя право на защиту, суд не должен соблюдать процедуры, предусмотренные действующим законодательством, на всех этапах и процедурах уголовного преследования и судебного разбирательства, что вызывает обеспокоенность по поводу того, что лица, особенно правозащитники и политические оппоненты, могут быть произвольно лишены свободы и подвергнуты пыткам или жестокому обращению. Кроме того, Комитет обеспокоен представленной государством-участником информацией о том, что назначение судей в Контртеррористический суд и их отставка должны санкционироваться президентским указом, что ставит под сомнение беспристрастность и независимость Суда (статьи 7, 9, 14, 15 и 17).</w:t>
      </w:r>
    </w:p>
    <w:p w14:paraId="3338C536" w14:textId="69DB6580" w:rsidR="003D4642" w:rsidRPr="003D4642" w:rsidRDefault="003D4642" w:rsidP="003D4642">
      <w:pPr>
        <w:pStyle w:val="SingleTxtG"/>
        <w:rPr>
          <w:b/>
          <w:bCs/>
        </w:rPr>
      </w:pPr>
      <w:r w:rsidRPr="003D4642">
        <w:t>19.</w:t>
      </w:r>
      <w:r w:rsidRPr="003D4642">
        <w:tab/>
      </w:r>
      <w:r w:rsidRPr="003D4642">
        <w:rPr>
          <w:b/>
          <w:bCs/>
        </w:rPr>
        <w:t xml:space="preserve">Государству-участнику следует активизировать свои усилия по обеспечению эффективных гарантий, включая надлежащий судебный надзор, </w:t>
      </w:r>
      <w:r w:rsidR="00583A8D" w:rsidRPr="007A32B9">
        <w:rPr>
          <w:b/>
          <w:bCs/>
        </w:rPr>
        <w:br/>
      </w:r>
      <w:r w:rsidRPr="003D4642">
        <w:rPr>
          <w:b/>
          <w:bCs/>
        </w:rPr>
        <w:t xml:space="preserve">в отношении любых ограничений прав человека в интересах национальной безопасности, гарантируя, чтобы такие ограничения служили законным целям и были необходимыми и соразмерными. В частности, государству-участнику следует: </w:t>
      </w:r>
    </w:p>
    <w:p w14:paraId="23F2688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пересмотреть свое антитеррористическое законодательство, в том числе Законодательный декрет № 19 от 2012 года, с тем чтобы обеспечить его соответствие Пакту и принципам законности, определенности, предсказуемости и соразмерности, а также обеспечить соответствие определения «террористического акта» резолюции 1566 (2004) Совета Безопасности и требованию, согласно которому террористический акт должен совершаться с намерением причинить смерть или серьезный ущерб здоровью;</w:t>
      </w:r>
    </w:p>
    <w:p w14:paraId="25A100ED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предпринять необходимые шаги для приведения в соответствие с Пактом Закона № 22 от 2012 года и обеспечить, чтобы лица, подозреваемые или обвиняемые в террористических актах или связанных с ними преступлениях, пользовались по закону и на практике всеми правовыми гарантиями в соответствии со статьями 9 и 14 Пакта и замечаниями общего порядка Комитета № 35 (2014) о свободе и личной неприкосновенности и № 32 (2007) о праве на равенство перед судами и трибуналами и на справедливое судебное разбирательство;</w:t>
      </w:r>
    </w:p>
    <w:p w14:paraId="2CAD3D92" w14:textId="10C6C50F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гарантировать, чтобы антитеррористические законы не применялись</w:t>
      </w:r>
      <w:r>
        <w:rPr>
          <w:b/>
          <w:bCs/>
        </w:rPr>
        <w:t xml:space="preserve"> </w:t>
      </w:r>
      <w:r w:rsidRPr="003D4642">
        <w:rPr>
          <w:b/>
          <w:bCs/>
        </w:rPr>
        <w:t>для необоснованного ограничения каких-либо прав, закрепленных в Пакте, в том числе прав адвокатов, журналистов, политических оппонентов и правозащитников;</w:t>
      </w:r>
    </w:p>
    <w:p w14:paraId="0D1FC9BB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d)</w:t>
      </w:r>
      <w:r w:rsidRPr="003D4642">
        <w:rPr>
          <w:b/>
          <w:bCs/>
        </w:rPr>
        <w:tab/>
        <w:t>принять все необходимые меры для того, чтобы гарантировать как на законодательном уровне, так и на практике полную независимость и беспристрастность судей Контртеррористического суда в соответствии с Пактом и соответствующими международными стандартами, в том числе Основными принципами независимости судебных органов.</w:t>
      </w:r>
    </w:p>
    <w:p w14:paraId="178ACD8C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Гендерное равенство</w:t>
      </w:r>
    </w:p>
    <w:p w14:paraId="42FC39B1" w14:textId="77777777" w:rsidR="003D4642" w:rsidRPr="003D4642" w:rsidRDefault="003D4642" w:rsidP="003D4642">
      <w:pPr>
        <w:pStyle w:val="SingleTxtG"/>
      </w:pPr>
      <w:r w:rsidRPr="003D4642">
        <w:t>20.</w:t>
      </w:r>
      <w:r w:rsidRPr="003D4642">
        <w:tab/>
        <w:t xml:space="preserve">Комитет приветствует усилия государства-участника по продвижению гендерного равенства, включая реализацию стратегического плана по гендерному равенству на период 2023–2030 годов и внесение поправок в Закон о личном статусе в 2019 и 2020 годах. Отмечая, что государство-участник находится в процессе пересмотра законодательства, изучая дискриминационные законы в рамках национальной правовой системы, Комитет тем не менее обеспокоен тем, что законы, </w:t>
      </w:r>
      <w:r w:rsidRPr="003D4642">
        <w:lastRenderedPageBreak/>
        <w:t>касающиеся личного статуса, в основном остаются дискриминационными в отношении женщин в вопросах брака, развода и наследования и что сохраняются законодательные положения, лишающие женщин возможности предоставлять гражданство своим детям и иностранным супругам (статьи 2, 3, 24, 25 и 26).</w:t>
      </w:r>
    </w:p>
    <w:p w14:paraId="613E203A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21.</w:t>
      </w:r>
      <w:r w:rsidRPr="003D4642">
        <w:tab/>
      </w:r>
      <w:r w:rsidRPr="003D4642">
        <w:rPr>
          <w:b/>
          <w:bCs/>
        </w:rPr>
        <w:t xml:space="preserve">Государству-участнику следует активизировать свои усилия по обеспечению реального равенства между мужчинами и женщинами во всех сферах. В частности, государству-участнику следует продолжать пересматривать свое законодательство, изменяя или отменяя дискриминационные в отношении женщин и девочек правовые положения, и принять более решительные меры, гарантирующие равенство между мужчинами и женщинами де-юре и де-факто, особенно в вопросах личного статуса и передачи гражданства от женщин к их детям и иностранным супругам. </w:t>
      </w:r>
    </w:p>
    <w:p w14:paraId="2767449D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Насилие в отношении женщин, в том числе домашнее насилие </w:t>
      </w:r>
    </w:p>
    <w:p w14:paraId="3FBFF1F5" w14:textId="77777777" w:rsidR="003D4642" w:rsidRPr="003D4642" w:rsidRDefault="003D4642" w:rsidP="003D4642">
      <w:pPr>
        <w:pStyle w:val="SingleTxtG"/>
      </w:pPr>
      <w:r w:rsidRPr="003D4642">
        <w:t>22.</w:t>
      </w:r>
      <w:r w:rsidRPr="003D4642">
        <w:tab/>
        <w:t xml:space="preserve">Комитет с удовлетворением отмечает меры, принятые государством-участником для предотвращения насилия в отношении женщин и борьбы с ним, включая принятие законодательных поправок, призванных ужесточить наказания и исключить так называемые преступления чести из числа смягчающих обстоятельств, с тем чтобы виновные лица подлежали наказанию по закону без каких-либо исключений, таких как Закон № 1 от 2011 года об Уголовном кодексе. Он также приветствует информацию о том, что всеобъемлющий законопроект, в котором устанавливается уголовная ответственность за домашнее насилие, вводятся уголовные санкции во всех случаях насилия и создаются специализированные суды, находится на завершающей стадии принятия. Тем не менее Комитет обеспокоен распространенностью насилия в отношении женщин, в том числе домашнего и сексуального насилия, а также тем, что введенные меры наказания не препятствуют совершению преступниками подобных актов (статьи 2, 3, 6, 7, 14, 17 и 26). </w:t>
      </w:r>
    </w:p>
    <w:p w14:paraId="41B22350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23.</w:t>
      </w:r>
      <w:r w:rsidRPr="003D4642">
        <w:tab/>
      </w:r>
      <w:r w:rsidRPr="003D4642">
        <w:rPr>
          <w:b/>
          <w:bCs/>
        </w:rPr>
        <w:t xml:space="preserve">Государству-участнику следует продолжать свои усилия по предотвращению, пресечению и искоренению всех форм гендерного насилия в отношении женщин. В частности, государству-участнику следует: </w:t>
      </w:r>
    </w:p>
    <w:p w14:paraId="6A018FB3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обеспечить, чтобы его национальное законодательство предусматривало запрет всех форм насилия в отношении женщин, в том числе сексуального насилия, и наказание за них, а также предоставляло действенную защиту жертв, в том числе посредством скорейшего принятия и введения в действие законопроекта, устанавливающего уголовную ответственность за насилие в семье, и создания специализированных судов, обеспечив соответствие этого законодательства положениям Пакта;</w:t>
      </w:r>
    </w:p>
    <w:p w14:paraId="58F2A57C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обеспечить тщательное расследование всех случаев насилия в отношении женщин, в том числе домашнего насилия, преследование виновных и, в случае осуждения, их наказание, соразмерное тяжести преступления, а также доступ жертв к эффективным средствам правовой защиты, получение ими полного возмещения, включая надлежащую компенсацию, а также доступ к надлежащей защите и помощи;</w:t>
      </w:r>
    </w:p>
    <w:p w14:paraId="6FC36F9E" w14:textId="141B0A68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 xml:space="preserve">обеспечить эффективную подготовку государственных служащих, включая судей, адвокатов, прокуроров, сотрудников правоохранительных органов, а также учреждений здравоохранения и социального обеспечения, </w:t>
      </w:r>
      <w:r w:rsidR="004D09E0" w:rsidRPr="007A32B9">
        <w:rPr>
          <w:b/>
          <w:bCs/>
        </w:rPr>
        <w:br/>
      </w:r>
      <w:r w:rsidRPr="003D4642">
        <w:rPr>
          <w:b/>
          <w:bCs/>
        </w:rPr>
        <w:t>в области рассмотрения дел о насилии в отношении женщин и усилить информационно-просветительские кампании для всего общества с целью преодоления социальных и культурных моделей и стереотипов, которые способствуют терпимости к гендерному насилию.</w:t>
      </w:r>
    </w:p>
    <w:p w14:paraId="379DFDFB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Смертная казнь</w:t>
      </w:r>
    </w:p>
    <w:p w14:paraId="43254A25" w14:textId="77777777" w:rsidR="003D4642" w:rsidRPr="003D4642" w:rsidRDefault="003D4642" w:rsidP="003D4642">
      <w:pPr>
        <w:pStyle w:val="SingleTxtG"/>
      </w:pPr>
      <w:r w:rsidRPr="003D4642">
        <w:t>24.</w:t>
      </w:r>
      <w:r w:rsidRPr="003D4642">
        <w:tab/>
        <w:t xml:space="preserve">Приветствуя издание указов об общей амнистии, включая Законодательный декрет № 36 от 2023 года, позволяющий заменять смертные приговоры пожизненным заключением, Комитет обеспокоен тем, что эти указы применяются не ко всем задержанным, в том числе не применяются к политическим заключенным, узникам </w:t>
      </w:r>
      <w:r w:rsidRPr="003D4642">
        <w:lastRenderedPageBreak/>
        <w:t>совести, лицам, арестованным в связи с конфликтом, и лицам, задержанным за выражение своего мнения. Он также по-прежнему обеспокоен тем, что характер преступлений, за которые в государстве-участнике предусмотрена смертная казнь, не соответствует критерию «наиболее тяжких преступлений» по смыслу пункта 2 статьи 6 Пакта. Комитет сожалеет, что государство-участник не представило никакой информации о том, рассматривает ли оно возможность присоединения ко второму Факультативному протоколу к Пакту, направленному на отмену смертной казни (статья 6).</w:t>
      </w:r>
    </w:p>
    <w:p w14:paraId="089A3D9E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25.</w:t>
      </w:r>
      <w:r w:rsidRPr="003D4642">
        <w:tab/>
      </w:r>
      <w:r w:rsidRPr="003D4642">
        <w:rPr>
          <w:b/>
          <w:bCs/>
        </w:rPr>
        <w:t>С учетом замечания общего порядка № 36 (2018) Комитета государству-участнику следует принять все необходимые меры, включая законодательные, для обеспечения того, чтобы смертная казнь применялась только за наиболее тяжкие преступления, связанные с преднамеренным убийством, и никогда не назначалась в нарушение Пакта, в том числе в нарушение процедур справедливого судебного разбирательства или в отношении лиц моложе 18 лет. Ему также следует должным образом изучить вопрос о введении моратория на смертную казнь с целью ее отмены и рассмотреть возможность присоединения ко второму Факультативному протоколу к Пакту. Комитет настоятельно призывает государство-участник активизировать свои усилия по налаживанию конструктивного национального диалога о желательности отмены смертной казни, в частности посредством соответствующих мер по повышению осведомленности.</w:t>
      </w:r>
    </w:p>
    <w:p w14:paraId="203A9783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Насильственное исчезновение </w:t>
      </w:r>
    </w:p>
    <w:p w14:paraId="02D35083" w14:textId="77777777" w:rsidR="003D4642" w:rsidRPr="003D4642" w:rsidRDefault="003D4642" w:rsidP="003D4642">
      <w:pPr>
        <w:pStyle w:val="SingleTxtG"/>
      </w:pPr>
      <w:r w:rsidRPr="003D4642">
        <w:t>26.</w:t>
      </w:r>
      <w:r w:rsidRPr="003D4642">
        <w:tab/>
        <w:t>Отмечая, что внутреннее законодательство предусматривает наказание за похищение, лишение свободы и содержание под стражей или арест без судебного решения, Комитет обеспокоен тем, что в национальном законодательстве насильственное исчезновение прямо не квалифицируется как уголовно наказуемое деяние и что существующая законодательная база не отражает должным образом юридическую и фактическую сложность случаев насильственного исчезновения. Комитет глубоко обеспокоен сформировавшейся с начала вооруженного конфликта практикой насильственных исчезновений, большинство из которых предположительно происходят по вине правительственных сил, и многочисленными сообщениями о них, а также отсутствием официальных реестров исчезнувших лиц и судебных процедур для рассмотрения подобных нарушений. Он также обеспокоен сообщениями о том, что с 2018 года власти выдали почти 1700 свидетельств о смерти исчезнувших лиц, не вернув их останки семьям. Кроме того, Комитет обеспокоен отсутствием информации и ясности в отношении существующих национальных механизмов для решения проблемы исчезновения людей, в том числе исчезновения ливанцев и сирийцев как в Ливане, так и в Сирийской Арабской Республике, особенно в отношении последующих судебных мер, доступа семей к истине и всеобъемлющего возмещения ущерба (статьи 2, 3, 6, 7, 9 и 16).</w:t>
      </w:r>
    </w:p>
    <w:p w14:paraId="7FC475D9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27.</w:t>
      </w:r>
      <w:r w:rsidRPr="003D4642">
        <w:tab/>
      </w:r>
      <w:r w:rsidRPr="003D4642">
        <w:rPr>
          <w:b/>
          <w:bCs/>
        </w:rPr>
        <w:t>Государству-участнику следует принять срочные меры для устранения и предотвращения практики насильственных исчезновений в контексте вооруженного конфликта. В частности, ему следует:</w:t>
      </w:r>
    </w:p>
    <w:p w14:paraId="2EE9F1E2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пересмотреть свою нормативно-правовую базу для обеспечения того, чтобы все формы насильственного исчезновения были четко определены в уголовном законодательстве, а соответствующие меры наказания были соизмеримы с тяжестью преступления в соответствии с международными стандартами;</w:t>
      </w:r>
    </w:p>
    <w:p w14:paraId="5FF132CE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принять все необходимые меры для борьбы с безнаказанностью и обеспечить оперативное, беспристрастное и тщательное расследование всех заявлений и сообщений о насильственных исчезновениях, привлечение к суду всех непосредственных исполнителей и соучастников и, в случае признания их виновными, назначение им мер наказания, соизмеримых с тяжестью преступлений;</w:t>
      </w:r>
    </w:p>
    <w:p w14:paraId="43370285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lastRenderedPageBreak/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устанавливать участь и местонахождение пропавших без вести лиц, а в случае смерти — устанавливать их личность и возвращать их останки, а также обеспечить, чтобы семьи регулярно информировались о ходе и результатах расследований и получали официальные административные документы, как того требуют международные стандарты, а также чтобы им предоставлялось полное возмещение, включая реабилитацию, надлежащую компенсацию и гарантии неповторения;</w:t>
      </w:r>
    </w:p>
    <w:p w14:paraId="3068818F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d)</w:t>
      </w:r>
      <w:r w:rsidRPr="003D4642">
        <w:rPr>
          <w:b/>
          <w:bCs/>
        </w:rPr>
        <w:tab/>
        <w:t>в полной мере сотрудничать с Независимым учреждением по вопросам лиц, пропавших без вести в Сирийской Арабской Республике, и рассмотреть возможность ратификации Международной конвенции для защиты всех лиц от насильственных исчезновений.</w:t>
      </w:r>
    </w:p>
    <w:p w14:paraId="343F0B3D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Запрещение пыток и других жестоких, бесчеловечных или унижающих достоинство видов обращения и наказания</w:t>
      </w:r>
    </w:p>
    <w:p w14:paraId="719EF727" w14:textId="77777777" w:rsidR="003D4642" w:rsidRPr="003D4642" w:rsidRDefault="003D4642" w:rsidP="003D4642">
      <w:pPr>
        <w:pStyle w:val="SingleTxtG"/>
      </w:pPr>
      <w:r w:rsidRPr="003D4642">
        <w:t>28.</w:t>
      </w:r>
      <w:r w:rsidRPr="003D4642">
        <w:tab/>
        <w:t>Приветствуя принятие Закона № 16 от 2022 года о предупреждении пыток, Комитет вместе с тем глубоко обеспокоен сообщениями о широко распространенных пытках или жестоком обращении, порой приводящих к смерти. Он также обеспокоен тем, что в Законе № 16 от 2022 года не предусмотрены четкие механизмы расследования и независимый механизм контроля и обеспечения соблюдения закона и его применения, а также не гарантируется возмещение ущерба бывшим жертвам пыток из-за отсутствия положений о ретроактивном применении. Он также обеспокоен тем, что некоторыми законодательными положениями может обеспечиваться иммунитет сотрудников Департамента государственной безопасности за преступления, совершенные при исполнении служебных обязанностей, например статьей 16 Законодательного декрета № 14 от 1969 года и Законодательным декретом № 69 от 2008 года. Комитет также выражает сожаление по поводу непредставления информации о применении длительного одиночного заключения (статьи 6, 7 и 10).</w:t>
      </w:r>
    </w:p>
    <w:p w14:paraId="7A7C84C2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29.</w:t>
      </w:r>
      <w:r w:rsidRPr="003D4642">
        <w:tab/>
      </w:r>
      <w:r w:rsidRPr="003D4642">
        <w:rPr>
          <w:b/>
          <w:bCs/>
        </w:rPr>
        <w:t>Государству-участнику следует принять незамедлительные меры по прекращению пыток и других форм жестокого, бесчеловечного или унижающего достоинство обращения и наказания, в том числе путем пересмотра законодательной базы, например Закона № 16 от 2022 года, с тем чтобы она полностью соответствовала положениям Пакта. В частности, государству-участнику следует:</w:t>
      </w:r>
    </w:p>
    <w:p w14:paraId="15FDEE6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принять все необходимые меры по предупреждению пыток и других жестоких, бесчеловечных или унижающих достоинство видов обращения и наказания, в том числе путем усиления подготовки судей, прокуроров, адвокатов и сотрудников правоохранительных органов в области прав человека, включая Принципы эффективного ведения опроса в ходе расследования и сбора информации, а также путем осуществления временных мер, предписанных Международным судом в ноябре 2023 года;</w:t>
      </w:r>
    </w:p>
    <w:p w14:paraId="49AFBCDC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проводить силами независимого механизма оперативные, тщательные, прозрачные и беспристрастные расследования в связи со всеми заявлениями о пытках и других жестоких, бесчеловечных или унижающих достоинство видах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Миннесотским протоколом по расследованию предположительно незаконного лишения жизни, обеспечивая преследование виновных и, в случае признания их вины, вынесение наказания, соразмерного тяжести преступления;</w:t>
      </w:r>
    </w:p>
    <w:p w14:paraId="75ED1CC9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предоставить жертвам всеобъемлющее возмещение и компенсацию, включая реабилитацию и надлежащую компенсацию;</w:t>
      </w:r>
    </w:p>
    <w:p w14:paraId="24763532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d)</w:t>
      </w:r>
      <w:r w:rsidRPr="003D4642">
        <w:rPr>
          <w:b/>
          <w:bCs/>
        </w:rPr>
        <w:tab/>
        <w:t>обеспечить всем лицам, лишенным свободы, доступ к независимому и дееспособному механизму подачи жалоб для расследования заявлений о пытках и жестоком обращении;</w:t>
      </w:r>
    </w:p>
    <w:p w14:paraId="65E38179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lastRenderedPageBreak/>
        <w:tab/>
      </w:r>
      <w:r w:rsidRPr="003D4642">
        <w:rPr>
          <w:b/>
          <w:bCs/>
        </w:rPr>
        <w:t>e)</w:t>
      </w:r>
      <w:r w:rsidRPr="003D4642">
        <w:rPr>
          <w:b/>
          <w:bCs/>
        </w:rPr>
        <w:tab/>
        <w:t>фактически ограничить применение одиночного заключения, используя его только в качестве крайней меры и в течение как можно более короткого срока, а также обеспечить, чтобы применение одиночного заключения подлежало судебному контролю;</w:t>
      </w:r>
    </w:p>
    <w:p w14:paraId="63EAF5A4" w14:textId="6776EF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f)</w:t>
      </w:r>
      <w:r w:rsidRPr="003D4642">
        <w:rPr>
          <w:b/>
          <w:bCs/>
        </w:rPr>
        <w:tab/>
        <w:t xml:space="preserve">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и продолжать сотрудничество с международными партнерами, такими как Международный комитет Красного Креста, и международными правозащитными механизмами, </w:t>
      </w:r>
      <w:r>
        <w:rPr>
          <w:b/>
          <w:bCs/>
        </w:rPr>
        <w:br/>
      </w:r>
      <w:r w:rsidRPr="003D4642">
        <w:rPr>
          <w:b/>
          <w:bCs/>
        </w:rPr>
        <w:t>в том числе со специальными процедурами Совета по правам человека.</w:t>
      </w:r>
    </w:p>
    <w:p w14:paraId="47DE89FE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Свобода и личная неприкосновенность и условия содержания под стражей </w:t>
      </w:r>
    </w:p>
    <w:p w14:paraId="3F60A0F4" w14:textId="77777777" w:rsidR="003D4642" w:rsidRPr="003D4642" w:rsidRDefault="003D4642" w:rsidP="003D4642">
      <w:pPr>
        <w:pStyle w:val="SingleTxtG"/>
      </w:pPr>
      <w:r w:rsidRPr="003D4642">
        <w:t>30.</w:t>
      </w:r>
      <w:r w:rsidRPr="003D4642">
        <w:tab/>
        <w:t>Комитет обеспокоен сообщениями о широко распространенных случаях произвольного задержания и предполагаемом использовании тайных центров содержания под стражей, некоторые из которых, как сообщается, находятся под контролем государства и связанных с ним вооруженных групп. Отмечая усилия государства-участника по сокращению переполненности мест содержания под стражей и улучшению условий содержания в них, в том числе благодаря принятому в 2024 году Министерством юстиции Законодательному декрету, санкционирующему проведение периодического контроля за центрами содержания под стражей и тюрьмами, Комитет обеспокоен сообщениями о тяжелых и плохих условиях содержания в тюрьмах, в том числе в плане гигиены и санитарии, недостаточности питания и отсутствия надлежащей медицинской помощи и лечения, особенно в военной тюрьме Сайдная, что иногда приводит к смерти (статьи 9 и 10).</w:t>
      </w:r>
    </w:p>
    <w:p w14:paraId="790B75A5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31.</w:t>
      </w:r>
      <w:r w:rsidRPr="003D4642">
        <w:tab/>
      </w:r>
      <w:r w:rsidRPr="003D4642">
        <w:rPr>
          <w:b/>
          <w:bCs/>
        </w:rPr>
        <w:t>Государству-участнику следует активизировать усилия по обеспечению того, чтобы с самого начала заключения всем задержанным лицам на практике предоставлялись все основные правовые гарантии в соответствии с замечанием общего порядка № 35 (2014) Комитета о свободе и личной неприкосновенности и чтобы условия содержания под стражей полностью отвечали соответствующим международным стандартам в области прав человека, в том числе Минимальным стандартным правилам Организации Объединенных Наций в отношении обращения с заключенными (Правила Нельсона Манделы). В частности, государству-участнику следует:</w:t>
      </w:r>
    </w:p>
    <w:p w14:paraId="47AD464F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незамедлительно прекратить использование тайных центров содержания под стражей и гарантировать надлежащую регистрацию всех задержанных лиц сразу после их задержания, их незамедлительную доставку к судье и предоставление реального доступа к периодическому судебному контролю за их содержанием под стражей;</w:t>
      </w:r>
    </w:p>
    <w:p w14:paraId="5D6F18D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продолжать усилия по сокращению переполненности тюрем, в том числе путем более широкого применения мер, не связанных с лишением свободы, как это предусмотрено в Минимальных стандартных правилах Организации Объединенных Наций в отношении мер, не связанных с тюремным заключением (Токийские правила), в качестве альтернативы тюремному заключению;</w:t>
      </w:r>
    </w:p>
    <w:p w14:paraId="0A18EFA3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улучшить условия содержания в местах лишения свободы и обеспечить надлежащий доступ к питанию, питьевой воде и медицинскому обслуживанию;</w:t>
      </w:r>
    </w:p>
    <w:p w14:paraId="79ADF98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d)</w:t>
      </w:r>
      <w:r w:rsidRPr="003D4642">
        <w:rPr>
          <w:b/>
          <w:bCs/>
        </w:rPr>
        <w:tab/>
        <w:t>содействовать осуществлению независимого, эффективного и регулярного мониторинга всех мест содержания под стражей, находящихся под его фактическим контролем, включая места, контролируемые спецслужбами, без предварительного уведомления и без какого-либо надзора, в том числе путем создания независимого механизма мониторинга условий содержания в тюрьмах;</w:t>
      </w:r>
    </w:p>
    <w:p w14:paraId="224AD4E3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e)</w:t>
      </w:r>
      <w:r w:rsidRPr="003D4642">
        <w:rPr>
          <w:b/>
          <w:bCs/>
        </w:rPr>
        <w:tab/>
        <w:t>обеспечить обязательную подготовку соответствующих сотрудников правоохранительных органов, а также судей, прокуроров и других специалистов в области права по вопросам предотвращения смертей в местах содержания под стражей.</w:t>
      </w:r>
    </w:p>
    <w:p w14:paraId="2BD5D352" w14:textId="77777777" w:rsidR="003D4642" w:rsidRPr="003D4642" w:rsidRDefault="003D4642" w:rsidP="003D4642">
      <w:pPr>
        <w:pStyle w:val="H23G"/>
      </w:pPr>
      <w:r w:rsidRPr="003D4642">
        <w:lastRenderedPageBreak/>
        <w:tab/>
      </w:r>
      <w:r w:rsidRPr="003D4642">
        <w:tab/>
        <w:t xml:space="preserve">Ликвидация рабства, принудительного труда и торговли людьми </w:t>
      </w:r>
    </w:p>
    <w:p w14:paraId="4518B5DF" w14:textId="77777777" w:rsidR="003D4642" w:rsidRPr="003D4642" w:rsidRDefault="003D4642" w:rsidP="003D4642">
      <w:pPr>
        <w:pStyle w:val="SingleTxtG"/>
      </w:pPr>
      <w:r w:rsidRPr="003D4642">
        <w:t>32.</w:t>
      </w:r>
      <w:r w:rsidRPr="003D4642">
        <w:tab/>
        <w:t>Комитет приветствует усилия государства-участника, в том числе в части принятия Закона о предупреждении торговли людьми и борьбе с ней (Указ № 3 2010 года) и реализации национальных планов, в целях предупреждения торговли людьми и борьбы с ней. Вместе с тем он выражает сожаление по поводу отсутствия статистических данных по выявлению и защите жертв, в том числе детей, ставших жертвами торговли людьми и используемых в качестве солдат и для целей сексуальной эксплуатации в контексте вооруженного конфликта, а также по привлечению к уголовной ответственности и осуждению виновных (статьи 2, 7, 8, 24 и 26).</w:t>
      </w:r>
    </w:p>
    <w:p w14:paraId="600617FB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33.</w:t>
      </w:r>
      <w:r w:rsidRPr="003D4642">
        <w:tab/>
      </w:r>
      <w:r w:rsidRPr="003D4642">
        <w:rPr>
          <w:b/>
          <w:bCs/>
        </w:rPr>
        <w:t xml:space="preserve">Государству-участнику следует продолжать свои усилия по обеспечению эффективного применения существующих механизмов борьбы с торговлей людьми, в том числе путем более активного выявления жертв, проведения расследований и судебного преследования виновных и принятия мер по защите и реабилитации жертв и предоставления им компенсации с учетом гендерных и возрастных особенностей. Ему следует продолжать свои усилия и принять все необходимые меры для запрещения торговли детьми и их использования в качестве солдат и для целей сексуальной эксплуатации в соответствии со статьей 24 Пакта, а также активизировать кампании по предотвращению торговли людьми и повышению осведомленности об этом явлении, с тем чтобы побудить жертв обращаться за защитой, и реализацию программ подготовки, предназначенных для государственных служащих и других лиц, ответственных за расследование случаев торговли людьми и судебное преследование виновных. </w:t>
      </w:r>
    </w:p>
    <w:p w14:paraId="64D2EE92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Внутренне перемещенные лица и право на неприкосновенность частной жизни и свободу передвижения </w:t>
      </w:r>
    </w:p>
    <w:p w14:paraId="0B173095" w14:textId="77777777" w:rsidR="003D4642" w:rsidRPr="003D4642" w:rsidRDefault="003D4642" w:rsidP="003D4642">
      <w:pPr>
        <w:pStyle w:val="SingleTxtG"/>
      </w:pPr>
      <w:r w:rsidRPr="003D4642">
        <w:t>34.</w:t>
      </w:r>
      <w:r w:rsidRPr="003D4642">
        <w:tab/>
        <w:t>Комитет с удовлетворением отмечает сотрудничество государства-участника с Верховным комиссаром Организации Объединенных Наций по делам беженцев, о котором было объявлено в октябре 2023 года. Вместе с тем, признавая, что миллионы сирийцев покинули страну или оказались в положении внутренне перемещенных лиц и желают вернуться домой в достойные условия, Комитет обеспокоен неоднозначным и произвольным характером осуществляемого правительством процесса примирения и сообщениями о серьезных нарушениях прав человека, совершаемых в отношении внутренне перемещенных лиц и сирийских репатриантов, в частности о сексуальном насилии и рабстве, в том числе в отношении детей. Кроме того, Комитет обеспокоен требованием о получении лицами так называемого разрешения органов безопасности для участия в некоторых аспектах повседневной жизни, включая аренду или покупку жилья (статьи 3, 9, 12, 17, 24 и 26).</w:t>
      </w:r>
    </w:p>
    <w:p w14:paraId="13AF79EE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35.</w:t>
      </w:r>
      <w:r w:rsidRPr="003D4642">
        <w:tab/>
      </w:r>
      <w:r w:rsidRPr="003D4642">
        <w:rPr>
          <w:b/>
          <w:bCs/>
        </w:rPr>
        <w:t>Государству-участнику следует активизировать свои усилия по ускорению поиска устойчивых решений в интересах внутренне перемещенных лиц и сирийских репатриантов в консультации с ними и с соблюдением соответствующих международных стандартов, включая Пакт и Руководящие принципы по вопросу о перемещении лиц внутри страны. Ему следует принять конкретные меры для обеспечения эффективного и четкого процесса примирения для всех внутренне перемещенных лиц и сирийских репатриантов, в том числе путем реализации программ устойчивой реинтеграции возвращающихся лиц, и предотвращения всех форм насилия в отношении перемещенных и репатриированных женщин и девочек, особенно сексуального насилия, обеспечивая жертвам защиту и оперативный доступ к основным услугам, таким как образование и здравоохранение. Государству-участнику также следует рассмотреть возможность отмены законодательных актов, требующих от сирийских граждан получения разрешения на работу в органах безопасности.</w:t>
      </w:r>
    </w:p>
    <w:p w14:paraId="4DE562F9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Доступ к правосудию, независимость судебных органов и право на справедливое судебное разбирательство</w:t>
      </w:r>
    </w:p>
    <w:p w14:paraId="7412B72E" w14:textId="77777777" w:rsidR="003D4642" w:rsidRPr="003D4642" w:rsidRDefault="003D4642" w:rsidP="003D4642">
      <w:pPr>
        <w:pStyle w:val="SingleTxtG"/>
      </w:pPr>
      <w:r w:rsidRPr="003D4642">
        <w:t>36.</w:t>
      </w:r>
      <w:r w:rsidRPr="003D4642">
        <w:tab/>
        <w:t xml:space="preserve">Комитет приветствует отмену Законодательным декретом 2023 года деятельности военно-полевых судов. Вместе с тем Комитет обеспокоен отсутствием </w:t>
      </w:r>
      <w:r w:rsidRPr="003D4642">
        <w:lastRenderedPageBreak/>
        <w:t>транспарентности в передаче дел из военно-полевых судов в военные суды и отсутствием ясности в отношении правовой базы, регулирующей процедуру рассмотрения дел в нынешних военных судах и Контртеррористическом суде. Кроме того, Комитет обеспокоен по поводу того, соблюдают ли вышеупомянутые суды гарантии, предусмотренные в статье 14 Пакта. Он также обеспокоен тем, что в соответствии со статьей 1 Закона № 29 от 2023 года мандат военной судебной системы расширяется за счет включения в него сотрудников, связанных с неофициальными правительственными силами, воюющими наряду с официальными правительственными силами. Комитет обеспокоен тем, что судебная система находится под значительным влиянием исполнительной власти, представленной Президентом, который возглавляет Высший судебный совет, а также тем, что министр юстиции действует от имени Президента, что судьи фактически считаются государственными служащими и что четыре из семи членов Высшего судебного совета назначаются правительством (статьи 2 и 14).</w:t>
      </w:r>
    </w:p>
    <w:p w14:paraId="0D0A5FEB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37.</w:t>
      </w:r>
      <w:r w:rsidRPr="003D4642">
        <w:tab/>
      </w:r>
      <w:r w:rsidRPr="003D4642">
        <w:rPr>
          <w:b/>
          <w:bCs/>
        </w:rPr>
        <w:t>Государству-участнику следует:</w:t>
      </w:r>
    </w:p>
    <w:p w14:paraId="620E65C1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обеспечить защиту архивов и протоколов судебных процессов, проведенных в полевых военных судах, и вынесенных ими приговоров, а также публично раскрыть информацию об участи и местонахождении лиц, ранее осужденных в ходе разбирательств в полевых военных судах;</w:t>
      </w:r>
    </w:p>
    <w:p w14:paraId="5D627D7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обеспечить, чтобы все судебные разбирательства, в том числе в военных судах и Контртеррористическом суде, проводились при полном соблюдении гарантий надлежащей правовой процедуры, изложенных в статье 14 Пакта, и в свете замечания общего порядка № 32 (2007) Комитета о праве на равенство перед судами и трибуналами и на справедливое судебное разбирательство;</w:t>
      </w:r>
    </w:p>
    <w:p w14:paraId="26745510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пересмотреть свое законодательство, касающееся юрисдикции военных судов, в том числе Закон № 29 от 2023 года, с тем чтобы обеспечить его полное соответствие Пакту, а также обеспечить рассмотрение дел гражданских лиц на практике только в обычных судах;</w:t>
      </w:r>
    </w:p>
    <w:p w14:paraId="57F012F0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d)</w:t>
      </w:r>
      <w:r w:rsidRPr="003D4642">
        <w:rPr>
          <w:b/>
          <w:bCs/>
        </w:rPr>
        <w:tab/>
        <w:t>принять незамедлительные меры с целью предотвращения всех форм необоснованного вмешательства в деятельность судебной системы со стороны законодательной и исполнительной власти, а также гарантировать как на законодательном уровне, так и на практике полную независимость и беспристрастность судей, в том числе путем обеспечения прозрачности и беспристрастности процедур отбора, назначения, продвижения по службе, наказания и смещения судей и обеспечения независимости Высшего судебного совета от исполнительной власти, в соответствии с положениями Пакта и соответствующими международными стандартами, в том числе с Основными принципами независимости судебных органов.</w:t>
      </w:r>
    </w:p>
    <w:p w14:paraId="30137002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Право на свободу совести </w:t>
      </w:r>
    </w:p>
    <w:p w14:paraId="74BCC900" w14:textId="77777777" w:rsidR="003D4642" w:rsidRPr="003D4642" w:rsidRDefault="003D4642" w:rsidP="003D4642">
      <w:pPr>
        <w:pStyle w:val="SingleTxtG"/>
      </w:pPr>
      <w:r w:rsidRPr="003D4642">
        <w:t>38.</w:t>
      </w:r>
      <w:r w:rsidRPr="003D4642">
        <w:tab/>
        <w:t xml:space="preserve">Приветствуя информацию о том, что государство-участник рассматривает возможность сокращения продолжительности обязательной военной службы, Комитет по-прежнему обеспокоен тем, что государство-участник продолжает разрешать лицам отказываться от военной службы за счет уплаты сбора и не признает право на отказ от военной службы по соображениям совести (статья 18). </w:t>
      </w:r>
    </w:p>
    <w:p w14:paraId="097801C2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39.</w:t>
      </w:r>
      <w:r w:rsidRPr="003D4642">
        <w:tab/>
      </w:r>
      <w:r w:rsidRPr="003D4642">
        <w:rPr>
          <w:b/>
          <w:bCs/>
        </w:rPr>
        <w:t>Комитет повторяет свою предыдущую рекомендацию</w:t>
      </w:r>
      <w:r w:rsidRPr="003D4642">
        <w:rPr>
          <w:sz w:val="18"/>
          <w:szCs w:val="18"/>
          <w:vertAlign w:val="superscript"/>
        </w:rPr>
        <w:footnoteReference w:id="6"/>
      </w:r>
      <w:r w:rsidRPr="003D4642">
        <w:rPr>
          <w:b/>
          <w:bCs/>
        </w:rPr>
        <w:t xml:space="preserve"> и настоятельно призывает государство-участник уважать право на отказ от военной службы по соображениям совести и рассмотреть возможность создания альтернативной гражданской службы, не носящей карательного характера.</w:t>
      </w:r>
    </w:p>
    <w:p w14:paraId="5BE83396" w14:textId="77777777" w:rsidR="003D4642" w:rsidRPr="003D4642" w:rsidRDefault="003D4642" w:rsidP="003D4642">
      <w:pPr>
        <w:pStyle w:val="H23G"/>
      </w:pPr>
      <w:r w:rsidRPr="003D4642">
        <w:lastRenderedPageBreak/>
        <w:tab/>
      </w:r>
      <w:r w:rsidRPr="003D4642">
        <w:tab/>
        <w:t xml:space="preserve">Свобода выражения мнений </w:t>
      </w:r>
    </w:p>
    <w:p w14:paraId="760FDF99" w14:textId="77777777" w:rsidR="003D4642" w:rsidRPr="003D4642" w:rsidRDefault="003D4642" w:rsidP="003D4642">
      <w:pPr>
        <w:pStyle w:val="SingleTxtG"/>
      </w:pPr>
      <w:r w:rsidRPr="003D4642">
        <w:t>40.</w:t>
      </w:r>
      <w:r w:rsidRPr="003D4642">
        <w:tab/>
        <w:t>Комитет обеспокоен сообщениями о цензуре новостных сайтов и материалов социальных сетей в районах, находящихся под контролем правительства, особенно средств массовой информации, в критическом ключе освещающих деятельность правительства, а также тем, что решения, касающиеся цензуры в Интернете, не отличаются прозрачностью. Он обеспокоен тем, что Законодательным декретом № 20 от 2022 года вводятся более строгие наказания за критику сил безопасности и государственных служащих, особенно если акты диффамации или неуважения совершаются в отношении государственной организации, а также тем, что в законодательстве отсутствует четкое определение действий, подрывающих престиж государства или угрожающих национальному единству. Комитет также обеспокоен сообщениями о том, что Закон № 19 от 2024 года наделяет новое Министерство информации широкими полномочиями по контролю всех аспектов деятельности средств массовой информации. Он также обеспокоен тем, что журналисты и другие работники средств массовой информации отстранены от участия в подготовке нового закона о средствах массовой информации, который разрабатывается в настоящее время. Кроме того, Комитет обеспокоен продолжающимися преследованиями, нападениями и насилием в отношении журналистов, правозащитников, гуманитарных работников, блогеров и других работников средств массовой информации (статьи 19 и 20).</w:t>
      </w:r>
    </w:p>
    <w:p w14:paraId="5A01F62E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41.</w:t>
      </w:r>
      <w:r w:rsidRPr="003D4642">
        <w:tab/>
      </w:r>
      <w:r w:rsidRPr="003D4642">
        <w:rPr>
          <w:b/>
          <w:bCs/>
        </w:rPr>
        <w:t>Государству-участнику следует принять все необходимые меры, чтобы гарантировать полное осуществление каждым человеком права на свободу выражения мнения в соответствии со статьей 19 Пакта и Замечанием общего порядка Комитета № 34 (2011) о свободе мнений и их выражения, а также чтобы любые ограничения соответствовали строгим требованиям пункта 3 статьи 19 Пакта. При этом государству-участнику следует:</w:t>
      </w:r>
    </w:p>
    <w:p w14:paraId="184E1775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>провести обзор и пересмотр Закона № 20 от 2022 года, чтобы избежать использования расплывчатой терминологии и чрезмерно широких ограничений и обеспечить его соответствие Пакту;</w:t>
      </w:r>
    </w:p>
    <w:p w14:paraId="06E6A7B1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рассмотреть возможность исключения диффамации из разряда преступлений и ограничить применение уголовного законодательства только наиболее серьезными случаями диффамации, памятуя о том, что лишение свободы никоим образом не является надлежащей мерой наказания в таких случаях;</w:t>
      </w:r>
    </w:p>
    <w:p w14:paraId="59BBF004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принять необходимые меры для обеспечения того, чтобы Министерство информации выполняло свои функции независимым, прозрачным и беспристрастным образом;</w:t>
      </w:r>
    </w:p>
    <w:p w14:paraId="19F3A492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d)</w:t>
      </w:r>
      <w:r w:rsidRPr="003D4642">
        <w:rPr>
          <w:b/>
          <w:bCs/>
        </w:rPr>
        <w:tab/>
        <w:t xml:space="preserve">обеспечить, чтобы предложения по новому закону о средствах массовой информации предусматривали строгие гарантии и надзор, в том числе судебный контроль, в соответствии с международными стандартами, а также обеспечить значимое участие журналистов и других работников средств массовой информации и проведение консультаций с ними в процессе разработки закона, с тем чтобы гарантировать надлежащую защиту их прав в рамках нового закона; </w:t>
      </w:r>
    </w:p>
    <w:p w14:paraId="32FD23B8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e)</w:t>
      </w:r>
      <w:r w:rsidRPr="003D4642">
        <w:rPr>
          <w:b/>
          <w:bCs/>
        </w:rPr>
        <w:tab/>
        <w:t>действенным образом предотвращать и пресекать акты преследования, нападений и насилия в отношении журналистов, работников средств массовой информации и правозащитников, чтобы обеспечить им возможность эффективно выполнять свою работу, не опасаясь репрессий.</w:t>
      </w:r>
    </w:p>
    <w:p w14:paraId="345029E7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Право на мирные собрания </w:t>
      </w:r>
    </w:p>
    <w:p w14:paraId="02645784" w14:textId="77777777" w:rsidR="003D4642" w:rsidRPr="003D4642" w:rsidRDefault="003D4642" w:rsidP="003D4642">
      <w:pPr>
        <w:pStyle w:val="SingleTxtG"/>
      </w:pPr>
      <w:r w:rsidRPr="003D4642">
        <w:t>42.</w:t>
      </w:r>
      <w:r w:rsidRPr="003D4642">
        <w:tab/>
        <w:t xml:space="preserve">Комитет принимает к сведению информацию государства-участника о законодательной базе, предусматривающей право на мирные собрания, в том числе о Законодательном декрете № 54 от 2011 года. Вместе с тем он обеспокоен сообщениями о том, что на практике не допускаются даже небольшие мирные собрания и разрешение на их проведение выдается только группам, связанным с </w:t>
      </w:r>
      <w:r w:rsidRPr="003D4642">
        <w:lastRenderedPageBreak/>
        <w:t>правительством. Кроме того, Комитет обеспокоен тем, что, как свидетельствуют многочисленные сообщения, против демонстрантов применяется чрезмерная сила (статьи 6, 7, 9 и 21).</w:t>
      </w:r>
    </w:p>
    <w:p w14:paraId="5E7E1933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43.</w:t>
      </w:r>
      <w:r w:rsidRPr="003D4642">
        <w:tab/>
      </w:r>
      <w:r w:rsidRPr="003D4642">
        <w:rPr>
          <w:b/>
          <w:bCs/>
        </w:rPr>
        <w:t>В свете замечания общего порядка № 37 (2020) Комитета о праве на мирные собрания государству-участнику следует обеспечить, чтобы на практике люди в полной мере пользовались своим правом на мирные собрания и чтобы любые ограничения этого права соответствовали строгим требованиям статьи 21 Пакта. Кроме того, ему следует обеспечить, чтобы его законодательство допускало применение потенциально смертоносной силы сотрудниками правоохранительных органов в контексте собраний только в качестве крайней меры и только в случае необходимости защиты жизни или предотвращения серьезных травм в результате неминуемой угрозы, а также обеспечить регулярное ознакомление всех сотрудников правоохранительных органов с правилами применения силы согласно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деятельности. Государству-участнику следует обеспечить проведение оперативных, тщательных, эффективных, независимых и беспристрастных расследований всех инцидентов, связанных с чрезмерным применением силы сотрудниками правоохранительных органов, преследование виновных, а в случае признания их вины — наказание, а также предоставление жертвам эффективных средств правовой защиты.</w:t>
      </w:r>
    </w:p>
    <w:p w14:paraId="2699A6DA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 xml:space="preserve">Свобода ассоциации </w:t>
      </w:r>
    </w:p>
    <w:p w14:paraId="6FA2C432" w14:textId="77777777" w:rsidR="003D4642" w:rsidRPr="003D4642" w:rsidRDefault="003D4642" w:rsidP="003D4642">
      <w:pPr>
        <w:pStyle w:val="SingleTxtG"/>
      </w:pPr>
      <w:r w:rsidRPr="003D4642">
        <w:t>44.</w:t>
      </w:r>
      <w:r w:rsidRPr="003D4642">
        <w:tab/>
        <w:t>Комитет обеспокоен тем, что Закон о частных ассоциациях и учреждениях № 93 от 1958 года наделяет правительство чрезмерно широкими полномочиями, фактически препятствуя осуществлению права на свободу ассоциации, в том числе вследствие: a)</w:t>
      </w:r>
      <w:r w:rsidRPr="003D4642">
        <w:rPr>
          <w:lang w:val="en-US"/>
        </w:rPr>
        <w:t> </w:t>
      </w:r>
      <w:r w:rsidRPr="003D4642">
        <w:t>предоставления правительству полного права решать, может ли ассоциация быть зарегистрирована или нет, и отменять регистрацию организации, если Министерство социальных дел и труда сообщает, что она может нанести ущерб «общественной морали»; b) запрещения ассоциациям получать иностранное финансирование без предварительного получения разрешения правительства; и c) предоставления правительству права иметь своего представителя на ежегодных общих собраниях и включать какое-либо лицо в состав совета директоров любой ассоциации (статья 22).</w:t>
      </w:r>
    </w:p>
    <w:p w14:paraId="524DAB8C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45.</w:t>
      </w:r>
      <w:r w:rsidRPr="003D4642">
        <w:tab/>
      </w:r>
      <w:r w:rsidRPr="003D4642">
        <w:rPr>
          <w:b/>
          <w:bCs/>
        </w:rPr>
        <w:t>В соответствии со статьей 22 Пакта государству-участнику следует принять необходимые меры для того, чтобы гарантировать в законодательстве и на практике эффективное осуществление права на свободу ассоциации и чтобы члены правозащитных организаций могли пользоваться своей свободой ассоциации, не подвергаясь ограничениям, несовместимым с Пактом. В частности, ему следует рассмотреть вопрос об отмене или изменении Закона № 93 1958 года о частных ассоциациях и учреждениях для обеспечения того, чтобы организации гражданского общества могли работать без необоснованного влияния со стороны правительства и не опасаясь репрессий или незаконных ограничений на свою деятельность.</w:t>
      </w:r>
    </w:p>
    <w:p w14:paraId="08BAFD98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Права ребенка</w:t>
      </w:r>
    </w:p>
    <w:p w14:paraId="089F5AA2" w14:textId="5EAA7E2D" w:rsidR="003D4642" w:rsidRPr="003D4642" w:rsidRDefault="003D4642" w:rsidP="003D4642">
      <w:pPr>
        <w:pStyle w:val="SingleTxtG"/>
      </w:pPr>
      <w:r w:rsidRPr="003D4642">
        <w:t>46.</w:t>
      </w:r>
      <w:r w:rsidRPr="003D4642">
        <w:tab/>
        <w:t>Комитет глубоко обеспокоен сообщениями о ряде нарушений прав человека в контексте вооруженного конфликта, затрагивающих детей, включая, помимо прочего, убийства, принудительную вербовку, сексуальное насилие, принудительные браки, произвольные задержания и отсутствие доступа к образованию. В</w:t>
      </w:r>
      <w:r>
        <w:t xml:space="preserve"> </w:t>
      </w:r>
      <w:r w:rsidRPr="003D4642">
        <w:t xml:space="preserve">свете этих сообщений Комитет приветствует информацию о консультациях между Организацией Объединенных Наций и государством-участником по завершению разработки всеобъемлющего плана в интересах детей, затронутых вооруженным конфликтом, и о скором принятии закона о восстановительном правосудии в отношении детей, которые были завербованы в вооруженные группы. Кроме того, признавая сложность ситуации и необходимость всестороннего международного сотрудничества со стороны других </w:t>
      </w:r>
      <w:r w:rsidRPr="003D4642">
        <w:lastRenderedPageBreak/>
        <w:t>государств-участников, Комитет обеспокоен огромным числом детей, находящихся в лагерях на севере Сирийской Арабской Республики, которые не были репатриированы. Он также обеспокоен тем, что, хотя государство-участник приняло меры для обеспечения регистрации всех рождений, в том числе с помощью Закона о гражданском состоянии № 13 от 2021 года и Законодательного декрета № 2 от 2023</w:t>
      </w:r>
      <w:r w:rsidRPr="003D4642">
        <w:rPr>
          <w:lang w:val="en-US"/>
        </w:rPr>
        <w:t> </w:t>
      </w:r>
      <w:r w:rsidRPr="003D4642">
        <w:t>года и создания единой службы регистрации актов гражданского состояния, дети, особенно перемещенные либо проживающие в настоящее время или ранее проживавшие в районах, не контролируемых государством, по-прежнему сталкиваются с трудностями при регистрации своего рождения (статьи 8, 23, 24 и 26).</w:t>
      </w:r>
    </w:p>
    <w:p w14:paraId="6464A4FC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47.</w:t>
      </w:r>
      <w:r w:rsidRPr="003D4642">
        <w:tab/>
      </w:r>
      <w:r w:rsidRPr="003D4642">
        <w:rPr>
          <w:b/>
          <w:bCs/>
        </w:rPr>
        <w:t>Государству-участнику следует продолжать и активизировать свои усилия по защите детей от нарушений прав человека в контексте вооруженного конфликта и обеспечить, чтобы дети, которые использовались в ходе вооруженного конфликта или были завербованы для участия в нем, получали надлежащую помощь в целях их физического и психологического восстановления и реинтеграции в соответствии с обязательствами государства-участника по Факультативному протоколу к Конвенции о правах ребенка, касающемуся участия детей в вооруженных конфликтах. В частности, ему следует обеспечить оперативное принятие и надлежащую реализацию всеобъемлющего плана в интересах детей, затронутых вооруженным конфликтом, и закона о восстановительном правосудии в отношении детей, которые были завербованы в вооруженные группы. Ему также следует продолжать усилия по обеспечению координации и сотрудничества с соответствующими организациями и другими государствами-участниками в целях обеспечения быстрой и безопасной репатриации всех детей, находящихся в зонах конфликта, и расширения доступа к регистрации рождений, особенно для перемещенных общин и тех, кто проживает в настоящее время или ранее проживал в районах, не контролируемых государством.</w:t>
      </w:r>
    </w:p>
    <w:p w14:paraId="041A30DE" w14:textId="77777777" w:rsidR="003D4642" w:rsidRPr="003D4642" w:rsidRDefault="003D4642" w:rsidP="003D4642">
      <w:pPr>
        <w:pStyle w:val="H23G"/>
      </w:pPr>
      <w:r w:rsidRPr="003D4642">
        <w:tab/>
      </w:r>
      <w:r w:rsidRPr="003D4642">
        <w:tab/>
        <w:t>Участие в ведении государственных дел</w:t>
      </w:r>
    </w:p>
    <w:p w14:paraId="7BD1558A" w14:textId="1186DCEC" w:rsidR="003D4642" w:rsidRPr="003D4642" w:rsidRDefault="003D4642" w:rsidP="003D4642">
      <w:pPr>
        <w:pStyle w:val="SingleTxtG"/>
      </w:pPr>
      <w:r w:rsidRPr="003D4642">
        <w:t>48.</w:t>
      </w:r>
      <w:r w:rsidRPr="003D4642">
        <w:tab/>
        <w:t>С удовлетворением отмечая, что Сирийская комиссия по делам семьи в партнерстве с различными национальными органами предпринимает ряд шагов по поощрению участия женщин в политической жизни, что включает в себя начало проведения общенациональной кампании, Комитет по-прежнему обеспокоен тем, что представленность женщин в местных административных советах, составляющая в настоящее время 7,2</w:t>
      </w:r>
      <w:r w:rsidR="003D7CE1">
        <w:t> </w:t>
      </w:r>
      <w:r w:rsidRPr="003D4642">
        <w:t>%, остается низкой. Отмечая внешние обстоятельства, такие как пандемия коронавирусной инфекции (COVID</w:t>
      </w:r>
      <w:r w:rsidRPr="003D4642">
        <w:noBreakHyphen/>
        <w:t>19), которая негативным образом сказалась на доступе людей к местам проведения выборов, Комитет обеспокоен значительным снижением явки избирателей на выборах в законодательные органы, состоявшихся в 2020 году, по сравнению с предыдущими годами. Он также обеспокоен сообщениями, ставящими под сомнение эффективность, нейтральность и независимость Высшего судебного комитета по выборам и его подкомитета (статьи 25 и 26).</w:t>
      </w:r>
    </w:p>
    <w:p w14:paraId="28CB855F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49.</w:t>
      </w:r>
      <w:r w:rsidRPr="003D4642">
        <w:tab/>
      </w:r>
      <w:r w:rsidRPr="003D4642">
        <w:rPr>
          <w:b/>
          <w:bCs/>
        </w:rPr>
        <w:t xml:space="preserve">Государству-участнику следует обеспечить, чтобы его избирательное законодательство и практика полностью соответствовали Пакту, в частности его статье 25, и в свете руководящих принципов для государств по эффективному осуществлению права на участие в ведении государственных дел следует: </w:t>
      </w:r>
    </w:p>
    <w:p w14:paraId="22C85944" w14:textId="0993CEE5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a)</w:t>
      </w:r>
      <w:r w:rsidRPr="003D4642">
        <w:rPr>
          <w:b/>
          <w:bCs/>
        </w:rPr>
        <w:tab/>
        <w:t xml:space="preserve">продолжать и активизировать свои усилия по обеспечению полного и эффективного осуществления женщинами права на участие в общественной и политической жизни, в том числе путем принятия действенных мер по увеличению представленности женщин в общественной и политической жизни, </w:t>
      </w:r>
      <w:r w:rsidR="00E02617">
        <w:rPr>
          <w:b/>
          <w:bCs/>
        </w:rPr>
        <w:br/>
      </w:r>
      <w:r w:rsidRPr="003D4642">
        <w:rPr>
          <w:b/>
          <w:bCs/>
        </w:rPr>
        <w:t>в частности на руководящих должностях на национальном и местном уровнях;</w:t>
      </w:r>
    </w:p>
    <w:p w14:paraId="7B1551AD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ab/>
      </w:r>
      <w:r w:rsidRPr="003D4642">
        <w:rPr>
          <w:b/>
          <w:bCs/>
        </w:rPr>
        <w:t>b)</w:t>
      </w:r>
      <w:r w:rsidRPr="003D4642">
        <w:rPr>
          <w:b/>
          <w:bCs/>
        </w:rPr>
        <w:tab/>
        <w:t>принять меры для повышения явки избирателей, в частности путем принятия всех необходимых мер для обеспечения того, чтобы все лица, имеющие право голоса, могли осуществить это право, в том числе путем обеспечения реального доступа к местам проведения выборов;</w:t>
      </w:r>
    </w:p>
    <w:p w14:paraId="7BEB6117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lastRenderedPageBreak/>
        <w:tab/>
      </w:r>
      <w:r w:rsidRPr="003D4642">
        <w:rPr>
          <w:b/>
          <w:bCs/>
        </w:rPr>
        <w:t>c)</w:t>
      </w:r>
      <w:r w:rsidRPr="003D4642">
        <w:rPr>
          <w:b/>
          <w:bCs/>
        </w:rPr>
        <w:tab/>
        <w:t>принять все необходимые меры для обеспечения того, чтобы Высший судебный комитет по выборам и его подкомитет были беспристрастными и независимыми от политических партий и могли обеспечивать справедливость, прозрачность, инклюзивность и плюрализм при выполнении своего мандата, а также чтобы их решения подлежали судебному пересмотру.</w:t>
      </w:r>
    </w:p>
    <w:p w14:paraId="0FF8AA51" w14:textId="77777777" w:rsidR="003D4642" w:rsidRPr="003D4642" w:rsidRDefault="003D4642" w:rsidP="003D4642">
      <w:pPr>
        <w:pStyle w:val="H1G"/>
      </w:pPr>
      <w:r w:rsidRPr="003D4642">
        <w:tab/>
        <w:t>D.</w:t>
      </w:r>
      <w:r w:rsidRPr="003D4642">
        <w:tab/>
      </w:r>
      <w:r w:rsidRPr="003D4642">
        <w:tab/>
        <w:t>Распространение информации и последующие действия</w:t>
      </w:r>
    </w:p>
    <w:p w14:paraId="51AA9BBF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50.</w:t>
      </w:r>
      <w:r w:rsidRPr="003D4642">
        <w:tab/>
      </w:r>
      <w:r w:rsidRPr="003D4642">
        <w:rPr>
          <w:b/>
          <w:bCs/>
        </w:rPr>
        <w:t xml:space="preserve">Государству-участнику следует обеспечить широкое распространение Пакта, своего четвертого периодического доклада и настоящих заключительных замечаний в целях повышения уровня осведомленности о закрепленных в Пакте правах среди судебных, законодательных и административных органов, гражданского общества, действующих в стране неправительственных организаций и широкой общественности. </w:t>
      </w:r>
    </w:p>
    <w:p w14:paraId="1925E2AE" w14:textId="77777777" w:rsidR="003D4642" w:rsidRPr="003D4642" w:rsidRDefault="003D4642" w:rsidP="003D4642">
      <w:pPr>
        <w:pStyle w:val="SingleTxtG"/>
        <w:rPr>
          <w:b/>
          <w:bCs/>
        </w:rPr>
      </w:pPr>
      <w:r w:rsidRPr="003D4642">
        <w:t>51.</w:t>
      </w:r>
      <w:r w:rsidRPr="003D4642">
        <w:tab/>
      </w:r>
      <w:r w:rsidRPr="003D4642">
        <w:rPr>
          <w:b/>
          <w:bCs/>
        </w:rPr>
        <w:t>В соответствии с пунктом 1 правила 75 правил процедуры Комитета государству-участнику предлагается представить до 23 июля 2027 года информацию о выполнении рекомендаций, данных Комитетом в пунктах 27 (насильственные исчезновения), 37 (доступ к правосудию, независимость судебной власти и право на справедливое судебное разбирательство) и 47 (права ребенка) выше.</w:t>
      </w:r>
    </w:p>
    <w:p w14:paraId="5D75DD17" w14:textId="67B91049" w:rsidR="003D4642" w:rsidRPr="003D4642" w:rsidRDefault="003D4642" w:rsidP="003D4642">
      <w:pPr>
        <w:pStyle w:val="SingleTxtG"/>
        <w:rPr>
          <w:b/>
          <w:bCs/>
        </w:rPr>
      </w:pPr>
      <w:r w:rsidRPr="003D4642">
        <w:t>52.</w:t>
      </w:r>
      <w:r w:rsidRPr="003D4642">
        <w:tab/>
      </w:r>
      <w:r w:rsidRPr="003D4642">
        <w:rPr>
          <w:b/>
          <w:bCs/>
        </w:rPr>
        <w:t>Комитет просит государство-участник представить свой следующий периодический доклад к 23 июля 2030 года и включить в него конкретную обновленную информацию об осуществлении рекомендаций, вынесенных в настоящих заключительных замечаниях, и Пакта в целом. Комитет также просит государство-участник при подготовке своего доклада провести широкомасштабные консультации с представителями гражданского общества и действующими в стране неправительственными организациями. В</w:t>
      </w:r>
      <w:r>
        <w:rPr>
          <w:b/>
          <w:bCs/>
        </w:rPr>
        <w:t xml:space="preserve"> </w:t>
      </w:r>
      <w:r w:rsidRPr="003D4642">
        <w:rPr>
          <w:b/>
          <w:bCs/>
        </w:rPr>
        <w:t>соответствии с резолюцией 68/268 Генеральной Ассамблеи объем доклада не должен превышать 21 200 слов.</w:t>
      </w:r>
    </w:p>
    <w:p w14:paraId="76A2F1B5" w14:textId="1378A12C" w:rsidR="00381C24" w:rsidRPr="003D4642" w:rsidRDefault="003D4642" w:rsidP="003D464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D4642" w:rsidSect="009C488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93199" w14:textId="77777777" w:rsidR="00EA2104" w:rsidRPr="00A312BC" w:rsidRDefault="00EA2104" w:rsidP="00A312BC"/>
  </w:endnote>
  <w:endnote w:type="continuationSeparator" w:id="0">
    <w:p w14:paraId="23542D84" w14:textId="77777777" w:rsidR="00EA2104" w:rsidRPr="00A312BC" w:rsidRDefault="00EA210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C02D1" w14:textId="593054A6" w:rsidR="009C4889" w:rsidRPr="009C4889" w:rsidRDefault="009C4889">
    <w:pPr>
      <w:pStyle w:val="a8"/>
    </w:pPr>
    <w:r w:rsidRPr="009C4889">
      <w:rPr>
        <w:b/>
        <w:sz w:val="18"/>
      </w:rPr>
      <w:fldChar w:fldCharType="begin"/>
    </w:r>
    <w:r w:rsidRPr="009C4889">
      <w:rPr>
        <w:b/>
        <w:sz w:val="18"/>
      </w:rPr>
      <w:instrText xml:space="preserve"> PAGE  \* MERGEFORMAT </w:instrText>
    </w:r>
    <w:r w:rsidRPr="009C4889">
      <w:rPr>
        <w:b/>
        <w:sz w:val="18"/>
      </w:rPr>
      <w:fldChar w:fldCharType="separate"/>
    </w:r>
    <w:r w:rsidRPr="009C4889">
      <w:rPr>
        <w:b/>
        <w:noProof/>
        <w:sz w:val="18"/>
      </w:rPr>
      <w:t>2</w:t>
    </w:r>
    <w:r w:rsidRPr="009C4889">
      <w:rPr>
        <w:b/>
        <w:sz w:val="18"/>
      </w:rPr>
      <w:fldChar w:fldCharType="end"/>
    </w:r>
    <w:r>
      <w:rPr>
        <w:b/>
        <w:sz w:val="18"/>
      </w:rPr>
      <w:tab/>
    </w:r>
    <w:r>
      <w:t>GE.24-14147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DBF9" w14:textId="7E362092" w:rsidR="009C4889" w:rsidRPr="009C4889" w:rsidRDefault="009C4889" w:rsidP="009C4889">
    <w:pPr>
      <w:pStyle w:val="a8"/>
      <w:tabs>
        <w:tab w:val="clear" w:pos="9639"/>
        <w:tab w:val="right" w:pos="9638"/>
      </w:tabs>
      <w:rPr>
        <w:b/>
        <w:sz w:val="18"/>
      </w:rPr>
    </w:pPr>
    <w:r>
      <w:t>GE.24-14147</w:t>
    </w:r>
    <w:r>
      <w:tab/>
    </w:r>
    <w:r w:rsidRPr="009C4889">
      <w:rPr>
        <w:b/>
        <w:sz w:val="18"/>
      </w:rPr>
      <w:fldChar w:fldCharType="begin"/>
    </w:r>
    <w:r w:rsidRPr="009C4889">
      <w:rPr>
        <w:b/>
        <w:sz w:val="18"/>
      </w:rPr>
      <w:instrText xml:space="preserve"> PAGE  \* MERGEFORMAT </w:instrText>
    </w:r>
    <w:r w:rsidRPr="009C4889">
      <w:rPr>
        <w:b/>
        <w:sz w:val="18"/>
      </w:rPr>
      <w:fldChar w:fldCharType="separate"/>
    </w:r>
    <w:r w:rsidRPr="009C4889">
      <w:rPr>
        <w:b/>
        <w:noProof/>
        <w:sz w:val="18"/>
      </w:rPr>
      <w:t>3</w:t>
    </w:r>
    <w:r w:rsidRPr="009C48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220B" w14:textId="47D67683" w:rsidR="00042B72" w:rsidRPr="009C4889" w:rsidRDefault="009C4889" w:rsidP="009C488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BFE6A13" wp14:editId="6CB298B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24-14147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48A6C09" wp14:editId="6017A84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0BD7">
      <w:t xml:space="preserve">  201124  221124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ADE11" w14:textId="77777777" w:rsidR="00EA2104" w:rsidRPr="001075E9" w:rsidRDefault="00EA210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818B01" w14:textId="77777777" w:rsidR="00EA2104" w:rsidRDefault="00EA210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AF97D2" w14:textId="2415B616" w:rsidR="003D4642" w:rsidRDefault="003D4642" w:rsidP="003D4642">
      <w:pPr>
        <w:pStyle w:val="ad"/>
      </w:pPr>
      <w:r>
        <w:tab/>
      </w:r>
      <w:r w:rsidRPr="003D4642">
        <w:rPr>
          <w:sz w:val="20"/>
          <w:szCs w:val="22"/>
        </w:rPr>
        <w:t>*</w:t>
      </w:r>
      <w:r w:rsidRPr="00861C5C">
        <w:tab/>
      </w:r>
      <w:r>
        <w:t xml:space="preserve">Принята Комитетом на его </w:t>
      </w:r>
      <w:r w:rsidR="00EF23F5">
        <w:t>сто сорок первой</w:t>
      </w:r>
      <w:r>
        <w:t xml:space="preserve"> сессии (1–23 июля 2024 года).</w:t>
      </w:r>
    </w:p>
  </w:footnote>
  <w:footnote w:id="2">
    <w:p w14:paraId="24600C50" w14:textId="1AE91B78" w:rsidR="003D4642" w:rsidRDefault="003D4642" w:rsidP="003D4642">
      <w:pPr>
        <w:pStyle w:val="ad"/>
        <w:rPr>
          <w:lang w:val="de-DE"/>
        </w:rPr>
      </w:pPr>
      <w:r>
        <w:tab/>
      </w:r>
      <w:r w:rsidRPr="003D4642">
        <w:rPr>
          <w:vertAlign w:val="superscript"/>
        </w:rPr>
        <w:footnoteRef/>
      </w:r>
      <w:r>
        <w:rPr>
          <w:lang w:val="de-DE"/>
        </w:rPr>
        <w:tab/>
      </w:r>
      <w:hyperlink r:id="rId1">
        <w:r>
          <w:rPr>
            <w:rStyle w:val="af1"/>
            <w:lang w:val="de-DE"/>
          </w:rPr>
          <w:t>CCPR/C/SYR/4</w:t>
        </w:r>
      </w:hyperlink>
      <w:r>
        <w:rPr>
          <w:lang w:val="de-DE"/>
        </w:rPr>
        <w:t>.</w:t>
      </w:r>
    </w:p>
  </w:footnote>
  <w:footnote w:id="3">
    <w:p w14:paraId="13C5154F" w14:textId="1476D69F" w:rsidR="003D4642" w:rsidRDefault="003D4642" w:rsidP="003D4642">
      <w:pPr>
        <w:pStyle w:val="ad"/>
        <w:rPr>
          <w:lang w:val="de-DE"/>
        </w:rPr>
      </w:pPr>
      <w:r>
        <w:rPr>
          <w:lang w:val="de-DE"/>
        </w:rPr>
        <w:tab/>
      </w:r>
      <w:r w:rsidRPr="003D4642">
        <w:rPr>
          <w:vertAlign w:val="superscript"/>
        </w:rPr>
        <w:footnoteRef/>
      </w:r>
      <w:r>
        <w:rPr>
          <w:lang w:val="de-DE"/>
        </w:rPr>
        <w:tab/>
      </w:r>
      <w:r>
        <w:t>См</w:t>
      </w:r>
      <w:r>
        <w:rPr>
          <w:lang w:val="de-DE"/>
        </w:rPr>
        <w:t xml:space="preserve">. </w:t>
      </w:r>
      <w:hyperlink r:id="rId2">
        <w:proofErr w:type="spellStart"/>
        <w:r>
          <w:rPr>
            <w:rStyle w:val="af1"/>
            <w:lang w:val="de-DE"/>
          </w:rPr>
          <w:t>CCPR</w:t>
        </w:r>
        <w:proofErr w:type="spellEnd"/>
        <w:r>
          <w:rPr>
            <w:rStyle w:val="af1"/>
            <w:lang w:val="de-DE"/>
          </w:rPr>
          <w:t>/C/SR.4130</w:t>
        </w:r>
      </w:hyperlink>
      <w:r>
        <w:rPr>
          <w:lang w:val="de-DE"/>
        </w:rPr>
        <w:t xml:space="preserve">, </w:t>
      </w:r>
      <w:hyperlink r:id="rId3">
        <w:proofErr w:type="spellStart"/>
        <w:r>
          <w:rPr>
            <w:rStyle w:val="af1"/>
            <w:lang w:val="de-DE"/>
          </w:rPr>
          <w:t>CCPR</w:t>
        </w:r>
        <w:proofErr w:type="spellEnd"/>
        <w:r>
          <w:rPr>
            <w:rStyle w:val="af1"/>
            <w:lang w:val="de-DE"/>
          </w:rPr>
          <w:t>/C/SR.4131</w:t>
        </w:r>
      </w:hyperlink>
      <w:r>
        <w:rPr>
          <w:lang w:val="de-DE"/>
        </w:rPr>
        <w:t xml:space="preserve"> </w:t>
      </w:r>
      <w:r>
        <w:t>и</w:t>
      </w:r>
      <w:r>
        <w:rPr>
          <w:lang w:val="de-DE"/>
        </w:rPr>
        <w:t xml:space="preserve"> </w:t>
      </w:r>
      <w:hyperlink r:id="rId4">
        <w:proofErr w:type="spellStart"/>
        <w:r>
          <w:rPr>
            <w:rStyle w:val="af1"/>
            <w:lang w:val="de-DE"/>
          </w:rPr>
          <w:t>CCPR</w:t>
        </w:r>
        <w:proofErr w:type="spellEnd"/>
        <w:r>
          <w:rPr>
            <w:rStyle w:val="af1"/>
            <w:lang w:val="de-DE"/>
          </w:rPr>
          <w:t>/C/SR.4132</w:t>
        </w:r>
      </w:hyperlink>
      <w:r>
        <w:rPr>
          <w:lang w:val="de-DE"/>
        </w:rPr>
        <w:t>.</w:t>
      </w:r>
    </w:p>
  </w:footnote>
  <w:footnote w:id="4">
    <w:p w14:paraId="0ACF2CAD" w14:textId="612D8246" w:rsidR="003D4642" w:rsidRDefault="003D4642" w:rsidP="003D4642">
      <w:pPr>
        <w:pStyle w:val="ad"/>
        <w:rPr>
          <w:lang w:val="fr-FR"/>
        </w:rPr>
      </w:pPr>
      <w:r w:rsidRPr="00590E70">
        <w:tab/>
      </w:r>
      <w:r w:rsidRPr="003D4642">
        <w:rPr>
          <w:vertAlign w:val="superscript"/>
        </w:rPr>
        <w:footnoteRef/>
      </w:r>
      <w:r>
        <w:rPr>
          <w:lang w:val="fr-FR"/>
        </w:rPr>
        <w:tab/>
      </w:r>
      <w:hyperlink r:id="rId5">
        <w:proofErr w:type="spellStart"/>
        <w:r>
          <w:rPr>
            <w:rStyle w:val="af1"/>
            <w:lang w:val="fr-CH"/>
          </w:rPr>
          <w:t>CCPR</w:t>
        </w:r>
        <w:proofErr w:type="spellEnd"/>
        <w:r>
          <w:rPr>
            <w:rStyle w:val="af1"/>
            <w:lang w:val="fr-CH"/>
          </w:rPr>
          <w:t>/C/</w:t>
        </w:r>
        <w:proofErr w:type="spellStart"/>
        <w:r>
          <w:rPr>
            <w:rStyle w:val="af1"/>
            <w:lang w:val="fr-CH"/>
          </w:rPr>
          <w:t>SYR</w:t>
        </w:r>
        <w:proofErr w:type="spellEnd"/>
        <w:r>
          <w:rPr>
            <w:rStyle w:val="af1"/>
            <w:lang w:val="fr-CH"/>
          </w:rPr>
          <w:t>/</w:t>
        </w:r>
        <w:proofErr w:type="spellStart"/>
        <w:r>
          <w:rPr>
            <w:rStyle w:val="af1"/>
            <w:lang w:val="fr-CH"/>
          </w:rPr>
          <w:t>RQ</w:t>
        </w:r>
        <w:proofErr w:type="spellEnd"/>
        <w:r>
          <w:rPr>
            <w:rStyle w:val="af1"/>
            <w:lang w:val="fr-CH"/>
          </w:rPr>
          <w:t>/4</w:t>
        </w:r>
      </w:hyperlink>
      <w:r>
        <w:rPr>
          <w:lang w:val="fr-FR"/>
        </w:rPr>
        <w:t>.</w:t>
      </w:r>
    </w:p>
  </w:footnote>
  <w:footnote w:id="5">
    <w:p w14:paraId="48F1AC6F" w14:textId="6B9673E0" w:rsidR="003D4642" w:rsidRDefault="003D4642" w:rsidP="003D4642">
      <w:pPr>
        <w:pStyle w:val="ad"/>
        <w:rPr>
          <w:lang w:val="fr-FR"/>
        </w:rPr>
      </w:pPr>
      <w:r>
        <w:rPr>
          <w:lang w:val="fr-FR"/>
        </w:rPr>
        <w:tab/>
      </w:r>
      <w:r w:rsidRPr="003D4642">
        <w:rPr>
          <w:vertAlign w:val="superscript"/>
        </w:rPr>
        <w:footnoteRef/>
      </w:r>
      <w:r>
        <w:rPr>
          <w:lang w:val="fr-FR"/>
        </w:rPr>
        <w:tab/>
      </w:r>
      <w:hyperlink r:id="rId6">
        <w:proofErr w:type="spellStart"/>
        <w:r>
          <w:rPr>
            <w:rStyle w:val="af1"/>
            <w:lang w:val="fr-CH"/>
          </w:rPr>
          <w:t>CCPR</w:t>
        </w:r>
        <w:proofErr w:type="spellEnd"/>
        <w:r>
          <w:rPr>
            <w:rStyle w:val="af1"/>
            <w:lang w:val="fr-CH"/>
          </w:rPr>
          <w:t>/C/</w:t>
        </w:r>
        <w:proofErr w:type="spellStart"/>
        <w:r w:rsidR="00A00BD7">
          <w:rPr>
            <w:rStyle w:val="af1"/>
            <w:lang w:val="fr-CH"/>
          </w:rPr>
          <w:t>SYR</w:t>
        </w:r>
        <w:proofErr w:type="spellEnd"/>
        <w:r>
          <w:rPr>
            <w:rStyle w:val="af1"/>
            <w:lang w:val="fr-CH"/>
          </w:rPr>
          <w:t>/Q/4</w:t>
        </w:r>
      </w:hyperlink>
      <w:r>
        <w:rPr>
          <w:lang w:val="fr-FR"/>
        </w:rPr>
        <w:t>.</w:t>
      </w:r>
    </w:p>
  </w:footnote>
  <w:footnote w:id="6">
    <w:p w14:paraId="7A70F204" w14:textId="3864750A" w:rsidR="003D4642" w:rsidRDefault="003D4642" w:rsidP="003D4642">
      <w:pPr>
        <w:pStyle w:val="ad"/>
        <w:rPr>
          <w:lang w:val="en-US"/>
        </w:rPr>
      </w:pPr>
      <w:r>
        <w:rPr>
          <w:lang w:val="fr-CH"/>
        </w:rPr>
        <w:tab/>
      </w:r>
      <w:r w:rsidRPr="00A00BD7">
        <w:rPr>
          <w:vertAlign w:val="superscript"/>
        </w:rPr>
        <w:footnoteRef/>
      </w:r>
      <w:r>
        <w:rPr>
          <w:lang w:val="fr-CH"/>
        </w:rPr>
        <w:tab/>
      </w:r>
      <w:hyperlink r:id="rId7">
        <w:proofErr w:type="spellStart"/>
        <w:r>
          <w:rPr>
            <w:rStyle w:val="af1"/>
          </w:rPr>
          <w:t>CCPR</w:t>
        </w:r>
        <w:proofErr w:type="spellEnd"/>
        <w:r>
          <w:rPr>
            <w:rStyle w:val="af1"/>
          </w:rPr>
          <w:t>/CO/84/</w:t>
        </w:r>
        <w:proofErr w:type="spellStart"/>
        <w:r>
          <w:rPr>
            <w:rStyle w:val="af1"/>
          </w:rPr>
          <w:t>SYR</w:t>
        </w:r>
        <w:proofErr w:type="spellEnd"/>
      </w:hyperlink>
      <w:r>
        <w:t xml:space="preserve">, </w:t>
      </w:r>
      <w:r w:rsidR="007C7842">
        <w:t>п.</w:t>
      </w:r>
      <w:r>
        <w:t> 11.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379A0" w14:textId="44A6E67D" w:rsidR="009C4889" w:rsidRPr="009C4889" w:rsidRDefault="009C488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32750">
      <w:t>CCPR</w:t>
    </w:r>
    <w:proofErr w:type="spellEnd"/>
    <w:r w:rsidR="00332750">
      <w:t>/C/</w:t>
    </w:r>
    <w:proofErr w:type="spellStart"/>
    <w:r w:rsidR="00332750">
      <w:t>SYR</w:t>
    </w:r>
    <w:proofErr w:type="spellEnd"/>
    <w:r w:rsidR="00332750">
      <w:t>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607DB" w14:textId="5C0ADC80" w:rsidR="009C4889" w:rsidRPr="009C4889" w:rsidRDefault="009C4889" w:rsidP="009C488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32750">
      <w:t>CCPR</w:t>
    </w:r>
    <w:proofErr w:type="spellEnd"/>
    <w:r w:rsidR="00332750">
      <w:t>/C/</w:t>
    </w:r>
    <w:proofErr w:type="spellStart"/>
    <w:r w:rsidR="00332750">
      <w:t>SYR</w:t>
    </w:r>
    <w:proofErr w:type="spellEnd"/>
    <w:r w:rsidR="00332750">
      <w:t>/CO/4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104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E590D"/>
    <w:rsid w:val="002F405F"/>
    <w:rsid w:val="002F7EEC"/>
    <w:rsid w:val="00301299"/>
    <w:rsid w:val="00305C08"/>
    <w:rsid w:val="00307FB6"/>
    <w:rsid w:val="00317339"/>
    <w:rsid w:val="00322004"/>
    <w:rsid w:val="0032326A"/>
    <w:rsid w:val="00332750"/>
    <w:rsid w:val="003402C2"/>
    <w:rsid w:val="00375F01"/>
    <w:rsid w:val="00381C24"/>
    <w:rsid w:val="003958D0"/>
    <w:rsid w:val="003B00E5"/>
    <w:rsid w:val="003D4642"/>
    <w:rsid w:val="003D7CE1"/>
    <w:rsid w:val="00407B78"/>
    <w:rsid w:val="00424203"/>
    <w:rsid w:val="00452493"/>
    <w:rsid w:val="00454E07"/>
    <w:rsid w:val="00472C5C"/>
    <w:rsid w:val="004969B2"/>
    <w:rsid w:val="004D09E0"/>
    <w:rsid w:val="0050108D"/>
    <w:rsid w:val="00513081"/>
    <w:rsid w:val="00517901"/>
    <w:rsid w:val="00526683"/>
    <w:rsid w:val="005513F3"/>
    <w:rsid w:val="005709E0"/>
    <w:rsid w:val="00572E19"/>
    <w:rsid w:val="00583A8D"/>
    <w:rsid w:val="005961C8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7A32B9"/>
    <w:rsid w:val="007C7842"/>
    <w:rsid w:val="00825F8D"/>
    <w:rsid w:val="00831A3A"/>
    <w:rsid w:val="00834B71"/>
    <w:rsid w:val="0086445C"/>
    <w:rsid w:val="00894693"/>
    <w:rsid w:val="008A08D7"/>
    <w:rsid w:val="008B6909"/>
    <w:rsid w:val="008F3AC9"/>
    <w:rsid w:val="00906890"/>
    <w:rsid w:val="00911BE4"/>
    <w:rsid w:val="00931A71"/>
    <w:rsid w:val="00951972"/>
    <w:rsid w:val="009608F3"/>
    <w:rsid w:val="009918E2"/>
    <w:rsid w:val="009A24AC"/>
    <w:rsid w:val="009C4889"/>
    <w:rsid w:val="009D21FD"/>
    <w:rsid w:val="00A00BD7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151EA"/>
    <w:rsid w:val="00D33D63"/>
    <w:rsid w:val="00D90028"/>
    <w:rsid w:val="00D90138"/>
    <w:rsid w:val="00D9090B"/>
    <w:rsid w:val="00DD1D1E"/>
    <w:rsid w:val="00DD78D1"/>
    <w:rsid w:val="00DE32CD"/>
    <w:rsid w:val="00DF71B9"/>
    <w:rsid w:val="00E005F7"/>
    <w:rsid w:val="00E02617"/>
    <w:rsid w:val="00E06BEE"/>
    <w:rsid w:val="00E06DA5"/>
    <w:rsid w:val="00E46656"/>
    <w:rsid w:val="00E73F76"/>
    <w:rsid w:val="00EA2104"/>
    <w:rsid w:val="00EA2C9F"/>
    <w:rsid w:val="00EA420E"/>
    <w:rsid w:val="00ED0BDA"/>
    <w:rsid w:val="00EF1360"/>
    <w:rsid w:val="00EF23F5"/>
    <w:rsid w:val="00EF3220"/>
    <w:rsid w:val="00F43903"/>
    <w:rsid w:val="00F94155"/>
    <w:rsid w:val="00F9783F"/>
    <w:rsid w:val="00FC6153"/>
    <w:rsid w:val="00FC636C"/>
    <w:rsid w:val="00FD2EF7"/>
    <w:rsid w:val="00FD5EAA"/>
    <w:rsid w:val="00FE447E"/>
    <w:rsid w:val="00FF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EA605"/>
  <w15:docId w15:val="{ED217D2D-9AAC-47DE-BAF4-04DD6F693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SR.4131" TargetMode="External"/><Relationship Id="rId7" Type="http://schemas.openxmlformats.org/officeDocument/2006/relationships/hyperlink" Target="http://undocs.org/ru/CCPR/CO/84/SYR" TargetMode="External"/><Relationship Id="rId2" Type="http://schemas.openxmlformats.org/officeDocument/2006/relationships/hyperlink" Target="http://undocs.org/ru/CCPR/C/SR.4130" TargetMode="External"/><Relationship Id="rId1" Type="http://schemas.openxmlformats.org/officeDocument/2006/relationships/hyperlink" Target="http://undocs.org/ru/CCPR/C/SYR/4" TargetMode="External"/><Relationship Id="rId6" Type="http://schemas.openxmlformats.org/officeDocument/2006/relationships/hyperlink" Target="http://undocs.org/ru/CCPR/C/SYR/Q/4" TargetMode="External"/><Relationship Id="rId5" Type="http://schemas.openxmlformats.org/officeDocument/2006/relationships/hyperlink" Target="http://undocs.org/ru/CCPR/C/SYR/RQ/4" TargetMode="External"/><Relationship Id="rId4" Type="http://schemas.openxmlformats.org/officeDocument/2006/relationships/hyperlink" Target="http://undocs.org/ru/CCPR/C/SR.413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132</TotalTime>
  <Pages>16</Pages>
  <Words>6855</Words>
  <Characters>47371</Characters>
  <Application>Microsoft Office Word</Application>
  <DocSecurity>0</DocSecurity>
  <Lines>831</Lines>
  <Paragraphs>157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CCPR/C/SYR/CO/4</vt:lpstr>
      <vt:lpstr>A/</vt:lpstr>
      <vt:lpstr>A/</vt:lpstr>
    </vt:vector>
  </TitlesOfParts>
  <Company>DCM</Company>
  <LinksUpToDate>false</LinksUpToDate>
  <CharactersWithSpaces>54069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CCPR/C/SYR/CO/4</dc:title>
  <dc:subject/>
  <dc:creator>Anna PETELINA</dc:creator>
  <cp:keywords/>
  <cp:lastModifiedBy>Anna Taillandier</cp:lastModifiedBy>
  <cp:revision>11</cp:revision>
  <cp:lastPrinted>2024-11-21T12:54:00Z</cp:lastPrinted>
  <dcterms:created xsi:type="dcterms:W3CDTF">2024-11-21T12:54:00Z</dcterms:created>
  <dcterms:modified xsi:type="dcterms:W3CDTF">2024-11-22T08:14:00Z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