
<file path=[Content_Types].xml><?xml version="1.0" encoding="utf-8"?>
<Types xmlns="http://schemas.openxmlformats.org/package/2006/content-types">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47B" w:rsidRDefault="006A747B" w:rsidP="006A747B">
      <w:pPr>
        <w:spacing w:line="240" w:lineRule="auto"/>
        <w:jc w:val="left"/>
        <w:rPr>
          <w:rFonts w:hint="cs"/>
          <w:szCs w:val="6"/>
          <w:rtl/>
        </w:rPr>
        <w:sectPr w:rsidR="006A747B" w:rsidSect="006A747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18"/>
        </w:sectPr>
      </w:pPr>
      <w:r>
        <w:rPr>
          <w:rStyle w:val="CommentReference"/>
          <w:rtl/>
        </w:rPr>
        <w:commentReference w:id="0"/>
      </w:r>
    </w:p>
    <w:p w:rsidR="003307C2" w:rsidRPr="003307C2" w:rsidRDefault="003307C2" w:rsidP="003307C2">
      <w:pPr>
        <w:pStyle w:val="SingleTxt"/>
        <w:spacing w:after="0" w:line="120" w:lineRule="exact"/>
        <w:rPr>
          <w:rFonts w:hint="cs"/>
          <w:sz w:val="10"/>
          <w:rtl/>
        </w:rPr>
      </w:pPr>
    </w:p>
    <w:p w:rsidR="003307C2" w:rsidRPr="003307C2" w:rsidRDefault="003307C2" w:rsidP="003307C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3307C2">
        <w:rPr>
          <w:rFonts w:hint="cs"/>
          <w:rtl/>
        </w:rPr>
        <w:t>اللجنة المعنية بالقضاء على التمييز ضد المرأة</w:t>
      </w:r>
    </w:p>
    <w:p w:rsidR="003307C2" w:rsidRPr="003307C2" w:rsidRDefault="003307C2" w:rsidP="003307C2">
      <w:pPr>
        <w:pStyle w:val="SingleTxt"/>
        <w:spacing w:after="0" w:line="120" w:lineRule="exact"/>
        <w:rPr>
          <w:rFonts w:hint="cs"/>
          <w:sz w:val="10"/>
          <w:rtl/>
        </w:rPr>
      </w:pPr>
    </w:p>
    <w:p w:rsidR="003307C2" w:rsidRPr="003307C2" w:rsidRDefault="003307C2" w:rsidP="003307C2">
      <w:pPr>
        <w:pStyle w:val="SingleTxt"/>
        <w:spacing w:after="0" w:line="120" w:lineRule="exact"/>
        <w:rPr>
          <w:rFonts w:hint="cs"/>
          <w:sz w:val="10"/>
          <w:rtl/>
        </w:rPr>
      </w:pPr>
    </w:p>
    <w:p w:rsidR="003307C2" w:rsidRPr="003307C2" w:rsidRDefault="003307C2" w:rsidP="003307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07C2">
        <w:tab/>
      </w:r>
      <w:r w:rsidRPr="003307C2">
        <w:tab/>
      </w:r>
      <w:r w:rsidRPr="003307C2">
        <w:rPr>
          <w:rFonts w:hint="cs"/>
          <w:rtl/>
        </w:rPr>
        <w:t>النظر في التقارير المقدمة من الدول الأطراف بموجب المادة 18 من اتفاق</w:t>
      </w:r>
      <w:bookmarkStart w:id="1" w:name="TmpSave"/>
      <w:bookmarkEnd w:id="1"/>
      <w:r w:rsidRPr="003307C2">
        <w:rPr>
          <w:rFonts w:hint="cs"/>
          <w:rtl/>
        </w:rPr>
        <w:t>ية القضاء على جميع أشكال التمييز ضد المرأة</w:t>
      </w:r>
    </w:p>
    <w:p w:rsidR="003307C2" w:rsidRPr="003307C2" w:rsidRDefault="003307C2" w:rsidP="003307C2">
      <w:pPr>
        <w:pStyle w:val="SingleTxt"/>
        <w:spacing w:after="0" w:line="120" w:lineRule="exact"/>
        <w:rPr>
          <w:rFonts w:hint="cs"/>
          <w:b/>
          <w:bCs/>
          <w:sz w:val="10"/>
          <w:rtl/>
        </w:rPr>
      </w:pPr>
    </w:p>
    <w:p w:rsidR="003307C2" w:rsidRPr="003307C2" w:rsidRDefault="003307C2" w:rsidP="003307C2">
      <w:pPr>
        <w:pStyle w:val="SingleTxt"/>
        <w:spacing w:after="0" w:line="120" w:lineRule="exact"/>
        <w:rPr>
          <w:rFonts w:hint="cs"/>
          <w:b/>
          <w:bCs/>
          <w:sz w:val="10"/>
          <w:rtl/>
        </w:rPr>
      </w:pPr>
    </w:p>
    <w:p w:rsidR="003307C2" w:rsidRPr="003307C2" w:rsidRDefault="003307C2" w:rsidP="003307C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07C2">
        <w:tab/>
      </w:r>
      <w:r w:rsidRPr="003307C2">
        <w:tab/>
      </w:r>
      <w:r w:rsidRPr="003307C2">
        <w:rPr>
          <w:rFonts w:hint="cs"/>
          <w:rtl/>
        </w:rPr>
        <w:t>التقرير المجمع الذي يضم التقريرين الدوريين الأول والثاني للدول</w:t>
      </w:r>
      <w:r>
        <w:rPr>
          <w:rFonts w:hint="eastAsia"/>
          <w:rtl/>
        </w:rPr>
        <w:t> </w:t>
      </w:r>
      <w:r w:rsidRPr="003307C2">
        <w:rPr>
          <w:rFonts w:hint="cs"/>
          <w:rtl/>
        </w:rPr>
        <w:t>الأطراف</w:t>
      </w:r>
    </w:p>
    <w:p w:rsidR="003307C2" w:rsidRPr="003307C2" w:rsidRDefault="003307C2" w:rsidP="003307C2">
      <w:pPr>
        <w:pStyle w:val="SingleTxt"/>
        <w:spacing w:after="0" w:line="120" w:lineRule="exact"/>
        <w:rPr>
          <w:rFonts w:hint="cs"/>
          <w:sz w:val="10"/>
          <w:rtl/>
        </w:rPr>
      </w:pPr>
    </w:p>
    <w:p w:rsidR="003307C2" w:rsidRPr="00BA27A9" w:rsidRDefault="003307C2" w:rsidP="003307C2">
      <w:pPr>
        <w:framePr w:w="9792" w:h="432" w:hSpace="187" w:wrap="around" w:hAnchor="page" w:x="1196" w:yAlign="bottom"/>
        <w:spacing w:line="240" w:lineRule="auto"/>
        <w:jc w:val="lowKashida"/>
        <w:rPr>
          <w:szCs w:val="10"/>
          <w:rtl/>
        </w:rPr>
      </w:pPr>
    </w:p>
    <w:p w:rsidR="003307C2" w:rsidRPr="00BA27A9" w:rsidRDefault="003307C2" w:rsidP="003307C2">
      <w:pPr>
        <w:framePr w:w="9792" w:h="432" w:hSpace="187" w:wrap="around" w:hAnchor="page" w:x="1196" w:yAlign="bottom"/>
        <w:spacing w:line="240" w:lineRule="auto"/>
        <w:jc w:val="lowKashida"/>
        <w:rPr>
          <w:szCs w:val="6"/>
          <w:rtl/>
        </w:rPr>
      </w:pPr>
    </w:p>
    <w:p w:rsidR="003307C2" w:rsidRPr="00BA27A9" w:rsidRDefault="003307C2" w:rsidP="003307C2">
      <w:pPr>
        <w:framePr w:w="9792" w:h="432" w:hSpace="187" w:wrap="around" w:hAnchor="page" w:x="1196" w:yAlign="bottom"/>
        <w:tabs>
          <w:tab w:val="right" w:pos="1195"/>
          <w:tab w:val="left" w:pos="1267"/>
        </w:tabs>
        <w:spacing w:after="80" w:line="300" w:lineRule="exact"/>
        <w:ind w:left="1267" w:right="1267" w:hanging="547"/>
        <w:jc w:val="lowKashida"/>
        <w:rPr>
          <w:rFonts w:hint="cs"/>
          <w:sz w:val="17"/>
          <w:szCs w:val="26"/>
        </w:rPr>
      </w:pPr>
      <w:r>
        <w:rPr>
          <w:noProof/>
          <w:w w:val="100"/>
        </w:rPr>
        <w:pict>
          <v:line id="_x0000_s2050" style="position:absolute;left:0;text-align:left;z-index:2" from="396pt,-1pt" to="468pt,-1pt"/>
        </w:pict>
      </w:r>
      <w:r>
        <w:rPr>
          <w:rFonts w:hint="cs"/>
          <w:sz w:val="17"/>
          <w:szCs w:val="26"/>
          <w:rtl/>
        </w:rPr>
        <w:tab/>
        <w:t>*</w:t>
      </w:r>
      <w:r>
        <w:rPr>
          <w:rFonts w:hint="cs"/>
          <w:sz w:val="17"/>
          <w:szCs w:val="26"/>
          <w:rtl/>
        </w:rPr>
        <w:tab/>
      </w:r>
      <w:r w:rsidRPr="003307C2">
        <w:rPr>
          <w:sz w:val="17"/>
          <w:szCs w:val="26"/>
          <w:rtl/>
        </w:rPr>
        <w:t>يصدر هذا التقرير دون تحرير رسمي</w:t>
      </w:r>
      <w:r>
        <w:rPr>
          <w:rFonts w:hint="cs"/>
          <w:sz w:val="17"/>
          <w:szCs w:val="26"/>
          <w:rtl/>
        </w:rPr>
        <w:t>.</w:t>
      </w:r>
    </w:p>
    <w:p w:rsidR="00CD3849" w:rsidRDefault="003307C2" w:rsidP="003307C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3307C2">
        <w:tab/>
      </w:r>
      <w:r w:rsidRPr="003307C2">
        <w:tab/>
      </w:r>
      <w:r w:rsidRPr="003307C2">
        <w:rPr>
          <w:rFonts w:hint="cs"/>
          <w:rtl/>
        </w:rPr>
        <w:t>توفالو</w:t>
      </w:r>
      <w:r w:rsidRPr="00941CB7">
        <w:rPr>
          <w:rFonts w:hint="cs"/>
          <w:b w:val="0"/>
          <w:bCs w:val="0"/>
          <w:rtl/>
        </w:rPr>
        <w:t>*</w:t>
      </w:r>
    </w:p>
    <w:p w:rsidR="003307C2" w:rsidRPr="003307C2" w:rsidRDefault="003307C2" w:rsidP="003307C2">
      <w:pPr>
        <w:pStyle w:val="SingleTxt"/>
        <w:spacing w:after="0" w:line="120" w:lineRule="exact"/>
        <w:rPr>
          <w:rFonts w:hint="cs"/>
          <w:sz w:val="10"/>
          <w:rtl/>
        </w:rPr>
      </w:pPr>
    </w:p>
    <w:p w:rsidR="006953D0" w:rsidRPr="006953D0" w:rsidRDefault="003307C2" w:rsidP="006953D0">
      <w:pPr>
        <w:pStyle w:val="HCh"/>
        <w:spacing w:line="120" w:lineRule="exact"/>
        <w:rPr>
          <w:sz w:val="10"/>
          <w:rtl/>
        </w:rPr>
      </w:pPr>
      <w:r>
        <w:rPr>
          <w:rtl/>
        </w:rPr>
        <w:br w:type="page"/>
      </w:r>
    </w:p>
    <w:p w:rsidR="003307C2" w:rsidRPr="003307C2" w:rsidRDefault="003307C2" w:rsidP="003307C2">
      <w:pPr>
        <w:pStyle w:val="HCh"/>
        <w:spacing w:after="120"/>
        <w:rPr>
          <w:rtl/>
        </w:rPr>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3307C2" w:rsidRPr="003307C2">
        <w:tblPrEx>
          <w:tblCellMar>
            <w:top w:w="0" w:type="dxa"/>
            <w:bottom w:w="0" w:type="dxa"/>
          </w:tblCellMar>
        </w:tblPrEx>
        <w:tc>
          <w:tcPr>
            <w:tcW w:w="1296" w:type="dxa"/>
            <w:shd w:val="clear" w:color="auto" w:fill="auto"/>
          </w:tcPr>
          <w:p w:rsidR="003307C2" w:rsidRPr="003307C2" w:rsidRDefault="003307C2" w:rsidP="003307C2">
            <w:pPr>
              <w:spacing w:after="120" w:line="240" w:lineRule="auto"/>
              <w:jc w:val="right"/>
              <w:rPr>
                <w:rFonts w:hint="cs"/>
                <w:iCs/>
                <w:sz w:val="14"/>
                <w:rtl/>
              </w:rPr>
            </w:pPr>
          </w:p>
        </w:tc>
        <w:tc>
          <w:tcPr>
            <w:tcW w:w="6566" w:type="dxa"/>
            <w:shd w:val="clear" w:color="auto" w:fill="auto"/>
          </w:tcPr>
          <w:p w:rsidR="003307C2" w:rsidRPr="003307C2" w:rsidRDefault="003307C2" w:rsidP="003307C2">
            <w:pPr>
              <w:spacing w:after="120" w:line="240" w:lineRule="auto"/>
              <w:rPr>
                <w:rFonts w:hint="cs"/>
                <w:iCs/>
                <w:sz w:val="14"/>
                <w:rtl/>
              </w:rPr>
            </w:pPr>
          </w:p>
        </w:tc>
        <w:tc>
          <w:tcPr>
            <w:tcW w:w="1166" w:type="dxa"/>
            <w:shd w:val="clear" w:color="auto" w:fill="auto"/>
          </w:tcPr>
          <w:p w:rsidR="003307C2" w:rsidRPr="003307C2" w:rsidRDefault="003307C2" w:rsidP="003307C2">
            <w:pPr>
              <w:spacing w:after="120" w:line="240" w:lineRule="auto"/>
              <w:jc w:val="right"/>
              <w:rPr>
                <w:rFonts w:hint="cs"/>
                <w:iCs/>
                <w:sz w:val="14"/>
                <w:rtl/>
              </w:rPr>
            </w:pPr>
          </w:p>
        </w:tc>
        <w:tc>
          <w:tcPr>
            <w:tcW w:w="806" w:type="dxa"/>
            <w:shd w:val="clear" w:color="auto" w:fill="auto"/>
          </w:tcPr>
          <w:p w:rsidR="003307C2" w:rsidRPr="003307C2" w:rsidRDefault="003307C2" w:rsidP="003307C2">
            <w:pPr>
              <w:spacing w:after="120" w:line="240" w:lineRule="auto"/>
              <w:jc w:val="right"/>
              <w:rPr>
                <w:rFonts w:hint="cs"/>
                <w:iCs/>
                <w:sz w:val="14"/>
                <w:rtl/>
              </w:rPr>
            </w:pPr>
            <w:r>
              <w:rPr>
                <w:rFonts w:hint="eastAsia"/>
                <w:iCs/>
                <w:sz w:val="14"/>
                <w:rtl/>
              </w:rPr>
              <w:t>الصفحة</w:t>
            </w:r>
          </w:p>
        </w:tc>
      </w:tr>
      <w:tr w:rsidR="006953D0" w:rsidRPr="003307C2">
        <w:tblPrEx>
          <w:tblCellMar>
            <w:top w:w="0" w:type="dxa"/>
            <w:bottom w:w="0" w:type="dxa"/>
          </w:tblCellMar>
        </w:tblPrEx>
        <w:tc>
          <w:tcPr>
            <w:tcW w:w="9028" w:type="dxa"/>
            <w:gridSpan w:val="3"/>
            <w:shd w:val="clear" w:color="auto" w:fill="auto"/>
          </w:tcPr>
          <w:p w:rsidR="006953D0" w:rsidRPr="009C429D" w:rsidRDefault="009C429D" w:rsidP="009C429D">
            <w:pPr>
              <w:tabs>
                <w:tab w:val="right" w:pos="1080"/>
                <w:tab w:val="left" w:pos="1296"/>
                <w:tab w:val="right" w:leader="dot" w:pos="9029"/>
              </w:tabs>
              <w:spacing w:after="120"/>
              <w:jc w:val="left"/>
              <w:rPr>
                <w:rFonts w:hint="cs"/>
                <w:spacing w:val="60"/>
                <w:sz w:val="17"/>
                <w:rtl/>
              </w:rPr>
            </w:pPr>
            <w:r>
              <w:rPr>
                <w:rtl/>
              </w:rPr>
              <w:tab/>
            </w:r>
            <w:r w:rsidR="006953D0" w:rsidRPr="009C429D">
              <w:rPr>
                <w:rFonts w:hint="cs"/>
                <w:rtl/>
              </w:rPr>
              <w:t>المختصرات</w:t>
            </w:r>
            <w:r w:rsidRPr="009C429D">
              <w:rPr>
                <w:rFonts w:hint="cs"/>
                <w:rtl/>
              </w:rPr>
              <w:t xml:space="preserve"> </w:t>
            </w:r>
            <w:r w:rsidRPr="009C429D">
              <w:rPr>
                <w:rtl/>
              </w:rPr>
              <w:tab/>
            </w:r>
            <w:r>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7</w:t>
            </w:r>
          </w:p>
        </w:tc>
      </w:tr>
      <w:tr w:rsidR="006953D0" w:rsidRPr="003307C2">
        <w:tblPrEx>
          <w:tblCellMar>
            <w:top w:w="0" w:type="dxa"/>
            <w:bottom w:w="0" w:type="dxa"/>
          </w:tblCellMar>
        </w:tblPrEx>
        <w:tc>
          <w:tcPr>
            <w:tcW w:w="9028" w:type="dxa"/>
            <w:gridSpan w:val="3"/>
            <w:shd w:val="clear" w:color="auto" w:fill="auto"/>
          </w:tcPr>
          <w:p w:rsidR="006953D0" w:rsidRPr="009C429D" w:rsidRDefault="009C429D" w:rsidP="009C429D">
            <w:pPr>
              <w:tabs>
                <w:tab w:val="right" w:pos="1080"/>
                <w:tab w:val="left" w:pos="1296"/>
                <w:tab w:val="right" w:leader="dot" w:pos="9029"/>
              </w:tabs>
              <w:spacing w:after="120"/>
              <w:jc w:val="left"/>
              <w:rPr>
                <w:rFonts w:hint="cs"/>
                <w:spacing w:val="60"/>
                <w:sz w:val="17"/>
                <w:rtl/>
              </w:rPr>
            </w:pPr>
            <w:r>
              <w:rPr>
                <w:rtl/>
              </w:rPr>
              <w:tab/>
            </w:r>
            <w:r w:rsidR="006953D0" w:rsidRPr="009C429D">
              <w:rPr>
                <w:rFonts w:hint="cs"/>
                <w:rtl/>
              </w:rPr>
              <w:t>قائمة المصطلحات</w:t>
            </w:r>
            <w:r>
              <w:rPr>
                <w:rFonts w:hint="cs"/>
                <w:rtl/>
              </w:rPr>
              <w:t xml:space="preserve"> </w:t>
            </w:r>
            <w:r>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9</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right" w:leader="dot" w:pos="9029"/>
              </w:tabs>
              <w:spacing w:after="120"/>
              <w:jc w:val="left"/>
              <w:rPr>
                <w:rFonts w:hint="cs"/>
                <w:spacing w:val="60"/>
                <w:sz w:val="17"/>
                <w:rtl/>
              </w:rPr>
            </w:pPr>
            <w:r w:rsidRPr="009C429D">
              <w:rPr>
                <w:rFonts w:hint="cs"/>
                <w:rtl/>
              </w:rPr>
              <w:t xml:space="preserve">الجزء الأول </w:t>
            </w:r>
            <w:r w:rsidR="00C36165" w:rsidRPr="009C429D">
              <w:rPr>
                <w:rFonts w:hint="cs"/>
                <w:rtl/>
              </w:rPr>
              <w:t>-</w:t>
            </w:r>
            <w:r w:rsidRPr="009C429D">
              <w:rPr>
                <w:rFonts w:hint="cs"/>
                <w:rtl/>
              </w:rPr>
              <w:t xml:space="preserve"> مقدمة</w:t>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10</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left" w:pos="1728"/>
                <w:tab w:val="right" w:leader="dot" w:pos="9029"/>
              </w:tabs>
              <w:spacing w:after="120"/>
              <w:jc w:val="left"/>
              <w:rPr>
                <w:rFonts w:hint="cs"/>
                <w:spacing w:val="60"/>
                <w:sz w:val="17"/>
                <w:rtl/>
              </w:rPr>
            </w:pPr>
            <w:r w:rsidRPr="009C429D">
              <w:rPr>
                <w:rFonts w:hint="cs"/>
                <w:rtl/>
              </w:rPr>
              <w:t>توفالو: الأرض والسكان</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10</w:t>
            </w:r>
          </w:p>
        </w:tc>
      </w:tr>
      <w:tr w:rsidR="006953D0" w:rsidRPr="003307C2">
        <w:tblPrEx>
          <w:tblCellMar>
            <w:top w:w="0" w:type="dxa"/>
            <w:bottom w:w="0" w:type="dxa"/>
          </w:tblCellMar>
        </w:tblPrEx>
        <w:tc>
          <w:tcPr>
            <w:tcW w:w="9028" w:type="dxa"/>
            <w:gridSpan w:val="3"/>
            <w:shd w:val="clear" w:color="auto" w:fill="auto"/>
          </w:tcPr>
          <w:p w:rsidR="006953D0" w:rsidRPr="009C429D" w:rsidRDefault="009C429D" w:rsidP="009C429D">
            <w:pPr>
              <w:tabs>
                <w:tab w:val="right" w:pos="1080"/>
                <w:tab w:val="left" w:pos="1296"/>
                <w:tab w:val="left" w:pos="1728"/>
                <w:tab w:val="right" w:leader="dot" w:pos="9029"/>
              </w:tabs>
              <w:spacing w:after="120"/>
              <w:jc w:val="left"/>
              <w:rPr>
                <w:rFonts w:hint="cs"/>
                <w:spacing w:val="60"/>
                <w:sz w:val="17"/>
                <w:rtl/>
              </w:rPr>
            </w:pPr>
            <w:r>
              <w:rPr>
                <w:rtl/>
              </w:rPr>
              <w:tab/>
            </w:r>
            <w:r w:rsidR="006953D0" w:rsidRPr="009C429D">
              <w:rPr>
                <w:rFonts w:hint="cs"/>
                <w:rtl/>
              </w:rPr>
              <w:t>معلومات تاريخية عامة</w:t>
            </w:r>
            <w:r>
              <w:rPr>
                <w:rFonts w:hint="cs"/>
                <w:rtl/>
              </w:rPr>
              <w:t xml:space="preserve"> </w:t>
            </w:r>
            <w:r>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10</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leader="dot" w:pos="9029"/>
              </w:tabs>
              <w:spacing w:after="120"/>
              <w:jc w:val="left"/>
              <w:rPr>
                <w:rFonts w:hint="cs"/>
                <w:spacing w:val="60"/>
                <w:sz w:val="17"/>
                <w:rtl/>
              </w:rPr>
            </w:pPr>
            <w:r w:rsidRPr="009C429D">
              <w:rPr>
                <w:rFonts w:hint="cs"/>
                <w:rtl/>
              </w:rPr>
              <w:t>الأرض</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9C429D">
            <w:pPr>
              <w:spacing w:after="120"/>
              <w:jc w:val="right"/>
              <w:rPr>
                <w:rFonts w:hint="cs"/>
                <w:rtl/>
              </w:rPr>
            </w:pPr>
            <w:r>
              <w:rPr>
                <w:rFonts w:hint="cs"/>
                <w:rtl/>
              </w:rPr>
              <w:t>11</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leader="dot" w:pos="9029"/>
              </w:tabs>
              <w:spacing w:after="120"/>
              <w:jc w:val="left"/>
              <w:rPr>
                <w:rFonts w:hint="cs"/>
                <w:spacing w:val="60"/>
                <w:sz w:val="17"/>
                <w:rtl/>
              </w:rPr>
            </w:pPr>
            <w:r w:rsidRPr="009C429D">
              <w:rPr>
                <w:rFonts w:hint="cs"/>
                <w:rtl/>
              </w:rPr>
              <w:t>السكان</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12</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right" w:leader="dot" w:pos="9029"/>
              </w:tabs>
              <w:spacing w:after="120"/>
              <w:jc w:val="left"/>
              <w:rPr>
                <w:rFonts w:hint="cs"/>
                <w:spacing w:val="60"/>
                <w:sz w:val="17"/>
                <w:rtl/>
              </w:rPr>
            </w:pPr>
            <w:r w:rsidRPr="009C429D">
              <w:rPr>
                <w:rFonts w:hint="cs"/>
                <w:rtl/>
              </w:rPr>
              <w:t>التركيب السكاني</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15</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right" w:leader="dot" w:pos="9029"/>
              </w:tabs>
              <w:spacing w:after="120"/>
              <w:jc w:val="left"/>
              <w:rPr>
                <w:rFonts w:hint="cs"/>
                <w:spacing w:val="60"/>
                <w:sz w:val="17"/>
                <w:rtl/>
              </w:rPr>
            </w:pPr>
            <w:r w:rsidRPr="009C429D">
              <w:rPr>
                <w:rFonts w:hint="cs"/>
                <w:rtl/>
              </w:rPr>
              <w:t>مؤشرات التنمية</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18</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right" w:leader="dot" w:pos="9029"/>
              </w:tabs>
              <w:spacing w:after="120"/>
              <w:jc w:val="left"/>
              <w:rPr>
                <w:rFonts w:hint="cs"/>
                <w:spacing w:val="60"/>
                <w:sz w:val="17"/>
                <w:rtl/>
              </w:rPr>
            </w:pPr>
            <w:r w:rsidRPr="009C429D">
              <w:rPr>
                <w:rFonts w:hint="cs"/>
                <w:rtl/>
              </w:rPr>
              <w:t>الاقتصاد</w:t>
            </w:r>
            <w:r w:rsidR="009C429D">
              <w:rPr>
                <w:rFonts w:hint="cs"/>
                <w:rtl/>
              </w:rPr>
              <w:t xml:space="preserve"> </w:t>
            </w:r>
            <w:r w:rsidR="009C429D">
              <w:rPr>
                <w:spacing w:val="60"/>
                <w:sz w:val="17"/>
                <w:rtl/>
              </w:rPr>
              <w:tab/>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19</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right" w:leader="dot" w:pos="9029"/>
              </w:tabs>
              <w:spacing w:after="120"/>
              <w:jc w:val="left"/>
              <w:rPr>
                <w:rFonts w:hint="cs"/>
                <w:spacing w:val="60"/>
                <w:sz w:val="17"/>
                <w:rtl/>
              </w:rPr>
            </w:pPr>
            <w:r w:rsidRPr="009C429D">
              <w:rPr>
                <w:rFonts w:hint="cs"/>
                <w:rtl/>
              </w:rPr>
              <w:t>الآلية الحكومية</w:t>
            </w:r>
            <w:r w:rsidR="009C429D">
              <w:rPr>
                <w:rFonts w:hint="cs"/>
                <w:rtl/>
              </w:rPr>
              <w:t xml:space="preserve"> </w:t>
            </w:r>
            <w:r w:rsidR="009C429D">
              <w:rPr>
                <w:spacing w:val="60"/>
                <w:sz w:val="17"/>
                <w:rtl/>
              </w:rPr>
              <w:tab/>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22</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left" w:pos="1728"/>
                <w:tab w:val="left" w:pos="2160"/>
                <w:tab w:val="right" w:leader="dot" w:pos="9029"/>
              </w:tabs>
              <w:spacing w:after="120"/>
              <w:jc w:val="left"/>
              <w:rPr>
                <w:rFonts w:hint="cs"/>
                <w:spacing w:val="60"/>
                <w:sz w:val="17"/>
                <w:rtl/>
              </w:rPr>
            </w:pPr>
            <w:r w:rsidRPr="009C429D">
              <w:rPr>
                <w:rFonts w:hint="cs"/>
                <w:rtl/>
              </w:rPr>
              <w:t>حالة المرأة والنهوض بها</w:t>
            </w:r>
            <w:r w:rsidR="009C429D">
              <w:rPr>
                <w:rFonts w:hint="cs"/>
                <w:rtl/>
              </w:rPr>
              <w:t xml:space="preserve"> </w:t>
            </w:r>
            <w:r w:rsidR="009C429D">
              <w:rPr>
                <w:spacing w:val="60"/>
                <w:sz w:val="17"/>
                <w:rtl/>
              </w:rPr>
              <w:tab/>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29</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left" w:pos="1296"/>
                <w:tab w:val="left" w:pos="1728"/>
                <w:tab w:val="right" w:leader="dot" w:pos="9029"/>
              </w:tabs>
              <w:spacing w:after="120"/>
              <w:jc w:val="left"/>
              <w:rPr>
                <w:rFonts w:hint="cs"/>
                <w:spacing w:val="60"/>
                <w:sz w:val="17"/>
                <w:rtl/>
              </w:rPr>
            </w:pPr>
            <w:r w:rsidRPr="009C429D">
              <w:rPr>
                <w:rFonts w:hint="cs"/>
                <w:rtl/>
              </w:rPr>
              <w:t xml:space="preserve">الجزء الثاني </w:t>
            </w:r>
            <w:r w:rsidR="009C429D">
              <w:rPr>
                <w:rFonts w:hint="cs"/>
                <w:rtl/>
              </w:rPr>
              <w:t>-</w:t>
            </w:r>
            <w:r w:rsidRPr="009C429D">
              <w:rPr>
                <w:rFonts w:hint="cs"/>
                <w:rtl/>
              </w:rPr>
              <w:t xml:space="preserve"> الاتفاقية</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36</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leader="dot" w:pos="9029"/>
              </w:tabs>
              <w:spacing w:after="120"/>
              <w:jc w:val="left"/>
              <w:rPr>
                <w:rFonts w:hint="cs"/>
                <w:spacing w:val="60"/>
                <w:sz w:val="17"/>
                <w:rtl/>
              </w:rPr>
            </w:pPr>
            <w:r w:rsidRPr="009C429D">
              <w:rPr>
                <w:rFonts w:hint="cs"/>
                <w:rtl/>
              </w:rPr>
              <w:t xml:space="preserve">المادة 1 </w:t>
            </w:r>
            <w:r w:rsidR="009C429D">
              <w:rPr>
                <w:rFonts w:hint="cs"/>
                <w:rtl/>
              </w:rPr>
              <w:t xml:space="preserve"> </w:t>
            </w:r>
            <w:r w:rsidR="009C429D">
              <w:rPr>
                <w:spacing w:val="60"/>
                <w:sz w:val="17"/>
                <w:rtl/>
              </w:rPr>
              <w:tab/>
            </w:r>
          </w:p>
        </w:tc>
        <w:tc>
          <w:tcPr>
            <w:tcW w:w="806" w:type="dxa"/>
            <w:shd w:val="clear" w:color="auto" w:fill="auto"/>
            <w:vAlign w:val="bottom"/>
          </w:tcPr>
          <w:p w:rsidR="006953D0" w:rsidRPr="003307C2" w:rsidRDefault="00962ED2" w:rsidP="009C429D">
            <w:pPr>
              <w:spacing w:after="120"/>
              <w:jc w:val="right"/>
              <w:rPr>
                <w:rFonts w:hint="cs"/>
                <w:rtl/>
              </w:rPr>
            </w:pPr>
            <w:r>
              <w:rPr>
                <w:rFonts w:hint="cs"/>
                <w:rtl/>
              </w:rPr>
              <w:t>36</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pos="1080"/>
                <w:tab w:val="right" w:leader="dot" w:pos="9029"/>
              </w:tabs>
              <w:spacing w:after="120"/>
              <w:jc w:val="left"/>
              <w:rPr>
                <w:rFonts w:hint="cs"/>
                <w:spacing w:val="60"/>
                <w:sz w:val="17"/>
                <w:rtl/>
              </w:rPr>
            </w:pPr>
            <w:r w:rsidRPr="009C429D">
              <w:rPr>
                <w:rFonts w:hint="cs"/>
                <w:rtl/>
              </w:rPr>
              <w:t>المادة 2</w:t>
            </w:r>
            <w:r w:rsidR="009C429D">
              <w:rPr>
                <w:spacing w:val="60"/>
                <w:sz w:val="17"/>
                <w:rtl/>
              </w:rPr>
              <w:tab/>
            </w:r>
            <w:r w:rsidR="009C429D">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41</w:t>
            </w:r>
          </w:p>
        </w:tc>
      </w:tr>
      <w:tr w:rsidR="006953D0" w:rsidRPr="003307C2">
        <w:tblPrEx>
          <w:tblCellMar>
            <w:top w:w="0" w:type="dxa"/>
            <w:bottom w:w="0" w:type="dxa"/>
          </w:tblCellMar>
        </w:tblPrEx>
        <w:tc>
          <w:tcPr>
            <w:tcW w:w="9028" w:type="dxa"/>
            <w:gridSpan w:val="3"/>
            <w:shd w:val="clear" w:color="auto" w:fill="auto"/>
          </w:tcPr>
          <w:p w:rsidR="006953D0" w:rsidRPr="009C429D" w:rsidRDefault="006953D0" w:rsidP="009C429D">
            <w:pPr>
              <w:tabs>
                <w:tab w:val="right" w:leader="dot" w:pos="9029"/>
              </w:tabs>
              <w:spacing w:after="120"/>
              <w:jc w:val="left"/>
              <w:rPr>
                <w:rFonts w:hint="cs"/>
                <w:spacing w:val="60"/>
                <w:sz w:val="17"/>
                <w:rtl/>
              </w:rPr>
            </w:pPr>
            <w:r w:rsidRPr="009C429D">
              <w:rPr>
                <w:rFonts w:hint="cs"/>
                <w:rtl/>
              </w:rPr>
              <w:t xml:space="preserve">المادة 3 </w:t>
            </w:r>
            <w:r w:rsidR="009C429D">
              <w:rPr>
                <w:spacing w:val="60"/>
                <w:sz w:val="17"/>
                <w:rtl/>
              </w:rPr>
              <w:tab/>
            </w:r>
          </w:p>
        </w:tc>
        <w:tc>
          <w:tcPr>
            <w:tcW w:w="806" w:type="dxa"/>
            <w:shd w:val="clear" w:color="auto" w:fill="auto"/>
            <w:vAlign w:val="bottom"/>
          </w:tcPr>
          <w:p w:rsidR="006953D0" w:rsidRPr="003307C2" w:rsidRDefault="00962ED2" w:rsidP="009C429D">
            <w:pPr>
              <w:spacing w:after="120"/>
              <w:jc w:val="right"/>
              <w:rPr>
                <w:rFonts w:hint="cs"/>
                <w:rtl/>
              </w:rPr>
            </w:pPr>
            <w:r>
              <w:rPr>
                <w:rFonts w:hint="cs"/>
                <w:rtl/>
              </w:rPr>
              <w:t>48</w:t>
            </w:r>
          </w:p>
        </w:tc>
      </w:tr>
      <w:tr w:rsidR="006953D0" w:rsidRPr="003307C2">
        <w:tblPrEx>
          <w:tblCellMar>
            <w:top w:w="0" w:type="dxa"/>
            <w:bottom w:w="0" w:type="dxa"/>
          </w:tblCellMar>
        </w:tblPrEx>
        <w:tc>
          <w:tcPr>
            <w:tcW w:w="9028" w:type="dxa"/>
            <w:gridSpan w:val="3"/>
            <w:shd w:val="clear" w:color="auto" w:fill="auto"/>
          </w:tcPr>
          <w:p w:rsidR="006953D0" w:rsidRPr="0037715B" w:rsidRDefault="006953D0" w:rsidP="0037715B">
            <w:pPr>
              <w:tabs>
                <w:tab w:val="right" w:leader="dot" w:pos="9029"/>
              </w:tabs>
              <w:spacing w:after="120"/>
              <w:jc w:val="left"/>
              <w:rPr>
                <w:rFonts w:hint="cs"/>
                <w:spacing w:val="60"/>
                <w:sz w:val="17"/>
                <w:rtl/>
              </w:rPr>
            </w:pPr>
            <w:r w:rsidRPr="009C429D">
              <w:rPr>
                <w:rFonts w:hint="cs"/>
                <w:rtl/>
              </w:rPr>
              <w:t>المادة 4</w:t>
            </w:r>
            <w:r w:rsidR="0037715B">
              <w:rPr>
                <w:rFonts w:hint="cs"/>
                <w:rtl/>
              </w:rPr>
              <w:t xml:space="preserve"> </w:t>
            </w:r>
            <w:r w:rsidR="0037715B">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54</w:t>
            </w:r>
          </w:p>
        </w:tc>
      </w:tr>
      <w:tr w:rsidR="006953D0" w:rsidRPr="003307C2">
        <w:tblPrEx>
          <w:tblCellMar>
            <w:top w:w="0" w:type="dxa"/>
            <w:bottom w:w="0" w:type="dxa"/>
          </w:tblCellMar>
        </w:tblPrEx>
        <w:tc>
          <w:tcPr>
            <w:tcW w:w="9028" w:type="dxa"/>
            <w:gridSpan w:val="3"/>
            <w:shd w:val="clear" w:color="auto" w:fill="auto"/>
          </w:tcPr>
          <w:p w:rsidR="006953D0" w:rsidRPr="0037715B" w:rsidRDefault="006953D0" w:rsidP="0037715B">
            <w:pPr>
              <w:tabs>
                <w:tab w:val="right" w:leader="dot" w:pos="9029"/>
              </w:tabs>
              <w:spacing w:after="120"/>
              <w:jc w:val="left"/>
              <w:rPr>
                <w:rFonts w:hint="cs"/>
                <w:spacing w:val="60"/>
                <w:sz w:val="17"/>
                <w:rtl/>
              </w:rPr>
            </w:pPr>
            <w:r w:rsidRPr="009C429D">
              <w:rPr>
                <w:rFonts w:hint="cs"/>
                <w:rtl/>
              </w:rPr>
              <w:t>المادة 5</w:t>
            </w:r>
            <w:r w:rsidR="0037715B">
              <w:rPr>
                <w:rFonts w:hint="cs"/>
                <w:rtl/>
              </w:rPr>
              <w:t xml:space="preserve"> </w:t>
            </w:r>
            <w:r w:rsidR="0037715B">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56</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6</w:t>
            </w:r>
            <w:r w:rsidR="0020185E">
              <w:rPr>
                <w:rFonts w:hint="cs"/>
                <w:rtl/>
              </w:rPr>
              <w:t xml:space="preserve"> </w:t>
            </w:r>
            <w:r w:rsidR="0020185E">
              <w:rPr>
                <w:spacing w:val="60"/>
                <w:sz w:val="17"/>
                <w:rtl/>
              </w:rPr>
              <w:tab/>
            </w:r>
          </w:p>
        </w:tc>
        <w:tc>
          <w:tcPr>
            <w:tcW w:w="806" w:type="dxa"/>
            <w:shd w:val="clear" w:color="auto" w:fill="auto"/>
            <w:vAlign w:val="bottom"/>
          </w:tcPr>
          <w:p w:rsidR="006953D0" w:rsidRPr="003307C2" w:rsidRDefault="00906D45" w:rsidP="006953D0">
            <w:pPr>
              <w:spacing w:after="120"/>
              <w:jc w:val="right"/>
              <w:rPr>
                <w:rFonts w:hint="cs"/>
                <w:rtl/>
              </w:rPr>
            </w:pPr>
            <w:r>
              <w:rPr>
                <w:rFonts w:hint="cs"/>
                <w:rtl/>
              </w:rPr>
              <w:t>62</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7</w:t>
            </w:r>
            <w:r w:rsidR="0020185E">
              <w:rPr>
                <w:rFonts w:hint="cs"/>
                <w:rtl/>
              </w:rPr>
              <w:t xml:space="preserve"> </w:t>
            </w:r>
            <w:r w:rsidR="0020185E">
              <w:rPr>
                <w:spacing w:val="60"/>
                <w:sz w:val="17"/>
                <w:rtl/>
              </w:rPr>
              <w:tab/>
            </w:r>
          </w:p>
        </w:tc>
        <w:tc>
          <w:tcPr>
            <w:tcW w:w="806" w:type="dxa"/>
            <w:shd w:val="clear" w:color="auto" w:fill="auto"/>
            <w:vAlign w:val="bottom"/>
          </w:tcPr>
          <w:p w:rsidR="006953D0" w:rsidRPr="003307C2" w:rsidRDefault="00906D45" w:rsidP="006953D0">
            <w:pPr>
              <w:spacing w:after="120"/>
              <w:jc w:val="right"/>
              <w:rPr>
                <w:rFonts w:hint="cs"/>
                <w:rtl/>
              </w:rPr>
            </w:pPr>
            <w:r>
              <w:rPr>
                <w:rFonts w:hint="cs"/>
                <w:rtl/>
              </w:rPr>
              <w:t>64</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8</w:t>
            </w:r>
            <w:r w:rsidR="0020185E">
              <w:rPr>
                <w:rFonts w:hint="cs"/>
                <w:rtl/>
              </w:rPr>
              <w:t xml:space="preserve"> </w:t>
            </w:r>
            <w:r w:rsidR="0020185E">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79</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9</w:t>
            </w:r>
            <w:r w:rsidR="0020185E">
              <w:rPr>
                <w:rFonts w:hint="cs"/>
                <w:rtl/>
              </w:rPr>
              <w:t xml:space="preserve"> </w:t>
            </w:r>
            <w:r w:rsidR="0020185E">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82</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pos="1080"/>
                <w:tab w:val="right" w:leader="dot" w:pos="9029"/>
              </w:tabs>
              <w:spacing w:after="120"/>
              <w:jc w:val="left"/>
              <w:rPr>
                <w:rFonts w:hint="cs"/>
                <w:spacing w:val="60"/>
                <w:sz w:val="17"/>
                <w:rtl/>
              </w:rPr>
            </w:pPr>
            <w:r w:rsidRPr="009C429D">
              <w:rPr>
                <w:rFonts w:hint="cs"/>
                <w:rtl/>
              </w:rPr>
              <w:t>المادة 10</w:t>
            </w:r>
            <w:r w:rsidR="0020185E">
              <w:rPr>
                <w:rFonts w:hint="cs"/>
                <w:rtl/>
              </w:rPr>
              <w:t xml:space="preserve"> </w:t>
            </w:r>
            <w:r w:rsidR="0020185E">
              <w:rPr>
                <w:spacing w:val="60"/>
                <w:sz w:val="17"/>
                <w:rtl/>
              </w:rPr>
              <w:tab/>
            </w:r>
            <w:r w:rsidR="0020185E">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85</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11</w:t>
            </w:r>
            <w:r w:rsidR="0020185E">
              <w:rPr>
                <w:spacing w:val="60"/>
                <w:sz w:val="17"/>
                <w:rtl/>
              </w:rPr>
              <w:tab/>
            </w:r>
          </w:p>
        </w:tc>
        <w:tc>
          <w:tcPr>
            <w:tcW w:w="806" w:type="dxa"/>
            <w:shd w:val="clear" w:color="auto" w:fill="auto"/>
            <w:vAlign w:val="bottom"/>
          </w:tcPr>
          <w:p w:rsidR="006953D0" w:rsidRPr="003307C2" w:rsidRDefault="00962ED2" w:rsidP="0020185E">
            <w:pPr>
              <w:spacing w:after="120"/>
              <w:jc w:val="right"/>
              <w:rPr>
                <w:rFonts w:hint="cs"/>
                <w:rtl/>
              </w:rPr>
            </w:pPr>
            <w:r>
              <w:rPr>
                <w:rFonts w:hint="cs"/>
                <w:rtl/>
              </w:rPr>
              <w:t>105</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12</w:t>
            </w:r>
            <w:r w:rsidR="0020185E">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114</w:t>
            </w:r>
          </w:p>
        </w:tc>
      </w:tr>
      <w:tr w:rsidR="006953D0" w:rsidRPr="003307C2">
        <w:tblPrEx>
          <w:tblCellMar>
            <w:top w:w="0" w:type="dxa"/>
            <w:bottom w:w="0" w:type="dxa"/>
          </w:tblCellMar>
        </w:tblPrEx>
        <w:tc>
          <w:tcPr>
            <w:tcW w:w="9028" w:type="dxa"/>
            <w:gridSpan w:val="3"/>
            <w:shd w:val="clear" w:color="auto" w:fill="auto"/>
          </w:tcPr>
          <w:p w:rsidR="006953D0" w:rsidRPr="0020185E" w:rsidRDefault="006953D0" w:rsidP="0020185E">
            <w:pPr>
              <w:tabs>
                <w:tab w:val="right" w:leader="dot" w:pos="9029"/>
              </w:tabs>
              <w:spacing w:after="120"/>
              <w:jc w:val="left"/>
              <w:rPr>
                <w:rFonts w:hint="cs"/>
                <w:spacing w:val="60"/>
                <w:sz w:val="17"/>
                <w:rtl/>
              </w:rPr>
            </w:pPr>
            <w:r w:rsidRPr="009C429D">
              <w:rPr>
                <w:rFonts w:hint="cs"/>
                <w:rtl/>
              </w:rPr>
              <w:t>المادة 13</w:t>
            </w:r>
            <w:r w:rsidR="0020185E">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126</w:t>
            </w:r>
          </w:p>
        </w:tc>
      </w:tr>
      <w:tr w:rsidR="006953D0" w:rsidRPr="003307C2">
        <w:tblPrEx>
          <w:tblCellMar>
            <w:top w:w="0" w:type="dxa"/>
            <w:bottom w:w="0" w:type="dxa"/>
          </w:tblCellMar>
        </w:tblPrEx>
        <w:tc>
          <w:tcPr>
            <w:tcW w:w="9028" w:type="dxa"/>
            <w:gridSpan w:val="3"/>
            <w:shd w:val="clear" w:color="auto" w:fill="auto"/>
          </w:tcPr>
          <w:p w:rsidR="006953D0" w:rsidRPr="00DB1F90" w:rsidRDefault="006953D0" w:rsidP="00DB1F90">
            <w:pPr>
              <w:tabs>
                <w:tab w:val="right" w:leader="dot" w:pos="9029"/>
              </w:tabs>
              <w:spacing w:after="120"/>
              <w:jc w:val="left"/>
              <w:rPr>
                <w:rFonts w:hint="cs"/>
                <w:spacing w:val="60"/>
                <w:sz w:val="17"/>
                <w:rtl/>
              </w:rPr>
            </w:pPr>
            <w:r w:rsidRPr="009C429D">
              <w:rPr>
                <w:rFonts w:hint="cs"/>
                <w:rtl/>
              </w:rPr>
              <w:t>المادة 14</w:t>
            </w:r>
            <w:r w:rsidR="00DB1F90">
              <w:rPr>
                <w:rFonts w:hint="cs"/>
                <w:rtl/>
              </w:rPr>
              <w:t xml:space="preserve"> </w:t>
            </w:r>
            <w:r w:rsidR="00DB1F90">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132</w:t>
            </w:r>
          </w:p>
        </w:tc>
      </w:tr>
      <w:tr w:rsidR="006953D0" w:rsidRPr="003307C2">
        <w:tblPrEx>
          <w:tblCellMar>
            <w:top w:w="0" w:type="dxa"/>
            <w:bottom w:w="0" w:type="dxa"/>
          </w:tblCellMar>
        </w:tblPrEx>
        <w:tc>
          <w:tcPr>
            <w:tcW w:w="9028" w:type="dxa"/>
            <w:gridSpan w:val="3"/>
            <w:shd w:val="clear" w:color="auto" w:fill="auto"/>
          </w:tcPr>
          <w:p w:rsidR="006953D0" w:rsidRPr="00DB1F90" w:rsidRDefault="006953D0" w:rsidP="00DB1F90">
            <w:pPr>
              <w:tabs>
                <w:tab w:val="right" w:leader="dot" w:pos="9029"/>
              </w:tabs>
              <w:spacing w:after="120"/>
              <w:jc w:val="left"/>
              <w:rPr>
                <w:rFonts w:hint="cs"/>
                <w:spacing w:val="60"/>
                <w:sz w:val="17"/>
                <w:rtl/>
              </w:rPr>
            </w:pPr>
            <w:r w:rsidRPr="009C429D">
              <w:rPr>
                <w:rFonts w:hint="cs"/>
                <w:rtl/>
              </w:rPr>
              <w:t>المادة 15</w:t>
            </w:r>
            <w:r w:rsidR="00DB1F90">
              <w:rPr>
                <w:rFonts w:hint="cs"/>
                <w:rtl/>
              </w:rPr>
              <w:t xml:space="preserve"> </w:t>
            </w:r>
            <w:r w:rsidR="00DB1F90">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142</w:t>
            </w:r>
          </w:p>
        </w:tc>
      </w:tr>
      <w:tr w:rsidR="006953D0" w:rsidRPr="003307C2">
        <w:tblPrEx>
          <w:tblCellMar>
            <w:top w:w="0" w:type="dxa"/>
            <w:bottom w:w="0" w:type="dxa"/>
          </w:tblCellMar>
        </w:tblPrEx>
        <w:tc>
          <w:tcPr>
            <w:tcW w:w="9028" w:type="dxa"/>
            <w:gridSpan w:val="3"/>
            <w:shd w:val="clear" w:color="auto" w:fill="auto"/>
          </w:tcPr>
          <w:p w:rsidR="006953D0" w:rsidRPr="00DB1F90" w:rsidRDefault="006953D0" w:rsidP="00DB1F90">
            <w:pPr>
              <w:tabs>
                <w:tab w:val="right" w:leader="dot" w:pos="9029"/>
              </w:tabs>
              <w:spacing w:after="120"/>
              <w:jc w:val="left"/>
              <w:rPr>
                <w:rFonts w:hint="cs"/>
                <w:spacing w:val="60"/>
                <w:sz w:val="17"/>
                <w:rtl/>
              </w:rPr>
            </w:pPr>
            <w:r w:rsidRPr="009C429D">
              <w:rPr>
                <w:rFonts w:hint="cs"/>
                <w:rtl/>
              </w:rPr>
              <w:t>المادة 16</w:t>
            </w:r>
            <w:r w:rsidR="00DB1F90">
              <w:rPr>
                <w:rFonts w:hint="cs"/>
                <w:rtl/>
              </w:rPr>
              <w:t xml:space="preserve"> </w:t>
            </w:r>
            <w:r w:rsidR="00DB1F90">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144</w:t>
            </w:r>
          </w:p>
        </w:tc>
      </w:tr>
      <w:tr w:rsidR="006953D0" w:rsidRPr="003307C2">
        <w:tblPrEx>
          <w:tblCellMar>
            <w:top w:w="0" w:type="dxa"/>
            <w:bottom w:w="0" w:type="dxa"/>
          </w:tblCellMar>
        </w:tblPrEx>
        <w:tc>
          <w:tcPr>
            <w:tcW w:w="9028" w:type="dxa"/>
            <w:gridSpan w:val="3"/>
            <w:shd w:val="clear" w:color="auto" w:fill="auto"/>
          </w:tcPr>
          <w:p w:rsidR="006953D0" w:rsidRPr="00DB1F90" w:rsidRDefault="006953D0" w:rsidP="00DB1F90">
            <w:pPr>
              <w:tabs>
                <w:tab w:val="right" w:leader="dot" w:pos="9029"/>
              </w:tabs>
              <w:spacing w:after="120"/>
              <w:jc w:val="left"/>
              <w:rPr>
                <w:rFonts w:hint="cs"/>
                <w:spacing w:val="60"/>
                <w:sz w:val="17"/>
                <w:rtl/>
              </w:rPr>
            </w:pPr>
            <w:r w:rsidRPr="009C429D">
              <w:rPr>
                <w:rFonts w:hint="cs"/>
                <w:rtl/>
              </w:rPr>
              <w:t>المادة 18</w:t>
            </w:r>
            <w:r w:rsidR="00DB1F90">
              <w:rPr>
                <w:rFonts w:hint="cs"/>
                <w:rtl/>
              </w:rPr>
              <w:t xml:space="preserve"> </w:t>
            </w:r>
            <w:r w:rsidR="00DB1F90">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152</w:t>
            </w:r>
          </w:p>
        </w:tc>
      </w:tr>
      <w:tr w:rsidR="006953D0" w:rsidRPr="003307C2">
        <w:tblPrEx>
          <w:tblCellMar>
            <w:top w:w="0" w:type="dxa"/>
            <w:bottom w:w="0" w:type="dxa"/>
          </w:tblCellMar>
        </w:tblPrEx>
        <w:tc>
          <w:tcPr>
            <w:tcW w:w="9028" w:type="dxa"/>
            <w:gridSpan w:val="3"/>
            <w:shd w:val="clear" w:color="auto" w:fill="auto"/>
          </w:tcPr>
          <w:p w:rsidR="006953D0" w:rsidRPr="00DB1F90" w:rsidRDefault="006953D0" w:rsidP="00DB1F90">
            <w:pPr>
              <w:tabs>
                <w:tab w:val="right" w:leader="dot" w:pos="9029"/>
              </w:tabs>
              <w:spacing w:after="120"/>
              <w:jc w:val="left"/>
              <w:rPr>
                <w:rFonts w:hint="cs"/>
                <w:spacing w:val="60"/>
                <w:sz w:val="17"/>
                <w:rtl/>
              </w:rPr>
            </w:pPr>
            <w:r w:rsidRPr="009C429D">
              <w:rPr>
                <w:rFonts w:hint="cs"/>
                <w:rtl/>
              </w:rPr>
              <w:t>المراجع</w:t>
            </w:r>
            <w:r w:rsidR="00DB1F90">
              <w:rPr>
                <w:rFonts w:hint="cs"/>
                <w:rtl/>
              </w:rPr>
              <w:t xml:space="preserve"> </w:t>
            </w:r>
            <w:r w:rsidR="00DB1F90">
              <w:rPr>
                <w:spacing w:val="60"/>
                <w:sz w:val="17"/>
                <w:rtl/>
              </w:rPr>
              <w:tab/>
            </w:r>
          </w:p>
        </w:tc>
        <w:tc>
          <w:tcPr>
            <w:tcW w:w="806" w:type="dxa"/>
            <w:shd w:val="clear" w:color="auto" w:fill="auto"/>
            <w:vAlign w:val="bottom"/>
          </w:tcPr>
          <w:p w:rsidR="006953D0" w:rsidRPr="003307C2" w:rsidRDefault="00962ED2" w:rsidP="006953D0">
            <w:pPr>
              <w:spacing w:after="120"/>
              <w:jc w:val="right"/>
              <w:rPr>
                <w:rFonts w:hint="cs"/>
                <w:rtl/>
              </w:rPr>
            </w:pPr>
            <w:r>
              <w:rPr>
                <w:rFonts w:hint="cs"/>
                <w:rtl/>
              </w:rPr>
              <w:t>154</w:t>
            </w:r>
          </w:p>
        </w:tc>
      </w:tr>
      <w:tr w:rsidR="006953D0" w:rsidRPr="003307C2">
        <w:tblPrEx>
          <w:tblCellMar>
            <w:top w:w="0" w:type="dxa"/>
            <w:bottom w:w="0" w:type="dxa"/>
          </w:tblCellMar>
        </w:tblPrEx>
        <w:tc>
          <w:tcPr>
            <w:tcW w:w="9028" w:type="dxa"/>
            <w:gridSpan w:val="3"/>
            <w:shd w:val="clear" w:color="auto" w:fill="auto"/>
          </w:tcPr>
          <w:p w:rsidR="006953D0" w:rsidRPr="00D27C6F" w:rsidRDefault="00D27C6F" w:rsidP="00E20A1A">
            <w:pPr>
              <w:rPr>
                <w:rFonts w:hint="cs"/>
                <w:b/>
                <w:bCs/>
                <w:sz w:val="32"/>
                <w:szCs w:val="32"/>
                <w:rtl/>
              </w:rPr>
            </w:pPr>
            <w:r>
              <w:rPr>
                <w:rFonts w:hint="cs"/>
                <w:b/>
                <w:bCs/>
                <w:sz w:val="32"/>
                <w:szCs w:val="32"/>
                <w:rtl/>
              </w:rPr>
              <w:t>الجداول</w:t>
            </w:r>
          </w:p>
        </w:tc>
        <w:tc>
          <w:tcPr>
            <w:tcW w:w="806" w:type="dxa"/>
            <w:shd w:val="clear" w:color="auto" w:fill="auto"/>
            <w:vAlign w:val="bottom"/>
          </w:tcPr>
          <w:p w:rsidR="006953D0" w:rsidRPr="003307C2" w:rsidRDefault="006953D0" w:rsidP="006953D0">
            <w:pPr>
              <w:spacing w:after="120"/>
              <w:jc w:val="right"/>
              <w:rPr>
                <w:rFonts w:hint="cs"/>
                <w:rtl/>
              </w:rPr>
            </w:pP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962ED2">
            <w:pPr>
              <w:tabs>
                <w:tab w:val="right" w:pos="1080"/>
                <w:tab w:val="left" w:pos="1296"/>
                <w:tab w:val="right" w:leader="dot" w:pos="9029"/>
              </w:tabs>
              <w:spacing w:after="120"/>
              <w:ind w:left="1296" w:hanging="1296"/>
              <w:rPr>
                <w:rFonts w:hint="cs"/>
                <w:spacing w:val="60"/>
                <w:sz w:val="17"/>
                <w:rtl/>
              </w:rPr>
            </w:pPr>
            <w:r>
              <w:rPr>
                <w:rtl/>
              </w:rPr>
              <w:tab/>
            </w:r>
            <w:r>
              <w:rPr>
                <w:rFonts w:hint="cs"/>
                <w:rtl/>
              </w:rPr>
              <w:t>الجدول 1:</w:t>
            </w:r>
            <w:r>
              <w:rPr>
                <w:rtl/>
              </w:rPr>
              <w:tab/>
            </w:r>
            <w:r w:rsidRPr="009C429D">
              <w:rPr>
                <w:rFonts w:hint="cs"/>
                <w:rtl/>
              </w:rPr>
              <w:t>مجموع عدد السكان والمساحة والتغير في عدد السكان والتوزيع السكاني والكثافة السكانية لكل جزيرة، 1991</w:t>
            </w:r>
            <w:r>
              <w:rPr>
                <w:rFonts w:hint="cs"/>
                <w:rtl/>
              </w:rPr>
              <w:t>-</w:t>
            </w:r>
            <w:r w:rsidRPr="009C429D">
              <w:rPr>
                <w:rFonts w:hint="cs"/>
                <w:rtl/>
              </w:rPr>
              <w:t xml:space="preserve">2002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16</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الجدول 2:</w:t>
            </w:r>
            <w:r>
              <w:rPr>
                <w:rtl/>
              </w:rPr>
              <w:tab/>
            </w:r>
            <w:r w:rsidRPr="009C429D">
              <w:rPr>
                <w:rFonts w:hint="cs"/>
                <w:rtl/>
              </w:rPr>
              <w:t>مؤشرات التنمية الرئيسية في توفالو</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18</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الجدول 3:</w:t>
            </w:r>
            <w:r>
              <w:rPr>
                <w:rtl/>
              </w:rPr>
              <w:tab/>
            </w:r>
            <w:r w:rsidRPr="009C429D">
              <w:rPr>
                <w:rFonts w:hint="cs"/>
                <w:rtl/>
              </w:rPr>
              <w:t>تجارة السلع الدولية المؤقتة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20</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الجدول 4:</w:t>
            </w:r>
            <w:r>
              <w:rPr>
                <w:rtl/>
              </w:rPr>
              <w:tab/>
            </w:r>
            <w:r w:rsidR="00BE671B" w:rsidRPr="00BE671B">
              <w:rPr>
                <w:rtl/>
              </w:rPr>
              <w:t>عدد الجرائم موزعة حسب نوعها وسنة حدوثها وحسب نوع الجنس</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46</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الجدول 5:</w:t>
            </w:r>
            <w:r>
              <w:rPr>
                <w:rtl/>
              </w:rPr>
              <w:tab/>
            </w:r>
            <w:r w:rsidRPr="009C429D">
              <w:rPr>
                <w:rFonts w:hint="cs"/>
                <w:rtl/>
              </w:rPr>
              <w:t>مخصصات الميزانية الوطنية لإدارة شؤون المرأة</w:t>
            </w:r>
            <w:r w:rsidR="00BE671B">
              <w:rPr>
                <w:rFonts w:hint="cs"/>
                <w:rtl/>
              </w:rPr>
              <w:t xml:space="preserve"> - سنوات مختارة من التقارير الموفرة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51</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الجدول 6:</w:t>
            </w:r>
            <w:r>
              <w:rPr>
                <w:rtl/>
              </w:rPr>
              <w:tab/>
            </w:r>
            <w:r w:rsidRPr="009C429D">
              <w:rPr>
                <w:rFonts w:hint="cs"/>
                <w:rtl/>
              </w:rPr>
              <w:t>عدد المعوقين موزعين حسب نوع الجنس والفئة العمرية ونوع الإعاقة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53</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الجدول 7:</w:t>
            </w:r>
            <w:r>
              <w:rPr>
                <w:rtl/>
              </w:rPr>
              <w:tab/>
            </w:r>
            <w:r w:rsidRPr="009C429D">
              <w:rPr>
                <w:rFonts w:hint="cs"/>
                <w:rtl/>
              </w:rPr>
              <w:t>تمثيل المرأة في البرلمان، 1978</w:t>
            </w:r>
            <w:r>
              <w:rPr>
                <w:rFonts w:hint="cs"/>
                <w:rtl/>
              </w:rPr>
              <w:t>-</w:t>
            </w:r>
            <w:r w:rsidRPr="009C429D">
              <w:rPr>
                <w:rFonts w:hint="cs"/>
                <w:rtl/>
              </w:rPr>
              <w:t xml:space="preserve">2006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67</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الجدول 8:</w:t>
            </w:r>
            <w:r>
              <w:rPr>
                <w:rtl/>
              </w:rPr>
              <w:tab/>
            </w:r>
            <w:r w:rsidRPr="009C429D">
              <w:rPr>
                <w:rFonts w:hint="cs"/>
                <w:rtl/>
              </w:rPr>
              <w:t>الوظائف العليا التي شغلها الرجال والنساء في الحكومة والشركات، 2002</w:t>
            </w:r>
            <w:r>
              <w:rPr>
                <w:rFonts w:hint="cs"/>
                <w:rtl/>
              </w:rPr>
              <w:t>-</w:t>
            </w:r>
            <w:r w:rsidRPr="009C429D">
              <w:rPr>
                <w:rFonts w:hint="cs"/>
                <w:rtl/>
              </w:rPr>
              <w:t>2006</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68</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الجدول 9:</w:t>
            </w:r>
            <w:r>
              <w:rPr>
                <w:rtl/>
              </w:rPr>
              <w:tab/>
            </w:r>
            <w:r w:rsidRPr="009C429D">
              <w:rPr>
                <w:rFonts w:hint="cs"/>
                <w:rtl/>
              </w:rPr>
              <w:t>تمثيل المرأة في شركات القطاعين الخاص والعام، 2002</w:t>
            </w:r>
            <w:r>
              <w:rPr>
                <w:rFonts w:hint="cs"/>
                <w:rtl/>
              </w:rPr>
              <w:t>-</w:t>
            </w:r>
            <w:r w:rsidRPr="009C429D">
              <w:rPr>
                <w:rFonts w:hint="cs"/>
                <w:rtl/>
              </w:rPr>
              <w:t xml:space="preserve">2006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69</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الجدول 10:</w:t>
            </w:r>
            <w:r>
              <w:rPr>
                <w:rtl/>
              </w:rPr>
              <w:tab/>
            </w:r>
            <w:r w:rsidRPr="009C429D">
              <w:rPr>
                <w:rFonts w:hint="cs"/>
                <w:rtl/>
              </w:rPr>
              <w:t>عضوية مجالس الإدارة النظامية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70</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الجدول 11:</w:t>
            </w:r>
            <w:r>
              <w:rPr>
                <w:rtl/>
              </w:rPr>
              <w:tab/>
            </w:r>
            <w:r w:rsidRPr="009C429D">
              <w:rPr>
                <w:rFonts w:hint="cs"/>
                <w:rtl/>
              </w:rPr>
              <w:t>مجالس إدارة ولجان المنظمات غير الحكومية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71</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الجدول 12:</w:t>
            </w:r>
            <w:r>
              <w:rPr>
                <w:rtl/>
              </w:rPr>
              <w:tab/>
            </w:r>
            <w:r w:rsidRPr="009C429D">
              <w:rPr>
                <w:rFonts w:hint="cs"/>
                <w:rtl/>
              </w:rPr>
              <w:t>تمثيل المرأة في مجالس الإدارة واللجان الحكومية، عام 2006</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72</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الجدول 13:</w:t>
            </w:r>
            <w:r>
              <w:rPr>
                <w:rtl/>
              </w:rPr>
              <w:tab/>
            </w:r>
            <w:r w:rsidRPr="009C429D">
              <w:rPr>
                <w:rFonts w:hint="cs"/>
                <w:rtl/>
              </w:rPr>
              <w:t>أعضاء المجلس (الكابيول) المنتخبون موزعون حسب نوع الجنس، 1997</w:t>
            </w:r>
            <w:r>
              <w:rPr>
                <w:rFonts w:hint="cs"/>
                <w:rtl/>
              </w:rPr>
              <w:t>-</w:t>
            </w:r>
            <w:r w:rsidRPr="009C429D">
              <w:rPr>
                <w:rFonts w:hint="cs"/>
                <w:rtl/>
              </w:rPr>
              <w:t xml:space="preserve">2005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74</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الجدول 14:</w:t>
            </w:r>
            <w:r>
              <w:rPr>
                <w:rtl/>
              </w:rPr>
              <w:tab/>
            </w:r>
            <w:r w:rsidRPr="009C429D">
              <w:rPr>
                <w:rFonts w:hint="cs"/>
                <w:rtl/>
              </w:rPr>
              <w:t xml:space="preserve">عدد النساء في لجان الكابيول الدائمة، عام 2005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75</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الجدول 15:</w:t>
            </w:r>
            <w:r>
              <w:rPr>
                <w:rtl/>
              </w:rPr>
              <w:tab/>
            </w:r>
            <w:r w:rsidRPr="009C429D">
              <w:rPr>
                <w:rFonts w:hint="cs"/>
                <w:rtl/>
              </w:rPr>
              <w:t>تكوين الموظفين في بعثات توفالو الدبلوماسية في الخارج</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80</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الجدول 16:</w:t>
            </w:r>
            <w:r>
              <w:rPr>
                <w:rtl/>
              </w:rPr>
              <w:tab/>
            </w:r>
            <w:r w:rsidRPr="009C429D">
              <w:rPr>
                <w:rFonts w:hint="cs"/>
                <w:rtl/>
              </w:rPr>
              <w:t>الالتحاق برياض الأطفال حسب الجزيرة ونوع الجنس والسن وعدد الموظفين، عام 2005</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89</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الجدول 17:</w:t>
            </w:r>
            <w:r>
              <w:rPr>
                <w:rtl/>
              </w:rPr>
              <w:tab/>
            </w:r>
            <w:r w:rsidRPr="009C429D">
              <w:rPr>
                <w:rFonts w:hint="cs"/>
                <w:rtl/>
              </w:rPr>
              <w:t>عدد الطلاب الملتحقين بالمدارس الابتدائية موزعين حسب نوع الجنس والسنة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91</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rFonts w:hint="cs"/>
                <w:spacing w:val="60"/>
                <w:sz w:val="17"/>
                <w:rtl/>
              </w:rPr>
            </w:pPr>
            <w:r>
              <w:rPr>
                <w:rtl/>
              </w:rPr>
              <w:tab/>
            </w:r>
            <w:r>
              <w:rPr>
                <w:rFonts w:hint="cs"/>
                <w:rtl/>
              </w:rPr>
              <w:t>الجدول 18:</w:t>
            </w:r>
            <w:r>
              <w:rPr>
                <w:rtl/>
              </w:rPr>
              <w:tab/>
            </w:r>
            <w:r w:rsidRPr="009C429D">
              <w:rPr>
                <w:rFonts w:hint="cs"/>
                <w:rtl/>
              </w:rPr>
              <w:t>الالتحاق بالمدارس الابتدائية ونسبة الطلاب إلى المعلمين، 1991</w:t>
            </w:r>
            <w:r>
              <w:rPr>
                <w:rFonts w:hint="cs"/>
                <w:rtl/>
              </w:rPr>
              <w:t>-</w:t>
            </w:r>
            <w:r w:rsidRPr="009C429D">
              <w:rPr>
                <w:rFonts w:hint="cs"/>
                <w:rtl/>
              </w:rPr>
              <w:t xml:space="preserve">2004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92</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rFonts w:hint="cs"/>
                <w:spacing w:val="60"/>
                <w:sz w:val="17"/>
                <w:rtl/>
              </w:rPr>
            </w:pPr>
            <w:r>
              <w:rPr>
                <w:rtl/>
              </w:rPr>
              <w:tab/>
            </w:r>
            <w:r>
              <w:rPr>
                <w:rFonts w:hint="cs"/>
                <w:rtl/>
              </w:rPr>
              <w:t>الجدول 19 (أ):</w:t>
            </w:r>
            <w:r>
              <w:rPr>
                <w:rtl/>
              </w:rPr>
              <w:tab/>
            </w:r>
            <w:r w:rsidRPr="009C429D">
              <w:rPr>
                <w:rFonts w:hint="cs"/>
                <w:rtl/>
              </w:rPr>
              <w:t>عدد الطلاب الملتحقين بمدرسة موتوفوا الثانوية موزعين حسب السنة ونوع الجنس والصف</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94</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الجدول 19 (ب):</w:t>
            </w:r>
            <w:r>
              <w:rPr>
                <w:rtl/>
              </w:rPr>
              <w:tab/>
            </w:r>
            <w:r w:rsidRPr="00962ED2">
              <w:rPr>
                <w:rFonts w:hint="cs"/>
                <w:w w:val="90"/>
                <w:rtl/>
              </w:rPr>
              <w:t>عدد الطلاب الملتحقين بمدرسة فيتوفالو الثانوية موزعين حسب الصف ونوع الجنس، 2003-2005</w:t>
            </w:r>
            <w:r w:rsidRPr="009C429D">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94</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rFonts w:hint="cs"/>
                <w:spacing w:val="60"/>
                <w:sz w:val="17"/>
                <w:rtl/>
              </w:rPr>
            </w:pPr>
            <w:r>
              <w:rPr>
                <w:rtl/>
              </w:rPr>
              <w:tab/>
            </w:r>
            <w:r>
              <w:rPr>
                <w:rFonts w:hint="cs"/>
                <w:rtl/>
              </w:rPr>
              <w:t>الجدول 20:</w:t>
            </w:r>
            <w:r>
              <w:rPr>
                <w:rtl/>
              </w:rPr>
              <w:tab/>
            </w:r>
            <w:r w:rsidRPr="00962ED2">
              <w:rPr>
                <w:rFonts w:hint="cs"/>
                <w:w w:val="90"/>
                <w:rtl/>
              </w:rPr>
              <w:t>عدد الطلاب والطالبات في كل ميدان من ميادين الدراسة موزعين حسب نوع الجنس، 2000-2004</w:t>
            </w:r>
            <w:r w:rsidRPr="009C429D">
              <w:rPr>
                <w:rFonts w:hint="cs"/>
                <w:rtl/>
              </w:rPr>
              <w:t xml:space="preserve">  </w:t>
            </w:r>
            <w:r>
              <w:rPr>
                <w:spacing w:val="60"/>
                <w:sz w:val="17"/>
                <w:rtl/>
              </w:rPr>
              <w:tab/>
            </w:r>
          </w:p>
        </w:tc>
        <w:tc>
          <w:tcPr>
            <w:tcW w:w="806" w:type="dxa"/>
            <w:shd w:val="clear" w:color="auto" w:fill="auto"/>
            <w:vAlign w:val="bottom"/>
          </w:tcPr>
          <w:p w:rsidR="00962ED2" w:rsidRPr="003307C2" w:rsidRDefault="00962ED2" w:rsidP="00BE705D">
            <w:pPr>
              <w:spacing w:after="120"/>
              <w:jc w:val="right"/>
              <w:rPr>
                <w:rFonts w:hint="cs"/>
                <w:rtl/>
              </w:rPr>
            </w:pPr>
            <w:r>
              <w:rPr>
                <w:rFonts w:hint="cs"/>
                <w:rtl/>
              </w:rPr>
              <w:t>100</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rFonts w:hint="cs"/>
                <w:spacing w:val="60"/>
                <w:sz w:val="17"/>
                <w:rtl/>
              </w:rPr>
            </w:pPr>
            <w:r>
              <w:rPr>
                <w:rtl/>
              </w:rPr>
              <w:tab/>
            </w:r>
            <w:r>
              <w:rPr>
                <w:rFonts w:hint="cs"/>
                <w:rtl/>
              </w:rPr>
              <w:t>الجدول 21:</w:t>
            </w:r>
            <w:r>
              <w:rPr>
                <w:rtl/>
              </w:rPr>
              <w:tab/>
            </w:r>
            <w:r w:rsidRPr="009C429D">
              <w:rPr>
                <w:rFonts w:hint="cs"/>
                <w:rtl/>
              </w:rPr>
              <w:t>عدد الطلاب موزعين حسب المساق الدراسي ونوع الجنس والسنة، 2000</w:t>
            </w:r>
            <w:r>
              <w:rPr>
                <w:rFonts w:hint="cs"/>
                <w:rtl/>
              </w:rPr>
              <w:t>-</w:t>
            </w:r>
            <w:r w:rsidRPr="009C429D">
              <w:rPr>
                <w:rFonts w:hint="cs"/>
                <w:rtl/>
              </w:rPr>
              <w:t xml:space="preserve">2004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101</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الجدول 22:</w:t>
            </w:r>
            <w:r>
              <w:rPr>
                <w:rtl/>
              </w:rPr>
              <w:tab/>
            </w:r>
            <w:r w:rsidRPr="009C429D">
              <w:rPr>
                <w:rFonts w:hint="cs"/>
                <w:rtl/>
              </w:rPr>
              <w:t>عدد التوفاليين المدربين موزعين حسب البلد الذي تدربوا فيه، 2000</w:t>
            </w:r>
            <w:r>
              <w:rPr>
                <w:rFonts w:hint="cs"/>
                <w:rtl/>
              </w:rPr>
              <w:t>-</w:t>
            </w:r>
            <w:r w:rsidRPr="009C429D">
              <w:rPr>
                <w:rFonts w:hint="cs"/>
                <w:rtl/>
              </w:rPr>
              <w:t xml:space="preserve">2004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103</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962ED2">
            <w:pPr>
              <w:tabs>
                <w:tab w:val="right" w:pos="1080"/>
                <w:tab w:val="left" w:pos="1296"/>
                <w:tab w:val="left" w:pos="1728"/>
                <w:tab w:val="right" w:leader="dot" w:pos="9029"/>
              </w:tabs>
              <w:spacing w:after="120"/>
              <w:ind w:left="1296" w:hanging="1296"/>
              <w:rPr>
                <w:rFonts w:hint="cs"/>
                <w:spacing w:val="60"/>
                <w:sz w:val="17"/>
                <w:rtl/>
              </w:rPr>
            </w:pPr>
            <w:r>
              <w:rPr>
                <w:rtl/>
              </w:rPr>
              <w:tab/>
            </w:r>
            <w:r>
              <w:rPr>
                <w:rFonts w:hint="cs"/>
                <w:rtl/>
              </w:rPr>
              <w:t>الجدول 23:</w:t>
            </w:r>
            <w:r>
              <w:rPr>
                <w:rtl/>
              </w:rPr>
              <w:tab/>
            </w:r>
            <w:r w:rsidRPr="009C429D">
              <w:rPr>
                <w:rFonts w:hint="cs"/>
                <w:rtl/>
              </w:rPr>
              <w:t>السكان المقيمون الذين يبلغون 15 عاماً من العمر فما فوق موزعون حسب نوع الجنس والجزيرة/المنطقة ومؤشرات اليد العاملة</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107</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الجدول 24:</w:t>
            </w:r>
            <w:r>
              <w:rPr>
                <w:rtl/>
              </w:rPr>
              <w:tab/>
            </w:r>
            <w:r w:rsidRPr="009C429D">
              <w:rPr>
                <w:rFonts w:hint="cs"/>
                <w:rtl/>
              </w:rPr>
              <w:t xml:space="preserve">النسبة المئوية للذكور والإناث المستخدمين والعاملين في الصناعة عام </w:t>
            </w:r>
            <w:r w:rsidR="00BE671B">
              <w:rPr>
                <w:rFonts w:hint="cs"/>
                <w:rtl/>
              </w:rPr>
              <w:t>2002</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109</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right" w:leader="dot" w:pos="9029"/>
              </w:tabs>
              <w:spacing w:after="120"/>
              <w:rPr>
                <w:rFonts w:hint="cs"/>
                <w:spacing w:val="60"/>
                <w:w w:val="90"/>
                <w:sz w:val="17"/>
                <w:rtl/>
              </w:rPr>
            </w:pPr>
            <w:r>
              <w:rPr>
                <w:w w:val="90"/>
                <w:rtl/>
              </w:rPr>
              <w:tab/>
            </w:r>
            <w:r>
              <w:rPr>
                <w:rFonts w:hint="cs"/>
                <w:w w:val="90"/>
                <w:rtl/>
              </w:rPr>
              <w:t>الجدول 25:</w:t>
            </w:r>
            <w:r>
              <w:rPr>
                <w:w w:val="90"/>
                <w:rtl/>
              </w:rPr>
              <w:tab/>
            </w:r>
            <w:r w:rsidRPr="00B65149">
              <w:rPr>
                <w:rFonts w:hint="cs"/>
                <w:w w:val="90"/>
                <w:rtl/>
              </w:rPr>
              <w:t xml:space="preserve">نسبة الذين يعملون في أنشطة كفافية، حسب التعداد السكاني لعام 2002، موزعين حسب نوع النشاط ونوع الجنس </w:t>
            </w:r>
            <w:r w:rsidRPr="00B65149">
              <w:rPr>
                <w:spacing w:val="60"/>
                <w:w w:val="9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110</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الجدول 26:</w:t>
            </w:r>
            <w:r>
              <w:rPr>
                <w:rtl/>
              </w:rPr>
              <w:tab/>
            </w:r>
            <w:r w:rsidRPr="009C429D">
              <w:rPr>
                <w:rFonts w:hint="cs"/>
                <w:rtl/>
              </w:rPr>
              <w:t>أسباب المرض الرئيسية الخمسة، عام 2003</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117</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الجدول 27:</w:t>
            </w:r>
            <w:r>
              <w:rPr>
                <w:rtl/>
              </w:rPr>
              <w:tab/>
            </w:r>
            <w:r w:rsidRPr="009C429D">
              <w:rPr>
                <w:rFonts w:hint="cs"/>
                <w:rtl/>
              </w:rPr>
              <w:t>برنامج تنظيم الأسرة،</w:t>
            </w:r>
            <w:r w:rsidR="00BE671B">
              <w:rPr>
                <w:rFonts w:hint="cs"/>
                <w:rtl/>
              </w:rPr>
              <w:t xml:space="preserve"> الفترة</w:t>
            </w:r>
            <w:r w:rsidRPr="009C429D">
              <w:rPr>
                <w:rFonts w:hint="cs"/>
                <w:rtl/>
              </w:rPr>
              <w:t xml:space="preserve"> 2002</w:t>
            </w:r>
            <w:r>
              <w:rPr>
                <w:rFonts w:hint="cs"/>
                <w:rtl/>
              </w:rPr>
              <w:t>-</w:t>
            </w:r>
            <w:r w:rsidRPr="009C429D">
              <w:rPr>
                <w:rFonts w:hint="cs"/>
                <w:rtl/>
              </w:rPr>
              <w:t xml:space="preserve">2004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188</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الجدول 28:</w:t>
            </w:r>
            <w:r>
              <w:rPr>
                <w:rtl/>
              </w:rPr>
              <w:tab/>
            </w:r>
            <w:r w:rsidRPr="009C429D">
              <w:rPr>
                <w:rFonts w:hint="cs"/>
                <w:rtl/>
              </w:rPr>
              <w:t>الأمراض غير المعدية موزعة حسب نوع الجنس ونوع المرض، 200</w:t>
            </w:r>
            <w:r w:rsidR="00BE671B">
              <w:rPr>
                <w:rFonts w:hint="cs"/>
                <w:rtl/>
              </w:rPr>
              <w:t>2</w:t>
            </w:r>
            <w:r>
              <w:rPr>
                <w:rFonts w:hint="cs"/>
                <w:rtl/>
              </w:rPr>
              <w:t>-</w:t>
            </w:r>
            <w:r w:rsidRPr="009C429D">
              <w:rPr>
                <w:rFonts w:hint="cs"/>
                <w:rtl/>
              </w:rPr>
              <w:t xml:space="preserve">2004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123</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الجدول 29:</w:t>
            </w:r>
            <w:r>
              <w:rPr>
                <w:rtl/>
              </w:rPr>
              <w:tab/>
            </w:r>
            <w:r w:rsidRPr="009C429D">
              <w:rPr>
                <w:rFonts w:hint="cs"/>
                <w:rtl/>
              </w:rPr>
              <w:t xml:space="preserve">أسباب الوفاة الرئيسية الخمسة، </w:t>
            </w:r>
            <w:r w:rsidR="00BE671B">
              <w:rPr>
                <w:rFonts w:hint="cs"/>
                <w:rtl/>
              </w:rPr>
              <w:t xml:space="preserve">في </w:t>
            </w:r>
            <w:r w:rsidRPr="009C429D">
              <w:rPr>
                <w:rFonts w:hint="cs"/>
                <w:rtl/>
              </w:rPr>
              <w:t xml:space="preserve">عام 2003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125</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الجدول 30:</w:t>
            </w:r>
            <w:r>
              <w:rPr>
                <w:rtl/>
              </w:rPr>
              <w:tab/>
            </w:r>
            <w:r w:rsidRPr="009C429D">
              <w:rPr>
                <w:rFonts w:hint="cs"/>
                <w:rtl/>
              </w:rPr>
              <w:t>نسبة مقدمي الخدمات الصحية المحترفين إلى المرضى</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125</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الجدول 31:</w:t>
            </w:r>
            <w:r>
              <w:rPr>
                <w:rtl/>
              </w:rPr>
              <w:tab/>
            </w:r>
            <w:r w:rsidRPr="009C429D">
              <w:rPr>
                <w:rFonts w:hint="cs"/>
                <w:rtl/>
              </w:rPr>
              <w:t>المستفيدون من برنامج العلاج الطبي، 2004</w:t>
            </w:r>
            <w:r>
              <w:rPr>
                <w:rFonts w:hint="cs"/>
                <w:rtl/>
              </w:rPr>
              <w:t>-</w:t>
            </w:r>
            <w:r w:rsidRPr="009C429D">
              <w:rPr>
                <w:rFonts w:hint="cs"/>
                <w:rtl/>
              </w:rPr>
              <w:t xml:space="preserve">2006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128</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الجدول 32:</w:t>
            </w:r>
            <w:r>
              <w:rPr>
                <w:rtl/>
              </w:rPr>
              <w:tab/>
            </w:r>
            <w:r w:rsidRPr="009C429D">
              <w:rPr>
                <w:rFonts w:hint="cs"/>
                <w:rtl/>
              </w:rPr>
              <w:t>ملخص القروض التي ووفق عليها أثناء الفترة 2001</w:t>
            </w:r>
            <w:r>
              <w:rPr>
                <w:rFonts w:hint="cs"/>
                <w:rtl/>
              </w:rPr>
              <w:t>-</w:t>
            </w:r>
            <w:r w:rsidRPr="009C429D">
              <w:rPr>
                <w:rFonts w:hint="cs"/>
                <w:rtl/>
              </w:rPr>
              <w:t xml:space="preserve">2005 </w:t>
            </w:r>
            <w:r>
              <w:rPr>
                <w:rFonts w:hint="cs"/>
                <w:rtl/>
              </w:rPr>
              <w:t xml:space="preserve">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129</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الجدول 33:</w:t>
            </w:r>
            <w:r>
              <w:rPr>
                <w:rtl/>
              </w:rPr>
              <w:tab/>
            </w:r>
            <w:r w:rsidRPr="009C429D">
              <w:rPr>
                <w:rFonts w:hint="cs"/>
                <w:rtl/>
              </w:rPr>
              <w:t xml:space="preserve">ملخص حافظة الادخارات، عام 2005 </w:t>
            </w:r>
            <w:r>
              <w:rPr>
                <w:spacing w:val="60"/>
                <w:sz w:val="17"/>
                <w:rtl/>
              </w:rPr>
              <w:tab/>
            </w:r>
          </w:p>
        </w:tc>
        <w:tc>
          <w:tcPr>
            <w:tcW w:w="806" w:type="dxa"/>
            <w:shd w:val="clear" w:color="auto" w:fill="auto"/>
            <w:vAlign w:val="bottom"/>
          </w:tcPr>
          <w:p w:rsidR="00962ED2" w:rsidRPr="003307C2" w:rsidRDefault="00962ED2" w:rsidP="006953D0">
            <w:pPr>
              <w:spacing w:after="120"/>
              <w:jc w:val="right"/>
              <w:rPr>
                <w:rFonts w:hint="cs"/>
                <w:rtl/>
              </w:rPr>
            </w:pPr>
            <w:r>
              <w:rPr>
                <w:rFonts w:hint="cs"/>
                <w:rtl/>
              </w:rPr>
              <w:t>130</w:t>
            </w:r>
          </w:p>
        </w:tc>
      </w:tr>
      <w:tr w:rsidR="00962ED2" w:rsidRPr="003307C2">
        <w:tblPrEx>
          <w:tblCellMar>
            <w:top w:w="0" w:type="dxa"/>
            <w:bottom w:w="0" w:type="dxa"/>
          </w:tblCellMar>
        </w:tblPrEx>
        <w:tc>
          <w:tcPr>
            <w:tcW w:w="9028" w:type="dxa"/>
            <w:gridSpan w:val="3"/>
            <w:shd w:val="clear" w:color="auto" w:fill="auto"/>
          </w:tcPr>
          <w:p w:rsidR="00962ED2" w:rsidRPr="00B65149" w:rsidRDefault="00962ED2" w:rsidP="00B65149">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الجدول 34:</w:t>
            </w:r>
            <w:r>
              <w:rPr>
                <w:rtl/>
              </w:rPr>
              <w:tab/>
            </w:r>
            <w:r w:rsidRPr="009C429D">
              <w:rPr>
                <w:rFonts w:hint="cs"/>
                <w:rtl/>
              </w:rPr>
              <w:t xml:space="preserve">المساكن وأنواعها موزعة حسب الجزيرة، عام 2002 </w:t>
            </w:r>
            <w:r>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137</w:t>
            </w:r>
          </w:p>
        </w:tc>
      </w:tr>
      <w:tr w:rsidR="00962ED2" w:rsidRPr="003307C2">
        <w:tblPrEx>
          <w:tblCellMar>
            <w:top w:w="0" w:type="dxa"/>
            <w:bottom w:w="0" w:type="dxa"/>
          </w:tblCellMar>
        </w:tblPrEx>
        <w:tc>
          <w:tcPr>
            <w:tcW w:w="9028" w:type="dxa"/>
            <w:gridSpan w:val="3"/>
            <w:shd w:val="clear" w:color="auto" w:fill="auto"/>
          </w:tcPr>
          <w:p w:rsidR="00962ED2" w:rsidRPr="009C429D" w:rsidRDefault="00962ED2" w:rsidP="009C429D">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r>
              <w:rPr>
                <w:rtl/>
              </w:rPr>
              <w:tab/>
            </w:r>
            <w:r>
              <w:rPr>
                <w:rFonts w:hint="cs"/>
                <w:rtl/>
              </w:rPr>
              <w:t>الجدول 35:</w:t>
            </w:r>
            <w:r>
              <w:rPr>
                <w:rtl/>
              </w:rPr>
              <w:tab/>
            </w:r>
            <w:r w:rsidRPr="009C429D">
              <w:rPr>
                <w:rFonts w:hint="cs"/>
                <w:rtl/>
              </w:rPr>
              <w:t>عدد البيوت موزعة حسب الجزيرة ومصدر الإمداد بالمياه، 2002</w:t>
            </w:r>
            <w:r>
              <w:rPr>
                <w:rFonts w:hint="cs"/>
                <w:rtl/>
              </w:rPr>
              <w:t xml:space="preserve"> </w:t>
            </w:r>
            <w:r>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138</w:t>
            </w:r>
          </w:p>
        </w:tc>
      </w:tr>
      <w:tr w:rsidR="00962ED2" w:rsidRPr="003307C2">
        <w:tblPrEx>
          <w:tblCellMar>
            <w:top w:w="0" w:type="dxa"/>
            <w:bottom w:w="0" w:type="dxa"/>
          </w:tblCellMar>
        </w:tblPrEx>
        <w:tc>
          <w:tcPr>
            <w:tcW w:w="9028" w:type="dxa"/>
            <w:gridSpan w:val="3"/>
            <w:shd w:val="clear" w:color="auto" w:fill="auto"/>
          </w:tcPr>
          <w:p w:rsidR="00962ED2" w:rsidRPr="009C429D" w:rsidRDefault="00962ED2" w:rsidP="009C429D">
            <w:pPr>
              <w:tabs>
                <w:tab w:val="right" w:pos="1080"/>
                <w:tab w:val="left" w:pos="1296"/>
                <w:tab w:val="right" w:pos="1843"/>
                <w:tab w:val="left" w:pos="2232"/>
                <w:tab w:val="left" w:pos="2592"/>
                <w:tab w:val="left" w:pos="3024"/>
                <w:tab w:val="left" w:pos="3456"/>
                <w:tab w:val="right" w:leader="dot" w:pos="9360"/>
              </w:tabs>
              <w:spacing w:after="120"/>
              <w:jc w:val="left"/>
              <w:rPr>
                <w:rFonts w:hint="cs"/>
                <w:rtl/>
              </w:rPr>
            </w:pPr>
            <w:r>
              <w:rPr>
                <w:rtl/>
              </w:rPr>
              <w:tab/>
            </w:r>
            <w:r>
              <w:rPr>
                <w:rFonts w:hint="cs"/>
                <w:rtl/>
              </w:rPr>
              <w:t>الجدول 36:</w:t>
            </w:r>
            <w:r>
              <w:rPr>
                <w:rtl/>
              </w:rPr>
              <w:tab/>
            </w:r>
            <w:r w:rsidRPr="009C429D">
              <w:rPr>
                <w:rFonts w:hint="cs"/>
                <w:rtl/>
              </w:rPr>
              <w:t xml:space="preserve">عدد البيوت التي توجد فيها صهاريج للمياه موزعة حسب الجزيرة، عام 2002 </w:t>
            </w:r>
            <w:r>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139</w:t>
            </w:r>
          </w:p>
        </w:tc>
      </w:tr>
      <w:tr w:rsidR="00962ED2" w:rsidRPr="003307C2">
        <w:tblPrEx>
          <w:tblCellMar>
            <w:top w:w="0" w:type="dxa"/>
            <w:bottom w:w="0" w:type="dxa"/>
          </w:tblCellMar>
        </w:tblPrEx>
        <w:tc>
          <w:tcPr>
            <w:tcW w:w="9028" w:type="dxa"/>
            <w:gridSpan w:val="3"/>
            <w:shd w:val="clear" w:color="auto" w:fill="auto"/>
          </w:tcPr>
          <w:p w:rsidR="00962ED2" w:rsidRPr="0020185E" w:rsidRDefault="00962ED2" w:rsidP="0020185E">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الجدول 37:</w:t>
            </w:r>
            <w:r>
              <w:rPr>
                <w:rtl/>
              </w:rPr>
              <w:tab/>
            </w:r>
            <w:r w:rsidRPr="009C429D">
              <w:rPr>
                <w:rFonts w:hint="cs"/>
                <w:rtl/>
              </w:rPr>
              <w:t>عدد قضايا الطلاق، 2000</w:t>
            </w:r>
            <w:r>
              <w:rPr>
                <w:rFonts w:hint="cs"/>
                <w:rtl/>
              </w:rPr>
              <w:t>-</w:t>
            </w:r>
            <w:r w:rsidRPr="009C429D">
              <w:rPr>
                <w:rFonts w:hint="cs"/>
                <w:rtl/>
              </w:rPr>
              <w:t xml:space="preserve">2004 </w:t>
            </w:r>
            <w:r>
              <w:rPr>
                <w:rFonts w:hint="cs"/>
                <w:rtl/>
              </w:rPr>
              <w:t xml:space="preserve"> </w:t>
            </w:r>
            <w:r>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148</w:t>
            </w:r>
          </w:p>
        </w:tc>
      </w:tr>
      <w:tr w:rsidR="00962ED2" w:rsidRPr="003307C2">
        <w:tblPrEx>
          <w:tblCellMar>
            <w:top w:w="0" w:type="dxa"/>
            <w:bottom w:w="0" w:type="dxa"/>
          </w:tblCellMar>
        </w:tblPrEx>
        <w:tc>
          <w:tcPr>
            <w:tcW w:w="9028" w:type="dxa"/>
            <w:gridSpan w:val="3"/>
            <w:shd w:val="clear" w:color="auto" w:fill="auto"/>
          </w:tcPr>
          <w:p w:rsidR="00962ED2" w:rsidRPr="00D27C6F" w:rsidRDefault="00962ED2" w:rsidP="00E20A1A">
            <w:pPr>
              <w:rPr>
                <w:rFonts w:hint="cs"/>
                <w:sz w:val="32"/>
                <w:szCs w:val="32"/>
                <w:rtl/>
              </w:rPr>
            </w:pPr>
            <w:r>
              <w:rPr>
                <w:rFonts w:hint="cs"/>
                <w:b/>
                <w:bCs/>
                <w:sz w:val="32"/>
                <w:szCs w:val="32"/>
                <w:rtl/>
              </w:rPr>
              <w:t>الأشكال</w:t>
            </w:r>
          </w:p>
        </w:tc>
        <w:tc>
          <w:tcPr>
            <w:tcW w:w="806" w:type="dxa"/>
            <w:shd w:val="clear" w:color="auto" w:fill="auto"/>
            <w:vAlign w:val="bottom"/>
          </w:tcPr>
          <w:p w:rsidR="00962ED2" w:rsidRPr="003307C2" w:rsidRDefault="00962ED2" w:rsidP="006953D0">
            <w:pPr>
              <w:spacing w:after="120"/>
              <w:jc w:val="right"/>
              <w:rPr>
                <w:rFonts w:hint="eastAsia"/>
                <w:rtl/>
              </w:rPr>
            </w:pP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1:</w:t>
            </w:r>
            <w:r>
              <w:rPr>
                <w:rtl/>
              </w:rPr>
              <w:tab/>
            </w:r>
            <w:r w:rsidR="00962ED2" w:rsidRPr="009C429D">
              <w:rPr>
                <w:rFonts w:hint="cs"/>
                <w:rtl/>
              </w:rPr>
              <w:t>النسبة المئوية للسكان موزعين حسب نوع الجنس إلى فئات عمرية نطاقها خمس سنوات</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17</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2:</w:t>
            </w:r>
            <w:r>
              <w:rPr>
                <w:rtl/>
              </w:rPr>
              <w:tab/>
            </w:r>
            <w:r w:rsidR="00962ED2" w:rsidRPr="009C429D">
              <w:rPr>
                <w:rFonts w:hint="cs"/>
                <w:rtl/>
              </w:rPr>
              <w:t>تمثيل توفالو في المؤتمرات الدولية أثناء الفترة 2001</w:t>
            </w:r>
            <w:r w:rsidR="00962ED2">
              <w:rPr>
                <w:rFonts w:hint="cs"/>
                <w:rtl/>
              </w:rPr>
              <w:t>-</w:t>
            </w:r>
            <w:r w:rsidR="00962ED2" w:rsidRPr="009C429D">
              <w:rPr>
                <w:rFonts w:hint="cs"/>
                <w:rtl/>
              </w:rPr>
              <w:t xml:space="preserve">2006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79</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right" w:leader="dot" w:pos="9360"/>
              </w:tabs>
              <w:spacing w:after="120" w:line="340" w:lineRule="exact"/>
              <w:jc w:val="left"/>
              <w:rPr>
                <w:rFonts w:hint="cs"/>
                <w:rtl/>
              </w:rPr>
            </w:pPr>
            <w:r>
              <w:rPr>
                <w:rtl/>
              </w:rPr>
              <w:tab/>
            </w:r>
            <w:r>
              <w:rPr>
                <w:rFonts w:hint="cs"/>
                <w:rtl/>
              </w:rPr>
              <w:t>الشكل 3:</w:t>
            </w:r>
            <w:r>
              <w:rPr>
                <w:rtl/>
              </w:rPr>
              <w:tab/>
            </w:r>
            <w:r w:rsidR="00962ED2" w:rsidRPr="009C429D">
              <w:rPr>
                <w:rFonts w:hint="cs"/>
                <w:rtl/>
              </w:rPr>
              <w:t>الحصول على الجنسية عن طريق الزواج</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84</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4:</w:t>
            </w:r>
            <w:r>
              <w:rPr>
                <w:rtl/>
              </w:rPr>
              <w:tab/>
            </w:r>
            <w:r w:rsidR="00962ED2" w:rsidRPr="009C429D">
              <w:rPr>
                <w:rFonts w:hint="cs"/>
                <w:rtl/>
              </w:rPr>
              <w:t>الالتحاق برياض الأطفال حسب الجزيرة ونوع الجنس، عام 2005</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90</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5:</w:t>
            </w:r>
            <w:r>
              <w:rPr>
                <w:rtl/>
              </w:rPr>
              <w:tab/>
            </w:r>
            <w:r w:rsidR="00962ED2" w:rsidRPr="009C429D">
              <w:rPr>
                <w:rFonts w:hint="cs"/>
                <w:rtl/>
              </w:rPr>
              <w:t>عدد طلاب الصف السابع موزعين حسب السنة ونوع الجنس</w:t>
            </w:r>
            <w:r w:rsidR="00BE671B">
              <w:rPr>
                <w:rFonts w:hint="cs"/>
                <w:rtl/>
              </w:rPr>
              <w:t>، 2004-2005</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96</w:t>
            </w:r>
          </w:p>
        </w:tc>
      </w:tr>
      <w:tr w:rsidR="00962ED2" w:rsidRPr="003307C2">
        <w:tblPrEx>
          <w:tblCellMar>
            <w:top w:w="0" w:type="dxa"/>
            <w:bottom w:w="0" w:type="dxa"/>
          </w:tblCellMar>
        </w:tblPrEx>
        <w:tc>
          <w:tcPr>
            <w:tcW w:w="9028" w:type="dxa"/>
            <w:gridSpan w:val="3"/>
            <w:shd w:val="clear" w:color="auto" w:fill="auto"/>
          </w:tcPr>
          <w:p w:rsidR="00962ED2" w:rsidRPr="0020185E" w:rsidRDefault="009676B7" w:rsidP="009676B7">
            <w:pPr>
              <w:tabs>
                <w:tab w:val="right" w:pos="1080"/>
                <w:tab w:val="left" w:pos="1296"/>
                <w:tab w:val="right" w:pos="1843"/>
                <w:tab w:val="right" w:leader="dot" w:pos="9360"/>
              </w:tabs>
              <w:spacing w:after="120" w:line="340" w:lineRule="exact"/>
              <w:ind w:left="1296" w:hanging="1296"/>
              <w:rPr>
                <w:rFonts w:hint="cs"/>
                <w:w w:val="90"/>
                <w:rtl/>
              </w:rPr>
            </w:pPr>
            <w:r>
              <w:rPr>
                <w:w w:val="90"/>
                <w:rtl/>
              </w:rPr>
              <w:tab/>
            </w:r>
            <w:r>
              <w:rPr>
                <w:rFonts w:hint="cs"/>
                <w:w w:val="90"/>
                <w:rtl/>
              </w:rPr>
              <w:t>الشكل 6:</w:t>
            </w:r>
            <w:r>
              <w:rPr>
                <w:w w:val="90"/>
                <w:rtl/>
              </w:rPr>
              <w:tab/>
            </w:r>
            <w:r w:rsidR="00962ED2" w:rsidRPr="0020185E">
              <w:rPr>
                <w:rFonts w:hint="cs"/>
                <w:w w:val="90"/>
                <w:rtl/>
              </w:rPr>
              <w:t xml:space="preserve">رسم بياني للطلاب الذين التحقوا بمعهد توفالو للتدريب البحري وتخرجوا منه، موزعين حسب السنة، 1979 - 2003 </w:t>
            </w:r>
            <w:r w:rsidR="00962ED2">
              <w:rPr>
                <w:spacing w:val="60"/>
                <w:sz w:val="17"/>
                <w:rtl/>
              </w:rPr>
              <w:tab/>
            </w:r>
            <w:r>
              <w:rPr>
                <w:rFonts w:hint="cs"/>
                <w:spacing w:val="60"/>
                <w:sz w:val="17"/>
                <w:rtl/>
              </w:rPr>
              <w:t xml:space="preserve"> </w:t>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97</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right" w:leader="dot" w:pos="9360"/>
              </w:tabs>
              <w:spacing w:after="120"/>
              <w:ind w:left="1296" w:hanging="1296"/>
              <w:rPr>
                <w:rFonts w:hint="cs"/>
                <w:rtl/>
              </w:rPr>
            </w:pPr>
            <w:r>
              <w:rPr>
                <w:rtl/>
              </w:rPr>
              <w:tab/>
            </w:r>
            <w:r>
              <w:rPr>
                <w:rFonts w:hint="cs"/>
                <w:rtl/>
              </w:rPr>
              <w:t>الشكل 7:</w:t>
            </w:r>
            <w:r>
              <w:rPr>
                <w:rtl/>
              </w:rPr>
              <w:tab/>
            </w:r>
            <w:r w:rsidR="00962ED2" w:rsidRPr="009C429D">
              <w:rPr>
                <w:rFonts w:hint="cs"/>
                <w:rtl/>
              </w:rPr>
              <w:t>رسم بياني يبين عدد الطلاب الملتحقين بمدرسة أكاديمية اليوم الجديد، موزعين حسب السنة، 2003</w:t>
            </w:r>
            <w:r w:rsidR="00962ED2">
              <w:rPr>
                <w:rFonts w:hint="cs"/>
                <w:rtl/>
              </w:rPr>
              <w:t>-</w:t>
            </w:r>
            <w:r w:rsidR="00962ED2" w:rsidRPr="009C429D">
              <w:rPr>
                <w:rFonts w:hint="cs"/>
                <w:rtl/>
              </w:rPr>
              <w:t xml:space="preserve">2005 </w:t>
            </w:r>
            <w:r>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98</w:t>
            </w:r>
          </w:p>
        </w:tc>
      </w:tr>
      <w:tr w:rsidR="00962ED2" w:rsidRPr="003307C2">
        <w:tblPrEx>
          <w:tblCellMar>
            <w:top w:w="0" w:type="dxa"/>
            <w:bottom w:w="0" w:type="dxa"/>
          </w:tblCellMar>
        </w:tblPrEx>
        <w:tc>
          <w:tcPr>
            <w:tcW w:w="9028" w:type="dxa"/>
            <w:gridSpan w:val="3"/>
            <w:shd w:val="clear" w:color="auto" w:fill="auto"/>
          </w:tcPr>
          <w:p w:rsidR="00962ED2" w:rsidRPr="0020185E" w:rsidRDefault="009676B7" w:rsidP="009676B7">
            <w:pPr>
              <w:tabs>
                <w:tab w:val="right" w:pos="1080"/>
                <w:tab w:val="left" w:pos="1296"/>
                <w:tab w:val="left" w:pos="1728"/>
                <w:tab w:val="left" w:pos="2160"/>
                <w:tab w:val="right" w:leader="dot" w:pos="9029"/>
              </w:tabs>
              <w:spacing w:after="120" w:line="340" w:lineRule="exact"/>
              <w:ind w:left="1296" w:hanging="1296"/>
              <w:rPr>
                <w:rFonts w:hint="cs"/>
                <w:spacing w:val="60"/>
                <w:sz w:val="17"/>
                <w:rtl/>
              </w:rPr>
            </w:pPr>
            <w:r>
              <w:rPr>
                <w:rtl/>
              </w:rPr>
              <w:tab/>
            </w:r>
            <w:r>
              <w:rPr>
                <w:rFonts w:hint="cs"/>
                <w:rtl/>
              </w:rPr>
              <w:t>الشكل 8:</w:t>
            </w:r>
            <w:r>
              <w:rPr>
                <w:rtl/>
              </w:rPr>
              <w:tab/>
            </w:r>
            <w:r w:rsidR="00962ED2" w:rsidRPr="009C429D">
              <w:rPr>
                <w:rFonts w:hint="cs"/>
                <w:rtl/>
              </w:rPr>
              <w:t>رسم بياني يبين عدد الطلاب الملتحقين بمدرسة ماريتا كابان هالو للطباعة، والذين تخرجوا منها والذين لم يتخرجوا بعد، الفترة 1996</w:t>
            </w:r>
            <w:r w:rsidR="00962ED2">
              <w:rPr>
                <w:rFonts w:hint="cs"/>
                <w:rtl/>
              </w:rPr>
              <w:t>-</w:t>
            </w:r>
            <w:r w:rsidR="00962ED2" w:rsidRPr="009C429D">
              <w:rPr>
                <w:rFonts w:hint="cs"/>
                <w:rtl/>
              </w:rPr>
              <w:t xml:space="preserve">2004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99</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9:</w:t>
            </w:r>
            <w:r>
              <w:rPr>
                <w:rtl/>
              </w:rPr>
              <w:tab/>
            </w:r>
            <w:r w:rsidR="00962ED2" w:rsidRPr="009C429D">
              <w:rPr>
                <w:rFonts w:hint="cs"/>
                <w:rtl/>
              </w:rPr>
              <w:t>المساقات الدراسية التي التحق بها الطلاب أثناء الفترة 20</w:t>
            </w:r>
            <w:r w:rsidR="00962ED2">
              <w:rPr>
                <w:rFonts w:hint="cs"/>
                <w:rtl/>
              </w:rPr>
              <w:t>0</w:t>
            </w:r>
            <w:r w:rsidR="00962ED2" w:rsidRPr="009C429D">
              <w:rPr>
                <w:rFonts w:hint="cs"/>
                <w:rtl/>
              </w:rPr>
              <w:t>0</w:t>
            </w:r>
            <w:r w:rsidR="00962ED2">
              <w:rPr>
                <w:rFonts w:hint="cs"/>
                <w:rtl/>
              </w:rPr>
              <w:t>-</w:t>
            </w:r>
            <w:r w:rsidR="00962ED2" w:rsidRPr="009C429D">
              <w:rPr>
                <w:rFonts w:hint="cs"/>
                <w:rtl/>
              </w:rPr>
              <w:t>2004</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102</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10:</w:t>
            </w:r>
            <w:r>
              <w:rPr>
                <w:rtl/>
              </w:rPr>
              <w:tab/>
            </w:r>
            <w:r w:rsidR="00962ED2" w:rsidRPr="009C429D">
              <w:rPr>
                <w:rFonts w:hint="cs"/>
                <w:rtl/>
              </w:rPr>
              <w:t>الوظائف موزعة حسب نوع الجنس، عام 2002</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108</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11:</w:t>
            </w:r>
            <w:r>
              <w:rPr>
                <w:rtl/>
              </w:rPr>
              <w:tab/>
            </w:r>
            <w:r w:rsidR="00962ED2" w:rsidRPr="009C429D">
              <w:rPr>
                <w:rFonts w:hint="cs"/>
                <w:rtl/>
              </w:rPr>
              <w:t>أنواع عمل الكفاف موزعة حسب نوع الجنس، عام 2002</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111</w:t>
            </w:r>
          </w:p>
        </w:tc>
      </w:tr>
      <w:tr w:rsidR="00962ED2" w:rsidRPr="003307C2">
        <w:tblPrEx>
          <w:tblCellMar>
            <w:top w:w="0" w:type="dxa"/>
            <w:bottom w:w="0" w:type="dxa"/>
          </w:tblCellMar>
        </w:tblPrEx>
        <w:tc>
          <w:tcPr>
            <w:tcW w:w="9028" w:type="dxa"/>
            <w:gridSpan w:val="3"/>
            <w:shd w:val="clear" w:color="auto" w:fill="auto"/>
          </w:tcPr>
          <w:p w:rsidR="00962ED2" w:rsidRPr="009C429D" w:rsidRDefault="009676B7" w:rsidP="009676B7">
            <w:pPr>
              <w:tabs>
                <w:tab w:val="right" w:pos="1080"/>
                <w:tab w:val="left" w:pos="1296"/>
                <w:tab w:val="right" w:pos="1843"/>
                <w:tab w:val="left" w:pos="2232"/>
                <w:tab w:val="left" w:pos="2592"/>
                <w:tab w:val="left" w:pos="3024"/>
                <w:tab w:val="left" w:pos="3456"/>
                <w:tab w:val="right" w:leader="dot" w:pos="9360"/>
              </w:tabs>
              <w:spacing w:after="120" w:line="340" w:lineRule="exact"/>
              <w:jc w:val="left"/>
              <w:rPr>
                <w:rFonts w:hint="cs"/>
                <w:rtl/>
              </w:rPr>
            </w:pPr>
            <w:r>
              <w:rPr>
                <w:rtl/>
              </w:rPr>
              <w:tab/>
            </w:r>
            <w:r>
              <w:rPr>
                <w:rFonts w:hint="cs"/>
                <w:rtl/>
              </w:rPr>
              <w:t>الشكل 12:</w:t>
            </w:r>
            <w:r>
              <w:rPr>
                <w:rtl/>
              </w:rPr>
              <w:tab/>
            </w:r>
            <w:r w:rsidR="00BE671B">
              <w:rPr>
                <w:rFonts w:hint="cs"/>
                <w:rtl/>
              </w:rPr>
              <w:t>الإصابات</w:t>
            </w:r>
            <w:r w:rsidR="00962ED2" w:rsidRPr="009C429D">
              <w:rPr>
                <w:rFonts w:hint="cs"/>
                <w:rtl/>
              </w:rPr>
              <w:t xml:space="preserve"> التي تنتقل عن طريق الاتصال الجنسي، 2001</w:t>
            </w:r>
            <w:r w:rsidR="00962ED2">
              <w:rPr>
                <w:rFonts w:hint="cs"/>
                <w:rtl/>
              </w:rPr>
              <w:t>-</w:t>
            </w:r>
            <w:r w:rsidR="00962ED2" w:rsidRPr="009C429D">
              <w:rPr>
                <w:rFonts w:hint="cs"/>
                <w:rtl/>
              </w:rPr>
              <w:t xml:space="preserve">2004 </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9676B7">
            <w:pPr>
              <w:spacing w:after="120" w:line="340" w:lineRule="exact"/>
              <w:jc w:val="right"/>
              <w:rPr>
                <w:rFonts w:hint="cs"/>
                <w:rtl/>
              </w:rPr>
            </w:pPr>
            <w:r>
              <w:rPr>
                <w:rFonts w:hint="cs"/>
                <w:rtl/>
              </w:rPr>
              <w:t>120</w:t>
            </w:r>
          </w:p>
        </w:tc>
      </w:tr>
      <w:tr w:rsidR="00962ED2" w:rsidRPr="003307C2">
        <w:tblPrEx>
          <w:tblCellMar>
            <w:top w:w="0" w:type="dxa"/>
            <w:bottom w:w="0" w:type="dxa"/>
          </w:tblCellMar>
        </w:tblPrEx>
        <w:tc>
          <w:tcPr>
            <w:tcW w:w="9028" w:type="dxa"/>
            <w:gridSpan w:val="3"/>
            <w:shd w:val="clear" w:color="auto" w:fill="auto"/>
          </w:tcPr>
          <w:p w:rsidR="00962ED2" w:rsidRPr="00D27C6F" w:rsidRDefault="00962ED2" w:rsidP="00E20A1A">
            <w:pPr>
              <w:rPr>
                <w:rFonts w:hint="cs"/>
                <w:sz w:val="32"/>
                <w:szCs w:val="32"/>
                <w:rtl/>
              </w:rPr>
            </w:pPr>
            <w:r>
              <w:rPr>
                <w:rFonts w:hint="cs"/>
                <w:b/>
                <w:bCs/>
                <w:sz w:val="32"/>
                <w:szCs w:val="32"/>
                <w:rtl/>
              </w:rPr>
              <w:t>الأُطر</w:t>
            </w:r>
          </w:p>
        </w:tc>
        <w:tc>
          <w:tcPr>
            <w:tcW w:w="806" w:type="dxa"/>
            <w:shd w:val="clear" w:color="auto" w:fill="auto"/>
            <w:vAlign w:val="bottom"/>
          </w:tcPr>
          <w:p w:rsidR="00962ED2" w:rsidRPr="003307C2" w:rsidRDefault="00962ED2" w:rsidP="006953D0">
            <w:pPr>
              <w:spacing w:after="120"/>
              <w:jc w:val="right"/>
              <w:rPr>
                <w:rFonts w:hint="eastAsia"/>
                <w:rtl/>
              </w:rPr>
            </w:pPr>
          </w:p>
        </w:tc>
      </w:tr>
      <w:tr w:rsidR="00962ED2" w:rsidRPr="003307C2">
        <w:tblPrEx>
          <w:tblCellMar>
            <w:top w:w="0" w:type="dxa"/>
            <w:bottom w:w="0" w:type="dxa"/>
          </w:tblCellMar>
        </w:tblPrEx>
        <w:tc>
          <w:tcPr>
            <w:tcW w:w="9028" w:type="dxa"/>
            <w:gridSpan w:val="3"/>
            <w:shd w:val="clear" w:color="auto" w:fill="auto"/>
          </w:tcPr>
          <w:p w:rsidR="00962ED2" w:rsidRPr="00B65149" w:rsidRDefault="009676B7" w:rsidP="00B65149">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Fonts w:hint="cs"/>
                <w:rtl/>
              </w:rPr>
              <w:t>الإطار 1:</w:t>
            </w:r>
            <w:r>
              <w:rPr>
                <w:rtl/>
              </w:rPr>
              <w:tab/>
            </w:r>
            <w:r w:rsidR="00962ED2" w:rsidRPr="009C429D">
              <w:rPr>
                <w:rFonts w:hint="cs"/>
                <w:rtl/>
              </w:rPr>
              <w:t xml:space="preserve">مجالات استراتيجية تي كاكيغا الثانية </w:t>
            </w:r>
            <w:r w:rsidR="00962ED2">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31</w:t>
            </w:r>
          </w:p>
        </w:tc>
      </w:tr>
      <w:tr w:rsidR="00962ED2" w:rsidRPr="003307C2">
        <w:tblPrEx>
          <w:tblCellMar>
            <w:top w:w="0" w:type="dxa"/>
            <w:bottom w:w="0" w:type="dxa"/>
          </w:tblCellMar>
        </w:tblPrEx>
        <w:tc>
          <w:tcPr>
            <w:tcW w:w="9028" w:type="dxa"/>
            <w:gridSpan w:val="3"/>
            <w:shd w:val="clear" w:color="auto" w:fill="auto"/>
          </w:tcPr>
          <w:p w:rsidR="00962ED2" w:rsidRPr="00B65149" w:rsidRDefault="009676B7" w:rsidP="00B65149">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الإطار 2:</w:t>
            </w:r>
            <w:r>
              <w:rPr>
                <w:rtl/>
              </w:rPr>
              <w:tab/>
            </w:r>
            <w:r w:rsidR="00962ED2" w:rsidRPr="009C429D">
              <w:rPr>
                <w:rFonts w:hint="cs"/>
                <w:rtl/>
              </w:rPr>
              <w:t>قضية المحكمة العليا رقم 2/06</w:t>
            </w:r>
            <w:r w:rsidR="00962ED2">
              <w:rPr>
                <w:rFonts w:hint="cs"/>
                <w:rtl/>
              </w:rPr>
              <w:t xml:space="preserve"> </w:t>
            </w:r>
            <w:r w:rsidR="00962ED2">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40</w:t>
            </w:r>
          </w:p>
        </w:tc>
      </w:tr>
      <w:tr w:rsidR="00962ED2" w:rsidRPr="003307C2">
        <w:tblPrEx>
          <w:tblCellMar>
            <w:top w:w="0" w:type="dxa"/>
            <w:bottom w:w="0" w:type="dxa"/>
          </w:tblCellMar>
        </w:tblPrEx>
        <w:tc>
          <w:tcPr>
            <w:tcW w:w="9028" w:type="dxa"/>
            <w:gridSpan w:val="3"/>
            <w:shd w:val="clear" w:color="auto" w:fill="auto"/>
          </w:tcPr>
          <w:p w:rsidR="00962ED2" w:rsidRPr="00B65149" w:rsidRDefault="009676B7" w:rsidP="009676B7">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الإطار 3:</w:t>
            </w:r>
            <w:r>
              <w:rPr>
                <w:rtl/>
              </w:rPr>
              <w:tab/>
            </w:r>
            <w:r w:rsidR="00962ED2">
              <w:rPr>
                <w:rFonts w:hint="cs"/>
                <w:rtl/>
              </w:rPr>
              <w:t xml:space="preserve">لائحة الحقوق </w:t>
            </w:r>
            <w:r w:rsidR="00962ED2">
              <w:rPr>
                <w:spacing w:val="60"/>
                <w:sz w:val="17"/>
                <w:rtl/>
              </w:rPr>
              <w:tab/>
            </w:r>
          </w:p>
        </w:tc>
        <w:tc>
          <w:tcPr>
            <w:tcW w:w="806" w:type="dxa"/>
            <w:shd w:val="clear" w:color="auto" w:fill="auto"/>
            <w:vAlign w:val="bottom"/>
          </w:tcPr>
          <w:p w:rsidR="00962ED2" w:rsidRPr="003307C2" w:rsidRDefault="009676B7" w:rsidP="006953D0">
            <w:pPr>
              <w:spacing w:after="120"/>
              <w:jc w:val="right"/>
              <w:rPr>
                <w:rFonts w:hint="cs"/>
                <w:rtl/>
              </w:rPr>
            </w:pPr>
            <w:r>
              <w:rPr>
                <w:rFonts w:hint="cs"/>
                <w:rtl/>
              </w:rPr>
              <w:t>43</w:t>
            </w:r>
          </w:p>
        </w:tc>
      </w:tr>
    </w:tbl>
    <w:p w:rsidR="003307C2" w:rsidRDefault="003307C2" w:rsidP="006953D0">
      <w:pPr>
        <w:pStyle w:val="SingleTxt"/>
        <w:rPr>
          <w:rFonts w:hint="cs"/>
          <w:rtl/>
        </w:rPr>
      </w:pPr>
    </w:p>
    <w:p w:rsidR="00D27C6F" w:rsidRDefault="00D27C6F" w:rsidP="00D27C6F">
      <w:pPr>
        <w:rPr>
          <w:b/>
          <w:bCs/>
          <w:sz w:val="32"/>
          <w:szCs w:val="32"/>
          <w:rt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2.45pt;margin-top:-18.5pt;width:485.55pt;height:601.9pt;z-index:3">
            <v:imagedata r:id="rId14" o:title="tuvalu"/>
          </v:shape>
        </w:pict>
      </w:r>
    </w:p>
    <w:p w:rsidR="00D27C6F" w:rsidRPr="00D27C6F" w:rsidRDefault="00D27C6F" w:rsidP="00D27C6F">
      <w:pPr>
        <w:pStyle w:val="SingleTxt"/>
        <w:spacing w:after="0" w:line="120" w:lineRule="exact"/>
        <w:rPr>
          <w:b/>
          <w:bCs/>
          <w:sz w:val="10"/>
          <w:szCs w:val="32"/>
          <w:rtl/>
        </w:rPr>
      </w:pPr>
      <w:r>
        <w:rPr>
          <w:b/>
          <w:bCs/>
          <w:sz w:val="32"/>
          <w:szCs w:val="32"/>
          <w:rtl/>
        </w:rPr>
        <w:br w:type="page"/>
      </w:r>
    </w:p>
    <w:p w:rsidR="00BC1586" w:rsidRDefault="00BC1586" w:rsidP="00BC1586">
      <w:pPr>
        <w:rPr>
          <w:rFonts w:hint="cs"/>
          <w:b/>
          <w:bCs/>
          <w:sz w:val="32"/>
          <w:szCs w:val="32"/>
          <w:rtl/>
        </w:rPr>
      </w:pPr>
      <w:r>
        <w:rPr>
          <w:rFonts w:hint="cs"/>
          <w:b/>
          <w:bCs/>
          <w:sz w:val="32"/>
          <w:szCs w:val="32"/>
          <w:rtl/>
        </w:rPr>
        <w:t>المختصرات</w:t>
      </w:r>
    </w:p>
    <w:p w:rsidR="00BC1586" w:rsidRDefault="00BC1586" w:rsidP="00BC1586">
      <w:pPr>
        <w:rPr>
          <w:rFonts w:hint="cs"/>
          <w:b/>
          <w:bCs/>
          <w:sz w:val="32"/>
          <w:szCs w:val="32"/>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0"/>
        <w:gridCol w:w="7200"/>
      </w:tblGrid>
      <w:tr w:rsidR="00BC1586">
        <w:trPr>
          <w:jc w:val="center"/>
        </w:trPr>
        <w:tc>
          <w:tcPr>
            <w:tcW w:w="1440" w:type="dxa"/>
          </w:tcPr>
          <w:p w:rsidR="00BC1586" w:rsidRPr="002B3892" w:rsidRDefault="00BC1586" w:rsidP="00E20A1A">
            <w:pPr>
              <w:rPr>
                <w:szCs w:val="20"/>
              </w:rPr>
            </w:pPr>
            <w:r w:rsidRPr="002B3892">
              <w:rPr>
                <w:szCs w:val="20"/>
              </w:rPr>
              <w:t>ADB</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مصرف التنمية الآسيوي</w:t>
            </w:r>
          </w:p>
        </w:tc>
      </w:tr>
      <w:tr w:rsidR="00BC1586">
        <w:trPr>
          <w:jc w:val="center"/>
        </w:trPr>
        <w:tc>
          <w:tcPr>
            <w:tcW w:w="1440" w:type="dxa"/>
          </w:tcPr>
          <w:p w:rsidR="00BC1586" w:rsidRPr="002B3892" w:rsidRDefault="00BC1586" w:rsidP="00E20A1A">
            <w:pPr>
              <w:rPr>
                <w:szCs w:val="20"/>
                <w:rtl/>
              </w:rPr>
            </w:pPr>
            <w:r w:rsidRPr="002B3892">
              <w:rPr>
                <w:szCs w:val="20"/>
              </w:rPr>
              <w:t>AVI</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معهد المتطوعين الأسترالي</w:t>
            </w:r>
          </w:p>
        </w:tc>
      </w:tr>
      <w:tr w:rsidR="00BC1586">
        <w:trPr>
          <w:jc w:val="center"/>
        </w:trPr>
        <w:tc>
          <w:tcPr>
            <w:tcW w:w="1440" w:type="dxa"/>
          </w:tcPr>
          <w:p w:rsidR="00BC1586" w:rsidRPr="002B3892" w:rsidRDefault="00BC1586" w:rsidP="00E20A1A">
            <w:pPr>
              <w:rPr>
                <w:szCs w:val="20"/>
                <w:rtl/>
              </w:rPr>
            </w:pPr>
            <w:r w:rsidRPr="002B3892">
              <w:rPr>
                <w:szCs w:val="20"/>
              </w:rPr>
              <w:t>CRC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اتفاقية حقوق الطفل</w:t>
            </w:r>
          </w:p>
        </w:tc>
      </w:tr>
      <w:tr w:rsidR="00BC1586">
        <w:trPr>
          <w:jc w:val="center"/>
        </w:trPr>
        <w:tc>
          <w:tcPr>
            <w:tcW w:w="1440" w:type="dxa"/>
          </w:tcPr>
          <w:p w:rsidR="00BC1586" w:rsidRPr="002B3892" w:rsidRDefault="00BC1586" w:rsidP="00E20A1A">
            <w:pPr>
              <w:rPr>
                <w:szCs w:val="20"/>
                <w:rtl/>
              </w:rPr>
            </w:pPr>
            <w:r>
              <w:rPr>
                <w:szCs w:val="20"/>
              </w:rPr>
              <w:t>CSO</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منظمة مجتمع مدني</w:t>
            </w:r>
          </w:p>
        </w:tc>
      </w:tr>
      <w:tr w:rsidR="00BC1586">
        <w:trPr>
          <w:jc w:val="center"/>
        </w:trPr>
        <w:tc>
          <w:tcPr>
            <w:tcW w:w="1440" w:type="dxa"/>
          </w:tcPr>
          <w:p w:rsidR="00BC1586" w:rsidRPr="002B3892" w:rsidRDefault="00BC1586" w:rsidP="00E20A1A">
            <w:pPr>
              <w:rPr>
                <w:szCs w:val="20"/>
                <w:rtl/>
              </w:rPr>
            </w:pPr>
            <w:r>
              <w:rPr>
                <w:szCs w:val="20"/>
              </w:rPr>
              <w:t>DBT</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مصرف توفالو للتنمية</w:t>
            </w:r>
          </w:p>
        </w:tc>
      </w:tr>
      <w:tr w:rsidR="00BC1586">
        <w:trPr>
          <w:jc w:val="center"/>
        </w:trPr>
        <w:tc>
          <w:tcPr>
            <w:tcW w:w="1440" w:type="dxa"/>
          </w:tcPr>
          <w:p w:rsidR="00BC1586" w:rsidRPr="002B3892" w:rsidRDefault="00BC1586" w:rsidP="00E20A1A">
            <w:pPr>
              <w:rPr>
                <w:szCs w:val="20"/>
                <w:rtl/>
              </w:rPr>
            </w:pPr>
            <w:r>
              <w:rPr>
                <w:szCs w:val="20"/>
              </w:rPr>
              <w:t>DFL</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التعليم عن بعد والتعليم المرن (جامعة جنوب الهادئ)</w:t>
            </w:r>
          </w:p>
        </w:tc>
      </w:tr>
      <w:tr w:rsidR="00BC1586">
        <w:trPr>
          <w:jc w:val="center"/>
        </w:trPr>
        <w:tc>
          <w:tcPr>
            <w:tcW w:w="1440" w:type="dxa"/>
          </w:tcPr>
          <w:p w:rsidR="00BC1586" w:rsidRPr="002B3892" w:rsidRDefault="00BC1586" w:rsidP="00E20A1A">
            <w:pPr>
              <w:rPr>
                <w:szCs w:val="20"/>
                <w:rtl/>
              </w:rPr>
            </w:pPr>
            <w:r>
              <w:rPr>
                <w:szCs w:val="20"/>
              </w:rPr>
              <w:t>DCC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لجنة تنسيق التنمية</w:t>
            </w:r>
          </w:p>
        </w:tc>
      </w:tr>
      <w:tr w:rsidR="00BC1586">
        <w:trPr>
          <w:jc w:val="center"/>
        </w:trPr>
        <w:tc>
          <w:tcPr>
            <w:tcW w:w="1440" w:type="dxa"/>
          </w:tcPr>
          <w:p w:rsidR="00BC1586" w:rsidRPr="002B3892" w:rsidRDefault="00BC1586" w:rsidP="00E20A1A">
            <w:pPr>
              <w:rPr>
                <w:szCs w:val="20"/>
                <w:rtl/>
              </w:rPr>
            </w:pPr>
            <w:r>
              <w:rPr>
                <w:szCs w:val="20"/>
              </w:rPr>
              <w:t>DWA</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إدارة شؤون المرأة</w:t>
            </w:r>
          </w:p>
        </w:tc>
      </w:tr>
      <w:tr w:rsidR="00BC1586">
        <w:trPr>
          <w:jc w:val="center"/>
        </w:trPr>
        <w:tc>
          <w:tcPr>
            <w:tcW w:w="1440" w:type="dxa"/>
          </w:tcPr>
          <w:p w:rsidR="00BC1586" w:rsidRPr="002B3892" w:rsidRDefault="00BC1586" w:rsidP="00E20A1A">
            <w:pPr>
              <w:rPr>
                <w:szCs w:val="20"/>
                <w:rtl/>
              </w:rPr>
            </w:pPr>
            <w:r>
              <w:rPr>
                <w:szCs w:val="20"/>
              </w:rPr>
              <w:t>EEZ</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منطقة اقتصادية خالصة</w:t>
            </w:r>
          </w:p>
        </w:tc>
      </w:tr>
      <w:tr w:rsidR="00BC1586">
        <w:trPr>
          <w:jc w:val="center"/>
        </w:trPr>
        <w:tc>
          <w:tcPr>
            <w:tcW w:w="1440" w:type="dxa"/>
          </w:tcPr>
          <w:p w:rsidR="00BC1586" w:rsidRPr="002B3892" w:rsidRDefault="00BC1586" w:rsidP="00E20A1A">
            <w:pPr>
              <w:rPr>
                <w:szCs w:val="20"/>
                <w:rtl/>
              </w:rPr>
            </w:pPr>
            <w:r>
              <w:rPr>
                <w:szCs w:val="20"/>
              </w:rPr>
              <w:t>EKT</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إكاليسيا كيليسيانو أو توفالو</w:t>
            </w:r>
          </w:p>
        </w:tc>
      </w:tr>
      <w:tr w:rsidR="00BC1586">
        <w:trPr>
          <w:jc w:val="center"/>
        </w:trPr>
        <w:tc>
          <w:tcPr>
            <w:tcW w:w="1440" w:type="dxa"/>
          </w:tcPr>
          <w:p w:rsidR="00BC1586" w:rsidRPr="002B3892" w:rsidRDefault="00BC1586" w:rsidP="00E20A1A">
            <w:pPr>
              <w:rPr>
                <w:szCs w:val="20"/>
                <w:rtl/>
              </w:rPr>
            </w:pPr>
            <w:r>
              <w:rPr>
                <w:szCs w:val="20"/>
              </w:rPr>
              <w:t>ESCAP</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اللجنة الاقتصادية والاجتماعية لآسيا والمحيط الهادئ</w:t>
            </w:r>
          </w:p>
        </w:tc>
      </w:tr>
      <w:tr w:rsidR="00BC1586">
        <w:trPr>
          <w:jc w:val="center"/>
        </w:trPr>
        <w:tc>
          <w:tcPr>
            <w:tcW w:w="1440" w:type="dxa"/>
          </w:tcPr>
          <w:p w:rsidR="00BC1586" w:rsidRPr="002B3892" w:rsidRDefault="00BC1586" w:rsidP="00E20A1A">
            <w:pPr>
              <w:rPr>
                <w:szCs w:val="20"/>
                <w:rtl/>
              </w:rPr>
            </w:pPr>
            <w:r>
              <w:rPr>
                <w:szCs w:val="20"/>
              </w:rPr>
              <w:t>EU</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الاتحاد الأوروبي</w:t>
            </w:r>
          </w:p>
        </w:tc>
      </w:tr>
      <w:tr w:rsidR="00BC1586">
        <w:trPr>
          <w:jc w:val="center"/>
        </w:trPr>
        <w:tc>
          <w:tcPr>
            <w:tcW w:w="1440" w:type="dxa"/>
          </w:tcPr>
          <w:p w:rsidR="00BC1586" w:rsidRPr="002B3892" w:rsidRDefault="00BC1586" w:rsidP="00E20A1A">
            <w:pPr>
              <w:rPr>
                <w:szCs w:val="20"/>
                <w:rtl/>
              </w:rPr>
            </w:pPr>
            <w:r>
              <w:rPr>
                <w:szCs w:val="20"/>
              </w:rPr>
              <w:t>FIF</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صندوق الفالي كابيول الاستئماني</w:t>
            </w:r>
          </w:p>
        </w:tc>
      </w:tr>
      <w:tr w:rsidR="00BC1586">
        <w:trPr>
          <w:jc w:val="center"/>
        </w:trPr>
        <w:tc>
          <w:tcPr>
            <w:tcW w:w="1440" w:type="dxa"/>
          </w:tcPr>
          <w:p w:rsidR="00BC1586" w:rsidRPr="002B3892" w:rsidRDefault="00BC1586" w:rsidP="00E20A1A">
            <w:pPr>
              <w:rPr>
                <w:szCs w:val="20"/>
                <w:rtl/>
              </w:rPr>
            </w:pPr>
            <w:r>
              <w:rPr>
                <w:szCs w:val="20"/>
              </w:rPr>
              <w:t>GDP</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الناتج المحلي الإجمالي</w:t>
            </w:r>
          </w:p>
        </w:tc>
      </w:tr>
      <w:tr w:rsidR="00BC1586">
        <w:trPr>
          <w:jc w:val="center"/>
        </w:trPr>
        <w:tc>
          <w:tcPr>
            <w:tcW w:w="1440" w:type="dxa"/>
          </w:tcPr>
          <w:p w:rsidR="00BC1586" w:rsidRPr="002B3892" w:rsidRDefault="00BC1586" w:rsidP="00E20A1A">
            <w:pPr>
              <w:rPr>
                <w:szCs w:val="20"/>
                <w:rtl/>
              </w:rPr>
            </w:pPr>
            <w:r>
              <w:rPr>
                <w:szCs w:val="20"/>
              </w:rPr>
              <w:t>GEIC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مستعمرة جزر غلبرت و إليس</w:t>
            </w:r>
          </w:p>
        </w:tc>
      </w:tr>
      <w:tr w:rsidR="00BC1586">
        <w:trPr>
          <w:jc w:val="center"/>
        </w:trPr>
        <w:tc>
          <w:tcPr>
            <w:tcW w:w="1440" w:type="dxa"/>
          </w:tcPr>
          <w:p w:rsidR="00BC1586" w:rsidRPr="002B3892" w:rsidRDefault="00BC1586" w:rsidP="00E20A1A">
            <w:pPr>
              <w:rPr>
                <w:szCs w:val="20"/>
                <w:rtl/>
              </w:rPr>
            </w:pPr>
            <w:r>
              <w:rPr>
                <w:szCs w:val="20"/>
              </w:rPr>
              <w:t>GSF</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مركز دعم المرأة</w:t>
            </w:r>
          </w:p>
        </w:tc>
      </w:tr>
      <w:tr w:rsidR="00BC1586">
        <w:trPr>
          <w:jc w:val="center"/>
        </w:trPr>
        <w:tc>
          <w:tcPr>
            <w:tcW w:w="1440" w:type="dxa"/>
          </w:tcPr>
          <w:p w:rsidR="00BC1586" w:rsidRPr="002B3892" w:rsidRDefault="00BC1586" w:rsidP="00E20A1A">
            <w:pPr>
              <w:rPr>
                <w:szCs w:val="20"/>
                <w:rtl/>
              </w:rPr>
            </w:pPr>
            <w:r>
              <w:rPr>
                <w:szCs w:val="20"/>
              </w:rPr>
              <w:t>IPPF</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الاتحاد الدولي لتنظيم الأسرة</w:t>
            </w:r>
          </w:p>
        </w:tc>
      </w:tr>
      <w:tr w:rsidR="00BC1586">
        <w:trPr>
          <w:jc w:val="center"/>
        </w:trPr>
        <w:tc>
          <w:tcPr>
            <w:tcW w:w="1440" w:type="dxa"/>
          </w:tcPr>
          <w:p w:rsidR="00BC1586" w:rsidRDefault="00BC1586" w:rsidP="00E20A1A">
            <w:pPr>
              <w:rPr>
                <w:szCs w:val="20"/>
              </w:rPr>
            </w:pPr>
            <w:r>
              <w:rPr>
                <w:szCs w:val="20"/>
              </w:rPr>
              <w:t>MDG</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الأهداف الإنمائية للألفية</w:t>
            </w:r>
          </w:p>
        </w:tc>
      </w:tr>
      <w:tr w:rsidR="00BC1586">
        <w:trPr>
          <w:jc w:val="center"/>
        </w:trPr>
        <w:tc>
          <w:tcPr>
            <w:tcW w:w="1440" w:type="dxa"/>
          </w:tcPr>
          <w:p w:rsidR="00BC1586" w:rsidRDefault="00BC1586" w:rsidP="00E20A1A">
            <w:pPr>
              <w:rPr>
                <w:szCs w:val="20"/>
              </w:rPr>
            </w:pPr>
            <w:r>
              <w:rPr>
                <w:szCs w:val="20"/>
              </w:rPr>
              <w:t>NBT</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مصرف توفالو الوطني</w:t>
            </w:r>
          </w:p>
        </w:tc>
      </w:tr>
      <w:tr w:rsidR="00BC1586">
        <w:trPr>
          <w:jc w:val="center"/>
        </w:trPr>
        <w:tc>
          <w:tcPr>
            <w:tcW w:w="1440" w:type="dxa"/>
          </w:tcPr>
          <w:p w:rsidR="00BC1586" w:rsidRDefault="00BC1586" w:rsidP="00E20A1A">
            <w:pPr>
              <w:rPr>
                <w:szCs w:val="20"/>
              </w:rPr>
            </w:pPr>
            <w:r>
              <w:rPr>
                <w:szCs w:val="20"/>
              </w:rPr>
              <w:t>NCC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لجنة التنسيق الوطنية للمرأة</w:t>
            </w:r>
          </w:p>
        </w:tc>
      </w:tr>
      <w:tr w:rsidR="00BC1586">
        <w:trPr>
          <w:jc w:val="center"/>
        </w:trPr>
        <w:tc>
          <w:tcPr>
            <w:tcW w:w="1440" w:type="dxa"/>
          </w:tcPr>
          <w:p w:rsidR="00BC1586" w:rsidRDefault="00BC1586" w:rsidP="00E20A1A">
            <w:pPr>
              <w:rPr>
                <w:szCs w:val="20"/>
              </w:rPr>
            </w:pPr>
            <w:r>
              <w:rPr>
                <w:szCs w:val="20"/>
              </w:rPr>
              <w:t>NGO</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منظمة غير حكومية</w:t>
            </w:r>
          </w:p>
        </w:tc>
      </w:tr>
      <w:tr w:rsidR="00BC1586">
        <w:trPr>
          <w:jc w:val="center"/>
        </w:trPr>
        <w:tc>
          <w:tcPr>
            <w:tcW w:w="1440" w:type="dxa"/>
          </w:tcPr>
          <w:p w:rsidR="00BC1586" w:rsidRDefault="00BC1586" w:rsidP="00E20A1A">
            <w:pPr>
              <w:rPr>
                <w:szCs w:val="20"/>
              </w:rPr>
            </w:pPr>
            <w:r>
              <w:rPr>
                <w:szCs w:val="20"/>
              </w:rPr>
              <w:t>PIFS</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أمانة منتدى جزر المحيط الهادئ</w:t>
            </w:r>
          </w:p>
        </w:tc>
      </w:tr>
      <w:tr w:rsidR="00BC1586">
        <w:trPr>
          <w:jc w:val="center"/>
        </w:trPr>
        <w:tc>
          <w:tcPr>
            <w:tcW w:w="1440" w:type="dxa"/>
          </w:tcPr>
          <w:p w:rsidR="00BC1586" w:rsidRDefault="00BC1586" w:rsidP="00E20A1A">
            <w:pPr>
              <w:rPr>
                <w:szCs w:val="20"/>
              </w:rPr>
            </w:pPr>
            <w:r>
              <w:rPr>
                <w:szCs w:val="20"/>
              </w:rPr>
              <w:t>RTNWP</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سياسة توفالو الوطنية المنقحة للمرأة</w:t>
            </w:r>
          </w:p>
        </w:tc>
      </w:tr>
      <w:tr w:rsidR="00BC1586">
        <w:trPr>
          <w:jc w:val="center"/>
        </w:trPr>
        <w:tc>
          <w:tcPr>
            <w:tcW w:w="1440" w:type="dxa"/>
          </w:tcPr>
          <w:p w:rsidR="00BC1586" w:rsidRDefault="00BC1586" w:rsidP="00E20A1A">
            <w:pPr>
              <w:rPr>
                <w:szCs w:val="20"/>
              </w:rPr>
            </w:pPr>
            <w:r>
              <w:rPr>
                <w:szCs w:val="20"/>
              </w:rPr>
              <w:t>TANGO</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رابطة توفالو للمنظمات غير الحكومية</w:t>
            </w:r>
          </w:p>
        </w:tc>
      </w:tr>
      <w:tr w:rsidR="00BC1586">
        <w:trPr>
          <w:jc w:val="center"/>
        </w:trPr>
        <w:tc>
          <w:tcPr>
            <w:tcW w:w="1440" w:type="dxa"/>
          </w:tcPr>
          <w:p w:rsidR="00BC1586" w:rsidRDefault="00BC1586" w:rsidP="00E20A1A">
            <w:pPr>
              <w:rPr>
                <w:szCs w:val="20"/>
              </w:rPr>
            </w:pPr>
            <w:r>
              <w:rPr>
                <w:szCs w:val="20"/>
              </w:rPr>
              <w:t>TNPF</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صندوق توفالو الوطني للادخار</w:t>
            </w:r>
          </w:p>
        </w:tc>
      </w:tr>
      <w:tr w:rsidR="00BC1586">
        <w:trPr>
          <w:jc w:val="center"/>
        </w:trPr>
        <w:tc>
          <w:tcPr>
            <w:tcW w:w="1440" w:type="dxa"/>
          </w:tcPr>
          <w:p w:rsidR="00BC1586" w:rsidRDefault="00BC1586" w:rsidP="00E20A1A">
            <w:pPr>
              <w:rPr>
                <w:szCs w:val="20"/>
              </w:rPr>
            </w:pPr>
            <w:r>
              <w:rPr>
                <w:szCs w:val="20"/>
              </w:rPr>
              <w:t>TMC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شركة إعلام توفالو</w:t>
            </w:r>
          </w:p>
        </w:tc>
      </w:tr>
      <w:tr w:rsidR="00BC1586">
        <w:trPr>
          <w:jc w:val="center"/>
        </w:trPr>
        <w:tc>
          <w:tcPr>
            <w:tcW w:w="1440" w:type="dxa"/>
          </w:tcPr>
          <w:p w:rsidR="00BC1586" w:rsidRDefault="00BC1586" w:rsidP="00E20A1A">
            <w:pPr>
              <w:rPr>
                <w:szCs w:val="20"/>
              </w:rPr>
            </w:pPr>
            <w:r>
              <w:rPr>
                <w:szCs w:val="20"/>
              </w:rPr>
              <w:t>TMTI</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 xml:space="preserve">معهد توفالو للتدريب البحري </w:t>
            </w:r>
          </w:p>
        </w:tc>
      </w:tr>
      <w:tr w:rsidR="00BC1586">
        <w:trPr>
          <w:jc w:val="center"/>
        </w:trPr>
        <w:tc>
          <w:tcPr>
            <w:tcW w:w="1440" w:type="dxa"/>
          </w:tcPr>
          <w:p w:rsidR="00BC1586" w:rsidRDefault="00BC1586" w:rsidP="00E20A1A">
            <w:pPr>
              <w:rPr>
                <w:szCs w:val="20"/>
              </w:rPr>
            </w:pPr>
            <w:r>
              <w:rPr>
                <w:szCs w:val="20"/>
              </w:rPr>
              <w:t>TNCW</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مجلس توفالو الوطني للمرأة</w:t>
            </w:r>
          </w:p>
        </w:tc>
      </w:tr>
      <w:tr w:rsidR="00BC1586">
        <w:trPr>
          <w:jc w:val="center"/>
        </w:trPr>
        <w:tc>
          <w:tcPr>
            <w:tcW w:w="1440" w:type="dxa"/>
          </w:tcPr>
          <w:p w:rsidR="00BC1586" w:rsidRDefault="00BC1586" w:rsidP="00E20A1A">
            <w:pPr>
              <w:rPr>
                <w:szCs w:val="20"/>
              </w:rPr>
            </w:pPr>
            <w:r>
              <w:rPr>
                <w:szCs w:val="20"/>
              </w:rPr>
              <w:t>TTC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شركة توفالو للاتصالات السلكية واللاسلكية</w:t>
            </w:r>
          </w:p>
        </w:tc>
      </w:tr>
      <w:tr w:rsidR="00BC1586">
        <w:trPr>
          <w:jc w:val="center"/>
        </w:trPr>
        <w:tc>
          <w:tcPr>
            <w:tcW w:w="1440" w:type="dxa"/>
          </w:tcPr>
          <w:p w:rsidR="00BC1586" w:rsidRDefault="00BC1586" w:rsidP="00E20A1A">
            <w:pPr>
              <w:rPr>
                <w:szCs w:val="20"/>
              </w:rPr>
            </w:pPr>
            <w:r>
              <w:rPr>
                <w:szCs w:val="20"/>
              </w:rPr>
              <w:t>TIF</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صندوق توفالو الاستئماني</w:t>
            </w:r>
          </w:p>
        </w:tc>
      </w:tr>
      <w:tr w:rsidR="00BC1586">
        <w:trPr>
          <w:jc w:val="center"/>
        </w:trPr>
        <w:tc>
          <w:tcPr>
            <w:tcW w:w="1440" w:type="dxa"/>
          </w:tcPr>
          <w:p w:rsidR="00BC1586" w:rsidRDefault="00BC1586" w:rsidP="00E20A1A">
            <w:pPr>
              <w:rPr>
                <w:szCs w:val="20"/>
              </w:rPr>
            </w:pPr>
            <w:r>
              <w:rPr>
                <w:szCs w:val="20"/>
              </w:rPr>
              <w:t>TuFHA</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جمعية توفالو لصحة الأسرة</w:t>
            </w:r>
          </w:p>
        </w:tc>
      </w:tr>
      <w:tr w:rsidR="00BC1586">
        <w:trPr>
          <w:jc w:val="center"/>
        </w:trPr>
        <w:tc>
          <w:tcPr>
            <w:tcW w:w="1440" w:type="dxa"/>
          </w:tcPr>
          <w:p w:rsidR="00BC1586" w:rsidRDefault="00BC1586" w:rsidP="00E20A1A">
            <w:pPr>
              <w:rPr>
                <w:szCs w:val="20"/>
              </w:rPr>
            </w:pPr>
            <w:r>
              <w:rPr>
                <w:szCs w:val="20"/>
              </w:rPr>
              <w:t>UNDP</w:t>
            </w:r>
          </w:p>
        </w:tc>
        <w:tc>
          <w:tcPr>
            <w:tcW w:w="7200" w:type="dxa"/>
          </w:tcPr>
          <w:p w:rsidR="00BC1586" w:rsidRPr="002B3892" w:rsidRDefault="00BC1586" w:rsidP="00E20A1A">
            <w:pPr>
              <w:rPr>
                <w:rFonts w:cs="Traditional Arabic"/>
                <w:sz w:val="32"/>
                <w:szCs w:val="32"/>
                <w:rtl/>
              </w:rPr>
            </w:pPr>
            <w:r>
              <w:rPr>
                <w:rFonts w:cs="Traditional Arabic" w:hint="cs"/>
                <w:sz w:val="32"/>
                <w:szCs w:val="32"/>
                <w:rtl/>
              </w:rPr>
              <w:t>برنامج الأمم المتحدة الإنمائي</w:t>
            </w:r>
          </w:p>
        </w:tc>
      </w:tr>
      <w:tr w:rsidR="00BC1586">
        <w:trPr>
          <w:jc w:val="center"/>
        </w:trPr>
        <w:tc>
          <w:tcPr>
            <w:tcW w:w="1440" w:type="dxa"/>
          </w:tcPr>
          <w:p w:rsidR="00BC1586" w:rsidRDefault="00BC1586" w:rsidP="00E20A1A">
            <w:pPr>
              <w:rPr>
                <w:szCs w:val="20"/>
              </w:rPr>
            </w:pPr>
            <w:r>
              <w:rPr>
                <w:szCs w:val="20"/>
              </w:rPr>
              <w:t>UNDP PC</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مركز المحيط الهادئ التابع لبرنامج الأمم المتحدة الإنمائي</w:t>
            </w:r>
          </w:p>
        </w:tc>
      </w:tr>
      <w:tr w:rsidR="00BC1586">
        <w:trPr>
          <w:jc w:val="center"/>
        </w:trPr>
        <w:tc>
          <w:tcPr>
            <w:tcW w:w="1440" w:type="dxa"/>
          </w:tcPr>
          <w:p w:rsidR="00BC1586" w:rsidRDefault="00BC1586" w:rsidP="00E20A1A">
            <w:pPr>
              <w:rPr>
                <w:szCs w:val="20"/>
              </w:rPr>
            </w:pPr>
            <w:r>
              <w:rPr>
                <w:szCs w:val="20"/>
              </w:rPr>
              <w:t>UNICEF</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منظمة الأمم المتحدة للطفولة</w:t>
            </w:r>
          </w:p>
        </w:tc>
      </w:tr>
      <w:tr w:rsidR="00BC1586">
        <w:trPr>
          <w:jc w:val="center"/>
        </w:trPr>
        <w:tc>
          <w:tcPr>
            <w:tcW w:w="1440" w:type="dxa"/>
          </w:tcPr>
          <w:p w:rsidR="00BC1586" w:rsidRDefault="00BC1586" w:rsidP="00E20A1A">
            <w:pPr>
              <w:rPr>
                <w:szCs w:val="20"/>
              </w:rPr>
            </w:pPr>
            <w:r>
              <w:rPr>
                <w:szCs w:val="20"/>
              </w:rPr>
              <w:t>UNFIEM</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صندوق الأمم المتحدة الإنمائي للمرأة</w:t>
            </w:r>
          </w:p>
        </w:tc>
      </w:tr>
      <w:tr w:rsidR="00BC1586">
        <w:trPr>
          <w:jc w:val="center"/>
        </w:trPr>
        <w:tc>
          <w:tcPr>
            <w:tcW w:w="1440" w:type="dxa"/>
          </w:tcPr>
          <w:p w:rsidR="00BC1586" w:rsidRDefault="00BC1586" w:rsidP="00E20A1A">
            <w:pPr>
              <w:rPr>
                <w:szCs w:val="20"/>
              </w:rPr>
            </w:pPr>
            <w:r>
              <w:rPr>
                <w:szCs w:val="20"/>
              </w:rPr>
              <w:t>UNV</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متطوعو الأمم المتحدة</w:t>
            </w:r>
          </w:p>
        </w:tc>
      </w:tr>
      <w:tr w:rsidR="00BC1586">
        <w:trPr>
          <w:jc w:val="center"/>
        </w:trPr>
        <w:tc>
          <w:tcPr>
            <w:tcW w:w="1440" w:type="dxa"/>
          </w:tcPr>
          <w:p w:rsidR="00BC1586" w:rsidRDefault="00BC1586" w:rsidP="00E20A1A">
            <w:pPr>
              <w:rPr>
                <w:szCs w:val="20"/>
              </w:rPr>
            </w:pPr>
            <w:r>
              <w:rPr>
                <w:szCs w:val="20"/>
              </w:rPr>
              <w:t>USP</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جامعة جنوب الهادئ</w:t>
            </w:r>
          </w:p>
        </w:tc>
      </w:tr>
      <w:tr w:rsidR="00BC1586">
        <w:trPr>
          <w:jc w:val="center"/>
        </w:trPr>
        <w:tc>
          <w:tcPr>
            <w:tcW w:w="1440" w:type="dxa"/>
          </w:tcPr>
          <w:p w:rsidR="00BC1586" w:rsidRDefault="00BC1586" w:rsidP="00E20A1A">
            <w:pPr>
              <w:rPr>
                <w:szCs w:val="20"/>
              </w:rPr>
            </w:pPr>
            <w:r>
              <w:rPr>
                <w:szCs w:val="20"/>
              </w:rPr>
              <w:t>VSO</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منظمة خدمات تطوعية</w:t>
            </w:r>
          </w:p>
        </w:tc>
      </w:tr>
      <w:tr w:rsidR="00BC1586">
        <w:trPr>
          <w:jc w:val="center"/>
        </w:trPr>
        <w:tc>
          <w:tcPr>
            <w:tcW w:w="1440" w:type="dxa"/>
          </w:tcPr>
          <w:p w:rsidR="00BC1586" w:rsidRDefault="00BC1586" w:rsidP="00E20A1A">
            <w:pPr>
              <w:rPr>
                <w:szCs w:val="20"/>
              </w:rPr>
            </w:pPr>
            <w:r>
              <w:rPr>
                <w:szCs w:val="20"/>
              </w:rPr>
              <w:t>WHO</w:t>
            </w:r>
          </w:p>
        </w:tc>
        <w:tc>
          <w:tcPr>
            <w:tcW w:w="7200" w:type="dxa"/>
          </w:tcPr>
          <w:p w:rsidR="00BC1586" w:rsidRPr="002B3892" w:rsidRDefault="00BC1586" w:rsidP="00E20A1A">
            <w:pPr>
              <w:rPr>
                <w:rFonts w:cs="Traditional Arabic" w:hint="cs"/>
                <w:sz w:val="32"/>
                <w:szCs w:val="32"/>
                <w:rtl/>
              </w:rPr>
            </w:pPr>
            <w:r>
              <w:rPr>
                <w:rFonts w:cs="Traditional Arabic" w:hint="cs"/>
                <w:sz w:val="32"/>
                <w:szCs w:val="32"/>
                <w:rtl/>
              </w:rPr>
              <w:t>منظمة الصحة العالمية</w:t>
            </w:r>
          </w:p>
        </w:tc>
      </w:tr>
    </w:tbl>
    <w:p w:rsidR="00BC1586" w:rsidRDefault="00BC1586" w:rsidP="00D27C6F">
      <w:pPr>
        <w:pStyle w:val="SingleTxt"/>
        <w:rPr>
          <w:rtl/>
        </w:rPr>
      </w:pPr>
    </w:p>
    <w:p w:rsidR="00BC1586" w:rsidRPr="00650354" w:rsidRDefault="00BC1586" w:rsidP="00BC1586">
      <w:pPr>
        <w:rPr>
          <w:rFonts w:hint="cs"/>
          <w:b/>
          <w:bCs/>
          <w:sz w:val="32"/>
          <w:szCs w:val="32"/>
          <w:rtl/>
        </w:rPr>
      </w:pPr>
      <w:r>
        <w:rPr>
          <w:rtl/>
        </w:rPr>
        <w:br w:type="page"/>
      </w:r>
      <w:r>
        <w:rPr>
          <w:rFonts w:hint="cs"/>
          <w:b/>
          <w:bCs/>
          <w:sz w:val="32"/>
          <w:szCs w:val="32"/>
          <w:rtl/>
        </w:rPr>
        <w:t>قائمة</w:t>
      </w:r>
      <w:r w:rsidRPr="00650354">
        <w:rPr>
          <w:rFonts w:hint="cs"/>
          <w:b/>
          <w:bCs/>
          <w:sz w:val="32"/>
          <w:szCs w:val="32"/>
          <w:rtl/>
        </w:rPr>
        <w:t xml:space="preserve"> المصطلحات</w:t>
      </w:r>
    </w:p>
    <w:p w:rsidR="00BC1586" w:rsidRDefault="00BC1586" w:rsidP="00BC1586">
      <w:pPr>
        <w:rPr>
          <w:rFonts w:hint="cs"/>
          <w:sz w:val="32"/>
          <w:szCs w:val="32"/>
          <w:rtl/>
        </w:rPr>
      </w:pPr>
    </w:p>
    <w:tbl>
      <w:tblPr>
        <w:tblStyle w:val="TableGrid"/>
        <w:bidiVisual/>
        <w:tblW w:w="48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34"/>
        <w:gridCol w:w="7129"/>
      </w:tblGrid>
      <w:tr w:rsidR="00BC1586">
        <w:trPr>
          <w:jc w:val="center"/>
        </w:trPr>
        <w:tc>
          <w:tcPr>
            <w:tcW w:w="2598" w:type="dxa"/>
          </w:tcPr>
          <w:p w:rsidR="00BC1586" w:rsidRPr="00CC6F34" w:rsidRDefault="00BC1586" w:rsidP="00E20A1A">
            <w:pPr>
              <w:spacing w:line="480" w:lineRule="auto"/>
              <w:rPr>
                <w:rFonts w:hint="cs"/>
                <w:szCs w:val="20"/>
                <w:lang w:val="it-IT"/>
              </w:rPr>
            </w:pPr>
            <w:r w:rsidRPr="00CC6F34">
              <w:rPr>
                <w:szCs w:val="20"/>
                <w:lang w:val="it-IT"/>
              </w:rPr>
              <w:t>Aliki</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رئيس</w:t>
            </w:r>
          </w:p>
        </w:tc>
      </w:tr>
      <w:tr w:rsidR="00BC1586">
        <w:trPr>
          <w:jc w:val="center"/>
        </w:trPr>
        <w:tc>
          <w:tcPr>
            <w:tcW w:w="2598" w:type="dxa"/>
          </w:tcPr>
          <w:p w:rsidR="00BC1586" w:rsidRPr="00CC6F34" w:rsidRDefault="00BC1586" w:rsidP="00E20A1A">
            <w:pPr>
              <w:spacing w:line="480" w:lineRule="auto"/>
              <w:rPr>
                <w:szCs w:val="20"/>
                <w:lang w:val="it-IT"/>
              </w:rPr>
            </w:pPr>
            <w:r w:rsidRPr="00CC6F34">
              <w:rPr>
                <w:szCs w:val="20"/>
                <w:lang w:val="it-IT"/>
              </w:rPr>
              <w:t>Ekalesia Kelisiano o Tuvalu</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المذهب المسيحي في توفالو</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Fakatuagaene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أبناء عم</w:t>
            </w:r>
          </w:p>
        </w:tc>
      </w:tr>
      <w:tr w:rsidR="00BC1586">
        <w:trPr>
          <w:jc w:val="center"/>
        </w:trPr>
        <w:tc>
          <w:tcPr>
            <w:tcW w:w="2598" w:type="dxa"/>
          </w:tcPr>
          <w:p w:rsidR="00BC1586" w:rsidRPr="00CC6F34" w:rsidRDefault="00BC1586" w:rsidP="00E20A1A">
            <w:pPr>
              <w:spacing w:line="480" w:lineRule="auto"/>
              <w:rPr>
                <w:rFonts w:hint="cs"/>
                <w:szCs w:val="20"/>
              </w:rPr>
            </w:pPr>
            <w:r>
              <w:rPr>
                <w:szCs w:val="20"/>
              </w:rPr>
              <w:t>Falekaupule</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مجلس الاجتماع التقليدي (كيان اتخاذ القرارات في الجزيرة)</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Falekaupule Assembly</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كيان الجزيرة التقليدي الذي يضم الأشخاص البالغين من العمر 18 عاماً فما فوق</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Fenua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جزيرة</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Kaitasi</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مجموعة أسر لها نفس الحق في الأرض</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Kaupule</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مجلس جزيرة معين بموجب قرار الفالي كابيول لعام 1997</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Kilooga tasi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 xml:space="preserve">تعني حرفياً </w:t>
            </w:r>
            <w:r w:rsidR="003626EB">
              <w:rPr>
                <w:rFonts w:cs="Traditional Arabic" w:hint="eastAsia"/>
                <w:sz w:val="32"/>
                <w:szCs w:val="32"/>
                <w:rtl/>
              </w:rPr>
              <w:t>”</w:t>
            </w:r>
            <w:r>
              <w:rPr>
                <w:rFonts w:cs="Traditional Arabic" w:hint="cs"/>
                <w:sz w:val="32"/>
                <w:szCs w:val="32"/>
                <w:rtl/>
              </w:rPr>
              <w:t>التفرد</w:t>
            </w:r>
            <w:r w:rsidR="003626EB">
              <w:rPr>
                <w:rFonts w:cs="Traditional Arabic" w:hint="eastAsia"/>
                <w:sz w:val="32"/>
                <w:szCs w:val="32"/>
                <w:rtl/>
              </w:rPr>
              <w:t>“</w:t>
            </w:r>
            <w:r>
              <w:rPr>
                <w:rFonts w:cs="Traditional Arabic" w:hint="cs"/>
                <w:sz w:val="32"/>
                <w:szCs w:val="32"/>
                <w:rtl/>
              </w:rPr>
              <w:t xml:space="preserve"> (اسم مجموعة تمثيل مسرحي)</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Matai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رئيس أسرة موسعة</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Mataniu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أفراد أسرة موسعة يملكون الأرض</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Palagi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أوروبي</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Potulama</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زواج جماعي تقليدي ينظمه مجتمع الجزر</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Pule Fenua</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زعيم جزيرة</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Pule Kaupule</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رئيس مجلس (كابيول) معين</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Te Kakeega II</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 xml:space="preserve">خطة التنمية الوطنية لتوفالو، الفترة 2005 </w:t>
            </w:r>
            <w:r w:rsidR="00084D51">
              <w:rPr>
                <w:rFonts w:cs="Traditional Arabic"/>
                <w:sz w:val="32"/>
                <w:szCs w:val="32"/>
                <w:rtl/>
              </w:rPr>
              <w:t>-</w:t>
            </w:r>
            <w:r>
              <w:rPr>
                <w:rFonts w:cs="Traditional Arabic" w:hint="cs"/>
                <w:sz w:val="32"/>
                <w:szCs w:val="32"/>
                <w:rtl/>
              </w:rPr>
              <w:t xml:space="preserve"> 2015 </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 xml:space="preserve">Tuagaene </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أقارب</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Tua tina</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خال</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Ulu Aliki</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الرئيس الأعلى</w:t>
            </w:r>
          </w:p>
        </w:tc>
      </w:tr>
      <w:tr w:rsidR="00BC1586">
        <w:trPr>
          <w:jc w:val="center"/>
        </w:trPr>
        <w:tc>
          <w:tcPr>
            <w:tcW w:w="2598" w:type="dxa"/>
          </w:tcPr>
          <w:p w:rsidR="00BC1586" w:rsidRPr="00CC6F34" w:rsidRDefault="00BC1586" w:rsidP="00E20A1A">
            <w:pPr>
              <w:spacing w:line="480" w:lineRule="auto"/>
              <w:rPr>
                <w:szCs w:val="20"/>
              </w:rPr>
            </w:pPr>
            <w:r w:rsidRPr="00CC6F34">
              <w:rPr>
                <w:szCs w:val="20"/>
              </w:rPr>
              <w:t>Ulu Fenua</w:t>
            </w:r>
          </w:p>
        </w:tc>
        <w:tc>
          <w:tcPr>
            <w:tcW w:w="7468" w:type="dxa"/>
          </w:tcPr>
          <w:p w:rsidR="00BC1586" w:rsidRPr="002B3892" w:rsidRDefault="00BC1586" w:rsidP="00E20A1A">
            <w:pPr>
              <w:rPr>
                <w:rFonts w:cs="Traditional Arabic" w:hint="cs"/>
                <w:sz w:val="32"/>
                <w:szCs w:val="32"/>
                <w:rtl/>
              </w:rPr>
            </w:pPr>
            <w:r>
              <w:rPr>
                <w:rFonts w:cs="Traditional Arabic" w:hint="cs"/>
                <w:sz w:val="32"/>
                <w:szCs w:val="32"/>
                <w:rtl/>
              </w:rPr>
              <w:t>رئيس منتسب</w:t>
            </w:r>
          </w:p>
        </w:tc>
      </w:tr>
    </w:tbl>
    <w:p w:rsidR="00BC1586" w:rsidRDefault="00BC1586" w:rsidP="00D27C6F">
      <w:pPr>
        <w:pStyle w:val="SingleTxt"/>
        <w:rPr>
          <w:rtl/>
        </w:rPr>
      </w:pPr>
    </w:p>
    <w:p w:rsidR="00BC1586" w:rsidRDefault="00BC1586" w:rsidP="002A04B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2A04B7">
        <w:rPr>
          <w:rFonts w:hint="cs"/>
          <w:rtl/>
        </w:rPr>
        <w:t xml:space="preserve">     </w:t>
      </w:r>
      <w:r w:rsidR="002A04B7">
        <w:rPr>
          <w:rFonts w:hint="cs"/>
          <w:rtl/>
        </w:rPr>
        <w:tab/>
      </w:r>
      <w:r w:rsidRPr="000C7AA7">
        <w:rPr>
          <w:rFonts w:hint="cs"/>
          <w:rtl/>
        </w:rPr>
        <w:t>الجزء الأول:</w:t>
      </w:r>
      <w:r w:rsidR="002A04B7">
        <w:rPr>
          <w:rFonts w:hint="cs"/>
          <w:rtl/>
        </w:rPr>
        <w:tab/>
      </w:r>
      <w:r w:rsidRPr="000C7AA7">
        <w:rPr>
          <w:rFonts w:hint="cs"/>
          <w:rtl/>
        </w:rPr>
        <w:t>مقدمة</w:t>
      </w:r>
    </w:p>
    <w:p w:rsidR="002A04B7" w:rsidRPr="002A04B7" w:rsidRDefault="002A04B7" w:rsidP="002A04B7">
      <w:pPr>
        <w:spacing w:line="120" w:lineRule="exact"/>
        <w:rPr>
          <w:rFonts w:hint="cs"/>
          <w:b/>
          <w:bCs/>
          <w:sz w:val="10"/>
          <w:szCs w:val="32"/>
          <w:rtl/>
        </w:rPr>
      </w:pPr>
    </w:p>
    <w:p w:rsidR="00BC1586" w:rsidRDefault="002A04B7" w:rsidP="002A04B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C1586">
        <w:rPr>
          <w:rFonts w:hint="cs"/>
          <w:rtl/>
        </w:rPr>
        <w:t>توفالو: الأرض والسكان</w:t>
      </w:r>
    </w:p>
    <w:p w:rsidR="00BC1586" w:rsidRDefault="002A04B7" w:rsidP="002A04B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7D15B0">
        <w:rPr>
          <w:rFonts w:hint="cs"/>
          <w:rtl/>
        </w:rPr>
        <w:t>معلومات تاريخية عامة</w:t>
      </w:r>
    </w:p>
    <w:p w:rsidR="00BC1586" w:rsidRDefault="002A04B7" w:rsidP="003626EB">
      <w:pPr>
        <w:pStyle w:val="SingleTxt"/>
        <w:rPr>
          <w:rFonts w:hint="cs"/>
          <w:rtl/>
        </w:rPr>
      </w:pPr>
      <w:r>
        <w:rPr>
          <w:rFonts w:hint="cs"/>
          <w:rtl/>
        </w:rPr>
        <w:t>1 -</w:t>
      </w:r>
      <w:r>
        <w:rPr>
          <w:rFonts w:hint="cs"/>
          <w:rtl/>
        </w:rPr>
        <w:tab/>
      </w:r>
      <w:r w:rsidR="00BC1586">
        <w:rPr>
          <w:rFonts w:hint="cs"/>
          <w:rtl/>
        </w:rPr>
        <w:t>كان أول من استقر في توفالو، التي كانت تعرف سابقاً باسم جزر إليس، أناس ينتمون للإثنية البولينيزية قبل حوالي 2000 عام تقريباً. ويعتقد بصورة عامة أن الأجداد الأولين جاءوا من ساموا عن طريق توكيلاو، بينما جاء آخرون من تونغا ويوفيا (</w:t>
      </w:r>
      <w:r w:rsidR="008B1FB2">
        <w:rPr>
          <w:rFonts w:hint="cs"/>
          <w:rtl/>
        </w:rPr>
        <w:t>انظر</w:t>
      </w:r>
      <w:r w:rsidR="00BC1586">
        <w:rPr>
          <w:rFonts w:hint="cs"/>
          <w:rtl/>
        </w:rPr>
        <w:t xml:space="preserve"> واليس وفوتونا)</w:t>
      </w:r>
      <w:r w:rsidR="007D15B0" w:rsidRPr="007D15B0">
        <w:rPr>
          <w:vertAlign w:val="superscript"/>
          <w:rtl/>
        </w:rPr>
        <w:t>(</w:t>
      </w:r>
      <w:r w:rsidR="007D15B0">
        <w:rPr>
          <w:rStyle w:val="FootnoteReference"/>
          <w:rtl/>
        </w:rPr>
        <w:footnoteReference w:id="1"/>
      </w:r>
      <w:r w:rsidR="007D15B0" w:rsidRPr="007D15B0">
        <w:rPr>
          <w:vertAlign w:val="superscript"/>
          <w:rtl/>
        </w:rPr>
        <w:t>)</w:t>
      </w:r>
      <w:r w:rsidR="00BC1586">
        <w:rPr>
          <w:rFonts w:hint="cs"/>
          <w:rtl/>
        </w:rPr>
        <w:t>. وفي حين أن الدراسات اللغوية دلت على أن عمر اللغة حوالي 2000 عام، إلا</w:t>
      </w:r>
      <w:r w:rsidR="00BC1586">
        <w:rPr>
          <w:rFonts w:hint="eastAsia"/>
          <w:rtl/>
        </w:rPr>
        <w:t> </w:t>
      </w:r>
      <w:r w:rsidR="00BC1586">
        <w:rPr>
          <w:rFonts w:hint="cs"/>
          <w:rtl/>
        </w:rPr>
        <w:t xml:space="preserve">أن القصص التقليدية وعلوم الأنساب لا تعود </w:t>
      </w:r>
      <w:r>
        <w:rPr>
          <w:rFonts w:hint="cs"/>
          <w:rtl/>
        </w:rPr>
        <w:t>إلى الوراء أكثر من 300 عام، مما</w:t>
      </w:r>
      <w:r>
        <w:rPr>
          <w:rFonts w:hint="eastAsia"/>
          <w:rtl/>
        </w:rPr>
        <w:t> </w:t>
      </w:r>
      <w:r w:rsidR="00BC1586">
        <w:rPr>
          <w:rFonts w:hint="cs"/>
          <w:rtl/>
        </w:rPr>
        <w:t>يدل على أن الثقافة التقليدية السائدة في الجزر حالياً لم تأت من الأجداد الأوائل، وإنما من الذين وصلوا فيما بعد. وسجل التاريخ أيضاً أن الأوروبيين شاهدوا هذه الجزر لأول مرة في عام 1568، ولم يجروا أي اتصال بها حتى أواخر القرن الثامن عشر، عندما وصل إليها مزيد من الأوروبيين. وعدا عن صيادي الحيتان، كان البيروفيون، الذين كانوا يشنون هجمات لاختطاف الناس واسترقاقهم (صائدوا الطيور السوداء)، يمشطون المحيط الهادئ بين عام 1862 وعام 1864، وكانت توفالو من بين أكثر البلدان تضررا،ً حيث اختطف من فونافوتي ونوكولالا أكثر من 400 شخص. ولم يعد أي منهم</w:t>
      </w:r>
      <w:r w:rsidR="007D15B0" w:rsidRPr="007D15B0">
        <w:rPr>
          <w:vertAlign w:val="superscript"/>
          <w:rtl/>
        </w:rPr>
        <w:t>(</w:t>
      </w:r>
      <w:r w:rsidR="007D15B0">
        <w:rPr>
          <w:rStyle w:val="FootnoteReference"/>
          <w:rtl/>
        </w:rPr>
        <w:footnoteReference w:id="2"/>
      </w:r>
      <w:r w:rsidR="007D15B0" w:rsidRPr="007D15B0">
        <w:rPr>
          <w:vertAlign w:val="superscript"/>
          <w:rtl/>
        </w:rPr>
        <w:t>)</w:t>
      </w:r>
      <w:r w:rsidR="00BC1586">
        <w:rPr>
          <w:rFonts w:hint="cs"/>
          <w:rtl/>
        </w:rPr>
        <w:t>.</w:t>
      </w:r>
      <w:r w:rsidR="007D15B0">
        <w:rPr>
          <w:rFonts w:hint="cs"/>
          <w:rtl/>
        </w:rPr>
        <w:t xml:space="preserve"> </w:t>
      </w:r>
      <w:r w:rsidR="00BC1586">
        <w:rPr>
          <w:rFonts w:hint="cs"/>
          <w:rtl/>
        </w:rPr>
        <w:t xml:space="preserve">وسميت جزيرة إليس بهذا الاسم نسبة إلى سياسي انكليزي عاش في القرن التاسع عشر، اسمه إدوارد إليس، وقد كان عضو برلمان عن مدينة كوفينتري ومالك السفينة ريبيكا، التي كان القبطان آرينت دي بريستير فيها عندما اكتشف جزيرة فونافوتي المرجانية في عام 1819. وأطلق على جزيرة فونافوتي اسم إليس تكريماً للسيد إليس، وبعد ذلك أطلق أ. غ. فيندلي (عالم هيدروغرافيا </w:t>
      </w:r>
      <w:r>
        <w:rPr>
          <w:rFonts w:hint="cs"/>
          <w:rtl/>
        </w:rPr>
        <w:t>ا</w:t>
      </w:r>
      <w:r w:rsidR="00BC1586">
        <w:rPr>
          <w:rFonts w:hint="cs"/>
          <w:rtl/>
        </w:rPr>
        <w:t>نكليزي) هذا الاسم على مجموعة الجزر بأسرها (</w:t>
      </w:r>
      <w:r w:rsidR="008B1FB2">
        <w:rPr>
          <w:rFonts w:hint="cs"/>
          <w:rtl/>
        </w:rPr>
        <w:t>انظر</w:t>
      </w:r>
      <w:r w:rsidR="00BC1586">
        <w:rPr>
          <w:rFonts w:hint="cs"/>
          <w:rtl/>
        </w:rPr>
        <w:t xml:space="preserve"> الكتاب السنوي لبلدان المحيط الهادئ، الطبعة 16. وكسائر البلدان الجزرية في المحيط الهادئ، ما فتئ النظام الاقتصادي والنظام الاجتماعي في توفالو يمران بعملية تغيير منذ الاستعمار الأوروبي قبل قرنين تقريباً (</w:t>
      </w:r>
      <w:r w:rsidR="008B1FB2">
        <w:rPr>
          <w:rFonts w:hint="cs"/>
          <w:rtl/>
        </w:rPr>
        <w:t>انظر</w:t>
      </w:r>
      <w:r w:rsidR="00BC1586">
        <w:rPr>
          <w:rFonts w:hint="cs"/>
          <w:rtl/>
        </w:rPr>
        <w:t xml:space="preserve"> غريفن، عام 2006). ووضعت جزر إليس تحت الحماية البريطانية حيث أصبحت تعرف بمحمية جزر غلبرت وإليس البريطانية من عام 1892 حتى عام 1916، حيث أصبحت جزءاً من مستعمرة جزر غلبرت وإليس</w:t>
      </w:r>
      <w:r w:rsidR="007D15B0" w:rsidRPr="007D15B0">
        <w:rPr>
          <w:vertAlign w:val="superscript"/>
          <w:rtl/>
        </w:rPr>
        <w:t>(</w:t>
      </w:r>
      <w:r w:rsidR="007D15B0">
        <w:rPr>
          <w:rStyle w:val="FootnoteReference"/>
          <w:rtl/>
        </w:rPr>
        <w:footnoteReference w:id="3"/>
      </w:r>
      <w:r w:rsidR="007D15B0" w:rsidRPr="007D15B0">
        <w:rPr>
          <w:vertAlign w:val="superscript"/>
          <w:rtl/>
        </w:rPr>
        <w:t>)</w:t>
      </w:r>
      <w:r w:rsidR="00BC1586">
        <w:rPr>
          <w:rFonts w:hint="cs"/>
          <w:rtl/>
        </w:rPr>
        <w:t>.</w:t>
      </w:r>
      <w:r w:rsidR="007D15B0">
        <w:rPr>
          <w:rFonts w:hint="cs"/>
          <w:rtl/>
        </w:rPr>
        <w:t xml:space="preserve"> </w:t>
      </w:r>
      <w:r w:rsidR="00BC1586">
        <w:rPr>
          <w:rFonts w:hint="cs"/>
          <w:rtl/>
        </w:rPr>
        <w:t xml:space="preserve">وحصلت جزر غلبرت وإليس على الحكم الذاتي في عام 1971، وفي عام 1974 صوت سكان جزر إليس لصالح وضع منفصل يعتمد على بريطانيا. وفي 1 تشرين الأول/ أكتوبر 1978 منحت الاستقلال التام، ومنحت وضع </w:t>
      </w:r>
      <w:r w:rsidR="003626EB">
        <w:rPr>
          <w:rFonts w:hint="eastAsia"/>
          <w:rtl/>
        </w:rPr>
        <w:t>”</w:t>
      </w:r>
      <w:r w:rsidR="003626EB">
        <w:rPr>
          <w:rFonts w:hint="cs"/>
          <w:rtl/>
        </w:rPr>
        <w:t>عضو خاص</w:t>
      </w:r>
      <w:r w:rsidR="003626EB">
        <w:rPr>
          <w:rFonts w:hint="eastAsia"/>
          <w:rtl/>
        </w:rPr>
        <w:t>“</w:t>
      </w:r>
      <w:r w:rsidR="00BC1586">
        <w:rPr>
          <w:rFonts w:hint="cs"/>
          <w:rtl/>
        </w:rPr>
        <w:t xml:space="preserve"> غير مصوت في الكومنولث. وفي 1 أيلول/ سبتمبر 2000، ووفق على طلب توفالو الحصول على عضوية الكومنولث الكاملة، وأصبحت في نفس السنة عضواً في الأمم المتحدة. وقد اعتُمد اسم توفالو، الذي يعني حرفياً ثماني جزر معاً، أثناء الاستقلال</w:t>
      </w:r>
      <w:r w:rsidR="007D15B0" w:rsidRPr="007D15B0">
        <w:rPr>
          <w:vertAlign w:val="superscript"/>
          <w:rtl/>
        </w:rPr>
        <w:t>(</w:t>
      </w:r>
      <w:r w:rsidR="007D15B0">
        <w:rPr>
          <w:rStyle w:val="FootnoteReference"/>
          <w:rtl/>
        </w:rPr>
        <w:footnoteReference w:id="4"/>
      </w:r>
      <w:r w:rsidR="007D15B0" w:rsidRPr="007D15B0">
        <w:rPr>
          <w:vertAlign w:val="superscript"/>
          <w:rtl/>
        </w:rPr>
        <w:t>)</w:t>
      </w:r>
      <w:r w:rsidR="00BC1586">
        <w:rPr>
          <w:rFonts w:hint="cs"/>
          <w:rtl/>
        </w:rPr>
        <w:t>.</w:t>
      </w:r>
    </w:p>
    <w:p w:rsidR="007D15B0" w:rsidRPr="007D15B0" w:rsidRDefault="007D15B0" w:rsidP="007D15B0">
      <w:pPr>
        <w:pStyle w:val="SingleTxt"/>
        <w:spacing w:after="0" w:line="120" w:lineRule="exact"/>
        <w:rPr>
          <w:rFonts w:hint="cs"/>
          <w:sz w:val="10"/>
          <w:rtl/>
        </w:rPr>
      </w:pPr>
    </w:p>
    <w:p w:rsidR="00BC1586" w:rsidRPr="00355E42" w:rsidRDefault="007D15B0" w:rsidP="007D15B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C1586" w:rsidRPr="00355E42">
        <w:rPr>
          <w:rFonts w:hint="cs"/>
          <w:rtl/>
        </w:rPr>
        <w:t>الأرض</w:t>
      </w:r>
    </w:p>
    <w:p w:rsidR="00BC1586" w:rsidRDefault="00BC1586" w:rsidP="007D15B0">
      <w:pPr>
        <w:pStyle w:val="SingleTxt"/>
        <w:rPr>
          <w:rFonts w:hint="cs"/>
          <w:rtl/>
        </w:rPr>
      </w:pPr>
      <w:r>
        <w:rPr>
          <w:rFonts w:hint="cs"/>
          <w:rtl/>
        </w:rPr>
        <w:t xml:space="preserve">2 </w:t>
      </w:r>
      <w:r w:rsidR="007D15B0">
        <w:rPr>
          <w:rFonts w:hint="cs"/>
          <w:rtl/>
        </w:rPr>
        <w:t>-</w:t>
      </w:r>
      <w:r>
        <w:rPr>
          <w:rFonts w:hint="cs"/>
          <w:rtl/>
        </w:rPr>
        <w:tab/>
        <w:t>توفالو من أصغر الدول الجزرية وأبعدها في المحيط الهادئ، ومن أصغر الدول في العالم. وعدد سكانها الأقل من بين الدول الأعضاء في الأمم المتحدة</w:t>
      </w:r>
      <w:r w:rsidR="007D15B0" w:rsidRPr="007D15B0">
        <w:rPr>
          <w:vertAlign w:val="superscript"/>
          <w:rtl/>
        </w:rPr>
        <w:t>(</w:t>
      </w:r>
      <w:r w:rsidR="007D15B0">
        <w:rPr>
          <w:rStyle w:val="FootnoteReference"/>
          <w:rtl/>
        </w:rPr>
        <w:footnoteReference w:id="5"/>
      </w:r>
      <w:r w:rsidR="007D15B0" w:rsidRPr="007D15B0">
        <w:rPr>
          <w:vertAlign w:val="superscript"/>
          <w:rtl/>
        </w:rPr>
        <w:t>)</w:t>
      </w:r>
      <w:r>
        <w:rPr>
          <w:rFonts w:hint="cs"/>
          <w:rtl/>
        </w:rPr>
        <w:t>.</w:t>
      </w:r>
      <w:r w:rsidR="007D15B0">
        <w:rPr>
          <w:rFonts w:hint="cs"/>
          <w:rtl/>
        </w:rPr>
        <w:t xml:space="preserve"> </w:t>
      </w:r>
      <w:r>
        <w:rPr>
          <w:rFonts w:hint="cs"/>
          <w:rtl/>
        </w:rPr>
        <w:t>وتتكون من 9 جزر مرجانية تنتشر على مساحة 1.2 مليون كيلومتر (كلم</w:t>
      </w:r>
      <w:r>
        <w:rPr>
          <w:rFonts w:hint="cs"/>
          <w:vertAlign w:val="superscript"/>
          <w:rtl/>
        </w:rPr>
        <w:t>2</w:t>
      </w:r>
      <w:r>
        <w:rPr>
          <w:rFonts w:hint="cs"/>
          <w:rtl/>
        </w:rPr>
        <w:t>) من مياه المحيط الهادئ، وتمتد من الشمال إلى الجنوب على مسافة تزيد على 560 كيلومتراً بين خطي العرض 5 و 11 درجة جنوباً، وخطي الطول 176 و 180 درجة شرقاً. ويبلغ مجموع مساحة أراضي توفالو نحو 25.6 كيلومتر مربع، موزعة بالتساوي تقريباً بين الجزر المرجانية التسع. وتتراوح مساحة معظمها بين 2.4 كلم</w:t>
      </w:r>
      <w:r>
        <w:rPr>
          <w:rFonts w:hint="cs"/>
          <w:vertAlign w:val="superscript"/>
          <w:rtl/>
        </w:rPr>
        <w:t>2</w:t>
      </w:r>
      <w:r>
        <w:rPr>
          <w:rFonts w:hint="cs"/>
          <w:rtl/>
        </w:rPr>
        <w:t xml:space="preserve"> و 4.9 كلم</w:t>
      </w:r>
      <w:r>
        <w:rPr>
          <w:rFonts w:hint="cs"/>
          <w:vertAlign w:val="superscript"/>
          <w:rtl/>
        </w:rPr>
        <w:t>2</w:t>
      </w:r>
      <w:r>
        <w:rPr>
          <w:rFonts w:hint="cs"/>
          <w:rtl/>
        </w:rPr>
        <w:t>، باستثناء الأصغر، وهي جزر نيوتاو ونوكولالا ونيولاكيتا. وأعلى نقطة في هذه الجزر ترتفع خمسة أمتار عن مستوى سطح البحر. والتكوين الجغرافي لهذه الدولة الجزرية يجعلها معرضة جداً لعوامل البيئة، مثل تحات الشواطئ وارتفاع مستوى سطح مياه البحر.</w:t>
      </w:r>
    </w:p>
    <w:p w:rsidR="00BC1586" w:rsidRDefault="007D15B0" w:rsidP="007D15B0">
      <w:pPr>
        <w:pStyle w:val="SingleTxt"/>
        <w:rPr>
          <w:rFonts w:hint="cs"/>
          <w:rtl/>
        </w:rPr>
      </w:pPr>
      <w:r>
        <w:rPr>
          <w:rFonts w:hint="cs"/>
          <w:rtl/>
        </w:rPr>
        <w:t>3 -</w:t>
      </w:r>
      <w:r w:rsidR="00BC1586">
        <w:rPr>
          <w:rFonts w:hint="cs"/>
          <w:rtl/>
        </w:rPr>
        <w:tab/>
        <w:t>أراضي توفالو المحدودة المتوفرة من نوعية سيئة بصورة عامة وتفتقر إلى الخصوبة، وبالتالي فإن قدرتها على دعم الزراعة متدنية. كما أن مسامية التربة تعوق أيضاً الجهود التي تبذل لتحسين التربة من خلال استخدام الأسمدة. والإنتاج الزراعي محدود، وتمثل أشجار جوز الهند والبندانوس وثمرة الخبز والموز الأشجار المثمرة الرئيسية فيها. ويزرع فيها أيضاً نبات البولاكا</w:t>
      </w:r>
      <w:r w:rsidRPr="007D15B0">
        <w:rPr>
          <w:vertAlign w:val="superscript"/>
          <w:rtl/>
        </w:rPr>
        <w:t>(</w:t>
      </w:r>
      <w:r>
        <w:rPr>
          <w:rStyle w:val="FootnoteReference"/>
          <w:rtl/>
        </w:rPr>
        <w:footnoteReference w:id="6"/>
      </w:r>
      <w:r w:rsidRPr="007D15B0">
        <w:rPr>
          <w:vertAlign w:val="superscript"/>
          <w:rtl/>
        </w:rPr>
        <w:t>)</w:t>
      </w:r>
      <w:r>
        <w:rPr>
          <w:rFonts w:hint="cs"/>
          <w:vertAlign w:val="superscript"/>
          <w:rtl/>
        </w:rPr>
        <w:t xml:space="preserve"> </w:t>
      </w:r>
      <w:r w:rsidR="00BC1586">
        <w:rPr>
          <w:rFonts w:hint="cs"/>
          <w:rtl/>
        </w:rPr>
        <w:t>والقلقاس، وهي محاصيل جذرية تقليدية. إلا أن الأنشطة الزراعية التقليدية الكفافية ومخرجاتها آخذة في التناقص نتيجة لتحول الاقتصاد إلى اقتصاد نقدي</w:t>
      </w:r>
      <w:r w:rsidRPr="007D15B0">
        <w:rPr>
          <w:vertAlign w:val="superscript"/>
          <w:rtl/>
        </w:rPr>
        <w:t>(</w:t>
      </w:r>
      <w:r>
        <w:rPr>
          <w:rStyle w:val="FootnoteReference"/>
          <w:rtl/>
        </w:rPr>
        <w:footnoteReference w:id="7"/>
      </w:r>
      <w:r w:rsidRPr="007D15B0">
        <w:rPr>
          <w:vertAlign w:val="superscript"/>
          <w:rtl/>
        </w:rPr>
        <w:t>)</w:t>
      </w:r>
      <w:r w:rsidR="00BC1586">
        <w:rPr>
          <w:rFonts w:hint="cs"/>
          <w:rtl/>
        </w:rPr>
        <w:t>.</w:t>
      </w:r>
    </w:p>
    <w:p w:rsidR="00BC1586" w:rsidRDefault="00BC1586" w:rsidP="007D15B0">
      <w:pPr>
        <w:pStyle w:val="SingleTxt"/>
        <w:rPr>
          <w:rFonts w:hint="cs"/>
          <w:rtl/>
        </w:rPr>
      </w:pPr>
      <w:r>
        <w:rPr>
          <w:rFonts w:hint="cs"/>
          <w:rtl/>
        </w:rPr>
        <w:t xml:space="preserve">4 </w:t>
      </w:r>
      <w:r w:rsidR="007D15B0">
        <w:rPr>
          <w:rFonts w:hint="cs"/>
          <w:rtl/>
        </w:rPr>
        <w:t>-</w:t>
      </w:r>
      <w:r w:rsidR="007D15B0">
        <w:rPr>
          <w:rFonts w:hint="cs"/>
          <w:rtl/>
        </w:rPr>
        <w:tab/>
      </w:r>
      <w:r>
        <w:rPr>
          <w:rFonts w:hint="cs"/>
          <w:rtl/>
        </w:rPr>
        <w:t>يتسم مناخ توفالو بدرجات حرارة متماثلة على نحو منسق، تتراوح بين 26 و 32 درجة مئوية، ورطوبة عالية وهطول أمطار بلغت في المتوسط 256.5 مليمتراً (ملم) شهرياً أثناء الفترة 2000</w:t>
      </w:r>
      <w:r w:rsidR="007D15B0">
        <w:rPr>
          <w:rFonts w:hint="cs"/>
          <w:rtl/>
        </w:rPr>
        <w:t>-</w:t>
      </w:r>
      <w:r>
        <w:rPr>
          <w:rFonts w:hint="cs"/>
          <w:rtl/>
        </w:rPr>
        <w:t>2004. إلا أنه قد يحدث جفاف يصل إلى ثلاثة أشهر، لا سيما في الجزر الواقعة في أقصى الشمال. وتقع بعض الجزر في الحزام الذي تهب عليه الأعاصير، حيث ضربها إعصار أوفا في عام 1990، وكان إعصار إيمي في عام 2003 آخر إعصار ضربها</w:t>
      </w:r>
      <w:r w:rsidR="007D15B0" w:rsidRPr="007D15B0">
        <w:rPr>
          <w:vertAlign w:val="superscript"/>
          <w:rtl/>
        </w:rPr>
        <w:t>(</w:t>
      </w:r>
      <w:r w:rsidR="007D15B0">
        <w:rPr>
          <w:rStyle w:val="FootnoteReference"/>
          <w:rtl/>
        </w:rPr>
        <w:footnoteReference w:id="8"/>
      </w:r>
      <w:r w:rsidR="007D15B0" w:rsidRPr="007D15B0">
        <w:rPr>
          <w:vertAlign w:val="superscript"/>
          <w:rtl/>
        </w:rPr>
        <w:t>)</w:t>
      </w:r>
      <w:r>
        <w:rPr>
          <w:rFonts w:hint="cs"/>
          <w:rtl/>
        </w:rPr>
        <w:t xml:space="preserve">. </w:t>
      </w:r>
    </w:p>
    <w:p w:rsidR="00BC1586" w:rsidRDefault="00BC1586" w:rsidP="007D15B0">
      <w:pPr>
        <w:pStyle w:val="SingleTxt"/>
        <w:rPr>
          <w:rFonts w:hint="cs"/>
          <w:sz w:val="32"/>
          <w:szCs w:val="32"/>
          <w:rtl/>
        </w:rPr>
      </w:pPr>
      <w:r>
        <w:rPr>
          <w:rFonts w:hint="cs"/>
          <w:sz w:val="32"/>
          <w:szCs w:val="32"/>
          <w:rtl/>
        </w:rPr>
        <w:t xml:space="preserve">5 </w:t>
      </w:r>
      <w:r w:rsidR="007D15B0">
        <w:rPr>
          <w:rFonts w:hint="cs"/>
          <w:sz w:val="32"/>
          <w:szCs w:val="32"/>
          <w:rtl/>
        </w:rPr>
        <w:t>-</w:t>
      </w:r>
      <w:r w:rsidR="007D15B0">
        <w:rPr>
          <w:rFonts w:hint="cs"/>
          <w:sz w:val="32"/>
          <w:szCs w:val="32"/>
          <w:rtl/>
        </w:rPr>
        <w:tab/>
      </w:r>
      <w:r>
        <w:rPr>
          <w:rFonts w:hint="cs"/>
          <w:sz w:val="32"/>
          <w:szCs w:val="32"/>
          <w:rtl/>
        </w:rPr>
        <w:t xml:space="preserve">أرصدة توفالو السمكية في المنطقة </w:t>
      </w:r>
      <w:r w:rsidRPr="00BC1586">
        <w:rPr>
          <w:rFonts w:hint="cs"/>
          <w:rtl/>
        </w:rPr>
        <w:t>الاقتصادية</w:t>
      </w:r>
      <w:r>
        <w:rPr>
          <w:rFonts w:hint="cs"/>
          <w:sz w:val="32"/>
          <w:szCs w:val="32"/>
          <w:rtl/>
        </w:rPr>
        <w:t xml:space="preserve"> الخالصة والأهوار والمياه الداخلية أكثر مواردها قيمة. وتغطي منطقة توفالو الاقتصادية الخالصة نحو 000 900 كلم</w:t>
      </w:r>
      <w:r>
        <w:rPr>
          <w:rFonts w:hint="cs"/>
          <w:sz w:val="32"/>
          <w:szCs w:val="32"/>
          <w:vertAlign w:val="superscript"/>
          <w:rtl/>
        </w:rPr>
        <w:t>2</w:t>
      </w:r>
      <w:r>
        <w:rPr>
          <w:rFonts w:hint="cs"/>
          <w:sz w:val="32"/>
          <w:szCs w:val="32"/>
          <w:rtl/>
        </w:rPr>
        <w:t>، تحتوي أرصدة سمكية في مياه المحيط توفر إمكانية لأساطيل صيد السمك الأجنبية والمحلية. والحفاظ على الأرصدة السمكية في الأهوار للاستهلاك المحلي مسألة هامة. وصيد الأسماك نشاط كفافي وتجاري مهم للأسر المعيشية في الجزر الخارجية وفي فونافوتي أيضاً.</w:t>
      </w:r>
    </w:p>
    <w:p w:rsidR="007D15B0" w:rsidRPr="007D15B0" w:rsidRDefault="007D15B0" w:rsidP="007D15B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BC1586" w:rsidRPr="001F7A55" w:rsidRDefault="007D15B0" w:rsidP="007D15B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BC1586" w:rsidRPr="001F7A55">
        <w:rPr>
          <w:rFonts w:hint="cs"/>
          <w:rtl/>
        </w:rPr>
        <w:t>السكان</w:t>
      </w:r>
    </w:p>
    <w:p w:rsidR="00BC1586" w:rsidRDefault="00BC1586" w:rsidP="002643CB">
      <w:pPr>
        <w:pStyle w:val="SingleTxt"/>
        <w:rPr>
          <w:rFonts w:hint="cs"/>
          <w:sz w:val="32"/>
          <w:szCs w:val="32"/>
          <w:rtl/>
        </w:rPr>
      </w:pPr>
      <w:r>
        <w:rPr>
          <w:rFonts w:hint="cs"/>
          <w:sz w:val="32"/>
          <w:szCs w:val="32"/>
          <w:rtl/>
        </w:rPr>
        <w:t xml:space="preserve">6 </w:t>
      </w:r>
      <w:r w:rsidR="007D15B0">
        <w:rPr>
          <w:rFonts w:hint="cs"/>
          <w:sz w:val="32"/>
          <w:szCs w:val="32"/>
          <w:rtl/>
        </w:rPr>
        <w:t>-</w:t>
      </w:r>
      <w:r w:rsidR="007D15B0">
        <w:rPr>
          <w:rFonts w:hint="cs"/>
          <w:sz w:val="32"/>
          <w:szCs w:val="32"/>
          <w:rtl/>
        </w:rPr>
        <w:tab/>
      </w:r>
      <w:r>
        <w:rPr>
          <w:rFonts w:hint="cs"/>
          <w:sz w:val="32"/>
          <w:szCs w:val="32"/>
          <w:rtl/>
        </w:rPr>
        <w:t>يتحدر السكان من العرق البولينيزي، وتتصل اللغة المحلية اتصالاً وثيقاً باللغة التي يتكلمها مواطنو ساموا وتونغا، باستثناء سكان جزيرة نوي، الذين يتكلمون لغة كيريباتي. ووفقاً للدراسات اللغوية</w:t>
      </w:r>
      <w:r w:rsidR="007D15B0" w:rsidRPr="007D15B0">
        <w:rPr>
          <w:sz w:val="32"/>
          <w:szCs w:val="32"/>
          <w:vertAlign w:val="superscript"/>
          <w:rtl/>
        </w:rPr>
        <w:t>(</w:t>
      </w:r>
      <w:r w:rsidR="007D15B0">
        <w:rPr>
          <w:rStyle w:val="FootnoteReference"/>
          <w:rtl/>
        </w:rPr>
        <w:footnoteReference w:id="9"/>
      </w:r>
      <w:r w:rsidR="007D15B0" w:rsidRPr="007D15B0">
        <w:rPr>
          <w:sz w:val="32"/>
          <w:szCs w:val="32"/>
          <w:vertAlign w:val="superscript"/>
          <w:rtl/>
        </w:rPr>
        <w:t>)</w:t>
      </w:r>
      <w:r>
        <w:rPr>
          <w:rFonts w:hint="cs"/>
          <w:sz w:val="32"/>
          <w:szCs w:val="32"/>
          <w:rtl/>
        </w:rPr>
        <w:t>،</w:t>
      </w:r>
      <w:r w:rsidR="002643CB">
        <w:rPr>
          <w:rFonts w:hint="cs"/>
          <w:sz w:val="32"/>
          <w:szCs w:val="32"/>
          <w:rtl/>
        </w:rPr>
        <w:t xml:space="preserve"> </w:t>
      </w:r>
      <w:r>
        <w:rPr>
          <w:rFonts w:hint="cs"/>
          <w:sz w:val="32"/>
          <w:szCs w:val="32"/>
          <w:rtl/>
        </w:rPr>
        <w:t xml:space="preserve">توجد في توفالو ثلاث مناطق لغوية مميزة. تضم المنطقة الأولى نانوميا ونيوتاو ونانومانغا. وتمثل نوي المنطقة الثانية، وتضم المنطقة الثالثة فايتوبو ونوكوفيتاو وفونافوتي ونوكولالا. اللغة التوفالية هي اللغة المتداولة، واللغة الإنكليزية هي اللغة الرسمية في الخدمات العامة في توفالو. وتستخدم وتدرس هاتان اللغتان في المدارس في جميع أنحاء البلد. </w:t>
      </w:r>
    </w:p>
    <w:p w:rsidR="00F3241C" w:rsidRPr="00F3241C" w:rsidRDefault="00F3241C" w:rsidP="00F3241C">
      <w:pPr>
        <w:spacing w:line="120" w:lineRule="exact"/>
        <w:rPr>
          <w:rFonts w:hint="cs"/>
          <w:b/>
          <w:bCs/>
          <w:sz w:val="10"/>
          <w:szCs w:val="32"/>
          <w:rtl/>
        </w:rPr>
      </w:pPr>
    </w:p>
    <w:p w:rsidR="00BC1586" w:rsidRPr="003F1028" w:rsidRDefault="00F3241C" w:rsidP="00BC1586">
      <w:pPr>
        <w:rPr>
          <w:rFonts w:hint="cs"/>
          <w:b/>
          <w:bCs/>
          <w:sz w:val="32"/>
          <w:szCs w:val="32"/>
          <w:rtl/>
        </w:rPr>
      </w:pPr>
      <w:r>
        <w:rPr>
          <w:rFonts w:hint="cs"/>
          <w:b/>
          <w:bCs/>
          <w:sz w:val="32"/>
          <w:szCs w:val="32"/>
          <w:rtl/>
        </w:rPr>
        <w:tab/>
      </w:r>
      <w:r>
        <w:rPr>
          <w:rFonts w:hint="cs"/>
          <w:b/>
          <w:bCs/>
          <w:sz w:val="32"/>
          <w:szCs w:val="32"/>
          <w:rtl/>
        </w:rPr>
        <w:tab/>
      </w:r>
      <w:r w:rsidR="00BC1586" w:rsidRPr="003F1028">
        <w:rPr>
          <w:rFonts w:hint="cs"/>
          <w:b/>
          <w:bCs/>
          <w:sz w:val="32"/>
          <w:szCs w:val="32"/>
          <w:rtl/>
        </w:rPr>
        <w:t>عادات وتقاليد التوفالونيين</w:t>
      </w:r>
    </w:p>
    <w:p w:rsidR="00BC1586" w:rsidRDefault="00BC1586" w:rsidP="003626EB">
      <w:pPr>
        <w:pStyle w:val="SingleTxt"/>
        <w:rPr>
          <w:rFonts w:hint="cs"/>
          <w:sz w:val="32"/>
          <w:szCs w:val="32"/>
          <w:rtl/>
        </w:rPr>
      </w:pPr>
      <w:r>
        <w:rPr>
          <w:rFonts w:hint="cs"/>
          <w:sz w:val="32"/>
          <w:szCs w:val="32"/>
          <w:rtl/>
        </w:rPr>
        <w:t xml:space="preserve">7 </w:t>
      </w:r>
      <w:r w:rsidR="00084D51">
        <w:rPr>
          <w:sz w:val="32"/>
          <w:szCs w:val="32"/>
          <w:rtl/>
        </w:rPr>
        <w:t>-</w:t>
      </w:r>
      <w:r>
        <w:rPr>
          <w:rFonts w:hint="cs"/>
          <w:sz w:val="32"/>
          <w:szCs w:val="32"/>
          <w:rtl/>
        </w:rPr>
        <w:tab/>
        <w:t xml:space="preserve">يثمن مواطنو توفالو عالياً تراثهم الثقافي </w:t>
      </w:r>
      <w:r w:rsidRPr="00BC1586">
        <w:rPr>
          <w:rFonts w:hint="cs"/>
          <w:rtl/>
        </w:rPr>
        <w:t>وهويتهم</w:t>
      </w:r>
      <w:r>
        <w:rPr>
          <w:rFonts w:hint="cs"/>
          <w:sz w:val="32"/>
          <w:szCs w:val="32"/>
          <w:rtl/>
        </w:rPr>
        <w:t xml:space="preserve"> الثقافية. ويعيشون في مجتمعات محلية في كل جزيرة من جزرهم، حيث يتطور الهيكل الاجتماعي حول زعامة الرئيس </w:t>
      </w:r>
      <w:r w:rsidR="003626EB">
        <w:rPr>
          <w:rFonts w:hint="eastAsia"/>
          <w:sz w:val="32"/>
          <w:szCs w:val="32"/>
          <w:rtl/>
        </w:rPr>
        <w:t>”</w:t>
      </w:r>
      <w:r>
        <w:rPr>
          <w:rFonts w:hint="cs"/>
          <w:sz w:val="32"/>
          <w:szCs w:val="32"/>
          <w:rtl/>
        </w:rPr>
        <w:t>أليكي</w:t>
      </w:r>
      <w:r w:rsidR="003626EB">
        <w:rPr>
          <w:rFonts w:hint="eastAsia"/>
          <w:sz w:val="32"/>
          <w:szCs w:val="32"/>
          <w:rtl/>
        </w:rPr>
        <w:t>“</w:t>
      </w:r>
      <w:r>
        <w:rPr>
          <w:rFonts w:hint="cs"/>
          <w:sz w:val="32"/>
          <w:szCs w:val="32"/>
          <w:rtl/>
        </w:rPr>
        <w:t xml:space="preserve"> </w:t>
      </w:r>
      <w:r w:rsidRPr="004055A7">
        <w:rPr>
          <w:szCs w:val="20"/>
        </w:rPr>
        <w:t>(Aliki)</w:t>
      </w:r>
      <w:r>
        <w:rPr>
          <w:rFonts w:hint="cs"/>
          <w:szCs w:val="20"/>
          <w:rtl/>
        </w:rPr>
        <w:t xml:space="preserve"> ، أو</w:t>
      </w:r>
      <w:r>
        <w:rPr>
          <w:rFonts w:hint="cs"/>
          <w:sz w:val="32"/>
          <w:szCs w:val="32"/>
          <w:rtl/>
        </w:rPr>
        <w:t xml:space="preserve"> حول زعيم جزيرة </w:t>
      </w:r>
      <w:r w:rsidR="003626EB">
        <w:rPr>
          <w:rFonts w:hint="eastAsia"/>
          <w:sz w:val="32"/>
          <w:szCs w:val="32"/>
          <w:rtl/>
        </w:rPr>
        <w:t>”</w:t>
      </w:r>
      <w:r>
        <w:rPr>
          <w:rFonts w:hint="cs"/>
          <w:sz w:val="32"/>
          <w:szCs w:val="32"/>
          <w:rtl/>
        </w:rPr>
        <w:t>بيول فينوا</w:t>
      </w:r>
      <w:r w:rsidR="003626EB">
        <w:rPr>
          <w:rFonts w:hint="eastAsia"/>
          <w:sz w:val="32"/>
          <w:szCs w:val="32"/>
          <w:rtl/>
        </w:rPr>
        <w:t>“</w:t>
      </w:r>
      <w:r>
        <w:rPr>
          <w:rFonts w:hint="cs"/>
          <w:sz w:val="32"/>
          <w:szCs w:val="32"/>
          <w:rtl/>
        </w:rPr>
        <w:t xml:space="preserve"> </w:t>
      </w:r>
      <w:r>
        <w:rPr>
          <w:sz w:val="32"/>
          <w:szCs w:val="32"/>
        </w:rPr>
        <w:t>(</w:t>
      </w:r>
      <w:r w:rsidRPr="003F1028">
        <w:rPr>
          <w:szCs w:val="20"/>
        </w:rPr>
        <w:t>Pule</w:t>
      </w:r>
      <w:r>
        <w:rPr>
          <w:sz w:val="32"/>
          <w:szCs w:val="32"/>
        </w:rPr>
        <w:t xml:space="preserve"> </w:t>
      </w:r>
      <w:r w:rsidRPr="003F1028">
        <w:rPr>
          <w:szCs w:val="20"/>
        </w:rPr>
        <w:t>Fenua</w:t>
      </w:r>
      <w:r>
        <w:rPr>
          <w:sz w:val="32"/>
          <w:szCs w:val="32"/>
        </w:rPr>
        <w:t>)</w:t>
      </w:r>
      <w:r>
        <w:rPr>
          <w:rFonts w:hint="cs"/>
          <w:sz w:val="32"/>
          <w:szCs w:val="32"/>
          <w:rtl/>
        </w:rPr>
        <w:t>. ويرث الأليكي اللقب عن صلته الأبوية، بينما ينتخب البيول فينوا من قبل الشعب. ويجب أن يكون شخصاً يتسم بالنزاهة ويتمتع بسمعة ممتازة في المجتمع، وينبغي أن يكون قادراً على قيادة المجتمع في سعيه لتحقيق تنمية اجتماعية اقتصادية. ويتلقى الأليكي أو البيول فينوا المساعدة والدعم في اتخاذ القرارات من زعيم كل عشيرة في المجتمع المحلي. وبالتالي فإن هيكل الزعامة الهرمي يضم رجالاً ونساء مسنين، تتجاوز أعمارهم في معظم الحالات 50 عاماً، ويشكلون جميعة كبار السن، التي تعرف باسم جمعية الفالي كابيول. وفي هذه الجمعية تتخذ القرارات الهامة المتعلقة بالتنمية.</w:t>
      </w:r>
    </w:p>
    <w:p w:rsidR="00BC1586" w:rsidRDefault="00BC1586" w:rsidP="002643CB">
      <w:pPr>
        <w:pStyle w:val="SingleTxt"/>
        <w:rPr>
          <w:rFonts w:hint="cs"/>
          <w:sz w:val="32"/>
          <w:szCs w:val="32"/>
          <w:rtl/>
        </w:rPr>
      </w:pPr>
      <w:r>
        <w:rPr>
          <w:rFonts w:hint="cs"/>
          <w:sz w:val="32"/>
          <w:szCs w:val="32"/>
          <w:rtl/>
        </w:rPr>
        <w:t>8 -</w:t>
      </w:r>
      <w:r>
        <w:rPr>
          <w:rFonts w:hint="cs"/>
          <w:sz w:val="32"/>
          <w:szCs w:val="32"/>
          <w:rtl/>
        </w:rPr>
        <w:tab/>
        <w:t>الفالي كابيول، أو مجلس الاجتماعات التقليدي، منظم ومرتب على نحو يخصص فيه مقعد محدد لزعيم كل عشيرة. ونظراً لأن معظم ز</w:t>
      </w:r>
      <w:r w:rsidR="002643CB">
        <w:rPr>
          <w:rFonts w:hint="cs"/>
          <w:sz w:val="32"/>
          <w:szCs w:val="32"/>
          <w:rtl/>
        </w:rPr>
        <w:t>عماء العشائر، إن لم</w:t>
      </w:r>
      <w:r w:rsidR="002643CB">
        <w:rPr>
          <w:rFonts w:hint="eastAsia"/>
          <w:sz w:val="32"/>
          <w:szCs w:val="32"/>
          <w:rtl/>
        </w:rPr>
        <w:t> </w:t>
      </w:r>
      <w:r>
        <w:rPr>
          <w:rFonts w:hint="cs"/>
          <w:sz w:val="32"/>
          <w:szCs w:val="32"/>
          <w:rtl/>
        </w:rPr>
        <w:t>يكونوا جميعهم، من الرجال، فإن المرأة لا تشاهد في العادة في اجتماعات الفالي كابيول. وغياب المرأة هذا يمثل في الحقيقة توسيعاً للاعتقاد السائد بأن النساء والفتيات ضعيفات ويحتجن للحماية. ويستند هذا إلى الأدوار التاريخية الذي كان يؤديها كل من الرجل والمرأة في مجتمعات توفالو المحلية في السابق. ويتيح الفالي كابيول للرجال مناقشة المسائل المتعلقة بمصالح كل فرد من أفراد المجتمع المحلي. وتسهم هذه الممارسات الثقافية في الحفاظ على السلم والنظام والاستقرار، ولم ينظر إليها قط على أنها تمييزية. وقد روعي في وضع هذه الممارسات الاحترام الشديد للمرأة وأدوارها الهامة في البيت وفي المجتمع. والغرض من المفهوم الذي يستند إليه هذا التقليد  تمكين المرأة من تعلم مهارات تقليدية، مثل عمل السلال والحصر والتنانير، إلخ. بينما يجتمع الرجال لوحدهم لمناقشة المسائل المتعلقة بالمصالح العامة، مثل سد احتياجات الأسر التي لا يوجد رجل يعيلها. وتكفل هذه الممارسات سد احتياجات كل فرد في المجتمع المحلي، وتسهم في الحفاظ على السلم بين الناس ورفاههم</w:t>
      </w:r>
      <w:r w:rsidR="002643CB" w:rsidRPr="002643CB">
        <w:rPr>
          <w:sz w:val="32"/>
          <w:szCs w:val="32"/>
          <w:vertAlign w:val="superscript"/>
          <w:rtl/>
        </w:rPr>
        <w:t>(</w:t>
      </w:r>
      <w:r w:rsidR="002643CB">
        <w:rPr>
          <w:rStyle w:val="FootnoteReference"/>
          <w:rtl/>
        </w:rPr>
        <w:footnoteReference w:id="10"/>
      </w:r>
      <w:r w:rsidR="002643CB" w:rsidRPr="002643CB">
        <w:rPr>
          <w:sz w:val="32"/>
          <w:szCs w:val="32"/>
          <w:vertAlign w:val="superscript"/>
          <w:rtl/>
        </w:rPr>
        <w:t>)</w:t>
      </w:r>
      <w:r>
        <w:rPr>
          <w:rFonts w:hint="cs"/>
          <w:sz w:val="32"/>
          <w:szCs w:val="32"/>
          <w:rtl/>
        </w:rPr>
        <w:t>.</w:t>
      </w:r>
    </w:p>
    <w:p w:rsidR="00BC1586" w:rsidRDefault="00BC1586" w:rsidP="00F93B21">
      <w:pPr>
        <w:pStyle w:val="SingleTxt"/>
        <w:rPr>
          <w:rFonts w:hint="cs"/>
          <w:sz w:val="32"/>
          <w:szCs w:val="32"/>
          <w:rtl/>
        </w:rPr>
      </w:pPr>
      <w:r>
        <w:rPr>
          <w:rFonts w:hint="cs"/>
          <w:sz w:val="32"/>
          <w:szCs w:val="32"/>
          <w:rtl/>
        </w:rPr>
        <w:t>9 -</w:t>
      </w:r>
      <w:r>
        <w:rPr>
          <w:rFonts w:hint="cs"/>
          <w:sz w:val="32"/>
          <w:szCs w:val="32"/>
          <w:rtl/>
        </w:rPr>
        <w:tab/>
        <w:t xml:space="preserve">يعتمد التوفاليون في الحصول على لقمة </w:t>
      </w:r>
      <w:r w:rsidRPr="00BC1586">
        <w:rPr>
          <w:rFonts w:hint="cs"/>
          <w:rtl/>
        </w:rPr>
        <w:t>العيش</w:t>
      </w:r>
      <w:r>
        <w:rPr>
          <w:rFonts w:hint="cs"/>
          <w:sz w:val="32"/>
          <w:szCs w:val="32"/>
          <w:rtl/>
        </w:rPr>
        <w:t xml:space="preserve"> على الموارد البرية والبحرية، شأنهم في ذلك شأن مواطني معظم بلدان جزر المحيط الهادئ. والأرض مهمة جداً للتوفاليين وتستند الملكية إلى نظام ملكية مشاع لمجموعات الأسر التي تسمى </w:t>
      </w:r>
      <w:r w:rsidR="002643CB">
        <w:rPr>
          <w:rFonts w:hint="eastAsia"/>
          <w:sz w:val="32"/>
          <w:szCs w:val="32"/>
          <w:rtl/>
        </w:rPr>
        <w:t>”</w:t>
      </w:r>
      <w:r>
        <w:rPr>
          <w:rFonts w:hint="cs"/>
          <w:sz w:val="32"/>
          <w:szCs w:val="32"/>
          <w:rtl/>
        </w:rPr>
        <w:t>كايتاسي</w:t>
      </w:r>
      <w:r w:rsidR="002643CB">
        <w:rPr>
          <w:rFonts w:hint="eastAsia"/>
          <w:sz w:val="32"/>
          <w:szCs w:val="32"/>
          <w:rtl/>
        </w:rPr>
        <w:t>“</w:t>
      </w:r>
      <w:r>
        <w:rPr>
          <w:rFonts w:hint="cs"/>
          <w:sz w:val="32"/>
          <w:szCs w:val="32"/>
          <w:rtl/>
        </w:rPr>
        <w:t>. وجميع الأراضي أراضي ميري، وتخضع في معظمها للقانون العرفي، وبالتالي فإن مسألة الأراضي مسألة معقدة وحساسة. شهادات ووثائق ملكية الأراضي موثقة في سجل لجنة أراضي</w:t>
      </w:r>
      <w:r w:rsidR="00F93B21">
        <w:rPr>
          <w:rFonts w:hint="cs"/>
          <w:sz w:val="32"/>
          <w:szCs w:val="32"/>
          <w:rtl/>
        </w:rPr>
        <w:t xml:space="preserve"> السكان الأصليين</w:t>
      </w:r>
      <w:r>
        <w:rPr>
          <w:rFonts w:hint="cs"/>
          <w:sz w:val="32"/>
          <w:szCs w:val="32"/>
          <w:rtl/>
        </w:rPr>
        <w:t>. وقد أنشئ نظام محاكم الأراضي بموجب قانون أراضي</w:t>
      </w:r>
      <w:r w:rsidR="00F93B21">
        <w:rPr>
          <w:rFonts w:hint="cs"/>
          <w:sz w:val="32"/>
          <w:szCs w:val="32"/>
          <w:rtl/>
        </w:rPr>
        <w:t xml:space="preserve"> السكان الأصليين</w:t>
      </w:r>
      <w:r>
        <w:rPr>
          <w:rFonts w:hint="cs"/>
          <w:sz w:val="32"/>
          <w:szCs w:val="32"/>
          <w:rtl/>
        </w:rPr>
        <w:t>. وبموجب هذا القانون أنشئت محكمة للأراضي في كل جزيرة. والغرض من محكمة الأراضي أن تنظر في المسائل المتعلقة بالأراضي. وقضاة محاكم الأراضي أشخاص عاديون مسنون يحظون باحترام المجتمع. ويطبق هؤلاء القضاة القواعد العرفية في المنازعات المتعلقة بالأراضي. وتثبت محاكم الاستئناف أحكام محاكم الأراضي إلا إذا كان يوجد فيها خطأ، أو إذا لم تسفر عن نتيجة منصفة بموجب العرف والقانون.</w:t>
      </w:r>
    </w:p>
    <w:p w:rsidR="00BC1586" w:rsidRDefault="00BC1586" w:rsidP="00BC1586">
      <w:pPr>
        <w:pStyle w:val="SingleTxt"/>
        <w:rPr>
          <w:rFonts w:hint="cs"/>
          <w:sz w:val="32"/>
          <w:szCs w:val="32"/>
          <w:rtl/>
        </w:rPr>
      </w:pPr>
      <w:r>
        <w:rPr>
          <w:rFonts w:hint="cs"/>
          <w:sz w:val="32"/>
          <w:szCs w:val="32"/>
          <w:rtl/>
        </w:rPr>
        <w:t>10 -</w:t>
      </w:r>
      <w:r>
        <w:rPr>
          <w:rFonts w:hint="cs"/>
          <w:sz w:val="32"/>
          <w:szCs w:val="32"/>
          <w:rtl/>
        </w:rPr>
        <w:tab/>
        <w:t xml:space="preserve">وتتيح توفالو، بحكم كونها مجتمعاً أبوياً، توريث الأرض من خلال صلة الذكور فقط. ولا تؤول ملكية الأرض لبنت إلا إذا لم يكن يوجد أبناء ذكور، أو إذا كانت البنت وحيدة والديها أو الوحيدة الباقية على قيد الحياة. ونتيجة لذلك، تبين قيود سجلات ملكية الأراضي في توفالو أن الأراضي المسجلة بأسماء النساء أقل من الأراضي المسجلة بأسماء إخوانهن. وفي حين أن البنات يتمتعن بحماية أسرهن، وتعاملهن أسرهن باحترام، فإنه يتوقع من البنت أن تنتقل إلى أسرة زوجها بعد أن تتزوج، ويحسب </w:t>
      </w:r>
      <w:r w:rsidRPr="00BC1586">
        <w:rPr>
          <w:rFonts w:hint="cs"/>
          <w:rtl/>
        </w:rPr>
        <w:t>أبناؤها</w:t>
      </w:r>
      <w:r>
        <w:rPr>
          <w:rFonts w:hint="cs"/>
          <w:sz w:val="32"/>
          <w:szCs w:val="32"/>
          <w:rtl/>
        </w:rPr>
        <w:t xml:space="preserve"> على عشيرة والدهم، ويحصلون على أرضه أيضاً. ويستخدم الأرض المشاع جميع أفراد الأسرة، بمن فيهم المتزوجون، وهي متاحة لمواطني توفالو وللأجانب من خلال ترتيبات الاستئجار. ومع أنه يقال إن للرجل والمرأة حقوقاً متساوية في الأراضي المشاع، فإن الاسم المسجل في شهادة الملكية أو المالك المسجل رجل دائماً تقريباً، وهو في العادة الأب أو الأخ الأكبر.</w:t>
      </w:r>
    </w:p>
    <w:p w:rsidR="00BC1586" w:rsidRDefault="00F3241C" w:rsidP="00F3241C">
      <w:pPr>
        <w:pStyle w:val="SingleTxt"/>
        <w:ind w:left="1930" w:hanging="663"/>
        <w:rPr>
          <w:rFonts w:hint="cs"/>
          <w:sz w:val="32"/>
          <w:szCs w:val="32"/>
          <w:rtl/>
        </w:rPr>
      </w:pPr>
      <w:r>
        <w:rPr>
          <w:rFonts w:hint="cs"/>
          <w:sz w:val="32"/>
          <w:szCs w:val="32"/>
          <w:rtl/>
        </w:rPr>
        <w:tab/>
      </w:r>
      <w:r>
        <w:rPr>
          <w:rFonts w:hint="cs"/>
          <w:sz w:val="32"/>
          <w:szCs w:val="32"/>
          <w:rtl/>
        </w:rPr>
        <w:tab/>
      </w:r>
      <w:r w:rsidR="003626EB">
        <w:rPr>
          <w:rFonts w:hint="eastAsia"/>
          <w:sz w:val="32"/>
          <w:szCs w:val="32"/>
          <w:rtl/>
        </w:rPr>
        <w:t>”</w:t>
      </w:r>
      <w:r w:rsidR="00BC1586">
        <w:rPr>
          <w:rFonts w:hint="cs"/>
          <w:sz w:val="32"/>
          <w:szCs w:val="32"/>
          <w:rtl/>
        </w:rPr>
        <w:t xml:space="preserve">نظرياً، يجب أن يحصل حامل شهادة </w:t>
      </w:r>
      <w:r w:rsidR="00BC1586" w:rsidRPr="00BC1586">
        <w:rPr>
          <w:rFonts w:hint="cs"/>
          <w:rtl/>
        </w:rPr>
        <w:t>الملكية</w:t>
      </w:r>
      <w:r w:rsidR="00BC1586">
        <w:rPr>
          <w:rFonts w:hint="cs"/>
          <w:sz w:val="32"/>
          <w:szCs w:val="32"/>
          <w:rtl/>
        </w:rPr>
        <w:t xml:space="preserve"> على موافقة جميع من لهم حقوق استخدام الأرض قبل أن يتسنى له اتخاذ قرار يتعلق بالأرض. إلا أن بوسعه في الممارسة العملية نقل ملكية الأرض أو رهنها دون موافقة الشركاء الآخرين في المشاع</w:t>
      </w:r>
      <w:r w:rsidR="002643CB" w:rsidRPr="002643CB">
        <w:rPr>
          <w:sz w:val="32"/>
          <w:szCs w:val="32"/>
          <w:vertAlign w:val="superscript"/>
          <w:rtl/>
        </w:rPr>
        <w:t>(</w:t>
      </w:r>
      <w:r w:rsidR="002643CB">
        <w:rPr>
          <w:rStyle w:val="FootnoteReference"/>
          <w:rtl/>
        </w:rPr>
        <w:footnoteReference w:id="11"/>
      </w:r>
      <w:r w:rsidR="002643CB" w:rsidRPr="002643CB">
        <w:rPr>
          <w:sz w:val="32"/>
          <w:szCs w:val="32"/>
          <w:vertAlign w:val="superscript"/>
          <w:rtl/>
        </w:rPr>
        <w:t>)</w:t>
      </w:r>
      <w:r w:rsidR="002643CB">
        <w:rPr>
          <w:rFonts w:hint="cs"/>
          <w:sz w:val="32"/>
          <w:szCs w:val="32"/>
          <w:rtl/>
        </w:rPr>
        <w:t>“</w:t>
      </w:r>
      <w:r w:rsidR="00BC1586">
        <w:rPr>
          <w:rFonts w:hint="cs"/>
          <w:sz w:val="32"/>
          <w:szCs w:val="32"/>
          <w:rtl/>
        </w:rPr>
        <w:t>.</w:t>
      </w:r>
    </w:p>
    <w:p w:rsidR="00BC1586" w:rsidRDefault="002A04B7" w:rsidP="002A04B7">
      <w:pPr>
        <w:pStyle w:val="SingleTxt"/>
        <w:rPr>
          <w:rFonts w:hint="cs"/>
          <w:sz w:val="32"/>
          <w:szCs w:val="32"/>
          <w:rtl/>
        </w:rPr>
      </w:pPr>
      <w:r>
        <w:rPr>
          <w:rFonts w:hint="cs"/>
          <w:sz w:val="32"/>
          <w:szCs w:val="32"/>
          <w:rtl/>
        </w:rPr>
        <w:tab/>
      </w:r>
      <w:r w:rsidR="00BC1586">
        <w:rPr>
          <w:rFonts w:hint="cs"/>
          <w:sz w:val="32"/>
          <w:szCs w:val="32"/>
          <w:rtl/>
        </w:rPr>
        <w:t xml:space="preserve">ولذلك، فإن ممارسات المجتمع الأبوي الثقافية تعطي الرجل سيطرة على الأراضي أكبر من السيطرة التي تعطيها للمرأة. وقد طور مواطنو توفالو نظاماً ثقافياً يمكنهم من العيش بما لديهم من موارد محدودة. ويتوقعون من الفرد أن يخضع طموحه الشخصي لاحتياجات الأسرة </w:t>
      </w:r>
      <w:r w:rsidR="00BC1586" w:rsidRPr="00BC1586">
        <w:rPr>
          <w:rFonts w:hint="cs"/>
          <w:rtl/>
        </w:rPr>
        <w:t>والمجتمع</w:t>
      </w:r>
      <w:r w:rsidR="00BC1586">
        <w:rPr>
          <w:rFonts w:hint="cs"/>
          <w:sz w:val="32"/>
          <w:szCs w:val="32"/>
          <w:rtl/>
        </w:rPr>
        <w:t>، ولذلك، فإن ثقافتهم تتسم أيضاً بالتقاسم والتعاون (</w:t>
      </w:r>
      <w:r w:rsidR="008B1FB2">
        <w:rPr>
          <w:rFonts w:hint="cs"/>
          <w:sz w:val="32"/>
          <w:szCs w:val="32"/>
          <w:rtl/>
        </w:rPr>
        <w:t>انظر</w:t>
      </w:r>
      <w:r w:rsidR="00BC1586">
        <w:rPr>
          <w:rFonts w:hint="cs"/>
          <w:sz w:val="32"/>
          <w:szCs w:val="32"/>
          <w:rtl/>
        </w:rPr>
        <w:t xml:space="preserve"> تايسدل، عام 2000).</w:t>
      </w:r>
    </w:p>
    <w:p w:rsidR="002643CB" w:rsidRPr="002643CB" w:rsidRDefault="002643CB" w:rsidP="002643CB">
      <w:pPr>
        <w:spacing w:line="120" w:lineRule="exact"/>
        <w:rPr>
          <w:rFonts w:hint="cs"/>
          <w:b/>
          <w:bCs/>
          <w:sz w:val="10"/>
          <w:szCs w:val="32"/>
          <w:rtl/>
        </w:rPr>
      </w:pPr>
    </w:p>
    <w:p w:rsidR="00BC1586" w:rsidRPr="005B530E" w:rsidRDefault="002643CB" w:rsidP="002643C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BC1586" w:rsidRPr="005B530E">
        <w:rPr>
          <w:rFonts w:hint="cs"/>
          <w:rtl/>
        </w:rPr>
        <w:t>الدين</w:t>
      </w:r>
    </w:p>
    <w:p w:rsidR="00BC1586" w:rsidRDefault="00BC1586" w:rsidP="003626EB">
      <w:pPr>
        <w:pStyle w:val="SingleTxt"/>
        <w:rPr>
          <w:rFonts w:hint="cs"/>
          <w:sz w:val="32"/>
          <w:szCs w:val="32"/>
          <w:rtl/>
        </w:rPr>
      </w:pPr>
      <w:r>
        <w:rPr>
          <w:rFonts w:hint="cs"/>
          <w:sz w:val="32"/>
          <w:szCs w:val="32"/>
          <w:rtl/>
        </w:rPr>
        <w:t>11</w:t>
      </w:r>
      <w:r w:rsidR="002643CB">
        <w:rPr>
          <w:rFonts w:hint="cs"/>
          <w:sz w:val="32"/>
          <w:szCs w:val="32"/>
          <w:rtl/>
        </w:rPr>
        <w:t xml:space="preserve"> </w:t>
      </w:r>
      <w:r>
        <w:rPr>
          <w:rFonts w:hint="cs"/>
          <w:sz w:val="32"/>
          <w:szCs w:val="32"/>
          <w:rtl/>
        </w:rPr>
        <w:t>-</w:t>
      </w:r>
      <w:r>
        <w:rPr>
          <w:rFonts w:hint="cs"/>
          <w:sz w:val="32"/>
          <w:szCs w:val="32"/>
          <w:rtl/>
        </w:rPr>
        <w:tab/>
        <w:t xml:space="preserve">للدين دور هام في حياة التوفاليين وفي التغييرات الثقافية التي حدثت منذ وصول المسيحية. وقد وصلت المسيحية إلى توفالو في عام 1861، عندما جرف التيار عرضياً إلى جزيرة نوكولالا شخصاً تحول إلى المسيحية، يتبع جمعية لندن التبشيرية المقيمة في جزيرة كوك، كان في قارب صغير </w:t>
      </w:r>
      <w:r w:rsidR="003626EB">
        <w:rPr>
          <w:rFonts w:hint="eastAsia"/>
          <w:sz w:val="32"/>
          <w:szCs w:val="32"/>
          <w:rtl/>
        </w:rPr>
        <w:t>”</w:t>
      </w:r>
      <w:r>
        <w:rPr>
          <w:rFonts w:hint="cs"/>
          <w:sz w:val="32"/>
          <w:szCs w:val="32"/>
          <w:rtl/>
        </w:rPr>
        <w:t>كانو</w:t>
      </w:r>
      <w:r w:rsidR="003626EB">
        <w:rPr>
          <w:rFonts w:hint="eastAsia"/>
          <w:sz w:val="32"/>
          <w:szCs w:val="32"/>
          <w:rtl/>
        </w:rPr>
        <w:t>“</w:t>
      </w:r>
      <w:r>
        <w:rPr>
          <w:rFonts w:hint="cs"/>
          <w:sz w:val="32"/>
          <w:szCs w:val="32"/>
          <w:rtl/>
        </w:rPr>
        <w:t xml:space="preserve">. وبعد ذلك، قام القسيس أ. و. مورى من جمعية لندن التبشيرية الموجودة في ساموا في عام </w:t>
      </w:r>
      <w:r w:rsidRPr="00BC1586">
        <w:rPr>
          <w:rFonts w:hint="cs"/>
          <w:rtl/>
        </w:rPr>
        <w:t>1865</w:t>
      </w:r>
      <w:r>
        <w:rPr>
          <w:rFonts w:hint="cs"/>
          <w:sz w:val="32"/>
          <w:szCs w:val="32"/>
          <w:rtl/>
        </w:rPr>
        <w:t xml:space="preserve"> بزيارة توفالو ونصَّب على هذه الجزر قساوسة من ساموا. وسرعان ما مارس هؤلاء القساوسة عملية إقناع كبيرة؛ وتقبل الناس في الجزيرة العقيدة الجديدة وتخلوا عن جوانب حياتهم التي لا تتفق مع هذه العقيدة</w:t>
      </w:r>
      <w:r w:rsidR="002643CB" w:rsidRPr="002643CB">
        <w:rPr>
          <w:sz w:val="32"/>
          <w:szCs w:val="32"/>
          <w:vertAlign w:val="superscript"/>
          <w:rtl/>
        </w:rPr>
        <w:t>(</w:t>
      </w:r>
      <w:r w:rsidR="002643CB">
        <w:rPr>
          <w:rStyle w:val="FootnoteReference"/>
          <w:rtl/>
        </w:rPr>
        <w:footnoteReference w:id="12"/>
      </w:r>
      <w:r w:rsidR="002643CB" w:rsidRPr="002643CB">
        <w:rPr>
          <w:sz w:val="32"/>
          <w:szCs w:val="32"/>
          <w:vertAlign w:val="superscript"/>
          <w:rtl/>
        </w:rPr>
        <w:t>)</w:t>
      </w:r>
      <w:r>
        <w:rPr>
          <w:rFonts w:hint="cs"/>
          <w:sz w:val="32"/>
          <w:szCs w:val="32"/>
          <w:rtl/>
        </w:rPr>
        <w:t>.</w:t>
      </w:r>
      <w:r w:rsidR="002643CB">
        <w:rPr>
          <w:rFonts w:hint="cs"/>
          <w:sz w:val="32"/>
          <w:szCs w:val="32"/>
          <w:rtl/>
        </w:rPr>
        <w:t xml:space="preserve"> </w:t>
      </w:r>
      <w:r>
        <w:rPr>
          <w:rFonts w:hint="cs"/>
          <w:sz w:val="32"/>
          <w:szCs w:val="32"/>
          <w:rtl/>
        </w:rPr>
        <w:t>واليوم، انتشرت هذه العقيدة في جميع الجزر الأخرى، وتمارس ويجري التقيد بها في جميع هذه الجزر. ووضعت القواعد الدينية ومبادئ الأخلاق الدينية، التي فرضتها المسيحية، قواعد تنظم سلوك الرجل والمرأة، ونقحت مفاهيم هيكل الأسرة والزواج، وحددت العلاقة بين الجنسين</w:t>
      </w:r>
      <w:r w:rsidR="002643CB" w:rsidRPr="002643CB">
        <w:rPr>
          <w:sz w:val="32"/>
          <w:szCs w:val="32"/>
          <w:vertAlign w:val="superscript"/>
          <w:rtl/>
        </w:rPr>
        <w:t>(</w:t>
      </w:r>
      <w:r w:rsidR="002643CB">
        <w:rPr>
          <w:rStyle w:val="FootnoteReference"/>
          <w:rtl/>
        </w:rPr>
        <w:footnoteReference w:id="13"/>
      </w:r>
      <w:r w:rsidR="002643CB" w:rsidRPr="002643CB">
        <w:rPr>
          <w:sz w:val="32"/>
          <w:szCs w:val="32"/>
          <w:vertAlign w:val="superscript"/>
          <w:rtl/>
        </w:rPr>
        <w:t>)</w:t>
      </w:r>
      <w:r>
        <w:rPr>
          <w:rFonts w:hint="cs"/>
          <w:sz w:val="32"/>
          <w:szCs w:val="32"/>
          <w:rtl/>
        </w:rPr>
        <w:t>.</w:t>
      </w:r>
      <w:r w:rsidR="002643CB">
        <w:rPr>
          <w:rFonts w:hint="cs"/>
          <w:sz w:val="32"/>
          <w:szCs w:val="32"/>
          <w:rtl/>
        </w:rPr>
        <w:t xml:space="preserve"> </w:t>
      </w:r>
      <w:r>
        <w:rPr>
          <w:rFonts w:hint="cs"/>
          <w:sz w:val="32"/>
          <w:szCs w:val="32"/>
          <w:rtl/>
        </w:rPr>
        <w:t xml:space="preserve">وينتمي حالياً حوالي 90 في المائة من السكان لهذه العقيدة التي تعرف حالياً باسم </w:t>
      </w:r>
      <w:r w:rsidR="002643CB">
        <w:rPr>
          <w:rFonts w:hint="eastAsia"/>
          <w:sz w:val="32"/>
          <w:szCs w:val="32"/>
          <w:rtl/>
        </w:rPr>
        <w:t>”</w:t>
      </w:r>
      <w:r>
        <w:rPr>
          <w:rFonts w:hint="cs"/>
          <w:sz w:val="32"/>
          <w:szCs w:val="32"/>
          <w:rtl/>
        </w:rPr>
        <w:t>إكاليسيا كيليسيانو</w:t>
      </w:r>
      <w:r w:rsidR="002643CB">
        <w:rPr>
          <w:rFonts w:hint="eastAsia"/>
          <w:sz w:val="32"/>
          <w:szCs w:val="32"/>
          <w:rtl/>
        </w:rPr>
        <w:t>“</w:t>
      </w:r>
      <w:r>
        <w:rPr>
          <w:rFonts w:hint="cs"/>
          <w:sz w:val="32"/>
          <w:szCs w:val="32"/>
          <w:rtl/>
        </w:rPr>
        <w:t xml:space="preserve"> الخاصة بتوفالو </w:t>
      </w:r>
      <w:r w:rsidRPr="00AB5E1F">
        <w:rPr>
          <w:szCs w:val="20"/>
        </w:rPr>
        <w:t xml:space="preserve">(Ekalesia Kelisiano </w:t>
      </w:r>
      <w:r>
        <w:rPr>
          <w:szCs w:val="20"/>
        </w:rPr>
        <w:t>o</w:t>
      </w:r>
      <w:r w:rsidRPr="00AB5E1F">
        <w:rPr>
          <w:szCs w:val="20"/>
        </w:rPr>
        <w:t xml:space="preserve"> Tuvalu)</w:t>
      </w:r>
      <w:r>
        <w:rPr>
          <w:rFonts w:hint="cs"/>
          <w:sz w:val="32"/>
          <w:szCs w:val="32"/>
          <w:rtl/>
        </w:rPr>
        <w:t xml:space="preserve"> وهي متفرعة من الأسس العقائدية لجمعية لندن التبشيرية. ولعقيدة الإكاليسيا كيليسيانو تأثير قوي أيضاً على حياة الناس ورفاههم. وتتبع الـ 10 في المائة المتبقية من السكان طوائف مسيحية أخرى، مثل الروم الكاثوليك وكنيسية جمعيات الرب وكنيسة الأخوة والكنيسة المجيئية السبتية وشهود يهوا، وعقائد أخرى مثل الإسلام والبهائية</w:t>
      </w:r>
      <w:r w:rsidR="002643CB" w:rsidRPr="002643CB">
        <w:rPr>
          <w:sz w:val="32"/>
          <w:szCs w:val="32"/>
          <w:vertAlign w:val="superscript"/>
          <w:rtl/>
        </w:rPr>
        <w:t>(</w:t>
      </w:r>
      <w:r w:rsidR="002643CB">
        <w:rPr>
          <w:rStyle w:val="FootnoteReference"/>
          <w:rtl/>
        </w:rPr>
        <w:footnoteReference w:id="14"/>
      </w:r>
      <w:r w:rsidR="002643CB" w:rsidRPr="002643CB">
        <w:rPr>
          <w:sz w:val="32"/>
          <w:szCs w:val="32"/>
          <w:vertAlign w:val="superscript"/>
          <w:rtl/>
        </w:rPr>
        <w:t>)</w:t>
      </w:r>
      <w:r>
        <w:rPr>
          <w:rFonts w:hint="cs"/>
          <w:sz w:val="32"/>
          <w:szCs w:val="32"/>
          <w:rtl/>
        </w:rPr>
        <w:t>.</w:t>
      </w:r>
    </w:p>
    <w:p w:rsidR="002643CB" w:rsidRPr="002643CB" w:rsidRDefault="002643CB" w:rsidP="002643C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BC1586" w:rsidRPr="00B44894" w:rsidRDefault="002643CB" w:rsidP="002643C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BC1586" w:rsidRPr="00B44894">
        <w:rPr>
          <w:rFonts w:hint="cs"/>
          <w:rtl/>
        </w:rPr>
        <w:t>التركيب السكاني</w:t>
      </w:r>
    </w:p>
    <w:p w:rsidR="00BC1586" w:rsidRDefault="00BC1586" w:rsidP="00BC1586">
      <w:pPr>
        <w:pStyle w:val="SingleTxt"/>
        <w:rPr>
          <w:rFonts w:hint="cs"/>
          <w:sz w:val="32"/>
          <w:szCs w:val="32"/>
          <w:rtl/>
        </w:rPr>
      </w:pPr>
      <w:r>
        <w:rPr>
          <w:rFonts w:hint="cs"/>
          <w:sz w:val="32"/>
          <w:szCs w:val="32"/>
          <w:rtl/>
        </w:rPr>
        <w:t>12 -</w:t>
      </w:r>
      <w:r>
        <w:rPr>
          <w:rFonts w:hint="cs"/>
          <w:sz w:val="32"/>
          <w:szCs w:val="32"/>
          <w:rtl/>
        </w:rPr>
        <w:tab/>
        <w:t>وفقاً لتعداد السكان والمساكن عام 2002، بلغ العدد الفعلي للسكان 561 9 نسمة (منهم 359 9 نسمة مقيمون بصورة دائم</w:t>
      </w:r>
      <w:r w:rsidR="002643CB">
        <w:rPr>
          <w:rFonts w:hint="cs"/>
          <w:sz w:val="32"/>
          <w:szCs w:val="32"/>
          <w:rtl/>
        </w:rPr>
        <w:t>ة). وقد ازداد عدد السكان من 350</w:t>
      </w:r>
      <w:r w:rsidR="002643CB">
        <w:rPr>
          <w:rFonts w:hint="eastAsia"/>
          <w:sz w:val="32"/>
          <w:szCs w:val="32"/>
          <w:rtl/>
        </w:rPr>
        <w:t> </w:t>
      </w:r>
      <w:r>
        <w:rPr>
          <w:rFonts w:hint="cs"/>
          <w:sz w:val="32"/>
          <w:szCs w:val="32"/>
          <w:rtl/>
        </w:rPr>
        <w:t>7 نسمة في عام 1979 إلى 043 9 نسمة في عام 1991، أي بمعدل زيادة بلغ في المتوسط 1.7 في المائة، ولكن يبدو أن معدل زيادة السكان تباطأ إلى حوالي 0.5 في المائة فقط بين عام 1991 وعام 2002. ونتج التباطؤ في معدل الزيادة عن زيادة الهجرة (لا سيما إلى نيوزيلندا)، وعن زيادة أعداد الذين يعملون أو يدرسون في الخارج.</w:t>
      </w:r>
    </w:p>
    <w:p w:rsidR="002643CB" w:rsidRPr="002643CB" w:rsidRDefault="002643CB" w:rsidP="002643CB">
      <w:pPr>
        <w:pStyle w:val="SingleTxt"/>
        <w:spacing w:after="0" w:line="120" w:lineRule="exact"/>
        <w:rPr>
          <w:rFonts w:hint="cs"/>
          <w:sz w:val="10"/>
          <w:rtl/>
        </w:rPr>
      </w:pPr>
    </w:p>
    <w:p w:rsidR="002643CB" w:rsidRPr="002643CB" w:rsidRDefault="002643CB" w:rsidP="002643CB">
      <w:pPr>
        <w:pStyle w:val="SingleTxt"/>
        <w:rPr>
          <w:rFonts w:hint="cs"/>
          <w:b/>
          <w:bCs/>
          <w:rtl/>
        </w:rPr>
      </w:pPr>
      <w:r>
        <w:rPr>
          <w:b/>
          <w:bCs/>
          <w:rtl/>
        </w:rPr>
        <w:br w:type="page"/>
      </w:r>
      <w:r w:rsidRPr="002643CB">
        <w:rPr>
          <w:rFonts w:hint="cs"/>
          <w:b/>
          <w:bCs/>
          <w:rtl/>
        </w:rPr>
        <w:t>الجدول 1: مجموع عدد السكان والمساحة والتغير في عدد السكان والتوزيع السكاني وا</w:t>
      </w:r>
      <w:r>
        <w:rPr>
          <w:rFonts w:hint="cs"/>
          <w:b/>
          <w:bCs/>
          <w:rtl/>
        </w:rPr>
        <w:t>لكثافة السكانية لكل جزيرة، 1991-</w:t>
      </w:r>
      <w:r w:rsidRPr="002643CB">
        <w:rPr>
          <w:rFonts w:hint="cs"/>
          <w:b/>
          <w:bCs/>
          <w:rtl/>
        </w:rPr>
        <w:t>200</w:t>
      </w:r>
      <w:r>
        <w:rPr>
          <w:rFonts w:hint="cs"/>
          <w:b/>
          <w:bCs/>
          <w:rtl/>
        </w:rPr>
        <w:t>2</w:t>
      </w:r>
    </w:p>
    <w:tbl>
      <w:tblPr>
        <w:tblStyle w:val="TableGrid"/>
        <w:bidiVisual/>
        <w:tblW w:w="9850" w:type="dxa"/>
        <w:jc w:val="center"/>
        <w:tblLayout w:type="fixed"/>
        <w:tblLook w:val="01E0" w:firstRow="1" w:lastRow="1" w:firstColumn="1" w:lastColumn="1" w:noHBand="0" w:noVBand="0"/>
      </w:tblPr>
      <w:tblGrid>
        <w:gridCol w:w="1398"/>
        <w:gridCol w:w="1172"/>
        <w:gridCol w:w="866"/>
        <w:gridCol w:w="866"/>
        <w:gridCol w:w="943"/>
        <w:gridCol w:w="943"/>
        <w:gridCol w:w="943"/>
        <w:gridCol w:w="1433"/>
        <w:gridCol w:w="1286"/>
      </w:tblGrid>
      <w:tr w:rsidR="002643CB" w:rsidRPr="00911ECF">
        <w:trPr>
          <w:jc w:val="center"/>
        </w:trPr>
        <w:tc>
          <w:tcPr>
            <w:tcW w:w="1398" w:type="dxa"/>
            <w:vMerge w:val="restart"/>
          </w:tcPr>
          <w:p w:rsidR="002643CB" w:rsidRDefault="002643CB" w:rsidP="00E20A1A">
            <w:pPr>
              <w:jc w:val="center"/>
              <w:rPr>
                <w:rFonts w:cs="Traditional Arabic" w:hint="cs"/>
                <w:szCs w:val="20"/>
                <w:rtl/>
              </w:rPr>
            </w:pPr>
          </w:p>
          <w:p w:rsidR="002643CB" w:rsidRPr="00911ECF" w:rsidRDefault="002643CB" w:rsidP="00E20A1A">
            <w:pPr>
              <w:jc w:val="center"/>
              <w:rPr>
                <w:rFonts w:cs="Traditional Arabic" w:hint="cs"/>
                <w:szCs w:val="20"/>
                <w:rtl/>
              </w:rPr>
            </w:pPr>
            <w:r>
              <w:rPr>
                <w:rFonts w:cs="Traditional Arabic" w:hint="cs"/>
                <w:szCs w:val="20"/>
                <w:rtl/>
              </w:rPr>
              <w:t>الجزيرة</w:t>
            </w:r>
          </w:p>
        </w:tc>
        <w:tc>
          <w:tcPr>
            <w:tcW w:w="1172" w:type="dxa"/>
            <w:vMerge w:val="restart"/>
          </w:tcPr>
          <w:p w:rsidR="002643CB" w:rsidRDefault="002643CB" w:rsidP="00E20A1A">
            <w:pPr>
              <w:jc w:val="center"/>
              <w:rPr>
                <w:rFonts w:cs="Traditional Arabic" w:hint="cs"/>
                <w:szCs w:val="20"/>
                <w:rtl/>
              </w:rPr>
            </w:pPr>
          </w:p>
          <w:p w:rsidR="002643CB" w:rsidRPr="00911ECF" w:rsidRDefault="002643CB" w:rsidP="00E20A1A">
            <w:pPr>
              <w:jc w:val="center"/>
              <w:rPr>
                <w:rFonts w:cs="Traditional Arabic" w:hint="cs"/>
                <w:szCs w:val="20"/>
                <w:rtl/>
              </w:rPr>
            </w:pPr>
            <w:r>
              <w:rPr>
                <w:rFonts w:cs="Traditional Arabic" w:hint="cs"/>
                <w:szCs w:val="20"/>
                <w:rtl/>
              </w:rPr>
              <w:t>المساحة (كم2)</w:t>
            </w:r>
          </w:p>
        </w:tc>
        <w:tc>
          <w:tcPr>
            <w:tcW w:w="1732" w:type="dxa"/>
            <w:gridSpan w:val="2"/>
          </w:tcPr>
          <w:p w:rsidR="002643CB" w:rsidRDefault="002643CB" w:rsidP="00E20A1A">
            <w:pPr>
              <w:jc w:val="center"/>
              <w:rPr>
                <w:rFonts w:cs="Traditional Arabic" w:hint="cs"/>
                <w:szCs w:val="20"/>
                <w:rtl/>
              </w:rPr>
            </w:pPr>
          </w:p>
          <w:p w:rsidR="002643CB" w:rsidRPr="00911ECF" w:rsidRDefault="002643CB" w:rsidP="00E20A1A">
            <w:pPr>
              <w:jc w:val="center"/>
              <w:rPr>
                <w:rFonts w:cs="Traditional Arabic" w:hint="cs"/>
                <w:szCs w:val="20"/>
                <w:rtl/>
              </w:rPr>
            </w:pPr>
            <w:r>
              <w:rPr>
                <w:rFonts w:cs="Traditional Arabic" w:hint="cs"/>
                <w:szCs w:val="20"/>
                <w:rtl/>
              </w:rPr>
              <w:t>مجموع السكان</w:t>
            </w:r>
          </w:p>
        </w:tc>
        <w:tc>
          <w:tcPr>
            <w:tcW w:w="2829" w:type="dxa"/>
            <w:gridSpan w:val="3"/>
          </w:tcPr>
          <w:p w:rsidR="002643CB" w:rsidRDefault="002643CB" w:rsidP="00E20A1A">
            <w:pPr>
              <w:jc w:val="center"/>
              <w:rPr>
                <w:rFonts w:cs="Traditional Arabic" w:hint="cs"/>
                <w:szCs w:val="20"/>
                <w:rtl/>
              </w:rPr>
            </w:pPr>
          </w:p>
          <w:p w:rsidR="002643CB" w:rsidRPr="00911ECF" w:rsidRDefault="002643CB" w:rsidP="00E20A1A">
            <w:pPr>
              <w:jc w:val="center"/>
              <w:rPr>
                <w:rFonts w:cs="Traditional Arabic" w:hint="cs"/>
                <w:szCs w:val="20"/>
                <w:rtl/>
              </w:rPr>
            </w:pPr>
            <w:r>
              <w:rPr>
                <w:rFonts w:cs="Traditional Arabic" w:hint="cs"/>
                <w:szCs w:val="20"/>
                <w:rtl/>
              </w:rPr>
              <w:t xml:space="preserve">التغير في عدد السكان (1991 </w:t>
            </w:r>
            <w:r w:rsidR="00084D51">
              <w:rPr>
                <w:rFonts w:cs="Traditional Arabic"/>
                <w:szCs w:val="20"/>
                <w:rtl/>
              </w:rPr>
              <w:t>-</w:t>
            </w:r>
            <w:r>
              <w:rPr>
                <w:rFonts w:cs="Traditional Arabic" w:hint="cs"/>
                <w:szCs w:val="20"/>
                <w:rtl/>
              </w:rPr>
              <w:t xml:space="preserve"> 2002)</w:t>
            </w:r>
          </w:p>
        </w:tc>
        <w:tc>
          <w:tcPr>
            <w:tcW w:w="1433" w:type="dxa"/>
          </w:tcPr>
          <w:p w:rsidR="002643CB" w:rsidRDefault="002643CB" w:rsidP="00E20A1A">
            <w:pPr>
              <w:jc w:val="center"/>
              <w:rPr>
                <w:rFonts w:cs="Traditional Arabic" w:hint="cs"/>
                <w:szCs w:val="20"/>
                <w:rtl/>
              </w:rPr>
            </w:pPr>
          </w:p>
          <w:p w:rsidR="002643CB" w:rsidRPr="00911ECF" w:rsidRDefault="002643CB" w:rsidP="00E20A1A">
            <w:pPr>
              <w:jc w:val="center"/>
              <w:rPr>
                <w:rFonts w:cs="Traditional Arabic" w:hint="cs"/>
                <w:szCs w:val="20"/>
                <w:rtl/>
              </w:rPr>
            </w:pPr>
            <w:r>
              <w:rPr>
                <w:rFonts w:cs="Traditional Arabic" w:hint="cs"/>
                <w:szCs w:val="20"/>
                <w:rtl/>
              </w:rPr>
              <w:t>التوزيع السكاني (%)</w:t>
            </w:r>
          </w:p>
        </w:tc>
        <w:tc>
          <w:tcPr>
            <w:tcW w:w="1286" w:type="dxa"/>
          </w:tcPr>
          <w:p w:rsidR="002643CB" w:rsidRPr="00911ECF" w:rsidRDefault="002643CB" w:rsidP="00E20A1A">
            <w:pPr>
              <w:jc w:val="center"/>
              <w:rPr>
                <w:rFonts w:cs="Traditional Arabic" w:hint="cs"/>
                <w:szCs w:val="20"/>
                <w:rtl/>
              </w:rPr>
            </w:pPr>
            <w:r>
              <w:rPr>
                <w:rFonts w:cs="Traditional Arabic" w:hint="cs"/>
                <w:szCs w:val="20"/>
                <w:rtl/>
              </w:rPr>
              <w:t>الكثافة السكانية (شخص/ كم2)</w:t>
            </w:r>
          </w:p>
        </w:tc>
      </w:tr>
      <w:tr w:rsidR="002643CB" w:rsidRPr="00911ECF">
        <w:trPr>
          <w:jc w:val="center"/>
        </w:trPr>
        <w:tc>
          <w:tcPr>
            <w:tcW w:w="1398" w:type="dxa"/>
            <w:vMerge/>
          </w:tcPr>
          <w:p w:rsidR="002643CB" w:rsidRPr="00911ECF" w:rsidRDefault="002643CB" w:rsidP="00E20A1A">
            <w:pPr>
              <w:rPr>
                <w:rFonts w:cs="Traditional Arabic" w:hint="cs"/>
                <w:szCs w:val="20"/>
                <w:rtl/>
              </w:rPr>
            </w:pPr>
          </w:p>
        </w:tc>
        <w:tc>
          <w:tcPr>
            <w:tcW w:w="1172" w:type="dxa"/>
            <w:vMerge/>
          </w:tcPr>
          <w:p w:rsidR="002643CB" w:rsidRPr="00911ECF" w:rsidRDefault="002643CB" w:rsidP="00E20A1A">
            <w:pPr>
              <w:rPr>
                <w:rFonts w:cs="Traditional Arabic" w:hint="cs"/>
                <w:szCs w:val="20"/>
                <w:rtl/>
              </w:rPr>
            </w:pPr>
          </w:p>
        </w:tc>
        <w:tc>
          <w:tcPr>
            <w:tcW w:w="866" w:type="dxa"/>
          </w:tcPr>
          <w:p w:rsidR="002643CB" w:rsidRPr="00911ECF" w:rsidRDefault="002643CB" w:rsidP="00E20A1A">
            <w:pPr>
              <w:jc w:val="center"/>
              <w:rPr>
                <w:rFonts w:cs="Traditional Arabic" w:hint="cs"/>
                <w:szCs w:val="20"/>
                <w:rtl/>
              </w:rPr>
            </w:pPr>
            <w:r>
              <w:rPr>
                <w:rFonts w:cs="Traditional Arabic" w:hint="cs"/>
                <w:szCs w:val="20"/>
                <w:rtl/>
              </w:rPr>
              <w:t>1991</w:t>
            </w:r>
          </w:p>
        </w:tc>
        <w:tc>
          <w:tcPr>
            <w:tcW w:w="866" w:type="dxa"/>
          </w:tcPr>
          <w:p w:rsidR="002643CB" w:rsidRPr="00911ECF" w:rsidRDefault="002643CB" w:rsidP="00E20A1A">
            <w:pPr>
              <w:jc w:val="center"/>
              <w:rPr>
                <w:rFonts w:cs="Traditional Arabic" w:hint="cs"/>
                <w:szCs w:val="20"/>
                <w:rtl/>
              </w:rPr>
            </w:pPr>
            <w:r>
              <w:rPr>
                <w:rFonts w:cs="Traditional Arabic" w:hint="cs"/>
                <w:szCs w:val="20"/>
                <w:rtl/>
              </w:rPr>
              <w:t>2002</w:t>
            </w:r>
          </w:p>
        </w:tc>
        <w:tc>
          <w:tcPr>
            <w:tcW w:w="943" w:type="dxa"/>
          </w:tcPr>
          <w:p w:rsidR="002643CB" w:rsidRPr="00911ECF" w:rsidRDefault="002643CB" w:rsidP="00E20A1A">
            <w:pPr>
              <w:jc w:val="center"/>
              <w:rPr>
                <w:rFonts w:cs="Traditional Arabic" w:hint="cs"/>
                <w:szCs w:val="20"/>
                <w:rtl/>
              </w:rPr>
            </w:pPr>
            <w:r>
              <w:rPr>
                <w:rFonts w:cs="Traditional Arabic" w:hint="cs"/>
                <w:szCs w:val="20"/>
                <w:rtl/>
              </w:rPr>
              <w:t>المجموع</w:t>
            </w:r>
          </w:p>
        </w:tc>
        <w:tc>
          <w:tcPr>
            <w:tcW w:w="943" w:type="dxa"/>
          </w:tcPr>
          <w:p w:rsidR="002643CB" w:rsidRPr="00911ECF" w:rsidRDefault="002643CB" w:rsidP="00E20A1A">
            <w:pPr>
              <w:jc w:val="center"/>
              <w:rPr>
                <w:rFonts w:cs="Traditional Arabic" w:hint="cs"/>
                <w:szCs w:val="20"/>
                <w:rtl/>
              </w:rPr>
            </w:pPr>
            <w:r>
              <w:rPr>
                <w:rFonts w:cs="Traditional Arabic" w:hint="cs"/>
                <w:szCs w:val="20"/>
                <w:rtl/>
              </w:rPr>
              <w:t>(%)</w:t>
            </w:r>
          </w:p>
        </w:tc>
        <w:tc>
          <w:tcPr>
            <w:tcW w:w="943" w:type="dxa"/>
          </w:tcPr>
          <w:p w:rsidR="002643CB" w:rsidRPr="00911ECF" w:rsidRDefault="002643CB" w:rsidP="00E20A1A">
            <w:pPr>
              <w:jc w:val="center"/>
              <w:rPr>
                <w:rFonts w:cs="Traditional Arabic" w:hint="cs"/>
                <w:szCs w:val="20"/>
                <w:rtl/>
              </w:rPr>
            </w:pPr>
            <w:r>
              <w:rPr>
                <w:rFonts w:cs="Traditional Arabic" w:hint="cs"/>
                <w:szCs w:val="20"/>
                <w:rtl/>
              </w:rPr>
              <w:t>م م*</w:t>
            </w:r>
          </w:p>
        </w:tc>
        <w:tc>
          <w:tcPr>
            <w:tcW w:w="2719" w:type="dxa"/>
            <w:gridSpan w:val="2"/>
          </w:tcPr>
          <w:p w:rsidR="002643CB" w:rsidRPr="00911ECF" w:rsidRDefault="002643CB" w:rsidP="00E20A1A">
            <w:pPr>
              <w:rPr>
                <w:rFonts w:cs="Traditional Arabic" w:hint="cs"/>
                <w:szCs w:val="20"/>
                <w:rtl/>
              </w:rPr>
            </w:pPr>
            <w:r>
              <w:rPr>
                <w:rFonts w:cs="Traditional Arabic" w:hint="cs"/>
                <w:szCs w:val="20"/>
                <w:rtl/>
              </w:rPr>
              <w:t>2002</w:t>
            </w:r>
          </w:p>
        </w:tc>
      </w:tr>
      <w:tr w:rsidR="002643CB" w:rsidRPr="00911ECF">
        <w:trPr>
          <w:jc w:val="center"/>
        </w:trPr>
        <w:tc>
          <w:tcPr>
            <w:tcW w:w="1398" w:type="dxa"/>
          </w:tcPr>
          <w:p w:rsidR="002643CB" w:rsidRPr="002A3010" w:rsidRDefault="002643CB" w:rsidP="00E20A1A">
            <w:pPr>
              <w:rPr>
                <w:rFonts w:cs="Traditional Arabic" w:hint="cs"/>
                <w:b/>
                <w:bCs/>
                <w:szCs w:val="20"/>
                <w:rtl/>
              </w:rPr>
            </w:pPr>
            <w:r w:rsidRPr="002A3010">
              <w:rPr>
                <w:rFonts w:cs="Traditional Arabic" w:hint="cs"/>
                <w:b/>
                <w:bCs/>
                <w:szCs w:val="20"/>
                <w:rtl/>
              </w:rPr>
              <w:t>فونافوتي</w:t>
            </w:r>
          </w:p>
        </w:tc>
        <w:tc>
          <w:tcPr>
            <w:tcW w:w="1172" w:type="dxa"/>
          </w:tcPr>
          <w:p w:rsidR="002643CB" w:rsidRPr="00911ECF" w:rsidRDefault="002643CB" w:rsidP="00E20A1A">
            <w:pPr>
              <w:rPr>
                <w:rFonts w:cs="Traditional Arabic" w:hint="cs"/>
                <w:szCs w:val="20"/>
                <w:rtl/>
              </w:rPr>
            </w:pPr>
            <w:r>
              <w:rPr>
                <w:rFonts w:cs="Traditional Arabic" w:hint="cs"/>
                <w:szCs w:val="20"/>
                <w:rtl/>
              </w:rPr>
              <w:t>2.79</w:t>
            </w:r>
          </w:p>
        </w:tc>
        <w:tc>
          <w:tcPr>
            <w:tcW w:w="866" w:type="dxa"/>
          </w:tcPr>
          <w:p w:rsidR="002643CB" w:rsidRPr="00911ECF" w:rsidRDefault="002643CB" w:rsidP="00E20A1A">
            <w:pPr>
              <w:rPr>
                <w:rFonts w:cs="Traditional Arabic" w:hint="cs"/>
                <w:szCs w:val="20"/>
                <w:rtl/>
              </w:rPr>
            </w:pPr>
            <w:r>
              <w:rPr>
                <w:rFonts w:cs="Traditional Arabic" w:hint="cs"/>
                <w:szCs w:val="20"/>
                <w:rtl/>
              </w:rPr>
              <w:t>3839</w:t>
            </w:r>
          </w:p>
        </w:tc>
        <w:tc>
          <w:tcPr>
            <w:tcW w:w="866" w:type="dxa"/>
          </w:tcPr>
          <w:p w:rsidR="002643CB" w:rsidRPr="00911ECF" w:rsidRDefault="002643CB" w:rsidP="00E20A1A">
            <w:pPr>
              <w:rPr>
                <w:rFonts w:cs="Traditional Arabic" w:hint="cs"/>
                <w:szCs w:val="20"/>
                <w:rtl/>
              </w:rPr>
            </w:pPr>
            <w:r>
              <w:rPr>
                <w:rFonts w:cs="Traditional Arabic" w:hint="cs"/>
                <w:szCs w:val="20"/>
                <w:rtl/>
              </w:rPr>
              <w:t>4492</w:t>
            </w:r>
          </w:p>
        </w:tc>
        <w:tc>
          <w:tcPr>
            <w:tcW w:w="943" w:type="dxa"/>
          </w:tcPr>
          <w:p w:rsidR="002643CB" w:rsidRPr="00911ECF" w:rsidRDefault="002643CB" w:rsidP="00E20A1A">
            <w:pPr>
              <w:rPr>
                <w:rFonts w:cs="Traditional Arabic" w:hint="cs"/>
                <w:szCs w:val="20"/>
                <w:rtl/>
              </w:rPr>
            </w:pPr>
            <w:r>
              <w:rPr>
                <w:rFonts w:cs="Traditional Arabic" w:hint="cs"/>
                <w:szCs w:val="20"/>
                <w:rtl/>
              </w:rPr>
              <w:t>653</w:t>
            </w:r>
          </w:p>
        </w:tc>
        <w:tc>
          <w:tcPr>
            <w:tcW w:w="943" w:type="dxa"/>
          </w:tcPr>
          <w:p w:rsidR="002643CB" w:rsidRPr="00911ECF" w:rsidRDefault="002643CB" w:rsidP="00E20A1A">
            <w:pPr>
              <w:rPr>
                <w:rFonts w:cs="Traditional Arabic" w:hint="cs"/>
                <w:szCs w:val="20"/>
                <w:rtl/>
              </w:rPr>
            </w:pPr>
            <w:r>
              <w:rPr>
                <w:rFonts w:cs="Traditional Arabic" w:hint="cs"/>
                <w:szCs w:val="20"/>
                <w:rtl/>
              </w:rPr>
              <w:t>17.0</w:t>
            </w:r>
          </w:p>
        </w:tc>
        <w:tc>
          <w:tcPr>
            <w:tcW w:w="943" w:type="dxa"/>
          </w:tcPr>
          <w:p w:rsidR="002643CB" w:rsidRPr="00911ECF" w:rsidRDefault="002643CB" w:rsidP="00E20A1A">
            <w:pPr>
              <w:rPr>
                <w:rFonts w:cs="Traditional Arabic" w:hint="cs"/>
                <w:szCs w:val="20"/>
                <w:rtl/>
              </w:rPr>
            </w:pPr>
            <w:r>
              <w:rPr>
                <w:rFonts w:cs="Traditional Arabic" w:hint="cs"/>
                <w:szCs w:val="20"/>
                <w:rtl/>
              </w:rPr>
              <w:t>1.4</w:t>
            </w:r>
          </w:p>
        </w:tc>
        <w:tc>
          <w:tcPr>
            <w:tcW w:w="1433" w:type="dxa"/>
          </w:tcPr>
          <w:p w:rsidR="002643CB" w:rsidRPr="00911ECF" w:rsidRDefault="002643CB" w:rsidP="00E20A1A">
            <w:pPr>
              <w:rPr>
                <w:rFonts w:cs="Traditional Arabic" w:hint="cs"/>
                <w:szCs w:val="20"/>
                <w:rtl/>
              </w:rPr>
            </w:pPr>
            <w:r>
              <w:rPr>
                <w:rFonts w:cs="Traditional Arabic" w:hint="cs"/>
                <w:szCs w:val="20"/>
                <w:rtl/>
              </w:rPr>
              <w:t>47.0</w:t>
            </w:r>
          </w:p>
        </w:tc>
        <w:tc>
          <w:tcPr>
            <w:tcW w:w="1286" w:type="dxa"/>
          </w:tcPr>
          <w:p w:rsidR="002643CB" w:rsidRPr="00911ECF" w:rsidRDefault="002643CB" w:rsidP="00E20A1A">
            <w:pPr>
              <w:rPr>
                <w:rFonts w:cs="Traditional Arabic" w:hint="cs"/>
                <w:szCs w:val="20"/>
                <w:rtl/>
              </w:rPr>
            </w:pPr>
            <w:r>
              <w:rPr>
                <w:rFonts w:cs="Traditional Arabic" w:hint="cs"/>
                <w:szCs w:val="20"/>
                <w:rtl/>
              </w:rPr>
              <w:t>1610</w:t>
            </w:r>
          </w:p>
        </w:tc>
      </w:tr>
      <w:tr w:rsidR="002643CB" w:rsidRPr="00911ECF">
        <w:trPr>
          <w:jc w:val="center"/>
        </w:trPr>
        <w:tc>
          <w:tcPr>
            <w:tcW w:w="1398" w:type="dxa"/>
          </w:tcPr>
          <w:p w:rsidR="002643CB" w:rsidRPr="002A3010" w:rsidRDefault="002643CB" w:rsidP="00E20A1A">
            <w:pPr>
              <w:rPr>
                <w:rFonts w:cs="Traditional Arabic" w:hint="cs"/>
                <w:b/>
                <w:bCs/>
                <w:szCs w:val="20"/>
                <w:rtl/>
              </w:rPr>
            </w:pPr>
            <w:r w:rsidRPr="002A3010">
              <w:rPr>
                <w:rFonts w:cs="Traditional Arabic" w:hint="cs"/>
                <w:b/>
                <w:bCs/>
                <w:szCs w:val="20"/>
                <w:rtl/>
              </w:rPr>
              <w:t>الجزر الخارجية</w:t>
            </w:r>
          </w:p>
        </w:tc>
        <w:tc>
          <w:tcPr>
            <w:tcW w:w="1172" w:type="dxa"/>
          </w:tcPr>
          <w:p w:rsidR="002643CB" w:rsidRPr="00911ECF" w:rsidRDefault="002643CB" w:rsidP="00E20A1A">
            <w:pPr>
              <w:rPr>
                <w:rFonts w:cs="Traditional Arabic" w:hint="cs"/>
                <w:szCs w:val="20"/>
                <w:rtl/>
              </w:rPr>
            </w:pPr>
            <w:r>
              <w:rPr>
                <w:rFonts w:cs="Traditional Arabic" w:hint="cs"/>
                <w:szCs w:val="20"/>
                <w:rtl/>
              </w:rPr>
              <w:t>22.84</w:t>
            </w:r>
          </w:p>
        </w:tc>
        <w:tc>
          <w:tcPr>
            <w:tcW w:w="866" w:type="dxa"/>
          </w:tcPr>
          <w:p w:rsidR="002643CB" w:rsidRPr="00911ECF" w:rsidRDefault="002643CB" w:rsidP="00E20A1A">
            <w:pPr>
              <w:rPr>
                <w:rFonts w:cs="Traditional Arabic" w:hint="cs"/>
                <w:szCs w:val="20"/>
                <w:rtl/>
              </w:rPr>
            </w:pPr>
            <w:r>
              <w:rPr>
                <w:rFonts w:cs="Traditional Arabic" w:hint="cs"/>
                <w:szCs w:val="20"/>
                <w:rtl/>
              </w:rPr>
              <w:t>5204</w:t>
            </w:r>
          </w:p>
        </w:tc>
        <w:tc>
          <w:tcPr>
            <w:tcW w:w="866" w:type="dxa"/>
          </w:tcPr>
          <w:p w:rsidR="002643CB" w:rsidRPr="00911ECF" w:rsidRDefault="002643CB" w:rsidP="00E20A1A">
            <w:pPr>
              <w:rPr>
                <w:rFonts w:cs="Traditional Arabic" w:hint="cs"/>
                <w:szCs w:val="20"/>
                <w:rtl/>
              </w:rPr>
            </w:pPr>
            <w:r>
              <w:rPr>
                <w:rFonts w:cs="Traditional Arabic" w:hint="cs"/>
                <w:szCs w:val="20"/>
                <w:rtl/>
              </w:rPr>
              <w:t>5069</w:t>
            </w:r>
          </w:p>
        </w:tc>
        <w:tc>
          <w:tcPr>
            <w:tcW w:w="943" w:type="dxa"/>
          </w:tcPr>
          <w:p w:rsidR="002643CB" w:rsidRPr="00911ECF" w:rsidRDefault="002643CB" w:rsidP="00E20A1A">
            <w:pPr>
              <w:rPr>
                <w:rFonts w:cs="Traditional Arabic" w:hint="cs"/>
                <w:szCs w:val="20"/>
                <w:rtl/>
              </w:rPr>
            </w:pPr>
            <w:r>
              <w:rPr>
                <w:rFonts w:cs="Traditional Arabic" w:hint="cs"/>
                <w:szCs w:val="20"/>
                <w:rtl/>
              </w:rPr>
              <w:t>-135</w:t>
            </w:r>
          </w:p>
        </w:tc>
        <w:tc>
          <w:tcPr>
            <w:tcW w:w="943" w:type="dxa"/>
          </w:tcPr>
          <w:p w:rsidR="002643CB" w:rsidRPr="00911ECF" w:rsidRDefault="002643CB" w:rsidP="00E20A1A">
            <w:pPr>
              <w:rPr>
                <w:rFonts w:cs="Traditional Arabic" w:hint="cs"/>
                <w:szCs w:val="20"/>
                <w:rtl/>
              </w:rPr>
            </w:pPr>
            <w:r>
              <w:rPr>
                <w:rFonts w:cs="Traditional Arabic" w:hint="cs"/>
                <w:szCs w:val="20"/>
                <w:rtl/>
              </w:rPr>
              <w:t>-2.6</w:t>
            </w:r>
          </w:p>
        </w:tc>
        <w:tc>
          <w:tcPr>
            <w:tcW w:w="943" w:type="dxa"/>
          </w:tcPr>
          <w:p w:rsidR="002643CB" w:rsidRPr="00911ECF" w:rsidRDefault="002643CB" w:rsidP="00E20A1A">
            <w:pPr>
              <w:rPr>
                <w:rFonts w:cs="Traditional Arabic" w:hint="cs"/>
                <w:szCs w:val="20"/>
                <w:rtl/>
              </w:rPr>
            </w:pPr>
            <w:r>
              <w:rPr>
                <w:rFonts w:cs="Traditional Arabic" w:hint="cs"/>
                <w:szCs w:val="20"/>
                <w:rtl/>
              </w:rPr>
              <w:t>-0.2</w:t>
            </w:r>
          </w:p>
        </w:tc>
        <w:tc>
          <w:tcPr>
            <w:tcW w:w="1433" w:type="dxa"/>
          </w:tcPr>
          <w:p w:rsidR="002643CB" w:rsidRPr="00911ECF" w:rsidRDefault="002643CB" w:rsidP="00E20A1A">
            <w:pPr>
              <w:rPr>
                <w:rFonts w:cs="Traditional Arabic" w:hint="cs"/>
                <w:szCs w:val="20"/>
                <w:rtl/>
              </w:rPr>
            </w:pPr>
            <w:r>
              <w:rPr>
                <w:rFonts w:cs="Traditional Arabic" w:hint="cs"/>
                <w:szCs w:val="20"/>
                <w:rtl/>
              </w:rPr>
              <w:t>53.0</w:t>
            </w:r>
          </w:p>
        </w:tc>
        <w:tc>
          <w:tcPr>
            <w:tcW w:w="1286" w:type="dxa"/>
          </w:tcPr>
          <w:p w:rsidR="002643CB" w:rsidRPr="00911ECF" w:rsidRDefault="002643CB" w:rsidP="00E20A1A">
            <w:pPr>
              <w:rPr>
                <w:rFonts w:cs="Traditional Arabic" w:hint="cs"/>
                <w:szCs w:val="20"/>
                <w:rtl/>
              </w:rPr>
            </w:pPr>
            <w:r>
              <w:rPr>
                <w:rFonts w:cs="Traditional Arabic" w:hint="cs"/>
                <w:szCs w:val="20"/>
                <w:rtl/>
              </w:rPr>
              <w:t>222</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نانوميا</w:t>
            </w:r>
          </w:p>
        </w:tc>
        <w:tc>
          <w:tcPr>
            <w:tcW w:w="1172" w:type="dxa"/>
          </w:tcPr>
          <w:p w:rsidR="002643CB" w:rsidRPr="00911ECF" w:rsidRDefault="002643CB" w:rsidP="00E20A1A">
            <w:pPr>
              <w:rPr>
                <w:rFonts w:cs="Traditional Arabic" w:hint="cs"/>
                <w:szCs w:val="20"/>
                <w:rtl/>
              </w:rPr>
            </w:pPr>
            <w:r>
              <w:rPr>
                <w:rFonts w:cs="Traditional Arabic" w:hint="cs"/>
                <w:szCs w:val="20"/>
                <w:rtl/>
              </w:rPr>
              <w:t>3.87</w:t>
            </w:r>
          </w:p>
        </w:tc>
        <w:tc>
          <w:tcPr>
            <w:tcW w:w="866" w:type="dxa"/>
          </w:tcPr>
          <w:p w:rsidR="002643CB" w:rsidRPr="00911ECF" w:rsidRDefault="002643CB" w:rsidP="00E20A1A">
            <w:pPr>
              <w:rPr>
                <w:rFonts w:cs="Traditional Arabic" w:hint="cs"/>
                <w:szCs w:val="20"/>
                <w:rtl/>
              </w:rPr>
            </w:pPr>
            <w:r>
              <w:rPr>
                <w:rFonts w:cs="Traditional Arabic" w:hint="cs"/>
                <w:szCs w:val="20"/>
                <w:rtl/>
              </w:rPr>
              <w:t>824</w:t>
            </w:r>
          </w:p>
        </w:tc>
        <w:tc>
          <w:tcPr>
            <w:tcW w:w="866" w:type="dxa"/>
          </w:tcPr>
          <w:p w:rsidR="002643CB" w:rsidRPr="00911ECF" w:rsidRDefault="002643CB" w:rsidP="00E20A1A">
            <w:pPr>
              <w:rPr>
                <w:rFonts w:cs="Traditional Arabic" w:hint="cs"/>
                <w:szCs w:val="20"/>
                <w:rtl/>
              </w:rPr>
            </w:pPr>
            <w:r>
              <w:rPr>
                <w:rFonts w:cs="Traditional Arabic" w:hint="cs"/>
                <w:szCs w:val="20"/>
                <w:rtl/>
              </w:rPr>
              <w:t>664</w:t>
            </w:r>
          </w:p>
        </w:tc>
        <w:tc>
          <w:tcPr>
            <w:tcW w:w="943" w:type="dxa"/>
          </w:tcPr>
          <w:p w:rsidR="002643CB" w:rsidRPr="00911ECF" w:rsidRDefault="002643CB" w:rsidP="00E20A1A">
            <w:pPr>
              <w:rPr>
                <w:rFonts w:cs="Traditional Arabic" w:hint="cs"/>
                <w:szCs w:val="20"/>
                <w:rtl/>
              </w:rPr>
            </w:pPr>
            <w:r>
              <w:rPr>
                <w:rFonts w:cs="Traditional Arabic" w:hint="cs"/>
                <w:szCs w:val="20"/>
                <w:rtl/>
              </w:rPr>
              <w:t>-160</w:t>
            </w:r>
          </w:p>
        </w:tc>
        <w:tc>
          <w:tcPr>
            <w:tcW w:w="943" w:type="dxa"/>
          </w:tcPr>
          <w:p w:rsidR="002643CB" w:rsidRPr="00911ECF" w:rsidRDefault="002643CB" w:rsidP="00E20A1A">
            <w:pPr>
              <w:rPr>
                <w:rFonts w:cs="Traditional Arabic" w:hint="cs"/>
                <w:szCs w:val="20"/>
                <w:rtl/>
              </w:rPr>
            </w:pPr>
            <w:r>
              <w:rPr>
                <w:rFonts w:cs="Traditional Arabic" w:hint="cs"/>
                <w:szCs w:val="20"/>
                <w:rtl/>
              </w:rPr>
              <w:t>-19.4</w:t>
            </w:r>
          </w:p>
        </w:tc>
        <w:tc>
          <w:tcPr>
            <w:tcW w:w="943" w:type="dxa"/>
          </w:tcPr>
          <w:p w:rsidR="002643CB" w:rsidRPr="00911ECF" w:rsidRDefault="002643CB" w:rsidP="00E20A1A">
            <w:pPr>
              <w:rPr>
                <w:rFonts w:cs="Traditional Arabic" w:hint="cs"/>
                <w:szCs w:val="20"/>
                <w:rtl/>
              </w:rPr>
            </w:pPr>
            <w:r>
              <w:rPr>
                <w:rFonts w:cs="Traditional Arabic" w:hint="cs"/>
                <w:szCs w:val="20"/>
                <w:rtl/>
              </w:rPr>
              <w:t>-2.0</w:t>
            </w:r>
          </w:p>
        </w:tc>
        <w:tc>
          <w:tcPr>
            <w:tcW w:w="1433" w:type="dxa"/>
          </w:tcPr>
          <w:p w:rsidR="002643CB" w:rsidRPr="00911ECF" w:rsidRDefault="002643CB" w:rsidP="00E20A1A">
            <w:pPr>
              <w:rPr>
                <w:rFonts w:cs="Traditional Arabic" w:hint="cs"/>
                <w:szCs w:val="20"/>
                <w:rtl/>
              </w:rPr>
            </w:pPr>
            <w:r>
              <w:rPr>
                <w:rFonts w:cs="Traditional Arabic" w:hint="cs"/>
                <w:szCs w:val="20"/>
                <w:rtl/>
              </w:rPr>
              <w:t>6.9</w:t>
            </w:r>
          </w:p>
        </w:tc>
        <w:tc>
          <w:tcPr>
            <w:tcW w:w="1286" w:type="dxa"/>
          </w:tcPr>
          <w:p w:rsidR="002643CB" w:rsidRPr="00911ECF" w:rsidRDefault="002643CB" w:rsidP="00E20A1A">
            <w:pPr>
              <w:rPr>
                <w:rFonts w:cs="Traditional Arabic" w:hint="cs"/>
                <w:szCs w:val="20"/>
                <w:rtl/>
              </w:rPr>
            </w:pPr>
            <w:r>
              <w:rPr>
                <w:rFonts w:cs="Traditional Arabic" w:hint="cs"/>
                <w:szCs w:val="20"/>
                <w:rtl/>
              </w:rPr>
              <w:t>172</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نانومانغا</w:t>
            </w:r>
          </w:p>
        </w:tc>
        <w:tc>
          <w:tcPr>
            <w:tcW w:w="1172" w:type="dxa"/>
          </w:tcPr>
          <w:p w:rsidR="002643CB" w:rsidRPr="00911ECF" w:rsidRDefault="002643CB" w:rsidP="00E20A1A">
            <w:pPr>
              <w:rPr>
                <w:rFonts w:cs="Traditional Arabic" w:hint="cs"/>
                <w:szCs w:val="20"/>
                <w:rtl/>
              </w:rPr>
            </w:pPr>
            <w:r>
              <w:rPr>
                <w:rFonts w:cs="Traditional Arabic" w:hint="cs"/>
                <w:szCs w:val="20"/>
                <w:rtl/>
              </w:rPr>
              <w:t>2.78</w:t>
            </w:r>
          </w:p>
        </w:tc>
        <w:tc>
          <w:tcPr>
            <w:tcW w:w="866" w:type="dxa"/>
          </w:tcPr>
          <w:p w:rsidR="002643CB" w:rsidRPr="00911ECF" w:rsidRDefault="002643CB" w:rsidP="00E20A1A">
            <w:pPr>
              <w:rPr>
                <w:rFonts w:cs="Traditional Arabic" w:hint="cs"/>
                <w:szCs w:val="20"/>
                <w:rtl/>
              </w:rPr>
            </w:pPr>
            <w:r>
              <w:rPr>
                <w:rFonts w:cs="Traditional Arabic" w:hint="cs"/>
                <w:szCs w:val="20"/>
                <w:rtl/>
              </w:rPr>
              <w:t>644</w:t>
            </w:r>
          </w:p>
        </w:tc>
        <w:tc>
          <w:tcPr>
            <w:tcW w:w="866" w:type="dxa"/>
          </w:tcPr>
          <w:p w:rsidR="002643CB" w:rsidRPr="00911ECF" w:rsidRDefault="002643CB" w:rsidP="00E20A1A">
            <w:pPr>
              <w:rPr>
                <w:rFonts w:cs="Traditional Arabic" w:hint="cs"/>
                <w:szCs w:val="20"/>
                <w:rtl/>
              </w:rPr>
            </w:pPr>
            <w:r>
              <w:rPr>
                <w:rFonts w:cs="Traditional Arabic" w:hint="cs"/>
                <w:szCs w:val="20"/>
                <w:rtl/>
              </w:rPr>
              <w:t>589</w:t>
            </w:r>
          </w:p>
        </w:tc>
        <w:tc>
          <w:tcPr>
            <w:tcW w:w="943" w:type="dxa"/>
          </w:tcPr>
          <w:p w:rsidR="002643CB" w:rsidRPr="00911ECF" w:rsidRDefault="002643CB" w:rsidP="00E20A1A">
            <w:pPr>
              <w:rPr>
                <w:rFonts w:cs="Traditional Arabic" w:hint="cs"/>
                <w:szCs w:val="20"/>
                <w:rtl/>
              </w:rPr>
            </w:pPr>
            <w:r>
              <w:rPr>
                <w:rFonts w:cs="Traditional Arabic" w:hint="cs"/>
                <w:szCs w:val="20"/>
                <w:rtl/>
              </w:rPr>
              <w:t>-55</w:t>
            </w:r>
          </w:p>
        </w:tc>
        <w:tc>
          <w:tcPr>
            <w:tcW w:w="943" w:type="dxa"/>
          </w:tcPr>
          <w:p w:rsidR="002643CB" w:rsidRPr="00911ECF" w:rsidRDefault="002643CB" w:rsidP="00E20A1A">
            <w:pPr>
              <w:rPr>
                <w:rFonts w:cs="Traditional Arabic" w:hint="cs"/>
                <w:szCs w:val="20"/>
                <w:rtl/>
              </w:rPr>
            </w:pPr>
            <w:r>
              <w:rPr>
                <w:rFonts w:cs="Traditional Arabic" w:hint="cs"/>
                <w:szCs w:val="20"/>
                <w:rtl/>
              </w:rPr>
              <w:t>-8.5</w:t>
            </w:r>
          </w:p>
        </w:tc>
        <w:tc>
          <w:tcPr>
            <w:tcW w:w="943" w:type="dxa"/>
          </w:tcPr>
          <w:p w:rsidR="002643CB" w:rsidRPr="00911ECF" w:rsidRDefault="002643CB" w:rsidP="00E20A1A">
            <w:pPr>
              <w:rPr>
                <w:rFonts w:cs="Traditional Arabic" w:hint="cs"/>
                <w:szCs w:val="20"/>
                <w:rtl/>
              </w:rPr>
            </w:pPr>
            <w:r>
              <w:rPr>
                <w:rFonts w:cs="Traditional Arabic" w:hint="cs"/>
                <w:szCs w:val="20"/>
                <w:rtl/>
              </w:rPr>
              <w:t>-0.8</w:t>
            </w:r>
          </w:p>
        </w:tc>
        <w:tc>
          <w:tcPr>
            <w:tcW w:w="1433" w:type="dxa"/>
          </w:tcPr>
          <w:p w:rsidR="002643CB" w:rsidRPr="00911ECF" w:rsidRDefault="002643CB" w:rsidP="00E20A1A">
            <w:pPr>
              <w:rPr>
                <w:rFonts w:cs="Traditional Arabic" w:hint="cs"/>
                <w:szCs w:val="20"/>
                <w:rtl/>
              </w:rPr>
            </w:pPr>
            <w:r>
              <w:rPr>
                <w:rFonts w:cs="Traditional Arabic" w:hint="cs"/>
                <w:szCs w:val="20"/>
                <w:rtl/>
              </w:rPr>
              <w:t>6.2</w:t>
            </w:r>
          </w:p>
        </w:tc>
        <w:tc>
          <w:tcPr>
            <w:tcW w:w="1286" w:type="dxa"/>
          </w:tcPr>
          <w:p w:rsidR="002643CB" w:rsidRPr="00911ECF" w:rsidRDefault="002643CB" w:rsidP="00E20A1A">
            <w:pPr>
              <w:rPr>
                <w:rFonts w:cs="Traditional Arabic" w:hint="cs"/>
                <w:szCs w:val="20"/>
                <w:rtl/>
              </w:rPr>
            </w:pPr>
            <w:r>
              <w:rPr>
                <w:rFonts w:cs="Traditional Arabic" w:hint="cs"/>
                <w:szCs w:val="20"/>
                <w:rtl/>
              </w:rPr>
              <w:t>212</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نيوتاو</w:t>
            </w:r>
          </w:p>
        </w:tc>
        <w:tc>
          <w:tcPr>
            <w:tcW w:w="1172" w:type="dxa"/>
          </w:tcPr>
          <w:p w:rsidR="002643CB" w:rsidRPr="00911ECF" w:rsidRDefault="002643CB" w:rsidP="00E20A1A">
            <w:pPr>
              <w:rPr>
                <w:rFonts w:cs="Traditional Arabic" w:hint="cs"/>
                <w:szCs w:val="20"/>
                <w:rtl/>
              </w:rPr>
            </w:pPr>
            <w:r>
              <w:rPr>
                <w:rFonts w:cs="Traditional Arabic" w:hint="cs"/>
                <w:szCs w:val="20"/>
                <w:rtl/>
              </w:rPr>
              <w:t>2.53</w:t>
            </w:r>
          </w:p>
        </w:tc>
        <w:tc>
          <w:tcPr>
            <w:tcW w:w="866" w:type="dxa"/>
          </w:tcPr>
          <w:p w:rsidR="002643CB" w:rsidRPr="00911ECF" w:rsidRDefault="002643CB" w:rsidP="00E20A1A">
            <w:pPr>
              <w:rPr>
                <w:rFonts w:cs="Traditional Arabic" w:hint="cs"/>
                <w:szCs w:val="20"/>
                <w:rtl/>
              </w:rPr>
            </w:pPr>
            <w:r>
              <w:rPr>
                <w:rFonts w:cs="Traditional Arabic" w:hint="cs"/>
                <w:szCs w:val="20"/>
                <w:rtl/>
              </w:rPr>
              <w:t>749</w:t>
            </w:r>
          </w:p>
        </w:tc>
        <w:tc>
          <w:tcPr>
            <w:tcW w:w="866" w:type="dxa"/>
          </w:tcPr>
          <w:p w:rsidR="002643CB" w:rsidRPr="00911ECF" w:rsidRDefault="002643CB" w:rsidP="00E20A1A">
            <w:pPr>
              <w:rPr>
                <w:rFonts w:cs="Traditional Arabic" w:hint="cs"/>
                <w:szCs w:val="20"/>
                <w:rtl/>
              </w:rPr>
            </w:pPr>
            <w:r>
              <w:rPr>
                <w:rFonts w:cs="Traditional Arabic" w:hint="cs"/>
                <w:szCs w:val="20"/>
                <w:rtl/>
              </w:rPr>
              <w:t>663</w:t>
            </w:r>
          </w:p>
        </w:tc>
        <w:tc>
          <w:tcPr>
            <w:tcW w:w="943" w:type="dxa"/>
          </w:tcPr>
          <w:p w:rsidR="002643CB" w:rsidRPr="00911ECF" w:rsidRDefault="002643CB" w:rsidP="00E20A1A">
            <w:pPr>
              <w:rPr>
                <w:rFonts w:cs="Traditional Arabic" w:hint="cs"/>
                <w:szCs w:val="20"/>
                <w:rtl/>
              </w:rPr>
            </w:pPr>
            <w:r>
              <w:rPr>
                <w:rFonts w:cs="Traditional Arabic" w:hint="cs"/>
                <w:szCs w:val="20"/>
                <w:rtl/>
              </w:rPr>
              <w:t>-86</w:t>
            </w:r>
          </w:p>
        </w:tc>
        <w:tc>
          <w:tcPr>
            <w:tcW w:w="943" w:type="dxa"/>
          </w:tcPr>
          <w:p w:rsidR="002643CB" w:rsidRPr="00911ECF" w:rsidRDefault="002643CB" w:rsidP="00E20A1A">
            <w:pPr>
              <w:rPr>
                <w:rFonts w:cs="Traditional Arabic" w:hint="cs"/>
                <w:szCs w:val="20"/>
                <w:rtl/>
              </w:rPr>
            </w:pPr>
            <w:r>
              <w:rPr>
                <w:rFonts w:cs="Traditional Arabic" w:hint="cs"/>
                <w:szCs w:val="20"/>
                <w:rtl/>
              </w:rPr>
              <w:t>-11.5</w:t>
            </w:r>
          </w:p>
        </w:tc>
        <w:tc>
          <w:tcPr>
            <w:tcW w:w="943" w:type="dxa"/>
          </w:tcPr>
          <w:p w:rsidR="002643CB" w:rsidRPr="00911ECF" w:rsidRDefault="002643CB" w:rsidP="00E20A1A">
            <w:pPr>
              <w:rPr>
                <w:rFonts w:cs="Traditional Arabic" w:hint="cs"/>
                <w:szCs w:val="20"/>
                <w:rtl/>
              </w:rPr>
            </w:pPr>
            <w:r>
              <w:rPr>
                <w:rFonts w:cs="Traditional Arabic" w:hint="cs"/>
                <w:szCs w:val="20"/>
                <w:rtl/>
              </w:rPr>
              <w:t>-1.1</w:t>
            </w:r>
          </w:p>
        </w:tc>
        <w:tc>
          <w:tcPr>
            <w:tcW w:w="1433" w:type="dxa"/>
          </w:tcPr>
          <w:p w:rsidR="002643CB" w:rsidRPr="00911ECF" w:rsidRDefault="002643CB" w:rsidP="00E20A1A">
            <w:pPr>
              <w:rPr>
                <w:rFonts w:cs="Traditional Arabic" w:hint="cs"/>
                <w:szCs w:val="20"/>
                <w:rtl/>
              </w:rPr>
            </w:pPr>
            <w:r>
              <w:rPr>
                <w:rFonts w:cs="Traditional Arabic" w:hint="cs"/>
                <w:szCs w:val="20"/>
                <w:rtl/>
              </w:rPr>
              <w:t>6.9</w:t>
            </w:r>
          </w:p>
        </w:tc>
        <w:tc>
          <w:tcPr>
            <w:tcW w:w="1286" w:type="dxa"/>
          </w:tcPr>
          <w:p w:rsidR="002643CB" w:rsidRPr="00911ECF" w:rsidRDefault="002643CB" w:rsidP="00E20A1A">
            <w:pPr>
              <w:rPr>
                <w:rFonts w:cs="Traditional Arabic" w:hint="cs"/>
                <w:szCs w:val="20"/>
                <w:rtl/>
              </w:rPr>
            </w:pPr>
            <w:r>
              <w:rPr>
                <w:rFonts w:cs="Traditional Arabic" w:hint="cs"/>
                <w:szCs w:val="20"/>
                <w:rtl/>
              </w:rPr>
              <w:t>262</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نوي</w:t>
            </w:r>
          </w:p>
        </w:tc>
        <w:tc>
          <w:tcPr>
            <w:tcW w:w="1172" w:type="dxa"/>
          </w:tcPr>
          <w:p w:rsidR="002643CB" w:rsidRPr="00911ECF" w:rsidRDefault="002643CB" w:rsidP="00E20A1A">
            <w:pPr>
              <w:rPr>
                <w:rFonts w:cs="Traditional Arabic" w:hint="cs"/>
                <w:szCs w:val="20"/>
                <w:rtl/>
              </w:rPr>
            </w:pPr>
            <w:r>
              <w:rPr>
                <w:rFonts w:cs="Traditional Arabic" w:hint="cs"/>
                <w:szCs w:val="20"/>
                <w:rtl/>
              </w:rPr>
              <w:t>2.83</w:t>
            </w:r>
          </w:p>
        </w:tc>
        <w:tc>
          <w:tcPr>
            <w:tcW w:w="866" w:type="dxa"/>
          </w:tcPr>
          <w:p w:rsidR="002643CB" w:rsidRPr="00911ECF" w:rsidRDefault="002643CB" w:rsidP="00E20A1A">
            <w:pPr>
              <w:rPr>
                <w:rFonts w:cs="Traditional Arabic" w:hint="cs"/>
                <w:szCs w:val="20"/>
                <w:rtl/>
              </w:rPr>
            </w:pPr>
            <w:r>
              <w:rPr>
                <w:rFonts w:cs="Traditional Arabic" w:hint="cs"/>
                <w:szCs w:val="20"/>
                <w:rtl/>
              </w:rPr>
              <w:t>606</w:t>
            </w:r>
          </w:p>
        </w:tc>
        <w:tc>
          <w:tcPr>
            <w:tcW w:w="866" w:type="dxa"/>
          </w:tcPr>
          <w:p w:rsidR="002643CB" w:rsidRPr="00911ECF" w:rsidRDefault="002643CB" w:rsidP="00E20A1A">
            <w:pPr>
              <w:rPr>
                <w:rFonts w:cs="Traditional Arabic" w:hint="cs"/>
                <w:szCs w:val="20"/>
                <w:rtl/>
              </w:rPr>
            </w:pPr>
            <w:r>
              <w:rPr>
                <w:rFonts w:cs="Traditional Arabic" w:hint="cs"/>
                <w:szCs w:val="20"/>
                <w:rtl/>
              </w:rPr>
              <w:t>548</w:t>
            </w:r>
          </w:p>
        </w:tc>
        <w:tc>
          <w:tcPr>
            <w:tcW w:w="943" w:type="dxa"/>
          </w:tcPr>
          <w:p w:rsidR="002643CB" w:rsidRPr="00911ECF" w:rsidRDefault="002643CB" w:rsidP="00E20A1A">
            <w:pPr>
              <w:rPr>
                <w:rFonts w:cs="Traditional Arabic" w:hint="cs"/>
                <w:szCs w:val="20"/>
                <w:rtl/>
              </w:rPr>
            </w:pPr>
            <w:r>
              <w:rPr>
                <w:rFonts w:cs="Traditional Arabic" w:hint="cs"/>
                <w:szCs w:val="20"/>
                <w:rtl/>
              </w:rPr>
              <w:t>-58</w:t>
            </w:r>
          </w:p>
        </w:tc>
        <w:tc>
          <w:tcPr>
            <w:tcW w:w="943" w:type="dxa"/>
          </w:tcPr>
          <w:p w:rsidR="002643CB" w:rsidRPr="00911ECF" w:rsidRDefault="002643CB" w:rsidP="00E20A1A">
            <w:pPr>
              <w:rPr>
                <w:rFonts w:cs="Traditional Arabic" w:hint="cs"/>
                <w:szCs w:val="20"/>
                <w:rtl/>
              </w:rPr>
            </w:pPr>
            <w:r>
              <w:rPr>
                <w:rFonts w:cs="Traditional Arabic" w:hint="cs"/>
                <w:szCs w:val="20"/>
                <w:rtl/>
              </w:rPr>
              <w:t>-9.6</w:t>
            </w:r>
          </w:p>
        </w:tc>
        <w:tc>
          <w:tcPr>
            <w:tcW w:w="943" w:type="dxa"/>
          </w:tcPr>
          <w:p w:rsidR="002643CB" w:rsidRPr="00911ECF" w:rsidRDefault="002643CB" w:rsidP="00E20A1A">
            <w:pPr>
              <w:rPr>
                <w:rFonts w:cs="Traditional Arabic" w:hint="cs"/>
                <w:szCs w:val="20"/>
                <w:rtl/>
              </w:rPr>
            </w:pPr>
            <w:r>
              <w:rPr>
                <w:rFonts w:cs="Traditional Arabic" w:hint="cs"/>
                <w:szCs w:val="20"/>
                <w:rtl/>
              </w:rPr>
              <w:t>-0.9</w:t>
            </w:r>
          </w:p>
        </w:tc>
        <w:tc>
          <w:tcPr>
            <w:tcW w:w="1433" w:type="dxa"/>
          </w:tcPr>
          <w:p w:rsidR="002643CB" w:rsidRPr="00911ECF" w:rsidRDefault="002643CB" w:rsidP="00E20A1A">
            <w:pPr>
              <w:rPr>
                <w:rFonts w:cs="Traditional Arabic" w:hint="cs"/>
                <w:szCs w:val="20"/>
                <w:rtl/>
              </w:rPr>
            </w:pPr>
            <w:r>
              <w:rPr>
                <w:rFonts w:cs="Traditional Arabic" w:hint="cs"/>
                <w:szCs w:val="20"/>
                <w:rtl/>
              </w:rPr>
              <w:t>5.7</w:t>
            </w:r>
          </w:p>
        </w:tc>
        <w:tc>
          <w:tcPr>
            <w:tcW w:w="1286" w:type="dxa"/>
          </w:tcPr>
          <w:p w:rsidR="002643CB" w:rsidRPr="00911ECF" w:rsidRDefault="002643CB" w:rsidP="00E20A1A">
            <w:pPr>
              <w:rPr>
                <w:rFonts w:cs="Traditional Arabic" w:hint="cs"/>
                <w:szCs w:val="20"/>
                <w:rtl/>
              </w:rPr>
            </w:pPr>
            <w:r>
              <w:rPr>
                <w:rFonts w:cs="Traditional Arabic" w:hint="cs"/>
                <w:szCs w:val="20"/>
                <w:rtl/>
              </w:rPr>
              <w:t>194</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فايتوبو</w:t>
            </w:r>
          </w:p>
        </w:tc>
        <w:tc>
          <w:tcPr>
            <w:tcW w:w="1172" w:type="dxa"/>
          </w:tcPr>
          <w:p w:rsidR="002643CB" w:rsidRPr="00911ECF" w:rsidRDefault="002643CB" w:rsidP="00E20A1A">
            <w:pPr>
              <w:rPr>
                <w:rFonts w:cs="Traditional Arabic" w:hint="cs"/>
                <w:szCs w:val="20"/>
                <w:rtl/>
              </w:rPr>
            </w:pPr>
            <w:r>
              <w:rPr>
                <w:rFonts w:cs="Traditional Arabic" w:hint="cs"/>
                <w:szCs w:val="20"/>
                <w:rtl/>
              </w:rPr>
              <w:t>5.60</w:t>
            </w:r>
          </w:p>
        </w:tc>
        <w:tc>
          <w:tcPr>
            <w:tcW w:w="866" w:type="dxa"/>
          </w:tcPr>
          <w:p w:rsidR="002643CB" w:rsidRPr="00911ECF" w:rsidRDefault="002643CB" w:rsidP="00E20A1A">
            <w:pPr>
              <w:rPr>
                <w:rFonts w:cs="Traditional Arabic" w:hint="cs"/>
                <w:szCs w:val="20"/>
                <w:rtl/>
              </w:rPr>
            </w:pPr>
            <w:r>
              <w:rPr>
                <w:rFonts w:cs="Traditional Arabic" w:hint="cs"/>
                <w:szCs w:val="20"/>
                <w:rtl/>
              </w:rPr>
              <w:t>1202</w:t>
            </w:r>
          </w:p>
        </w:tc>
        <w:tc>
          <w:tcPr>
            <w:tcW w:w="866" w:type="dxa"/>
          </w:tcPr>
          <w:p w:rsidR="002643CB" w:rsidRPr="00911ECF" w:rsidRDefault="002643CB" w:rsidP="00E20A1A">
            <w:pPr>
              <w:rPr>
                <w:rFonts w:cs="Traditional Arabic" w:hint="cs"/>
                <w:szCs w:val="20"/>
                <w:rtl/>
              </w:rPr>
            </w:pPr>
            <w:r>
              <w:rPr>
                <w:rFonts w:cs="Traditional Arabic" w:hint="cs"/>
                <w:szCs w:val="20"/>
                <w:rtl/>
              </w:rPr>
              <w:t>1591</w:t>
            </w:r>
          </w:p>
        </w:tc>
        <w:tc>
          <w:tcPr>
            <w:tcW w:w="943" w:type="dxa"/>
          </w:tcPr>
          <w:p w:rsidR="002643CB" w:rsidRPr="00911ECF" w:rsidRDefault="002643CB" w:rsidP="00E20A1A">
            <w:pPr>
              <w:rPr>
                <w:rFonts w:cs="Traditional Arabic" w:hint="cs"/>
                <w:szCs w:val="20"/>
                <w:rtl/>
              </w:rPr>
            </w:pPr>
            <w:r>
              <w:rPr>
                <w:rFonts w:cs="Traditional Arabic" w:hint="cs"/>
                <w:szCs w:val="20"/>
                <w:rtl/>
              </w:rPr>
              <w:t>389</w:t>
            </w:r>
          </w:p>
        </w:tc>
        <w:tc>
          <w:tcPr>
            <w:tcW w:w="943" w:type="dxa"/>
          </w:tcPr>
          <w:p w:rsidR="002643CB" w:rsidRPr="00911ECF" w:rsidRDefault="002643CB" w:rsidP="00E20A1A">
            <w:pPr>
              <w:rPr>
                <w:rFonts w:cs="Traditional Arabic" w:hint="cs"/>
                <w:szCs w:val="20"/>
                <w:rtl/>
              </w:rPr>
            </w:pPr>
            <w:r>
              <w:rPr>
                <w:rFonts w:cs="Traditional Arabic" w:hint="cs"/>
                <w:szCs w:val="20"/>
                <w:rtl/>
              </w:rPr>
              <w:t>32.4</w:t>
            </w:r>
          </w:p>
        </w:tc>
        <w:tc>
          <w:tcPr>
            <w:tcW w:w="943" w:type="dxa"/>
          </w:tcPr>
          <w:p w:rsidR="002643CB" w:rsidRPr="00911ECF" w:rsidRDefault="002643CB" w:rsidP="00E20A1A">
            <w:pPr>
              <w:rPr>
                <w:rFonts w:cs="Traditional Arabic" w:hint="cs"/>
                <w:szCs w:val="20"/>
                <w:rtl/>
              </w:rPr>
            </w:pPr>
            <w:r>
              <w:rPr>
                <w:rFonts w:cs="Traditional Arabic" w:hint="cs"/>
                <w:szCs w:val="20"/>
                <w:rtl/>
              </w:rPr>
              <w:t>2.5</w:t>
            </w:r>
          </w:p>
        </w:tc>
        <w:tc>
          <w:tcPr>
            <w:tcW w:w="1433" w:type="dxa"/>
          </w:tcPr>
          <w:p w:rsidR="002643CB" w:rsidRPr="00911ECF" w:rsidRDefault="002643CB" w:rsidP="00E20A1A">
            <w:pPr>
              <w:rPr>
                <w:rFonts w:cs="Traditional Arabic" w:hint="cs"/>
                <w:szCs w:val="20"/>
                <w:rtl/>
              </w:rPr>
            </w:pPr>
            <w:r>
              <w:rPr>
                <w:rFonts w:cs="Traditional Arabic" w:hint="cs"/>
                <w:szCs w:val="20"/>
                <w:rtl/>
              </w:rPr>
              <w:t>16.6</w:t>
            </w:r>
          </w:p>
        </w:tc>
        <w:tc>
          <w:tcPr>
            <w:tcW w:w="1286" w:type="dxa"/>
          </w:tcPr>
          <w:p w:rsidR="002643CB" w:rsidRPr="00911ECF" w:rsidRDefault="002643CB" w:rsidP="00E20A1A">
            <w:pPr>
              <w:rPr>
                <w:rFonts w:cs="Traditional Arabic" w:hint="cs"/>
                <w:szCs w:val="20"/>
                <w:rtl/>
              </w:rPr>
            </w:pPr>
            <w:r>
              <w:rPr>
                <w:rFonts w:cs="Traditional Arabic" w:hint="cs"/>
                <w:szCs w:val="20"/>
                <w:rtl/>
              </w:rPr>
              <w:t>284</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نوكوفيتاو</w:t>
            </w:r>
          </w:p>
        </w:tc>
        <w:tc>
          <w:tcPr>
            <w:tcW w:w="1172" w:type="dxa"/>
          </w:tcPr>
          <w:p w:rsidR="002643CB" w:rsidRPr="00911ECF" w:rsidRDefault="002643CB" w:rsidP="00E20A1A">
            <w:pPr>
              <w:rPr>
                <w:rFonts w:cs="Traditional Arabic" w:hint="cs"/>
                <w:szCs w:val="20"/>
                <w:rtl/>
              </w:rPr>
            </w:pPr>
            <w:r>
              <w:rPr>
                <w:rFonts w:cs="Traditional Arabic" w:hint="cs"/>
                <w:szCs w:val="20"/>
                <w:rtl/>
              </w:rPr>
              <w:t>2.99</w:t>
            </w:r>
          </w:p>
        </w:tc>
        <w:tc>
          <w:tcPr>
            <w:tcW w:w="866" w:type="dxa"/>
          </w:tcPr>
          <w:p w:rsidR="002643CB" w:rsidRPr="00911ECF" w:rsidRDefault="002643CB" w:rsidP="00E20A1A">
            <w:pPr>
              <w:rPr>
                <w:rFonts w:cs="Traditional Arabic" w:hint="cs"/>
                <w:szCs w:val="20"/>
                <w:rtl/>
              </w:rPr>
            </w:pPr>
            <w:r>
              <w:rPr>
                <w:rFonts w:cs="Traditional Arabic" w:hint="cs"/>
                <w:szCs w:val="20"/>
                <w:rtl/>
              </w:rPr>
              <w:t>751</w:t>
            </w:r>
          </w:p>
        </w:tc>
        <w:tc>
          <w:tcPr>
            <w:tcW w:w="866" w:type="dxa"/>
          </w:tcPr>
          <w:p w:rsidR="002643CB" w:rsidRPr="00911ECF" w:rsidRDefault="002643CB" w:rsidP="00E20A1A">
            <w:pPr>
              <w:rPr>
                <w:rFonts w:cs="Traditional Arabic" w:hint="cs"/>
                <w:szCs w:val="20"/>
                <w:rtl/>
              </w:rPr>
            </w:pPr>
            <w:r>
              <w:rPr>
                <w:rFonts w:cs="Traditional Arabic" w:hint="cs"/>
                <w:szCs w:val="20"/>
                <w:rtl/>
              </w:rPr>
              <w:t>586</w:t>
            </w:r>
          </w:p>
        </w:tc>
        <w:tc>
          <w:tcPr>
            <w:tcW w:w="943" w:type="dxa"/>
          </w:tcPr>
          <w:p w:rsidR="002643CB" w:rsidRPr="00911ECF" w:rsidRDefault="002643CB" w:rsidP="00E20A1A">
            <w:pPr>
              <w:rPr>
                <w:rFonts w:cs="Traditional Arabic" w:hint="cs"/>
                <w:szCs w:val="20"/>
                <w:rtl/>
              </w:rPr>
            </w:pPr>
            <w:r>
              <w:rPr>
                <w:rFonts w:cs="Traditional Arabic" w:hint="cs"/>
                <w:szCs w:val="20"/>
                <w:rtl/>
              </w:rPr>
              <w:t>-165</w:t>
            </w:r>
          </w:p>
        </w:tc>
        <w:tc>
          <w:tcPr>
            <w:tcW w:w="943" w:type="dxa"/>
          </w:tcPr>
          <w:p w:rsidR="002643CB" w:rsidRPr="00911ECF" w:rsidRDefault="002643CB" w:rsidP="00E20A1A">
            <w:pPr>
              <w:rPr>
                <w:rFonts w:cs="Traditional Arabic" w:hint="cs"/>
                <w:szCs w:val="20"/>
                <w:rtl/>
              </w:rPr>
            </w:pPr>
            <w:r>
              <w:rPr>
                <w:rFonts w:cs="Traditional Arabic" w:hint="cs"/>
                <w:szCs w:val="20"/>
                <w:rtl/>
              </w:rPr>
              <w:t>-22.0</w:t>
            </w:r>
          </w:p>
        </w:tc>
        <w:tc>
          <w:tcPr>
            <w:tcW w:w="943" w:type="dxa"/>
          </w:tcPr>
          <w:p w:rsidR="002643CB" w:rsidRPr="00911ECF" w:rsidRDefault="002643CB" w:rsidP="00E20A1A">
            <w:pPr>
              <w:rPr>
                <w:rFonts w:cs="Traditional Arabic" w:hint="cs"/>
                <w:szCs w:val="20"/>
                <w:rtl/>
              </w:rPr>
            </w:pPr>
            <w:r>
              <w:rPr>
                <w:rFonts w:cs="Traditional Arabic" w:hint="cs"/>
                <w:szCs w:val="20"/>
                <w:rtl/>
              </w:rPr>
              <w:t>-2.3</w:t>
            </w:r>
          </w:p>
        </w:tc>
        <w:tc>
          <w:tcPr>
            <w:tcW w:w="1433" w:type="dxa"/>
          </w:tcPr>
          <w:p w:rsidR="002643CB" w:rsidRPr="00911ECF" w:rsidRDefault="002643CB" w:rsidP="00E20A1A">
            <w:pPr>
              <w:rPr>
                <w:rFonts w:cs="Traditional Arabic" w:hint="cs"/>
                <w:szCs w:val="20"/>
                <w:rtl/>
              </w:rPr>
            </w:pPr>
            <w:r>
              <w:rPr>
                <w:rFonts w:cs="Traditional Arabic" w:hint="cs"/>
                <w:szCs w:val="20"/>
                <w:rtl/>
              </w:rPr>
              <w:t>6.1</w:t>
            </w:r>
          </w:p>
        </w:tc>
        <w:tc>
          <w:tcPr>
            <w:tcW w:w="1286" w:type="dxa"/>
          </w:tcPr>
          <w:p w:rsidR="002643CB" w:rsidRPr="00911ECF" w:rsidRDefault="002643CB" w:rsidP="00E20A1A">
            <w:pPr>
              <w:rPr>
                <w:rFonts w:cs="Traditional Arabic" w:hint="cs"/>
                <w:szCs w:val="20"/>
                <w:rtl/>
              </w:rPr>
            </w:pPr>
            <w:r>
              <w:rPr>
                <w:rFonts w:cs="Traditional Arabic" w:hint="cs"/>
                <w:szCs w:val="20"/>
                <w:rtl/>
              </w:rPr>
              <w:t>196</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نوكولالا</w:t>
            </w:r>
          </w:p>
        </w:tc>
        <w:tc>
          <w:tcPr>
            <w:tcW w:w="1172" w:type="dxa"/>
          </w:tcPr>
          <w:p w:rsidR="002643CB" w:rsidRPr="00911ECF" w:rsidRDefault="002643CB" w:rsidP="00E20A1A">
            <w:pPr>
              <w:rPr>
                <w:rFonts w:cs="Traditional Arabic" w:hint="cs"/>
                <w:szCs w:val="20"/>
                <w:rtl/>
              </w:rPr>
            </w:pPr>
            <w:r>
              <w:rPr>
                <w:rFonts w:cs="Traditional Arabic" w:hint="cs"/>
                <w:szCs w:val="20"/>
                <w:rtl/>
              </w:rPr>
              <w:t>1.82</w:t>
            </w:r>
          </w:p>
        </w:tc>
        <w:tc>
          <w:tcPr>
            <w:tcW w:w="866" w:type="dxa"/>
          </w:tcPr>
          <w:p w:rsidR="002643CB" w:rsidRPr="00911ECF" w:rsidRDefault="002643CB" w:rsidP="00E20A1A">
            <w:pPr>
              <w:rPr>
                <w:rFonts w:cs="Traditional Arabic" w:hint="cs"/>
                <w:szCs w:val="20"/>
                <w:rtl/>
              </w:rPr>
            </w:pPr>
            <w:r>
              <w:rPr>
                <w:rFonts w:cs="Traditional Arabic" w:hint="cs"/>
                <w:szCs w:val="20"/>
                <w:rtl/>
              </w:rPr>
              <w:t>353</w:t>
            </w:r>
          </w:p>
        </w:tc>
        <w:tc>
          <w:tcPr>
            <w:tcW w:w="866" w:type="dxa"/>
          </w:tcPr>
          <w:p w:rsidR="002643CB" w:rsidRPr="00911ECF" w:rsidRDefault="002643CB" w:rsidP="00E20A1A">
            <w:pPr>
              <w:rPr>
                <w:rFonts w:cs="Traditional Arabic" w:hint="cs"/>
                <w:szCs w:val="20"/>
                <w:rtl/>
              </w:rPr>
            </w:pPr>
            <w:r>
              <w:rPr>
                <w:rFonts w:cs="Traditional Arabic" w:hint="cs"/>
                <w:szCs w:val="20"/>
                <w:rtl/>
              </w:rPr>
              <w:t>393</w:t>
            </w:r>
          </w:p>
        </w:tc>
        <w:tc>
          <w:tcPr>
            <w:tcW w:w="943" w:type="dxa"/>
          </w:tcPr>
          <w:p w:rsidR="002643CB" w:rsidRPr="00911ECF" w:rsidRDefault="002643CB" w:rsidP="00E20A1A">
            <w:pPr>
              <w:rPr>
                <w:rFonts w:cs="Traditional Arabic" w:hint="cs"/>
                <w:szCs w:val="20"/>
                <w:rtl/>
              </w:rPr>
            </w:pPr>
            <w:r>
              <w:rPr>
                <w:rFonts w:cs="Traditional Arabic" w:hint="cs"/>
                <w:szCs w:val="20"/>
                <w:rtl/>
              </w:rPr>
              <w:t>40</w:t>
            </w:r>
          </w:p>
        </w:tc>
        <w:tc>
          <w:tcPr>
            <w:tcW w:w="943" w:type="dxa"/>
          </w:tcPr>
          <w:p w:rsidR="002643CB" w:rsidRPr="00911ECF" w:rsidRDefault="002643CB" w:rsidP="00E20A1A">
            <w:pPr>
              <w:rPr>
                <w:rFonts w:cs="Traditional Arabic" w:hint="cs"/>
                <w:szCs w:val="20"/>
                <w:rtl/>
              </w:rPr>
            </w:pPr>
            <w:r>
              <w:rPr>
                <w:rFonts w:cs="Traditional Arabic" w:hint="cs"/>
                <w:szCs w:val="20"/>
                <w:rtl/>
              </w:rPr>
              <w:t>11.3</w:t>
            </w:r>
          </w:p>
        </w:tc>
        <w:tc>
          <w:tcPr>
            <w:tcW w:w="943" w:type="dxa"/>
          </w:tcPr>
          <w:p w:rsidR="002643CB" w:rsidRPr="00911ECF" w:rsidRDefault="002643CB" w:rsidP="00E20A1A">
            <w:pPr>
              <w:rPr>
                <w:rFonts w:cs="Traditional Arabic" w:hint="cs"/>
                <w:szCs w:val="20"/>
                <w:rtl/>
              </w:rPr>
            </w:pPr>
            <w:r>
              <w:rPr>
                <w:rFonts w:cs="Traditional Arabic" w:hint="cs"/>
                <w:szCs w:val="20"/>
                <w:rtl/>
              </w:rPr>
              <w:t>1.0</w:t>
            </w:r>
          </w:p>
        </w:tc>
        <w:tc>
          <w:tcPr>
            <w:tcW w:w="1433" w:type="dxa"/>
          </w:tcPr>
          <w:p w:rsidR="002643CB" w:rsidRPr="00911ECF" w:rsidRDefault="002643CB" w:rsidP="00E20A1A">
            <w:pPr>
              <w:rPr>
                <w:rFonts w:cs="Traditional Arabic" w:hint="cs"/>
                <w:szCs w:val="20"/>
                <w:rtl/>
              </w:rPr>
            </w:pPr>
            <w:r>
              <w:rPr>
                <w:rFonts w:cs="Traditional Arabic" w:hint="cs"/>
                <w:szCs w:val="20"/>
                <w:rtl/>
              </w:rPr>
              <w:t>4.1</w:t>
            </w:r>
          </w:p>
        </w:tc>
        <w:tc>
          <w:tcPr>
            <w:tcW w:w="1286" w:type="dxa"/>
          </w:tcPr>
          <w:p w:rsidR="002643CB" w:rsidRPr="00911ECF" w:rsidRDefault="002643CB" w:rsidP="00E20A1A">
            <w:pPr>
              <w:rPr>
                <w:rFonts w:cs="Traditional Arabic" w:hint="cs"/>
                <w:szCs w:val="20"/>
                <w:rtl/>
              </w:rPr>
            </w:pPr>
            <w:r>
              <w:rPr>
                <w:rFonts w:cs="Traditional Arabic" w:hint="cs"/>
                <w:szCs w:val="20"/>
                <w:rtl/>
              </w:rPr>
              <w:t>216</w:t>
            </w:r>
          </w:p>
        </w:tc>
      </w:tr>
      <w:tr w:rsidR="002643CB" w:rsidRPr="00911ECF">
        <w:trPr>
          <w:jc w:val="center"/>
        </w:trPr>
        <w:tc>
          <w:tcPr>
            <w:tcW w:w="1398" w:type="dxa"/>
          </w:tcPr>
          <w:p w:rsidR="002643CB" w:rsidRPr="00911ECF" w:rsidRDefault="002643CB" w:rsidP="00E20A1A">
            <w:pPr>
              <w:rPr>
                <w:rFonts w:cs="Traditional Arabic" w:hint="cs"/>
                <w:szCs w:val="20"/>
                <w:rtl/>
              </w:rPr>
            </w:pPr>
            <w:r>
              <w:rPr>
                <w:rFonts w:cs="Traditional Arabic" w:hint="cs"/>
                <w:szCs w:val="20"/>
                <w:rtl/>
              </w:rPr>
              <w:t>نيولاكيتا</w:t>
            </w:r>
          </w:p>
        </w:tc>
        <w:tc>
          <w:tcPr>
            <w:tcW w:w="1172" w:type="dxa"/>
          </w:tcPr>
          <w:p w:rsidR="002643CB" w:rsidRPr="00911ECF" w:rsidRDefault="002643CB" w:rsidP="00E20A1A">
            <w:pPr>
              <w:rPr>
                <w:rFonts w:cs="Traditional Arabic" w:hint="cs"/>
                <w:szCs w:val="20"/>
                <w:rtl/>
              </w:rPr>
            </w:pPr>
            <w:r>
              <w:rPr>
                <w:rFonts w:cs="Traditional Arabic" w:hint="cs"/>
                <w:szCs w:val="20"/>
                <w:rtl/>
              </w:rPr>
              <w:t>0.42</w:t>
            </w:r>
          </w:p>
        </w:tc>
        <w:tc>
          <w:tcPr>
            <w:tcW w:w="866" w:type="dxa"/>
          </w:tcPr>
          <w:p w:rsidR="002643CB" w:rsidRPr="00911ECF" w:rsidRDefault="002643CB" w:rsidP="00E20A1A">
            <w:pPr>
              <w:rPr>
                <w:rFonts w:cs="Traditional Arabic" w:hint="cs"/>
                <w:szCs w:val="20"/>
                <w:rtl/>
              </w:rPr>
            </w:pPr>
            <w:r>
              <w:rPr>
                <w:rFonts w:cs="Traditional Arabic" w:hint="cs"/>
                <w:szCs w:val="20"/>
                <w:rtl/>
              </w:rPr>
              <w:t>75</w:t>
            </w:r>
          </w:p>
        </w:tc>
        <w:tc>
          <w:tcPr>
            <w:tcW w:w="866" w:type="dxa"/>
          </w:tcPr>
          <w:p w:rsidR="002643CB" w:rsidRPr="00911ECF" w:rsidRDefault="002643CB" w:rsidP="00E20A1A">
            <w:pPr>
              <w:rPr>
                <w:rFonts w:cs="Traditional Arabic" w:hint="cs"/>
                <w:szCs w:val="20"/>
                <w:rtl/>
              </w:rPr>
            </w:pPr>
            <w:r>
              <w:rPr>
                <w:rFonts w:cs="Traditional Arabic" w:hint="cs"/>
                <w:szCs w:val="20"/>
                <w:rtl/>
              </w:rPr>
              <w:t>35</w:t>
            </w:r>
          </w:p>
        </w:tc>
        <w:tc>
          <w:tcPr>
            <w:tcW w:w="943" w:type="dxa"/>
          </w:tcPr>
          <w:p w:rsidR="002643CB" w:rsidRPr="00911ECF" w:rsidRDefault="002643CB" w:rsidP="00E20A1A">
            <w:pPr>
              <w:rPr>
                <w:rFonts w:cs="Traditional Arabic" w:hint="cs"/>
                <w:szCs w:val="20"/>
                <w:rtl/>
              </w:rPr>
            </w:pPr>
            <w:r>
              <w:rPr>
                <w:rFonts w:cs="Traditional Arabic" w:hint="cs"/>
                <w:szCs w:val="20"/>
                <w:rtl/>
              </w:rPr>
              <w:t>-40</w:t>
            </w:r>
          </w:p>
        </w:tc>
        <w:tc>
          <w:tcPr>
            <w:tcW w:w="943" w:type="dxa"/>
          </w:tcPr>
          <w:p w:rsidR="002643CB" w:rsidRPr="00911ECF" w:rsidRDefault="002643CB" w:rsidP="00E20A1A">
            <w:pPr>
              <w:rPr>
                <w:rFonts w:cs="Traditional Arabic" w:hint="cs"/>
                <w:szCs w:val="20"/>
                <w:rtl/>
              </w:rPr>
            </w:pPr>
            <w:r>
              <w:rPr>
                <w:rFonts w:cs="Traditional Arabic" w:hint="cs"/>
                <w:szCs w:val="20"/>
                <w:rtl/>
              </w:rPr>
              <w:t>-53.3</w:t>
            </w:r>
          </w:p>
        </w:tc>
        <w:tc>
          <w:tcPr>
            <w:tcW w:w="943" w:type="dxa"/>
          </w:tcPr>
          <w:p w:rsidR="002643CB" w:rsidRPr="00911ECF" w:rsidRDefault="002643CB" w:rsidP="00E20A1A">
            <w:pPr>
              <w:rPr>
                <w:rFonts w:cs="Traditional Arabic" w:hint="cs"/>
                <w:szCs w:val="20"/>
                <w:rtl/>
              </w:rPr>
            </w:pPr>
            <w:r>
              <w:rPr>
                <w:rFonts w:cs="Traditional Arabic" w:hint="cs"/>
                <w:szCs w:val="20"/>
                <w:rtl/>
              </w:rPr>
              <w:t>-6.9</w:t>
            </w:r>
          </w:p>
        </w:tc>
        <w:tc>
          <w:tcPr>
            <w:tcW w:w="1433" w:type="dxa"/>
          </w:tcPr>
          <w:p w:rsidR="002643CB" w:rsidRPr="00911ECF" w:rsidRDefault="002643CB" w:rsidP="00E20A1A">
            <w:pPr>
              <w:rPr>
                <w:rFonts w:cs="Traditional Arabic" w:hint="cs"/>
                <w:szCs w:val="20"/>
                <w:rtl/>
              </w:rPr>
            </w:pPr>
            <w:r>
              <w:rPr>
                <w:rFonts w:cs="Traditional Arabic" w:hint="cs"/>
                <w:szCs w:val="20"/>
                <w:rtl/>
              </w:rPr>
              <w:t>0.4</w:t>
            </w:r>
          </w:p>
        </w:tc>
        <w:tc>
          <w:tcPr>
            <w:tcW w:w="1286" w:type="dxa"/>
          </w:tcPr>
          <w:p w:rsidR="002643CB" w:rsidRPr="00911ECF" w:rsidRDefault="002643CB" w:rsidP="00E20A1A">
            <w:pPr>
              <w:rPr>
                <w:rFonts w:cs="Traditional Arabic" w:hint="cs"/>
                <w:szCs w:val="20"/>
                <w:rtl/>
              </w:rPr>
            </w:pPr>
            <w:r>
              <w:rPr>
                <w:rFonts w:cs="Traditional Arabic" w:hint="cs"/>
                <w:szCs w:val="20"/>
                <w:rtl/>
              </w:rPr>
              <w:t>83</w:t>
            </w:r>
          </w:p>
        </w:tc>
      </w:tr>
      <w:tr w:rsidR="002643CB" w:rsidRPr="00911ECF">
        <w:trPr>
          <w:jc w:val="center"/>
        </w:trPr>
        <w:tc>
          <w:tcPr>
            <w:tcW w:w="1398" w:type="dxa"/>
          </w:tcPr>
          <w:p w:rsidR="002643CB" w:rsidRPr="002A3010" w:rsidRDefault="002643CB" w:rsidP="00E20A1A">
            <w:pPr>
              <w:rPr>
                <w:rFonts w:cs="Traditional Arabic" w:hint="cs"/>
                <w:b/>
                <w:bCs/>
                <w:szCs w:val="20"/>
                <w:rtl/>
              </w:rPr>
            </w:pPr>
            <w:r w:rsidRPr="002A3010">
              <w:rPr>
                <w:rFonts w:cs="Traditional Arabic" w:hint="cs"/>
                <w:b/>
                <w:bCs/>
                <w:szCs w:val="20"/>
                <w:rtl/>
              </w:rPr>
              <w:t>توفالو</w:t>
            </w:r>
          </w:p>
        </w:tc>
        <w:tc>
          <w:tcPr>
            <w:tcW w:w="1172" w:type="dxa"/>
          </w:tcPr>
          <w:p w:rsidR="002643CB" w:rsidRPr="00911ECF" w:rsidRDefault="002643CB" w:rsidP="00E20A1A">
            <w:pPr>
              <w:rPr>
                <w:rFonts w:cs="Traditional Arabic" w:hint="cs"/>
                <w:szCs w:val="20"/>
                <w:rtl/>
              </w:rPr>
            </w:pPr>
            <w:r>
              <w:rPr>
                <w:rFonts w:cs="Traditional Arabic" w:hint="cs"/>
                <w:szCs w:val="20"/>
                <w:rtl/>
              </w:rPr>
              <w:t>25.6</w:t>
            </w:r>
          </w:p>
        </w:tc>
        <w:tc>
          <w:tcPr>
            <w:tcW w:w="866" w:type="dxa"/>
          </w:tcPr>
          <w:p w:rsidR="002643CB" w:rsidRPr="00911ECF" w:rsidRDefault="002643CB" w:rsidP="00E20A1A">
            <w:pPr>
              <w:rPr>
                <w:rFonts w:cs="Traditional Arabic" w:hint="cs"/>
                <w:szCs w:val="20"/>
                <w:rtl/>
              </w:rPr>
            </w:pPr>
            <w:r>
              <w:rPr>
                <w:rFonts w:cs="Traditional Arabic" w:hint="cs"/>
                <w:szCs w:val="20"/>
                <w:rtl/>
              </w:rPr>
              <w:t>9043</w:t>
            </w:r>
          </w:p>
        </w:tc>
        <w:tc>
          <w:tcPr>
            <w:tcW w:w="866" w:type="dxa"/>
          </w:tcPr>
          <w:p w:rsidR="002643CB" w:rsidRPr="00911ECF" w:rsidRDefault="002643CB" w:rsidP="00E20A1A">
            <w:pPr>
              <w:rPr>
                <w:rFonts w:cs="Traditional Arabic" w:hint="cs"/>
                <w:szCs w:val="20"/>
                <w:rtl/>
              </w:rPr>
            </w:pPr>
            <w:r>
              <w:rPr>
                <w:rFonts w:cs="Traditional Arabic" w:hint="cs"/>
                <w:szCs w:val="20"/>
                <w:rtl/>
              </w:rPr>
              <w:t>9561</w:t>
            </w:r>
          </w:p>
        </w:tc>
        <w:tc>
          <w:tcPr>
            <w:tcW w:w="943" w:type="dxa"/>
          </w:tcPr>
          <w:p w:rsidR="002643CB" w:rsidRPr="00911ECF" w:rsidRDefault="002643CB" w:rsidP="00E20A1A">
            <w:pPr>
              <w:rPr>
                <w:rFonts w:cs="Traditional Arabic" w:hint="cs"/>
                <w:szCs w:val="20"/>
                <w:rtl/>
              </w:rPr>
            </w:pPr>
            <w:r>
              <w:rPr>
                <w:rFonts w:cs="Traditional Arabic" w:hint="cs"/>
                <w:szCs w:val="20"/>
                <w:rtl/>
              </w:rPr>
              <w:t>518</w:t>
            </w:r>
          </w:p>
        </w:tc>
        <w:tc>
          <w:tcPr>
            <w:tcW w:w="943" w:type="dxa"/>
          </w:tcPr>
          <w:p w:rsidR="002643CB" w:rsidRPr="00911ECF" w:rsidRDefault="002643CB" w:rsidP="00E20A1A">
            <w:pPr>
              <w:rPr>
                <w:rFonts w:cs="Traditional Arabic" w:hint="cs"/>
                <w:szCs w:val="20"/>
                <w:rtl/>
              </w:rPr>
            </w:pPr>
            <w:r>
              <w:rPr>
                <w:rFonts w:cs="Traditional Arabic" w:hint="cs"/>
                <w:szCs w:val="20"/>
                <w:rtl/>
              </w:rPr>
              <w:t>5.7</w:t>
            </w:r>
          </w:p>
        </w:tc>
        <w:tc>
          <w:tcPr>
            <w:tcW w:w="943" w:type="dxa"/>
          </w:tcPr>
          <w:p w:rsidR="002643CB" w:rsidRPr="00911ECF" w:rsidRDefault="002643CB" w:rsidP="00E20A1A">
            <w:pPr>
              <w:rPr>
                <w:rFonts w:cs="Traditional Arabic" w:hint="cs"/>
                <w:szCs w:val="20"/>
                <w:rtl/>
              </w:rPr>
            </w:pPr>
            <w:r>
              <w:rPr>
                <w:rFonts w:cs="Traditional Arabic" w:hint="cs"/>
                <w:szCs w:val="20"/>
                <w:rtl/>
              </w:rPr>
              <w:t>0.5</w:t>
            </w:r>
          </w:p>
        </w:tc>
        <w:tc>
          <w:tcPr>
            <w:tcW w:w="1433" w:type="dxa"/>
          </w:tcPr>
          <w:p w:rsidR="002643CB" w:rsidRPr="00911ECF" w:rsidRDefault="002643CB" w:rsidP="00E20A1A">
            <w:pPr>
              <w:rPr>
                <w:rFonts w:cs="Traditional Arabic" w:hint="cs"/>
                <w:szCs w:val="20"/>
                <w:rtl/>
              </w:rPr>
            </w:pPr>
            <w:r>
              <w:rPr>
                <w:rFonts w:cs="Traditional Arabic" w:hint="cs"/>
                <w:szCs w:val="20"/>
                <w:rtl/>
              </w:rPr>
              <w:t>100.0</w:t>
            </w:r>
          </w:p>
        </w:tc>
        <w:tc>
          <w:tcPr>
            <w:tcW w:w="1286" w:type="dxa"/>
          </w:tcPr>
          <w:p w:rsidR="002643CB" w:rsidRPr="00911ECF" w:rsidRDefault="002643CB" w:rsidP="00E20A1A">
            <w:pPr>
              <w:rPr>
                <w:rFonts w:cs="Traditional Arabic" w:hint="cs"/>
                <w:szCs w:val="20"/>
                <w:rtl/>
              </w:rPr>
            </w:pPr>
            <w:r>
              <w:rPr>
                <w:rFonts w:cs="Traditional Arabic" w:hint="cs"/>
                <w:szCs w:val="20"/>
                <w:rtl/>
              </w:rPr>
              <w:t>373</w:t>
            </w:r>
          </w:p>
        </w:tc>
      </w:tr>
    </w:tbl>
    <w:p w:rsidR="00C661F8" w:rsidRPr="00C661F8" w:rsidRDefault="00C661F8" w:rsidP="00C661F8">
      <w:pPr>
        <w:pStyle w:val="SingleTxt"/>
        <w:spacing w:after="0" w:line="120" w:lineRule="exact"/>
        <w:rPr>
          <w:rFonts w:hint="cs"/>
          <w:sz w:val="10"/>
          <w:rtl/>
        </w:rPr>
      </w:pPr>
    </w:p>
    <w:p w:rsidR="00C661F8" w:rsidRPr="00C661F8" w:rsidRDefault="00C661F8" w:rsidP="00C661F8">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C661F8">
        <w:rPr>
          <w:rFonts w:hint="cs"/>
          <w:rtl/>
        </w:rPr>
        <w:t>*</w:t>
      </w:r>
      <w:r>
        <w:rPr>
          <w:rFonts w:hint="cs"/>
          <w:rtl/>
        </w:rPr>
        <w:tab/>
      </w:r>
      <w:r w:rsidRPr="00C661F8">
        <w:rPr>
          <w:rFonts w:hint="cs"/>
          <w:rtl/>
        </w:rPr>
        <w:t>متوسط معدل النمو السنوي (كنسبة مئوية)</w:t>
      </w:r>
    </w:p>
    <w:p w:rsidR="00D27C6F" w:rsidRDefault="00C661F8" w:rsidP="00C661F8">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C661F8">
        <w:rPr>
          <w:rFonts w:hint="cs"/>
          <w:rtl/>
        </w:rPr>
        <w:t>المصدر:</w:t>
      </w:r>
      <w:r>
        <w:rPr>
          <w:rFonts w:hint="cs"/>
          <w:rtl/>
        </w:rPr>
        <w:tab/>
      </w:r>
      <w:r w:rsidRPr="00C661F8">
        <w:rPr>
          <w:rFonts w:hint="cs"/>
          <w:rtl/>
        </w:rPr>
        <w:t>تعداد السكان والمساكن في توفالو عام 2002، المجلد الأول، تقرير تحليلي.</w:t>
      </w:r>
    </w:p>
    <w:p w:rsidR="00C661F8" w:rsidRPr="00C661F8" w:rsidRDefault="00C661F8" w:rsidP="00C661F8">
      <w:pPr>
        <w:pStyle w:val="SingleTxt"/>
        <w:spacing w:after="0" w:line="120" w:lineRule="exact"/>
        <w:rPr>
          <w:rFonts w:hint="cs"/>
          <w:sz w:val="10"/>
          <w:rtl/>
        </w:rPr>
      </w:pPr>
    </w:p>
    <w:p w:rsidR="00C661F8" w:rsidRPr="00C661F8" w:rsidRDefault="00C661F8" w:rsidP="00C661F8">
      <w:pPr>
        <w:pStyle w:val="SingleTxt"/>
        <w:rPr>
          <w:rFonts w:hint="cs"/>
          <w:rtl/>
        </w:rPr>
      </w:pPr>
      <w:r w:rsidRPr="00C661F8">
        <w:rPr>
          <w:rFonts w:hint="cs"/>
          <w:rtl/>
        </w:rPr>
        <w:t>13 -</w:t>
      </w:r>
      <w:r w:rsidRPr="00C661F8">
        <w:rPr>
          <w:rFonts w:hint="cs"/>
          <w:rtl/>
        </w:rPr>
        <w:tab/>
        <w:t>تبين نتائج إحصاءات عام 2002 أيضاً أن حوالي 47 في المائة من مجموع السكان يعيشون الآن في العاصمة فونافوتي، وهذا يعني حدوث زيادة، حيث كان سكان العاصمة يمثلون 42 في المائة من مجموع السكان في عام 1991 و 29 في المائة فقط وقت الاستقلال في عام 1978. ويقدر الآن أن سكان فونافوتي الأصليين يشكلون أقل من ربع عدد السكان المقيمين في الجزيرة الرئيسية. ويؤدي نزوح السكان إلى العاصمة إلى قضايا ضغط سكاني خطيرة، مثل الازدحام الشديد وزيادة المساكن العشوائية في فونافوتي. وفي عام 2002، قدرت الكثافة السكانية في فونافوتي بـ 1610 أشخاص لكل كيلومتر مربع مقابل 1375 شخصاً لكل كيلومتر مربع في عام 1991 و 760 شخصاً فقط وقت الاستقلال في عام 1978. وبالإضافة إلى القضايا البيئية الخطيرة، مثل مشاكل المساكن العشوائية والمساكن الأخرى المتدنية النوعية، ومشاكل إدارة النفايات والإمداد بالمياه، يوجد عدد متزايد من المنازعات على الأراضي بين مالكي الأراضي التقليديين في فونافوتي ومالكي الأراضي المهاجرين إلى فونافوتي.</w:t>
      </w:r>
    </w:p>
    <w:p w:rsidR="00C661F8" w:rsidRDefault="00C661F8" w:rsidP="00C661F8">
      <w:pPr>
        <w:pStyle w:val="SingleTxt"/>
        <w:rPr>
          <w:rFonts w:hint="cs"/>
          <w:rtl/>
        </w:rPr>
      </w:pPr>
    </w:p>
    <w:p w:rsidR="00C661F8" w:rsidRPr="00AB5E1F" w:rsidRDefault="00C661F8" w:rsidP="00C661F8">
      <w:pPr>
        <w:jc w:val="center"/>
        <w:rPr>
          <w:rFonts w:hint="cs"/>
          <w:b/>
          <w:bCs/>
          <w:sz w:val="28"/>
          <w:szCs w:val="28"/>
          <w:rtl/>
        </w:rPr>
      </w:pPr>
      <w:r w:rsidRPr="00AB5E1F">
        <w:rPr>
          <w:rFonts w:hint="cs"/>
          <w:b/>
          <w:bCs/>
          <w:sz w:val="28"/>
          <w:szCs w:val="28"/>
          <w:rtl/>
        </w:rPr>
        <w:t xml:space="preserve">الشكل 1: النسبة المئوية للسكان موزعين حسب نوع الجنس إلى فئات عمرية نطاقها </w:t>
      </w:r>
      <w:r>
        <w:rPr>
          <w:rFonts w:hint="cs"/>
          <w:b/>
          <w:bCs/>
          <w:sz w:val="28"/>
          <w:szCs w:val="28"/>
          <w:rtl/>
        </w:rPr>
        <w:t>خمس</w:t>
      </w:r>
      <w:r w:rsidRPr="00AB5E1F">
        <w:rPr>
          <w:rFonts w:hint="cs"/>
          <w:b/>
          <w:bCs/>
          <w:sz w:val="28"/>
          <w:szCs w:val="28"/>
          <w:rtl/>
        </w:rPr>
        <w:t xml:space="preserve"> سنوات</w:t>
      </w:r>
    </w:p>
    <w:p w:rsidR="00C661F8" w:rsidRDefault="00E20A1A" w:rsidP="00C661F8">
      <w:pPr>
        <w:pStyle w:val="SingleTxt"/>
        <w:rPr>
          <w:rFonts w:hint="cs"/>
          <w:rtl/>
        </w:rPr>
      </w:pPr>
      <w:r>
        <w:rPr>
          <w:rFonts w:hint="cs"/>
          <w:b/>
          <w:bCs/>
          <w:noProof/>
          <w:w w:val="100"/>
          <w:sz w:val="28"/>
          <w:szCs w:val="28"/>
          <w:rtl/>
        </w:rPr>
        <w:pict>
          <v:shapetype id="_x0000_t202" coordsize="21600,21600" o:spt="202" path="m,l,21600r21600,l21600,xe">
            <v:stroke joinstyle="miter"/>
            <v:path gradientshapeok="t" o:connecttype="rect"/>
          </v:shapetype>
          <v:shape id="_x0000_s2067" type="#_x0000_t202" style="position:absolute;left:0;text-align:left;margin-left:24pt;margin-top:3.2pt;width:55.8pt;height:18pt;z-index:8" strokecolor="white">
            <v:textbox inset="0,0,0,0">
              <w:txbxContent>
                <w:p w:rsidR="00F93B21" w:rsidRPr="00E20A1A" w:rsidRDefault="00F93B21" w:rsidP="00E20A1A">
                  <w:pPr>
                    <w:spacing w:line="340" w:lineRule="exact"/>
                    <w:jc w:val="center"/>
                    <w:rPr>
                      <w:rFonts w:hint="cs"/>
                      <w:b/>
                      <w:bCs/>
                      <w:lang w:bidi="ar-EG"/>
                    </w:rPr>
                  </w:pPr>
                  <w:r>
                    <w:rPr>
                      <w:rFonts w:hint="cs"/>
                      <w:b/>
                      <w:bCs/>
                      <w:rtl/>
                      <w:lang w:bidi="ar-EG"/>
                    </w:rPr>
                    <w:t>العمر</w:t>
                  </w:r>
                </w:p>
              </w:txbxContent>
            </v:textbox>
          </v:shape>
        </w:pict>
      </w:r>
      <w:r>
        <w:rPr>
          <w:rFonts w:hint="cs"/>
          <w:noProof/>
          <w:w w:val="100"/>
          <w:rtl/>
        </w:rPr>
        <w:pict>
          <v:shape id="_x0000_s2064" type="#_x0000_t202" style="position:absolute;left:0;text-align:left;margin-left:209.05pt;margin-top:1.65pt;width:80pt;height:18pt;z-index:5" strokecolor="white">
            <v:textbox inset="0,0,0,0">
              <w:txbxContent>
                <w:p w:rsidR="00F93B21" w:rsidRPr="00E20A1A" w:rsidRDefault="00F93B21" w:rsidP="00E20A1A">
                  <w:pPr>
                    <w:spacing w:line="340" w:lineRule="exact"/>
                    <w:jc w:val="center"/>
                    <w:rPr>
                      <w:rFonts w:hint="cs"/>
                      <w:b/>
                      <w:bCs/>
                      <w:lang w:bidi="ar-EG"/>
                    </w:rPr>
                  </w:pPr>
                  <w:r w:rsidRPr="00E20A1A">
                    <w:rPr>
                      <w:rFonts w:hint="cs"/>
                      <w:b/>
                      <w:bCs/>
                      <w:rtl/>
                      <w:lang w:bidi="ar-EG"/>
                    </w:rPr>
                    <w:t>توفالو</w:t>
                  </w:r>
                </w:p>
              </w:txbxContent>
            </v:textbox>
          </v:shape>
        </w:pict>
      </w:r>
    </w:p>
    <w:p w:rsidR="00C661F8" w:rsidRDefault="00E20A1A" w:rsidP="00C661F8">
      <w:pPr>
        <w:pStyle w:val="SingleTxt"/>
        <w:rPr>
          <w:rFonts w:hint="cs"/>
          <w:rtl/>
        </w:rPr>
      </w:pPr>
      <w:r>
        <w:rPr>
          <w:rFonts w:hint="cs"/>
          <w:b/>
          <w:bCs/>
          <w:noProof/>
          <w:w w:val="100"/>
          <w:sz w:val="28"/>
          <w:szCs w:val="28"/>
          <w:rtl/>
        </w:rPr>
        <w:pict>
          <v:shape id="_x0000_s2065" type="#_x0000_t202" style="position:absolute;left:0;text-align:left;margin-left:120pt;margin-top:14.4pt;width:80pt;height:18pt;z-index:6" strokecolor="white">
            <v:textbox inset="0,0,0,0">
              <w:txbxContent>
                <w:p w:rsidR="00F93B21" w:rsidRPr="00E20A1A" w:rsidRDefault="00F93B21" w:rsidP="00E20A1A">
                  <w:pPr>
                    <w:spacing w:line="340" w:lineRule="exact"/>
                    <w:jc w:val="center"/>
                    <w:rPr>
                      <w:rFonts w:hint="cs"/>
                      <w:b/>
                      <w:bCs/>
                      <w:lang w:bidi="ar-EG"/>
                    </w:rPr>
                  </w:pPr>
                  <w:r>
                    <w:rPr>
                      <w:rFonts w:hint="cs"/>
                      <w:b/>
                      <w:bCs/>
                      <w:rtl/>
                      <w:lang w:bidi="ar-EG"/>
                    </w:rPr>
                    <w:t>ذكور</w:t>
                  </w:r>
                </w:p>
              </w:txbxContent>
            </v:textbox>
          </v:shape>
        </w:pict>
      </w:r>
      <w:r>
        <w:rPr>
          <w:rFonts w:hint="cs"/>
          <w:b/>
          <w:bCs/>
          <w:noProof/>
          <w:w w:val="100"/>
          <w:sz w:val="28"/>
          <w:szCs w:val="28"/>
          <w:rtl/>
        </w:rPr>
        <w:pict>
          <v:shape id="_x0000_s2066" type="#_x0000_t202" style="position:absolute;left:0;text-align:left;margin-left:4in;margin-top:14.4pt;width:80pt;height:18pt;z-index:7" strokecolor="white">
            <v:textbox inset="0,0,0,0">
              <w:txbxContent>
                <w:p w:rsidR="00F93B21" w:rsidRPr="00E20A1A" w:rsidRDefault="00F93B21" w:rsidP="00E20A1A">
                  <w:pPr>
                    <w:spacing w:line="340" w:lineRule="exact"/>
                    <w:jc w:val="center"/>
                    <w:rPr>
                      <w:rFonts w:hint="cs"/>
                      <w:b/>
                      <w:bCs/>
                      <w:lang w:bidi="ar-EG"/>
                    </w:rPr>
                  </w:pPr>
                  <w:r>
                    <w:rPr>
                      <w:rFonts w:hint="cs"/>
                      <w:b/>
                      <w:bCs/>
                      <w:rtl/>
                      <w:lang w:bidi="ar-EG"/>
                    </w:rPr>
                    <w:t>إناث</w:t>
                  </w:r>
                </w:p>
              </w:txbxContent>
            </v:textbox>
          </v:shape>
        </w:pict>
      </w:r>
    </w:p>
    <w:p w:rsidR="00C661F8" w:rsidRDefault="00C661F8" w:rsidP="00C661F8">
      <w:pPr>
        <w:pStyle w:val="SingleTxt"/>
        <w:rPr>
          <w:rFonts w:hint="cs"/>
          <w:rtl/>
        </w:rPr>
      </w:pPr>
    </w:p>
    <w:p w:rsidR="00C661F8" w:rsidRDefault="00C661F8" w:rsidP="00C661F8">
      <w:pPr>
        <w:pStyle w:val="SingleTxt"/>
        <w:rPr>
          <w:rFonts w:hint="cs"/>
          <w:rtl/>
        </w:rPr>
      </w:pPr>
    </w:p>
    <w:p w:rsidR="00C661F8" w:rsidRDefault="00C661F8" w:rsidP="00C661F8">
      <w:pPr>
        <w:pStyle w:val="SingleTxt"/>
        <w:rPr>
          <w:rFonts w:hint="cs"/>
          <w:rtl/>
        </w:rPr>
      </w:pPr>
    </w:p>
    <w:p w:rsidR="00C661F8" w:rsidRDefault="00C661F8" w:rsidP="00C661F8">
      <w:pPr>
        <w:pStyle w:val="SingleTxt"/>
        <w:rPr>
          <w:rFonts w:hint="cs"/>
          <w:rtl/>
        </w:rPr>
      </w:pPr>
    </w:p>
    <w:p w:rsidR="00C661F8" w:rsidRDefault="00C661F8" w:rsidP="00C661F8">
      <w:pPr>
        <w:rPr>
          <w:rFonts w:hint="cs"/>
          <w:sz w:val="32"/>
          <w:szCs w:val="32"/>
          <w:rtl/>
        </w:rPr>
      </w:pPr>
    </w:p>
    <w:p w:rsidR="00C661F8" w:rsidRDefault="00C661F8" w:rsidP="00C661F8">
      <w:pPr>
        <w:jc w:val="center"/>
        <w:rPr>
          <w:rFonts w:hint="cs"/>
          <w:sz w:val="32"/>
          <w:szCs w:val="32"/>
          <w:rtl/>
        </w:rPr>
      </w:pPr>
    </w:p>
    <w:p w:rsidR="00C661F8" w:rsidRDefault="00C661F8" w:rsidP="00C661F8">
      <w:pPr>
        <w:rPr>
          <w:rFonts w:hint="cs"/>
          <w:sz w:val="32"/>
          <w:szCs w:val="32"/>
          <w:rtl/>
        </w:rPr>
      </w:pPr>
    </w:p>
    <w:p w:rsidR="00C661F8" w:rsidRDefault="00E20A1A" w:rsidP="00C661F8">
      <w:pPr>
        <w:pStyle w:val="SingleTxt"/>
        <w:rPr>
          <w:rFonts w:hint="cs"/>
          <w:sz w:val="32"/>
          <w:szCs w:val="32"/>
          <w:rtl/>
        </w:rPr>
      </w:pPr>
      <w:r>
        <w:rPr>
          <w:noProof/>
          <w:w w:val="100"/>
          <w:sz w:val="32"/>
          <w:szCs w:val="32"/>
          <w:rtl/>
        </w:rPr>
        <w:pict>
          <v:shape id="_x0000_s2068" type="#_x0000_t202" style="position:absolute;left:0;text-align:left;margin-left:204pt;margin-top:4.4pt;width:80pt;height:18pt;z-index:9" strokecolor="white">
            <v:textbox inset="0,0,0,0">
              <w:txbxContent>
                <w:p w:rsidR="00F93B21" w:rsidRPr="00E20A1A" w:rsidRDefault="00F93B21" w:rsidP="00E20A1A">
                  <w:pPr>
                    <w:spacing w:line="340" w:lineRule="exact"/>
                    <w:jc w:val="center"/>
                    <w:rPr>
                      <w:rFonts w:hint="cs"/>
                      <w:b/>
                      <w:bCs/>
                      <w:lang w:bidi="ar-EG"/>
                    </w:rPr>
                  </w:pPr>
                  <w:r>
                    <w:rPr>
                      <w:rFonts w:hint="cs"/>
                      <w:b/>
                      <w:bCs/>
                      <w:rtl/>
                      <w:lang w:bidi="ar-EG"/>
                    </w:rPr>
                    <w:t>النسبة المئوية</w:t>
                  </w:r>
                </w:p>
              </w:txbxContent>
            </v:textbox>
          </v:shape>
        </w:pict>
      </w:r>
      <w:r w:rsidR="00C661F8">
        <w:rPr>
          <w:noProof/>
          <w:sz w:val="32"/>
          <w:szCs w:val="32"/>
          <w:rtl/>
        </w:rPr>
        <w:pict>
          <v:shape id="_x0000_s2059" type="#_x0000_t75" alt="" style="position:absolute;left:0;text-align:left;margin-left:0;margin-top:-217.4pt;width:423pt;height:233.4pt;z-index:4;mso-position-horizontal:center">
            <v:imagedata r:id="rId15" o:title="PyrTuvalu"/>
          </v:shape>
        </w:pict>
      </w:r>
    </w:p>
    <w:p w:rsidR="00C661F8" w:rsidRDefault="00C661F8" w:rsidP="00C661F8">
      <w:pPr>
        <w:ind w:left="720" w:firstLine="720"/>
        <w:rPr>
          <w:rFonts w:hint="cs"/>
          <w:sz w:val="28"/>
          <w:szCs w:val="28"/>
          <w:rtl/>
        </w:rPr>
      </w:pPr>
      <w:r w:rsidRPr="00AB5E1F">
        <w:rPr>
          <w:rFonts w:hint="cs"/>
          <w:sz w:val="28"/>
          <w:szCs w:val="28"/>
          <w:rtl/>
        </w:rPr>
        <w:t xml:space="preserve">المصدر: تقرير </w:t>
      </w:r>
      <w:r>
        <w:rPr>
          <w:rFonts w:hint="cs"/>
          <w:sz w:val="28"/>
          <w:szCs w:val="28"/>
          <w:rtl/>
        </w:rPr>
        <w:t>تعداد</w:t>
      </w:r>
      <w:r w:rsidRPr="00AB5E1F">
        <w:rPr>
          <w:rFonts w:hint="cs"/>
          <w:sz w:val="28"/>
          <w:szCs w:val="28"/>
          <w:rtl/>
        </w:rPr>
        <w:t xml:space="preserve"> سكان توفالو</w:t>
      </w:r>
      <w:r>
        <w:rPr>
          <w:rFonts w:hint="cs"/>
          <w:sz w:val="28"/>
          <w:szCs w:val="28"/>
          <w:rtl/>
        </w:rPr>
        <w:t>،</w:t>
      </w:r>
      <w:r w:rsidRPr="00AB5E1F">
        <w:rPr>
          <w:rFonts w:hint="cs"/>
          <w:sz w:val="28"/>
          <w:szCs w:val="28"/>
          <w:rtl/>
        </w:rPr>
        <w:t xml:space="preserve"> عام 2002</w:t>
      </w:r>
    </w:p>
    <w:p w:rsidR="00C661F8" w:rsidRDefault="00C661F8" w:rsidP="00C661F8">
      <w:pPr>
        <w:pStyle w:val="SingleTxt"/>
        <w:rPr>
          <w:rFonts w:hint="cs"/>
          <w:rtl/>
        </w:rPr>
      </w:pPr>
    </w:p>
    <w:p w:rsidR="00B621B7" w:rsidRPr="00B621B7" w:rsidRDefault="00B621B7" w:rsidP="00B621B7">
      <w:pPr>
        <w:pStyle w:val="SingleTxt"/>
        <w:rPr>
          <w:rFonts w:hint="cs"/>
          <w:rtl/>
        </w:rPr>
      </w:pPr>
      <w:r w:rsidRPr="00B621B7">
        <w:rPr>
          <w:rFonts w:hint="cs"/>
          <w:rtl/>
        </w:rPr>
        <w:t>14 -</w:t>
      </w:r>
      <w:r w:rsidRPr="00B621B7">
        <w:rPr>
          <w:rFonts w:hint="cs"/>
          <w:rtl/>
        </w:rPr>
        <w:tab/>
        <w:t>مع أن نسبة الإناث من الفئة العمرية 5 إلى 19 عاماً ازدادت، فإن النسبة المتغيرة بين الجنسين تأثرت بحدوث نقص في نسبة الإناث من الفئة العمرية 25</w:t>
      </w:r>
      <w:r>
        <w:rPr>
          <w:rFonts w:hint="cs"/>
          <w:rtl/>
        </w:rPr>
        <w:t>-</w:t>
      </w:r>
      <w:r w:rsidRPr="00B621B7">
        <w:rPr>
          <w:rFonts w:hint="cs"/>
          <w:rtl/>
        </w:rPr>
        <w:t xml:space="preserve">39 عاماً. ويعزى السبب الرئيسي لهذا الاختلال إلى أن الهجرة انتقائية وإلى أن نسبة الذكور الذين يهاجرون إلى الخارج أعلى. ولو أن المهاجرين المؤقتين، بمن فيهم البحارة، أُدرجوا في تعداد السكان لكان عدد الذكور أكبر من عدد الإناث، ولكانت الفجوة أقل. وتشير الإحصاءات إلى أنه يوجد في توفالو أطفال وشباب، ذكور وإناث، من الفئة العمرية صفر </w:t>
      </w:r>
      <w:r w:rsidR="00084D51">
        <w:rPr>
          <w:rtl/>
        </w:rPr>
        <w:t>-</w:t>
      </w:r>
      <w:r w:rsidRPr="00B621B7">
        <w:rPr>
          <w:rFonts w:hint="cs"/>
          <w:rtl/>
        </w:rPr>
        <w:t xml:space="preserve"> 14 عاماً والفئة العمرية 15</w:t>
      </w:r>
      <w:r>
        <w:rPr>
          <w:rFonts w:hint="cs"/>
          <w:rtl/>
        </w:rPr>
        <w:t>-</w:t>
      </w:r>
      <w:r w:rsidRPr="00B621B7">
        <w:rPr>
          <w:rFonts w:hint="cs"/>
          <w:rtl/>
        </w:rPr>
        <w:t>24 عاماً.</w:t>
      </w:r>
    </w:p>
    <w:p w:rsidR="00B621B7" w:rsidRPr="00B621B7" w:rsidRDefault="00B621B7" w:rsidP="00B621B7">
      <w:pPr>
        <w:pStyle w:val="SingleTxt"/>
        <w:rPr>
          <w:rFonts w:hint="cs"/>
          <w:rtl/>
        </w:rPr>
      </w:pPr>
      <w:r w:rsidRPr="00B621B7">
        <w:rPr>
          <w:rFonts w:hint="cs"/>
          <w:rtl/>
        </w:rPr>
        <w:t>15</w:t>
      </w:r>
      <w:r>
        <w:rPr>
          <w:rFonts w:hint="cs"/>
          <w:rtl/>
        </w:rPr>
        <w:t xml:space="preserve"> -</w:t>
      </w:r>
      <w:r>
        <w:rPr>
          <w:rFonts w:hint="cs"/>
          <w:rtl/>
        </w:rPr>
        <w:tab/>
      </w:r>
      <w:r w:rsidRPr="00B621B7">
        <w:rPr>
          <w:rFonts w:hint="cs"/>
          <w:rtl/>
        </w:rPr>
        <w:t xml:space="preserve">أكثر من نصف السكان ناشطون اقتصادياً، ومن الفئة العمرية 15 </w:t>
      </w:r>
      <w:r w:rsidR="00084D51">
        <w:rPr>
          <w:rtl/>
        </w:rPr>
        <w:t>-</w:t>
      </w:r>
      <w:r w:rsidRPr="00B621B7">
        <w:rPr>
          <w:rFonts w:hint="cs"/>
          <w:rtl/>
        </w:rPr>
        <w:t xml:space="preserve"> 59 عاماً. وقد ازدادت نسبة الصغار المعالين بينما تناقصت نسبة المسنين، مع زيادة عدد النساء على عدد الرجال في الفئة العمرية 60 عاماً فما فوق، وذلك كما يتضح من الشكل أعلاه. وكما يبين الجدول 2، العمر المتوقع عند الولادة بالنسبة للإناث 65.1 عاماً والذكور 61.7.</w:t>
      </w:r>
    </w:p>
    <w:p w:rsidR="00B621B7" w:rsidRPr="00B621B7" w:rsidRDefault="00B621B7" w:rsidP="00B621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B621B7">
        <w:rPr>
          <w:rFonts w:hint="cs"/>
          <w:rtl/>
        </w:rPr>
        <w:tab/>
      </w:r>
      <w:r w:rsidRPr="00B621B7">
        <w:rPr>
          <w:rFonts w:hint="cs"/>
          <w:rtl/>
        </w:rPr>
        <w:tab/>
        <w:t>مؤشرات التنمية</w:t>
      </w:r>
    </w:p>
    <w:p w:rsidR="00B621B7" w:rsidRPr="00B621B7" w:rsidRDefault="00B621B7" w:rsidP="00B621B7">
      <w:pPr>
        <w:pStyle w:val="SingleTxt"/>
        <w:spacing w:after="0" w:line="120" w:lineRule="exact"/>
        <w:rPr>
          <w:rFonts w:hint="cs"/>
          <w:sz w:val="10"/>
          <w:rtl/>
        </w:rPr>
      </w:pPr>
    </w:p>
    <w:p w:rsidR="00C661F8" w:rsidRDefault="00B621B7" w:rsidP="00B621B7">
      <w:pPr>
        <w:pStyle w:val="SingleTxt"/>
        <w:rPr>
          <w:rFonts w:hint="cs"/>
          <w:b/>
          <w:bCs/>
          <w:rtl/>
        </w:rPr>
      </w:pPr>
      <w:r w:rsidRPr="00B621B7">
        <w:rPr>
          <w:rFonts w:hint="cs"/>
          <w:b/>
          <w:bCs/>
          <w:rtl/>
        </w:rPr>
        <w:t>الجدول 2: مؤشرات التنمية الرئيسية</w:t>
      </w:r>
      <w:r w:rsidR="00F3241C">
        <w:rPr>
          <w:rFonts w:hint="cs"/>
          <w:b/>
          <w:bCs/>
          <w:rtl/>
        </w:rPr>
        <w:t xml:space="preserve"> في توفالو</w:t>
      </w:r>
    </w:p>
    <w:p w:rsidR="002249EC" w:rsidRPr="002249EC" w:rsidRDefault="002249EC" w:rsidP="002249EC">
      <w:pPr>
        <w:pStyle w:val="SingleTxt"/>
        <w:spacing w:after="0" w:line="120" w:lineRule="exact"/>
        <w:rPr>
          <w:rFonts w:hint="cs"/>
          <w:b/>
          <w:bCs/>
          <w:sz w:val="10"/>
          <w:rtl/>
        </w:rPr>
      </w:pPr>
    </w:p>
    <w:tbl>
      <w:tblPr>
        <w:tblStyle w:val="TableGrid"/>
        <w:bidiVisual/>
        <w:tblW w:w="0" w:type="auto"/>
        <w:jc w:val="center"/>
        <w:tblInd w:w="-3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4"/>
        <w:gridCol w:w="1008"/>
        <w:gridCol w:w="1008"/>
        <w:gridCol w:w="1008"/>
        <w:gridCol w:w="2880"/>
      </w:tblGrid>
      <w:tr w:rsidR="00B621B7" w:rsidRPr="00B621B7">
        <w:trPr>
          <w:cantSplit/>
          <w:tblHeader/>
          <w:jc w:val="center"/>
        </w:trPr>
        <w:tc>
          <w:tcPr>
            <w:tcW w:w="3264" w:type="dxa"/>
            <w:tcBorders>
              <w:top w:val="single" w:sz="4" w:space="0" w:color="auto"/>
              <w:bottom w:val="single" w:sz="12" w:space="0" w:color="auto"/>
            </w:tcBorders>
            <w:shd w:val="clear" w:color="auto" w:fill="auto"/>
            <w:vAlign w:val="bottom"/>
          </w:tcPr>
          <w:p w:rsidR="00B621B7" w:rsidRPr="00B621B7" w:rsidRDefault="00B621B7" w:rsidP="00B621B7">
            <w:pPr>
              <w:spacing w:before="80" w:after="80" w:line="240" w:lineRule="exact"/>
              <w:jc w:val="center"/>
              <w:rPr>
                <w:rFonts w:cs="Traditional Arabic" w:hint="cs"/>
                <w:b/>
                <w:bCs/>
                <w:i/>
                <w:iCs/>
                <w:sz w:val="16"/>
                <w:szCs w:val="24"/>
                <w:rtl/>
              </w:rPr>
            </w:pPr>
            <w:r w:rsidRPr="00B621B7">
              <w:rPr>
                <w:rFonts w:cs="Traditional Arabic" w:hint="cs"/>
                <w:b/>
                <w:bCs/>
                <w:i/>
                <w:iCs/>
                <w:sz w:val="16"/>
                <w:szCs w:val="24"/>
                <w:rtl/>
              </w:rPr>
              <w:t>المؤشر</w:t>
            </w:r>
          </w:p>
        </w:tc>
        <w:tc>
          <w:tcPr>
            <w:tcW w:w="1008" w:type="dxa"/>
            <w:tcBorders>
              <w:top w:val="single" w:sz="4" w:space="0" w:color="auto"/>
              <w:bottom w:val="single" w:sz="12" w:space="0" w:color="auto"/>
            </w:tcBorders>
            <w:shd w:val="clear" w:color="auto" w:fill="auto"/>
            <w:vAlign w:val="bottom"/>
          </w:tcPr>
          <w:p w:rsidR="00B621B7" w:rsidRPr="00B621B7" w:rsidRDefault="00B621B7" w:rsidP="00B621B7">
            <w:pPr>
              <w:spacing w:before="80" w:after="80" w:line="240" w:lineRule="exact"/>
              <w:ind w:right="144"/>
              <w:jc w:val="lowKashida"/>
              <w:rPr>
                <w:rFonts w:cs="Traditional Arabic" w:hint="cs"/>
                <w:b/>
                <w:bCs/>
                <w:i/>
                <w:iCs/>
                <w:sz w:val="16"/>
                <w:szCs w:val="24"/>
                <w:rtl/>
              </w:rPr>
            </w:pPr>
            <w:r w:rsidRPr="00B621B7">
              <w:rPr>
                <w:rFonts w:cs="Traditional Arabic" w:hint="cs"/>
                <w:b/>
                <w:bCs/>
                <w:i/>
                <w:iCs/>
                <w:sz w:val="16"/>
                <w:szCs w:val="24"/>
                <w:rtl/>
              </w:rPr>
              <w:t>المجموع</w:t>
            </w:r>
          </w:p>
        </w:tc>
        <w:tc>
          <w:tcPr>
            <w:tcW w:w="1008" w:type="dxa"/>
            <w:tcBorders>
              <w:top w:val="single" w:sz="4" w:space="0" w:color="auto"/>
              <w:bottom w:val="single" w:sz="12" w:space="0" w:color="auto"/>
            </w:tcBorders>
            <w:shd w:val="clear" w:color="auto" w:fill="auto"/>
            <w:vAlign w:val="bottom"/>
          </w:tcPr>
          <w:p w:rsidR="00B621B7" w:rsidRPr="00B621B7" w:rsidRDefault="00B621B7" w:rsidP="00B621B7">
            <w:pPr>
              <w:spacing w:before="80" w:after="80" w:line="240" w:lineRule="exact"/>
              <w:ind w:right="144"/>
              <w:jc w:val="lowKashida"/>
              <w:rPr>
                <w:rFonts w:cs="Traditional Arabic" w:hint="cs"/>
                <w:b/>
                <w:bCs/>
                <w:i/>
                <w:iCs/>
                <w:sz w:val="16"/>
                <w:szCs w:val="24"/>
                <w:rtl/>
              </w:rPr>
            </w:pPr>
            <w:r w:rsidRPr="00B621B7">
              <w:rPr>
                <w:rFonts w:cs="Traditional Arabic" w:hint="cs"/>
                <w:b/>
                <w:bCs/>
                <w:i/>
                <w:iCs/>
                <w:sz w:val="16"/>
                <w:szCs w:val="24"/>
                <w:rtl/>
              </w:rPr>
              <w:t>ذكور</w:t>
            </w:r>
          </w:p>
        </w:tc>
        <w:tc>
          <w:tcPr>
            <w:tcW w:w="1008" w:type="dxa"/>
            <w:tcBorders>
              <w:top w:val="single" w:sz="4" w:space="0" w:color="auto"/>
              <w:bottom w:val="single" w:sz="12" w:space="0" w:color="auto"/>
            </w:tcBorders>
            <w:shd w:val="clear" w:color="auto" w:fill="auto"/>
            <w:vAlign w:val="bottom"/>
          </w:tcPr>
          <w:p w:rsidR="00B621B7" w:rsidRPr="00B621B7" w:rsidRDefault="00B621B7" w:rsidP="00B621B7">
            <w:pPr>
              <w:spacing w:before="80" w:after="80" w:line="240" w:lineRule="exact"/>
              <w:ind w:right="144"/>
              <w:jc w:val="lowKashida"/>
              <w:rPr>
                <w:rFonts w:cs="Traditional Arabic" w:hint="cs"/>
                <w:b/>
                <w:bCs/>
                <w:i/>
                <w:iCs/>
                <w:sz w:val="16"/>
                <w:szCs w:val="24"/>
                <w:rtl/>
              </w:rPr>
            </w:pPr>
            <w:r w:rsidRPr="00B621B7">
              <w:rPr>
                <w:rFonts w:cs="Traditional Arabic" w:hint="cs"/>
                <w:b/>
                <w:bCs/>
                <w:i/>
                <w:iCs/>
                <w:sz w:val="16"/>
                <w:szCs w:val="24"/>
                <w:rtl/>
              </w:rPr>
              <w:t>إناث</w:t>
            </w:r>
          </w:p>
        </w:tc>
        <w:tc>
          <w:tcPr>
            <w:tcW w:w="2880" w:type="dxa"/>
            <w:tcBorders>
              <w:top w:val="single" w:sz="4" w:space="0" w:color="auto"/>
              <w:bottom w:val="single" w:sz="12" w:space="0" w:color="auto"/>
            </w:tcBorders>
            <w:shd w:val="clear" w:color="auto" w:fill="auto"/>
            <w:vAlign w:val="bottom"/>
          </w:tcPr>
          <w:p w:rsidR="00B621B7" w:rsidRPr="00B621B7" w:rsidRDefault="00B621B7" w:rsidP="00B621B7">
            <w:pPr>
              <w:spacing w:before="80" w:after="80" w:line="240" w:lineRule="exact"/>
              <w:ind w:right="144"/>
              <w:jc w:val="lowKashida"/>
              <w:rPr>
                <w:rFonts w:cs="Traditional Arabic" w:hint="cs"/>
                <w:b/>
                <w:bCs/>
                <w:i/>
                <w:iCs/>
                <w:sz w:val="16"/>
                <w:szCs w:val="24"/>
                <w:rtl/>
              </w:rPr>
            </w:pPr>
            <w:r w:rsidRPr="00B621B7">
              <w:rPr>
                <w:rFonts w:cs="Traditional Arabic" w:hint="cs"/>
                <w:b/>
                <w:bCs/>
                <w:i/>
                <w:iCs/>
                <w:sz w:val="16"/>
                <w:szCs w:val="24"/>
                <w:rtl/>
              </w:rPr>
              <w:t>المصدر</w:t>
            </w:r>
          </w:p>
        </w:tc>
      </w:tr>
      <w:tr w:rsidR="00B621B7" w:rsidRPr="00B621B7">
        <w:trPr>
          <w:cantSplit/>
          <w:trHeight w:hRule="exact" w:val="115"/>
          <w:tblHeader/>
          <w:jc w:val="center"/>
        </w:trPr>
        <w:tc>
          <w:tcPr>
            <w:tcW w:w="3264" w:type="dxa"/>
            <w:tcBorders>
              <w:top w:val="single" w:sz="12" w:space="0" w:color="auto"/>
            </w:tcBorders>
            <w:shd w:val="clear" w:color="auto" w:fill="auto"/>
            <w:vAlign w:val="bottom"/>
          </w:tcPr>
          <w:p w:rsidR="00B621B7" w:rsidRPr="00B621B7" w:rsidRDefault="00B621B7" w:rsidP="00B621B7">
            <w:pPr>
              <w:spacing w:before="40" w:after="80" w:line="240" w:lineRule="exact"/>
              <w:rPr>
                <w:rFonts w:hint="cs"/>
                <w:sz w:val="16"/>
                <w:szCs w:val="24"/>
                <w:rtl/>
              </w:rPr>
            </w:pPr>
          </w:p>
        </w:tc>
        <w:tc>
          <w:tcPr>
            <w:tcW w:w="1008" w:type="dxa"/>
            <w:tcBorders>
              <w:top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hint="cs"/>
                <w:sz w:val="16"/>
                <w:szCs w:val="24"/>
                <w:rtl/>
              </w:rPr>
            </w:pPr>
          </w:p>
        </w:tc>
        <w:tc>
          <w:tcPr>
            <w:tcW w:w="1008" w:type="dxa"/>
            <w:tcBorders>
              <w:top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hint="cs"/>
                <w:sz w:val="16"/>
                <w:szCs w:val="24"/>
                <w:rtl/>
              </w:rPr>
            </w:pPr>
          </w:p>
        </w:tc>
        <w:tc>
          <w:tcPr>
            <w:tcW w:w="1008" w:type="dxa"/>
            <w:tcBorders>
              <w:top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hint="cs"/>
                <w:sz w:val="16"/>
                <w:szCs w:val="24"/>
                <w:rtl/>
              </w:rPr>
            </w:pPr>
          </w:p>
        </w:tc>
        <w:tc>
          <w:tcPr>
            <w:tcW w:w="2880" w:type="dxa"/>
            <w:tcBorders>
              <w:top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السكان (تعداد عام 2002)</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9561</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4729</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4832</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تقرير تعداد سكان توفالو، عام 2002، المجلد 2</w:t>
            </w: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المناطق الحضرية</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3962</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1994</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1968</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تقرير تعداد سكان توفالو، عام 2002، المجلد 1</w:t>
            </w:r>
          </w:p>
        </w:tc>
      </w:tr>
      <w:tr w:rsidR="00B621B7" w:rsidRPr="00B621B7">
        <w:trPr>
          <w:cantSplit/>
          <w:jc w:val="center"/>
        </w:trPr>
        <w:tc>
          <w:tcPr>
            <w:tcW w:w="3264" w:type="dxa"/>
            <w:shd w:val="clear" w:color="auto" w:fill="auto"/>
            <w:vAlign w:val="bottom"/>
          </w:tcPr>
          <w:p w:rsidR="00B621B7" w:rsidRPr="00B621B7" w:rsidRDefault="002249EC" w:rsidP="00B621B7">
            <w:pPr>
              <w:spacing w:before="40" w:after="80" w:line="240" w:lineRule="exact"/>
              <w:jc w:val="lowKashida"/>
              <w:rPr>
                <w:rFonts w:cs="Traditional Arabic" w:hint="cs"/>
                <w:sz w:val="16"/>
                <w:szCs w:val="24"/>
                <w:rtl/>
              </w:rPr>
            </w:pPr>
            <w:r>
              <w:rPr>
                <w:rFonts w:cs="Traditional Arabic" w:hint="cs"/>
                <w:sz w:val="16"/>
                <w:szCs w:val="24"/>
                <w:rtl/>
              </w:rPr>
              <w:t>معدل النمو السنوي (%)، 1991-</w:t>
            </w:r>
            <w:r w:rsidR="00B621B7" w:rsidRPr="00B621B7">
              <w:rPr>
                <w:rFonts w:cs="Traditional Arabic" w:hint="cs"/>
                <w:sz w:val="16"/>
                <w:szCs w:val="24"/>
                <w:rtl/>
              </w:rPr>
              <w:t>2002</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0.4</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صندوق الأمم المتحدة للسكان، البلدان الجزرية في المحيط الهادئ في سطور</w:t>
            </w: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العمر المتوقع عند الولادة</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53.6</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61.7</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65.1</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تقرير تعداد سكان توفالو، عام 2002</w:t>
            </w: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وفيات الأمهات</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 xml:space="preserve">وفيات الإطفال الرضع </w:t>
            </w:r>
          </w:p>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 xml:space="preserve">   </w:t>
            </w:r>
            <w:r w:rsidR="002249EC">
              <w:rPr>
                <w:rFonts w:cs="Traditional Arabic" w:hint="cs"/>
                <w:sz w:val="16"/>
                <w:szCs w:val="24"/>
                <w:rtl/>
              </w:rPr>
              <w:t>(1997-</w:t>
            </w:r>
            <w:r w:rsidRPr="00B621B7">
              <w:rPr>
                <w:rFonts w:cs="Traditional Arabic" w:hint="cs"/>
                <w:sz w:val="16"/>
                <w:szCs w:val="24"/>
                <w:rtl/>
              </w:rPr>
              <w:t>2002)</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35</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41</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28</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تقرير تعداد سكان توفالو، عام 2002</w:t>
            </w: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وفيات الأطفال (دون سن الخامسة)</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40.8</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44.4</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36.4</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تقرير تعداد سكان توفالو</w:t>
            </w: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الناتج المحلي الإجمالي للفرد</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1375</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نمو الناتج المحلي الإجمالي/فرد (%)</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3.0%</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كتيب الجيب الصادر عن مؤتمر الأمم المتحدة المعني بأقل البلدان نمواً</w:t>
            </w: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نسبة الإعالة</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الوصول إلى مياه  صالحة للشرب (%)</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100%</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محو الأمية للكبار</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الولادات التي تتم بحضور شخص مدرب في المجال الصحي</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100%</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تحصين الأطفال الرضع (الدفتيريا وشلل الأطفال والتيتانوس)</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معدل الخصوبة الكلي</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3.7</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104</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إجمالي الالتحاق بمؤسسات التعليم في سن مبكر</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96.7%</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95.3%</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98.4%</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صافي الالتحاق بالمدارس الابتدائية</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p>
        </w:tc>
      </w:tr>
      <w:tr w:rsidR="00B621B7" w:rsidRPr="00B621B7">
        <w:trPr>
          <w:cantSplit/>
          <w:jc w:val="center"/>
        </w:trPr>
        <w:tc>
          <w:tcPr>
            <w:tcW w:w="3264" w:type="dxa"/>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أعضاء البرلمان (عام 2006)</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100%</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100%</w:t>
            </w:r>
          </w:p>
        </w:tc>
        <w:tc>
          <w:tcPr>
            <w:tcW w:w="1008"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صفر</w:t>
            </w:r>
          </w:p>
        </w:tc>
        <w:tc>
          <w:tcPr>
            <w:tcW w:w="2880" w:type="dxa"/>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سجلات مكتب البرلمان</w:t>
            </w:r>
          </w:p>
        </w:tc>
      </w:tr>
      <w:tr w:rsidR="00B621B7" w:rsidRPr="00B621B7">
        <w:trPr>
          <w:cantSplit/>
          <w:jc w:val="center"/>
        </w:trPr>
        <w:tc>
          <w:tcPr>
            <w:tcW w:w="3264" w:type="dxa"/>
            <w:tcBorders>
              <w:bottom w:val="single" w:sz="12" w:space="0" w:color="auto"/>
            </w:tcBorders>
            <w:shd w:val="clear" w:color="auto" w:fill="auto"/>
            <w:vAlign w:val="bottom"/>
          </w:tcPr>
          <w:p w:rsidR="00B621B7" w:rsidRPr="00B621B7" w:rsidRDefault="00B621B7" w:rsidP="00B621B7">
            <w:pPr>
              <w:spacing w:before="40" w:after="80" w:line="240" w:lineRule="exact"/>
              <w:jc w:val="lowKashida"/>
              <w:rPr>
                <w:rFonts w:cs="Traditional Arabic" w:hint="cs"/>
                <w:sz w:val="16"/>
                <w:szCs w:val="24"/>
                <w:rtl/>
              </w:rPr>
            </w:pPr>
            <w:r w:rsidRPr="00B621B7">
              <w:rPr>
                <w:rFonts w:cs="Traditional Arabic" w:hint="cs"/>
                <w:sz w:val="16"/>
                <w:szCs w:val="24"/>
                <w:rtl/>
              </w:rPr>
              <w:t>المشاركة في اليد العاملة (عام 2002)</w:t>
            </w:r>
          </w:p>
        </w:tc>
        <w:tc>
          <w:tcPr>
            <w:tcW w:w="1008" w:type="dxa"/>
            <w:tcBorders>
              <w:bottom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61.0%</w:t>
            </w:r>
          </w:p>
        </w:tc>
        <w:tc>
          <w:tcPr>
            <w:tcW w:w="1008" w:type="dxa"/>
            <w:tcBorders>
              <w:bottom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70.4%</w:t>
            </w:r>
          </w:p>
        </w:tc>
        <w:tc>
          <w:tcPr>
            <w:tcW w:w="1008" w:type="dxa"/>
            <w:tcBorders>
              <w:bottom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51.8%</w:t>
            </w:r>
          </w:p>
        </w:tc>
        <w:tc>
          <w:tcPr>
            <w:tcW w:w="2880" w:type="dxa"/>
            <w:tcBorders>
              <w:bottom w:val="single" w:sz="12" w:space="0" w:color="auto"/>
            </w:tcBorders>
            <w:shd w:val="clear" w:color="auto" w:fill="auto"/>
            <w:vAlign w:val="bottom"/>
          </w:tcPr>
          <w:p w:rsidR="00B621B7" w:rsidRPr="00B621B7" w:rsidRDefault="00B621B7" w:rsidP="00B621B7">
            <w:pPr>
              <w:spacing w:before="40" w:after="80" w:line="240" w:lineRule="exact"/>
              <w:ind w:right="144"/>
              <w:jc w:val="lowKashida"/>
              <w:rPr>
                <w:rFonts w:cs="Traditional Arabic" w:hint="cs"/>
                <w:sz w:val="16"/>
                <w:szCs w:val="24"/>
                <w:rtl/>
              </w:rPr>
            </w:pPr>
            <w:r w:rsidRPr="00B621B7">
              <w:rPr>
                <w:rFonts w:cs="Traditional Arabic" w:hint="cs"/>
                <w:sz w:val="16"/>
                <w:szCs w:val="24"/>
                <w:rtl/>
              </w:rPr>
              <w:t>تقرير تعداد سكان توفالو عام 2002، المجلد الأول</w:t>
            </w:r>
          </w:p>
        </w:tc>
      </w:tr>
    </w:tbl>
    <w:p w:rsidR="001A2E7E" w:rsidRPr="001A2E7E" w:rsidRDefault="001A2E7E" w:rsidP="001A2E7E">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rPr>
      </w:pPr>
    </w:p>
    <w:p w:rsidR="00B621B7" w:rsidRDefault="001A2E7E" w:rsidP="001A2E7E">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Pr="001A2E7E">
        <w:rPr>
          <w:rFonts w:hint="cs"/>
          <w:rtl/>
        </w:rPr>
        <w:t>المصدر:</w:t>
      </w:r>
      <w:r>
        <w:rPr>
          <w:rFonts w:hint="cs"/>
          <w:rtl/>
        </w:rPr>
        <w:t xml:space="preserve">  </w:t>
      </w:r>
      <w:r w:rsidRPr="001A2E7E">
        <w:rPr>
          <w:rFonts w:hint="cs"/>
          <w:rtl/>
        </w:rPr>
        <w:t>تقرير تعداد سكان توفالو، عام 2002.</w:t>
      </w:r>
    </w:p>
    <w:p w:rsidR="001A2E7E" w:rsidRPr="00BD4B4E" w:rsidRDefault="001A2E7E" w:rsidP="001A2E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Pr>
          <w:rFonts w:hint="cs"/>
          <w:rtl/>
        </w:rPr>
        <w:tab/>
      </w:r>
      <w:r>
        <w:rPr>
          <w:rFonts w:hint="cs"/>
          <w:rtl/>
        </w:rPr>
        <w:tab/>
      </w:r>
      <w:r w:rsidRPr="00BD4B4E">
        <w:rPr>
          <w:rFonts w:hint="cs"/>
          <w:rtl/>
        </w:rPr>
        <w:t>الاقتصاد</w:t>
      </w:r>
    </w:p>
    <w:p w:rsidR="001A2E7E" w:rsidRDefault="001A2E7E" w:rsidP="003626EB">
      <w:pPr>
        <w:pStyle w:val="SingleTxt"/>
        <w:rPr>
          <w:rFonts w:hint="cs"/>
          <w:rtl/>
        </w:rPr>
      </w:pPr>
      <w:r>
        <w:rPr>
          <w:rFonts w:hint="cs"/>
          <w:rtl/>
        </w:rPr>
        <w:t>16 -</w:t>
      </w:r>
      <w:r>
        <w:rPr>
          <w:rFonts w:hint="cs"/>
          <w:rtl/>
        </w:rPr>
        <w:tab/>
        <w:t xml:space="preserve">اقتصاد توفالو اقتصاد صغير مشرذم ويتأثر كثيراً بالمؤثرات الاقتصادية الخارجية. وأدى هذا إلى اعتماد كبير على المساعدة الإنمائية الخارجية وإلى شيء من التراخي في إدارة الميزانية والإدارة المالية. والاقتصاد غير عادي من حيث أن قدراً كبيراً من إيرادات الحكومة والدخل الخاص يأتيان من الخارج. فالبنسبة للحكومة، تأتي الإيرادات بصورة رئيسية من دخل صندوق توفالو الاستئماني (رأسمال)، والمجال الخاص على شبكة الإنترنت </w:t>
      </w:r>
      <w:r w:rsidR="003626EB">
        <w:rPr>
          <w:rFonts w:hint="eastAsia"/>
          <w:rtl/>
        </w:rPr>
        <w:t>”</w:t>
      </w:r>
      <w:r w:rsidRPr="006F6431">
        <w:rPr>
          <w:szCs w:val="20"/>
        </w:rPr>
        <w:t>dot TV</w:t>
      </w:r>
      <w:r w:rsidR="003626EB">
        <w:rPr>
          <w:rFonts w:hint="eastAsia"/>
          <w:rtl/>
        </w:rPr>
        <w:t>“</w:t>
      </w:r>
      <w:r>
        <w:rPr>
          <w:rFonts w:hint="cs"/>
          <w:rtl/>
        </w:rPr>
        <w:t xml:space="preserve"> (أصول)، ورسوم تراخيص صيد الأسماك التي تمنح لمراكب الصيد الأجنبية. وبالنسبة للأسر، يأتي الدخل من تحويلات الملاحين العاملين في الخارج (يد عاملة)، والأقارب الذين يعملون في الخارج. وبلغت التحويلات المتلقاة 3.2 مليون دولار أمريكي في عام 2001 و 3.4 مليون دولار أمريكي في عام 2002</w:t>
      </w:r>
      <w:r w:rsidRPr="001A2E7E">
        <w:rPr>
          <w:vertAlign w:val="superscript"/>
          <w:rtl/>
        </w:rPr>
        <w:t>(</w:t>
      </w:r>
      <w:r>
        <w:rPr>
          <w:rStyle w:val="FootnoteReference"/>
          <w:rtl/>
        </w:rPr>
        <w:footnoteReference w:id="15"/>
      </w:r>
      <w:r w:rsidRPr="001A2E7E">
        <w:rPr>
          <w:vertAlign w:val="superscript"/>
          <w:rtl/>
        </w:rPr>
        <w:t>)</w:t>
      </w:r>
      <w:r>
        <w:rPr>
          <w:rFonts w:hint="cs"/>
          <w:rtl/>
        </w:rPr>
        <w:t>.</w:t>
      </w:r>
    </w:p>
    <w:p w:rsidR="001A2E7E" w:rsidRDefault="001A2E7E" w:rsidP="001A2E7E">
      <w:pPr>
        <w:pStyle w:val="SingleTxt"/>
        <w:rPr>
          <w:rFonts w:hint="cs"/>
          <w:rtl/>
        </w:rPr>
      </w:pPr>
      <w:r>
        <w:rPr>
          <w:rFonts w:hint="cs"/>
          <w:rtl/>
        </w:rPr>
        <w:t>17 -</w:t>
      </w:r>
      <w:r>
        <w:rPr>
          <w:rFonts w:hint="cs"/>
          <w:rtl/>
        </w:rPr>
        <w:tab/>
        <w:t>بين عام 1996 وعام 2002، بلغ متوسط النمو الحقيقي السنوي في الناتج المحلي الإجمالي 6 في المائة، بتفاوت كبير من عام إلى عام: فقد تراوح من 19 في المائة (في عام 1998) إلى 14 في المائة (في عام 200)، وانخفض إلى ناقص 6 في المائة (في عام 1999) وناقص 1 في المائة (في عام 1996). وبلغ 5.9 في المائة في عام 2001 و 1.2 في عام 2002.</w:t>
      </w:r>
    </w:p>
    <w:p w:rsidR="001A2E7E" w:rsidRDefault="001A2E7E" w:rsidP="001A2E7E">
      <w:pPr>
        <w:pStyle w:val="SingleTxt"/>
        <w:rPr>
          <w:rFonts w:hint="cs"/>
          <w:rtl/>
        </w:rPr>
      </w:pPr>
      <w:r>
        <w:rPr>
          <w:rFonts w:hint="cs"/>
          <w:rtl/>
        </w:rPr>
        <w:t>18 -</w:t>
      </w:r>
      <w:r>
        <w:rPr>
          <w:rFonts w:hint="cs"/>
          <w:rtl/>
        </w:rPr>
        <w:tab/>
        <w:t>ويعزى الأداء الاقتصادي الحديث إلى زيادة مساهمة الحكومة في الناتج المحلي الإجمالي التي بلغت في المتوسط 11 في المائة، حيث كانت الحكومة أكبر قطاع في الاقتصاد وأكبر مستخدِم. وأدت هذه الزيادة إلى زيادة حصة الحكومة من الناتج المحلي الإجمالي من 24 في المائة في عام 1996 إلى 30 في المائة في عام 2002. وكان نمو المشاريع العامة، الذي بلغ 11 في المائة سنوياً على مدى الفترة 1996-2002، مساوياً للزيادة التي حققتها الحكومة المركزية. وفي عام 1996، أسهمت المشاريع العامة بنسبة 32 في المائة من مجموع الناتج المحلي الإجمالي، بينما ازدادت في عام 2002 لتبلغ 39 في المائة. وكان التمويل والنقل والمنافع العناصر الرئيسية في الناتج المحلي الإجمالي للمشاريع الحكومية.</w:t>
      </w:r>
    </w:p>
    <w:p w:rsidR="001A2E7E" w:rsidRDefault="001A2E7E" w:rsidP="001A2E7E">
      <w:pPr>
        <w:pStyle w:val="SingleTxt"/>
        <w:rPr>
          <w:rFonts w:hint="cs"/>
          <w:rtl/>
        </w:rPr>
      </w:pPr>
      <w:r>
        <w:rPr>
          <w:rFonts w:hint="cs"/>
          <w:rtl/>
        </w:rPr>
        <w:t>19 -</w:t>
      </w:r>
      <w:r>
        <w:rPr>
          <w:rFonts w:hint="cs"/>
          <w:rtl/>
        </w:rPr>
        <w:tab/>
        <w:t>قطاع الاقتصاد المحلي الخاص قطاع صغير، ويقدر أن إسهامه في عام 2002 لم</w:t>
      </w:r>
      <w:r>
        <w:rPr>
          <w:rFonts w:hint="eastAsia"/>
          <w:rtl/>
        </w:rPr>
        <w:t> </w:t>
      </w:r>
      <w:r>
        <w:rPr>
          <w:rFonts w:hint="cs"/>
          <w:rtl/>
        </w:rPr>
        <w:t>يتجاوز 31 في المائة من الناتج المحلي الإجمالي، منخفضاً عن نسبته في عام 1996 التي بلغت 44 في المائة. مع أن هذا يعزى بصورة رئيسية إلى الزيادة السريعة في إسهام القطاع العام، فإن نمو نشاط القطاع الخاص كان ضعيفاً. وقد ازدادت أنشطة القطاع الخاص النقدية بين عام 1996 وعام 2002 بمتوسط 4 في المائة سنوياً، ولم يسهم في عام 2002 سوى بنسبة 14 في المائة من الناتج المحلي الإجمالي، منخفضاً عن إسهامه في عام 1996 الذي بلغ 17 في المائة. وتهيمن على أنشطة القطاع الخاص التجارة والخدمات الشخصية والصناعات التحويلية المنزلية. ويعزى نحو 55 في المائة من إسهام القطاع الخاص في الناتج المحلي الإجمالي إلى منتجات غير سوقية، بينما تعزى نسبة الـ 45 في المائة المتبقية (التي تساوي 2.4 مليون دولار أسترالي) إلى المخرجات النقدية للقطاع الخاص (</w:t>
      </w:r>
      <w:r w:rsidR="008B1FB2">
        <w:rPr>
          <w:rFonts w:hint="cs"/>
          <w:rtl/>
        </w:rPr>
        <w:t>انظر</w:t>
      </w:r>
      <w:r>
        <w:rPr>
          <w:rFonts w:hint="cs"/>
          <w:rtl/>
        </w:rPr>
        <w:t xml:space="preserve"> تقرير توفالو عن الأهداف الإنمائية للألفية، لعام 2004).</w:t>
      </w:r>
    </w:p>
    <w:p w:rsidR="001A2E7E" w:rsidRDefault="001A2E7E" w:rsidP="001A2E7E">
      <w:pPr>
        <w:pStyle w:val="SingleTxt"/>
        <w:rPr>
          <w:rFonts w:hint="cs"/>
          <w:rtl/>
        </w:rPr>
      </w:pPr>
      <w:r>
        <w:rPr>
          <w:rFonts w:hint="cs"/>
          <w:rtl/>
        </w:rPr>
        <w:t>20 -</w:t>
      </w:r>
      <w:r>
        <w:rPr>
          <w:rFonts w:hint="cs"/>
          <w:rtl/>
        </w:rPr>
        <w:tab/>
        <w:t>لا</w:t>
      </w:r>
      <w:r w:rsidR="00F3241C">
        <w:rPr>
          <w:rFonts w:hint="cs"/>
          <w:rtl/>
        </w:rPr>
        <w:t xml:space="preserve"> </w:t>
      </w:r>
      <w:r>
        <w:rPr>
          <w:rFonts w:hint="cs"/>
          <w:rtl/>
        </w:rPr>
        <w:t>توجد في توفالو أنشطة صناعية وأنشطة تصنيع تحويلي؛ وبالتالي، تعتمد الدولة اعتماداً كبيراً على الواردات لسد الاحتياجات الأساسية. ومن جهة أخرى، الصادرات شحيحة للغاية. وكما يتضح من الجدول 3 أدناه، تعاني توفالو من عجز تجاري منذ عام 1995.</w:t>
      </w:r>
    </w:p>
    <w:p w:rsidR="001A2E7E" w:rsidRPr="001A2E7E" w:rsidRDefault="001A2E7E" w:rsidP="001A2E7E">
      <w:pPr>
        <w:pStyle w:val="SingleTxt"/>
        <w:rPr>
          <w:rFonts w:hint="cs"/>
          <w:b/>
          <w:bCs/>
          <w:rtl/>
        </w:rPr>
      </w:pPr>
      <w:r w:rsidRPr="001A2E7E">
        <w:rPr>
          <w:rFonts w:hint="cs"/>
          <w:b/>
          <w:bCs/>
          <w:rtl/>
        </w:rPr>
        <w:t>الجدول 3: تجارة السلع الدولية المؤقتة (بالدولار الأسترالي)</w:t>
      </w:r>
      <w:r>
        <w:rPr>
          <w:rFonts w:hint="cs"/>
          <w:b/>
          <w:bCs/>
          <w:rtl/>
        </w:rPr>
        <w:t xml:space="preserve"> </w:t>
      </w:r>
      <w:r w:rsidRPr="001A2E7E">
        <w:rPr>
          <w:rFonts w:hint="cs"/>
          <w:b/>
          <w:bCs/>
          <w:rtl/>
        </w:rPr>
        <w:t xml:space="preserve">القيمة </w:t>
      </w:r>
      <w:r>
        <w:rPr>
          <w:rFonts w:hint="cs"/>
          <w:b/>
          <w:bCs/>
          <w:rtl/>
        </w:rPr>
        <w:t>-</w:t>
      </w:r>
      <w:r w:rsidRPr="001A2E7E">
        <w:rPr>
          <w:rFonts w:hint="cs"/>
          <w:b/>
          <w:bCs/>
          <w:rtl/>
        </w:rPr>
        <w:t xml:space="preserve"> المؤقتة</w:t>
      </w:r>
    </w:p>
    <w:p w:rsidR="001A2E7E" w:rsidRPr="001A2E7E" w:rsidRDefault="001A2E7E" w:rsidP="001A2E7E">
      <w:pPr>
        <w:pStyle w:val="SingleTxt"/>
        <w:spacing w:after="0" w:line="120" w:lineRule="exact"/>
        <w:rPr>
          <w:rFonts w:hint="cs"/>
          <w:b/>
          <w:bCs/>
          <w:sz w:val="10"/>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152"/>
        <w:gridCol w:w="1728"/>
        <w:gridCol w:w="1440"/>
        <w:gridCol w:w="1728"/>
        <w:gridCol w:w="1728"/>
      </w:tblGrid>
      <w:tr w:rsidR="001A2E7E" w:rsidRPr="001A2E7E">
        <w:trPr>
          <w:cantSplit/>
          <w:tblHeader/>
          <w:jc w:val="center"/>
        </w:trPr>
        <w:tc>
          <w:tcPr>
            <w:tcW w:w="1152" w:type="dxa"/>
            <w:tcBorders>
              <w:top w:val="single" w:sz="4" w:space="0" w:color="auto"/>
              <w:bottom w:val="single" w:sz="12" w:space="0" w:color="auto"/>
            </w:tcBorders>
            <w:shd w:val="clear" w:color="auto" w:fill="auto"/>
            <w:vAlign w:val="bottom"/>
          </w:tcPr>
          <w:p w:rsidR="001A2E7E" w:rsidRPr="001A2E7E" w:rsidRDefault="001A2E7E" w:rsidP="001A2E7E">
            <w:pPr>
              <w:spacing w:before="80" w:after="80" w:line="240" w:lineRule="exact"/>
              <w:jc w:val="center"/>
              <w:rPr>
                <w:rFonts w:cs="Traditional Arabic" w:hint="cs"/>
                <w:b/>
                <w:bCs/>
                <w:i/>
                <w:iCs/>
                <w:sz w:val="16"/>
                <w:szCs w:val="24"/>
                <w:rtl/>
              </w:rPr>
            </w:pPr>
            <w:r w:rsidRPr="001A2E7E">
              <w:rPr>
                <w:rFonts w:cs="Traditional Arabic" w:hint="cs"/>
                <w:b/>
                <w:bCs/>
                <w:i/>
                <w:iCs/>
                <w:sz w:val="16"/>
                <w:szCs w:val="24"/>
                <w:rtl/>
              </w:rPr>
              <w:t>السنة</w:t>
            </w:r>
          </w:p>
        </w:tc>
        <w:tc>
          <w:tcPr>
            <w:tcW w:w="1440" w:type="dxa"/>
            <w:tcBorders>
              <w:top w:val="single" w:sz="4" w:space="0" w:color="auto"/>
              <w:bottom w:val="single" w:sz="12" w:space="0" w:color="auto"/>
            </w:tcBorders>
            <w:shd w:val="clear" w:color="auto" w:fill="auto"/>
            <w:vAlign w:val="bottom"/>
          </w:tcPr>
          <w:p w:rsidR="001A2E7E" w:rsidRPr="001A2E7E" w:rsidRDefault="001A2E7E" w:rsidP="001A2E7E">
            <w:pPr>
              <w:spacing w:before="80" w:after="80" w:line="240" w:lineRule="exact"/>
              <w:ind w:right="144"/>
              <w:jc w:val="lowKashida"/>
              <w:rPr>
                <w:rFonts w:cs="Traditional Arabic" w:hint="cs"/>
                <w:b/>
                <w:bCs/>
                <w:i/>
                <w:iCs/>
                <w:sz w:val="16"/>
                <w:szCs w:val="24"/>
                <w:rtl/>
              </w:rPr>
            </w:pPr>
            <w:r w:rsidRPr="001A2E7E">
              <w:rPr>
                <w:rFonts w:cs="Traditional Arabic" w:hint="cs"/>
                <w:b/>
                <w:bCs/>
                <w:i/>
                <w:iCs/>
                <w:sz w:val="16"/>
                <w:szCs w:val="24"/>
                <w:rtl/>
              </w:rPr>
              <w:t>الواردات</w:t>
            </w:r>
          </w:p>
        </w:tc>
        <w:tc>
          <w:tcPr>
            <w:tcW w:w="1440" w:type="dxa"/>
            <w:tcBorders>
              <w:top w:val="single" w:sz="4" w:space="0" w:color="auto"/>
              <w:bottom w:val="single" w:sz="12" w:space="0" w:color="auto"/>
            </w:tcBorders>
            <w:shd w:val="clear" w:color="auto" w:fill="auto"/>
            <w:vAlign w:val="bottom"/>
          </w:tcPr>
          <w:p w:rsidR="001A2E7E" w:rsidRPr="001A2E7E" w:rsidRDefault="001A2E7E" w:rsidP="001A2E7E">
            <w:pPr>
              <w:spacing w:before="80" w:after="80" w:line="240" w:lineRule="exact"/>
              <w:ind w:right="144"/>
              <w:jc w:val="lowKashida"/>
              <w:rPr>
                <w:rFonts w:cs="Traditional Arabic" w:hint="cs"/>
                <w:b/>
                <w:bCs/>
                <w:i/>
                <w:iCs/>
                <w:sz w:val="16"/>
                <w:szCs w:val="24"/>
                <w:rtl/>
              </w:rPr>
            </w:pPr>
            <w:r w:rsidRPr="001A2E7E">
              <w:rPr>
                <w:rFonts w:cs="Traditional Arabic" w:hint="cs"/>
                <w:b/>
                <w:bCs/>
                <w:i/>
                <w:iCs/>
                <w:sz w:val="16"/>
                <w:szCs w:val="24"/>
                <w:rtl/>
              </w:rPr>
              <w:t>الصادرات</w:t>
            </w:r>
          </w:p>
        </w:tc>
        <w:tc>
          <w:tcPr>
            <w:tcW w:w="1440" w:type="dxa"/>
            <w:tcBorders>
              <w:top w:val="single" w:sz="4" w:space="0" w:color="auto"/>
              <w:bottom w:val="single" w:sz="12" w:space="0" w:color="auto"/>
            </w:tcBorders>
            <w:shd w:val="clear" w:color="auto" w:fill="auto"/>
            <w:vAlign w:val="bottom"/>
          </w:tcPr>
          <w:p w:rsidR="001A2E7E" w:rsidRPr="001A2E7E" w:rsidRDefault="001A2E7E" w:rsidP="001A2E7E">
            <w:pPr>
              <w:spacing w:before="80" w:after="80" w:line="240" w:lineRule="exact"/>
              <w:ind w:right="144"/>
              <w:jc w:val="lowKashida"/>
              <w:rPr>
                <w:rFonts w:cs="Traditional Arabic" w:hint="cs"/>
                <w:b/>
                <w:bCs/>
                <w:i/>
                <w:iCs/>
                <w:sz w:val="16"/>
                <w:szCs w:val="24"/>
                <w:rtl/>
              </w:rPr>
            </w:pPr>
            <w:r w:rsidRPr="001A2E7E">
              <w:rPr>
                <w:rFonts w:cs="Traditional Arabic" w:hint="cs"/>
                <w:b/>
                <w:bCs/>
                <w:i/>
                <w:iCs/>
                <w:sz w:val="16"/>
                <w:szCs w:val="24"/>
                <w:rtl/>
              </w:rPr>
              <w:t>الفرق</w:t>
            </w:r>
          </w:p>
        </w:tc>
        <w:tc>
          <w:tcPr>
            <w:tcW w:w="1728" w:type="dxa"/>
            <w:tcBorders>
              <w:top w:val="single" w:sz="4" w:space="0" w:color="auto"/>
              <w:bottom w:val="single" w:sz="12" w:space="0" w:color="auto"/>
            </w:tcBorders>
            <w:shd w:val="clear" w:color="auto" w:fill="auto"/>
            <w:vAlign w:val="bottom"/>
          </w:tcPr>
          <w:p w:rsidR="001A2E7E" w:rsidRPr="001A2E7E" w:rsidRDefault="001A2E7E" w:rsidP="001A2E7E">
            <w:pPr>
              <w:spacing w:before="80" w:after="80" w:line="240" w:lineRule="exact"/>
              <w:ind w:right="144"/>
              <w:jc w:val="lowKashida"/>
              <w:rPr>
                <w:rFonts w:cs="Traditional Arabic" w:hint="cs"/>
                <w:b/>
                <w:bCs/>
                <w:i/>
                <w:iCs/>
                <w:sz w:val="16"/>
                <w:szCs w:val="24"/>
                <w:rtl/>
              </w:rPr>
            </w:pPr>
            <w:r w:rsidRPr="001A2E7E">
              <w:rPr>
                <w:rFonts w:cs="Traditional Arabic" w:hint="cs"/>
                <w:b/>
                <w:bCs/>
                <w:i/>
                <w:iCs/>
                <w:sz w:val="16"/>
                <w:szCs w:val="24"/>
                <w:rtl/>
              </w:rPr>
              <w:t>الصادرات كنسبة مئوية من الواردات</w:t>
            </w:r>
          </w:p>
        </w:tc>
      </w:tr>
      <w:tr w:rsidR="001A2E7E" w:rsidRPr="001A2E7E">
        <w:trPr>
          <w:cantSplit/>
          <w:trHeight w:hRule="exact" w:val="115"/>
          <w:tblHeader/>
          <w:jc w:val="center"/>
        </w:trPr>
        <w:tc>
          <w:tcPr>
            <w:tcW w:w="1152" w:type="dxa"/>
            <w:tcBorders>
              <w:top w:val="single" w:sz="12" w:space="0" w:color="auto"/>
            </w:tcBorders>
            <w:shd w:val="clear" w:color="auto" w:fill="auto"/>
            <w:vAlign w:val="bottom"/>
          </w:tcPr>
          <w:p w:rsidR="001A2E7E" w:rsidRPr="001A2E7E" w:rsidRDefault="001A2E7E" w:rsidP="001A2E7E">
            <w:pPr>
              <w:spacing w:before="40" w:after="80" w:line="240" w:lineRule="exact"/>
              <w:rPr>
                <w:rFonts w:hint="cs"/>
                <w:sz w:val="16"/>
                <w:szCs w:val="24"/>
                <w:rtl/>
              </w:rPr>
            </w:pPr>
          </w:p>
        </w:tc>
        <w:tc>
          <w:tcPr>
            <w:tcW w:w="1440" w:type="dxa"/>
            <w:tcBorders>
              <w:top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hint="cs"/>
                <w:sz w:val="16"/>
                <w:szCs w:val="24"/>
                <w:rtl/>
              </w:rPr>
            </w:pPr>
          </w:p>
        </w:tc>
        <w:tc>
          <w:tcPr>
            <w:tcW w:w="1440" w:type="dxa"/>
            <w:tcBorders>
              <w:top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hint="cs"/>
                <w:sz w:val="16"/>
                <w:szCs w:val="24"/>
                <w:rtl/>
              </w:rPr>
            </w:pPr>
          </w:p>
        </w:tc>
        <w:tc>
          <w:tcPr>
            <w:tcW w:w="1440" w:type="dxa"/>
            <w:tcBorders>
              <w:top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hint="cs"/>
                <w:sz w:val="16"/>
                <w:szCs w:val="24"/>
                <w:rtl/>
              </w:rPr>
            </w:pPr>
          </w:p>
        </w:tc>
        <w:tc>
          <w:tcPr>
            <w:tcW w:w="1728" w:type="dxa"/>
            <w:tcBorders>
              <w:top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hint="cs"/>
                <w:sz w:val="16"/>
                <w:szCs w:val="24"/>
                <w:rtl/>
              </w:rPr>
            </w:pP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1995</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7695814</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587 221</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-7474227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2.88</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1996</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7102448</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34139</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-7068309</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0.48</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1997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10190471</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162423</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-10028048</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1.59</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1998</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15749000</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253887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-15495113</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1.61</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1999</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12466323</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177181</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-12289142</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1.42</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2000</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8882707</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16800</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-8865907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0.19</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2001</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6768836</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31737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-6737099</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0.47</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2002</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20362342</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252485</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-20109857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1.24</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2003</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24043441</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147124</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-23896317</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0.61</w:t>
            </w:r>
          </w:p>
        </w:tc>
      </w:tr>
      <w:tr w:rsidR="001A2E7E" w:rsidRPr="001A2E7E">
        <w:trPr>
          <w:cantSplit/>
          <w:jc w:val="center"/>
        </w:trPr>
        <w:tc>
          <w:tcPr>
            <w:tcW w:w="1152" w:type="dxa"/>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2004</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15498900</w:t>
            </w:r>
          </w:p>
        </w:tc>
        <w:tc>
          <w:tcPr>
            <w:tcW w:w="1440"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181606</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-15317294</w:t>
            </w:r>
          </w:p>
        </w:tc>
        <w:tc>
          <w:tcPr>
            <w:tcW w:w="1728" w:type="dxa"/>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1.17</w:t>
            </w:r>
          </w:p>
        </w:tc>
      </w:tr>
      <w:tr w:rsidR="001A2E7E" w:rsidRPr="001A2E7E">
        <w:trPr>
          <w:cantSplit/>
          <w:jc w:val="center"/>
        </w:trPr>
        <w:tc>
          <w:tcPr>
            <w:tcW w:w="1152" w:type="dxa"/>
            <w:tcBorders>
              <w:bottom w:val="single" w:sz="12" w:space="0" w:color="auto"/>
            </w:tcBorders>
            <w:shd w:val="clear" w:color="auto" w:fill="auto"/>
            <w:vAlign w:val="bottom"/>
          </w:tcPr>
          <w:p w:rsidR="001A2E7E" w:rsidRPr="001A2E7E" w:rsidRDefault="001A2E7E" w:rsidP="001A2E7E">
            <w:pPr>
              <w:spacing w:before="40" w:after="80" w:line="240" w:lineRule="exact"/>
              <w:rPr>
                <w:rFonts w:cs="Traditional Arabic" w:hint="cs"/>
                <w:sz w:val="16"/>
                <w:szCs w:val="24"/>
                <w:rtl/>
              </w:rPr>
            </w:pPr>
            <w:r w:rsidRPr="001A2E7E">
              <w:rPr>
                <w:rFonts w:cs="Traditional Arabic" w:hint="cs"/>
                <w:sz w:val="16"/>
                <w:szCs w:val="24"/>
                <w:rtl/>
              </w:rPr>
              <w:t>2005</w:t>
            </w:r>
          </w:p>
        </w:tc>
        <w:tc>
          <w:tcPr>
            <w:tcW w:w="1728" w:type="dxa"/>
            <w:tcBorders>
              <w:bottom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16908332</w:t>
            </w:r>
          </w:p>
        </w:tc>
        <w:tc>
          <w:tcPr>
            <w:tcW w:w="1440" w:type="dxa"/>
            <w:tcBorders>
              <w:bottom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80403</w:t>
            </w:r>
          </w:p>
        </w:tc>
        <w:tc>
          <w:tcPr>
            <w:tcW w:w="1728" w:type="dxa"/>
            <w:tcBorders>
              <w:bottom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-16827929</w:t>
            </w:r>
          </w:p>
        </w:tc>
        <w:tc>
          <w:tcPr>
            <w:tcW w:w="1728" w:type="dxa"/>
            <w:tcBorders>
              <w:bottom w:val="single" w:sz="12" w:space="0" w:color="auto"/>
            </w:tcBorders>
            <w:shd w:val="clear" w:color="auto" w:fill="auto"/>
            <w:vAlign w:val="bottom"/>
          </w:tcPr>
          <w:p w:rsidR="001A2E7E" w:rsidRPr="001A2E7E" w:rsidRDefault="001A2E7E" w:rsidP="001A2E7E">
            <w:pPr>
              <w:spacing w:before="40" w:after="80" w:line="240" w:lineRule="exact"/>
              <w:ind w:right="144"/>
              <w:jc w:val="lowKashida"/>
              <w:rPr>
                <w:rFonts w:cs="Traditional Arabic" w:hint="cs"/>
                <w:sz w:val="16"/>
                <w:szCs w:val="24"/>
                <w:rtl/>
              </w:rPr>
            </w:pPr>
            <w:r w:rsidRPr="001A2E7E">
              <w:rPr>
                <w:rFonts w:cs="Traditional Arabic" w:hint="cs"/>
                <w:sz w:val="16"/>
                <w:szCs w:val="24"/>
                <w:rtl/>
              </w:rPr>
              <w:t>0.47</w:t>
            </w:r>
          </w:p>
        </w:tc>
      </w:tr>
    </w:tbl>
    <w:p w:rsidR="001A2E7E" w:rsidRPr="001A2E7E" w:rsidRDefault="001A2E7E" w:rsidP="001A2E7E">
      <w:pPr>
        <w:pStyle w:val="SingleTxt"/>
        <w:spacing w:after="0" w:line="120" w:lineRule="exact"/>
        <w:rPr>
          <w:rFonts w:hint="cs"/>
          <w:sz w:val="10"/>
          <w:rtl/>
        </w:rPr>
      </w:pPr>
    </w:p>
    <w:p w:rsidR="001A2E7E" w:rsidRPr="001A2E7E" w:rsidRDefault="001A2E7E" w:rsidP="001A2E7E">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1A2E7E">
        <w:rPr>
          <w:rFonts w:hint="cs"/>
          <w:rtl/>
        </w:rPr>
        <w:t>المصدر:</w:t>
      </w:r>
      <w:r>
        <w:rPr>
          <w:rFonts w:hint="cs"/>
          <w:rtl/>
        </w:rPr>
        <w:tab/>
      </w:r>
      <w:r w:rsidRPr="001A2E7E">
        <w:rPr>
          <w:rFonts w:hint="cs"/>
          <w:rtl/>
        </w:rPr>
        <w:t xml:space="preserve">شعبة الإحصاءات المركزية </w:t>
      </w:r>
      <w:r>
        <w:rPr>
          <w:rFonts w:hint="cs"/>
          <w:rtl/>
        </w:rPr>
        <w:t>-</w:t>
      </w:r>
      <w:r w:rsidRPr="001A2E7E">
        <w:rPr>
          <w:rFonts w:hint="cs"/>
          <w:rtl/>
        </w:rPr>
        <w:t xml:space="preserve"> </w:t>
      </w:r>
      <w:r w:rsidRPr="001A2E7E">
        <w:t>PRISM</w:t>
      </w:r>
      <w:r>
        <w:rPr>
          <w:rFonts w:hint="cs"/>
          <w:rtl/>
        </w:rPr>
        <w:t>.</w:t>
      </w:r>
    </w:p>
    <w:p w:rsidR="003626EB" w:rsidRPr="003626EB" w:rsidRDefault="003626EB" w:rsidP="003626EB">
      <w:pPr>
        <w:pStyle w:val="SingleTxt"/>
        <w:spacing w:after="0" w:line="120" w:lineRule="exact"/>
        <w:rPr>
          <w:rFonts w:hint="cs"/>
          <w:sz w:val="10"/>
          <w:rtl/>
        </w:rPr>
      </w:pPr>
    </w:p>
    <w:p w:rsidR="001A2E7E" w:rsidRDefault="001A2E7E" w:rsidP="001A2E7E">
      <w:pPr>
        <w:pStyle w:val="SingleTxt"/>
        <w:rPr>
          <w:rFonts w:hint="cs"/>
          <w:rtl/>
        </w:rPr>
      </w:pPr>
      <w:r>
        <w:rPr>
          <w:rFonts w:hint="cs"/>
          <w:rtl/>
        </w:rPr>
        <w:tab/>
        <w:t xml:space="preserve">أثناء الفترة من عام 2002 إلى عام 2003، بلغ العجز التجاري في المتوسط 78 في المائة من الناتج المحلي الإجمالي. وتمثل الصادرات أقل من واحد في المائة من قيمة الواردات. إلا أن العائدات بالعملة الأجنبية من رخص صيد الأسماك وتحويلات الملاحين وإيرادات المساعدة وعائدات صندوق توفالو الإستئماني غطت بصورة عامة العجز التجاري. ووفقاً لتقرير توفالو عن الأهداف الإنمائية للألفية بلغ متوسط النمو الحقيقي السنوي في الناتج المحلي الإجمالي 6 في المائة سنوياً بين عام 1996 وعام 2002، بتفاوت كبير من عام إلى عام: فقد تراوح من نسبة مرتفعة بلغت 19 في المائة (في عام 1998) و 14 في المائة (في عام 2000) إلى نسبة متدنية بلغت </w:t>
      </w:r>
      <w:r w:rsidR="00084D51">
        <w:rPr>
          <w:rtl/>
        </w:rPr>
        <w:t>-</w:t>
      </w:r>
      <w:r>
        <w:rPr>
          <w:rFonts w:hint="cs"/>
          <w:rtl/>
        </w:rPr>
        <w:t xml:space="preserve"> 6 في المائة (في عام 1999) و </w:t>
      </w:r>
      <w:r w:rsidR="00084D51">
        <w:rPr>
          <w:rtl/>
        </w:rPr>
        <w:t>-</w:t>
      </w:r>
      <w:r>
        <w:rPr>
          <w:rFonts w:hint="cs"/>
          <w:rtl/>
        </w:rPr>
        <w:t xml:space="preserve"> 1 في المائة (في عام 1996) وبلغ معدل النمو 5.9 في المائة في عام 2001 و 1.2 في المائة في عام 2002.</w:t>
      </w:r>
    </w:p>
    <w:p w:rsidR="001A2E7E" w:rsidRDefault="001A2E7E" w:rsidP="003626EB">
      <w:pPr>
        <w:pStyle w:val="SingleTxt"/>
        <w:rPr>
          <w:rFonts w:hint="cs"/>
          <w:rtl/>
        </w:rPr>
      </w:pPr>
      <w:r>
        <w:rPr>
          <w:rFonts w:hint="cs"/>
          <w:rtl/>
        </w:rPr>
        <w:t>21 -</w:t>
      </w:r>
      <w:r>
        <w:rPr>
          <w:rFonts w:hint="cs"/>
          <w:rtl/>
        </w:rPr>
        <w:tab/>
        <w:t xml:space="preserve">تناقصت باطراد حصة إنتاج الأسر المعيشية غير السوقي في الاقتصاد (قطاع الكفاف) بنحو 0.8 في المائة سنوياً بين عام 1996 و 2002. وانخفاض مستوى الإنتاج الكفافي دليل على اتجاهات أعم، بما في ذلك زيادة تداول النقود. كما أن التحول المرافق في هيكل السكان في الجزر الخارجية مهم أيضاً، حيث يعيل </w:t>
      </w:r>
      <w:r w:rsidR="003626EB">
        <w:rPr>
          <w:rFonts w:hint="eastAsia"/>
          <w:rtl/>
        </w:rPr>
        <w:t>”</w:t>
      </w:r>
      <w:r w:rsidR="003626EB">
        <w:rPr>
          <w:rFonts w:hint="cs"/>
          <w:rtl/>
        </w:rPr>
        <w:t>السكان الناشطون اقتصادياً</w:t>
      </w:r>
      <w:r w:rsidR="003626EB">
        <w:rPr>
          <w:rFonts w:hint="eastAsia"/>
          <w:rtl/>
        </w:rPr>
        <w:t>“</w:t>
      </w:r>
      <w:r>
        <w:rPr>
          <w:rFonts w:hint="cs"/>
          <w:rtl/>
        </w:rPr>
        <w:t xml:space="preserve"> (الفئة العمرية 15-45) عدداً متزايداً من السكان صغار السن والمسنين المعالين.</w:t>
      </w:r>
    </w:p>
    <w:p w:rsidR="001A2E7E" w:rsidRDefault="001A2E7E" w:rsidP="001A2E7E">
      <w:pPr>
        <w:pStyle w:val="SingleTxt"/>
        <w:rPr>
          <w:rFonts w:hint="cs"/>
          <w:rtl/>
        </w:rPr>
      </w:pPr>
      <w:r>
        <w:rPr>
          <w:rFonts w:hint="cs"/>
          <w:rtl/>
        </w:rPr>
        <w:t>22 -</w:t>
      </w:r>
      <w:r>
        <w:rPr>
          <w:rFonts w:hint="cs"/>
          <w:rtl/>
        </w:rPr>
        <w:tab/>
        <w:t>تستعمل توفالو الدولار الأسترالي، مما يلغي بصورة فعلية إمكانية استخدام السياسة النقدية كأداة لإدارة الاقتصاد، مع تغيرات في أسعار الصرف تؤثر على الإيرادات المولدة خارجياً.</w:t>
      </w:r>
    </w:p>
    <w:p w:rsidR="001A2E7E" w:rsidRPr="001A2E7E"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525444"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525444">
        <w:rPr>
          <w:rFonts w:hint="cs"/>
          <w:rtl/>
        </w:rPr>
        <w:t>صندوق توفالو الاستئماني</w:t>
      </w:r>
    </w:p>
    <w:p w:rsidR="001A2E7E" w:rsidRDefault="001A2E7E" w:rsidP="001A2E7E">
      <w:pPr>
        <w:pStyle w:val="SingleTxt"/>
        <w:rPr>
          <w:rFonts w:hint="cs"/>
          <w:rtl/>
        </w:rPr>
      </w:pPr>
      <w:r>
        <w:rPr>
          <w:rFonts w:hint="cs"/>
          <w:rtl/>
        </w:rPr>
        <w:t>23 -</w:t>
      </w:r>
      <w:r>
        <w:rPr>
          <w:rFonts w:hint="cs"/>
          <w:rtl/>
        </w:rPr>
        <w:tab/>
        <w:t>في عام 1987، سن البرلمان قانون صندوق توفالو الاستئماني (القانون رقم 49 ألف). وقد وفر هذا القانون الإطار القانوني لإنشاء صندوق توفالو الاستئماني. ووقعت على الصندوق حكومات توفالو وأستراليا والمملكة المتحدة ونيوزيلندا، وتبلغ قيمته أكثر من 27</w:t>
      </w:r>
      <w:r>
        <w:rPr>
          <w:rFonts w:hint="eastAsia"/>
          <w:rtl/>
        </w:rPr>
        <w:t> </w:t>
      </w:r>
      <w:r>
        <w:rPr>
          <w:rFonts w:hint="cs"/>
          <w:rtl/>
        </w:rPr>
        <w:t>مليون دولار أسترالي بقليل. ويوفر هذا الصندوق للحكومة مصدراً موثوقاً للإيرادات من استثمار مالي يدار على نحو يعود بأقصى دخل من الفائدة على حافظة أصول متنوعة. وبعد اقتطاع الرسوم اللازمة للحفاظ على رأس المال وإدارة الصندوق، يتاح ما يتبقى من عائد الدخل من الفائدة للحكومة لتمويل ميزانيتها المتكررة، بما في ذلك العجز التجاري (</w:t>
      </w:r>
      <w:r w:rsidR="008B1FB2">
        <w:rPr>
          <w:rFonts w:hint="cs"/>
          <w:rtl/>
        </w:rPr>
        <w:t>انظر</w:t>
      </w:r>
      <w:r>
        <w:rPr>
          <w:rFonts w:hint="cs"/>
          <w:rtl/>
        </w:rPr>
        <w:t xml:space="preserve"> تقرير عام 2004 عن الأهداف الإنمائية للألفية).</w:t>
      </w:r>
    </w:p>
    <w:p w:rsidR="001A2E7E" w:rsidRPr="00525444" w:rsidRDefault="001A2E7E" w:rsidP="001A2E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525444">
        <w:rPr>
          <w:rFonts w:hint="cs"/>
          <w:rtl/>
        </w:rPr>
        <w:t>صندوق فالي ك</w:t>
      </w:r>
      <w:r>
        <w:rPr>
          <w:rFonts w:hint="cs"/>
          <w:rtl/>
        </w:rPr>
        <w:t>ا</w:t>
      </w:r>
      <w:r w:rsidRPr="00525444">
        <w:rPr>
          <w:rFonts w:hint="cs"/>
          <w:rtl/>
        </w:rPr>
        <w:t>بيول الاستئماني</w:t>
      </w:r>
    </w:p>
    <w:p w:rsidR="001A2E7E" w:rsidRDefault="001A2E7E" w:rsidP="00C8731C">
      <w:pPr>
        <w:pStyle w:val="SingleTxt"/>
        <w:rPr>
          <w:rFonts w:hint="cs"/>
          <w:rtl/>
        </w:rPr>
      </w:pPr>
      <w:r>
        <w:rPr>
          <w:rFonts w:hint="cs"/>
          <w:rtl/>
        </w:rPr>
        <w:t>24 -</w:t>
      </w:r>
      <w:r>
        <w:rPr>
          <w:rFonts w:hint="cs"/>
          <w:rtl/>
        </w:rPr>
        <w:tab/>
        <w:t>في عام 1999، أنشأت الحكومة صندوقاً استئمانياً ثانياً، صندوق فالي كابيول الاستئماني. والغرض من هذا الصندوق زيادة القدرة على توليد إيرادات داخل المجتمع المحلي؛ وتمويل مشاريع المجتمعات المحلية؛ والمساعدة على اكتساب وتطوير المهارات والاعتماد على الذات من خلال التدريب المحلي؛ وتمكين المجتمعات المحلية من الحصول على الأصول والموارد والحفاظ عليها وتحسينها بهدف تحسين التعليم والاعتماد على الذات. ويدير هذا الصندوق مجلس إدارة يمثل جزر توفالو الثماني. وهذا الصندوق، الذي أنشئ على غرار استراتيجية استثمار صندوق توفالو الاستئماني، يستثمر أمواله أيضاً في الخارج (</w:t>
      </w:r>
      <w:r w:rsidR="008B1FB2">
        <w:rPr>
          <w:rFonts w:hint="cs"/>
          <w:rtl/>
        </w:rPr>
        <w:t>انظر</w:t>
      </w:r>
      <w:r>
        <w:rPr>
          <w:rFonts w:hint="cs"/>
          <w:rtl/>
        </w:rPr>
        <w:t xml:space="preserve"> تقرير عام 2004 عن الأهداف الإنمائية للألفية). والغرض الرئيسي من صندوق فالي كابيول الاستئماني توفير مصدر تمويل لأغراض تنمية الجزر.</w:t>
      </w:r>
    </w:p>
    <w:p w:rsidR="001A2E7E" w:rsidRPr="001A2E7E"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1826AD"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1826AD">
        <w:rPr>
          <w:rFonts w:hint="cs"/>
          <w:rtl/>
        </w:rPr>
        <w:t>الآلية الحكومية</w:t>
      </w:r>
    </w:p>
    <w:p w:rsidR="001A2E7E" w:rsidRDefault="001A2E7E" w:rsidP="00C8731C">
      <w:pPr>
        <w:pStyle w:val="SingleTxt"/>
        <w:rPr>
          <w:rFonts w:hint="cs"/>
          <w:rtl/>
        </w:rPr>
      </w:pPr>
      <w:r>
        <w:rPr>
          <w:rFonts w:hint="cs"/>
          <w:rtl/>
        </w:rPr>
        <w:t>25 -</w:t>
      </w:r>
      <w:r>
        <w:rPr>
          <w:rFonts w:hint="cs"/>
          <w:rtl/>
        </w:rPr>
        <w:tab/>
      </w:r>
      <w:r w:rsidRPr="001826AD">
        <w:rPr>
          <w:rFonts w:hint="cs"/>
          <w:b/>
          <w:bCs/>
          <w:rtl/>
        </w:rPr>
        <w:t>الفرع التنفيذي</w:t>
      </w:r>
      <w:r>
        <w:rPr>
          <w:rFonts w:hint="cs"/>
          <w:rtl/>
        </w:rPr>
        <w:t xml:space="preserve"> </w:t>
      </w:r>
      <w:r w:rsidR="00C8731C">
        <w:rPr>
          <w:rFonts w:hint="cs"/>
          <w:rtl/>
        </w:rPr>
        <w:t>-</w:t>
      </w:r>
      <w:r>
        <w:rPr>
          <w:rFonts w:hint="cs"/>
          <w:rtl/>
        </w:rPr>
        <w:t xml:space="preserve"> يضم الفرع التنفيذي لحكومة توفالو ملكة بريطانيا، التي تترأس الدولة ممثلة بالحاكم العام الذي يعين بتوصية من رئيس الحكومة، وبالتشاور مع أعضاء البرلمان. ويعين الحاكم العام الوزراء بناءً على توصية رئيس الوزراء، الذي يختاره أعضاء البرلمان المنتخبون. وتضم الوزارة الحالية رئيس الوزراء ونائب رئيس الوزراء وأربعة وزراء. وينتخب أعضاء البرلمان رئيس الوزراء ونائب رئيس الوزراء. المدعي العام</w:t>
      </w:r>
      <w:r w:rsidR="00C8731C" w:rsidRPr="00C8731C">
        <w:rPr>
          <w:vertAlign w:val="superscript"/>
          <w:rtl/>
        </w:rPr>
        <w:t>(</w:t>
      </w:r>
      <w:r w:rsidR="00C8731C">
        <w:rPr>
          <w:rStyle w:val="FootnoteReference"/>
          <w:rtl/>
        </w:rPr>
        <w:footnoteReference w:id="16"/>
      </w:r>
      <w:r w:rsidR="00C8731C" w:rsidRPr="00C8731C">
        <w:rPr>
          <w:vertAlign w:val="superscript"/>
          <w:rtl/>
        </w:rPr>
        <w:t>)</w:t>
      </w:r>
      <w:r>
        <w:rPr>
          <w:rFonts w:hint="cs"/>
          <w:rtl/>
        </w:rPr>
        <w:t>،</w:t>
      </w:r>
      <w:r w:rsidR="00C8731C">
        <w:rPr>
          <w:rFonts w:hint="cs"/>
          <w:rtl/>
        </w:rPr>
        <w:t xml:space="preserve"> </w:t>
      </w:r>
      <w:r>
        <w:rPr>
          <w:rFonts w:hint="cs"/>
          <w:rtl/>
        </w:rPr>
        <w:t>وهو المستشار القانوني الرئيسي للحكومة وفقاً للفرع 79 من الدستور والقاعدة 50 من النظام الداخلي، يحضر اجتماعات مجلس الوزراء وجميع جلسات البرلمان ولجانه، ويسمح له أن يشارك في المداولات ولكن لا يحق له التصويت. كما أن أمين الحكومة</w:t>
      </w:r>
      <w:r w:rsidR="00C8731C" w:rsidRPr="00C8731C">
        <w:rPr>
          <w:vertAlign w:val="superscript"/>
          <w:rtl/>
        </w:rPr>
        <w:t>(</w:t>
      </w:r>
      <w:r w:rsidR="00C8731C">
        <w:rPr>
          <w:rStyle w:val="FootnoteReference"/>
          <w:rtl/>
        </w:rPr>
        <w:footnoteReference w:id="17"/>
      </w:r>
      <w:r w:rsidR="00C8731C" w:rsidRPr="00C8731C">
        <w:rPr>
          <w:vertAlign w:val="superscript"/>
          <w:rtl/>
        </w:rPr>
        <w:t>)</w:t>
      </w:r>
      <w:r>
        <w:rPr>
          <w:rFonts w:hint="cs"/>
          <w:rtl/>
        </w:rPr>
        <w:t>،</w:t>
      </w:r>
      <w:r w:rsidR="00C8731C">
        <w:rPr>
          <w:rFonts w:hint="cs"/>
          <w:rtl/>
        </w:rPr>
        <w:t xml:space="preserve"> </w:t>
      </w:r>
      <w:r>
        <w:rPr>
          <w:rFonts w:hint="cs"/>
          <w:rtl/>
        </w:rPr>
        <w:t>المسؤول عن تسيق أعمال الوزراء ومكاتب الحكومة، يحضر أيضاً اجتماعات مجلس الوزراء إلا إذا طلب منه رئيس الوزراء عدم الحضور. ويملك الحاكم العام سلطة استدعاء البرلمان وتمديد ولايته وحله، بناءً على توصية من رئيس الوزراء.</w:t>
      </w:r>
    </w:p>
    <w:p w:rsidR="001A2E7E" w:rsidRDefault="001A2E7E" w:rsidP="00C8731C">
      <w:pPr>
        <w:pStyle w:val="SingleTxt"/>
        <w:rPr>
          <w:rFonts w:hint="cs"/>
          <w:rtl/>
        </w:rPr>
      </w:pPr>
      <w:r>
        <w:rPr>
          <w:rFonts w:hint="cs"/>
          <w:rtl/>
        </w:rPr>
        <w:t>26 -</w:t>
      </w:r>
      <w:r>
        <w:rPr>
          <w:rFonts w:hint="cs"/>
          <w:rtl/>
        </w:rPr>
        <w:tab/>
      </w:r>
      <w:r w:rsidRPr="001826AD">
        <w:rPr>
          <w:rFonts w:hint="cs"/>
          <w:b/>
          <w:bCs/>
          <w:rtl/>
        </w:rPr>
        <w:t>الفرع التشريعي</w:t>
      </w:r>
      <w:r>
        <w:rPr>
          <w:rFonts w:hint="cs"/>
          <w:rtl/>
        </w:rPr>
        <w:t xml:space="preserve"> </w:t>
      </w:r>
      <w:r w:rsidR="00C8731C">
        <w:rPr>
          <w:rFonts w:hint="cs"/>
          <w:rtl/>
        </w:rPr>
        <w:t>-</w:t>
      </w:r>
      <w:r>
        <w:rPr>
          <w:rFonts w:hint="cs"/>
          <w:rtl/>
        </w:rPr>
        <w:t xml:space="preserve"> ينتخب برلمان توفالو على أساس الانتخاب العام، ويتكون من مجلس واحد يضم 15 عضواً. وتنتخب سبع جزر عضوين لكل منها، بينما تنتخب جزيرة نوكو لالا، التي تضم أقل عدد من السكان، عضواً واحداً. ويرأس رئيس البرلمان جميع جلسات البرلمان وجلسات لجانه، إلا إذا نصت القواعد أو قانون سنّه البرلمان على خلاف ذلك. وتوجد أيضاً أحكام في الدستور والنظام الداخلي تنص على انتخاب رئيس بالنيابة. ومدة عضوية البرلمان العادية أربع سنوات، وهو المخول وفقاً للدستور بسن قوانين لتوفالو. ويمارس البرلمان صلاحيته في سن القوانين من خلال إقراره مشاريع قوانين وترسل بعد ذلك إلى رئيس الدولة. ومشروع القانون الذي يرسل إلى رئيس الدولة قانون برلماني</w:t>
      </w:r>
      <w:r w:rsidR="00C8731C" w:rsidRPr="00C8731C">
        <w:rPr>
          <w:vertAlign w:val="superscript"/>
          <w:rtl/>
        </w:rPr>
        <w:t>(</w:t>
      </w:r>
      <w:r w:rsidR="00C8731C">
        <w:rPr>
          <w:rStyle w:val="FootnoteReference"/>
          <w:rtl/>
        </w:rPr>
        <w:footnoteReference w:id="18"/>
      </w:r>
      <w:r w:rsidR="00C8731C" w:rsidRPr="00C8731C">
        <w:rPr>
          <w:vertAlign w:val="superscript"/>
          <w:rtl/>
        </w:rPr>
        <w:t>)</w:t>
      </w:r>
      <w:r>
        <w:rPr>
          <w:rFonts w:hint="cs"/>
          <w:rtl/>
        </w:rPr>
        <w:t>.</w:t>
      </w:r>
    </w:p>
    <w:p w:rsidR="001A2E7E" w:rsidRPr="001A2E7E"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641BB4"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641BB4">
        <w:rPr>
          <w:rFonts w:hint="cs"/>
          <w:rtl/>
        </w:rPr>
        <w:t>فرع القضاء</w:t>
      </w:r>
    </w:p>
    <w:p w:rsidR="001A2E7E" w:rsidRDefault="001A2E7E" w:rsidP="00C8731C">
      <w:pPr>
        <w:pStyle w:val="SingleTxt"/>
        <w:rPr>
          <w:rFonts w:hint="cs"/>
          <w:rtl/>
        </w:rPr>
      </w:pPr>
      <w:r>
        <w:rPr>
          <w:rFonts w:hint="cs"/>
          <w:rtl/>
        </w:rPr>
        <w:t>27 -</w:t>
      </w:r>
      <w:r>
        <w:rPr>
          <w:rFonts w:hint="cs"/>
          <w:rtl/>
        </w:rPr>
        <w:tab/>
        <w:t>يتكون النظام القضائي من العاهل في مجلسه ومحكمة الاستئناف والمحكمة العليا، وهي محاكم تتمتع بصلاحية النظر في دعاوى الاستئناف، في حين أن المحكمة العليا تعمل أيضاً كمحكمة ابتدائية عامة أيضاً. ومن بين المحاكم الأخرى محاكم الصلح ومحاكم الجزر ومحاكم الأراضي، وهي محاكم أقل درجة وذات صلاحية محدودة</w:t>
      </w:r>
      <w:r w:rsidR="00C8731C" w:rsidRPr="00C8731C">
        <w:rPr>
          <w:vertAlign w:val="superscript"/>
          <w:rtl/>
        </w:rPr>
        <w:t>(</w:t>
      </w:r>
      <w:r w:rsidR="00C8731C">
        <w:rPr>
          <w:rStyle w:val="FootnoteReference"/>
          <w:rtl/>
        </w:rPr>
        <w:footnoteReference w:id="19"/>
      </w:r>
      <w:r w:rsidR="00C8731C" w:rsidRPr="00C8731C">
        <w:rPr>
          <w:vertAlign w:val="superscript"/>
          <w:rtl/>
        </w:rPr>
        <w:t>)</w:t>
      </w:r>
      <w:r>
        <w:rPr>
          <w:rFonts w:hint="cs"/>
          <w:rtl/>
        </w:rPr>
        <w:t>.</w:t>
      </w:r>
    </w:p>
    <w:p w:rsidR="001A2E7E" w:rsidRPr="001A2E7E" w:rsidRDefault="001A2E7E" w:rsidP="001A2E7E">
      <w:pPr>
        <w:spacing w:line="120" w:lineRule="exact"/>
        <w:rPr>
          <w:rFonts w:hint="cs"/>
          <w:b/>
          <w:bCs/>
          <w:sz w:val="10"/>
          <w:szCs w:val="32"/>
          <w:rtl/>
        </w:rPr>
      </w:pPr>
    </w:p>
    <w:p w:rsidR="001A2E7E" w:rsidRDefault="001A2E7E"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89338E">
        <w:rPr>
          <w:rFonts w:hint="cs"/>
          <w:rtl/>
        </w:rPr>
        <w:t>الهيكل الهرمي للمحاكم</w:t>
      </w:r>
      <w:r w:rsidR="00C8731C" w:rsidRPr="00C8731C">
        <w:rPr>
          <w:vertAlign w:val="superscript"/>
          <w:rtl/>
        </w:rPr>
        <w:t>(</w:t>
      </w:r>
      <w:r w:rsidR="00C8731C">
        <w:rPr>
          <w:rStyle w:val="FootnoteReference"/>
          <w:rtl/>
        </w:rPr>
        <w:footnoteReference w:id="20"/>
      </w:r>
      <w:r w:rsidR="00C8731C" w:rsidRPr="00C8731C">
        <w:rPr>
          <w:vertAlign w:val="superscript"/>
          <w:rtl/>
        </w:rPr>
        <w:t>)</w:t>
      </w:r>
    </w:p>
    <w:p w:rsidR="001A2E7E" w:rsidRDefault="001A2E7E" w:rsidP="001A2E7E">
      <w:pPr>
        <w:pStyle w:val="SingleTxt"/>
        <w:rPr>
          <w:rFonts w:hint="cs"/>
          <w:rtl/>
        </w:rPr>
      </w:pPr>
      <w:r>
        <w:rPr>
          <w:rFonts w:hint="cs"/>
          <w:b/>
          <w:bCs/>
          <w:rtl/>
        </w:rPr>
        <w:t xml:space="preserve">العاهل في مجلسه: </w:t>
      </w:r>
      <w:r>
        <w:rPr>
          <w:rFonts w:hint="cs"/>
          <w:rtl/>
        </w:rPr>
        <w:t>بموجب أحكام الفرع 136 من الدستور، يمكن استئناف حكم محكمة الاستئناف أمام العاهل في مجلسه. وللعاهل في مجلسه صلاحية النظر في دعاوى استئناف قرارات محكمة الاستئناف بإذن من محكمة الاستئناف، في المسائل التالية:</w:t>
      </w:r>
    </w:p>
    <w:p w:rsidR="001A2E7E" w:rsidRDefault="001A2E7E" w:rsidP="001A2E7E">
      <w:pPr>
        <w:pStyle w:val="SingleTxt"/>
        <w:rPr>
          <w:rFonts w:hint="cs"/>
          <w:rtl/>
        </w:rPr>
      </w:pPr>
      <w:r>
        <w:rPr>
          <w:rFonts w:hint="cs"/>
          <w:rtl/>
        </w:rPr>
        <w:tab/>
        <w:t>قضايا تحال إليه بموجب الفرع 136 (1) (أ) من الدستور، لاتخاذ:</w:t>
      </w:r>
    </w:p>
    <w:p w:rsidR="001A2E7E" w:rsidRDefault="001A2E7E" w:rsidP="001A2E7E">
      <w:pPr>
        <w:pStyle w:val="SingleTxt"/>
        <w:rPr>
          <w:rFonts w:hint="cs"/>
          <w:rtl/>
        </w:rPr>
      </w:pPr>
      <w:r>
        <w:rPr>
          <w:rFonts w:hint="cs"/>
          <w:rtl/>
        </w:rPr>
        <w:tab/>
        <w:t>(أ)</w:t>
      </w:r>
      <w:r>
        <w:rPr>
          <w:rFonts w:hint="cs"/>
          <w:rtl/>
        </w:rPr>
        <w:tab/>
        <w:t xml:space="preserve">قرار نهائي بشأن مسألة تتعلق بتفسير أو تطبيق الدستور؛ </w:t>
      </w:r>
    </w:p>
    <w:p w:rsidR="001A2E7E" w:rsidRDefault="001A2E7E" w:rsidP="001A2E7E">
      <w:pPr>
        <w:pStyle w:val="SingleTxt"/>
        <w:rPr>
          <w:rFonts w:hint="cs"/>
          <w:rtl/>
        </w:rPr>
      </w:pPr>
      <w:r>
        <w:rPr>
          <w:rFonts w:hint="cs"/>
          <w:rtl/>
        </w:rPr>
        <w:tab/>
        <w:t>(ب)</w:t>
      </w:r>
      <w:r>
        <w:rPr>
          <w:rFonts w:hint="cs"/>
          <w:rtl/>
        </w:rPr>
        <w:tab/>
        <w:t>قرار نهائي في إجراءات لانفاذ أحكام حقوق أساسية منصوص عليها في الجزء الثاني من الدستور؛</w:t>
      </w:r>
    </w:p>
    <w:p w:rsidR="001A2E7E" w:rsidRDefault="001A2E7E" w:rsidP="001A2E7E">
      <w:pPr>
        <w:pStyle w:val="SingleTxt"/>
        <w:rPr>
          <w:rFonts w:hint="cs"/>
          <w:rtl/>
        </w:rPr>
      </w:pPr>
      <w:r>
        <w:rPr>
          <w:rFonts w:hint="cs"/>
          <w:rtl/>
        </w:rPr>
        <w:tab/>
        <w:t>(ج)</w:t>
      </w:r>
      <w:r>
        <w:rPr>
          <w:rFonts w:hint="cs"/>
          <w:rtl/>
        </w:rPr>
        <w:tab/>
        <w:t>قرار نهائي أو تمهيدي في أية قضية ترى محكمة الاستئناف أنها تنطوي على مسألة ذات أهمية عامة أو شعبية كبيرة أو أنه يتعين تقديمها إلى مجلس الملكة الخاص.</w:t>
      </w:r>
    </w:p>
    <w:p w:rsidR="001A2E7E" w:rsidRPr="001A2E7E" w:rsidRDefault="001A2E7E" w:rsidP="001A2E7E">
      <w:pPr>
        <w:spacing w:line="120" w:lineRule="exact"/>
        <w:rPr>
          <w:rFonts w:hint="cs"/>
          <w:b/>
          <w:bCs/>
          <w:sz w:val="10"/>
          <w:szCs w:val="32"/>
          <w:rtl/>
        </w:rPr>
      </w:pPr>
    </w:p>
    <w:p w:rsidR="001A2E7E" w:rsidRPr="00500D73"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500D73">
        <w:rPr>
          <w:rFonts w:hint="cs"/>
          <w:rtl/>
        </w:rPr>
        <w:t xml:space="preserve">محكمة الاستئناف: </w:t>
      </w:r>
    </w:p>
    <w:p w:rsidR="001A2E7E" w:rsidRDefault="001A2E7E" w:rsidP="001A2E7E">
      <w:pPr>
        <w:pStyle w:val="SingleTxt"/>
        <w:rPr>
          <w:rFonts w:hint="cs"/>
          <w:rtl/>
        </w:rPr>
      </w:pPr>
      <w:r>
        <w:rPr>
          <w:rFonts w:hint="cs"/>
          <w:rtl/>
        </w:rPr>
        <w:tab/>
        <w:t>أنشئت بموجب الفرع 134 من دستور توفالو. ولها صلاحية النظر في دعاوى استئناف القضايا المدنية مباشرة من المحكمة العليا ممارسة أي اختصاص قضائي، باستثناء:</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حيث يكون قد صدر حكم بناء على اتفاق أو يتعلق بالتكاليف فقط؛</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حيث يكون القرار أو الفتوى تمهيدياً، باستثناء الحالات التي تصفها قواعد المحكمة؛ وفي هذه الحالة، يتعين الحصول على إذن؛</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لا يسمح باستئناف قضايا مدنية من: </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قرار يسمح بإعطاء وقت لتقديم الاستئناف؛</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أمر يعطي إذناً غير مشروط للدفاع عن اتخاذ إجراء ما؛</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قرار صادر عن المحكمة العليا ينص قانون على أنه قرار نهائي.</w:t>
      </w:r>
    </w:p>
    <w:p w:rsidR="001A2E7E" w:rsidRPr="0089338E" w:rsidRDefault="001A2E7E" w:rsidP="00C873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جميع دعاوى استئناف القضايا الجنائية مباشرة من قرارات المحكمة العليا إلى محكمة الاستئناف</w:t>
      </w:r>
      <w:r w:rsidR="00C8731C" w:rsidRPr="00C8731C">
        <w:rPr>
          <w:vertAlign w:val="superscript"/>
          <w:rtl/>
        </w:rPr>
        <w:t>(</w:t>
      </w:r>
      <w:r w:rsidR="00C8731C">
        <w:rPr>
          <w:rStyle w:val="FootnoteReference"/>
          <w:rtl/>
        </w:rPr>
        <w:footnoteReference w:id="21"/>
      </w:r>
      <w:r w:rsidR="00C8731C" w:rsidRPr="00C8731C">
        <w:rPr>
          <w:vertAlign w:val="superscript"/>
          <w:rtl/>
        </w:rPr>
        <w:t>)</w:t>
      </w:r>
      <w:r>
        <w:rPr>
          <w:rFonts w:hint="cs"/>
          <w:rtl/>
        </w:rPr>
        <w:t>.</w:t>
      </w:r>
    </w:p>
    <w:p w:rsidR="001A2E7E" w:rsidRDefault="001A2E7E" w:rsidP="001A2E7E">
      <w:pPr>
        <w:pStyle w:val="SingleTxt"/>
        <w:rPr>
          <w:rFonts w:hint="cs"/>
          <w:rtl/>
        </w:rPr>
      </w:pPr>
      <w:r w:rsidRPr="00106E3C">
        <w:rPr>
          <w:rFonts w:hint="cs"/>
          <w:b/>
          <w:bCs/>
          <w:rtl/>
        </w:rPr>
        <w:t>المحكمة العليا</w:t>
      </w:r>
      <w:r>
        <w:rPr>
          <w:rFonts w:hint="cs"/>
          <w:rtl/>
        </w:rPr>
        <w:tab/>
        <w:t>أنشئت المحكمة العليا بموجب الفرع 120 من الدستور. وتتكون من رئيس القضاة في توفالو وأي قضاة آخرين يعينون بموجب الفرع 123 من الدستور.</w:t>
      </w:r>
    </w:p>
    <w:p w:rsidR="001A2E7E" w:rsidRDefault="001A2E7E" w:rsidP="001A2E7E">
      <w:pPr>
        <w:pStyle w:val="SingleTxt"/>
        <w:rPr>
          <w:rFonts w:hint="cs"/>
          <w:rtl/>
        </w:rPr>
      </w:pPr>
      <w:r>
        <w:rPr>
          <w:rFonts w:hint="cs"/>
          <w:rtl/>
        </w:rPr>
        <w:tab/>
        <w:t>وللمحكمة العليا:</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ولاية قضائية أصلية غير محدود في القضايا المدنية والجنائية؛</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اختصاص الاستماع لدعاوى الاستئناف من جميع القرارات الصادرة عن كبير قضاة محكمة الصلح، باستثناء القرارات التي تصدر بناءً على طلب طرف واحد أو بالاتفاق أو المتعلقة بالتكاليف فقط. ففي هذه الحالات يلزم الحصول على إذن خاص من محكمة البداية أو محكمة الاستئناف.</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اختصاص الاستماع لدعاوى الاستئناف من قرارات صادرة عن كبير قضاة محكمة الصلح الذي يمارس اختصاص النظر في قضايا استئناف، بما فيها القرارات المتعلقة باستئناف من لجنة الاستئناف الوطنية الخاصة بالأراضي؛</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اختصاص البت في أية مسألة قانونية تحال إليها بقضية من كبير قضاة محكمة الصلح؛</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اختصاص الإشراف على المحاكم التي دونها.</w:t>
      </w:r>
    </w:p>
    <w:p w:rsidR="001A2E7E" w:rsidRDefault="001A2E7E" w:rsidP="001A2E7E">
      <w:pPr>
        <w:pStyle w:val="SingleTxt"/>
        <w:rPr>
          <w:rFonts w:hint="cs"/>
          <w:rtl/>
        </w:rPr>
      </w:pPr>
      <w:r>
        <w:rPr>
          <w:rFonts w:hint="cs"/>
          <w:rtl/>
        </w:rPr>
        <w:t>ويعيَّ رئيس القضاة من قبل لجنة الخدمة العامة بناءً على توصية مجلس الوزراء. ويسافر رئيس القضاة مرتين سنوياً إلى فونافوتي لترؤس دورات المحكمة العليا.</w:t>
      </w:r>
    </w:p>
    <w:p w:rsidR="001A2E7E" w:rsidRDefault="001A2E7E" w:rsidP="00C8731C">
      <w:pPr>
        <w:pStyle w:val="SingleTxt"/>
        <w:rPr>
          <w:rFonts w:hint="cs"/>
          <w:rtl/>
        </w:rPr>
      </w:pPr>
      <w:r w:rsidRPr="00106E3C">
        <w:rPr>
          <w:rFonts w:hint="cs"/>
          <w:b/>
          <w:bCs/>
          <w:rtl/>
        </w:rPr>
        <w:t>محكمة الصلح</w:t>
      </w:r>
      <w:r>
        <w:rPr>
          <w:rFonts w:hint="cs"/>
          <w:rtl/>
        </w:rPr>
        <w:t xml:space="preserve"> </w:t>
      </w:r>
      <w:r>
        <w:rPr>
          <w:rFonts w:hint="cs"/>
          <w:rtl/>
        </w:rPr>
        <w:tab/>
        <w:t>أنشئت بموجب قانون محكمة الصلح</w:t>
      </w:r>
      <w:r w:rsidR="00C8731C" w:rsidRPr="00C8731C">
        <w:rPr>
          <w:vertAlign w:val="superscript"/>
          <w:rtl/>
        </w:rPr>
        <w:t>(</w:t>
      </w:r>
      <w:r w:rsidR="00C8731C">
        <w:rPr>
          <w:rStyle w:val="FootnoteReference"/>
          <w:rtl/>
        </w:rPr>
        <w:footnoteReference w:id="22"/>
      </w:r>
      <w:r w:rsidR="00C8731C" w:rsidRPr="00C8731C">
        <w:rPr>
          <w:vertAlign w:val="superscript"/>
          <w:rtl/>
        </w:rPr>
        <w:t>)</w:t>
      </w:r>
      <w:r>
        <w:rPr>
          <w:rFonts w:hint="cs"/>
          <w:rtl/>
        </w:rPr>
        <w:t>.</w:t>
      </w:r>
      <w:r w:rsidR="00C8731C">
        <w:rPr>
          <w:rFonts w:hint="cs"/>
          <w:rtl/>
        </w:rPr>
        <w:t xml:space="preserve"> </w:t>
      </w:r>
      <w:r>
        <w:rPr>
          <w:rFonts w:hint="cs"/>
          <w:rtl/>
        </w:rPr>
        <w:t>ولهذه المحكمة ولاية قضائية تخولها صلاحية:</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الاستماع للقضايا المدنية المتعلقة بمبالغ تصل إلى 000 10 دولار أمريكي؛</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إصدار أوامر تبني؛</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الاستماع إلى دعاوى استئناف من أي محكمة صلح أخرى في جميع المسائل المدنية والجنائية، باستثناء القرارات التي تتخذ من طرف واحد أو بالاتفاق أو تتعلق بالتكاليف فقط. في هذه الحالات، يلزم الحصول على إذن خاص من محكمة البداية أو محكمة الاستئناف؛</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الاستماع لدعاوى استئناف من لجنة الاستئناف الوطنية الخاصة بالأراضي فيما يتعلق بنقاط قانونية فقط؛</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الاستماع لدعاوى استئناف من محاكم الجزر التي تمارس صلاحية الطلاق أو ولايتها القضائية في أية مسألة مدنية لا يتجاوز المبلغ المتنازع عليه فيها 10 دولارات أمريكية.</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مراجعة أية قضية مدنية أو جنائية نظرت فيها محكمة جزرية، إما بناءً على طلب طرف ما أو بمبادرة منها؛</w:t>
      </w:r>
    </w:p>
    <w:p w:rsidR="001A2E7E" w:rsidRDefault="001A2E7E" w:rsidP="001A2E7E">
      <w:pPr>
        <w:pStyle w:val="SingleTxt"/>
        <w:rPr>
          <w:rFonts w:hint="cs"/>
          <w:rtl/>
        </w:rPr>
      </w:pPr>
      <w:r>
        <w:rPr>
          <w:rFonts w:hint="cs"/>
          <w:rtl/>
        </w:rPr>
        <w:tab/>
        <w:t>الولاية القضائية الجنائية لمحكمة الصلح التي يترأسها كبير القضاة تختلف عن الولاية القضائية الجنائية لمحاكم الصلح الأخرى. ولجميع محاكم الصلح ولاية قضائية محدودة فقط.</w:t>
      </w:r>
    </w:p>
    <w:p w:rsidR="001A2E7E" w:rsidRDefault="001A2E7E" w:rsidP="001A2E7E">
      <w:pPr>
        <w:pStyle w:val="SingleTxt"/>
        <w:rPr>
          <w:rFonts w:hint="cs"/>
          <w:rtl/>
        </w:rPr>
      </w:pPr>
      <w:r>
        <w:rPr>
          <w:rFonts w:hint="cs"/>
          <w:rtl/>
        </w:rPr>
        <w:tab/>
        <w:t>ويجوز لمحكمة كبير قضاة الصلح الاستماع لقضايا في الحالات التالية:</w:t>
      </w:r>
    </w:p>
    <w:p w:rsidR="001A2E7E" w:rsidRDefault="001A2E7E" w:rsidP="003626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إذا كانت الجناية لا يتجاوز الحد الأعلى للعقوبة على ارتكابها السجن لمدة 14 عاماً، أو غرامة أو </w:t>
      </w:r>
      <w:r w:rsidR="003626EB">
        <w:rPr>
          <w:rFonts w:hint="eastAsia"/>
          <w:rtl/>
        </w:rPr>
        <w:t>”</w:t>
      </w:r>
      <w:r w:rsidR="003626EB">
        <w:rPr>
          <w:rFonts w:hint="cs"/>
          <w:rtl/>
        </w:rPr>
        <w:t>سجن وغرامة كليهما</w:t>
      </w:r>
      <w:r w:rsidR="003626EB">
        <w:rPr>
          <w:rFonts w:hint="eastAsia"/>
          <w:rtl/>
        </w:rPr>
        <w:t>“</w:t>
      </w:r>
      <w:r>
        <w:rPr>
          <w:rFonts w:hint="cs"/>
          <w:rtl/>
        </w:rPr>
        <w:t>؛</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إذا نيطت بالمحكمة صراحة ولاية قضائية أو إذا كان يوجد حكم صريح ينص على أن الجناية المعنية من النوع الذي يمكن أن يحاكم مرتكبها محاكمة موجزة.  </w:t>
      </w:r>
    </w:p>
    <w:p w:rsidR="001A2E7E" w:rsidRDefault="001A2E7E" w:rsidP="00C8731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t>الحد الأعلى للعقوبة التي يجوز لكبير قضاة الصلح أن يفرضها السجن لمدة خمس سنوات أو غرامة مقدارها 000 1 دولار أمريكي أو السجن والغرامة كلاهما.</w:t>
      </w:r>
    </w:p>
    <w:p w:rsidR="001A2E7E" w:rsidRDefault="001A2E7E" w:rsidP="001A2E7E">
      <w:pPr>
        <w:pStyle w:val="SingleTxt"/>
        <w:rPr>
          <w:rFonts w:hint="cs"/>
          <w:rtl/>
        </w:rPr>
      </w:pPr>
      <w:r>
        <w:rPr>
          <w:rFonts w:hint="cs"/>
          <w:rtl/>
        </w:rPr>
        <w:tab/>
        <w:t>الولايات القضائية لمحاكم الصلح الأخرى أكثر محدودية. ويجوز لها الاستماع لقضايا في الحالات التالية:</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إذا كانت الجناية من النوع الذي لا يتجاوز الحد الأدنى للعقوبة على ارتكابها السجن لمدة لا تزيد على عام واحد، أو غرامة مقدارها 200 دولار أمريكي، أو كليهما؛ </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إذا نيطت بالمحكمة صراحة ولاية قضائية أو إذا كان يوجد حكم صريح ينص على أنه يجوز محاكمة مرتكب العقوبة محاكمة موجزة؛</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إذا كانت محكمة الصلح تمارس صلاحية الاستئناف فيما يتعلق بقرارات المحاكم الجزرية في المنطقة التي توجد فيها محكمة الصلح.</w:t>
      </w:r>
    </w:p>
    <w:p w:rsidR="001A2E7E" w:rsidRDefault="001A2E7E" w:rsidP="00C8731C">
      <w:pPr>
        <w:pStyle w:val="SingleTxt"/>
        <w:rPr>
          <w:rFonts w:hint="cs"/>
          <w:rtl/>
        </w:rPr>
      </w:pPr>
      <w:r>
        <w:rPr>
          <w:rFonts w:hint="cs"/>
          <w:b/>
          <w:bCs/>
          <w:rtl/>
        </w:rPr>
        <w:tab/>
      </w:r>
      <w:r w:rsidRPr="0080497E">
        <w:rPr>
          <w:rFonts w:hint="cs"/>
          <w:b/>
          <w:bCs/>
          <w:rtl/>
        </w:rPr>
        <w:t>محكمة الجزيرة</w:t>
      </w:r>
      <w:r>
        <w:rPr>
          <w:rFonts w:hint="cs"/>
          <w:rtl/>
        </w:rPr>
        <w:t xml:space="preserve"> </w:t>
      </w:r>
      <w:r>
        <w:rPr>
          <w:rFonts w:hint="cs"/>
          <w:rtl/>
        </w:rPr>
        <w:tab/>
        <w:t>توجد في كل جزيرة محكمة جزيرة أقل درجة من محكمة الصلح</w:t>
      </w:r>
      <w:r w:rsidR="00C8731C" w:rsidRPr="00C8731C">
        <w:rPr>
          <w:vertAlign w:val="superscript"/>
          <w:rtl/>
        </w:rPr>
        <w:t>(</w:t>
      </w:r>
      <w:r w:rsidR="00C8731C">
        <w:rPr>
          <w:rStyle w:val="FootnoteReference"/>
          <w:rtl/>
        </w:rPr>
        <w:footnoteReference w:id="23"/>
      </w:r>
      <w:r w:rsidR="00C8731C" w:rsidRPr="00C8731C">
        <w:rPr>
          <w:vertAlign w:val="superscript"/>
          <w:rtl/>
        </w:rPr>
        <w:t>)</w:t>
      </w:r>
      <w:r>
        <w:rPr>
          <w:rFonts w:hint="cs"/>
          <w:rtl/>
        </w:rPr>
        <w:t>.</w:t>
      </w:r>
      <w:r w:rsidR="00C8731C">
        <w:rPr>
          <w:rFonts w:hint="cs"/>
          <w:rtl/>
        </w:rPr>
        <w:t xml:space="preserve"> </w:t>
      </w:r>
      <w:r>
        <w:rPr>
          <w:rFonts w:hint="cs"/>
          <w:rtl/>
        </w:rPr>
        <w:t>وتمارس محكمة الجزيرة ولاية قضائية في حدود الجزيرة الموجودة فيها</w:t>
      </w:r>
      <w:r w:rsidR="00C8731C" w:rsidRPr="00C8731C">
        <w:rPr>
          <w:vertAlign w:val="superscript"/>
          <w:rtl/>
        </w:rPr>
        <w:t>(</w:t>
      </w:r>
      <w:r w:rsidR="00C8731C">
        <w:rPr>
          <w:rStyle w:val="FootnoteReference"/>
          <w:rtl/>
        </w:rPr>
        <w:footnoteReference w:id="24"/>
      </w:r>
      <w:r w:rsidR="00C8731C" w:rsidRPr="00C8731C">
        <w:rPr>
          <w:vertAlign w:val="superscript"/>
          <w:rtl/>
        </w:rPr>
        <w:t>)</w:t>
      </w:r>
      <w:r>
        <w:rPr>
          <w:rFonts w:hint="cs"/>
          <w:rtl/>
        </w:rPr>
        <w:t>،</w:t>
      </w:r>
      <w:r w:rsidR="00C8731C">
        <w:rPr>
          <w:rFonts w:hint="cs"/>
          <w:rtl/>
        </w:rPr>
        <w:t xml:space="preserve"> </w:t>
      </w:r>
      <w:r>
        <w:rPr>
          <w:rFonts w:hint="cs"/>
          <w:rtl/>
        </w:rPr>
        <w:t>ويتعين أن تتمتع بصلاحية النظر في القضايا المدنية والقضايا الجنائية، وأن تمارس هذه الصلاحية</w:t>
      </w:r>
      <w:r w:rsidR="00C8731C" w:rsidRPr="00C8731C">
        <w:rPr>
          <w:vertAlign w:val="superscript"/>
          <w:rtl/>
        </w:rPr>
        <w:t>(</w:t>
      </w:r>
      <w:r w:rsidR="00C8731C">
        <w:rPr>
          <w:rStyle w:val="FootnoteReference"/>
          <w:rtl/>
        </w:rPr>
        <w:footnoteReference w:id="25"/>
      </w:r>
      <w:r w:rsidR="00C8731C" w:rsidRPr="00C8731C">
        <w:rPr>
          <w:vertAlign w:val="superscript"/>
          <w:rtl/>
        </w:rPr>
        <w:t>)</w:t>
      </w:r>
      <w:r>
        <w:rPr>
          <w:rFonts w:hint="cs"/>
          <w:rtl/>
        </w:rPr>
        <w:t>.</w:t>
      </w:r>
      <w:r w:rsidR="00C8731C">
        <w:rPr>
          <w:rFonts w:hint="cs"/>
          <w:rtl/>
        </w:rPr>
        <w:t xml:space="preserve"> </w:t>
      </w:r>
      <w:r>
        <w:rPr>
          <w:rFonts w:hint="cs"/>
          <w:rtl/>
        </w:rPr>
        <w:t xml:space="preserve">فضلاً عن ذلك، تتمتع محكمة الجزيرة أيضاً بصلاحية الاستماع لـ: </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طلبات الطلاق أو المرافعات القانونية المرتبطة بالطلاق، وذلك بموجب قانون الطلاق الوطني، شريطة أ ن يكون كلا الطرفين مقيماً في توفالو؛</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المطالبات المتعلقة بعقود وإساءات وتعديات على حقوق الغير بحيث لا يتجاوز المبلغ موضع المطالبة 60 دولاراً أمريكياً؛</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طلبات النفقة بموجب قانون النفقة (أحكام متنوعة)؛ و</w:t>
      </w:r>
    </w:p>
    <w:p w:rsidR="001A2E7E" w:rsidRDefault="001A2E7E" w:rsidP="001A2E7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طلبات مقدمة بموجب قانون حضانة الأطفال.</w:t>
      </w:r>
    </w:p>
    <w:p w:rsidR="001A2E7E" w:rsidRDefault="001A2E7E" w:rsidP="00C8731C">
      <w:pPr>
        <w:pStyle w:val="SingleTxt"/>
        <w:rPr>
          <w:rFonts w:hint="cs"/>
          <w:rtl/>
        </w:rPr>
      </w:pPr>
      <w:r>
        <w:rPr>
          <w:rFonts w:hint="cs"/>
          <w:rtl/>
        </w:rPr>
        <w:tab/>
        <w:t>القضايا الجنائية التي تقع ضمن الاختصاص الجنائي لمحاكم الجزر محددة في الجدول 2 من قانون محاكم الجزر. إضافة إلى ذلك، يجوز للمحكمة أن تستمع لقضايا تتعلق بجنايات الحد الأدنى للعقوبة على ارتكابها غرامة مقدارها 100 دولار أمريكي</w:t>
      </w:r>
      <w:r w:rsidR="00F002E0">
        <w:rPr>
          <w:rFonts w:hint="cs"/>
          <w:rtl/>
        </w:rPr>
        <w:t xml:space="preserve"> و/ أو السجن لمدة لا</w:t>
      </w:r>
      <w:r w:rsidR="00F002E0">
        <w:rPr>
          <w:rFonts w:hint="eastAsia"/>
          <w:rtl/>
        </w:rPr>
        <w:t> </w:t>
      </w:r>
      <w:r>
        <w:rPr>
          <w:rFonts w:hint="cs"/>
          <w:rtl/>
        </w:rPr>
        <w:t>تتجاوز 6 شهور</w:t>
      </w:r>
      <w:r w:rsidR="00C8731C" w:rsidRPr="00C8731C">
        <w:rPr>
          <w:vertAlign w:val="superscript"/>
          <w:rtl/>
        </w:rPr>
        <w:t>(</w:t>
      </w:r>
      <w:r w:rsidR="00C8731C">
        <w:rPr>
          <w:rStyle w:val="FootnoteReference"/>
          <w:rtl/>
        </w:rPr>
        <w:footnoteReference w:id="26"/>
      </w:r>
      <w:r w:rsidR="00C8731C" w:rsidRPr="00C8731C">
        <w:rPr>
          <w:vertAlign w:val="superscript"/>
          <w:rtl/>
        </w:rPr>
        <w:t>)</w:t>
      </w:r>
      <w:r>
        <w:rPr>
          <w:rFonts w:hint="cs"/>
          <w:rtl/>
        </w:rPr>
        <w:t>.</w:t>
      </w:r>
    </w:p>
    <w:p w:rsidR="001A2E7E" w:rsidRDefault="001A2E7E" w:rsidP="00F93B21">
      <w:pPr>
        <w:pStyle w:val="SingleTxt"/>
        <w:rPr>
          <w:rFonts w:hint="cs"/>
          <w:rtl/>
        </w:rPr>
      </w:pPr>
      <w:r>
        <w:rPr>
          <w:rFonts w:hint="cs"/>
          <w:b/>
          <w:bCs/>
          <w:rtl/>
        </w:rPr>
        <w:tab/>
      </w:r>
      <w:r w:rsidRPr="0080497E">
        <w:rPr>
          <w:rFonts w:hint="cs"/>
          <w:b/>
          <w:bCs/>
          <w:rtl/>
        </w:rPr>
        <w:t>محكمة الأراضي</w:t>
      </w:r>
      <w:r>
        <w:rPr>
          <w:rFonts w:hint="cs"/>
          <w:rtl/>
        </w:rPr>
        <w:t xml:space="preserve">  توجد محكمة أراضٍ في كل جزيرة أنشئت بموجب الفرع 6 من قانون أراضي </w:t>
      </w:r>
      <w:r w:rsidR="00F93B21">
        <w:rPr>
          <w:rFonts w:hint="cs"/>
          <w:rtl/>
        </w:rPr>
        <w:t xml:space="preserve">السكان الأصليين </w:t>
      </w:r>
      <w:r>
        <w:rPr>
          <w:rFonts w:hint="cs"/>
          <w:rtl/>
        </w:rPr>
        <w:t>(القانون رقم 22)، وتضم 6 قضاة. ومحكمة الأراضي مسؤولة عن جميع المسائل المتعلقة بالأراضي، وعلى وجه التحديد عقود تأجير الأراضي والوصية والإرث والتبني، إلخ.</w:t>
      </w:r>
    </w:p>
    <w:p w:rsidR="001A2E7E" w:rsidRPr="001A2E7E"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B87065" w:rsidRDefault="001A2E7E" w:rsidP="001A2E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B87065">
        <w:rPr>
          <w:rFonts w:hint="cs"/>
          <w:rtl/>
        </w:rPr>
        <w:t xml:space="preserve">مصادر القانون </w:t>
      </w:r>
    </w:p>
    <w:p w:rsidR="001A2E7E" w:rsidRDefault="001A2E7E" w:rsidP="001A2E7E">
      <w:pPr>
        <w:pStyle w:val="SingleTxt"/>
        <w:rPr>
          <w:rFonts w:hint="cs"/>
          <w:rtl/>
        </w:rPr>
      </w:pPr>
      <w:r>
        <w:rPr>
          <w:rFonts w:hint="cs"/>
          <w:rtl/>
        </w:rPr>
        <w:t>28 -</w:t>
      </w:r>
      <w:r>
        <w:rPr>
          <w:rFonts w:hint="cs"/>
          <w:rtl/>
        </w:rPr>
        <w:tab/>
        <w:t>كما أُعلن في قانون توفالو لعام 1987، توجد خمسة مصادر للقانون في توفالو، هي: الدستور وهو القانون الأسمى للبلد، والقوانين التي يسنها البرلمان والقانون العرفي والقوانين التطبيقية والقانون العام. إضافة إلى ذلك، يُطبق في توفالو القانون الدولي رهناً بتوفر شروط معينة.</w:t>
      </w:r>
    </w:p>
    <w:p w:rsidR="00C8731C" w:rsidRPr="00C8731C" w:rsidRDefault="00C8731C" w:rsidP="00C8731C">
      <w:pPr>
        <w:pStyle w:val="SingleTxt"/>
        <w:spacing w:after="0" w:line="120" w:lineRule="exact"/>
        <w:rPr>
          <w:rFonts w:hint="cs"/>
          <w:sz w:val="10"/>
          <w:rtl/>
        </w:rPr>
      </w:pPr>
    </w:p>
    <w:p w:rsidR="001A2E7E" w:rsidRPr="00B87065" w:rsidRDefault="00C8731C"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B87065">
        <w:rPr>
          <w:rFonts w:hint="cs"/>
          <w:rtl/>
        </w:rPr>
        <w:t>دستور</w:t>
      </w:r>
    </w:p>
    <w:p w:rsidR="001A2E7E" w:rsidRDefault="001A2E7E" w:rsidP="00C8731C">
      <w:pPr>
        <w:pStyle w:val="SingleTxt"/>
        <w:rPr>
          <w:rFonts w:hint="cs"/>
          <w:rtl/>
        </w:rPr>
      </w:pPr>
      <w:r>
        <w:rPr>
          <w:rFonts w:hint="cs"/>
          <w:rtl/>
        </w:rPr>
        <w:t>29 -</w:t>
      </w:r>
      <w:r>
        <w:rPr>
          <w:rFonts w:hint="cs"/>
          <w:rtl/>
        </w:rPr>
        <w:tab/>
        <w:t>اعتمد دستور دولة توفالو المستقلة في 25 تموز/ يوليه 1978، ودخل حيز النفاذ في 1 تشرين الأول/ أكتوبر 1978، عندما نالت الدولة استقلالها من بريطانيا العظمى. وفي عام 1986، أجاز البرلمان دستوراً جديداً لتوفالو. والدستور هو القانون الأسمى للبلد. وجميع القوانين الأخرى تخضع للدستور. ويوفر الجدول 1، المعنون قواعد لتفسير الدستور، قواعد إرشادية لتفسير الدستور. وينص الفرع 4 (3) على أنه يتعين تفسير وتطبيق الدستور على نحو يكفل إقامة حكومة عادلة وديمقراطية تتفق وقيم توفالو. ويكفل الدستور التمسك بحقوق الإنسان والحريات الأساسية في إطار قيم مواطني توفالو التقليدية. وتنص الفقرة 5 من الديباجة:</w:t>
      </w:r>
    </w:p>
    <w:p w:rsidR="001A2E7E" w:rsidRDefault="00F3241C" w:rsidP="00F3241C">
      <w:pPr>
        <w:pStyle w:val="SingleTxt"/>
        <w:ind w:left="1930" w:hanging="663"/>
        <w:rPr>
          <w:rFonts w:hint="cs"/>
          <w:rtl/>
        </w:rPr>
      </w:pPr>
      <w:r>
        <w:rPr>
          <w:rFonts w:hint="cs"/>
          <w:rtl/>
        </w:rPr>
        <w:tab/>
      </w:r>
      <w:r w:rsidR="00C8731C">
        <w:rPr>
          <w:rFonts w:hint="cs"/>
          <w:rtl/>
        </w:rPr>
        <w:tab/>
      </w:r>
      <w:r w:rsidR="00C8731C">
        <w:rPr>
          <w:rFonts w:hint="eastAsia"/>
          <w:rtl/>
        </w:rPr>
        <w:t>”</w:t>
      </w:r>
      <w:r w:rsidR="001A2E7E">
        <w:rPr>
          <w:rFonts w:hint="cs"/>
          <w:rtl/>
        </w:rPr>
        <w:t>حيث يرغب شعب توفالو إعلان نفسه دولة مستقلة على  أساس المبادئ المسيحية وسيادة القانو</w:t>
      </w:r>
      <w:r w:rsidR="00C8731C">
        <w:rPr>
          <w:rFonts w:hint="cs"/>
          <w:rtl/>
        </w:rPr>
        <w:t>ن وعادات وتقاليد مواطني توفالو“.</w:t>
      </w:r>
    </w:p>
    <w:p w:rsidR="001A2E7E" w:rsidRDefault="00C8731C" w:rsidP="00C8731C">
      <w:pPr>
        <w:pStyle w:val="SingleTxt"/>
        <w:rPr>
          <w:rFonts w:hint="cs"/>
          <w:rtl/>
        </w:rPr>
      </w:pPr>
      <w:r>
        <w:rPr>
          <w:rFonts w:hint="cs"/>
          <w:rtl/>
        </w:rPr>
        <w:tab/>
      </w:r>
      <w:r w:rsidR="001A2E7E">
        <w:rPr>
          <w:rFonts w:hint="cs"/>
          <w:rtl/>
        </w:rPr>
        <w:t>ويمكن تعديل الدستور بقرار من البرلمان، ولكن التعديل يتطلب موافقة أغلبية ثلثي جميع أعضاء البرلمان في قراءته النهائية. وقد خضع دستور توفالو للمراجعة ثلاث مرات</w:t>
      </w:r>
      <w:r w:rsidRPr="00C8731C">
        <w:rPr>
          <w:vertAlign w:val="superscript"/>
          <w:rtl/>
        </w:rPr>
        <w:t>(</w:t>
      </w:r>
      <w:r>
        <w:rPr>
          <w:rStyle w:val="FootnoteReference"/>
          <w:rtl/>
        </w:rPr>
        <w:footnoteReference w:id="27"/>
      </w:r>
      <w:r w:rsidRPr="00C8731C">
        <w:rPr>
          <w:vertAlign w:val="superscript"/>
          <w:rtl/>
        </w:rPr>
        <w:t>)</w:t>
      </w:r>
      <w:r w:rsidR="001A2E7E">
        <w:rPr>
          <w:rFonts w:hint="cs"/>
          <w:rtl/>
        </w:rPr>
        <w:t>.</w:t>
      </w:r>
      <w:r>
        <w:rPr>
          <w:rFonts w:hint="cs"/>
          <w:rtl/>
        </w:rPr>
        <w:t xml:space="preserve"> </w:t>
      </w:r>
      <w:r w:rsidR="001A2E7E">
        <w:rPr>
          <w:rFonts w:hint="cs"/>
          <w:rtl/>
        </w:rPr>
        <w:t>انتهت لجنة مراجعة الدستور البرلمانية من المراجعة الثالثة في عام 2000.</w:t>
      </w:r>
    </w:p>
    <w:p w:rsidR="001A2E7E" w:rsidRDefault="001A2E7E" w:rsidP="00C8731C">
      <w:pPr>
        <w:pStyle w:val="SingleTxt"/>
        <w:rPr>
          <w:rFonts w:hint="cs"/>
          <w:rtl/>
        </w:rPr>
      </w:pPr>
      <w:r>
        <w:rPr>
          <w:rFonts w:hint="cs"/>
          <w:rtl/>
        </w:rPr>
        <w:t>30 -</w:t>
      </w:r>
      <w:r>
        <w:rPr>
          <w:rFonts w:hint="cs"/>
          <w:rtl/>
        </w:rPr>
        <w:tab/>
        <w:t>تُعرِّف أحكام قانون توفالوا لعام 1987 القانون العرفي في توفالو وتركز على مسائل من قبيل الأرض وحقوق صيد الأسماك، والشرعية وتبني الأطفال، والطلاق ومسؤوليات المجتمع المحلي (</w:t>
      </w:r>
      <w:r w:rsidR="008B1FB2">
        <w:rPr>
          <w:rFonts w:hint="cs"/>
          <w:rtl/>
        </w:rPr>
        <w:t>انظر</w:t>
      </w:r>
      <w:r>
        <w:rPr>
          <w:rFonts w:hint="cs"/>
          <w:rtl/>
        </w:rPr>
        <w:t xml:space="preserve"> جلال، 1998).</w:t>
      </w:r>
    </w:p>
    <w:p w:rsidR="00C8731C" w:rsidRPr="00C8731C" w:rsidRDefault="00C8731C" w:rsidP="00C8731C">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1A2E7E" w:rsidRPr="007B09F9" w:rsidRDefault="00C8731C" w:rsidP="00C873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DE1D92">
        <w:rPr>
          <w:rFonts w:hint="cs"/>
          <w:rtl/>
        </w:rPr>
        <w:t>ا</w:t>
      </w:r>
      <w:r w:rsidR="001A2E7E" w:rsidRPr="007B09F9">
        <w:rPr>
          <w:rFonts w:hint="cs"/>
          <w:rtl/>
        </w:rPr>
        <w:t>لهيكل الإداري</w:t>
      </w:r>
    </w:p>
    <w:p w:rsidR="001A2E7E" w:rsidRDefault="00C8731C"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7B09F9">
        <w:rPr>
          <w:rFonts w:hint="cs"/>
          <w:rtl/>
        </w:rPr>
        <w:t>خدمة المدنية</w:t>
      </w:r>
    </w:p>
    <w:p w:rsidR="001A2E7E" w:rsidRDefault="001A2E7E" w:rsidP="00C8731C">
      <w:pPr>
        <w:pStyle w:val="SingleTxt"/>
        <w:rPr>
          <w:rFonts w:hint="cs"/>
          <w:rtl/>
        </w:rPr>
      </w:pPr>
      <w:r>
        <w:rPr>
          <w:rFonts w:hint="cs"/>
          <w:rtl/>
        </w:rPr>
        <w:t>31 -</w:t>
      </w:r>
      <w:r>
        <w:rPr>
          <w:rFonts w:hint="cs"/>
          <w:rtl/>
        </w:rPr>
        <w:tab/>
        <w:t>أنشئ في عام 1975 في فونافوتي، عاصمة توفالو، كخطوة أولى نحو الاستقلال، هيكل تشريعي وإداري مستقل. وكان هذا هو أساس هيكل حكومة الدولة في مسيرتها نحو الاستقلال. وكمعظم الدول الجزرية الصغيرة، قطاع الخدمة العامة في توفالو أكبر مستخدم، حيث توجد أحكام بشغل 885 وظيفة. إلا أن 110 وظائف لا تزال شاغرة حتى اليوم، مما يعني وجود 775 موظفاً، يتكونون من 433 رجلاً و 351 امرأة. وينظم الخدمة العامة قانون الخدمة العامة لعام 1979، وقواعد لجنة الخدمة الحكومية لعام 2000 وأوامر الإدارة العامة لعام 2000، الصادرة بموجب الفرع 7 من قانون عام 1979. ولجنة الخدمة العامة مسؤولة عن إدارة وضبط الخدمة المدنية بكفاءة، بما في ذلك جميع مسائل الموظفين؛ والتعيينات والتثبيت في التعيين؛ والترفيع والتنزيل؛ والنقل من مكتب إلى مكتب أو من مكان (باستثناء تنقل الطاقم المشترك)؛ واتخاذ الإجراءات التأديبية ووقف التعيين أو إلغائه. ووفقاً للقواعد التنظيمية والممارسات الراسخة، الموظفون المدنيون مسؤولون عن المساعدة في وضع السياسات العامة وتنفيذها، وتقييم تأثيرها وتقديم الخدمات وسلع عامة معينة. وما فتئ إصلاح القطاع العام أولوية للحكومة منذ مدة طويلة، وذلك بغرض تحسين الإدارة العامة وإدارة المالية العامة وأداء المشاريع العامة. ولاحظ استعراض للتقدم، أجري في عام 1998، أن بيئة الإدارة سليمة بالمقاييس الإقليمية</w:t>
      </w:r>
      <w:r w:rsidR="00C8731C" w:rsidRPr="00C8731C">
        <w:rPr>
          <w:vertAlign w:val="superscript"/>
          <w:rtl/>
        </w:rPr>
        <w:t>(</w:t>
      </w:r>
      <w:r w:rsidR="00C8731C">
        <w:rPr>
          <w:rStyle w:val="FootnoteReference"/>
          <w:rtl/>
        </w:rPr>
        <w:footnoteReference w:id="28"/>
      </w:r>
      <w:r w:rsidR="00C8731C" w:rsidRPr="00C8731C">
        <w:rPr>
          <w:vertAlign w:val="superscript"/>
          <w:rtl/>
        </w:rPr>
        <w:t>)</w:t>
      </w:r>
      <w:r>
        <w:rPr>
          <w:rFonts w:hint="cs"/>
          <w:rtl/>
        </w:rPr>
        <w:t>.</w:t>
      </w:r>
    </w:p>
    <w:p w:rsidR="001A2E7E" w:rsidRPr="00DE520E" w:rsidRDefault="00C8731C" w:rsidP="00C873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A2E7E" w:rsidRPr="00DE520E">
        <w:rPr>
          <w:rFonts w:hint="cs"/>
          <w:rtl/>
        </w:rPr>
        <w:t>الحكومة المحلية</w:t>
      </w:r>
    </w:p>
    <w:p w:rsidR="001A2E7E" w:rsidRDefault="001A2E7E" w:rsidP="00C8731C">
      <w:pPr>
        <w:pStyle w:val="SingleTxt"/>
        <w:rPr>
          <w:rFonts w:hint="cs"/>
          <w:rtl/>
        </w:rPr>
      </w:pPr>
      <w:r>
        <w:rPr>
          <w:rFonts w:hint="cs"/>
          <w:rtl/>
        </w:rPr>
        <w:t>32 -</w:t>
      </w:r>
      <w:r>
        <w:rPr>
          <w:rFonts w:hint="cs"/>
          <w:rtl/>
        </w:rPr>
        <w:tab/>
        <w:t xml:space="preserve">تشـكَّل جميعة الحكـماء وجمـيعة فالي كابـيول وفقاً للعادات والمعايير المحلـية التقليدية، </w:t>
      </w:r>
      <w:r w:rsidRPr="004A013C">
        <w:rPr>
          <w:szCs w:val="20"/>
        </w:rPr>
        <w:t>“Tuu mo Aganuu”</w:t>
      </w:r>
      <w:r>
        <w:rPr>
          <w:rFonts w:hint="cs"/>
          <w:rtl/>
        </w:rPr>
        <w:t xml:space="preserve"> لكل جزيرة. ولكل جزيرة فالي كابيول خاص بها منظم بموجب قانون مجلس الفالي كابيول. وبالنسبة لصلاحية كل جمعية فالي كابيول، يوجد مجلس حكومة محلي أو كابيول. ويمارس مجلس الحكومة جميع المهام التنفيذية المتعلقة بمجلس الفالي كابيول.</w:t>
      </w:r>
    </w:p>
    <w:p w:rsidR="001A2E7E" w:rsidRDefault="001A2E7E" w:rsidP="003626EB">
      <w:pPr>
        <w:pStyle w:val="SingleTxt"/>
        <w:rPr>
          <w:rFonts w:hint="cs"/>
          <w:rtl/>
        </w:rPr>
      </w:pPr>
      <w:r>
        <w:rPr>
          <w:rFonts w:hint="cs"/>
          <w:rtl/>
        </w:rPr>
        <w:t>33 -</w:t>
      </w:r>
      <w:r>
        <w:rPr>
          <w:rFonts w:hint="cs"/>
          <w:rtl/>
        </w:rPr>
        <w:tab/>
        <w:t>وفي عام 1978، أجاز البرلمان قانون الحكومات المحلية استناداً إلى قانون الحكومات المحلية لعام 1966. وقد أُلغي قانون الحكومات المحلية لعام 1978 بقانون جمعية الفالي كابيول لعام 1997. ونتيجة لذلك، جرى حل جميع مجالس الحكومات المحلية التي أنشئت بموجب قانون عام 1978، وحل محلها مجلس كابيول</w:t>
      </w:r>
      <w:r w:rsidR="00C8731C" w:rsidRPr="00C8731C">
        <w:rPr>
          <w:vertAlign w:val="superscript"/>
          <w:rtl/>
        </w:rPr>
        <w:t>(</w:t>
      </w:r>
      <w:r w:rsidR="00C8731C">
        <w:rPr>
          <w:rStyle w:val="FootnoteReference"/>
          <w:rtl/>
        </w:rPr>
        <w:footnoteReference w:id="29"/>
      </w:r>
      <w:r w:rsidR="00C8731C" w:rsidRPr="00C8731C">
        <w:rPr>
          <w:vertAlign w:val="superscript"/>
          <w:rtl/>
        </w:rPr>
        <w:t>)</w:t>
      </w:r>
      <w:r>
        <w:rPr>
          <w:rFonts w:hint="cs"/>
          <w:rtl/>
        </w:rPr>
        <w:t>.</w:t>
      </w:r>
      <w:r w:rsidR="00C8731C">
        <w:rPr>
          <w:rFonts w:hint="cs"/>
          <w:rtl/>
        </w:rPr>
        <w:t xml:space="preserve"> </w:t>
      </w:r>
      <w:r>
        <w:rPr>
          <w:rFonts w:hint="cs"/>
          <w:rtl/>
        </w:rPr>
        <w:t xml:space="preserve">تنتخب جمعية فالي كابيول رئيس مجلس الكابيول </w:t>
      </w:r>
      <w:r w:rsidR="003626EB">
        <w:rPr>
          <w:rFonts w:hint="eastAsia"/>
          <w:rtl/>
        </w:rPr>
        <w:t>”</w:t>
      </w:r>
      <w:r>
        <w:rPr>
          <w:rFonts w:hint="cs"/>
          <w:rtl/>
        </w:rPr>
        <w:t>المعروف بأسم بيول أو كابيول</w:t>
      </w:r>
      <w:r w:rsidR="003626EB">
        <w:rPr>
          <w:rFonts w:hint="eastAsia"/>
          <w:rtl/>
        </w:rPr>
        <w:t>“</w:t>
      </w:r>
      <w:r>
        <w:rPr>
          <w:rFonts w:hint="cs"/>
          <w:rtl/>
        </w:rPr>
        <w:t xml:space="preserve">. ويكلف رئيس المجلس </w:t>
      </w:r>
      <w:r w:rsidR="003626EB">
        <w:rPr>
          <w:rFonts w:hint="eastAsia"/>
          <w:rtl/>
        </w:rPr>
        <w:t>”</w:t>
      </w:r>
      <w:r>
        <w:rPr>
          <w:rFonts w:hint="cs"/>
          <w:rtl/>
        </w:rPr>
        <w:t>بيول أو كابيول</w:t>
      </w:r>
      <w:r w:rsidR="003626EB">
        <w:rPr>
          <w:rFonts w:hint="eastAsia"/>
          <w:rtl/>
        </w:rPr>
        <w:t>“</w:t>
      </w:r>
      <w:r>
        <w:rPr>
          <w:rFonts w:hint="cs"/>
          <w:rtl/>
        </w:rPr>
        <w:t xml:space="preserve"> بالموافقة على ميزانية الجزيرة، التي تعتمد في مواردها عادة على صندوق فالي كابيول الاستئماني، وعلى اللوائح الداخلية وتعيينات مسؤولي الكابيول. ويقوم الفالي الكابيول بدوره من خلال الكابيول، ويتمثل دوره في الحفاظ على النظام وبقاء الحكومة رشيدة وتعزيز التنمية في إطار منطقة صلاحياته. وبالتعاون مع دائرة التنمية الريفية الحكومية، يُعد ويُنفذ الفالي الكابيول، من خلال الكابيول، خطط التنمية بالتعاون مع المجتمع المحلي والأطراف الأخرى ذات الصلة، ويقوم أيضاً بتنسيق ورصد مشاريع التنمية، ويعبئ الناس من أجل جهود التنمية، ويكفل إدارة واستخدام الموارد الطبيعية في منطقة الفالي كابيول على نحو صحيح.</w:t>
      </w:r>
    </w:p>
    <w:p w:rsidR="001A2E7E" w:rsidRDefault="001A2E7E" w:rsidP="00C8731C">
      <w:pPr>
        <w:pStyle w:val="SingleTxt"/>
        <w:rPr>
          <w:rFonts w:hint="cs"/>
          <w:rtl/>
        </w:rPr>
      </w:pPr>
      <w:r>
        <w:rPr>
          <w:rFonts w:hint="cs"/>
          <w:rtl/>
        </w:rPr>
        <w:t>34 -</w:t>
      </w:r>
      <w:r>
        <w:rPr>
          <w:rFonts w:hint="cs"/>
          <w:rtl/>
        </w:rPr>
        <w:tab/>
        <w:t>يتكون كل مجلس كابيول من ستة أعضاء ينتخبهم الناخبون المسجلون. ولا يجوز أن يكون المرشحون لعضوية الكابيول موظفين في الخدمة العامة. وينتخب الأعضاء لفترة أربع سنوات، وبوسعهم السعي لإعادة انتخابهم، ولكن لا يجوز لهم أن يكونوا أعضاء لأكثر من مرتين.</w:t>
      </w:r>
    </w:p>
    <w:p w:rsidR="001A2E7E" w:rsidRDefault="001A2E7E" w:rsidP="00C8731C">
      <w:pPr>
        <w:pStyle w:val="SingleTxt"/>
        <w:rPr>
          <w:rFonts w:hint="cs"/>
          <w:rtl/>
        </w:rPr>
      </w:pPr>
      <w:r>
        <w:rPr>
          <w:rFonts w:hint="cs"/>
          <w:rtl/>
        </w:rPr>
        <w:t>35 -</w:t>
      </w:r>
      <w:r>
        <w:rPr>
          <w:rFonts w:hint="cs"/>
          <w:rtl/>
        </w:rPr>
        <w:tab/>
        <w:t>ويعترف قانون الفالي كابيول لعام 1997 بأسلوب الحكم التقليدي (رؤساء القبائل والحكماء) حيث يكون رؤساء القبائل والحكماء مسؤولين مباشرة عن إدارة شؤون الجزيرة، حيث يعمل نظام الحكم التقليدي بالتعاون مع الحكومة الوطنية. وتهدف الحكومة الوطنية والحكومات المحلية إلى تحسين الصلات بين النظم الثقافية والحكومة والمؤسسات التي تعمل على صعيد وطني وتشجيع مشاركة المجتمعات المحلية على نحو أوسع في تنميتها.</w:t>
      </w:r>
    </w:p>
    <w:p w:rsidR="00C8731C" w:rsidRPr="00C8731C" w:rsidRDefault="00C8731C"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805137" w:rsidRDefault="00C8731C"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805137">
        <w:rPr>
          <w:rFonts w:hint="cs"/>
          <w:rtl/>
        </w:rPr>
        <w:t>حالة المرأة والنهوض بها</w:t>
      </w:r>
    </w:p>
    <w:p w:rsidR="001A2E7E" w:rsidRDefault="001A2E7E" w:rsidP="00C8731C">
      <w:pPr>
        <w:pStyle w:val="SingleTxt"/>
        <w:rPr>
          <w:rFonts w:hint="cs"/>
          <w:rtl/>
        </w:rPr>
      </w:pPr>
      <w:r>
        <w:rPr>
          <w:rFonts w:hint="cs"/>
          <w:rtl/>
        </w:rPr>
        <w:t>36 -</w:t>
      </w:r>
      <w:r>
        <w:rPr>
          <w:rFonts w:hint="cs"/>
          <w:rtl/>
        </w:rPr>
        <w:tab/>
        <w:t>تعود مشاركة المرأة في التنمية إلى نحو 100 سنة تقريباً. وتوجد في كل جزيرة منظمة للمرأة نشأت حول الكنيسة. والهدف الرئيسي لهذه المنظمات العمل على توفير حياة صحية من أجل رفاه الأسر والمجتمعات التي تخدمها. ولا تزال المرأة تقوم بأدوار مهمة في الإسهام في الرفاه الاجتماعي والاقتصادي الشامل لمجتمعها وللأمة أيضاً. وقد تحسنت حالة المرأة كثيراً في ميادين الصحة والتعليم، وتحسن انخراطها  ومشاركتها في العمل بأجر وفي الاقتصاد النقدي. واعترافاً من الحكومة بإسهام المرأة، أنشأت الحكومة في عام 1986 مكتب المرأة في وزارة الصحة والشؤون الاجتماعية. وأُلقيت على عاتق الشخص المسؤول عن هذا المكتب مسؤولية تنسيق وتوفير التدريب على المهارات العملية (كالخياطة والطبخ، إلخ.) للمرأة لمساعدتها على تطوير مشاريع صغيرة لتحسين أوضاعها الاجتماعية والاقتصادية.</w:t>
      </w:r>
    </w:p>
    <w:p w:rsidR="00C8731C" w:rsidRPr="00C8731C" w:rsidRDefault="00C8731C" w:rsidP="00C8731C">
      <w:pPr>
        <w:spacing w:line="120" w:lineRule="exact"/>
        <w:rPr>
          <w:rFonts w:hint="cs"/>
          <w:b/>
          <w:bCs/>
          <w:sz w:val="10"/>
          <w:szCs w:val="32"/>
          <w:rtl/>
        </w:rPr>
      </w:pPr>
    </w:p>
    <w:p w:rsidR="001A2E7E" w:rsidRPr="00805137" w:rsidRDefault="00C8731C" w:rsidP="00C873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1A2E7E" w:rsidRPr="00805137">
        <w:rPr>
          <w:rFonts w:hint="cs"/>
          <w:rtl/>
        </w:rPr>
        <w:t>توصية العامة رقم 6 (الدورة السابعة</w:t>
      </w:r>
      <w:r w:rsidR="001A2E7E">
        <w:rPr>
          <w:rFonts w:hint="cs"/>
          <w:rtl/>
        </w:rPr>
        <w:t xml:space="preserve"> المعقودة</w:t>
      </w:r>
      <w:r w:rsidR="001A2E7E" w:rsidRPr="00805137">
        <w:rPr>
          <w:rFonts w:hint="cs"/>
          <w:rtl/>
        </w:rPr>
        <w:t xml:space="preserve"> عام 1988) للجنة الأمم المتحدة المعنية بالقضاء على التمييز ضد المراة </w:t>
      </w:r>
    </w:p>
    <w:p w:rsidR="001A2E7E" w:rsidRDefault="001A2E7E" w:rsidP="00C8731C">
      <w:pPr>
        <w:pStyle w:val="SingleTxt"/>
        <w:rPr>
          <w:rFonts w:hint="cs"/>
          <w:rtl/>
        </w:rPr>
      </w:pPr>
      <w:r>
        <w:rPr>
          <w:rFonts w:hint="cs"/>
          <w:rtl/>
        </w:rPr>
        <w:t>37 -</w:t>
      </w:r>
      <w:r>
        <w:rPr>
          <w:rFonts w:hint="cs"/>
          <w:rtl/>
        </w:rPr>
        <w:tab/>
        <w:t>انطلاقاً من الالتزام بتحسين حالة المرأة وتنفيذ خطة عمل بيجين لعام 1995 وتمشياً مع التوصية رقم 6 للجنة المعنية بالقضاء على التمييز ضد المرأة، قامت حكومة توفالو في عام 1999 برفع مستوى مكتب المرأة إلى إدارة شؤون المرأة وأضافت أربعة موظفين. وناط مجلس الوزراء بهذه الإدارة مسؤولية المستشار الرئيسي للمسائل المتعلقة بالمرأة والمسائل الجنسانية، كما كُلّفت أيضاً برصد حالة المرأة ووضع سياسات وبرامج لتحسين حياة المرأة. ونتيجة لذلك، وُضعت في عام 1999، بمساعدة برنامج الأمم المتحدة الإنمائي واللجنة الاقتصادية والاجتماعية لآسيا والمحيط الهادئ، سياسة توفالو الوطنية للمرأة على أساس نتائج إعلان بيجين وخطة عمل بيجين. ووفرت هذه السياسة الأساس والاتجاه لمساعي تحقيق التنمية والتقدم للمرأة في ثمانية مجالات تثير الاهتمام، وهي على وجه التحديد: تعزيز المؤسسات؛ والمرأة والصحة؛ والمرأة والتعليم؛ والمرأة والثقافة؛ والمرأة والبيئة؛ والمرأة والقانون؛ والمرأة والاقتصاد. إضافة إلى ذلك، وضعت خطة عمل لإدارة شؤون المرأة لتوفير إطار لتنفيذ السياسة الجديدة الخاصة بالمرأة. وعلى الرغم من وجود السياسة وخطة عملها، فإن التقدم المحرز كان ضئيلاً جداً نتيجة لعدم كفاية التمويل.</w:t>
      </w:r>
    </w:p>
    <w:p w:rsidR="00C8731C" w:rsidRPr="00C8731C" w:rsidRDefault="00C8731C"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805137" w:rsidRDefault="00C8731C" w:rsidP="00C873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805137">
        <w:rPr>
          <w:rFonts w:hint="cs"/>
          <w:rtl/>
        </w:rPr>
        <w:t>الالتزامات الوطنية للنهوض بالمرأة</w:t>
      </w:r>
    </w:p>
    <w:p w:rsidR="001A2E7E" w:rsidRDefault="001A2E7E" w:rsidP="00C8731C">
      <w:pPr>
        <w:pStyle w:val="SingleTxt"/>
        <w:rPr>
          <w:rFonts w:hint="cs"/>
          <w:rtl/>
        </w:rPr>
      </w:pPr>
      <w:r>
        <w:rPr>
          <w:rFonts w:hint="cs"/>
          <w:rtl/>
        </w:rPr>
        <w:t>38 -</w:t>
      </w:r>
      <w:r>
        <w:rPr>
          <w:rFonts w:hint="cs"/>
          <w:rtl/>
        </w:rPr>
        <w:tab/>
        <w:t>فضلاً عن ذلك، أدمجت الحكومة منذ عام 1995 المسائل المتعلقة بالمرأة والمسائل الجنسانية في أُطر التنمية الحكومية. وفي عام 1999، وضعت في توفالو أول سياسة وطنية للمرأة تتضمن ثمانية مجالات اهتمام، على أساس كاكيغا الأولى وخطة عمل بيجين وخطة عمل الهادئ واحتياجات المرأة في توفالو التي جرى تحديدها. ولتنفيذ سياسة توفالو الوطنية الخاصة بالمرأة، ترجمت هذه السياسة إلى خطة عمل متوسط</w:t>
      </w:r>
      <w:r w:rsidR="00F3241C">
        <w:rPr>
          <w:rFonts w:hint="cs"/>
          <w:rtl/>
        </w:rPr>
        <w:t>ة الأجل لإدارة شؤون المرأة. إلا</w:t>
      </w:r>
      <w:r w:rsidR="00F3241C">
        <w:rPr>
          <w:rFonts w:hint="eastAsia"/>
          <w:rtl/>
        </w:rPr>
        <w:t> </w:t>
      </w:r>
      <w:r>
        <w:rPr>
          <w:rFonts w:hint="cs"/>
          <w:rtl/>
        </w:rPr>
        <w:t>أن الإدارة تمكنت من تنفيذ الخطة جزئياً فقط بسبب الموارد المالية المحدودة والقيود الأخرى. وفي عام 2005، تمت مراجعة هذه السياسة التي عفى عليها الزمن في إطار مشروع مرفق دعم المرأة الممول من برنامج الأمم المتحدة الإنمائي.</w:t>
      </w:r>
    </w:p>
    <w:p w:rsidR="001A2E7E" w:rsidRDefault="00C8731C" w:rsidP="001A2E7E">
      <w:pPr>
        <w:rPr>
          <w:rFonts w:hint="cs"/>
          <w:sz w:val="32"/>
          <w:szCs w:val="32"/>
          <w:rtl/>
        </w:rPr>
      </w:pPr>
      <w:r>
        <w:rPr>
          <w:sz w:val="32"/>
          <w:szCs w:val="32"/>
          <w:rtl/>
        </w:rPr>
        <w:br w:type="page"/>
      </w:r>
    </w:p>
    <w:tbl>
      <w:tblPr>
        <w:tblStyle w:val="TableGrid"/>
        <w:bidiVisual/>
        <w:tblW w:w="0" w:type="auto"/>
        <w:jc w:val="center"/>
        <w:tblLook w:val="01E0" w:firstRow="1" w:lastRow="1" w:firstColumn="1" w:lastColumn="1" w:noHBand="0" w:noVBand="0"/>
      </w:tblPr>
      <w:tblGrid>
        <w:gridCol w:w="7848"/>
      </w:tblGrid>
      <w:tr w:rsidR="001A2E7E">
        <w:trPr>
          <w:jc w:val="center"/>
        </w:trPr>
        <w:tc>
          <w:tcPr>
            <w:tcW w:w="7848" w:type="dxa"/>
          </w:tcPr>
          <w:p w:rsidR="001A2E7E" w:rsidRPr="00A601A4" w:rsidRDefault="001A2E7E" w:rsidP="00C8731C">
            <w:pPr>
              <w:rPr>
                <w:rFonts w:cs="Traditional Arabic" w:hint="cs"/>
                <w:b/>
                <w:bCs/>
                <w:sz w:val="28"/>
                <w:szCs w:val="28"/>
                <w:rtl/>
              </w:rPr>
            </w:pPr>
            <w:r w:rsidRPr="00A601A4">
              <w:rPr>
                <w:rFonts w:cs="Traditional Arabic" w:hint="cs"/>
                <w:b/>
                <w:bCs/>
                <w:sz w:val="28"/>
                <w:szCs w:val="28"/>
                <w:rtl/>
              </w:rPr>
              <w:t>الإطار 1: مجالات استراتيجية تي كاكيغا الثانية</w:t>
            </w:r>
          </w:p>
          <w:p w:rsidR="001A2E7E" w:rsidRPr="00A601A4" w:rsidRDefault="001A2E7E" w:rsidP="00C8731C">
            <w:pPr>
              <w:rPr>
                <w:rFonts w:cs="Traditional Arabic" w:hint="cs"/>
                <w:sz w:val="28"/>
                <w:szCs w:val="28"/>
                <w:rtl/>
              </w:rPr>
            </w:pPr>
          </w:p>
          <w:p w:rsidR="001A2E7E" w:rsidRPr="00A601A4" w:rsidRDefault="001A2E7E" w:rsidP="00C8731C">
            <w:pPr>
              <w:rPr>
                <w:rFonts w:cs="Traditional Arabic" w:hint="cs"/>
                <w:sz w:val="28"/>
                <w:szCs w:val="28"/>
                <w:rtl/>
              </w:rPr>
            </w:pPr>
            <w:r w:rsidRPr="00A601A4">
              <w:rPr>
                <w:rFonts w:cs="Traditional Arabic" w:hint="cs"/>
                <w:sz w:val="28"/>
                <w:szCs w:val="28"/>
                <w:rtl/>
              </w:rPr>
              <w:t>1 -</w:t>
            </w:r>
            <w:r w:rsidRPr="00A601A4">
              <w:rPr>
                <w:rFonts w:cs="Traditional Arabic" w:hint="cs"/>
                <w:sz w:val="28"/>
                <w:szCs w:val="28"/>
                <w:rtl/>
              </w:rPr>
              <w:tab/>
              <w:t>الحكم الرشيد</w:t>
            </w:r>
          </w:p>
          <w:p w:rsidR="001A2E7E" w:rsidRPr="00A601A4" w:rsidRDefault="001A2E7E" w:rsidP="00C8731C">
            <w:pPr>
              <w:rPr>
                <w:rFonts w:cs="Traditional Arabic" w:hint="cs"/>
                <w:sz w:val="28"/>
                <w:szCs w:val="28"/>
                <w:rtl/>
              </w:rPr>
            </w:pPr>
            <w:r w:rsidRPr="00A601A4">
              <w:rPr>
                <w:rFonts w:cs="Traditional Arabic" w:hint="cs"/>
                <w:sz w:val="28"/>
                <w:szCs w:val="28"/>
                <w:rtl/>
              </w:rPr>
              <w:t>2 -</w:t>
            </w:r>
            <w:r w:rsidRPr="00A601A4">
              <w:rPr>
                <w:rFonts w:cs="Traditional Arabic" w:hint="cs"/>
                <w:sz w:val="28"/>
                <w:szCs w:val="28"/>
                <w:rtl/>
              </w:rPr>
              <w:tab/>
              <w:t>نمو واستقرار الاقتصاد الكلي</w:t>
            </w:r>
          </w:p>
          <w:p w:rsidR="001A2E7E" w:rsidRPr="00A601A4" w:rsidRDefault="001A2E7E" w:rsidP="00C8731C">
            <w:pPr>
              <w:rPr>
                <w:rFonts w:cs="Traditional Arabic" w:hint="cs"/>
                <w:sz w:val="28"/>
                <w:szCs w:val="28"/>
                <w:rtl/>
              </w:rPr>
            </w:pPr>
            <w:r w:rsidRPr="00A601A4">
              <w:rPr>
                <w:rFonts w:cs="Traditional Arabic" w:hint="cs"/>
                <w:sz w:val="28"/>
                <w:szCs w:val="28"/>
                <w:rtl/>
              </w:rPr>
              <w:t>3 -</w:t>
            </w:r>
            <w:r w:rsidRPr="00A601A4">
              <w:rPr>
                <w:rFonts w:cs="Traditional Arabic" w:hint="cs"/>
                <w:sz w:val="28"/>
                <w:szCs w:val="28"/>
                <w:rtl/>
              </w:rPr>
              <w:tab/>
              <w:t>التنمية الاجتماعية: الصحة والرعاية الاجتماعية والشباب والمرأة والإسكان وتخفيف حدة الفقر</w:t>
            </w:r>
          </w:p>
          <w:p w:rsidR="001A2E7E" w:rsidRPr="00A601A4" w:rsidRDefault="001A2E7E" w:rsidP="00C8731C">
            <w:pPr>
              <w:rPr>
                <w:rFonts w:cs="Traditional Arabic" w:hint="cs"/>
                <w:sz w:val="28"/>
                <w:szCs w:val="28"/>
                <w:rtl/>
              </w:rPr>
            </w:pPr>
            <w:r w:rsidRPr="00A601A4">
              <w:rPr>
                <w:rFonts w:cs="Traditional Arabic" w:hint="cs"/>
                <w:sz w:val="28"/>
                <w:szCs w:val="28"/>
                <w:rtl/>
              </w:rPr>
              <w:t>4 -</w:t>
            </w:r>
            <w:r w:rsidRPr="00A601A4">
              <w:rPr>
                <w:rFonts w:cs="Traditional Arabic" w:hint="cs"/>
                <w:sz w:val="28"/>
                <w:szCs w:val="28"/>
                <w:rtl/>
              </w:rPr>
              <w:tab/>
              <w:t>الجزر الخارجية وتطوير الفالي كابيول</w:t>
            </w:r>
          </w:p>
          <w:p w:rsidR="001A2E7E" w:rsidRPr="00A601A4" w:rsidRDefault="001A2E7E" w:rsidP="00C8731C">
            <w:pPr>
              <w:rPr>
                <w:rFonts w:cs="Traditional Arabic" w:hint="cs"/>
                <w:sz w:val="28"/>
                <w:szCs w:val="28"/>
                <w:rtl/>
              </w:rPr>
            </w:pPr>
            <w:r w:rsidRPr="00A601A4">
              <w:rPr>
                <w:rFonts w:cs="Traditional Arabic" w:hint="cs"/>
                <w:sz w:val="28"/>
                <w:szCs w:val="28"/>
                <w:rtl/>
              </w:rPr>
              <w:t>5 -</w:t>
            </w:r>
            <w:r w:rsidRPr="00A601A4">
              <w:rPr>
                <w:rFonts w:cs="Traditional Arabic" w:hint="cs"/>
                <w:sz w:val="28"/>
                <w:szCs w:val="28"/>
                <w:rtl/>
              </w:rPr>
              <w:tab/>
              <w:t>العمالة وتنمية القطاع الخاص</w:t>
            </w:r>
          </w:p>
          <w:p w:rsidR="001A2E7E" w:rsidRPr="00A601A4" w:rsidRDefault="001A2E7E" w:rsidP="00C8731C">
            <w:pPr>
              <w:rPr>
                <w:rFonts w:cs="Traditional Arabic" w:hint="cs"/>
                <w:sz w:val="28"/>
                <w:szCs w:val="28"/>
                <w:rtl/>
              </w:rPr>
            </w:pPr>
            <w:r w:rsidRPr="00A601A4">
              <w:rPr>
                <w:rFonts w:cs="Traditional Arabic" w:hint="cs"/>
                <w:sz w:val="28"/>
                <w:szCs w:val="28"/>
                <w:rtl/>
              </w:rPr>
              <w:t>6 -</w:t>
            </w:r>
            <w:r w:rsidRPr="00A601A4">
              <w:rPr>
                <w:rFonts w:cs="Traditional Arabic" w:hint="cs"/>
                <w:sz w:val="28"/>
                <w:szCs w:val="28"/>
                <w:rtl/>
              </w:rPr>
              <w:tab/>
              <w:t>تنمية الموارد البشرية</w:t>
            </w:r>
          </w:p>
          <w:p w:rsidR="001A2E7E" w:rsidRPr="00A601A4" w:rsidRDefault="001A2E7E" w:rsidP="00C8731C">
            <w:pPr>
              <w:rPr>
                <w:rFonts w:cs="Traditional Arabic" w:hint="cs"/>
                <w:sz w:val="28"/>
                <w:szCs w:val="28"/>
                <w:rtl/>
              </w:rPr>
            </w:pPr>
            <w:r w:rsidRPr="00A601A4">
              <w:rPr>
                <w:rFonts w:cs="Traditional Arabic" w:hint="cs"/>
                <w:sz w:val="28"/>
                <w:szCs w:val="28"/>
                <w:rtl/>
              </w:rPr>
              <w:t>7 -</w:t>
            </w:r>
            <w:r w:rsidRPr="00A601A4">
              <w:rPr>
                <w:rFonts w:cs="Traditional Arabic" w:hint="cs"/>
                <w:sz w:val="28"/>
                <w:szCs w:val="28"/>
                <w:rtl/>
              </w:rPr>
              <w:tab/>
              <w:t>الموارد الطبيعية: الزراعة ومصائد الأسماك والسياحة وإدارة البيئة</w:t>
            </w:r>
          </w:p>
          <w:p w:rsidR="001A2E7E" w:rsidRPr="00A601A4" w:rsidRDefault="001A2E7E" w:rsidP="00C8731C">
            <w:pPr>
              <w:rPr>
                <w:rFonts w:cs="Traditional Arabic" w:hint="cs"/>
                <w:sz w:val="28"/>
                <w:szCs w:val="28"/>
                <w:rtl/>
              </w:rPr>
            </w:pPr>
            <w:r w:rsidRPr="00A601A4">
              <w:rPr>
                <w:rFonts w:cs="Traditional Arabic" w:hint="cs"/>
                <w:sz w:val="28"/>
                <w:szCs w:val="28"/>
                <w:rtl/>
              </w:rPr>
              <w:t>8 -</w:t>
            </w:r>
            <w:r w:rsidRPr="00A601A4">
              <w:rPr>
                <w:rFonts w:cs="Traditional Arabic" w:hint="cs"/>
                <w:sz w:val="28"/>
                <w:szCs w:val="28"/>
                <w:rtl/>
              </w:rPr>
              <w:tab/>
              <w:t>البنى الأساسية وخدمات الدعم</w:t>
            </w:r>
          </w:p>
          <w:p w:rsidR="001A2E7E" w:rsidRPr="00A601A4" w:rsidRDefault="001A2E7E" w:rsidP="00C8731C">
            <w:pPr>
              <w:rPr>
                <w:rFonts w:cs="Traditional Arabic" w:hint="cs"/>
                <w:sz w:val="28"/>
                <w:szCs w:val="28"/>
                <w:rtl/>
              </w:rPr>
            </w:pPr>
          </w:p>
          <w:p w:rsidR="001A2E7E" w:rsidRPr="00F3241C" w:rsidRDefault="00C8731C" w:rsidP="00C8731C">
            <w:pPr>
              <w:rPr>
                <w:rFonts w:cs="Traditional Arabic" w:hint="cs"/>
                <w:i/>
                <w:iCs/>
                <w:sz w:val="32"/>
                <w:szCs w:val="32"/>
                <w:rtl/>
              </w:rPr>
            </w:pPr>
            <w:r w:rsidRPr="00F3241C">
              <w:rPr>
                <w:rFonts w:cs="Traditional Arabic" w:hint="cs"/>
                <w:i/>
                <w:iCs/>
                <w:sz w:val="28"/>
                <w:szCs w:val="28"/>
                <w:rtl/>
              </w:rPr>
              <w:t xml:space="preserve">     </w:t>
            </w:r>
            <w:r w:rsidR="001A2E7E" w:rsidRPr="00F3241C">
              <w:rPr>
                <w:rFonts w:cs="Traditional Arabic" w:hint="cs"/>
                <w:i/>
                <w:iCs/>
                <w:sz w:val="28"/>
                <w:szCs w:val="28"/>
                <w:rtl/>
              </w:rPr>
              <w:t>المصدر: تي كاكيغا الثانية</w:t>
            </w:r>
            <w:r w:rsidR="00F3241C" w:rsidRPr="00F3241C">
              <w:rPr>
                <w:rFonts w:cs="Traditional Arabic" w:hint="cs"/>
                <w:i/>
                <w:iCs/>
                <w:sz w:val="28"/>
                <w:szCs w:val="28"/>
                <w:rtl/>
              </w:rPr>
              <w:t>.</w:t>
            </w:r>
          </w:p>
        </w:tc>
      </w:tr>
    </w:tbl>
    <w:p w:rsidR="00C8731C" w:rsidRPr="00C8731C" w:rsidRDefault="00C8731C" w:rsidP="00C8731C">
      <w:pPr>
        <w:spacing w:line="120" w:lineRule="exact"/>
        <w:rPr>
          <w:rFonts w:hint="cs"/>
          <w:sz w:val="10"/>
          <w:szCs w:val="32"/>
          <w:rtl/>
        </w:rPr>
      </w:pPr>
    </w:p>
    <w:p w:rsidR="001A2E7E" w:rsidRDefault="001A2E7E" w:rsidP="003626EB">
      <w:pPr>
        <w:pStyle w:val="SingleTxt"/>
        <w:rPr>
          <w:rFonts w:hint="cs"/>
          <w:rtl/>
        </w:rPr>
      </w:pPr>
      <w:r>
        <w:rPr>
          <w:rFonts w:hint="cs"/>
          <w:rtl/>
        </w:rPr>
        <w:t>38 -</w:t>
      </w:r>
      <w:r>
        <w:rPr>
          <w:rFonts w:hint="cs"/>
          <w:rtl/>
        </w:rPr>
        <w:tab/>
      </w:r>
      <w:r w:rsidRPr="00C8731C">
        <w:rPr>
          <w:rFonts w:hint="cs"/>
          <w:w w:val="100"/>
          <w:rtl/>
        </w:rPr>
        <w:t xml:space="preserve">كما أن تنمية المرأة والتنمية الجنسانية مجسدتان أيضاً في خطة التنمية الاستراتيجية الوطنية الحالية، تي كاكيغا الثانية للفترة 2005-2015. وبرؤية تي كاكيغا الثانية والاسترشاد بالقيم الروحية القوية التي يجسدها شعار توفالو </w:t>
      </w:r>
      <w:r w:rsidR="003626EB">
        <w:rPr>
          <w:rFonts w:hint="eastAsia"/>
          <w:w w:val="100"/>
          <w:rtl/>
        </w:rPr>
        <w:t>”</w:t>
      </w:r>
      <w:r w:rsidRPr="00C8731C">
        <w:rPr>
          <w:rFonts w:hint="cs"/>
          <w:w w:val="100"/>
          <w:rtl/>
        </w:rPr>
        <w:t>توفالو للّه</w:t>
      </w:r>
      <w:r w:rsidR="003626EB">
        <w:rPr>
          <w:rFonts w:hint="eastAsia"/>
          <w:w w:val="100"/>
          <w:rtl/>
        </w:rPr>
        <w:t>“</w:t>
      </w:r>
      <w:r>
        <w:rPr>
          <w:rFonts w:hint="cs"/>
          <w:rtl/>
        </w:rPr>
        <w:t xml:space="preserve"> </w:t>
      </w:r>
      <w:r w:rsidRPr="004A013C">
        <w:rPr>
          <w:szCs w:val="20"/>
        </w:rPr>
        <w:t>“Tuvalu mo Te Atua”</w:t>
      </w:r>
      <w:r>
        <w:rPr>
          <w:rFonts w:hint="cs"/>
          <w:rtl/>
        </w:rPr>
        <w:t xml:space="preserve"> </w:t>
      </w:r>
      <w:r w:rsidR="00FA6940" w:rsidRPr="00FA6940">
        <w:rPr>
          <w:vertAlign w:val="superscript"/>
          <w:rtl/>
        </w:rPr>
        <w:t>(</w:t>
      </w:r>
      <w:r w:rsidR="00FA6940">
        <w:rPr>
          <w:rStyle w:val="FootnoteReference"/>
          <w:rtl/>
        </w:rPr>
        <w:footnoteReference w:id="30"/>
      </w:r>
      <w:r w:rsidR="00FA6940" w:rsidRPr="00FA6940">
        <w:rPr>
          <w:vertAlign w:val="superscript"/>
          <w:rtl/>
        </w:rPr>
        <w:t>)</w:t>
      </w:r>
      <w:r w:rsidR="00FA6940">
        <w:rPr>
          <w:rFonts w:hint="cs"/>
          <w:vertAlign w:val="superscript"/>
          <w:rtl/>
        </w:rPr>
        <w:t xml:space="preserve"> </w:t>
      </w:r>
      <w:r>
        <w:rPr>
          <w:rFonts w:hint="cs"/>
          <w:rtl/>
        </w:rPr>
        <w:t>سنحقق إقامة توفالو الصحية والمثقفة والمسالمة والمزدهرة</w:t>
      </w:r>
      <w:r w:rsidR="00FA6940" w:rsidRPr="00FA6940">
        <w:rPr>
          <w:vertAlign w:val="superscript"/>
          <w:rtl/>
        </w:rPr>
        <w:t>(</w:t>
      </w:r>
      <w:r w:rsidR="00FA6940">
        <w:rPr>
          <w:rStyle w:val="FootnoteReference"/>
          <w:rtl/>
        </w:rPr>
        <w:footnoteReference w:id="31"/>
      </w:r>
      <w:r w:rsidR="00FA6940" w:rsidRPr="00FA6940">
        <w:rPr>
          <w:vertAlign w:val="superscript"/>
          <w:rtl/>
        </w:rPr>
        <w:t>)</w:t>
      </w:r>
      <w:r>
        <w:rPr>
          <w:rFonts w:hint="cs"/>
          <w:rtl/>
        </w:rPr>
        <w:t>،</w:t>
      </w:r>
      <w:r w:rsidR="00FA6940">
        <w:rPr>
          <w:rFonts w:hint="cs"/>
          <w:rtl/>
        </w:rPr>
        <w:t xml:space="preserve"> </w:t>
      </w:r>
      <w:r>
        <w:rPr>
          <w:rFonts w:hint="cs"/>
          <w:rtl/>
        </w:rPr>
        <w:t>وتتضمن هذه السياسة ثمانية مجالات استراتيجية تحدد الأولويات العامة للتنمية الوطنية على مدى العشر سنوات التالية.</w:t>
      </w:r>
    </w:p>
    <w:p w:rsidR="001A2E7E" w:rsidRDefault="001A2E7E" w:rsidP="00FA6940">
      <w:pPr>
        <w:pStyle w:val="SingleTxt"/>
        <w:rPr>
          <w:rFonts w:hint="cs"/>
          <w:rtl/>
        </w:rPr>
      </w:pPr>
      <w:r>
        <w:rPr>
          <w:rFonts w:hint="cs"/>
          <w:rtl/>
        </w:rPr>
        <w:t>39 -</w:t>
      </w:r>
      <w:r>
        <w:rPr>
          <w:rFonts w:hint="cs"/>
          <w:rtl/>
        </w:rPr>
        <w:tab/>
        <w:t>وقد حدد في الفصل 7-4 المتعلق بنوع الجنس والتنمية حدثان رئيسيان من أهداف هذه السياسة، وهما:</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التشجيع على إنصاف الجنسين ومراعاة الاعتبارات الجنسانية في جميع مجالات التنمية.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زيادة دور المرأة في التنمية.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1A2E7E">
        <w:rPr>
          <w:rFonts w:hint="cs"/>
          <w:rtl/>
        </w:rPr>
        <w:t>وضع إحصاءات وطنية موزعة على أساس نوع الجنس</w:t>
      </w:r>
      <w:r w:rsidRPr="00FA6940">
        <w:rPr>
          <w:vertAlign w:val="superscript"/>
          <w:rtl/>
        </w:rPr>
        <w:t>(</w:t>
      </w:r>
      <w:r>
        <w:rPr>
          <w:rStyle w:val="FootnoteReference"/>
          <w:rtl/>
        </w:rPr>
        <w:footnoteReference w:id="32"/>
      </w:r>
      <w:r w:rsidRPr="00FA6940">
        <w:rPr>
          <w:vertAlign w:val="superscript"/>
          <w:rtl/>
        </w:rPr>
        <w:t>)</w:t>
      </w:r>
      <w:r w:rsidR="001A2E7E">
        <w:rPr>
          <w:rFonts w:hint="cs"/>
          <w:rtl/>
        </w:rPr>
        <w:t xml:space="preserve">. </w:t>
      </w:r>
    </w:p>
    <w:p w:rsidR="001A2E7E" w:rsidRDefault="00FA6940" w:rsidP="00FA6940">
      <w:pPr>
        <w:pStyle w:val="SingleTxt"/>
        <w:rPr>
          <w:rFonts w:hint="cs"/>
          <w:rtl/>
        </w:rPr>
      </w:pPr>
      <w:r>
        <w:rPr>
          <w:rFonts w:hint="cs"/>
          <w:rtl/>
        </w:rPr>
        <w:tab/>
      </w:r>
      <w:r w:rsidR="001A2E7E">
        <w:rPr>
          <w:rFonts w:hint="cs"/>
          <w:rtl/>
        </w:rPr>
        <w:t>أهداف السياسة الطويلة الأجل هذه أهداف عامة إلى حد كبير وتضم نطاقاً واسعاً من المسائل الاجتماعية الاقتصادية والقانونية. وقد حددت تي كاكيغا الثانية الأولويات والاستراتيجيات التالية لتحقيق أهداف هذه السياسة: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إدماج دور المرأة والمسائل الجنسانية والتنمية في تنفيذ تي كاكيغا الثانية.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استعراض القوانين التي تنظم توزيع الأراضي وحقوق المرأة في حضانة أطفالها.</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توفير تدريب للمرأة على إدارة الأعمال الصغيرة وتنظيم الأعمال التجارية، والوصول إلى مرافق الائتمان المناسبة.</w:t>
      </w:r>
    </w:p>
    <w:p w:rsidR="001A2E7E" w:rsidRDefault="001A2E7E" w:rsidP="00FA6940">
      <w:pPr>
        <w:pStyle w:val="SingleTxt"/>
        <w:rPr>
          <w:rFonts w:hint="cs"/>
          <w:rtl/>
        </w:rPr>
      </w:pPr>
      <w:r>
        <w:rPr>
          <w:rFonts w:hint="cs"/>
          <w:rtl/>
        </w:rPr>
        <w:t>40 -</w:t>
      </w:r>
      <w:r>
        <w:rPr>
          <w:rFonts w:hint="cs"/>
          <w:rtl/>
        </w:rPr>
        <w:tab/>
        <w:t>في ضوء هذه الملاحظات والحاجة المستمرة لتحسين حالة المرأة، جرى تنقّح سياسة المرأة في عام 2006. وتوفر سياسة توفالو الوطنية المنقحة للمرأة الاطار والتوجيه اللازمين لتنمية المرأة في توفالو والنهوض بها. وبصورة أساسية، أدمجت في سياسة توفالو الوطنية المنقحة للمرأة خطة عمل بيجين واتفاقية القضاء على جميع أشكال التمييز ضد المرأة والأهداف الإنمائية للألفية، وتغطي هذه السياسة المنقحة 9 مجالات اهتمام، هي:</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تقوية المؤسسات؛</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التعليم والتدريب؛</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المرأة والصحة؛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المرأة والتمكين الاقتصادي؛</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المرأة والموارد الطبيعية؛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المرأة في صنع القرار؛</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المرأة والقانون؛</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المرأة والثقافة؛</w:t>
      </w:r>
    </w:p>
    <w:p w:rsidR="001A2E7E" w:rsidRPr="00947D8F"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1A2E7E" w:rsidRPr="00947D8F">
        <w:rPr>
          <w:rFonts w:hint="cs"/>
          <w:rtl/>
        </w:rPr>
        <w:t>المرأة ووسائط الإعلام و</w:t>
      </w:r>
      <w:r w:rsidR="003626EB">
        <w:rPr>
          <w:rFonts w:hint="cs"/>
          <w:rtl/>
        </w:rPr>
        <w:t xml:space="preserve"> تكنولوجيا الحاسوب والمعلومات.</w:t>
      </w:r>
    </w:p>
    <w:p w:rsidR="001A2E7E" w:rsidRDefault="001A2E7E" w:rsidP="00FA6940">
      <w:pPr>
        <w:pStyle w:val="SingleTxt"/>
        <w:rPr>
          <w:rFonts w:hint="cs"/>
          <w:rtl/>
        </w:rPr>
      </w:pPr>
      <w:r>
        <w:rPr>
          <w:rFonts w:hint="cs"/>
          <w:rtl/>
        </w:rPr>
        <w:t>41 -</w:t>
      </w:r>
      <w:r>
        <w:rPr>
          <w:rFonts w:hint="cs"/>
          <w:rtl/>
        </w:rPr>
        <w:tab/>
        <w:t>قضايا المرأة والقضايا الجنسانية مواضيع مشتركة بين جميع القطاعات. وأخذاً لهذه الخلفية في الحسبان، اعتمدت الآلية الوطنية للمرأة نهجاً شاملاً وأنشأت لجنة أقرها مجلس الوزراء. وتضم لجنة التنسيق الوطنية للمرأة كبار المسؤولين من وزارات الحكومة وإداراتها الرئيسية ومن المنظمات غير الحكومية الشريكة، وعلى وجه التحديد مجلس توفالو الوطني للمرأة ورابطة توفالو للمنظمات غير الحكومية. ونيطت بلجنة التنسيق الوطنية للمرأة مهام تنفذ السياسة المنقحة ورصد تنفيذ خطة العمل وتقديم المشورة للحكومة فيما يتعلق بقضايا المرأة والمسائل الجنسانية. ويقوم أعضاء لجنة التنسيق الوطنية للمرأة أيضاً بتنسيق الشؤون الجنسانية في منظماتهم. ويرأس الأمين الدائم لشؤون الوطن لجنة التنسيق الوطنية للمرأة، مدعوماً بأمانة تتكون من مدير شؤون المرأة ومنسق مجلس توفالو الوطني للمرأة ومدير التخطيط الاقتصادي ومستشار قانوني من مكتب المدعي العام.</w:t>
      </w:r>
    </w:p>
    <w:p w:rsidR="001A2E7E" w:rsidRDefault="001A2E7E" w:rsidP="00FA6940">
      <w:pPr>
        <w:pStyle w:val="SingleTxt"/>
        <w:rPr>
          <w:rFonts w:hint="cs"/>
          <w:rtl/>
        </w:rPr>
      </w:pPr>
      <w:r>
        <w:rPr>
          <w:rFonts w:hint="cs"/>
          <w:rtl/>
        </w:rPr>
        <w:t>42 -</w:t>
      </w:r>
      <w:r>
        <w:rPr>
          <w:rFonts w:hint="cs"/>
          <w:rtl/>
        </w:rPr>
        <w:tab/>
        <w:t>لتنفيذ السياسة المنقحة للمرأة، وضعت إدارة شؤون المرأة خطتها المتوسطة الأجل للفترة 2007-2009. وتضمنت خطة العمل هذه مسائل السياسة الرئيسية التي اختزلت في خمس مجالات رئيسية لتحقيق النتائج، وهي:</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توفير مشورة جيدة النوعية في مجال السياسة العامة المتعلقة بقضايا المرأة والمسائل الجنسانية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ضمان إدماج اهتمامات المرأة والشواغل الجنسانية في عمليات التنمية الحكومية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تعزيز تمكين المرأة اجتماعياً واقتصادياً</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الحفاظ على وجود منظمة مهنية وفعالة</w:t>
      </w:r>
    </w:p>
    <w:p w:rsidR="001A2E7E" w:rsidRDefault="00FA6940" w:rsidP="00FA694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1A2E7E">
        <w:rPr>
          <w:rFonts w:hint="cs"/>
          <w:rtl/>
        </w:rPr>
        <w:t>مساعدة الحكومة على الوفاء بالتزاماتها الدولية والإقليمية المتعلقة بشؤون المرأة والشؤون الجنسانية.</w:t>
      </w:r>
    </w:p>
    <w:p w:rsidR="001A2E7E" w:rsidRDefault="003626EB" w:rsidP="000D6B2D">
      <w:pPr>
        <w:pStyle w:val="SingleTxt"/>
        <w:rPr>
          <w:rFonts w:hint="cs"/>
          <w:rtl/>
        </w:rPr>
      </w:pPr>
      <w:r>
        <w:rPr>
          <w:rFonts w:hint="cs"/>
          <w:rtl/>
        </w:rPr>
        <w:tab/>
      </w:r>
      <w:r w:rsidR="001A2E7E">
        <w:rPr>
          <w:rFonts w:hint="cs"/>
          <w:rtl/>
        </w:rPr>
        <w:t>ولكل مجال من هذه المجالات الرئيسية الخمس لتحقيق النتائج مؤشرات أداء رئيسية لمساعدة الإدارة على قياس أدائها. وكبقية برامج التنمية الأخرى، سترصد إدارة شؤون المرأة تنفيذ خطة العمل من خلال تقديم تقارير منتظمة للجنة التنسيق الوطنية للمرأة ولجنة تنسيق التنمية</w:t>
      </w:r>
      <w:r w:rsidR="000D6B2D" w:rsidRPr="000D6B2D">
        <w:rPr>
          <w:vertAlign w:val="superscript"/>
          <w:rtl/>
        </w:rPr>
        <w:t>(</w:t>
      </w:r>
      <w:r w:rsidR="000D6B2D">
        <w:rPr>
          <w:rStyle w:val="FootnoteReference"/>
          <w:rtl/>
        </w:rPr>
        <w:footnoteReference w:id="33"/>
      </w:r>
      <w:r w:rsidR="000D6B2D" w:rsidRPr="000D6B2D">
        <w:rPr>
          <w:vertAlign w:val="superscript"/>
          <w:rtl/>
        </w:rPr>
        <w:t>)</w:t>
      </w:r>
      <w:r w:rsidR="000D6B2D">
        <w:rPr>
          <w:rFonts w:hint="cs"/>
          <w:vertAlign w:val="superscript"/>
          <w:rtl/>
        </w:rPr>
        <w:t xml:space="preserve"> </w:t>
      </w:r>
      <w:r w:rsidR="001A2E7E">
        <w:rPr>
          <w:rFonts w:hint="cs"/>
          <w:rtl/>
        </w:rPr>
        <w:t>ومجلس الوزراء. فضلاً عن ذلك، ستقدم إدارة شؤون المرأة لمجلس الوزراء  تقارير ربع سنوية عن التقدم المحرز في تنفيذ الخطة.</w:t>
      </w:r>
    </w:p>
    <w:p w:rsidR="001A2E7E" w:rsidRDefault="001A2E7E" w:rsidP="000D6B2D">
      <w:pPr>
        <w:pStyle w:val="SingleTxt"/>
        <w:rPr>
          <w:rFonts w:hint="cs"/>
          <w:rtl/>
        </w:rPr>
      </w:pPr>
      <w:r>
        <w:rPr>
          <w:rFonts w:hint="cs"/>
          <w:rtl/>
        </w:rPr>
        <w:t>43 -</w:t>
      </w:r>
      <w:r>
        <w:rPr>
          <w:rFonts w:hint="cs"/>
          <w:rtl/>
        </w:rPr>
        <w:tab/>
        <w:t>في سياق تنفيذ خطة العمل، ما فتئت إدارة شؤون المرأة تدرب على الشؤون الجنسانية وتعمل على التوعية باتفاقية القضاء على جميع أشكال التمييز ضد المرأة، ولا تزال عملية التوعية مستمرة في الخدمة العامة في توفالو وفي مجتمعات توفالو المحلية. وهذه استراتيجية تهدف إلى تغيير المواقف النمطية بين الرجال والنساء. والقضايا الجنسانية قضايا مشتركة بين جميع القطاعات وتتصل بالتنمية المتعددة القطاعات. ويتوخى أن يؤدي بذل صانعي السياسة وشركاء التنمية الرئيسيين جهوداً متضافرة إلى الإسراع في إدماج قضايا المرأة والقضايا الجنسانية في السياسات والخطط والبرامج. وبناءً على ذلك، يجري تدريب موظفي الخدمة المدنية على إدماج القضايا الجنسانية بهدف مساعدة الوزارات والإدارات على إدماج قضايا المرأة والقضايا الجنسانية في خططها القطاعية وسياساتها وبرامجها. وبالاشتراك مع شركاء رئيسيين، وضعت قاعدة بيانات إحصائية ومؤشرات للحساسية الجنسانية بهدف ضمان استخدام البيانات الموزعة على أساس نوع الجنس. وتتوخى إدارة شؤون المرأة إجراء تقييم مستقل لسياساتها وخططها وبرامجها في المستقبل القريب لقياس مدى فعاليتها أو عدم فاعليتها.</w:t>
      </w:r>
    </w:p>
    <w:p w:rsidR="000D6B2D" w:rsidRPr="000D6B2D" w:rsidRDefault="000D6B2D" w:rsidP="000D6B2D">
      <w:pPr>
        <w:spacing w:line="120" w:lineRule="exact"/>
        <w:rPr>
          <w:rFonts w:hint="cs"/>
          <w:b/>
          <w:bCs/>
          <w:sz w:val="10"/>
          <w:szCs w:val="32"/>
          <w:rtl/>
        </w:rPr>
      </w:pPr>
    </w:p>
    <w:p w:rsidR="001A2E7E" w:rsidRPr="00FF6EFC" w:rsidRDefault="000D6B2D" w:rsidP="000D6B2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FF6EFC">
        <w:rPr>
          <w:rFonts w:hint="cs"/>
          <w:rtl/>
        </w:rPr>
        <w:t>المرأة في مشقة</w:t>
      </w:r>
    </w:p>
    <w:p w:rsidR="001A2E7E" w:rsidRDefault="001A2E7E" w:rsidP="009D126D">
      <w:pPr>
        <w:pStyle w:val="SingleTxt"/>
        <w:rPr>
          <w:rFonts w:hint="cs"/>
          <w:rtl/>
        </w:rPr>
      </w:pPr>
      <w:r>
        <w:rPr>
          <w:rFonts w:hint="cs"/>
          <w:rtl/>
        </w:rPr>
        <w:t>44 -</w:t>
      </w:r>
      <w:r>
        <w:rPr>
          <w:rFonts w:hint="cs"/>
          <w:rtl/>
        </w:rPr>
        <w:tab/>
        <w:t>قالت النساء إن الأسباب الرئيسية للمشقة التي يواجهنها الأدوار العديدة جداً التي يتعين عليهن القيام بها (أدوار الأسرة المعيشية التقليدية والمجتمع بالإضافة إلى مسؤوليات كسب دخل). ومن بين الأسباب الأخرى، المشاكل الاجتماعية الناتجة عن تغيير المواقف والقيم ومطالبة الأسر الإسهام بالوفاء بالالتزامات الاجتماعية والمجتمعية</w:t>
      </w:r>
      <w:r w:rsidR="009D126D" w:rsidRPr="009D126D">
        <w:rPr>
          <w:vertAlign w:val="superscript"/>
          <w:rtl/>
        </w:rPr>
        <w:t>(</w:t>
      </w:r>
      <w:r w:rsidR="009D126D">
        <w:rPr>
          <w:rStyle w:val="FootnoteReference"/>
          <w:rtl/>
        </w:rPr>
        <w:footnoteReference w:id="34"/>
      </w:r>
      <w:r w:rsidR="009D126D" w:rsidRPr="009D126D">
        <w:rPr>
          <w:vertAlign w:val="superscript"/>
          <w:rtl/>
        </w:rPr>
        <w:t>)</w:t>
      </w:r>
      <w:r>
        <w:rPr>
          <w:rFonts w:hint="cs"/>
          <w:rtl/>
        </w:rPr>
        <w:t>.</w:t>
      </w:r>
      <w:r w:rsidR="009D126D">
        <w:rPr>
          <w:rFonts w:hint="cs"/>
          <w:rtl/>
        </w:rPr>
        <w:t xml:space="preserve"> </w:t>
      </w:r>
      <w:r>
        <w:rPr>
          <w:rFonts w:hint="cs"/>
          <w:rtl/>
        </w:rPr>
        <w:t>بصورة عامة، شعرت المرأة بأن حالتها تحسنت نتيجة لتحسن فرص التعليم، لا سيما على المستوى الجامعي وزيادة اعتراف المجتمعات المحلية بإسهامات المرأة في التنمية.</w:t>
      </w:r>
    </w:p>
    <w:p w:rsidR="000D6B2D" w:rsidRPr="000D6B2D" w:rsidRDefault="000D6B2D" w:rsidP="000D6B2D">
      <w:pPr>
        <w:spacing w:line="120" w:lineRule="exact"/>
        <w:rPr>
          <w:rFonts w:hint="cs"/>
          <w:b/>
          <w:bCs/>
          <w:sz w:val="10"/>
          <w:szCs w:val="32"/>
          <w:rtl/>
        </w:rPr>
      </w:pPr>
    </w:p>
    <w:p w:rsidR="001A2E7E" w:rsidRPr="00FF6EFC" w:rsidRDefault="000D6B2D" w:rsidP="000D6B2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FF6EFC">
        <w:rPr>
          <w:rFonts w:hint="cs"/>
          <w:rtl/>
        </w:rPr>
        <w:t xml:space="preserve">الالتزامات الدولية </w:t>
      </w:r>
      <w:r w:rsidR="001A2E7E">
        <w:rPr>
          <w:rFonts w:hint="cs"/>
          <w:rtl/>
        </w:rPr>
        <w:t>المتعلقة ب</w:t>
      </w:r>
      <w:r w:rsidR="001A2E7E" w:rsidRPr="00FF6EFC">
        <w:rPr>
          <w:rFonts w:hint="cs"/>
          <w:rtl/>
        </w:rPr>
        <w:t xml:space="preserve">المرأة </w:t>
      </w:r>
      <w:r w:rsidR="001A2E7E">
        <w:rPr>
          <w:rFonts w:hint="cs"/>
          <w:rtl/>
        </w:rPr>
        <w:t>وبالشؤون الجنسانية</w:t>
      </w:r>
    </w:p>
    <w:p w:rsidR="001A2E7E" w:rsidRDefault="001A2E7E" w:rsidP="000D6B2D">
      <w:pPr>
        <w:pStyle w:val="SingleTxt"/>
        <w:rPr>
          <w:rFonts w:hint="cs"/>
          <w:rtl/>
        </w:rPr>
      </w:pPr>
      <w:r>
        <w:rPr>
          <w:rFonts w:hint="cs"/>
          <w:rtl/>
        </w:rPr>
        <w:t>45 -</w:t>
      </w:r>
      <w:r>
        <w:rPr>
          <w:rFonts w:hint="cs"/>
          <w:rtl/>
        </w:rPr>
        <w:tab/>
        <w:t>أصبحت حكومة توفالوا عضواً في الأمم المتحدة في عام 2000، ومنحت وضع أقل البلدان نمواً. وانضمت الدولة أيضاً إلى الاتفاقيات الدولية التي تضمن حقوق المرأة وحقوق الإنسان، وحددت مسائل أساسية للمعالجة من خلال الانضمام طرفاً إلى ما يلي:</w:t>
      </w:r>
    </w:p>
    <w:p w:rsidR="001A2E7E" w:rsidRDefault="000D6B2D" w:rsidP="003626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خطة عمل الهادئ عام</w:t>
      </w:r>
      <w:r w:rsidR="003626EB">
        <w:rPr>
          <w:rFonts w:hint="cs"/>
          <w:rtl/>
        </w:rPr>
        <w:t xml:space="preserve"> </w:t>
      </w:r>
      <w:r w:rsidR="001A2E7E">
        <w:rPr>
          <w:rFonts w:hint="cs"/>
          <w:rtl/>
        </w:rPr>
        <w:t xml:space="preserve">1993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إعلان جاكرتا للنهوض بالمرأة في آسيا وفي منطقة المحيط الهادئ عام 1994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خطة عمل بيجين عام 1995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المصادقة على اتفاقية القضاء على جميع أشكال التمييز ضد المرأة بدون أي تحفظ عام 1999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المشاركة في عملية بيجين + 5 عام 2000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الموافقة على خطة عمل الكومنولث للمساواة بين الجنسين 2005-2015 (الاجتماع السابع لوزراء شؤون المرأة، نادي فيجي) عام 2004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الموافقة على خطة عمل المحيط الهادئ المنقحة بعد الاجتماع الثالث للوزراء المعنيين بشؤون المرأة في منطقة المحيط الهادئ ومؤتمر نساء منطقة المحيط الهادئ التاسع الذي يعقد كل ثلاث سنوات عام 2004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1A2E7E">
        <w:rPr>
          <w:rFonts w:hint="cs"/>
          <w:rtl/>
        </w:rPr>
        <w:t xml:space="preserve">الالتزام ببيجين + 10 عام 2005 </w:t>
      </w:r>
    </w:p>
    <w:p w:rsidR="001A2E7E" w:rsidRDefault="000D6B2D" w:rsidP="00F06B3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1A2E7E">
        <w:rPr>
          <w:rFonts w:hint="cs"/>
          <w:rtl/>
        </w:rPr>
        <w:t>خطة المحيط الهادئ عام 2005 .</w:t>
      </w:r>
    </w:p>
    <w:p w:rsidR="001A2E7E" w:rsidRDefault="00F06B39" w:rsidP="000D6B2D">
      <w:pPr>
        <w:pStyle w:val="SingleTxt"/>
        <w:rPr>
          <w:rFonts w:hint="cs"/>
          <w:rtl/>
        </w:rPr>
      </w:pPr>
      <w:r>
        <w:rPr>
          <w:rFonts w:hint="cs"/>
          <w:rtl/>
        </w:rPr>
        <w:tab/>
      </w:r>
      <w:r w:rsidR="001A2E7E">
        <w:rPr>
          <w:rFonts w:hint="cs"/>
          <w:rtl/>
        </w:rPr>
        <w:t>وصادقت الحكومة أيضاً على اتفاقية حقوق الطفل ووافقت على الأهداف الإنمائية للألفية. وقدمت توفالو أيضاً تقريراً عن تنفيذ الأهداف الإنمائية للألفية إلى الجمعية العامة للأمم المتحدة في عام 2005.</w:t>
      </w:r>
    </w:p>
    <w:p w:rsidR="00F06B39" w:rsidRPr="00F06B39" w:rsidRDefault="00F06B39" w:rsidP="00F06B3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1A2E7E" w:rsidRPr="004078DD" w:rsidRDefault="00F06B39" w:rsidP="00F06B3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4078DD">
        <w:rPr>
          <w:rFonts w:hint="cs"/>
          <w:rtl/>
        </w:rPr>
        <w:t>المصادقة على اتفاقية القضاء على جميع أ</w:t>
      </w:r>
      <w:r w:rsidR="001A2E7E">
        <w:rPr>
          <w:rFonts w:hint="cs"/>
          <w:rtl/>
        </w:rPr>
        <w:t>شكال</w:t>
      </w:r>
      <w:r w:rsidR="001A2E7E" w:rsidRPr="004078DD">
        <w:rPr>
          <w:rFonts w:hint="cs"/>
          <w:rtl/>
        </w:rPr>
        <w:t xml:space="preserve"> التمييز ضد المرأة</w:t>
      </w:r>
    </w:p>
    <w:p w:rsidR="001A2E7E" w:rsidRDefault="001A2E7E" w:rsidP="009D126D">
      <w:pPr>
        <w:pStyle w:val="SingleTxt"/>
        <w:rPr>
          <w:rFonts w:hint="cs"/>
          <w:rtl/>
        </w:rPr>
      </w:pPr>
      <w:r>
        <w:rPr>
          <w:rFonts w:hint="cs"/>
          <w:rtl/>
        </w:rPr>
        <w:t>46 -</w:t>
      </w:r>
      <w:r>
        <w:rPr>
          <w:rFonts w:hint="cs"/>
          <w:rtl/>
        </w:rPr>
        <w:tab/>
        <w:t>كما ورد أعلاه، انطلاقاً من التزام الحكومة بتحسين حالة المرأة في توفالو، صادقت في تشرين الأول/أكتوبر 1999 على اتفاقية القضاء على جميع أشكال التمييز ضد المرأة دون أي تحفظ. وكان هذا نتيجة للضغط القوي والدعوى من جانب آلية المرأة الوطنية. وبالنسبة للالتزامات الدولية، نص الجزء 17 من قانون الأحكام التفسيرية والأحكام العامة (القانون رقم 1 ألف) على أن:</w:t>
      </w:r>
    </w:p>
    <w:p w:rsidR="001A2E7E" w:rsidRDefault="003626EB" w:rsidP="003626EB">
      <w:pPr>
        <w:pStyle w:val="SingleTxt"/>
        <w:ind w:left="1930" w:hanging="663"/>
        <w:rPr>
          <w:rFonts w:hint="eastAsia"/>
          <w:rtl/>
        </w:rPr>
      </w:pPr>
      <w:r>
        <w:rPr>
          <w:rFonts w:hint="cs"/>
          <w:rtl/>
        </w:rPr>
        <w:tab/>
      </w:r>
      <w:r w:rsidR="009D126D">
        <w:rPr>
          <w:rFonts w:hint="cs"/>
          <w:rtl/>
        </w:rPr>
        <w:tab/>
      </w:r>
      <w:r w:rsidR="009D126D">
        <w:rPr>
          <w:rFonts w:hint="eastAsia"/>
          <w:rtl/>
        </w:rPr>
        <w:t>”</w:t>
      </w:r>
      <w:r w:rsidR="001A2E7E">
        <w:rPr>
          <w:rFonts w:hint="cs"/>
          <w:rtl/>
        </w:rPr>
        <w:t>وضع قانون مكتوب يتماشى مع التزامات توفالو الدولية أ</w:t>
      </w:r>
      <w:r w:rsidR="009D126D">
        <w:rPr>
          <w:rFonts w:hint="cs"/>
          <w:rtl/>
        </w:rPr>
        <w:t>فضل من وضع دستور لا يتماشى معها</w:t>
      </w:r>
      <w:r w:rsidR="009D126D">
        <w:rPr>
          <w:rFonts w:hint="eastAsia"/>
          <w:rtl/>
        </w:rPr>
        <w:t>“.</w:t>
      </w:r>
    </w:p>
    <w:p w:rsidR="001A2E7E" w:rsidRDefault="001A2E7E" w:rsidP="009D126D">
      <w:pPr>
        <w:pStyle w:val="SingleTxt"/>
        <w:rPr>
          <w:rFonts w:hint="cs"/>
          <w:rtl/>
        </w:rPr>
      </w:pPr>
      <w:r>
        <w:rPr>
          <w:rFonts w:hint="cs"/>
          <w:rtl/>
        </w:rPr>
        <w:tab/>
        <w:t>ولذلك، توجد حاجة لإدماج اتفاقية القضاء على جميع أشكال التمييز ضد المرأة في القوانين الوطنية.</w:t>
      </w:r>
    </w:p>
    <w:p w:rsidR="009D126D" w:rsidRPr="009D126D" w:rsidRDefault="009D126D" w:rsidP="009D126D">
      <w:pPr>
        <w:spacing w:line="120" w:lineRule="exact"/>
        <w:rPr>
          <w:rFonts w:hint="cs"/>
          <w:sz w:val="10"/>
          <w:szCs w:val="32"/>
          <w:rtl/>
        </w:rPr>
      </w:pPr>
    </w:p>
    <w:p w:rsidR="001A2E7E" w:rsidRPr="004078DD" w:rsidRDefault="009D126D" w:rsidP="009D126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1A2E7E" w:rsidRPr="004078DD">
        <w:rPr>
          <w:rFonts w:hint="cs"/>
          <w:rtl/>
        </w:rPr>
        <w:t>الترويج والتوعية</w:t>
      </w:r>
    </w:p>
    <w:p w:rsidR="001A2E7E" w:rsidRDefault="001A2E7E" w:rsidP="009D126D">
      <w:pPr>
        <w:pStyle w:val="SingleTxt"/>
        <w:rPr>
          <w:rFonts w:hint="cs"/>
          <w:rtl/>
        </w:rPr>
      </w:pPr>
      <w:r>
        <w:rPr>
          <w:rFonts w:hint="cs"/>
          <w:rtl/>
        </w:rPr>
        <w:t>47 -</w:t>
      </w:r>
      <w:r>
        <w:rPr>
          <w:rFonts w:hint="cs"/>
          <w:rtl/>
        </w:rPr>
        <w:tab/>
        <w:t>بشراكة مع مجلس توفالو الوطني للمرأة، ما فتئت إدارة شؤون المرأة تعمل بفعالية على توفير تدريب للتوعية باتفاقية القضاء على جميع أشكال التمييز ضد المرأة في الحكومة وفي المجتمعات المحلية أيضاً. وفي عام 2005، عقدت للوزراء والأمناء الدائمين ورؤساء الإدارات حلقات عمل للتوعية كمقدمة لإعداد تقرير الدولة عن اتفاقية القضاء على جميع أشكال التمييز ضد المرأة. وكان هذا جهداً تعاونياً شاركت فيه حكومة توفالو ومشروع مرفق دعم المرأة التابع لبرنامج الأمم المتحدة الإنمائي وبرنامج صندوق الأمم المتحدة الإنمائي للمرأة الخاص باتفاقية القضاء على جميع أشكال التمييز ضد المرأة.</w:t>
      </w:r>
    </w:p>
    <w:p w:rsidR="001A2E7E" w:rsidRDefault="001A2E7E" w:rsidP="009D126D">
      <w:pPr>
        <w:pStyle w:val="SingleTxt"/>
        <w:rPr>
          <w:rFonts w:hint="cs"/>
          <w:rtl/>
        </w:rPr>
      </w:pPr>
      <w:r>
        <w:rPr>
          <w:rFonts w:hint="cs"/>
          <w:rtl/>
        </w:rPr>
        <w:t>48 -</w:t>
      </w:r>
      <w:r>
        <w:rPr>
          <w:rFonts w:hint="cs"/>
          <w:rtl/>
        </w:rPr>
        <w:tab/>
        <w:t>ونظراً لأن الغالبية العظمى من النساء والرجال في توفالو يتحدثون باللغة المحلية، ترجمت الحكومة في عام 2005 مواد اتفاقية القضاء على جميع أشكال التمييز ضد المرأة إلى لغة فيرناكيولار في محاولة منها لنشر المعلومات عن الاتفاقية على أوسع نطاق ممكن. وقد تسنى فعل ذلك بمساعدة من برنامج الأمم المتحدة الإنمائي ومن برنامج صندوق الأمم المتحدة الإنمائي للمرأة المتعلق بالاتفاقية المخصص لمنطقة المحيط الهادئ. ويتوخى أن تعزز وتيسر هذه الترجمة تعريف الناس بالاتفاقية وفهمهم لها. فضلاً عن ذلك، نظمت إدارة شؤون المرأة، بشراكة مع مجلس توفال الوطني للمرأة، حلقات عمل للتوعية بالاتفاقية والتدريب عليها في معظم الجزر الخارجية وفي العاصمة فونافوتي. ودلت عمليات تقييم حلقات العمل هذه على زيادة الوعي بالاتفاقية وفهم موادها على نحو أفضل. وسيكون التدريب المتعلق بالاتفاقية نشاطاً مستمراً بالنسبة لآلية المرأة الوطنية بوصفها استراتيجية للتمكين وتسريع تنفيذ التزامات الحكومة المتعلقة بالاتفاقية.</w:t>
      </w:r>
    </w:p>
    <w:p w:rsidR="001A2E7E" w:rsidRDefault="001A2E7E" w:rsidP="009D126D">
      <w:pPr>
        <w:pStyle w:val="SingleTxt"/>
        <w:rPr>
          <w:rFonts w:hint="cs"/>
          <w:rtl/>
        </w:rPr>
      </w:pPr>
      <w:r>
        <w:rPr>
          <w:rFonts w:hint="cs"/>
          <w:rtl/>
        </w:rPr>
        <w:t>49 -</w:t>
      </w:r>
      <w:r>
        <w:rPr>
          <w:rFonts w:hint="cs"/>
          <w:rtl/>
        </w:rPr>
        <w:tab/>
        <w:t>وأثناء اجتماع مجلس توفالو الوطني للمرأة في عام 2006 الذي يعقد كل سنتين، عقدت حلقة عمل مدتها أسبوع للتدريب على التوعية بالشؤون الجنسانية وبالاتفاقية، شارك فيها أكثر من 100 مشارك من جميع أنحاء توفالو. وكانت إحدى النتائج الرئيسية لحلقة العمل حث الحكومة على إدماج اتفاقية القضاء على جميع أشكال التمييز ضد المرأة في قوانين توفالو.</w:t>
      </w:r>
    </w:p>
    <w:p w:rsidR="009D126D" w:rsidRPr="009D126D" w:rsidRDefault="009D126D" w:rsidP="009D126D">
      <w:pPr>
        <w:pStyle w:val="SingleTxt"/>
        <w:spacing w:after="0" w:line="120" w:lineRule="exact"/>
        <w:rPr>
          <w:rFonts w:hint="cs"/>
          <w:b/>
          <w:bCs/>
          <w:sz w:val="10"/>
          <w:rtl/>
        </w:rPr>
      </w:pPr>
    </w:p>
    <w:p w:rsidR="009D126D" w:rsidRPr="009D126D" w:rsidRDefault="009D126D" w:rsidP="009D126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D126D">
        <w:rPr>
          <w:rFonts w:hint="cs"/>
          <w:rtl/>
        </w:rPr>
        <w:t xml:space="preserve">الجزء الثاني: </w:t>
      </w:r>
      <w:r w:rsidRPr="009D126D">
        <w:rPr>
          <w:rFonts w:hint="cs"/>
          <w:rtl/>
        </w:rPr>
        <w:tab/>
        <w:t>الاتفاقية</w:t>
      </w:r>
    </w:p>
    <w:p w:rsidR="009D126D" w:rsidRPr="009D126D" w:rsidRDefault="009D126D" w:rsidP="009D126D">
      <w:pPr>
        <w:pStyle w:val="SingleTxt"/>
        <w:spacing w:after="0" w:line="120" w:lineRule="exact"/>
        <w:rPr>
          <w:rFonts w:hint="cs"/>
          <w:sz w:val="10"/>
          <w:rtl/>
        </w:rPr>
      </w:pPr>
    </w:p>
    <w:p w:rsidR="009D126D" w:rsidRPr="009D126D" w:rsidRDefault="009D126D" w:rsidP="009D126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D126D">
        <w:rPr>
          <w:rFonts w:hint="cs"/>
          <w:rtl/>
        </w:rPr>
        <w:t xml:space="preserve">المادة 1 </w:t>
      </w:r>
    </w:p>
    <w:tbl>
      <w:tblPr>
        <w:tblStyle w:val="TableGrid"/>
        <w:bidiVisual/>
        <w:tblW w:w="0" w:type="auto"/>
        <w:jc w:val="center"/>
        <w:tblLook w:val="01E0" w:firstRow="1" w:lastRow="1" w:firstColumn="1" w:lastColumn="1" w:noHBand="0" w:noVBand="0"/>
      </w:tblPr>
      <w:tblGrid>
        <w:gridCol w:w="8856"/>
      </w:tblGrid>
      <w:tr w:rsidR="009D126D">
        <w:trPr>
          <w:jc w:val="center"/>
        </w:trPr>
        <w:tc>
          <w:tcPr>
            <w:tcW w:w="8856" w:type="dxa"/>
          </w:tcPr>
          <w:p w:rsidR="009D126D" w:rsidRDefault="009D126D" w:rsidP="009D126D">
            <w:pPr>
              <w:pStyle w:val="SingleTxt"/>
              <w:rPr>
                <w:rFonts w:cs="Traditional Arabic" w:hint="cs"/>
                <w:rtl/>
              </w:rPr>
            </w:pPr>
          </w:p>
          <w:p w:rsidR="009D126D" w:rsidRDefault="009D126D" w:rsidP="009D126D">
            <w:pPr>
              <w:pStyle w:val="SingleTxt"/>
              <w:rPr>
                <w:rFonts w:cs="Traditional Arabic" w:hint="cs"/>
                <w:rtl/>
              </w:rPr>
            </w:pPr>
            <w:r w:rsidRPr="009D126D">
              <w:rPr>
                <w:rFonts w:cs="Traditional Arabic" w:hint="cs"/>
                <w:rtl/>
              </w:rPr>
              <w:tab/>
              <w:t xml:space="preserve">لأغراض هذه الاتفاقية يعني مصطلح </w:t>
            </w:r>
            <w:r w:rsidRPr="009D126D">
              <w:rPr>
                <w:rFonts w:cs="Traditional Arabic" w:hint="eastAsia"/>
                <w:rtl/>
              </w:rPr>
              <w:t>”التمييز ضد المرأة</w:t>
            </w:r>
            <w:r w:rsidRPr="009D126D">
              <w:rPr>
                <w:rFonts w:cs="Traditional Arabic" w:hint="cs"/>
                <w:rtl/>
              </w:rPr>
              <w:t>“ أي تفرقة أو استبعاد أو تقييد يتم على أساس نوع الجنس ويكون من آثاره أو أغراضه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9D126D" w:rsidRPr="009D126D" w:rsidRDefault="009D126D" w:rsidP="009D126D">
            <w:pPr>
              <w:pStyle w:val="SingleTxt"/>
              <w:rPr>
                <w:rFonts w:cs="Traditional Arabic" w:hint="cs"/>
                <w:rtl/>
              </w:rPr>
            </w:pPr>
          </w:p>
        </w:tc>
      </w:tr>
    </w:tbl>
    <w:p w:rsidR="009D126D" w:rsidRDefault="009D126D" w:rsidP="001A2E7E">
      <w:pPr>
        <w:pStyle w:val="SingleTxt"/>
        <w:rPr>
          <w:rtl/>
          <w:lang w:bidi="ar-EG"/>
        </w:rPr>
      </w:pPr>
    </w:p>
    <w:p w:rsidR="009D126D" w:rsidRDefault="009D126D" w:rsidP="009D126D">
      <w:pPr>
        <w:pStyle w:val="SingleTxt"/>
        <w:rPr>
          <w:rFonts w:hint="cs"/>
          <w:rtl/>
        </w:rPr>
      </w:pPr>
      <w:r>
        <w:rPr>
          <w:rtl/>
          <w:lang w:bidi="ar-EG"/>
        </w:rPr>
        <w:br w:type="page"/>
      </w:r>
      <w:r>
        <w:rPr>
          <w:rFonts w:hint="cs"/>
          <w:rtl/>
          <w:lang w:bidi="ar-EG"/>
        </w:rPr>
        <w:t>1-1</w:t>
      </w:r>
      <w:r>
        <w:rPr>
          <w:rFonts w:hint="cs"/>
          <w:rtl/>
          <w:lang w:bidi="ar-EG"/>
        </w:rPr>
        <w:tab/>
      </w:r>
      <w:r>
        <w:rPr>
          <w:rFonts w:hint="cs"/>
          <w:rtl/>
        </w:rPr>
        <w:t>يستند دستور دولة توفالو ذات السيادة إلى المبادئ الأساسية للديانة المسيحية ولعادات وتقاليد توفالو. وبموجب الدستور</w:t>
      </w:r>
      <w:r w:rsidRPr="009D126D">
        <w:rPr>
          <w:vertAlign w:val="superscript"/>
          <w:rtl/>
        </w:rPr>
        <w:t>(</w:t>
      </w:r>
      <w:r>
        <w:rPr>
          <w:rStyle w:val="FootnoteReference"/>
          <w:rtl/>
        </w:rPr>
        <w:footnoteReference w:id="35"/>
      </w:r>
      <w:r w:rsidRPr="009D126D">
        <w:rPr>
          <w:vertAlign w:val="superscript"/>
          <w:rtl/>
        </w:rPr>
        <w:t>)</w:t>
      </w:r>
      <w:r>
        <w:rPr>
          <w:rFonts w:hint="cs"/>
          <w:rtl/>
        </w:rPr>
        <w:t>، يعرف التمييز بأنه معاملة الأشخاص المختلفين بطرق مختلفة تعزى كلياً أو بصورة رئيسية إلى كونهم مختلفين من حيث:</w:t>
      </w:r>
    </w:p>
    <w:p w:rsidR="009D126D" w:rsidRDefault="009D126D" w:rsidP="009D126D">
      <w:pPr>
        <w:pStyle w:val="SingleTxt"/>
        <w:rPr>
          <w:rFonts w:hint="cs"/>
          <w:rtl/>
        </w:rPr>
      </w:pPr>
      <w:r>
        <w:rPr>
          <w:rFonts w:hint="cs"/>
          <w:rtl/>
        </w:rPr>
        <w:tab/>
        <w:t>(أ)</w:t>
      </w:r>
      <w:r>
        <w:rPr>
          <w:rFonts w:hint="cs"/>
          <w:rtl/>
        </w:rPr>
        <w:tab/>
        <w:t>العرق؛ أو</w:t>
      </w:r>
    </w:p>
    <w:p w:rsidR="009D126D" w:rsidRDefault="009D126D" w:rsidP="009D126D">
      <w:pPr>
        <w:pStyle w:val="SingleTxt"/>
        <w:rPr>
          <w:rFonts w:hint="cs"/>
          <w:rtl/>
        </w:rPr>
      </w:pPr>
      <w:r>
        <w:rPr>
          <w:rFonts w:hint="cs"/>
          <w:rtl/>
        </w:rPr>
        <w:tab/>
        <w:t>(ب)</w:t>
      </w:r>
      <w:r>
        <w:rPr>
          <w:rFonts w:hint="cs"/>
          <w:rtl/>
        </w:rPr>
        <w:tab/>
        <w:t>المكان الذي نشأوا؛ أو</w:t>
      </w:r>
    </w:p>
    <w:p w:rsidR="009D126D" w:rsidRDefault="009D126D" w:rsidP="009D126D">
      <w:pPr>
        <w:pStyle w:val="SingleTxt"/>
        <w:rPr>
          <w:rFonts w:hint="cs"/>
          <w:rtl/>
        </w:rPr>
      </w:pPr>
      <w:r>
        <w:rPr>
          <w:rFonts w:hint="cs"/>
          <w:rtl/>
        </w:rPr>
        <w:tab/>
        <w:t>(ج)</w:t>
      </w:r>
      <w:r>
        <w:rPr>
          <w:rFonts w:hint="cs"/>
          <w:rtl/>
        </w:rPr>
        <w:tab/>
        <w:t>الآراء السياسية؛ أو</w:t>
      </w:r>
    </w:p>
    <w:p w:rsidR="009D126D" w:rsidRDefault="009D126D" w:rsidP="009D126D">
      <w:pPr>
        <w:pStyle w:val="SingleTxt"/>
        <w:rPr>
          <w:rFonts w:hint="cs"/>
          <w:rtl/>
        </w:rPr>
      </w:pPr>
      <w:r>
        <w:rPr>
          <w:rFonts w:hint="cs"/>
          <w:rtl/>
        </w:rPr>
        <w:tab/>
        <w:t>(د)</w:t>
      </w:r>
      <w:r>
        <w:rPr>
          <w:rFonts w:hint="cs"/>
          <w:rtl/>
        </w:rPr>
        <w:tab/>
        <w:t>اللون؛ أو</w:t>
      </w:r>
    </w:p>
    <w:p w:rsidR="009D126D" w:rsidRDefault="009D126D" w:rsidP="009D126D">
      <w:pPr>
        <w:pStyle w:val="SingleTxt"/>
        <w:rPr>
          <w:rFonts w:hint="cs"/>
          <w:rtl/>
        </w:rPr>
      </w:pPr>
      <w:r>
        <w:rPr>
          <w:rFonts w:hint="cs"/>
          <w:rtl/>
        </w:rPr>
        <w:tab/>
        <w:t>(هـ)</w:t>
      </w:r>
      <w:r>
        <w:rPr>
          <w:rFonts w:hint="cs"/>
          <w:rtl/>
        </w:rPr>
        <w:tab/>
        <w:t>المعتقدات الدينية أو عدم الانتماء لمعتقد ديني،</w:t>
      </w:r>
    </w:p>
    <w:p w:rsidR="009D126D" w:rsidRDefault="009D126D" w:rsidP="009D126D">
      <w:pPr>
        <w:pStyle w:val="SingleTxt"/>
        <w:rPr>
          <w:rFonts w:hint="cs"/>
          <w:rtl/>
        </w:rPr>
      </w:pPr>
      <w:r>
        <w:rPr>
          <w:rFonts w:hint="cs"/>
          <w:rtl/>
        </w:rPr>
        <w:tab/>
        <w:t>على نحو يعامل فيه شخص لسبب ما معاملة أكثر محاباة أو أقل محاباة من شخص آخر. ولا يمثل نوع الجنس أساساً للتمييز. ولذلك، فإن التمييز على أساس نوع الجنس قانوني</w:t>
      </w:r>
      <w:r w:rsidRPr="009D126D">
        <w:rPr>
          <w:vertAlign w:val="superscript"/>
          <w:rtl/>
        </w:rPr>
        <w:t>(</w:t>
      </w:r>
      <w:r>
        <w:rPr>
          <w:rStyle w:val="FootnoteReference"/>
          <w:rtl/>
        </w:rPr>
        <w:footnoteReference w:id="36"/>
      </w:r>
      <w:r w:rsidRPr="009D126D">
        <w:rPr>
          <w:vertAlign w:val="superscript"/>
          <w:rtl/>
        </w:rPr>
        <w:t>)</w:t>
      </w:r>
      <w:r>
        <w:rPr>
          <w:rFonts w:hint="cs"/>
          <w:rtl/>
        </w:rPr>
        <w:t>. إلا أن هذا لا ينطبق إلا في ظل ظروف محدودة مشار إليها أدناه.</w:t>
      </w:r>
    </w:p>
    <w:p w:rsidR="009D126D" w:rsidRDefault="009D126D" w:rsidP="003626EB">
      <w:pPr>
        <w:pStyle w:val="SingleTxt"/>
        <w:rPr>
          <w:rFonts w:hint="cs"/>
          <w:rtl/>
        </w:rPr>
      </w:pPr>
      <w:r>
        <w:rPr>
          <w:rFonts w:hint="cs"/>
          <w:rtl/>
        </w:rPr>
        <w:t>1-2</w:t>
      </w:r>
      <w:r>
        <w:rPr>
          <w:rFonts w:hint="cs"/>
          <w:rtl/>
        </w:rPr>
        <w:tab/>
        <w:t xml:space="preserve">بساطة، يعرف الفرع المذكور أعلاه التمييز بأنه معاملة تمييزية تمنح لأشخاص مختلفين نتيجة للخلفيات المذكورة. وبالتالي، فإن الفرع الفرعي (2) يقضي بأن </w:t>
      </w:r>
      <w:r w:rsidR="003626EB">
        <w:rPr>
          <w:rFonts w:hint="eastAsia"/>
          <w:rtl/>
        </w:rPr>
        <w:t>”</w:t>
      </w:r>
      <w:r w:rsidR="003626EB">
        <w:rPr>
          <w:rFonts w:hint="cs"/>
          <w:rtl/>
        </w:rPr>
        <w:t>لا يعامل أي شخص على نحو تمييزي</w:t>
      </w:r>
      <w:r w:rsidR="003626EB">
        <w:rPr>
          <w:rFonts w:hint="eastAsia"/>
          <w:rtl/>
        </w:rPr>
        <w:t>“</w:t>
      </w:r>
      <w:r>
        <w:rPr>
          <w:rFonts w:hint="cs"/>
          <w:rtl/>
        </w:rPr>
        <w:t>. ومع أن نوع الجنس ليس مشمولاً في الفرع 27 (1)، فإن نطاق الفرع 27 (2) واسع بما يكفي ليشمل حظر التمييز على أساس نوع الجنس. وبالتالي، في حين أن التمييز على أساس نوع الجنس قد يكون مسموحاً به بموجب الدستور، فإنه غير مسموح به إلا في ظروف خاصة مشار إليها في الدستور. وتشمل هذه الظروف القوانين المتعلقة بما يلي:</w:t>
      </w:r>
    </w:p>
    <w:p w:rsidR="009D126D" w:rsidRDefault="009D126D" w:rsidP="009D126D">
      <w:pPr>
        <w:pStyle w:val="SingleTxt"/>
        <w:rPr>
          <w:rFonts w:hint="cs"/>
          <w:rtl/>
        </w:rPr>
      </w:pPr>
      <w:r>
        <w:rPr>
          <w:rFonts w:hint="cs"/>
          <w:rtl/>
        </w:rPr>
        <w:t>1 -</w:t>
      </w:r>
      <w:r>
        <w:rPr>
          <w:rFonts w:hint="cs"/>
          <w:rtl/>
        </w:rPr>
        <w:tab/>
        <w:t xml:space="preserve">(أ) </w:t>
      </w:r>
      <w:r>
        <w:rPr>
          <w:rFonts w:hint="cs"/>
          <w:rtl/>
        </w:rPr>
        <w:tab/>
        <w:t>التبني</w:t>
      </w:r>
    </w:p>
    <w:p w:rsidR="009D126D" w:rsidRDefault="009D126D" w:rsidP="009D126D">
      <w:pPr>
        <w:pStyle w:val="SingleTxt"/>
        <w:rPr>
          <w:rFonts w:hint="cs"/>
          <w:rtl/>
        </w:rPr>
      </w:pPr>
      <w:r>
        <w:rPr>
          <w:rFonts w:hint="cs"/>
          <w:rtl/>
        </w:rPr>
        <w:tab/>
        <w:t>(ب)</w:t>
      </w:r>
      <w:r>
        <w:rPr>
          <w:rFonts w:hint="cs"/>
          <w:rtl/>
        </w:rPr>
        <w:tab/>
        <w:t>الزواج</w:t>
      </w:r>
    </w:p>
    <w:p w:rsidR="009D126D" w:rsidRDefault="009D126D" w:rsidP="009D126D">
      <w:pPr>
        <w:pStyle w:val="SingleTxt"/>
        <w:rPr>
          <w:rFonts w:hint="cs"/>
          <w:rtl/>
        </w:rPr>
      </w:pPr>
      <w:r>
        <w:rPr>
          <w:rFonts w:hint="cs"/>
          <w:rtl/>
        </w:rPr>
        <w:tab/>
        <w:t>(ج)</w:t>
      </w:r>
      <w:r>
        <w:rPr>
          <w:rFonts w:hint="cs"/>
          <w:rtl/>
        </w:rPr>
        <w:tab/>
        <w:t>الطلاق</w:t>
      </w:r>
    </w:p>
    <w:p w:rsidR="009D126D" w:rsidRDefault="009D126D" w:rsidP="009D126D">
      <w:pPr>
        <w:pStyle w:val="SingleTxt"/>
        <w:rPr>
          <w:rFonts w:hint="cs"/>
          <w:rtl/>
        </w:rPr>
      </w:pPr>
      <w:r>
        <w:rPr>
          <w:rFonts w:hint="cs"/>
          <w:rtl/>
        </w:rPr>
        <w:tab/>
        <w:t>(د)</w:t>
      </w:r>
      <w:r>
        <w:rPr>
          <w:rFonts w:hint="cs"/>
          <w:rtl/>
        </w:rPr>
        <w:tab/>
        <w:t>الدفن</w:t>
      </w:r>
    </w:p>
    <w:p w:rsidR="009D126D" w:rsidRDefault="009D126D" w:rsidP="009D126D">
      <w:pPr>
        <w:pStyle w:val="SingleTxt"/>
        <w:rPr>
          <w:rFonts w:hint="cs"/>
          <w:rtl/>
        </w:rPr>
      </w:pPr>
      <w:r>
        <w:rPr>
          <w:rFonts w:hint="cs"/>
          <w:rtl/>
        </w:rPr>
        <w:tab/>
        <w:t>(هـ)</w:t>
      </w:r>
      <w:r>
        <w:rPr>
          <w:rFonts w:hint="cs"/>
          <w:rtl/>
        </w:rPr>
        <w:tab/>
        <w:t>أية مسألة أخرى، وفقاً لقانون الأحوال الشخصية، مثل معتقدات أو عادات أي شخص أو مجموعة</w:t>
      </w:r>
    </w:p>
    <w:p w:rsidR="009D126D" w:rsidRDefault="009D126D" w:rsidP="009D126D">
      <w:pPr>
        <w:pStyle w:val="SingleTxt"/>
        <w:rPr>
          <w:rFonts w:hint="cs"/>
          <w:rtl/>
        </w:rPr>
      </w:pPr>
      <w:r>
        <w:rPr>
          <w:rFonts w:hint="cs"/>
          <w:rtl/>
        </w:rPr>
        <w:tab/>
        <w:t>الأرض</w:t>
      </w:r>
    </w:p>
    <w:p w:rsidR="009D126D" w:rsidRDefault="009D126D" w:rsidP="009D126D">
      <w:pPr>
        <w:pStyle w:val="SingleTxt"/>
        <w:rPr>
          <w:rFonts w:hint="cs"/>
          <w:rtl/>
        </w:rPr>
      </w:pPr>
      <w:r>
        <w:rPr>
          <w:rFonts w:hint="cs"/>
          <w:rtl/>
        </w:rPr>
        <w:t>2 -</w:t>
      </w:r>
      <w:r>
        <w:rPr>
          <w:rFonts w:hint="cs"/>
          <w:rtl/>
        </w:rPr>
        <w:tab/>
        <w:t xml:space="preserve">(أ) </w:t>
      </w:r>
      <w:r>
        <w:rPr>
          <w:rFonts w:hint="cs"/>
          <w:rtl/>
        </w:rPr>
        <w:tab/>
        <w:t>المصلحة الوطنية</w:t>
      </w:r>
    </w:p>
    <w:p w:rsidR="009D126D" w:rsidRDefault="009D126D" w:rsidP="009D126D">
      <w:pPr>
        <w:pStyle w:val="SingleTxt"/>
        <w:rPr>
          <w:rFonts w:hint="cs"/>
          <w:rtl/>
        </w:rPr>
      </w:pPr>
      <w:r>
        <w:rPr>
          <w:rFonts w:hint="cs"/>
          <w:rtl/>
        </w:rPr>
        <w:tab/>
        <w:t>(ب)</w:t>
      </w:r>
      <w:r>
        <w:rPr>
          <w:rFonts w:hint="cs"/>
          <w:rtl/>
        </w:rPr>
        <w:tab/>
        <w:t>القيم والممارسات التقليدية</w:t>
      </w:r>
    </w:p>
    <w:p w:rsidR="009D126D" w:rsidRDefault="009D126D" w:rsidP="009D126D">
      <w:pPr>
        <w:pStyle w:val="SingleTxt"/>
        <w:rPr>
          <w:rFonts w:hint="cs"/>
          <w:rtl/>
        </w:rPr>
      </w:pPr>
      <w:r>
        <w:rPr>
          <w:rFonts w:hint="cs"/>
          <w:rtl/>
        </w:rPr>
        <w:tab/>
        <w:t>المساواة بين الرجل والمرأة ليست من الحقوق والحريات الأساسية التي يكفلها الدستور</w:t>
      </w:r>
      <w:r w:rsidRPr="009D126D">
        <w:rPr>
          <w:vertAlign w:val="superscript"/>
          <w:rtl/>
        </w:rPr>
        <w:t>(</w:t>
      </w:r>
      <w:r>
        <w:rPr>
          <w:rStyle w:val="FootnoteReference"/>
          <w:rtl/>
        </w:rPr>
        <w:footnoteReference w:id="37"/>
      </w:r>
      <w:r w:rsidRPr="009D126D">
        <w:rPr>
          <w:vertAlign w:val="superscript"/>
          <w:rtl/>
        </w:rPr>
        <w:t>)</w:t>
      </w:r>
      <w:r>
        <w:rPr>
          <w:rFonts w:hint="cs"/>
          <w:rtl/>
        </w:rPr>
        <w:t>.</w:t>
      </w:r>
    </w:p>
    <w:p w:rsidR="009D126D" w:rsidRDefault="009D126D" w:rsidP="009D126D">
      <w:pPr>
        <w:pStyle w:val="SingleTxt"/>
        <w:rPr>
          <w:rFonts w:hint="cs"/>
          <w:rtl/>
        </w:rPr>
      </w:pPr>
      <w:r>
        <w:rPr>
          <w:rFonts w:hint="cs"/>
          <w:rtl/>
        </w:rPr>
        <w:t>1-3</w:t>
      </w:r>
      <w:r>
        <w:rPr>
          <w:rFonts w:hint="cs"/>
          <w:rtl/>
        </w:rPr>
        <w:tab/>
        <w:t>تنص السياسة الوطنية المنقحة للمرأة على أن المرأة والقانون إحدى مجالات اهتمامها الحرجة. وتتناول على وجه التحديد حقوق الإنسان للمرأة مع التركيز بشكل خاص على محو الأمية القانونية وعلى التدريب على حقوق الإنسان والقضاء على العنف ضد المرأة والطفل ومراجعة القوانين التي تميز ضد المرأة. ويتعين أن تعرف وتفهم المرأة حقوقها فيما يتعلق بقضايا العنف والعمالة وحقوق الملكية واتخاذ القرارات، إلخ. ولذلك، ما فتئت إدارة شؤون المرأة تنظم، بالاشتراك مع مجلس توفالو الوطني للمرأة، حلقات عمل للتدريب وتبث برامج إذاعية بشأن هذه المسائل، وكذلك بالنسبة للمسائل المتعلقة بالأراضي والحضانة. من جهة أخرى، من المهم أيضاً تعزيز وبناء قدرة مقدمي الخدمات والجهاز القضائي، لا سيما على مستوى المحاكم الأولية، فيما يتعلق بالمسائل الجنسانية ومسائل حقوق الإنسان. ولذلك، ما فتئ تعزيز الجهاز القضائي أولوية للحكومة منذ بضع سنين، وتلقى في الآونة الأخيرة الدعم بتركيز فريق موارد الحقوق الإقليمي/ برنامج الأمم المتحدة الإنمائي بصورة رئيسية على المحكمة العليا ومحكمة كبار قضاة الصلح. وينظم مجلس توفالو الوطني للمرأة، بمساعدة فريق موارد الحقوق الإقليمي/ برنامج الأمم المتحدة الإنمائي، تدريباً على حقوق الإنسان مع الشرطة أيضاً. والحق في محاكمة علنية عادلة مكفول بموجب القانون</w:t>
      </w:r>
      <w:r w:rsidRPr="009D126D">
        <w:rPr>
          <w:vertAlign w:val="superscript"/>
          <w:rtl/>
        </w:rPr>
        <w:t>(</w:t>
      </w:r>
      <w:r>
        <w:rPr>
          <w:rStyle w:val="FootnoteReference"/>
          <w:rtl/>
        </w:rPr>
        <w:footnoteReference w:id="38"/>
      </w:r>
      <w:r w:rsidRPr="009D126D">
        <w:rPr>
          <w:vertAlign w:val="superscript"/>
          <w:rtl/>
        </w:rPr>
        <w:t>)</w:t>
      </w:r>
      <w:r>
        <w:rPr>
          <w:rFonts w:hint="cs"/>
          <w:rtl/>
        </w:rPr>
        <w:t>. ويجري التقيد به في الممارسة.</w:t>
      </w:r>
    </w:p>
    <w:p w:rsidR="009D126D" w:rsidRPr="009D126D" w:rsidRDefault="009D126D" w:rsidP="009D126D">
      <w:pPr>
        <w:spacing w:line="120" w:lineRule="exact"/>
        <w:rPr>
          <w:rFonts w:hint="cs"/>
          <w:b/>
          <w:bCs/>
          <w:sz w:val="10"/>
          <w:szCs w:val="32"/>
          <w:rtl/>
        </w:rPr>
      </w:pPr>
    </w:p>
    <w:p w:rsidR="009D126D" w:rsidRPr="0012402F" w:rsidRDefault="009D126D" w:rsidP="009D126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12402F">
        <w:rPr>
          <w:rFonts w:hint="cs"/>
          <w:rtl/>
        </w:rPr>
        <w:t>العنف ضد المرأة</w:t>
      </w:r>
    </w:p>
    <w:p w:rsidR="009D126D" w:rsidRDefault="009D126D" w:rsidP="003626EB">
      <w:pPr>
        <w:pStyle w:val="SingleTxt"/>
        <w:rPr>
          <w:rFonts w:hint="cs"/>
          <w:rtl/>
        </w:rPr>
      </w:pPr>
      <w:r>
        <w:rPr>
          <w:rFonts w:hint="cs"/>
          <w:rtl/>
        </w:rPr>
        <w:t>1-4</w:t>
      </w:r>
      <w:r>
        <w:rPr>
          <w:rFonts w:hint="cs"/>
          <w:rtl/>
        </w:rPr>
        <w:tab/>
        <w:t>في حين أنه لا توجد دراسة رسمية أو تقييم رسمي لتأثير العنف في توفالو، فإن التقارير والأرقام غير الرسمية عن المتسربين من المدارس وحمل المراهقات وتفكك الأسر تشير إلى أن العنف متفشٍ على نطاق مرتفع جداً. ومن الصعب الوصول إلى بيانات قضايا الإساءة هذه نظراً لجوانب السرية، ونظراً لأن معظم هذه القضايا لا يبلغ عنها</w:t>
      </w:r>
      <w:r w:rsidRPr="009D126D">
        <w:rPr>
          <w:vertAlign w:val="superscript"/>
          <w:rtl/>
        </w:rPr>
        <w:t>(</w:t>
      </w:r>
      <w:r>
        <w:rPr>
          <w:rStyle w:val="FootnoteReference"/>
          <w:rtl/>
        </w:rPr>
        <w:footnoteReference w:id="39"/>
      </w:r>
      <w:r w:rsidRPr="009D126D">
        <w:rPr>
          <w:vertAlign w:val="superscript"/>
          <w:rtl/>
        </w:rPr>
        <w:t>)</w:t>
      </w:r>
      <w:r>
        <w:rPr>
          <w:rFonts w:hint="cs"/>
          <w:rtl/>
        </w:rPr>
        <w:t xml:space="preserve">. إلا أن العنف المنزلي شائع. فالاعتداء الجسدي على النساء والأطفال واضح ولكن لا يبلغ عنه. والأطفال والنساء أضعف المجموعات. فنادراً ما تذهب المرأة في توفالو إلى الشرطة أو المحكمة طلباً للمساعدة. وتعتمد المرأة على الأسرة لتعالج المشكلة. ومن الشائع أن يسحب المشتكون من العنف المنزلي وضحاياه قضاياهم عندما تصل إلى المحكمة. وكجزء من مبادرة الحكومة لمعالجة هذه المسألة توجد لدى الشرطة مسودة سياسة </w:t>
      </w:r>
      <w:r w:rsidR="003626EB">
        <w:rPr>
          <w:rFonts w:hint="eastAsia"/>
          <w:rtl/>
        </w:rPr>
        <w:t>”</w:t>
      </w:r>
      <w:r>
        <w:rPr>
          <w:rFonts w:hint="cs"/>
          <w:rtl/>
        </w:rPr>
        <w:t>عدم إسقاط التهم</w:t>
      </w:r>
      <w:r w:rsidR="003626EB">
        <w:rPr>
          <w:rFonts w:hint="eastAsia"/>
          <w:rtl/>
        </w:rPr>
        <w:t>“</w:t>
      </w:r>
      <w:r>
        <w:rPr>
          <w:rFonts w:hint="cs"/>
          <w:rtl/>
        </w:rPr>
        <w:t xml:space="preserve"> وتطبقها الشرطة بالفعل.</w:t>
      </w:r>
    </w:p>
    <w:p w:rsidR="009D126D" w:rsidRDefault="009D126D" w:rsidP="003626EB">
      <w:pPr>
        <w:pStyle w:val="SingleTxt"/>
        <w:rPr>
          <w:rFonts w:hint="cs"/>
          <w:rtl/>
        </w:rPr>
      </w:pPr>
      <w:r>
        <w:rPr>
          <w:rFonts w:hint="cs"/>
          <w:rtl/>
        </w:rPr>
        <w:t>1-5</w:t>
      </w:r>
      <w:r>
        <w:rPr>
          <w:rFonts w:hint="cs"/>
          <w:rtl/>
        </w:rPr>
        <w:tab/>
        <w:t xml:space="preserve">وعلى الرغم من بعض المبادرات الإيجابية، لا يزال العنف قضية تصعب معالجتها لأنه راسخ  في المجتمع ويعتبر في العادة مسألة عائلية خاصة. وقد أطلقت عليه بعض النساء </w:t>
      </w:r>
      <w:r w:rsidR="003626EB">
        <w:rPr>
          <w:rFonts w:hint="eastAsia"/>
          <w:rtl/>
        </w:rPr>
        <w:t>”</w:t>
      </w:r>
      <w:r>
        <w:rPr>
          <w:rFonts w:hint="cs"/>
          <w:rtl/>
        </w:rPr>
        <w:t>الجريمة الصامتة</w:t>
      </w:r>
      <w:r w:rsidR="003626EB">
        <w:rPr>
          <w:rFonts w:hint="eastAsia"/>
          <w:rtl/>
        </w:rPr>
        <w:t>“</w:t>
      </w:r>
      <w:r>
        <w:rPr>
          <w:rFonts w:hint="cs"/>
          <w:rtl/>
        </w:rPr>
        <w:t>. وغالباً ما ترتبط هذه المشكلة بإساءة استخدام الكحول والمؤثرات العقلية، وتعتبر في العادة مسألة عائلية بسبب المعتقدات الثقافية التي لا تزال يجري التمسك بها. وكانت هذه المسألة جزءاً من التدريب على الحساسية الجنسانية منذ عام 2005، وجرت زيادة تدعيمها أثناء اجتماع المرأة الذي يعقد مرة كل سنتين المعقود في عام 2006. وقد نفذ برنامج للتوعية بهذه المسألة على صعيد البلد بأسره احتفالاً باليوم العالمي للمرأة في عام 2007. وهذا البرنامج بداية سلسلة من البرامج والأنشطة الذي جرى التخطيط لها لإبراز قضايا العنف هذه القائمة على نوع الجنس، لا سيما بين النساء والفتيات، لكي تناقش علانية وللتوعية بها.</w:t>
      </w:r>
    </w:p>
    <w:p w:rsidR="009D126D" w:rsidRDefault="008A3EBE" w:rsidP="009D126D">
      <w:pPr>
        <w:rPr>
          <w:rFonts w:hint="cs"/>
          <w:sz w:val="32"/>
          <w:szCs w:val="32"/>
          <w:rtl/>
        </w:rPr>
      </w:pPr>
      <w:r>
        <w:rPr>
          <w:sz w:val="32"/>
          <w:szCs w:val="32"/>
          <w:rtl/>
        </w:rPr>
        <w:br w:type="page"/>
      </w:r>
    </w:p>
    <w:tbl>
      <w:tblPr>
        <w:tblStyle w:val="TableGrid"/>
        <w:bidiVisual/>
        <w:tblW w:w="0" w:type="auto"/>
        <w:jc w:val="center"/>
        <w:tblBorders>
          <w:insideH w:val="none" w:sz="0" w:space="0" w:color="auto"/>
        </w:tblBorders>
        <w:tblLook w:val="01E0" w:firstRow="1" w:lastRow="1" w:firstColumn="1" w:lastColumn="1" w:noHBand="0" w:noVBand="0"/>
      </w:tblPr>
      <w:tblGrid>
        <w:gridCol w:w="8856"/>
      </w:tblGrid>
      <w:tr w:rsidR="00A06C42">
        <w:trPr>
          <w:jc w:val="center"/>
        </w:trPr>
        <w:tc>
          <w:tcPr>
            <w:tcW w:w="8856" w:type="dxa"/>
          </w:tcPr>
          <w:p w:rsidR="00A06C42" w:rsidRPr="00A06C42" w:rsidRDefault="00A06C42" w:rsidP="00A06C42">
            <w:pPr>
              <w:pStyle w:val="SingleTxt"/>
              <w:rPr>
                <w:rFonts w:hint="cs"/>
                <w:b/>
                <w:bCs/>
                <w:rtl/>
              </w:rPr>
            </w:pPr>
            <w:r w:rsidRPr="00A06C42">
              <w:rPr>
                <w:rFonts w:cs="Traditional Arabic" w:hint="cs"/>
                <w:b/>
                <w:bCs/>
                <w:rtl/>
              </w:rPr>
              <w:t>الإطار 2: قضية المحكمة العليا رقم 2/06 ر ضد نيوتاو كابيول وفاغونا ساتوبا</w:t>
            </w:r>
          </w:p>
        </w:tc>
      </w:tr>
      <w:tr w:rsidR="00A06C42">
        <w:trPr>
          <w:jc w:val="center"/>
        </w:trPr>
        <w:tc>
          <w:tcPr>
            <w:tcW w:w="8856" w:type="dxa"/>
          </w:tcPr>
          <w:p w:rsidR="00A06C42" w:rsidRPr="00A06C42" w:rsidRDefault="00A06C42" w:rsidP="00A06C42">
            <w:pPr>
              <w:pStyle w:val="SingleTxt"/>
              <w:rPr>
                <w:rFonts w:cs="Traditional Arabic" w:hint="cs"/>
                <w:rtl/>
              </w:rPr>
            </w:pPr>
            <w:r w:rsidRPr="00A06C42">
              <w:rPr>
                <w:rFonts w:cs="Traditional Arabic" w:hint="cs"/>
                <w:rtl/>
              </w:rPr>
              <w:tab/>
              <w:t>في عام 2006، أبرزت قضية في المحكمة العليا الاعتداء والعنف اللذيْن غالباً ما تواجههما النساء والفتيات. وفي قضية سيتا كاتيا ضد نيوتاو كابيول وفاغونا ساتوبا</w:t>
            </w:r>
            <w:r w:rsidRPr="00A06C42">
              <w:rPr>
                <w:rFonts w:cs="Traditional Arabic"/>
                <w:vertAlign w:val="superscript"/>
                <w:rtl/>
              </w:rPr>
              <w:t>(</w:t>
            </w:r>
            <w:r>
              <w:rPr>
                <w:rStyle w:val="FootnoteReference"/>
                <w:rtl/>
              </w:rPr>
              <w:footnoteReference w:id="40"/>
            </w:r>
            <w:r w:rsidRPr="00A06C42">
              <w:rPr>
                <w:rFonts w:cs="Traditional Arabic"/>
                <w:vertAlign w:val="superscript"/>
                <w:rtl/>
              </w:rPr>
              <w:t>)</w:t>
            </w:r>
            <w:r w:rsidRPr="00A06C42">
              <w:rPr>
                <w:rFonts w:cs="Traditional Arabic" w:hint="cs"/>
                <w:rtl/>
              </w:rPr>
              <w:t>،</w:t>
            </w:r>
            <w:r>
              <w:rPr>
                <w:rFonts w:cs="Traditional Arabic" w:hint="cs"/>
                <w:rtl/>
              </w:rPr>
              <w:t xml:space="preserve"> </w:t>
            </w:r>
            <w:r w:rsidRPr="00A06C42">
              <w:rPr>
                <w:rFonts w:cs="Traditional Arabic" w:hint="cs"/>
                <w:rtl/>
              </w:rPr>
              <w:t>طلبت المدعية جبر الضرر الذي تعرضت له نتيجة لفصلها بطريقة غير قانونية من قبل الكابيول. وادعت المدعية أن فصلها كان نتيجة لرفضها ممارسة الجنس مع أمين الكابيول الذي كان رئيساً لها. وفي إصدار الحكم، قال رئيس القضاة:</w:t>
            </w:r>
          </w:p>
        </w:tc>
      </w:tr>
      <w:tr w:rsidR="009D126D">
        <w:trPr>
          <w:jc w:val="center"/>
        </w:trPr>
        <w:tc>
          <w:tcPr>
            <w:tcW w:w="8856" w:type="dxa"/>
          </w:tcPr>
          <w:p w:rsidR="009D126D" w:rsidRPr="00C84517" w:rsidRDefault="00A06C42" w:rsidP="00A06C42">
            <w:pPr>
              <w:pStyle w:val="SingleTxt"/>
              <w:rPr>
                <w:rFonts w:cs="Traditional Arabic" w:hint="cs"/>
                <w:sz w:val="28"/>
                <w:szCs w:val="28"/>
                <w:rtl/>
              </w:rPr>
            </w:pPr>
            <w:r>
              <w:rPr>
                <w:rFonts w:cs="Traditional Arabic"/>
                <w:rtl/>
              </w:rPr>
              <w:tab/>
            </w:r>
            <w:r>
              <w:rPr>
                <w:rFonts w:cs="Traditional Arabic" w:hint="cs"/>
                <w:rtl/>
              </w:rPr>
              <w:t>”</w:t>
            </w:r>
            <w:r w:rsidR="009D126D" w:rsidRPr="00A06C42">
              <w:rPr>
                <w:rFonts w:cs="Traditional Arabic" w:hint="cs"/>
                <w:rtl/>
              </w:rPr>
              <w:t>... أنا مقتنع أيضاً أن السبب الحقيقي لفصل المدعية هو رفضها المستمر الرضوخ للرغبات {الجنسية} وتهديدات المدعي عليه الثاني على الرغم من التهديد بالفصل... فضلاً عن ذلك، أخطأ الكابيول خطأً كبيراً في إخفاقه باتباع الإجراءات الصحيحة لفصل موظف. وقال رئيس الكابيول السابق إنهم ببساطة قبلوا مزاعم المدعي عليه الثانى. ونتيجة تجاهل حق المدعية الصارخ في جلسة استماع عادلة ... حتى</w:t>
            </w:r>
            <w:r>
              <w:rPr>
                <w:rFonts w:cs="Traditional Arabic" w:hint="cs"/>
                <w:rtl/>
              </w:rPr>
              <w:t xml:space="preserve"> عندما استأنفت القرار، نتيجة لم</w:t>
            </w:r>
            <w:r>
              <w:rPr>
                <w:rFonts w:cs="Traditional Arabic" w:hint="eastAsia"/>
                <w:rtl/>
              </w:rPr>
              <w:t> </w:t>
            </w:r>
            <w:r w:rsidR="009D126D" w:rsidRPr="00A06C42">
              <w:rPr>
                <w:rFonts w:cs="Traditional Arabic" w:hint="cs"/>
                <w:rtl/>
              </w:rPr>
              <w:t>يجر إنكارها، وقد قرر الفالي كابيول بصورة عشوائية تُبيّن بوضوح شديد عدم وجود نية على الإطلاق للنظر في ما قدمه مستئنف القضية. والمدعى عليهما مدانان لفصلهما الموظفة على نحو غير عادل ... ولذلك، أحكم لصالح المدعية على كلا المدعى عليهما لاعتدائهما على المدعية وفصلها بصورة غير قانونية</w:t>
            </w:r>
            <w:r w:rsidRPr="00A06C42">
              <w:rPr>
                <w:rFonts w:cs="Traditional Arabic"/>
                <w:vertAlign w:val="superscript"/>
                <w:rtl/>
              </w:rPr>
              <w:t>(</w:t>
            </w:r>
            <w:r>
              <w:rPr>
                <w:rStyle w:val="FootnoteReference"/>
                <w:rtl/>
              </w:rPr>
              <w:footnoteReference w:id="41"/>
            </w:r>
            <w:r w:rsidRPr="00A06C42">
              <w:rPr>
                <w:rFonts w:cs="Traditional Arabic"/>
                <w:vertAlign w:val="superscript"/>
                <w:rtl/>
              </w:rPr>
              <w:t>)</w:t>
            </w:r>
            <w:r>
              <w:rPr>
                <w:rFonts w:cs="Traditional Arabic" w:hint="eastAsia"/>
                <w:rtl/>
              </w:rPr>
              <w:t>“</w:t>
            </w:r>
            <w:r w:rsidR="009D126D" w:rsidRPr="00A06C42">
              <w:rPr>
                <w:rFonts w:cs="Traditional Arabic" w:hint="cs"/>
                <w:rtl/>
              </w:rPr>
              <w:t>.</w:t>
            </w:r>
          </w:p>
          <w:p w:rsidR="009D126D" w:rsidRDefault="009D126D" w:rsidP="00F75C65">
            <w:pPr>
              <w:rPr>
                <w:rFonts w:cs="Traditional Arabic" w:hint="cs"/>
                <w:sz w:val="32"/>
                <w:szCs w:val="32"/>
                <w:rtl/>
              </w:rPr>
            </w:pPr>
          </w:p>
        </w:tc>
      </w:tr>
    </w:tbl>
    <w:p w:rsidR="00A06C42" w:rsidRPr="00A06C42" w:rsidRDefault="00A06C42" w:rsidP="00A06C42">
      <w:pPr>
        <w:spacing w:line="120" w:lineRule="exact"/>
        <w:rPr>
          <w:rFonts w:hint="cs"/>
          <w:sz w:val="10"/>
          <w:szCs w:val="32"/>
          <w:rtl/>
        </w:rPr>
      </w:pPr>
    </w:p>
    <w:p w:rsidR="009D126D" w:rsidRDefault="00A06C42" w:rsidP="00A06C42">
      <w:pPr>
        <w:pStyle w:val="SingleTxt"/>
        <w:rPr>
          <w:rFonts w:hint="cs"/>
          <w:rtl/>
        </w:rPr>
      </w:pPr>
      <w:r>
        <w:rPr>
          <w:rFonts w:hint="cs"/>
          <w:rtl/>
        </w:rPr>
        <w:t>1-6</w:t>
      </w:r>
      <w:r>
        <w:rPr>
          <w:rFonts w:hint="cs"/>
          <w:rtl/>
        </w:rPr>
        <w:tab/>
      </w:r>
      <w:r w:rsidR="009D126D">
        <w:rPr>
          <w:rFonts w:hint="cs"/>
          <w:rtl/>
        </w:rPr>
        <w:t>لمعالجة مسألة التمييز ضد المرأة، بما في ذلك العنف ضد النساء والفتيات، اتخذت الحكومة المبادرات التالية:</w:t>
      </w:r>
    </w:p>
    <w:p w:rsidR="009D126D" w:rsidRDefault="00A06C42" w:rsidP="003626EB">
      <w:pPr>
        <w:pStyle w:val="SingleTxt"/>
        <w:rPr>
          <w:rFonts w:hint="cs"/>
          <w:rtl/>
        </w:rPr>
      </w:pPr>
      <w:r>
        <w:rPr>
          <w:rFonts w:hint="cs"/>
          <w:rtl/>
        </w:rPr>
        <w:tab/>
        <w:t>(أ)</w:t>
      </w:r>
      <w:r>
        <w:rPr>
          <w:rFonts w:hint="cs"/>
          <w:rtl/>
        </w:rPr>
        <w:tab/>
      </w:r>
      <w:r w:rsidR="009D126D">
        <w:rPr>
          <w:rFonts w:hint="cs"/>
          <w:rtl/>
        </w:rPr>
        <w:t xml:space="preserve">وضعت الشرطة في الآونة الأخيرة سياسة </w:t>
      </w:r>
      <w:r w:rsidR="003626EB">
        <w:rPr>
          <w:rFonts w:hint="eastAsia"/>
          <w:rtl/>
        </w:rPr>
        <w:t>”</w:t>
      </w:r>
      <w:r w:rsidR="003626EB">
        <w:rPr>
          <w:rFonts w:hint="cs"/>
          <w:rtl/>
        </w:rPr>
        <w:t>عدم إسقاط التهم</w:t>
      </w:r>
      <w:r w:rsidR="003626EB">
        <w:rPr>
          <w:rFonts w:hint="eastAsia"/>
          <w:rtl/>
        </w:rPr>
        <w:t>“</w:t>
      </w:r>
      <w:r w:rsidR="009D126D">
        <w:rPr>
          <w:rFonts w:hint="cs"/>
          <w:rtl/>
        </w:rPr>
        <w:t xml:space="preserve"> في قضايا العنف ضد المرأة، ومع أن هذه السياسة لم يجر إقرارها رسمياً، فإن رجال الشرطة يستخدمونها في عملهم؛</w:t>
      </w:r>
    </w:p>
    <w:p w:rsidR="009D126D" w:rsidRDefault="00A06C42" w:rsidP="00A06C42">
      <w:pPr>
        <w:pStyle w:val="SingleTxt"/>
        <w:rPr>
          <w:rFonts w:hint="cs"/>
          <w:rtl/>
        </w:rPr>
      </w:pPr>
      <w:r>
        <w:rPr>
          <w:rFonts w:hint="cs"/>
          <w:rtl/>
        </w:rPr>
        <w:tab/>
        <w:t>(</w:t>
      </w:r>
      <w:r w:rsidR="009D126D">
        <w:rPr>
          <w:rFonts w:hint="cs"/>
          <w:rtl/>
        </w:rPr>
        <w:t>ب</w:t>
      </w:r>
      <w:r>
        <w:rPr>
          <w:rFonts w:hint="cs"/>
          <w:rtl/>
        </w:rPr>
        <w:t>)</w:t>
      </w:r>
      <w:r w:rsidR="009D126D">
        <w:rPr>
          <w:rFonts w:hint="cs"/>
          <w:rtl/>
        </w:rPr>
        <w:tab/>
        <w:t>العمل من خلال حلقات التدريب والاجتماعات على زيادة الوعي بأن المسؤولية عن مكافحة العنف ضد النساء والأطفال مسؤولية تقع على عاتق الجميع. وقد شارك وزراء رئيسيون أيضاً في عملية التوعية في العاصمة، ومن المخطط توسيع البرنامج ليغطي الجزر الخارجية أيضاً؛</w:t>
      </w:r>
    </w:p>
    <w:p w:rsidR="009D126D" w:rsidRDefault="00A06C42" w:rsidP="00F93B21">
      <w:pPr>
        <w:pStyle w:val="SingleTxt"/>
        <w:rPr>
          <w:rFonts w:hint="cs"/>
          <w:rtl/>
        </w:rPr>
      </w:pPr>
      <w:r>
        <w:rPr>
          <w:rFonts w:hint="cs"/>
          <w:rtl/>
        </w:rPr>
        <w:tab/>
        <w:t>(ج)</w:t>
      </w:r>
      <w:r>
        <w:rPr>
          <w:rFonts w:hint="cs"/>
          <w:rtl/>
        </w:rPr>
        <w:tab/>
      </w:r>
      <w:r w:rsidR="009D126D">
        <w:rPr>
          <w:rFonts w:hint="cs"/>
          <w:rtl/>
        </w:rPr>
        <w:t xml:space="preserve">إدماج مراجعة قوانين معينة تمييزية، مثل قانون أراضي </w:t>
      </w:r>
      <w:r w:rsidR="00F93B21">
        <w:rPr>
          <w:rFonts w:hint="cs"/>
          <w:rtl/>
        </w:rPr>
        <w:t>أراضي السكان الأصليين</w:t>
      </w:r>
      <w:r w:rsidR="009D126D">
        <w:rPr>
          <w:rFonts w:hint="cs"/>
          <w:rtl/>
        </w:rPr>
        <w:t>، في خطة التنمية الوطنية الاستراتيجية المستدامة للفترة 2005-2015</w:t>
      </w:r>
      <w:r w:rsidRPr="00A06C42">
        <w:rPr>
          <w:vertAlign w:val="superscript"/>
          <w:rtl/>
        </w:rPr>
        <w:t>(</w:t>
      </w:r>
      <w:r>
        <w:rPr>
          <w:rStyle w:val="FootnoteReference"/>
          <w:rtl/>
        </w:rPr>
        <w:footnoteReference w:id="42"/>
      </w:r>
      <w:r w:rsidRPr="00A06C42">
        <w:rPr>
          <w:vertAlign w:val="superscript"/>
          <w:rtl/>
        </w:rPr>
        <w:t>)</w:t>
      </w:r>
      <w:r w:rsidR="009D126D">
        <w:rPr>
          <w:rFonts w:hint="cs"/>
          <w:rtl/>
        </w:rPr>
        <w:t>؛</w:t>
      </w:r>
    </w:p>
    <w:p w:rsidR="009D126D" w:rsidRDefault="00A06C42" w:rsidP="00A06C42">
      <w:pPr>
        <w:pStyle w:val="SingleTxt"/>
        <w:rPr>
          <w:rFonts w:hint="cs"/>
          <w:rtl/>
        </w:rPr>
      </w:pPr>
      <w:r>
        <w:rPr>
          <w:rFonts w:hint="cs"/>
          <w:rtl/>
        </w:rPr>
        <w:tab/>
        <w:t>(د)</w:t>
      </w:r>
      <w:r>
        <w:rPr>
          <w:rFonts w:hint="cs"/>
          <w:rtl/>
        </w:rPr>
        <w:tab/>
      </w:r>
      <w:r w:rsidR="009D126D">
        <w:rPr>
          <w:rFonts w:hint="cs"/>
          <w:rtl/>
        </w:rPr>
        <w:t>إجراء دراسة استقصائية وطنية لتحديد مدى ونطاق مشكلة العنف القائم على نوع الجنس. ولا توجد حتى الآن إحصاءات بشأن هذه المشكلة لدى معظم المؤسسات التي تقدم خدمات للضحايا، وإلى حد ما لمرتكبي العنف؛</w:t>
      </w:r>
    </w:p>
    <w:p w:rsidR="009D126D" w:rsidRDefault="008A3EBE" w:rsidP="008A3EBE">
      <w:pPr>
        <w:pStyle w:val="SingleTxt"/>
        <w:rPr>
          <w:rFonts w:hint="cs"/>
          <w:rtl/>
        </w:rPr>
      </w:pPr>
      <w:r>
        <w:rPr>
          <w:rFonts w:hint="cs"/>
          <w:rtl/>
        </w:rPr>
        <w:tab/>
        <w:t>(هـ)</w:t>
      </w:r>
      <w:r>
        <w:rPr>
          <w:rFonts w:hint="cs"/>
          <w:rtl/>
        </w:rPr>
        <w:tab/>
      </w:r>
      <w:r w:rsidR="009D126D">
        <w:rPr>
          <w:rFonts w:hint="cs"/>
          <w:rtl/>
        </w:rPr>
        <w:t>بناء قدرة العاملين في المؤسسات التي تعمل في مجال الصحة والشرطة والقضاء، إلخ. التي تعالج مباشرة العنف القائم على نوع الجنس؛</w:t>
      </w:r>
    </w:p>
    <w:p w:rsidR="009D126D" w:rsidRPr="00DF6268" w:rsidRDefault="008A3EBE" w:rsidP="008A3EBE">
      <w:pPr>
        <w:pStyle w:val="SingleTxt"/>
        <w:rPr>
          <w:rFonts w:hint="cs"/>
          <w:rtl/>
        </w:rPr>
      </w:pPr>
      <w:r>
        <w:rPr>
          <w:rFonts w:hint="cs"/>
          <w:rtl/>
        </w:rPr>
        <w:tab/>
        <w:t>(و)</w:t>
      </w:r>
      <w:r>
        <w:rPr>
          <w:rFonts w:hint="cs"/>
          <w:rtl/>
        </w:rPr>
        <w:tab/>
      </w:r>
      <w:r w:rsidR="009D126D" w:rsidRPr="00DF6268">
        <w:rPr>
          <w:rFonts w:hint="cs"/>
          <w:rtl/>
        </w:rPr>
        <w:t>إشراك الرجال والأولاد، بوصفهم شركاء</w:t>
      </w:r>
      <w:r w:rsidR="009D126D">
        <w:rPr>
          <w:rFonts w:hint="cs"/>
          <w:rtl/>
        </w:rPr>
        <w:t>،</w:t>
      </w:r>
      <w:r w:rsidR="009D126D" w:rsidRPr="00DF6268">
        <w:rPr>
          <w:rFonts w:hint="cs"/>
          <w:rtl/>
        </w:rPr>
        <w:t xml:space="preserve"> </w:t>
      </w:r>
      <w:r w:rsidR="009D126D">
        <w:rPr>
          <w:rFonts w:hint="cs"/>
          <w:rtl/>
        </w:rPr>
        <w:t xml:space="preserve">في القضاء </w:t>
      </w:r>
      <w:r w:rsidR="009D126D" w:rsidRPr="00DF6268">
        <w:rPr>
          <w:rFonts w:hint="cs"/>
          <w:rtl/>
        </w:rPr>
        <w:t>على العنف القائم على نوع الجنس مهم للغاية.</w:t>
      </w:r>
    </w:p>
    <w:p w:rsidR="008D3C6C" w:rsidRPr="008D3C6C" w:rsidRDefault="008D3C6C" w:rsidP="008D3C6C">
      <w:pPr>
        <w:pStyle w:val="SingleTxt"/>
        <w:spacing w:after="0" w:line="120" w:lineRule="exact"/>
        <w:rPr>
          <w:rFonts w:hint="cs"/>
          <w:sz w:val="10"/>
          <w:rtl/>
        </w:rPr>
      </w:pPr>
    </w:p>
    <w:p w:rsidR="001A2E7E" w:rsidRDefault="008D3C6C" w:rsidP="008D3C6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المادة 2</w:t>
      </w:r>
    </w:p>
    <w:tbl>
      <w:tblPr>
        <w:tblStyle w:val="TableGrid"/>
        <w:bidiVisual/>
        <w:tblW w:w="0" w:type="auto"/>
        <w:jc w:val="center"/>
        <w:tblInd w:w="198" w:type="dxa"/>
        <w:tblBorders>
          <w:insideH w:val="none" w:sz="0" w:space="0" w:color="auto"/>
        </w:tblBorders>
        <w:tblLook w:val="01E0" w:firstRow="1" w:lastRow="1" w:firstColumn="1" w:lastColumn="1" w:noHBand="0" w:noVBand="0"/>
      </w:tblPr>
      <w:tblGrid>
        <w:gridCol w:w="9868"/>
      </w:tblGrid>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 يلي:</w:t>
            </w:r>
          </w:p>
        </w:tc>
      </w:tr>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(أ)</w:t>
            </w:r>
            <w:r w:rsidRPr="008D3C6C">
              <w:rPr>
                <w:rFonts w:cs="Traditional Arabic" w:hint="cs"/>
                <w:rtl/>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tc>
      </w:tr>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(ب)</w:t>
            </w:r>
            <w:r w:rsidRPr="008D3C6C">
              <w:rPr>
                <w:rFonts w:cs="Traditional Arabic" w:hint="cs"/>
                <w:rtl/>
              </w:rPr>
              <w:tab/>
              <w:t>اتخاذ المناسب من التدابير التشريعية وغيرها، بما في ذلك ما يقتضيه الأمر من جزاءات، لحظر كل تمييز ضد المرأة؛</w:t>
            </w:r>
          </w:p>
        </w:tc>
      </w:tr>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(ج)</w:t>
            </w:r>
            <w:r w:rsidRPr="008D3C6C">
              <w:rPr>
                <w:rFonts w:cs="Traditional Arabic" w:hint="cs"/>
                <w:rtl/>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tc>
      </w:tr>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(د)</w:t>
            </w:r>
            <w:r w:rsidRPr="008D3C6C">
              <w:rPr>
                <w:rFonts w:cs="Traditional Arabic" w:hint="cs"/>
                <w:rtl/>
              </w:rPr>
              <w:tab/>
              <w:t>الامتناع عن الاضطلاع بأي عمل أو ممارسة تمييزية ضد المرأة، وكفالة تصرف السلطات والمؤسسات العامة بما يتفق وهذا الالتزام؛</w:t>
            </w:r>
          </w:p>
        </w:tc>
      </w:tr>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(هـ)</w:t>
            </w:r>
            <w:r w:rsidRPr="008D3C6C">
              <w:rPr>
                <w:rFonts w:cs="Traditional Arabic" w:hint="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tc>
      </w:tr>
      <w:tr w:rsidR="008D3C6C" w:rsidRPr="008D3C6C">
        <w:trPr>
          <w:jc w:val="center"/>
        </w:trPr>
        <w:tc>
          <w:tcPr>
            <w:tcW w:w="9868" w:type="dxa"/>
          </w:tcPr>
          <w:p w:rsidR="008D3C6C" w:rsidRPr="008D3C6C" w:rsidRDefault="008D3C6C" w:rsidP="008D3C6C">
            <w:pPr>
              <w:pStyle w:val="SingleTxt"/>
              <w:rPr>
                <w:rFonts w:cs="Traditional Arabic" w:hint="cs"/>
                <w:rtl/>
              </w:rPr>
            </w:pPr>
            <w:r w:rsidRPr="008D3C6C">
              <w:rPr>
                <w:rFonts w:cs="Traditional Arabic" w:hint="cs"/>
                <w:rtl/>
              </w:rPr>
              <w:tab/>
              <w:t>(و)</w:t>
            </w:r>
            <w:r w:rsidRPr="008D3C6C">
              <w:rPr>
                <w:rFonts w:cs="Traditional Arabic" w:hint="cs"/>
                <w:rtl/>
              </w:rPr>
              <w:tab/>
              <w:t>اتخاذ جميع التدابير المناسبة، بما في ذلك التشريع، لتعديل أو إلغاء القوانين والأنظمة والأعراف والممارسات القائمة التي تشكل تمييزاً ضد المرأة؛</w:t>
            </w:r>
          </w:p>
        </w:tc>
      </w:tr>
      <w:tr w:rsidR="008D3C6C" w:rsidRPr="008D3C6C">
        <w:trPr>
          <w:jc w:val="center"/>
        </w:trPr>
        <w:tc>
          <w:tcPr>
            <w:tcW w:w="9868" w:type="dxa"/>
          </w:tcPr>
          <w:p w:rsidR="008D3C6C" w:rsidRPr="008D3C6C" w:rsidRDefault="00EC6374" w:rsidP="008D3C6C">
            <w:pPr>
              <w:pStyle w:val="SingleTxt"/>
              <w:rPr>
                <w:rFonts w:cs="Traditional Arabic" w:hint="cs"/>
                <w:rtl/>
              </w:rPr>
            </w:pPr>
            <w:r w:rsidRPr="008D3C6C">
              <w:rPr>
                <w:rFonts w:cs="Traditional Arabic" w:hint="cs"/>
                <w:rtl/>
              </w:rPr>
              <w:tab/>
              <w:t>(ز)</w:t>
            </w:r>
            <w:r w:rsidRPr="008D3C6C">
              <w:rPr>
                <w:rFonts w:cs="Traditional Arabic" w:hint="cs"/>
                <w:rtl/>
              </w:rPr>
              <w:tab/>
              <w:t>إلغاء جميع أحكام قوانين العقوبات الوطنية التي تشكل تمييزاً ضد المرأة.</w:t>
            </w:r>
          </w:p>
        </w:tc>
      </w:tr>
    </w:tbl>
    <w:p w:rsidR="00EC6374" w:rsidRPr="00EC6374" w:rsidRDefault="00EC6374" w:rsidP="00EC6374">
      <w:pPr>
        <w:pStyle w:val="SingleTxt"/>
        <w:spacing w:after="0" w:line="120" w:lineRule="exact"/>
        <w:rPr>
          <w:rFonts w:hint="cs"/>
          <w:sz w:val="10"/>
          <w:rtl/>
        </w:rPr>
      </w:pPr>
    </w:p>
    <w:p w:rsidR="00EC6374" w:rsidRPr="00EC6374" w:rsidRDefault="00EC6374" w:rsidP="00EC63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C6374">
        <w:rPr>
          <w:rFonts w:hint="cs"/>
          <w:rtl/>
        </w:rPr>
        <w:t>الإطار الدستوري والقانوني</w:t>
      </w:r>
    </w:p>
    <w:p w:rsidR="00EC6374" w:rsidRDefault="00EC6374" w:rsidP="00EC6374">
      <w:pPr>
        <w:pStyle w:val="SingleTxt"/>
        <w:rPr>
          <w:rFonts w:hint="cs"/>
          <w:rtl/>
        </w:rPr>
      </w:pPr>
      <w:r>
        <w:rPr>
          <w:rFonts w:hint="cs"/>
          <w:rtl/>
        </w:rPr>
        <w:t>2-1</w:t>
      </w:r>
      <w:r>
        <w:rPr>
          <w:rFonts w:hint="cs"/>
          <w:rtl/>
        </w:rPr>
        <w:tab/>
      </w:r>
      <w:r w:rsidRPr="00EC6374">
        <w:rPr>
          <w:rFonts w:hint="cs"/>
          <w:rtl/>
        </w:rPr>
        <w:t>يوفر الدستور للمرأة الحرية أو الحقوق في الحياة والحرية الشخصية والأمن الشخصي وحماية القانون وحرية المعتقد وحرية التعبير وحرية التجمع وتكوين الجمعيات وحماية حرمة بيتها وممتلكاتها الأخرى، وحمايتها من الحرمان من الممتلكات على نحو غير عادل</w:t>
      </w:r>
      <w:r w:rsidRPr="00EC6374">
        <w:rPr>
          <w:vertAlign w:val="superscript"/>
          <w:rtl/>
        </w:rPr>
        <w:t>(</w:t>
      </w:r>
      <w:r>
        <w:rPr>
          <w:rStyle w:val="FootnoteReference"/>
          <w:rtl/>
        </w:rPr>
        <w:footnoteReference w:id="43"/>
      </w:r>
      <w:r w:rsidRPr="00EC6374">
        <w:rPr>
          <w:vertAlign w:val="superscript"/>
          <w:rtl/>
        </w:rPr>
        <w:t>)</w:t>
      </w:r>
      <w:r w:rsidRPr="00EC6374">
        <w:rPr>
          <w:rFonts w:hint="cs"/>
          <w:rtl/>
        </w:rPr>
        <w:t>.</w:t>
      </w:r>
    </w:p>
    <w:p w:rsidR="00EC6374" w:rsidRPr="00EC6374" w:rsidRDefault="00EC6374" w:rsidP="00EC6374">
      <w:pPr>
        <w:pStyle w:val="SingleTxt"/>
        <w:spacing w:after="0" w:line="120" w:lineRule="exact"/>
        <w:rPr>
          <w:rFonts w:hint="cs"/>
          <w:sz w:val="10"/>
          <w:rtl/>
        </w:rPr>
      </w:pPr>
    </w:p>
    <w:p w:rsidR="00EC6374" w:rsidRDefault="00EC6374" w:rsidP="00EC637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Pr>
          <w:rFonts w:hint="cs"/>
          <w:rtl/>
        </w:rPr>
        <w:tab/>
      </w:r>
      <w:r>
        <w:rPr>
          <w:rFonts w:hint="cs"/>
          <w:rtl/>
        </w:rPr>
        <w:tab/>
      </w:r>
      <w:r w:rsidRPr="00C84517">
        <w:rPr>
          <w:rFonts w:hint="cs"/>
          <w:rtl/>
        </w:rPr>
        <w:t>الإطار 3: لائحة الحقوق</w:t>
      </w:r>
    </w:p>
    <w:p w:rsidR="00EC6374" w:rsidRPr="00EC6374" w:rsidRDefault="00EC6374" w:rsidP="00EC6374">
      <w:pPr>
        <w:rPr>
          <w:rFonts w:hint="cs"/>
          <w:rtl/>
        </w:rPr>
      </w:pPr>
    </w:p>
    <w:tbl>
      <w:tblPr>
        <w:tblStyle w:val="TableGrid"/>
        <w:bidiVisual/>
        <w:tblW w:w="9641" w:type="dxa"/>
        <w:jc w:val="center"/>
        <w:tblInd w:w="-4046" w:type="dxa"/>
        <w:tblBorders>
          <w:insideH w:val="none" w:sz="0" w:space="0" w:color="auto"/>
        </w:tblBorders>
        <w:tblLook w:val="01E0" w:firstRow="1" w:lastRow="1" w:firstColumn="1" w:lastColumn="1" w:noHBand="0" w:noVBand="0"/>
      </w:tblPr>
      <w:tblGrid>
        <w:gridCol w:w="9641"/>
      </w:tblGrid>
      <w:tr w:rsidR="00EC6374" w:rsidRPr="00EC6374">
        <w:trPr>
          <w:jc w:val="center"/>
        </w:trPr>
        <w:tc>
          <w:tcPr>
            <w:tcW w:w="9641" w:type="dxa"/>
          </w:tcPr>
          <w:p w:rsidR="00EC6374" w:rsidRPr="00EC6374" w:rsidRDefault="00EC6374" w:rsidP="00EC6374">
            <w:pPr>
              <w:pStyle w:val="SingleTxt"/>
              <w:rPr>
                <w:rFonts w:cs="Traditional Arabic" w:hint="cs"/>
                <w:rtl/>
              </w:rPr>
            </w:pPr>
            <w:r w:rsidRPr="00EC6374">
              <w:rPr>
                <w:rFonts w:cs="Traditional Arabic" w:hint="cs"/>
                <w:rtl/>
              </w:rPr>
              <w:t>11 -</w:t>
            </w:r>
            <w:r>
              <w:rPr>
                <w:rFonts w:cs="Traditional Arabic" w:hint="cs"/>
                <w:rtl/>
              </w:rPr>
              <w:t xml:space="preserve"> </w:t>
            </w:r>
            <w:r w:rsidRPr="00EC6374">
              <w:rPr>
                <w:rFonts w:cs="Traditional Arabic" w:hint="cs"/>
                <w:rtl/>
              </w:rPr>
              <w:t>حقوق الإنسان والحريات الأساسية</w:t>
            </w:r>
          </w:p>
        </w:tc>
      </w:tr>
      <w:tr w:rsidR="00EC6374" w:rsidRPr="00EC6374">
        <w:trPr>
          <w:jc w:val="center"/>
        </w:trPr>
        <w:tc>
          <w:tcPr>
            <w:tcW w:w="9641" w:type="dxa"/>
          </w:tcPr>
          <w:p w:rsidR="00EC6374" w:rsidRPr="00EC6374" w:rsidRDefault="00EC6374" w:rsidP="00EC6374">
            <w:pPr>
              <w:pStyle w:val="SingleTxt"/>
              <w:rPr>
                <w:rFonts w:cs="Traditional Arabic" w:hint="cs"/>
                <w:rtl/>
              </w:rPr>
            </w:pPr>
            <w:r>
              <w:rPr>
                <w:rFonts w:cs="Traditional Arabic"/>
                <w:rtl/>
              </w:rPr>
              <w:tab/>
            </w:r>
            <w:r w:rsidRPr="00EC6374">
              <w:rPr>
                <w:rFonts w:cs="Traditional Arabic" w:hint="eastAsia"/>
                <w:rtl/>
              </w:rPr>
              <w:t>”</w:t>
            </w:r>
            <w:r w:rsidRPr="00EC6374">
              <w:rPr>
                <w:rFonts w:cs="Traditional Arabic" w:hint="cs"/>
                <w:rtl/>
              </w:rPr>
              <w:t>(1) من حق كل شخص في توفالو، بغض النظر عن عرقه أو مكان ولادته أو آرائه السياسية أو لونه أو معتقداته الدينية أو عدمها أو نوع جنسه، أن يتمتع بالحقوق والحريات الأساسية التالية...</w:t>
            </w:r>
            <w:r w:rsidR="00555702">
              <w:rPr>
                <w:rFonts w:cs="Traditional Arabic" w:hint="eastAsia"/>
                <w:rtl/>
              </w:rPr>
              <w:t>“</w:t>
            </w:r>
          </w:p>
        </w:tc>
      </w:tr>
      <w:tr w:rsidR="00EC6374" w:rsidRPr="00EC6374">
        <w:trPr>
          <w:jc w:val="center"/>
        </w:trPr>
        <w:tc>
          <w:tcPr>
            <w:tcW w:w="9641" w:type="dxa"/>
          </w:tcPr>
          <w:p w:rsidR="00EC6374" w:rsidRPr="00EC6374" w:rsidRDefault="00EC6374" w:rsidP="00EC6374">
            <w:pPr>
              <w:pStyle w:val="SingleTxt"/>
              <w:rPr>
                <w:rFonts w:cs="Traditional Arabic" w:hint="cs"/>
                <w:rtl/>
              </w:rPr>
            </w:pPr>
            <w:r>
              <w:rPr>
                <w:rFonts w:cs="Traditional Arabic"/>
                <w:rtl/>
              </w:rPr>
              <w:tab/>
            </w:r>
            <w:r w:rsidRPr="00EC6374">
              <w:rPr>
                <w:rFonts w:cs="Traditional Arabic" w:hint="cs"/>
                <w:rtl/>
              </w:rPr>
              <w:t>بينما يوفر الفرع 11 من الدستور الإطار القانوني لمناهضة التمييز، فإنه لا يطبق عملياً. ويعترف الفرع 11 بالحق في عدم الحرمان من الحياة والحرية الشخصية والأمن الشخصي، وبالحق في التمتع بحماية القانون وحرية المعتقد وحرية التعبير وحرية التجمع وتكوين الجمعيات، وحماية حرمة البيت والممتلكات الأخرى، والحماية من الحرمان من الممتلكات على نحو غير عادل.</w:t>
            </w:r>
          </w:p>
        </w:tc>
      </w:tr>
      <w:tr w:rsidR="00EC6374" w:rsidRPr="00EC6374">
        <w:trPr>
          <w:jc w:val="center"/>
        </w:trPr>
        <w:tc>
          <w:tcPr>
            <w:tcW w:w="9641" w:type="dxa"/>
          </w:tcPr>
          <w:p w:rsidR="00EC6374" w:rsidRDefault="00EC6374" w:rsidP="00EC6374">
            <w:pPr>
              <w:pStyle w:val="SingleTxt"/>
              <w:rPr>
                <w:rFonts w:cs="Traditional Arabic" w:hint="cs"/>
                <w:rtl/>
              </w:rPr>
            </w:pPr>
            <w:r>
              <w:rPr>
                <w:rFonts w:cs="Traditional Arabic"/>
                <w:rtl/>
              </w:rPr>
              <w:tab/>
            </w:r>
            <w:r w:rsidRPr="00EC6374">
              <w:rPr>
                <w:rFonts w:cs="Traditional Arabic" w:hint="cs"/>
                <w:rtl/>
              </w:rPr>
              <w:t>إلا أن الفرع 11 (2) ينص على أنه لا تجوز ممارسة هذه الحقوق والحريات إلا</w:t>
            </w:r>
            <w:r>
              <w:rPr>
                <w:rFonts w:cs="Traditional Arabic" w:hint="eastAsia"/>
                <w:rtl/>
              </w:rPr>
              <w:t> </w:t>
            </w:r>
            <w:r w:rsidRPr="00EC6374">
              <w:rPr>
                <w:rFonts w:cs="Traditional Arabic" w:hint="cs"/>
                <w:rtl/>
              </w:rPr>
              <w:t>مع احترام حريات الآخرين وحقوقهم، ومراعاة المصلحة الوطنية، وقبول واحترام قيم وثقافة توفالو. وفي مجتمع توفالو. يخضع التمتع بهذه الحقوق والحريات لقيود</w:t>
            </w:r>
            <w:r w:rsidRPr="00EC6374">
              <w:rPr>
                <w:rFonts w:cs="Traditional Arabic"/>
                <w:vertAlign w:val="superscript"/>
                <w:rtl/>
              </w:rPr>
              <w:t>(</w:t>
            </w:r>
            <w:r w:rsidRPr="00EC6374">
              <w:rPr>
                <w:rFonts w:cs="Traditional Arabic"/>
                <w:vertAlign w:val="superscript"/>
                <w:rtl/>
              </w:rPr>
              <w:footnoteReference w:id="44"/>
            </w:r>
            <w:r w:rsidRPr="00EC6374">
              <w:rPr>
                <w:rFonts w:cs="Traditional Arabic"/>
                <w:vertAlign w:val="superscript"/>
                <w:rtl/>
              </w:rPr>
              <w:t>)</w:t>
            </w:r>
            <w:r w:rsidRPr="00EC6374">
              <w:rPr>
                <w:rFonts w:cs="Traditional Arabic" w:hint="cs"/>
                <w:rtl/>
              </w:rPr>
              <w:t>، إما بسبب المصلحة الوطنية أو بسبب قيم وثقافة توفالو، وأهمية هذا الشرط، الذي يقيد هذه الحقوق والحريات، مشار إليها على وجه التحديد في الفرع 11 (3).</w:t>
            </w:r>
          </w:p>
          <w:p w:rsidR="00EC6374" w:rsidRPr="00EC6374" w:rsidRDefault="00EC6374" w:rsidP="00EC6374">
            <w:pPr>
              <w:pStyle w:val="SingleTxt"/>
              <w:rPr>
                <w:rFonts w:cs="Traditional Arabic" w:hint="cs"/>
                <w:rtl/>
              </w:rPr>
            </w:pPr>
          </w:p>
        </w:tc>
      </w:tr>
    </w:tbl>
    <w:p w:rsidR="00EC6374" w:rsidRDefault="00EC6374" w:rsidP="00EC6374">
      <w:pPr>
        <w:pStyle w:val="SingleTxt"/>
        <w:rPr>
          <w:rFonts w:hint="cs"/>
          <w:rtl/>
        </w:rPr>
      </w:pPr>
    </w:p>
    <w:p w:rsidR="00F75C65" w:rsidRPr="00EC6374" w:rsidRDefault="00EC6374" w:rsidP="003626EB">
      <w:pPr>
        <w:pStyle w:val="SingleTxt"/>
        <w:rPr>
          <w:rFonts w:hint="cs"/>
          <w:rtl/>
        </w:rPr>
      </w:pPr>
      <w:r w:rsidRPr="00EC6374">
        <w:rPr>
          <w:rFonts w:hint="cs"/>
          <w:rtl/>
        </w:rPr>
        <w:t>2-2</w:t>
      </w:r>
      <w:r w:rsidRPr="00EC6374">
        <w:rPr>
          <w:rFonts w:hint="cs"/>
          <w:rtl/>
        </w:rPr>
        <w:tab/>
      </w:r>
      <w:r w:rsidR="00F75C65" w:rsidRPr="00EC6374">
        <w:rPr>
          <w:rFonts w:hint="cs"/>
          <w:rtl/>
        </w:rPr>
        <w:t>يعرف الفرع 22 من الدستور عدم التمييز بأنه عدم معاملة الأشخاص المختلفين بطرق مختلفة لأسباب تعزى كلياً أو بصورة رئيسية إلى اختلاف عرقهم أو مكان ولادتهم أو آرائهم السياسية أو لونهم أو معتقداتهم الدينية أو عدمها، بحيث لا يعامل شخص ما لسبب ما معاملة أفضل أو أسوأ من م</w:t>
      </w:r>
      <w:r w:rsidR="003626EB">
        <w:rPr>
          <w:rFonts w:hint="cs"/>
          <w:rtl/>
        </w:rPr>
        <w:t xml:space="preserve">عاملة شخص آخر. ويلاحظ أن عبارة </w:t>
      </w:r>
      <w:r w:rsidR="003626EB">
        <w:rPr>
          <w:rFonts w:hint="eastAsia"/>
          <w:rtl/>
        </w:rPr>
        <w:t>”</w:t>
      </w:r>
      <w:r w:rsidR="00F75C65" w:rsidRPr="00EC6374">
        <w:rPr>
          <w:rFonts w:hint="cs"/>
          <w:rtl/>
        </w:rPr>
        <w:t>نوع الجنس</w:t>
      </w:r>
      <w:r w:rsidR="003626EB">
        <w:rPr>
          <w:rFonts w:hint="eastAsia"/>
          <w:rtl/>
        </w:rPr>
        <w:t>“</w:t>
      </w:r>
      <w:r w:rsidR="003626EB">
        <w:rPr>
          <w:rFonts w:hint="cs"/>
          <w:rtl/>
        </w:rPr>
        <w:t xml:space="preserve"> لم</w:t>
      </w:r>
      <w:r w:rsidR="003626EB">
        <w:rPr>
          <w:rFonts w:hint="eastAsia"/>
          <w:rtl/>
        </w:rPr>
        <w:t> </w:t>
      </w:r>
      <w:r w:rsidR="00F75C65" w:rsidRPr="00EC6374">
        <w:rPr>
          <w:rFonts w:hint="cs"/>
          <w:rtl/>
        </w:rPr>
        <w:t>تذكر في الفرع 27 (1). ووفقاً لما جاء في فتوى المحكمة العليا (تبيولولو ضد بو والمدعي العام، (عام 2005) في قضية الاستئناف رقم 17/03 (لم يبلغ عنها التي عرضت على المحكمة العليا)،</w:t>
      </w:r>
    </w:p>
    <w:p w:rsidR="00EC6374" w:rsidRPr="00EC6374" w:rsidRDefault="00EC6374" w:rsidP="00EC6374">
      <w:pPr>
        <w:pStyle w:val="SingleTxt"/>
        <w:rPr>
          <w:rFonts w:hint="cs"/>
          <w:rtl/>
        </w:rPr>
      </w:pPr>
    </w:p>
    <w:p w:rsidR="00EC6374" w:rsidRPr="00EC6374" w:rsidRDefault="00F3241C" w:rsidP="00F3241C">
      <w:pPr>
        <w:pStyle w:val="SingleTxt"/>
        <w:ind w:left="1930" w:hanging="663"/>
        <w:rPr>
          <w:rFonts w:hint="cs"/>
          <w:rtl/>
        </w:rPr>
      </w:pPr>
      <w:r>
        <w:rPr>
          <w:rFonts w:hint="cs"/>
          <w:rtl/>
        </w:rPr>
        <w:tab/>
      </w:r>
      <w:r w:rsidR="00EC6374">
        <w:rPr>
          <w:rFonts w:hint="cs"/>
          <w:rtl/>
        </w:rPr>
        <w:tab/>
      </w:r>
      <w:r w:rsidR="00EC6374">
        <w:rPr>
          <w:rFonts w:hint="eastAsia"/>
          <w:rtl/>
        </w:rPr>
        <w:t>”</w:t>
      </w:r>
      <w:r w:rsidR="00EC6374" w:rsidRPr="00EC6374">
        <w:rPr>
          <w:rFonts w:hint="cs"/>
          <w:rtl/>
        </w:rPr>
        <w:t>من حق كل شخص، مهما كان نوع جنسه، أن يتمتع بالحريات الدستورية، بما</w:t>
      </w:r>
      <w:r w:rsidR="003626EB">
        <w:rPr>
          <w:rFonts w:hint="eastAsia"/>
          <w:rtl/>
        </w:rPr>
        <w:t> </w:t>
      </w:r>
      <w:r w:rsidR="00EC6374" w:rsidRPr="00EC6374">
        <w:rPr>
          <w:rFonts w:hint="cs"/>
          <w:rtl/>
        </w:rPr>
        <w:t>فيها عدم التمييز ضده، ولكن بموجب تعريف التمييز في الفرع 27، المعاملة غير المتساوية لشخص م</w:t>
      </w:r>
      <w:r w:rsidR="00EC6374">
        <w:rPr>
          <w:rFonts w:hint="cs"/>
          <w:rtl/>
        </w:rPr>
        <w:t>ا بسبب نوع جنسه لا تشكل تمييزاً</w:t>
      </w:r>
      <w:r w:rsidR="00EC6374">
        <w:rPr>
          <w:rFonts w:hint="eastAsia"/>
          <w:rtl/>
        </w:rPr>
        <w:t>“</w:t>
      </w:r>
      <w:r w:rsidR="00EC6374" w:rsidRPr="00EC6374">
        <w:rPr>
          <w:rFonts w:hint="cs"/>
          <w:rtl/>
        </w:rPr>
        <w:t xml:space="preserve">. </w:t>
      </w:r>
    </w:p>
    <w:p w:rsidR="00EC6374" w:rsidRPr="00EC6374" w:rsidRDefault="00EC6374" w:rsidP="00EC6374">
      <w:pPr>
        <w:pStyle w:val="SingleTxt"/>
        <w:spacing w:after="0" w:line="120" w:lineRule="exact"/>
        <w:rPr>
          <w:rFonts w:hint="cs"/>
          <w:b/>
          <w:bCs/>
          <w:sz w:val="10"/>
          <w:rtl/>
        </w:rPr>
      </w:pPr>
    </w:p>
    <w:p w:rsidR="00EC6374" w:rsidRPr="00EC6374" w:rsidRDefault="00EC6374" w:rsidP="00F93B2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C6374">
        <w:rPr>
          <w:rFonts w:hint="cs"/>
          <w:rtl/>
        </w:rPr>
        <w:t xml:space="preserve">قانون أراضي </w:t>
      </w:r>
      <w:r w:rsidR="00F93B21">
        <w:rPr>
          <w:rFonts w:hint="cs"/>
          <w:rtl/>
        </w:rPr>
        <w:t>السكان الأصليين</w:t>
      </w:r>
    </w:p>
    <w:p w:rsidR="00EC6374" w:rsidRDefault="00EC6374" w:rsidP="00F93B21">
      <w:pPr>
        <w:pStyle w:val="SingleTxt"/>
        <w:rPr>
          <w:rFonts w:hint="cs"/>
          <w:rtl/>
        </w:rPr>
      </w:pPr>
      <w:r>
        <w:rPr>
          <w:rFonts w:hint="cs"/>
          <w:rtl/>
        </w:rPr>
        <w:t>2-3</w:t>
      </w:r>
      <w:r>
        <w:rPr>
          <w:rFonts w:hint="cs"/>
          <w:rtl/>
        </w:rPr>
        <w:tab/>
      </w:r>
      <w:r w:rsidRPr="00EC6374">
        <w:rPr>
          <w:rFonts w:hint="cs"/>
          <w:rtl/>
        </w:rPr>
        <w:t xml:space="preserve">يعتز مواطنو توفالو بعاداتهم وتقاليدهم. وطريقة تعامل الناس بعضهم مع بعض وطريقة نظرهم لمختلف النظم الاجتماعية والاقتصادية والمنظمات السياسية، التي أدخلت إلى البلد وطورت فيه، تقوم إلى حد كبير على عادات وتقاليد توفالو. وكثيراً ما تستمد أشكال التنظيم الاجتماعي السياسي هذه سلطاتها وشرعيتها من العادات والتقاليد. ولا تزال هذه الممارسات مدمجة في نظم الحكم التي أدخلت. إلا أن هناك بعض الممارسات المتأصلة في العادات والتقاليد التي تحيد عن قواعد ومعايير الحكم الدولية اللازمة للقضاء على التمييز </w:t>
      </w:r>
      <w:r w:rsidR="00F93B21">
        <w:rPr>
          <w:rFonts w:hint="cs"/>
          <w:rtl/>
        </w:rPr>
        <w:t>الجنساني</w:t>
      </w:r>
      <w:r w:rsidRPr="00EC6374">
        <w:rPr>
          <w:rFonts w:hint="cs"/>
          <w:rtl/>
        </w:rPr>
        <w:t>.</w:t>
      </w:r>
    </w:p>
    <w:p w:rsidR="00EC6374" w:rsidRDefault="00EC6374" w:rsidP="00F93B21">
      <w:pPr>
        <w:pStyle w:val="SingleTxt"/>
        <w:rPr>
          <w:rFonts w:hint="cs"/>
          <w:rtl/>
        </w:rPr>
      </w:pPr>
      <w:r>
        <w:rPr>
          <w:rFonts w:hint="cs"/>
          <w:rtl/>
        </w:rPr>
        <w:t>2-4</w:t>
      </w:r>
      <w:r>
        <w:rPr>
          <w:rFonts w:hint="cs"/>
          <w:rtl/>
        </w:rPr>
        <w:tab/>
      </w:r>
      <w:r w:rsidRPr="00EC6374">
        <w:rPr>
          <w:rFonts w:hint="cs"/>
          <w:rtl/>
        </w:rPr>
        <w:t xml:space="preserve">تقرر المحاكم لأي من الوالدين تؤول حضانة الأطفال إذا لم يتمكن الطرفان من التوصل إلى اتفاق. إلا أن قانون أراضي </w:t>
      </w:r>
      <w:r w:rsidR="00F93B21">
        <w:rPr>
          <w:rFonts w:hint="cs"/>
          <w:rtl/>
        </w:rPr>
        <w:t xml:space="preserve">السكان الأصليين </w:t>
      </w:r>
      <w:r w:rsidRPr="00EC6374">
        <w:rPr>
          <w:rFonts w:hint="cs"/>
          <w:rtl/>
        </w:rPr>
        <w:t>يحابي الأب في حالة الأطفال الذين يولدون خارج عش الزوجية. فعندما يبلغ الطفل المولود خارج عش الزوجية سنتين من العمر، يؤول حق الحضانة للوالد تلقائياً إذا قبل أُبوّة الطفل. وقد أكدت قضية الاستئناف أمام المحكمة العليا رقم 17/03، تبيولولو ضد بو والمدعي العام (2005) (لم تنشر)</w:t>
      </w:r>
      <w:r w:rsidRPr="00EC6374">
        <w:rPr>
          <w:vertAlign w:val="superscript"/>
          <w:rtl/>
        </w:rPr>
        <w:t>(</w:t>
      </w:r>
      <w:r>
        <w:rPr>
          <w:rStyle w:val="FootnoteReference"/>
          <w:rtl/>
        </w:rPr>
        <w:footnoteReference w:id="45"/>
      </w:r>
      <w:r w:rsidRPr="00EC6374">
        <w:rPr>
          <w:vertAlign w:val="superscript"/>
          <w:rtl/>
        </w:rPr>
        <w:t>)</w:t>
      </w:r>
      <w:r w:rsidRPr="00EC6374">
        <w:rPr>
          <w:rFonts w:hint="cs"/>
          <w:rtl/>
        </w:rPr>
        <w:t xml:space="preserve">، تطبيق قوانين الأسرة التشريعية في توفالو على اتفاقية القضاء على جميع أشكال التمييز ضد المرأة واتفاقية حقوق الطفل. وتتعلق قضية تبيولولو </w:t>
      </w:r>
      <w:r w:rsidR="00F93B21">
        <w:rPr>
          <w:rFonts w:hint="cs"/>
          <w:rtl/>
        </w:rPr>
        <w:t>بحضانة طفل غير شرعي. وينص الفرع</w:t>
      </w:r>
      <w:r w:rsidR="00F93B21">
        <w:rPr>
          <w:rFonts w:hint="eastAsia"/>
          <w:rtl/>
        </w:rPr>
        <w:t> </w:t>
      </w:r>
      <w:r w:rsidRPr="00EC6374">
        <w:rPr>
          <w:rFonts w:hint="cs"/>
          <w:rtl/>
        </w:rPr>
        <w:t xml:space="preserve">20 من </w:t>
      </w:r>
      <w:r w:rsidRPr="00EC6374">
        <w:rPr>
          <w:rFonts w:hint="cs"/>
          <w:i/>
          <w:iCs/>
          <w:rtl/>
        </w:rPr>
        <w:t xml:space="preserve">قانون أراضي </w:t>
      </w:r>
      <w:r w:rsidR="00F93B21" w:rsidRPr="00F93B21">
        <w:rPr>
          <w:rFonts w:hint="cs"/>
          <w:i/>
          <w:iCs/>
          <w:rtl/>
        </w:rPr>
        <w:t>السكان الأصليين</w:t>
      </w:r>
      <w:r w:rsidR="00F93B21">
        <w:rPr>
          <w:rFonts w:hint="cs"/>
          <w:rtl/>
        </w:rPr>
        <w:t xml:space="preserve"> </w:t>
      </w:r>
      <w:r w:rsidRPr="00EC6374">
        <w:rPr>
          <w:rFonts w:hint="cs"/>
          <w:rtl/>
        </w:rPr>
        <w:t xml:space="preserve">على منح الحضانة للأب إلا إذا رفض الأب المفترض الاعتراف بأبوة الطفل، فعندها تكون الحضانة للأم إلى أن يبلغ الطفل 21 عاماً من العمر. فضلاً عن ذلك، أكدت المحكمة العليا في قراراها في تلك القضية بقوة أن اتفاقية حقوق الطفل واتفاقية القضاء على جميع أشكال التمييز ضد المرأة لا تنطبق على قوانين توفالو إلا إذا أجاز البرلمان قانوناً لتطبيق أحكامهما. فضلاً عن ذلك، شددت المحكمة العليا على أن الفرع 20 من </w:t>
      </w:r>
      <w:r w:rsidRPr="00EC6374">
        <w:rPr>
          <w:rFonts w:hint="cs"/>
          <w:i/>
          <w:iCs/>
          <w:rtl/>
        </w:rPr>
        <w:t xml:space="preserve">قانون أراضي </w:t>
      </w:r>
      <w:r w:rsidR="00F93B21">
        <w:rPr>
          <w:rFonts w:hint="cs"/>
          <w:i/>
          <w:iCs/>
          <w:rtl/>
        </w:rPr>
        <w:t xml:space="preserve">السكان الأصليين </w:t>
      </w:r>
      <w:r w:rsidRPr="00EC6374">
        <w:rPr>
          <w:rFonts w:hint="cs"/>
          <w:rtl/>
        </w:rPr>
        <w:t xml:space="preserve">ليس ملزماً؛ وأثبتت صياغته أنها تمييزية. وبوسع محكمة الأراضي أن تصدر قرارات عدا القرارات التي ينص عليها الفرع 20 من قانون أراضي </w:t>
      </w:r>
      <w:r w:rsidR="00F93B21">
        <w:rPr>
          <w:rFonts w:hint="cs"/>
          <w:rtl/>
        </w:rPr>
        <w:t xml:space="preserve">السكان الأصليين ما دام </w:t>
      </w:r>
      <w:r w:rsidRPr="00EC6374">
        <w:rPr>
          <w:rFonts w:hint="cs"/>
          <w:rtl/>
        </w:rPr>
        <w:t>القرار يتمشى مع القانون العرفي.</w:t>
      </w:r>
    </w:p>
    <w:p w:rsidR="00EC6374" w:rsidRPr="00EC6374" w:rsidRDefault="00EC6374" w:rsidP="00F93B21">
      <w:pPr>
        <w:pStyle w:val="SingleTxt"/>
        <w:rPr>
          <w:rFonts w:hint="cs"/>
        </w:rPr>
      </w:pPr>
      <w:r>
        <w:rPr>
          <w:rFonts w:hint="cs"/>
          <w:rtl/>
        </w:rPr>
        <w:t>2-5</w:t>
      </w:r>
      <w:r>
        <w:rPr>
          <w:rFonts w:hint="cs"/>
          <w:rtl/>
        </w:rPr>
        <w:tab/>
      </w:r>
      <w:r w:rsidRPr="00EC6374">
        <w:rPr>
          <w:rFonts w:hint="cs"/>
          <w:rtl/>
        </w:rPr>
        <w:t>ويوجد في توفالو أيضاً قانون حضانة الأطفال (القانون رقم 20)، الذي ينص في الفرع 3 (3) على أنه يتعين على المحكمة أن تولي مصلحة الطفل الاعتبار الأول والأهم. إلى أن الفرع 3 (5) ينص على أن أوامر الحضانة تخضع لأحكام قانون</w:t>
      </w:r>
      <w:r w:rsidR="00F93B21">
        <w:rPr>
          <w:rFonts w:hint="cs"/>
          <w:rtl/>
        </w:rPr>
        <w:t xml:space="preserve"> أراضي السكان الأصليين</w:t>
      </w:r>
      <w:r w:rsidRPr="00EC6374">
        <w:rPr>
          <w:rFonts w:hint="cs"/>
          <w:rtl/>
        </w:rPr>
        <w:t>.</w:t>
      </w:r>
    </w:p>
    <w:p w:rsidR="00EC6374" w:rsidRPr="00EC6374" w:rsidRDefault="00EC6374" w:rsidP="00EC6374">
      <w:pPr>
        <w:pStyle w:val="SingleTxt"/>
        <w:spacing w:after="0" w:line="120" w:lineRule="exact"/>
        <w:rPr>
          <w:rFonts w:hint="cs"/>
          <w:sz w:val="10"/>
          <w:rtl/>
        </w:rPr>
      </w:pPr>
    </w:p>
    <w:p w:rsidR="00EC6374" w:rsidRPr="00EC6374" w:rsidRDefault="00EC6374" w:rsidP="00EC63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C6374">
        <w:rPr>
          <w:rFonts w:hint="cs"/>
          <w:rtl/>
        </w:rPr>
        <w:t>حقوق الإنسان</w:t>
      </w:r>
    </w:p>
    <w:p w:rsidR="00EC6374" w:rsidRDefault="00EC6374" w:rsidP="00EC6374">
      <w:pPr>
        <w:pStyle w:val="SingleTxt"/>
        <w:rPr>
          <w:rFonts w:hint="cs"/>
          <w:rtl/>
        </w:rPr>
      </w:pPr>
      <w:r>
        <w:rPr>
          <w:rFonts w:hint="cs"/>
          <w:rtl/>
        </w:rPr>
        <w:t>2-6</w:t>
      </w:r>
      <w:r>
        <w:rPr>
          <w:rFonts w:hint="cs"/>
          <w:rtl/>
        </w:rPr>
        <w:tab/>
      </w:r>
      <w:r w:rsidRPr="00EC6374">
        <w:rPr>
          <w:rFonts w:hint="cs"/>
          <w:rtl/>
        </w:rPr>
        <w:t>لا توجد لجنة لحقوق الإنسان في توفالو. وتقدم خدمات قانونية مجانية من جانب مكتب المدعي العام</w:t>
      </w:r>
      <w:r w:rsidRPr="00EC6374">
        <w:rPr>
          <w:vertAlign w:val="superscript"/>
          <w:rtl/>
        </w:rPr>
        <w:t>(</w:t>
      </w:r>
      <w:r>
        <w:rPr>
          <w:rStyle w:val="FootnoteReference"/>
          <w:rtl/>
        </w:rPr>
        <w:footnoteReference w:id="46"/>
      </w:r>
      <w:r w:rsidRPr="00EC6374">
        <w:rPr>
          <w:vertAlign w:val="superscript"/>
          <w:rtl/>
        </w:rPr>
        <w:t>)</w:t>
      </w:r>
      <w:r w:rsidRPr="00EC6374">
        <w:rPr>
          <w:rFonts w:hint="cs"/>
          <w:rtl/>
        </w:rPr>
        <w:t>،</w:t>
      </w:r>
      <w:r>
        <w:rPr>
          <w:rFonts w:hint="cs"/>
          <w:rtl/>
        </w:rPr>
        <w:t xml:space="preserve"> </w:t>
      </w:r>
      <w:r w:rsidRPr="00EC6374">
        <w:rPr>
          <w:rFonts w:hint="cs"/>
          <w:rtl/>
        </w:rPr>
        <w:t>ومكتب محامي الشعب أيضاً. وقد أنشئ مكتب محامي الشعب بموجب قانون محامي الشعب (القانون رقم 3 ألف) لتوفير مشورة قانونية مجانية وتمثيل مواطني توفالو في جميع المسائل القانونية التي تشمل، على سبيل المثال لا الحصر، الشكاوى المتعلقة بانتهاكات حقوق الإنسان. إضافة إلى ذلك، يوجد أيضاً مشروع للتدريب على الحقوق القانونية تحت إشراف مجلس توفال الوطني للمرأة وبتمويل من فريق موارد الحقوق الإقليمي/برنامج الأمم المتحدة الإنمائي، الذي يوفر مشورة قانونية مجانية وخدمات إحالة ومشورة. وينظم هذا المشروع أيضاً تدريباً على حقوق الإنسان في جميع أنحاء البلد.</w:t>
      </w:r>
    </w:p>
    <w:p w:rsidR="00EC6374" w:rsidRPr="00EC6374" w:rsidRDefault="00EC6374" w:rsidP="00EC6374">
      <w:pPr>
        <w:pStyle w:val="SingleTxt"/>
        <w:rPr>
          <w:rFonts w:hint="cs"/>
        </w:rPr>
      </w:pPr>
      <w:r>
        <w:rPr>
          <w:rFonts w:hint="cs"/>
          <w:rtl/>
        </w:rPr>
        <w:t>2-7</w:t>
      </w:r>
      <w:r>
        <w:rPr>
          <w:rFonts w:hint="cs"/>
          <w:rtl/>
        </w:rPr>
        <w:tab/>
      </w:r>
      <w:r w:rsidRPr="00EC6374">
        <w:rPr>
          <w:rFonts w:hint="cs"/>
          <w:rtl/>
        </w:rPr>
        <w:t>يعطي الدستور، الذي يجسد قيم وثقافة توفالو، قدراً أكبر من التقدير للرجل ويقبل تهميش المرأة في جوانب عديدة. فالفرع 27 حذف عمداً نوع الجنس كأساس للتمييز. وهذا الحذف محاولة متعمدة لتفعيل روح الدستور، لا سيما فيما يتعلق بالاحترام والتقدير اللازمين للقيم والعادات التقليدية</w:t>
      </w:r>
      <w:r w:rsidRPr="00EC6374">
        <w:rPr>
          <w:vertAlign w:val="superscript"/>
          <w:rtl/>
        </w:rPr>
        <w:t>(</w:t>
      </w:r>
      <w:r>
        <w:rPr>
          <w:rStyle w:val="FootnoteReference"/>
          <w:rtl/>
        </w:rPr>
        <w:footnoteReference w:id="47"/>
      </w:r>
      <w:r w:rsidRPr="00EC6374">
        <w:rPr>
          <w:vertAlign w:val="superscript"/>
          <w:rtl/>
        </w:rPr>
        <w:t>)</w:t>
      </w:r>
      <w:r w:rsidRPr="00EC6374">
        <w:rPr>
          <w:rFonts w:hint="cs"/>
          <w:rtl/>
        </w:rPr>
        <w:t>.</w:t>
      </w:r>
      <w:r>
        <w:rPr>
          <w:rFonts w:hint="cs"/>
          <w:rtl/>
        </w:rPr>
        <w:t xml:space="preserve"> </w:t>
      </w:r>
      <w:r w:rsidRPr="00EC6374">
        <w:rPr>
          <w:rFonts w:hint="cs"/>
          <w:rtl/>
        </w:rPr>
        <w:t>ولذلك، فإن الدستور لا يضمن معاملة الرجل والمرأة على قدم المساواة. وبعبارة أخرى، يسمح بالاعتراف القانوني بالتمييز ضد المرأة، كما في حالة إرث الأرض.</w:t>
      </w:r>
    </w:p>
    <w:p w:rsidR="00EC6374" w:rsidRPr="00EC6374" w:rsidRDefault="00EC6374" w:rsidP="00EC6374">
      <w:pPr>
        <w:pStyle w:val="SingleTxt"/>
        <w:rPr>
          <w:rFonts w:hint="cs"/>
        </w:rPr>
      </w:pPr>
      <w:r>
        <w:rPr>
          <w:rFonts w:hint="cs"/>
          <w:rtl/>
        </w:rPr>
        <w:t>2-8</w:t>
      </w:r>
      <w:r>
        <w:rPr>
          <w:rFonts w:hint="cs"/>
          <w:rtl/>
        </w:rPr>
        <w:tab/>
      </w:r>
      <w:r w:rsidRPr="00EC6374">
        <w:rPr>
          <w:rFonts w:hint="cs"/>
          <w:rtl/>
        </w:rPr>
        <w:t>تقليدياً، يرث الأولاد الذكور الأرض، لأنه يتوقع من البنات أن ينتقلن إلى أسر أزواجهن بعد أن يتزوجن. ولذلك، تعتمد المرأة عل</w:t>
      </w:r>
      <w:r w:rsidR="003626EB">
        <w:rPr>
          <w:rFonts w:hint="cs"/>
          <w:rtl/>
        </w:rPr>
        <w:t>ى أرض زوجها بعد أن تتزوج، بينما</w:t>
      </w:r>
      <w:r w:rsidR="003626EB">
        <w:rPr>
          <w:rFonts w:hint="eastAsia"/>
          <w:rtl/>
        </w:rPr>
        <w:t> </w:t>
      </w:r>
      <w:r w:rsidRPr="00EC6374">
        <w:rPr>
          <w:rFonts w:hint="cs"/>
          <w:rtl/>
        </w:rPr>
        <w:t>يتعين على المرأة العزباء أن تعتمد على أراضي والدها أو إخوانها. وقد تترك هذه الترتيبات المرأة وأطفالها عرضة للإساءة من جانب أسرة زوجها بعد وفاته أو في حالة انهيار الزواج. وتوجد حالات حرمت فيها المطلقات والأرامل من حقوقهن في بيوت أزواجهن أو ممتلكاتهم الأخرى، مما أجبر ا لواحدة منهن وأجبر أطفالها على العودة إلى والديها أو إخوانها طلباً للدعم. وبذلك أسهمت في الازدحام الذي يؤدي بدوره إلى مشاكل اجتماعية أخرى.</w:t>
      </w:r>
    </w:p>
    <w:p w:rsidR="00EC6374" w:rsidRPr="00EC6374" w:rsidRDefault="00EC6374" w:rsidP="00EC63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C6374">
        <w:rPr>
          <w:rFonts w:hint="cs"/>
          <w:rtl/>
        </w:rPr>
        <w:t>الجريمة</w:t>
      </w:r>
    </w:p>
    <w:p w:rsidR="00EC6374" w:rsidRPr="00EC6374" w:rsidRDefault="00EC6374" w:rsidP="00384A94">
      <w:pPr>
        <w:pStyle w:val="SingleTxt"/>
        <w:rPr>
          <w:rFonts w:hint="cs"/>
          <w:rtl/>
        </w:rPr>
      </w:pPr>
      <w:r>
        <w:rPr>
          <w:rFonts w:hint="cs"/>
          <w:rtl/>
        </w:rPr>
        <w:t>2-</w:t>
      </w:r>
      <w:r w:rsidR="00384A94">
        <w:rPr>
          <w:rFonts w:hint="cs"/>
          <w:rtl/>
        </w:rPr>
        <w:t>9</w:t>
      </w:r>
      <w:r>
        <w:rPr>
          <w:rFonts w:hint="cs"/>
          <w:rtl/>
        </w:rPr>
        <w:tab/>
      </w:r>
      <w:r w:rsidRPr="00EC6374">
        <w:rPr>
          <w:rFonts w:hint="cs"/>
          <w:rtl/>
        </w:rPr>
        <w:t>لا توجد قضايا مدنية كثيرة في توفالو. إلا أن حدوث الجنايات يتكرر بصورة شائعة، ويتصل معظمها بالكحول.</w:t>
      </w:r>
    </w:p>
    <w:p w:rsidR="00EC6374" w:rsidRPr="00EC6374" w:rsidRDefault="00EC6374" w:rsidP="00EC6374">
      <w:pPr>
        <w:pStyle w:val="SingleTxt"/>
        <w:rPr>
          <w:rFonts w:hint="cs"/>
          <w:rtl/>
        </w:rPr>
      </w:pPr>
    </w:p>
    <w:p w:rsidR="00EC6374" w:rsidRPr="00EC6374" w:rsidRDefault="00EC6374" w:rsidP="00F75C65">
      <w:pPr>
        <w:pStyle w:val="SingleTxt"/>
        <w:rPr>
          <w:rFonts w:hint="cs"/>
          <w:b/>
          <w:bCs/>
          <w:rtl/>
        </w:rPr>
      </w:pPr>
      <w:r w:rsidRPr="00EC6374">
        <w:rPr>
          <w:rFonts w:hint="cs"/>
          <w:b/>
          <w:bCs/>
          <w:rtl/>
        </w:rPr>
        <w:t>الجدول 4: عدد الجرائم موزعة حسب نوعها وسنة حدوثها وحسب نوع الجنس</w:t>
      </w:r>
      <w:r w:rsidR="00F75C65" w:rsidRPr="00F75C65">
        <w:rPr>
          <w:b/>
          <w:bCs/>
          <w:vertAlign w:val="superscript"/>
          <w:rtl/>
        </w:rPr>
        <w:t>(</w:t>
      </w:r>
      <w:r w:rsidR="00F75C65">
        <w:rPr>
          <w:rStyle w:val="FootnoteReference"/>
          <w:b/>
          <w:bCs/>
          <w:rtl/>
        </w:rPr>
        <w:footnoteReference w:id="48"/>
      </w:r>
      <w:r w:rsidR="00F75C65" w:rsidRPr="00F75C65">
        <w:rPr>
          <w:b/>
          <w:bCs/>
          <w:vertAlign w:val="superscript"/>
          <w:rtl/>
        </w:rPr>
        <w:t>)</w:t>
      </w:r>
    </w:p>
    <w:tbl>
      <w:tblPr>
        <w:tblStyle w:val="TableGrid"/>
        <w:bidiVisual/>
        <w:tblW w:w="980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72"/>
        <w:gridCol w:w="721"/>
        <w:gridCol w:w="702"/>
        <w:gridCol w:w="721"/>
        <w:gridCol w:w="702"/>
        <w:gridCol w:w="721"/>
        <w:gridCol w:w="667"/>
        <w:gridCol w:w="721"/>
        <w:gridCol w:w="667"/>
        <w:gridCol w:w="721"/>
        <w:gridCol w:w="702"/>
        <w:gridCol w:w="721"/>
        <w:gridCol w:w="667"/>
        <w:gridCol w:w="825"/>
      </w:tblGrid>
      <w:tr w:rsidR="008B0BD0" w:rsidRPr="008B0BD0">
        <w:trPr>
          <w:cantSplit/>
          <w:tblHeader/>
          <w:jc w:val="center"/>
        </w:trPr>
        <w:tc>
          <w:tcPr>
            <w:tcW w:w="542" w:type="dxa"/>
            <w:tcBorders>
              <w:top w:val="single" w:sz="4" w:space="0" w:color="auto"/>
            </w:tcBorders>
            <w:shd w:val="clear" w:color="auto" w:fill="auto"/>
            <w:vAlign w:val="bottom"/>
          </w:tcPr>
          <w:p w:rsidR="008B0BD0" w:rsidRPr="008B0BD0" w:rsidRDefault="008B0BD0" w:rsidP="008B0BD0">
            <w:pPr>
              <w:spacing w:after="80" w:line="240" w:lineRule="exact"/>
              <w:ind w:right="144"/>
              <w:jc w:val="center"/>
              <w:rPr>
                <w:rFonts w:cs="Traditional Arabic" w:hint="cs"/>
                <w:i/>
                <w:iCs/>
                <w:sz w:val="16"/>
                <w:szCs w:val="24"/>
                <w:rtl/>
              </w:rPr>
            </w:pPr>
          </w:p>
        </w:tc>
        <w:tc>
          <w:tcPr>
            <w:tcW w:w="1296" w:type="dxa"/>
            <w:gridSpan w:val="2"/>
            <w:tcBorders>
              <w:top w:val="single" w:sz="4" w:space="0" w:color="auto"/>
              <w:bottom w:val="single" w:sz="4" w:space="0" w:color="auto"/>
            </w:tcBorders>
            <w:shd w:val="clear" w:color="auto" w:fill="auto"/>
          </w:tcPr>
          <w:p w:rsidR="008B0BD0" w:rsidRPr="008B0BD0" w:rsidRDefault="008B0BD0" w:rsidP="008B0BD0">
            <w:pPr>
              <w:spacing w:after="80" w:line="240" w:lineRule="exact"/>
              <w:ind w:right="144"/>
              <w:jc w:val="center"/>
              <w:rPr>
                <w:rFonts w:cs="Traditional Arabic" w:hint="cs"/>
                <w:i/>
                <w:iCs/>
                <w:sz w:val="16"/>
                <w:szCs w:val="24"/>
                <w:rtl/>
              </w:rPr>
            </w:pPr>
            <w:r w:rsidRPr="008B0BD0">
              <w:rPr>
                <w:rFonts w:cs="Traditional Arabic" w:hint="cs"/>
                <w:i/>
                <w:iCs/>
                <w:sz w:val="16"/>
                <w:szCs w:val="24"/>
                <w:rtl/>
              </w:rPr>
              <w:t>القانون الجنائي</w:t>
            </w:r>
          </w:p>
        </w:tc>
        <w:tc>
          <w:tcPr>
            <w:tcW w:w="1423" w:type="dxa"/>
            <w:gridSpan w:val="2"/>
            <w:tcBorders>
              <w:top w:val="single" w:sz="4" w:space="0" w:color="auto"/>
              <w:bottom w:val="single" w:sz="4" w:space="0" w:color="auto"/>
            </w:tcBorders>
            <w:shd w:val="clear" w:color="auto" w:fill="auto"/>
          </w:tcPr>
          <w:p w:rsidR="008B0BD0" w:rsidRPr="008B0BD0" w:rsidRDefault="008B0BD0" w:rsidP="008B0BD0">
            <w:pPr>
              <w:spacing w:after="80" w:line="240" w:lineRule="exact"/>
              <w:ind w:right="144"/>
              <w:jc w:val="center"/>
              <w:rPr>
                <w:rFonts w:cs="Traditional Arabic" w:hint="cs"/>
                <w:i/>
                <w:iCs/>
                <w:sz w:val="16"/>
                <w:szCs w:val="24"/>
                <w:rtl/>
              </w:rPr>
            </w:pPr>
            <w:r w:rsidRPr="008B0BD0">
              <w:rPr>
                <w:rFonts w:cs="Traditional Arabic" w:hint="cs"/>
                <w:i/>
                <w:iCs/>
                <w:sz w:val="16"/>
                <w:szCs w:val="24"/>
                <w:rtl/>
              </w:rPr>
              <w:t>قوانين محلية</w:t>
            </w:r>
          </w:p>
        </w:tc>
        <w:tc>
          <w:tcPr>
            <w:tcW w:w="1388" w:type="dxa"/>
            <w:gridSpan w:val="2"/>
            <w:tcBorders>
              <w:top w:val="single" w:sz="4" w:space="0" w:color="auto"/>
              <w:bottom w:val="single" w:sz="4" w:space="0" w:color="auto"/>
            </w:tcBorders>
            <w:shd w:val="clear" w:color="auto" w:fill="auto"/>
          </w:tcPr>
          <w:p w:rsidR="008B0BD0" w:rsidRPr="008B0BD0" w:rsidRDefault="008B0BD0" w:rsidP="008B0BD0">
            <w:pPr>
              <w:spacing w:after="80" w:line="240" w:lineRule="exact"/>
              <w:ind w:right="144"/>
              <w:jc w:val="center"/>
              <w:rPr>
                <w:rFonts w:cs="Traditional Arabic" w:hint="cs"/>
                <w:i/>
                <w:iCs/>
                <w:sz w:val="16"/>
                <w:szCs w:val="24"/>
                <w:rtl/>
              </w:rPr>
            </w:pPr>
            <w:r w:rsidRPr="008B0BD0">
              <w:rPr>
                <w:rFonts w:cs="Traditional Arabic" w:hint="cs"/>
                <w:i/>
                <w:iCs/>
                <w:sz w:val="16"/>
                <w:szCs w:val="24"/>
                <w:rtl/>
              </w:rPr>
              <w:t>مدمن كحول</w:t>
            </w:r>
          </w:p>
        </w:tc>
        <w:tc>
          <w:tcPr>
            <w:tcW w:w="1388" w:type="dxa"/>
            <w:gridSpan w:val="2"/>
            <w:tcBorders>
              <w:top w:val="single" w:sz="4" w:space="0" w:color="auto"/>
              <w:bottom w:val="single" w:sz="4" w:space="0" w:color="auto"/>
            </w:tcBorders>
            <w:shd w:val="clear" w:color="auto" w:fill="auto"/>
          </w:tcPr>
          <w:p w:rsidR="008B0BD0" w:rsidRPr="008B0BD0" w:rsidRDefault="008B0BD0" w:rsidP="008B0BD0">
            <w:pPr>
              <w:spacing w:after="80" w:line="240" w:lineRule="exact"/>
              <w:ind w:right="144"/>
              <w:jc w:val="center"/>
              <w:rPr>
                <w:rFonts w:cs="Traditional Arabic" w:hint="cs"/>
                <w:i/>
                <w:iCs/>
                <w:sz w:val="16"/>
                <w:szCs w:val="24"/>
                <w:rtl/>
              </w:rPr>
            </w:pPr>
            <w:r w:rsidRPr="008B0BD0">
              <w:rPr>
                <w:rFonts w:cs="Traditional Arabic" w:hint="cs"/>
                <w:i/>
                <w:iCs/>
                <w:sz w:val="16"/>
                <w:szCs w:val="24"/>
                <w:rtl/>
              </w:rPr>
              <w:t>النظام العام</w:t>
            </w:r>
          </w:p>
        </w:tc>
        <w:tc>
          <w:tcPr>
            <w:tcW w:w="1423" w:type="dxa"/>
            <w:gridSpan w:val="2"/>
            <w:tcBorders>
              <w:top w:val="single" w:sz="4" w:space="0" w:color="auto"/>
              <w:bottom w:val="single" w:sz="4" w:space="0" w:color="auto"/>
            </w:tcBorders>
            <w:shd w:val="clear" w:color="auto" w:fill="auto"/>
          </w:tcPr>
          <w:p w:rsidR="008B0BD0" w:rsidRPr="008B0BD0" w:rsidRDefault="008B0BD0" w:rsidP="008B0BD0">
            <w:pPr>
              <w:spacing w:after="80" w:line="240" w:lineRule="exact"/>
              <w:ind w:right="144"/>
              <w:jc w:val="center"/>
              <w:rPr>
                <w:rFonts w:cs="Traditional Arabic" w:hint="cs"/>
                <w:i/>
                <w:iCs/>
                <w:sz w:val="16"/>
                <w:szCs w:val="24"/>
                <w:rtl/>
              </w:rPr>
            </w:pPr>
            <w:r w:rsidRPr="008B0BD0">
              <w:rPr>
                <w:rFonts w:cs="Traditional Arabic" w:hint="cs"/>
                <w:i/>
                <w:iCs/>
                <w:sz w:val="16"/>
                <w:szCs w:val="24"/>
                <w:rtl/>
              </w:rPr>
              <w:t>قانون السير</w:t>
            </w:r>
          </w:p>
        </w:tc>
        <w:tc>
          <w:tcPr>
            <w:tcW w:w="1388" w:type="dxa"/>
            <w:gridSpan w:val="2"/>
            <w:tcBorders>
              <w:top w:val="single" w:sz="4" w:space="0" w:color="auto"/>
              <w:bottom w:val="single" w:sz="4" w:space="0" w:color="auto"/>
            </w:tcBorders>
            <w:shd w:val="clear" w:color="auto" w:fill="auto"/>
          </w:tcPr>
          <w:p w:rsidR="008B0BD0" w:rsidRPr="008B0BD0" w:rsidRDefault="008B0BD0" w:rsidP="008B0BD0">
            <w:pPr>
              <w:spacing w:after="80" w:line="240" w:lineRule="exact"/>
              <w:ind w:right="144"/>
              <w:jc w:val="center"/>
              <w:rPr>
                <w:rFonts w:cs="Traditional Arabic" w:hint="cs"/>
                <w:i/>
                <w:iCs/>
                <w:sz w:val="16"/>
                <w:szCs w:val="24"/>
                <w:rtl/>
              </w:rPr>
            </w:pPr>
            <w:r w:rsidRPr="008B0BD0">
              <w:rPr>
                <w:rFonts w:cs="Traditional Arabic" w:hint="cs"/>
                <w:i/>
                <w:iCs/>
                <w:sz w:val="16"/>
                <w:szCs w:val="24"/>
                <w:rtl/>
              </w:rPr>
              <w:t>قوانين أخرى</w:t>
            </w:r>
          </w:p>
        </w:tc>
        <w:tc>
          <w:tcPr>
            <w:tcW w:w="825" w:type="dxa"/>
            <w:tcBorders>
              <w:top w:val="single" w:sz="4" w:space="0" w:color="auto"/>
            </w:tcBorders>
            <w:shd w:val="clear" w:color="auto" w:fill="auto"/>
            <w:vAlign w:val="bottom"/>
          </w:tcPr>
          <w:p w:rsidR="008B0BD0" w:rsidRPr="008B0BD0" w:rsidRDefault="008B0BD0" w:rsidP="008B0BD0">
            <w:pPr>
              <w:spacing w:after="80" w:line="240" w:lineRule="exact"/>
              <w:ind w:right="144"/>
              <w:jc w:val="center"/>
              <w:rPr>
                <w:rFonts w:cs="Traditional Arabic" w:hint="cs"/>
                <w:i/>
                <w:iCs/>
                <w:sz w:val="16"/>
                <w:szCs w:val="24"/>
                <w:rtl/>
              </w:rPr>
            </w:pPr>
          </w:p>
        </w:tc>
      </w:tr>
      <w:tr w:rsidR="008B0BD0" w:rsidRPr="008B0BD0">
        <w:trPr>
          <w:cantSplit/>
          <w:tblHeader/>
          <w:jc w:val="center"/>
        </w:trPr>
        <w:tc>
          <w:tcPr>
            <w:tcW w:w="542" w:type="dxa"/>
            <w:tcBorders>
              <w:bottom w:val="single" w:sz="12" w:space="0" w:color="auto"/>
            </w:tcBorders>
            <w:shd w:val="clear" w:color="auto" w:fill="auto"/>
            <w:vAlign w:val="bottom"/>
          </w:tcPr>
          <w:p w:rsidR="008B0BD0" w:rsidRPr="008B0BD0" w:rsidRDefault="008B0BD0" w:rsidP="008B0BD0">
            <w:pPr>
              <w:spacing w:after="80" w:line="240" w:lineRule="exact"/>
              <w:jc w:val="center"/>
              <w:rPr>
                <w:rFonts w:cs="Traditional Arabic" w:hint="cs"/>
                <w:i/>
                <w:iCs/>
                <w:sz w:val="16"/>
                <w:szCs w:val="24"/>
                <w:rtl/>
              </w:rPr>
            </w:pPr>
            <w:r w:rsidRPr="008B0BD0">
              <w:rPr>
                <w:rFonts w:cs="Traditional Arabic" w:hint="cs"/>
                <w:i/>
                <w:iCs/>
                <w:sz w:val="16"/>
                <w:szCs w:val="24"/>
                <w:rtl/>
              </w:rPr>
              <w:t>السنة</w:t>
            </w:r>
          </w:p>
        </w:tc>
        <w:tc>
          <w:tcPr>
            <w:tcW w:w="1296"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ذكور</w:t>
            </w:r>
          </w:p>
        </w:tc>
        <w:tc>
          <w:tcPr>
            <w:tcW w:w="1296"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ذكور</w:t>
            </w:r>
          </w:p>
        </w:tc>
        <w:tc>
          <w:tcPr>
            <w:tcW w:w="702"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ذكور</w:t>
            </w:r>
          </w:p>
        </w:tc>
        <w:tc>
          <w:tcPr>
            <w:tcW w:w="667"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ذكور</w:t>
            </w:r>
          </w:p>
        </w:tc>
        <w:tc>
          <w:tcPr>
            <w:tcW w:w="667"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ذكور</w:t>
            </w:r>
          </w:p>
        </w:tc>
        <w:tc>
          <w:tcPr>
            <w:tcW w:w="702"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إناث</w:t>
            </w:r>
          </w:p>
        </w:tc>
        <w:tc>
          <w:tcPr>
            <w:tcW w:w="721"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ذكور</w:t>
            </w:r>
          </w:p>
        </w:tc>
        <w:tc>
          <w:tcPr>
            <w:tcW w:w="667" w:type="dxa"/>
            <w:tcBorders>
              <w:top w:val="single" w:sz="4" w:space="0" w:color="auto"/>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إناث</w:t>
            </w:r>
          </w:p>
        </w:tc>
        <w:tc>
          <w:tcPr>
            <w:tcW w:w="825" w:type="dxa"/>
            <w:tcBorders>
              <w:bottom w:val="single" w:sz="12" w:space="0" w:color="auto"/>
            </w:tcBorders>
            <w:shd w:val="clear" w:color="auto" w:fill="auto"/>
            <w:vAlign w:val="bottom"/>
          </w:tcPr>
          <w:p w:rsidR="008B0BD0" w:rsidRPr="008B0BD0" w:rsidRDefault="008B0BD0" w:rsidP="008B0BD0">
            <w:pPr>
              <w:spacing w:after="80" w:line="240" w:lineRule="exact"/>
              <w:ind w:right="144"/>
              <w:jc w:val="lowKashida"/>
              <w:rPr>
                <w:rFonts w:cs="Traditional Arabic" w:hint="cs"/>
                <w:i/>
                <w:iCs/>
                <w:sz w:val="16"/>
                <w:szCs w:val="24"/>
                <w:rtl/>
              </w:rPr>
            </w:pPr>
            <w:r w:rsidRPr="008B0BD0">
              <w:rPr>
                <w:rFonts w:cs="Traditional Arabic" w:hint="cs"/>
                <w:i/>
                <w:iCs/>
                <w:sz w:val="16"/>
                <w:szCs w:val="24"/>
                <w:rtl/>
              </w:rPr>
              <w:t>المجموع</w:t>
            </w:r>
          </w:p>
        </w:tc>
      </w:tr>
      <w:tr w:rsidR="008B0BD0" w:rsidRPr="008B0BD0">
        <w:trPr>
          <w:cantSplit/>
          <w:trHeight w:hRule="exact" w:val="115"/>
          <w:tblHeader/>
          <w:jc w:val="center"/>
        </w:trPr>
        <w:tc>
          <w:tcPr>
            <w:tcW w:w="542" w:type="dxa"/>
            <w:tcBorders>
              <w:top w:val="single" w:sz="12" w:space="0" w:color="auto"/>
            </w:tcBorders>
            <w:shd w:val="clear" w:color="auto" w:fill="auto"/>
            <w:vAlign w:val="bottom"/>
          </w:tcPr>
          <w:p w:rsidR="008B0BD0" w:rsidRPr="008B0BD0" w:rsidRDefault="008B0BD0" w:rsidP="008B0BD0">
            <w:pPr>
              <w:spacing w:before="40" w:after="80" w:line="240" w:lineRule="exact"/>
              <w:rPr>
                <w:rFonts w:hint="cs"/>
                <w:sz w:val="16"/>
                <w:szCs w:val="24"/>
                <w:rtl/>
              </w:rPr>
            </w:pPr>
          </w:p>
        </w:tc>
        <w:tc>
          <w:tcPr>
            <w:tcW w:w="1296"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1296"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02"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667"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667"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02"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721"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667"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c>
          <w:tcPr>
            <w:tcW w:w="825" w:type="dxa"/>
            <w:tcBorders>
              <w:top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hint="cs"/>
                <w:sz w:val="16"/>
                <w:szCs w:val="24"/>
                <w:rtl/>
              </w:rPr>
            </w:pPr>
          </w:p>
        </w:tc>
      </w:tr>
      <w:tr w:rsidR="008B0BD0" w:rsidRPr="008B0BD0">
        <w:trPr>
          <w:cantSplit/>
          <w:jc w:val="center"/>
        </w:trPr>
        <w:tc>
          <w:tcPr>
            <w:tcW w:w="542" w:type="dxa"/>
            <w:shd w:val="clear" w:color="auto" w:fill="auto"/>
            <w:vAlign w:val="bottom"/>
          </w:tcPr>
          <w:p w:rsidR="008B0BD0" w:rsidRPr="008B0BD0" w:rsidRDefault="008B0BD0" w:rsidP="008B0BD0">
            <w:pPr>
              <w:spacing w:before="40" w:after="80" w:line="240" w:lineRule="exact"/>
              <w:rPr>
                <w:rFonts w:cs="Traditional Arabic" w:hint="cs"/>
                <w:sz w:val="16"/>
                <w:szCs w:val="24"/>
                <w:rtl/>
              </w:rPr>
            </w:pPr>
            <w:r w:rsidRPr="008B0BD0">
              <w:rPr>
                <w:rFonts w:cs="Traditional Arabic" w:hint="cs"/>
                <w:sz w:val="16"/>
                <w:szCs w:val="24"/>
                <w:rtl/>
              </w:rPr>
              <w:t>2000</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296</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100</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338</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377</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210</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17</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990</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565</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72</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13</w:t>
            </w:r>
          </w:p>
        </w:tc>
        <w:tc>
          <w:tcPr>
            <w:tcW w:w="825"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2982</w:t>
            </w:r>
          </w:p>
        </w:tc>
      </w:tr>
      <w:tr w:rsidR="008B0BD0" w:rsidRPr="008B0BD0">
        <w:trPr>
          <w:cantSplit/>
          <w:jc w:val="center"/>
        </w:trPr>
        <w:tc>
          <w:tcPr>
            <w:tcW w:w="542" w:type="dxa"/>
            <w:shd w:val="clear" w:color="auto" w:fill="auto"/>
            <w:vAlign w:val="bottom"/>
          </w:tcPr>
          <w:p w:rsidR="008B0BD0" w:rsidRPr="008B0BD0" w:rsidRDefault="008B0BD0" w:rsidP="008B0BD0">
            <w:pPr>
              <w:spacing w:before="40" w:after="80" w:line="240" w:lineRule="exact"/>
              <w:rPr>
                <w:rFonts w:cs="Traditional Arabic" w:hint="cs"/>
                <w:sz w:val="16"/>
                <w:szCs w:val="24"/>
                <w:rtl/>
              </w:rPr>
            </w:pPr>
            <w:r w:rsidRPr="008B0BD0">
              <w:rPr>
                <w:rFonts w:cs="Traditional Arabic" w:hint="cs"/>
                <w:sz w:val="16"/>
                <w:szCs w:val="24"/>
                <w:rtl/>
              </w:rPr>
              <w:t>2001</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476</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62</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321</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313</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114</w:t>
            </w:r>
          </w:p>
        </w:tc>
        <w:tc>
          <w:tcPr>
            <w:tcW w:w="667" w:type="dxa"/>
            <w:shd w:val="clear" w:color="auto" w:fill="auto"/>
            <w:vAlign w:val="bottom"/>
          </w:tcPr>
          <w:p w:rsidR="008B0BD0" w:rsidRPr="008B0BD0" w:rsidRDefault="008B0BD0" w:rsidP="008B0BD0">
            <w:pPr>
              <w:spacing w:before="40" w:after="80" w:line="240" w:lineRule="exact"/>
              <w:jc w:val="lowKashida"/>
              <w:rPr>
                <w:rFonts w:cs="Traditional Arabic" w:hint="cs"/>
                <w:w w:val="100"/>
                <w:sz w:val="16"/>
                <w:szCs w:val="24"/>
                <w:rtl/>
              </w:rPr>
            </w:pPr>
            <w:r w:rsidRPr="008B0BD0">
              <w:rPr>
                <w:rFonts w:cs="Traditional Arabic" w:hint="cs"/>
                <w:w w:val="100"/>
                <w:sz w:val="16"/>
                <w:szCs w:val="24"/>
                <w:rtl/>
              </w:rPr>
              <w:t>صفر</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98</w:t>
            </w:r>
          </w:p>
        </w:tc>
        <w:tc>
          <w:tcPr>
            <w:tcW w:w="667" w:type="dxa"/>
            <w:shd w:val="clear" w:color="auto" w:fill="auto"/>
            <w:vAlign w:val="bottom"/>
          </w:tcPr>
          <w:p w:rsidR="008B0BD0" w:rsidRPr="008B0BD0" w:rsidRDefault="008B0BD0" w:rsidP="008B0BD0">
            <w:pPr>
              <w:spacing w:before="40" w:after="80" w:line="240" w:lineRule="exact"/>
              <w:jc w:val="lowKashida"/>
              <w:rPr>
                <w:rFonts w:cs="Traditional Arabic" w:hint="cs"/>
                <w:sz w:val="16"/>
                <w:szCs w:val="24"/>
                <w:rtl/>
              </w:rPr>
            </w:pPr>
            <w:r w:rsidRPr="008B0BD0">
              <w:rPr>
                <w:rFonts w:cs="Traditional Arabic" w:hint="cs"/>
                <w:w w:val="100"/>
                <w:sz w:val="16"/>
                <w:szCs w:val="24"/>
                <w:rtl/>
              </w:rPr>
              <w:t>صفر</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143</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82</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67</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24</w:t>
            </w:r>
          </w:p>
        </w:tc>
        <w:tc>
          <w:tcPr>
            <w:tcW w:w="825"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1700</w:t>
            </w:r>
          </w:p>
        </w:tc>
      </w:tr>
      <w:tr w:rsidR="008B0BD0" w:rsidRPr="008B0BD0">
        <w:trPr>
          <w:cantSplit/>
          <w:jc w:val="center"/>
        </w:trPr>
        <w:tc>
          <w:tcPr>
            <w:tcW w:w="542" w:type="dxa"/>
            <w:shd w:val="clear" w:color="auto" w:fill="auto"/>
            <w:vAlign w:val="bottom"/>
          </w:tcPr>
          <w:p w:rsidR="008B0BD0" w:rsidRPr="008B0BD0" w:rsidRDefault="008B0BD0" w:rsidP="008B0BD0">
            <w:pPr>
              <w:spacing w:before="40" w:after="80" w:line="240" w:lineRule="exact"/>
              <w:rPr>
                <w:rFonts w:cs="Traditional Arabic" w:hint="cs"/>
                <w:sz w:val="16"/>
                <w:szCs w:val="24"/>
                <w:rtl/>
              </w:rPr>
            </w:pPr>
            <w:r w:rsidRPr="008B0BD0">
              <w:rPr>
                <w:rFonts w:cs="Traditional Arabic" w:hint="cs"/>
                <w:sz w:val="16"/>
                <w:szCs w:val="24"/>
                <w:rtl/>
              </w:rPr>
              <w:t>2002</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358</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71</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293</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435</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60</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27</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680</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329</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97</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16</w:t>
            </w:r>
          </w:p>
        </w:tc>
        <w:tc>
          <w:tcPr>
            <w:tcW w:w="825"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2370</w:t>
            </w:r>
          </w:p>
        </w:tc>
      </w:tr>
      <w:tr w:rsidR="008B0BD0" w:rsidRPr="008B0BD0">
        <w:trPr>
          <w:cantSplit/>
          <w:jc w:val="center"/>
        </w:trPr>
        <w:tc>
          <w:tcPr>
            <w:tcW w:w="542" w:type="dxa"/>
            <w:shd w:val="clear" w:color="auto" w:fill="auto"/>
            <w:vAlign w:val="bottom"/>
          </w:tcPr>
          <w:p w:rsidR="008B0BD0" w:rsidRPr="008B0BD0" w:rsidRDefault="008B0BD0" w:rsidP="008B0BD0">
            <w:pPr>
              <w:spacing w:before="40" w:after="80" w:line="240" w:lineRule="exact"/>
              <w:rPr>
                <w:rFonts w:cs="Traditional Arabic" w:hint="cs"/>
                <w:sz w:val="16"/>
                <w:szCs w:val="24"/>
                <w:rtl/>
              </w:rPr>
            </w:pPr>
            <w:r w:rsidRPr="008B0BD0">
              <w:rPr>
                <w:rFonts w:cs="Traditional Arabic" w:hint="cs"/>
                <w:sz w:val="16"/>
                <w:szCs w:val="24"/>
                <w:rtl/>
              </w:rPr>
              <w:t>2003</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444</w:t>
            </w:r>
          </w:p>
        </w:tc>
        <w:tc>
          <w:tcPr>
            <w:tcW w:w="1296"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40</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205</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386</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93</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43</w:t>
            </w:r>
          </w:p>
        </w:tc>
        <w:tc>
          <w:tcPr>
            <w:tcW w:w="667" w:type="dxa"/>
            <w:shd w:val="clear" w:color="auto" w:fill="auto"/>
            <w:vAlign w:val="bottom"/>
          </w:tcPr>
          <w:p w:rsidR="008B0BD0" w:rsidRPr="008B0BD0" w:rsidRDefault="008B0BD0" w:rsidP="008B0BD0">
            <w:pPr>
              <w:spacing w:before="40" w:after="80" w:line="240" w:lineRule="exact"/>
              <w:jc w:val="lowKashida"/>
              <w:rPr>
                <w:rFonts w:cs="Traditional Arabic" w:hint="cs"/>
                <w:sz w:val="16"/>
                <w:szCs w:val="24"/>
                <w:rtl/>
              </w:rPr>
            </w:pPr>
            <w:r w:rsidRPr="008B0BD0">
              <w:rPr>
                <w:rFonts w:cs="Traditional Arabic" w:hint="cs"/>
                <w:sz w:val="16"/>
                <w:szCs w:val="24"/>
                <w:rtl/>
              </w:rPr>
              <w:t>صفر</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657</w:t>
            </w:r>
          </w:p>
        </w:tc>
        <w:tc>
          <w:tcPr>
            <w:tcW w:w="702"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386</w:t>
            </w:r>
          </w:p>
        </w:tc>
        <w:tc>
          <w:tcPr>
            <w:tcW w:w="721"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83</w:t>
            </w:r>
          </w:p>
        </w:tc>
        <w:tc>
          <w:tcPr>
            <w:tcW w:w="667"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5</w:t>
            </w:r>
          </w:p>
        </w:tc>
        <w:tc>
          <w:tcPr>
            <w:tcW w:w="825" w:type="dxa"/>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2345</w:t>
            </w:r>
          </w:p>
        </w:tc>
      </w:tr>
      <w:tr w:rsidR="008B0BD0" w:rsidRPr="008B0BD0">
        <w:trPr>
          <w:cantSplit/>
          <w:jc w:val="center"/>
        </w:trPr>
        <w:tc>
          <w:tcPr>
            <w:tcW w:w="542" w:type="dxa"/>
            <w:tcBorders>
              <w:bottom w:val="single" w:sz="12" w:space="0" w:color="auto"/>
            </w:tcBorders>
            <w:shd w:val="clear" w:color="auto" w:fill="auto"/>
            <w:vAlign w:val="bottom"/>
          </w:tcPr>
          <w:p w:rsidR="008B0BD0" w:rsidRPr="008B0BD0" w:rsidRDefault="008B0BD0" w:rsidP="008B0BD0">
            <w:pPr>
              <w:spacing w:before="40" w:after="80" w:line="240" w:lineRule="exact"/>
              <w:rPr>
                <w:rFonts w:cs="Traditional Arabic" w:hint="cs"/>
                <w:sz w:val="16"/>
                <w:szCs w:val="24"/>
                <w:rtl/>
              </w:rPr>
            </w:pPr>
            <w:r w:rsidRPr="008B0BD0">
              <w:rPr>
                <w:rFonts w:cs="Traditional Arabic" w:hint="cs"/>
                <w:sz w:val="16"/>
                <w:szCs w:val="24"/>
                <w:rtl/>
              </w:rPr>
              <w:t>2004</w:t>
            </w:r>
          </w:p>
        </w:tc>
        <w:tc>
          <w:tcPr>
            <w:tcW w:w="1296"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496</w:t>
            </w:r>
          </w:p>
        </w:tc>
        <w:tc>
          <w:tcPr>
            <w:tcW w:w="1296"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95</w:t>
            </w:r>
          </w:p>
        </w:tc>
        <w:tc>
          <w:tcPr>
            <w:tcW w:w="721"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362</w:t>
            </w:r>
          </w:p>
        </w:tc>
        <w:tc>
          <w:tcPr>
            <w:tcW w:w="702"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433</w:t>
            </w:r>
          </w:p>
        </w:tc>
        <w:tc>
          <w:tcPr>
            <w:tcW w:w="721"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83</w:t>
            </w:r>
          </w:p>
        </w:tc>
        <w:tc>
          <w:tcPr>
            <w:tcW w:w="667"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w:t>
            </w:r>
          </w:p>
        </w:tc>
        <w:tc>
          <w:tcPr>
            <w:tcW w:w="721"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93</w:t>
            </w:r>
          </w:p>
        </w:tc>
        <w:tc>
          <w:tcPr>
            <w:tcW w:w="667"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w:t>
            </w:r>
          </w:p>
        </w:tc>
        <w:tc>
          <w:tcPr>
            <w:tcW w:w="721"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620</w:t>
            </w:r>
          </w:p>
        </w:tc>
        <w:tc>
          <w:tcPr>
            <w:tcW w:w="702"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298</w:t>
            </w:r>
          </w:p>
        </w:tc>
        <w:tc>
          <w:tcPr>
            <w:tcW w:w="721"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33</w:t>
            </w:r>
          </w:p>
        </w:tc>
        <w:tc>
          <w:tcPr>
            <w:tcW w:w="667"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12</w:t>
            </w:r>
          </w:p>
        </w:tc>
        <w:tc>
          <w:tcPr>
            <w:tcW w:w="825" w:type="dxa"/>
            <w:tcBorders>
              <w:bottom w:val="single" w:sz="12" w:space="0" w:color="auto"/>
            </w:tcBorders>
            <w:shd w:val="clear" w:color="auto" w:fill="auto"/>
            <w:vAlign w:val="bottom"/>
          </w:tcPr>
          <w:p w:rsidR="008B0BD0" w:rsidRPr="008B0BD0" w:rsidRDefault="008B0BD0" w:rsidP="008B0BD0">
            <w:pPr>
              <w:spacing w:before="40" w:after="80" w:line="240" w:lineRule="exact"/>
              <w:ind w:right="144"/>
              <w:jc w:val="lowKashida"/>
              <w:rPr>
                <w:rFonts w:cs="Traditional Arabic" w:hint="cs"/>
                <w:sz w:val="16"/>
                <w:szCs w:val="24"/>
                <w:rtl/>
              </w:rPr>
            </w:pPr>
            <w:r w:rsidRPr="008B0BD0">
              <w:rPr>
                <w:rFonts w:cs="Traditional Arabic" w:hint="cs"/>
                <w:sz w:val="16"/>
                <w:szCs w:val="24"/>
                <w:rtl/>
              </w:rPr>
              <w:t>2475</w:t>
            </w:r>
          </w:p>
        </w:tc>
      </w:tr>
    </w:tbl>
    <w:p w:rsidR="00EC6374" w:rsidRPr="00EC6374" w:rsidRDefault="003626EB" w:rsidP="003626EB">
      <w:pPr>
        <w:pStyle w:val="FootnoteText"/>
        <w:tabs>
          <w:tab w:val="clear" w:pos="418"/>
          <w:tab w:val="right" w:pos="662"/>
          <w:tab w:val="left" w:pos="763"/>
          <w:tab w:val="left" w:pos="1210"/>
          <w:tab w:val="left" w:pos="1685"/>
          <w:tab w:val="left" w:pos="2174"/>
          <w:tab w:val="left" w:pos="2650"/>
        </w:tabs>
        <w:spacing w:after="80"/>
        <w:ind w:left="763" w:right="0" w:hanging="763"/>
        <w:rPr>
          <w:rFonts w:hint="cs"/>
          <w:b/>
          <w:bCs/>
          <w:rtl/>
        </w:rPr>
      </w:pPr>
      <w:r>
        <w:rPr>
          <w:rFonts w:hint="cs"/>
          <w:rtl/>
        </w:rPr>
        <w:tab/>
      </w:r>
      <w:r w:rsidR="00171B67" w:rsidRPr="00DF6268">
        <w:rPr>
          <w:rFonts w:hint="cs"/>
          <w:rtl/>
        </w:rPr>
        <w:t>المصدر:</w:t>
      </w:r>
      <w:r>
        <w:rPr>
          <w:rFonts w:hint="cs"/>
          <w:rtl/>
        </w:rPr>
        <w:tab/>
      </w:r>
      <w:r w:rsidR="00171B67" w:rsidRPr="00DF6268">
        <w:rPr>
          <w:rFonts w:hint="cs"/>
          <w:rtl/>
        </w:rPr>
        <w:t>توفالو، تقرير البيانات الاجتماعية، عام 2005.</w:t>
      </w:r>
    </w:p>
    <w:p w:rsidR="00F75C65" w:rsidRPr="00F75C65" w:rsidRDefault="00F75C65" w:rsidP="00F75C65">
      <w:pPr>
        <w:pStyle w:val="SingleTxt"/>
        <w:spacing w:after="0" w:line="120" w:lineRule="exact"/>
        <w:rPr>
          <w:rFonts w:hint="cs"/>
          <w:sz w:val="10"/>
          <w:rtl/>
        </w:rPr>
      </w:pPr>
    </w:p>
    <w:p w:rsidR="00F75C65" w:rsidRDefault="003626EB" w:rsidP="00F75C65">
      <w:pPr>
        <w:pStyle w:val="SingleTxt"/>
        <w:rPr>
          <w:rFonts w:hint="cs"/>
          <w:rtl/>
        </w:rPr>
      </w:pPr>
      <w:r>
        <w:rPr>
          <w:rFonts w:hint="cs"/>
          <w:rtl/>
        </w:rPr>
        <w:tab/>
      </w:r>
      <w:r w:rsidR="00F75C65">
        <w:rPr>
          <w:rFonts w:hint="cs"/>
          <w:rtl/>
        </w:rPr>
        <w:t>الجنايات المتعلقة بالسير هي أكثر الجنايات شيوعاً كما يتبين من الجدول 3. وأكثر من 70 في المائة من المخالفين هم من الذكور. وفي السنوات الخمس الأخيرة، بلغت نسبة جنايات السير 20-30 في المائة من مجموع الجنايات التي ارتكبت. وثاني أكثر الجنايات شيوعاً هي الجنايات التي تقع في إطار قانون العقوبات، مثل السرقة والسطو والاختلاس والاغتصاب والسُكْر والإخلال بالنظام. ووفقاً لما تقوله الشرطة، أُبلغ في عام 2000 عن 11 قضية عنف منزلي؛ و 6 أعمال عنف اشتملت على اغتصاب واعتداء ونشر شائعات كاذبة والقيام بأعمال غير لائقة، بينما أبلغ عن 15 قضية من هذا القبيل في عام 2002. وزاد عدد القضايا المبلغ عنها إلى 19 قضية في عام 2003 و 21 قضية في عام 2004. وفي عام 2005، انخفض عدد القضايا المبلغ عنها إلى 16 قضية.</w:t>
      </w:r>
    </w:p>
    <w:p w:rsidR="00F75C65" w:rsidRDefault="00F75C65" w:rsidP="00F75C6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tab/>
      </w:r>
      <w:r>
        <w:tab/>
      </w:r>
      <w:r w:rsidRPr="002F1027">
        <w:rPr>
          <w:rFonts w:hint="cs"/>
          <w:rtl/>
        </w:rPr>
        <w:t>الجنايات الجنسية</w:t>
      </w:r>
    </w:p>
    <w:p w:rsidR="00F75C65" w:rsidRDefault="00F75C65" w:rsidP="00384A94">
      <w:pPr>
        <w:pStyle w:val="SingleTxt"/>
        <w:rPr>
          <w:rFonts w:hint="cs"/>
          <w:rtl/>
        </w:rPr>
      </w:pPr>
      <w:r>
        <w:rPr>
          <w:rFonts w:hint="cs"/>
          <w:rtl/>
          <w:lang w:val="en-ZW" w:bidi="ar-EG"/>
        </w:rPr>
        <w:t>2-</w:t>
      </w:r>
      <w:r w:rsidR="00384A94">
        <w:rPr>
          <w:rFonts w:hint="cs"/>
          <w:rtl/>
          <w:lang w:val="en-ZW" w:bidi="ar-EG"/>
        </w:rPr>
        <w:t>10</w:t>
      </w:r>
      <w:r>
        <w:rPr>
          <w:rFonts w:hint="cs"/>
          <w:rtl/>
          <w:lang w:val="en-ZW" w:bidi="ar-EG"/>
        </w:rPr>
        <w:tab/>
      </w:r>
      <w:r>
        <w:rPr>
          <w:rFonts w:hint="cs"/>
          <w:rtl/>
        </w:rPr>
        <w:t>يوجد نطاق من الجرائم الجنسية بمقتضى أحكام قانون العقوبات (القانون رقم 8) لعام 1978، ومن بين هذه الجرائم الاغتصاب الذي يعاقب عليه بالسجن مدى الحياة، ومحاولة الاغتصاب والاعتداء اللاأخلاقي، وهتك أعراض الفتيات اللواتي تقل أعمارهن عن 13 عاماً يعاقب مرتكبه بالسجن مدى الحياة، وهتك أعراض الفتيات من الفئة العمرية</w:t>
      </w:r>
      <w:r>
        <w:rPr>
          <w:rtl/>
        </w:rPr>
        <w:br/>
      </w:r>
      <w:r>
        <w:rPr>
          <w:rFonts w:hint="cs"/>
          <w:rtl/>
        </w:rPr>
        <w:t>13-15 عاماً يعاقب عليه بالسجن لمدة خمس سنوات</w:t>
      </w:r>
      <w:r w:rsidRPr="00F75C65">
        <w:rPr>
          <w:vertAlign w:val="superscript"/>
          <w:rtl/>
        </w:rPr>
        <w:t>(</w:t>
      </w:r>
      <w:r>
        <w:rPr>
          <w:rStyle w:val="FootnoteReference"/>
          <w:rtl/>
        </w:rPr>
        <w:footnoteReference w:id="49"/>
      </w:r>
      <w:r w:rsidRPr="00F75C65">
        <w:rPr>
          <w:vertAlign w:val="superscript"/>
          <w:rtl/>
        </w:rPr>
        <w:t>)</w:t>
      </w:r>
      <w:r>
        <w:rPr>
          <w:rFonts w:hint="cs"/>
          <w:rtl/>
        </w:rPr>
        <w:t>.</w:t>
      </w:r>
    </w:p>
    <w:p w:rsidR="00F75C65" w:rsidRDefault="00F75C65" w:rsidP="00384A94">
      <w:pPr>
        <w:pStyle w:val="SingleTxt"/>
        <w:rPr>
          <w:rFonts w:hint="cs"/>
          <w:rtl/>
        </w:rPr>
      </w:pPr>
      <w:r>
        <w:rPr>
          <w:rFonts w:hint="cs"/>
          <w:rtl/>
        </w:rPr>
        <w:t>2-1</w:t>
      </w:r>
      <w:r w:rsidR="00384A94">
        <w:rPr>
          <w:rFonts w:hint="cs"/>
          <w:rtl/>
        </w:rPr>
        <w:t>1</w:t>
      </w:r>
      <w:r>
        <w:rPr>
          <w:rFonts w:hint="cs"/>
          <w:rtl/>
        </w:rPr>
        <w:tab/>
        <w:t>أية أنثى تبلغ 15 عاماً من العمر فما فوق توافق على ممارسة الجنس مع جدها أو والدها أو أخيها أو ابنها، وهي تعلم أنه جدها أو والدها أو أخوها أو ابنها، حسبما يكون عليه الأمر، تعتبر قد ارتكبت جناية</w:t>
      </w:r>
      <w:r w:rsidRPr="00F75C65">
        <w:rPr>
          <w:vertAlign w:val="superscript"/>
          <w:rtl/>
        </w:rPr>
        <w:t>(</w:t>
      </w:r>
      <w:r>
        <w:rPr>
          <w:rStyle w:val="FootnoteReference"/>
          <w:rtl/>
        </w:rPr>
        <w:footnoteReference w:id="50"/>
      </w:r>
      <w:r w:rsidRPr="00F75C65">
        <w:rPr>
          <w:vertAlign w:val="superscript"/>
          <w:rtl/>
        </w:rPr>
        <w:t>)</w:t>
      </w:r>
      <w:r>
        <w:rPr>
          <w:rFonts w:hint="cs"/>
          <w:rtl/>
        </w:rPr>
        <w:t>. هذا قانون تمييزي لأن الموافقة لا ينبغي أن تكون دفاعاً لأية فتاة يقل عمرها عن 18 عاماً، كما أن هذا الحكم لا يعترف بقوة عدم التوازن بين الفتاة والمرأة من جهة والأقارب الذكور من جهة أخرى.</w:t>
      </w:r>
    </w:p>
    <w:p w:rsidR="00F75C65" w:rsidRDefault="00F75C65" w:rsidP="00384A94">
      <w:pPr>
        <w:pStyle w:val="SingleTxt"/>
        <w:rPr>
          <w:rFonts w:hint="cs"/>
          <w:rtl/>
        </w:rPr>
      </w:pPr>
      <w:r>
        <w:rPr>
          <w:rFonts w:hint="cs"/>
          <w:rtl/>
        </w:rPr>
        <w:t>2-1</w:t>
      </w:r>
      <w:r w:rsidR="00384A94">
        <w:rPr>
          <w:rFonts w:hint="cs"/>
          <w:rtl/>
        </w:rPr>
        <w:t>2</w:t>
      </w:r>
      <w:r>
        <w:rPr>
          <w:rFonts w:hint="cs"/>
          <w:rtl/>
        </w:rPr>
        <w:tab/>
        <w:t xml:space="preserve">فضلاً عن ذلك، من المهم أن نلاحظ أنه بموجب الفرع 135 (2) من قانون العقوبات </w:t>
      </w:r>
      <w:r>
        <w:rPr>
          <w:rFonts w:hint="eastAsia"/>
          <w:rtl/>
        </w:rPr>
        <w:t>”</w:t>
      </w:r>
      <w:r>
        <w:rPr>
          <w:rFonts w:hint="cs"/>
          <w:rtl/>
        </w:rPr>
        <w:t>لا يشرع في محاكمة نتيجة لانتهاك عرض فتاة من الفئة العمرية 13-15 عاماً بعد أكثر من 12 شهراً من ارتكاب الجريمة</w:t>
      </w:r>
      <w:r>
        <w:rPr>
          <w:rFonts w:hint="eastAsia"/>
          <w:rtl/>
        </w:rPr>
        <w:t>“</w:t>
      </w:r>
      <w:r>
        <w:rPr>
          <w:rFonts w:hint="cs"/>
          <w:rtl/>
        </w:rPr>
        <w:t xml:space="preserve"> وهذا يميز ضد الفتيات من هذه الفئة العمرية إذا حدث تأخير في التحقيقات التي تجريها الشرطة والتي قد تؤدي إلى تأخير بدء المحاكمة.</w:t>
      </w:r>
    </w:p>
    <w:p w:rsidR="00F75C65" w:rsidRDefault="00F75C65" w:rsidP="00384A94">
      <w:pPr>
        <w:pStyle w:val="SingleTxt"/>
        <w:rPr>
          <w:rFonts w:hint="cs"/>
          <w:rtl/>
        </w:rPr>
      </w:pPr>
      <w:r>
        <w:rPr>
          <w:rFonts w:hint="cs"/>
          <w:rtl/>
        </w:rPr>
        <w:t>2-1</w:t>
      </w:r>
      <w:r w:rsidR="00384A94">
        <w:rPr>
          <w:rFonts w:hint="cs"/>
          <w:rtl/>
        </w:rPr>
        <w:t>3</w:t>
      </w:r>
      <w:r>
        <w:rPr>
          <w:rFonts w:hint="cs"/>
          <w:rtl/>
        </w:rPr>
        <w:tab/>
        <w:t>ويحدد قانون العقوبات (القانون رقم 8) العقوبات المترتبة على ارتكاب الجرائم الجنسية، مثل الاغتصاب الذي يعاقب عليه بالسجن مدى الحياة، ومحاولة الاغتصاب والاعتداء غير الأخلاقي، وانتهاك عرض فتاة يقل عمرها عن 13 عاماً يعاقب عليه بالسجن مدى الحياة، وانتهاك عرض فتاة من الفئة العمرية 13-15 عاماً يعاقب عليه بالسجن لمدة خمس سنوات</w:t>
      </w:r>
      <w:r w:rsidRPr="00F75C65">
        <w:rPr>
          <w:vertAlign w:val="superscript"/>
          <w:rtl/>
        </w:rPr>
        <w:t>(</w:t>
      </w:r>
      <w:r>
        <w:rPr>
          <w:rStyle w:val="FootnoteReference"/>
          <w:rtl/>
        </w:rPr>
        <w:footnoteReference w:id="51"/>
      </w:r>
      <w:r w:rsidRPr="00F75C65">
        <w:rPr>
          <w:vertAlign w:val="superscript"/>
          <w:rtl/>
        </w:rPr>
        <w:t>)</w:t>
      </w:r>
      <w:r>
        <w:rPr>
          <w:rFonts w:hint="cs"/>
          <w:rtl/>
        </w:rPr>
        <w:t>. ووفقاً لجيفان وفورستر (عام 2006)، مع أن اغتصاب وهتك عرض فتاة يقل عمرها عن 13 عاماً ينظر إليه بجدية، فإن العقوبة المخففة للاعتداء على الفتيات من الفئة العمرية 13-15 عاماً ليست بنفس الشدة وتمييزية. إضافة إلى ذلك، فإن عقوبات السجن على ارتكاب جميع الجرائم الجنسية تحدد الحد الأقصى للعقوبة وليس الحد الأدنى. وقد يسفر هذا عن مدة سجن أقل كعقوبة على ارتكاب جرائم جنسية، مما لا يعكس جسامة هذه الجرائم</w:t>
      </w:r>
      <w:r w:rsidRPr="00F75C65">
        <w:rPr>
          <w:vertAlign w:val="superscript"/>
          <w:rtl/>
        </w:rPr>
        <w:t>(</w:t>
      </w:r>
      <w:r>
        <w:rPr>
          <w:rStyle w:val="FootnoteReference"/>
          <w:rtl/>
        </w:rPr>
        <w:footnoteReference w:id="52"/>
      </w:r>
      <w:r w:rsidRPr="00F75C65">
        <w:rPr>
          <w:vertAlign w:val="superscript"/>
          <w:rtl/>
        </w:rPr>
        <w:t>)</w:t>
      </w:r>
      <w:r>
        <w:rPr>
          <w:rFonts w:hint="cs"/>
          <w:rtl/>
        </w:rPr>
        <w:t>.</w:t>
      </w:r>
    </w:p>
    <w:p w:rsidR="00F75C65" w:rsidRDefault="00F75C65" w:rsidP="00384A94">
      <w:pPr>
        <w:pStyle w:val="SingleTxt"/>
        <w:rPr>
          <w:rFonts w:hint="cs"/>
        </w:rPr>
      </w:pPr>
      <w:r>
        <w:rPr>
          <w:rFonts w:hint="cs"/>
          <w:rtl/>
        </w:rPr>
        <w:t>2-1</w:t>
      </w:r>
      <w:r w:rsidR="00384A94">
        <w:rPr>
          <w:rFonts w:hint="cs"/>
          <w:rtl/>
        </w:rPr>
        <w:t>4</w:t>
      </w:r>
      <w:r>
        <w:rPr>
          <w:rFonts w:hint="cs"/>
          <w:rtl/>
        </w:rPr>
        <w:tab/>
        <w:t>تخطط الحكومة لإجراء مراجعة تدريجية لقوانينها كما هو مبين في تي كاكيغا الثانية. وهذا من شأنه أن يوفر فرصة للتأكد من معالجة هذه القضايا في القوانين المنقحة.</w:t>
      </w:r>
    </w:p>
    <w:p w:rsidR="00F75C65" w:rsidRDefault="00F75C65" w:rsidP="00F75C65">
      <w:pPr>
        <w:rPr>
          <w:rFonts w:hint="cs"/>
          <w:sz w:val="32"/>
          <w:szCs w:val="32"/>
          <w:rtl/>
        </w:rPr>
      </w:pPr>
    </w:p>
    <w:p w:rsidR="00F75C65" w:rsidRDefault="00384A94" w:rsidP="00384A94">
      <w:pPr>
        <w:pStyle w:val="SingleTxt"/>
        <w:rPr>
          <w:rFonts w:hint="cs"/>
          <w:rtl/>
        </w:rPr>
      </w:pPr>
      <w:r>
        <w:rPr>
          <w:rFonts w:hint="cs"/>
          <w:rtl/>
        </w:rPr>
        <w:t>2-15</w:t>
      </w:r>
      <w:r w:rsidR="00F75C65">
        <w:rPr>
          <w:rFonts w:hint="cs"/>
          <w:rtl/>
        </w:rPr>
        <w:tab/>
        <w:t>وإدراكاً من الحكومة لمحدودية ما تستطيع القيام به بوصفها حكومة بلد نامٍ ومزود خدمات، فإنها تثمن عمل المنظمات غير الحكومية ومنظمات المجتمع الدولي. وفي هذا المجال، كان مجلس توفال الوطني للمرأة فعالاً، من خلال فريق موارد الحقوق الإقليمي / برنامج الأمم المتحدة الإنمائي، في تنظيم حلقات تدريبية للمجتمعات المحلية بشأن حقوق الإنسان والتركيز على ما يلي:</w:t>
      </w:r>
    </w:p>
    <w:p w:rsidR="00F75C65" w:rsidRDefault="00384A94" w:rsidP="00384A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F75C65">
        <w:rPr>
          <w:rFonts w:hint="cs"/>
          <w:rtl/>
        </w:rPr>
        <w:t xml:space="preserve">حق المرأة في تملك الأراضي مقابل نظام ملكية الأراضي التقليدي؛ </w:t>
      </w:r>
    </w:p>
    <w:p w:rsidR="00F75C65" w:rsidRDefault="00384A94" w:rsidP="00384A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F75C65">
        <w:rPr>
          <w:rFonts w:hint="cs"/>
          <w:rtl/>
        </w:rPr>
        <w:t>حق المرأة في أن تعامل على قدم المساواة فيما يتعلق بممتلكات الأسرة وأرضها؛</w:t>
      </w:r>
    </w:p>
    <w:p w:rsidR="00F75C65" w:rsidRDefault="00384A94" w:rsidP="00384A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F75C65">
        <w:rPr>
          <w:rFonts w:hint="cs"/>
          <w:rtl/>
        </w:rPr>
        <w:t>ألا تعامل معاملة غير إنسانية مقابل العادات والتقاليد؛</w:t>
      </w:r>
    </w:p>
    <w:p w:rsidR="00F75C65" w:rsidRDefault="00384A94" w:rsidP="00F93B2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F75C65">
        <w:rPr>
          <w:rFonts w:hint="cs"/>
          <w:rtl/>
        </w:rPr>
        <w:t xml:space="preserve">ملكية الأراضي التقليدية بموجب قانون أراضي </w:t>
      </w:r>
      <w:r w:rsidR="00F93B21">
        <w:rPr>
          <w:rFonts w:hint="cs"/>
          <w:rtl/>
        </w:rPr>
        <w:t>السكان الأصليين</w:t>
      </w:r>
      <w:r w:rsidR="00F75C65">
        <w:rPr>
          <w:rFonts w:hint="cs"/>
          <w:rtl/>
        </w:rPr>
        <w:t>؛</w:t>
      </w:r>
    </w:p>
    <w:p w:rsidR="00F75C65" w:rsidRDefault="00384A94" w:rsidP="00384A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F75C65">
        <w:rPr>
          <w:rFonts w:hint="cs"/>
          <w:rtl/>
        </w:rPr>
        <w:t>تدريب الشرطة على حقوق الإنسان؛</w:t>
      </w:r>
    </w:p>
    <w:p w:rsidR="00F75C65" w:rsidRDefault="00384A94" w:rsidP="00384A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F75C65">
        <w:rPr>
          <w:rFonts w:hint="cs"/>
          <w:rtl/>
        </w:rPr>
        <w:t>تنظيم حلقات عمل لتدريب المنظمات غير الحكومية ومنظمات المجتمع المدني والعاملين في الميدان الصحي ورجال الشرطة على حقوق الإنسان وفيروس نقص المناعة البشرية/ متلازمة نقص المناعة المكتسب (الإيدز).</w:t>
      </w:r>
    </w:p>
    <w:p w:rsidR="00F75C65" w:rsidRDefault="00384A94" w:rsidP="00384A94">
      <w:pPr>
        <w:pStyle w:val="SingleTxt"/>
        <w:rPr>
          <w:rFonts w:hint="cs"/>
          <w:rtl/>
        </w:rPr>
      </w:pPr>
      <w:r>
        <w:rPr>
          <w:rFonts w:hint="cs"/>
          <w:rtl/>
        </w:rPr>
        <w:t>2-16</w:t>
      </w:r>
      <w:r>
        <w:rPr>
          <w:rFonts w:hint="cs"/>
          <w:rtl/>
        </w:rPr>
        <w:tab/>
      </w:r>
      <w:r w:rsidR="00F75C65">
        <w:rPr>
          <w:rFonts w:hint="cs"/>
          <w:rtl/>
        </w:rPr>
        <w:t>وتقوم منظمات غير حكومية ومنظمات مجتمع مدني أخرى، مثل جمعية صحة الأسرة في توفالو وجمعية الصليب الأحمر في توفالو، بالتدريب على المسائل الجنسانية وحقوق الإنسان كجزء من برامج تعلم مهارات الحياة التي تقدمها للشباب.</w:t>
      </w:r>
    </w:p>
    <w:p w:rsidR="00F75C65" w:rsidRDefault="00384A94" w:rsidP="00E87C8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00F75C65" w:rsidRPr="00D97D9F">
        <w:rPr>
          <w:rFonts w:hint="cs"/>
          <w:rtl/>
        </w:rPr>
        <w:t>المادة 3</w:t>
      </w:r>
    </w:p>
    <w:p w:rsidR="00F75C65" w:rsidRDefault="00F75C65" w:rsidP="00F75C65">
      <w:pPr>
        <w:rPr>
          <w:rFonts w:hint="cs"/>
          <w:b/>
          <w:bCs/>
          <w:sz w:val="32"/>
          <w:szCs w:val="32"/>
          <w:rtl/>
        </w:rPr>
      </w:pPr>
    </w:p>
    <w:tbl>
      <w:tblPr>
        <w:tblStyle w:val="TableGrid"/>
        <w:bidiVisual/>
        <w:tblW w:w="0" w:type="dxa"/>
        <w:jc w:val="center"/>
        <w:tblLook w:val="01E0" w:firstRow="1" w:lastRow="1" w:firstColumn="1" w:lastColumn="1" w:noHBand="0" w:noVBand="0"/>
      </w:tblPr>
      <w:tblGrid>
        <w:gridCol w:w="8856"/>
      </w:tblGrid>
      <w:tr w:rsidR="00F75C65">
        <w:trPr>
          <w:jc w:val="center"/>
        </w:trPr>
        <w:tc>
          <w:tcPr>
            <w:tcW w:w="8856" w:type="dxa"/>
          </w:tcPr>
          <w:p w:rsidR="00F75C65" w:rsidRPr="00384A94" w:rsidRDefault="00F75C65" w:rsidP="00384A94">
            <w:pPr>
              <w:pStyle w:val="SingleTxt"/>
              <w:rPr>
                <w:rFonts w:cs="Traditional Arabic" w:hint="cs"/>
                <w:rtl/>
              </w:rPr>
            </w:pPr>
            <w:r w:rsidRPr="00384A94">
              <w:rPr>
                <w:rFonts w:cs="Traditional Arabic" w:hint="cs"/>
                <w:rtl/>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tc>
      </w:tr>
    </w:tbl>
    <w:p w:rsidR="00F75C65" w:rsidRPr="00D97D9F" w:rsidRDefault="00F75C65" w:rsidP="00F75C65">
      <w:pPr>
        <w:rPr>
          <w:rFonts w:hint="cs"/>
          <w:b/>
          <w:bCs/>
          <w:sz w:val="32"/>
          <w:szCs w:val="32"/>
          <w:rtl/>
        </w:rPr>
      </w:pPr>
    </w:p>
    <w:p w:rsidR="00F75C65" w:rsidRPr="002B1F9C" w:rsidRDefault="00384A94" w:rsidP="00384A9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F75C65" w:rsidRPr="002B1F9C">
        <w:rPr>
          <w:rFonts w:hint="cs"/>
          <w:rtl/>
        </w:rPr>
        <w:t>الإطار القانوني وإطار السياسة العامة</w:t>
      </w:r>
    </w:p>
    <w:p w:rsidR="00F75C65" w:rsidRDefault="00F75C65" w:rsidP="00F93B21">
      <w:pPr>
        <w:pStyle w:val="SingleTxt"/>
        <w:rPr>
          <w:rFonts w:hint="cs"/>
          <w:rtl/>
        </w:rPr>
      </w:pPr>
      <w:r>
        <w:rPr>
          <w:rFonts w:hint="cs"/>
          <w:rtl/>
        </w:rPr>
        <w:t>3-1</w:t>
      </w:r>
      <w:r w:rsidR="00384A94">
        <w:rPr>
          <w:rFonts w:hint="cs"/>
          <w:rtl/>
        </w:rPr>
        <w:tab/>
      </w:r>
      <w:r>
        <w:rPr>
          <w:rFonts w:hint="cs"/>
          <w:rtl/>
        </w:rPr>
        <w:t xml:space="preserve">يكفل الدستور لكل شخص في توفالو الحقوق والحريات الأساسية. وبناءً على ذلك، فإن معظم التشريعات والسياسات العامة القائمة تعامل الرجل والمرأة على قدم المساواة. بيد أن هناك بعض القوانين القائمة، مثل </w:t>
      </w:r>
      <w:r w:rsidRPr="00D97D9F">
        <w:rPr>
          <w:rFonts w:hint="cs"/>
          <w:i/>
          <w:iCs/>
          <w:rtl/>
        </w:rPr>
        <w:t xml:space="preserve">قانون أراضي </w:t>
      </w:r>
      <w:r w:rsidR="00F93B21">
        <w:rPr>
          <w:rFonts w:hint="cs"/>
          <w:i/>
          <w:iCs/>
          <w:rtl/>
        </w:rPr>
        <w:t>السكان الأصليين</w:t>
      </w:r>
      <w:r>
        <w:rPr>
          <w:rFonts w:hint="cs"/>
          <w:i/>
          <w:iCs/>
          <w:rtl/>
        </w:rPr>
        <w:t xml:space="preserve"> </w:t>
      </w:r>
      <w:r>
        <w:rPr>
          <w:rFonts w:hint="cs"/>
          <w:rtl/>
        </w:rPr>
        <w:t>وقانون الزواج (القانون ر</w:t>
      </w:r>
      <w:r w:rsidR="00384A94">
        <w:rPr>
          <w:rFonts w:hint="cs"/>
          <w:rtl/>
        </w:rPr>
        <w:t>قم</w:t>
      </w:r>
      <w:r w:rsidR="00384A94">
        <w:rPr>
          <w:rFonts w:hint="eastAsia"/>
          <w:rtl/>
        </w:rPr>
        <w:t> </w:t>
      </w:r>
      <w:r>
        <w:rPr>
          <w:rFonts w:hint="cs"/>
          <w:rtl/>
        </w:rPr>
        <w:t xml:space="preserve">29) وقانون الأراضي في توفالو، تسمح بالتمييز صراحة على أساس نوع الجنس. وينص قانون أراضي </w:t>
      </w:r>
      <w:r w:rsidR="00F93B21">
        <w:rPr>
          <w:rFonts w:hint="cs"/>
          <w:rtl/>
        </w:rPr>
        <w:t xml:space="preserve">السكان الأصليين </w:t>
      </w:r>
      <w:r>
        <w:rPr>
          <w:rFonts w:hint="cs"/>
          <w:rtl/>
        </w:rPr>
        <w:t>على تهميش المرأة فيما يتعلق بتوزيع الأراضي. ولكل جزيرة قوانين أراضٍ خاصة بها، وهذه القوانين مقيدة بالقوانين العرفية. ولا يتمتع تمتعاً كاملاً بجميع الحقوق المرتبطة باستخدام أراضٍ معينة سوى رئيس الأسرة الموسعة (كايتاسي)</w:t>
      </w:r>
      <w:r w:rsidR="00384A94" w:rsidRPr="00384A94">
        <w:rPr>
          <w:vertAlign w:val="superscript"/>
          <w:rtl/>
        </w:rPr>
        <w:t>(</w:t>
      </w:r>
      <w:r w:rsidR="00384A94">
        <w:rPr>
          <w:rStyle w:val="FootnoteReference"/>
          <w:rtl/>
        </w:rPr>
        <w:footnoteReference w:id="53"/>
      </w:r>
      <w:r w:rsidR="00384A94" w:rsidRPr="00384A94">
        <w:rPr>
          <w:vertAlign w:val="superscript"/>
          <w:rtl/>
        </w:rPr>
        <w:t>)</w:t>
      </w:r>
      <w:r>
        <w:rPr>
          <w:rFonts w:hint="cs"/>
          <w:rtl/>
        </w:rPr>
        <w:t>. ولا تتاح للمرأة فرصة أن تصبح رئيسة كايتاسي إلا إذا توفي إخوتها، أو إذا كانت وحيدة والديها.</w:t>
      </w:r>
    </w:p>
    <w:p w:rsidR="00F75C65" w:rsidRDefault="00384A94" w:rsidP="00F93B21">
      <w:pPr>
        <w:pStyle w:val="SingleTxt"/>
        <w:rPr>
          <w:rFonts w:hint="cs"/>
          <w:rtl/>
        </w:rPr>
      </w:pPr>
      <w:r>
        <w:rPr>
          <w:rFonts w:hint="cs"/>
          <w:rtl/>
        </w:rPr>
        <w:t>3-2</w:t>
      </w:r>
      <w:r>
        <w:rPr>
          <w:rFonts w:hint="cs"/>
          <w:rtl/>
        </w:rPr>
        <w:tab/>
      </w:r>
      <w:r w:rsidR="00F75C65">
        <w:rPr>
          <w:rFonts w:hint="cs"/>
          <w:rtl/>
        </w:rPr>
        <w:t xml:space="preserve">يحدد الفرع 27 من دستور توفالو أسس التمييز، ونوع الجنس ليس من بينها. ولذلك، فإن التمييز </w:t>
      </w:r>
      <w:r w:rsidR="00F93B21">
        <w:rPr>
          <w:rFonts w:hint="cs"/>
          <w:rtl/>
        </w:rPr>
        <w:t xml:space="preserve">الجنساني </w:t>
      </w:r>
      <w:r w:rsidR="00F75C65">
        <w:rPr>
          <w:rFonts w:hint="cs"/>
          <w:rtl/>
        </w:rPr>
        <w:t>ليس غير قانوني بموجب الدستور.</w:t>
      </w:r>
    </w:p>
    <w:p w:rsidR="00F75C65" w:rsidRDefault="00384A94" w:rsidP="00384A94">
      <w:pPr>
        <w:pStyle w:val="SingleTxt"/>
        <w:rPr>
          <w:rFonts w:hint="cs"/>
          <w:rtl/>
        </w:rPr>
      </w:pPr>
      <w:r>
        <w:rPr>
          <w:rFonts w:hint="cs"/>
          <w:rtl/>
        </w:rPr>
        <w:t>3-3</w:t>
      </w:r>
      <w:r>
        <w:rPr>
          <w:rFonts w:hint="cs"/>
          <w:rtl/>
        </w:rPr>
        <w:tab/>
      </w:r>
      <w:r w:rsidR="00F75C65">
        <w:rPr>
          <w:rFonts w:hint="cs"/>
          <w:rtl/>
        </w:rPr>
        <w:t>ولا يتطرق قانون الفالي كابيول لعام 1997 للتمثيل المتساوي للرجل والمرأة في شؤون مسائل الحكومة المحلية. إلا أن التأثير العملي للإشارة إلى الثقافة والتقاليد</w:t>
      </w:r>
      <w:r>
        <w:rPr>
          <w:rtl/>
        </w:rPr>
        <w:br/>
      </w:r>
      <w:r w:rsidR="00F75C65" w:rsidRPr="00891F99">
        <w:rPr>
          <w:szCs w:val="20"/>
        </w:rPr>
        <w:t>“Tuu mo Aganuu”</w:t>
      </w:r>
      <w:r w:rsidR="00F75C65">
        <w:rPr>
          <w:rFonts w:hint="cs"/>
          <w:szCs w:val="20"/>
          <w:rtl/>
        </w:rPr>
        <w:t xml:space="preserve"> </w:t>
      </w:r>
      <w:r w:rsidRPr="00384A94">
        <w:rPr>
          <w:szCs w:val="20"/>
          <w:vertAlign w:val="superscript"/>
          <w:rtl/>
        </w:rPr>
        <w:t>(</w:t>
      </w:r>
      <w:r>
        <w:rPr>
          <w:rStyle w:val="FootnoteReference"/>
          <w:rtl/>
        </w:rPr>
        <w:footnoteReference w:id="54"/>
      </w:r>
      <w:r w:rsidRPr="00384A94">
        <w:rPr>
          <w:szCs w:val="20"/>
          <w:vertAlign w:val="superscript"/>
          <w:rtl/>
        </w:rPr>
        <w:t>)</w:t>
      </w:r>
      <w:r w:rsidRPr="00384A94">
        <w:rPr>
          <w:rFonts w:hint="cs"/>
          <w:sz w:val="30"/>
          <w:rtl/>
        </w:rPr>
        <w:t xml:space="preserve"> </w:t>
      </w:r>
      <w:r w:rsidR="00F75C65">
        <w:rPr>
          <w:rFonts w:hint="cs"/>
          <w:rtl/>
        </w:rPr>
        <w:t>لكل جزيرة يسهم في تهميش المرأة. إضافة إلى ذلك، فإن القيود على ممارسة بعض الحقوق والحريات بموجب هذا القانون ينطبق بالتساوي على الرجال والنساء الذين تقل أعمارهم عن 50 عاماً.</w:t>
      </w:r>
    </w:p>
    <w:p w:rsidR="00F75C65" w:rsidRDefault="00384A94" w:rsidP="00384A94">
      <w:pPr>
        <w:pStyle w:val="SingleTxt"/>
        <w:rPr>
          <w:rFonts w:hint="cs"/>
          <w:rtl/>
        </w:rPr>
      </w:pPr>
      <w:r>
        <w:rPr>
          <w:rFonts w:hint="cs"/>
          <w:rtl/>
        </w:rPr>
        <w:t>3-4</w:t>
      </w:r>
      <w:r>
        <w:rPr>
          <w:rFonts w:hint="cs"/>
          <w:rtl/>
        </w:rPr>
        <w:tab/>
      </w:r>
      <w:r w:rsidR="00F75C65">
        <w:rPr>
          <w:rFonts w:hint="cs"/>
          <w:rtl/>
        </w:rPr>
        <w:t xml:space="preserve">مع أن النساء لسن أعضاءً في مجالس الفالي كابيول في جميع الجزر، فإن وجودهن يخضع للامتثال بصرامة للممارسات التقليدية التي لا يزال الشعب يثمنها. وتشارك المرأة في العادة في تسوية المنازعات، ففي معظم المنازعات مثلاً، من شأن علاقة معينة، أخ/ ابن عم أو ابنة عم  </w:t>
      </w:r>
      <w:r w:rsidR="00F75C65">
        <w:rPr>
          <w:szCs w:val="20"/>
        </w:rPr>
        <w:t>(Tuagaene/fakatuagaene</w:t>
      </w:r>
      <w:r w:rsidR="00F75C65" w:rsidRPr="00FC4E60">
        <w:rPr>
          <w:szCs w:val="20"/>
        </w:rPr>
        <w:t>)</w:t>
      </w:r>
      <w:r w:rsidR="00F75C65">
        <w:rPr>
          <w:rFonts w:hint="cs"/>
          <w:rtl/>
        </w:rPr>
        <w:t xml:space="preserve"> </w:t>
      </w:r>
      <w:r w:rsidRPr="00384A94">
        <w:rPr>
          <w:vertAlign w:val="superscript"/>
          <w:rtl/>
        </w:rPr>
        <w:t>(</w:t>
      </w:r>
      <w:r>
        <w:rPr>
          <w:rStyle w:val="FootnoteReference"/>
          <w:rtl/>
        </w:rPr>
        <w:footnoteReference w:id="55"/>
      </w:r>
      <w:r w:rsidRPr="00384A94">
        <w:rPr>
          <w:vertAlign w:val="superscript"/>
          <w:rtl/>
        </w:rPr>
        <w:t>)</w:t>
      </w:r>
      <w:r>
        <w:rPr>
          <w:rFonts w:hint="cs"/>
          <w:vertAlign w:val="superscript"/>
          <w:rtl/>
        </w:rPr>
        <w:t xml:space="preserve"> </w:t>
      </w:r>
      <w:r w:rsidR="00F75C65">
        <w:rPr>
          <w:rFonts w:hint="cs"/>
          <w:rtl/>
        </w:rPr>
        <w:t>أو ابن خال أو ابنة خال (</w:t>
      </w:r>
      <w:r w:rsidR="00F75C65" w:rsidRPr="00FC4E60">
        <w:rPr>
          <w:szCs w:val="20"/>
        </w:rPr>
        <w:t>Tautina</w:t>
      </w:r>
      <w:r w:rsidR="00F75C65" w:rsidRPr="00FC4E60">
        <w:rPr>
          <w:rFonts w:hint="cs"/>
          <w:rtl/>
        </w:rPr>
        <w:t>)</w:t>
      </w:r>
      <w:r w:rsidRPr="00384A94">
        <w:rPr>
          <w:vertAlign w:val="superscript"/>
          <w:rtl/>
        </w:rPr>
        <w:t>(</w:t>
      </w:r>
      <w:r>
        <w:rPr>
          <w:rStyle w:val="FootnoteReference"/>
          <w:rtl/>
        </w:rPr>
        <w:footnoteReference w:id="56"/>
      </w:r>
      <w:r w:rsidRPr="00384A94">
        <w:rPr>
          <w:vertAlign w:val="superscript"/>
          <w:rtl/>
        </w:rPr>
        <w:t>)</w:t>
      </w:r>
      <w:r w:rsidR="00F75C65">
        <w:rPr>
          <w:rFonts w:hint="cs"/>
          <w:rtl/>
        </w:rPr>
        <w:t>، أن تجعل المرأة أهم وسيط في تسوية المنازعات من شتى الأنواع. فعلى سبيل المثال، تستيطع ابنة العم حل أي نزاع يكون أبن عمها طرفاً فيه بغض النظر عن مدى توتر الحالة وصعوبتها. وفي حالات أخرى، يكون الخال حريصاً جداً في عمله وقوله في حضور ابنة أخته أو أبناء أعمامه حتى لا يغضب أياً منهم.</w:t>
      </w:r>
    </w:p>
    <w:p w:rsidR="00F75C65" w:rsidRDefault="00384A94" w:rsidP="00384A9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F75C65" w:rsidRPr="003E50FB">
        <w:rPr>
          <w:rFonts w:hint="cs"/>
          <w:rtl/>
        </w:rPr>
        <w:t>خطة التنمية الوطنية الاستراتيجية المستدامة</w:t>
      </w:r>
    </w:p>
    <w:p w:rsidR="00F75C65" w:rsidRDefault="00384A94" w:rsidP="00384A94">
      <w:pPr>
        <w:pStyle w:val="SingleTxt"/>
        <w:rPr>
          <w:rFonts w:hint="cs"/>
          <w:rtl/>
        </w:rPr>
      </w:pPr>
      <w:r>
        <w:rPr>
          <w:rFonts w:hint="cs"/>
          <w:rtl/>
        </w:rPr>
        <w:t>3-5</w:t>
      </w:r>
      <w:r>
        <w:rPr>
          <w:rFonts w:hint="cs"/>
          <w:rtl/>
        </w:rPr>
        <w:tab/>
      </w:r>
      <w:r w:rsidR="00F75C65">
        <w:rPr>
          <w:rFonts w:hint="cs"/>
          <w:rtl/>
        </w:rPr>
        <w:t>النهوض بالمرأة وإحراز تقدم في تحقيق المساواة بين الجنسين هدفان يعزز كل منهما الآخر، ويتطلبان الأخذ بنهج متكامل على الصعيد الوطني. ويعترف هذا النهج بأدوار وإسهام ذوي المصالح، بمن فيهم الحكومة والوكالات غير الحكومية ووسائط الإعلام وشركاء التنمية (المانحون) الإقليميون والدوليون. وقد حددت خطة التنمية الوطنية الاستراتيجية المستدامة، تي كاكيغا الثانية للفترة 2005-2015، التي وضعتها حكومة توفالو، مجالات محددة للتركيز لتحقيق تنمية اجتماعية. ومن بين هذه المجالات الصحة والشباب والإسكان والشؤون الجنسانية والرياضة والترويح والفقر والمشقة</w:t>
      </w:r>
      <w:r w:rsidRPr="00384A94">
        <w:rPr>
          <w:vertAlign w:val="superscript"/>
          <w:rtl/>
        </w:rPr>
        <w:t>(</w:t>
      </w:r>
      <w:r>
        <w:rPr>
          <w:rStyle w:val="FootnoteReference"/>
          <w:rtl/>
        </w:rPr>
        <w:footnoteReference w:id="57"/>
      </w:r>
      <w:r w:rsidRPr="00384A94">
        <w:rPr>
          <w:vertAlign w:val="superscript"/>
          <w:rtl/>
        </w:rPr>
        <w:t>)</w:t>
      </w:r>
      <w:r w:rsidR="00F75C65">
        <w:rPr>
          <w:rFonts w:hint="cs"/>
          <w:rtl/>
        </w:rPr>
        <w:t>.</w:t>
      </w:r>
    </w:p>
    <w:p w:rsidR="00F75C65" w:rsidRPr="003E50FB" w:rsidRDefault="00384A94" w:rsidP="00384A9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F75C65" w:rsidRPr="003E50FB">
        <w:rPr>
          <w:rFonts w:hint="cs"/>
          <w:rtl/>
        </w:rPr>
        <w:t>إدارة شؤون المرأة</w:t>
      </w:r>
    </w:p>
    <w:p w:rsidR="00F75C65" w:rsidRDefault="00384A94" w:rsidP="00384A94">
      <w:pPr>
        <w:pStyle w:val="SingleTxt"/>
        <w:rPr>
          <w:rFonts w:hint="cs"/>
          <w:rtl/>
        </w:rPr>
      </w:pPr>
      <w:r>
        <w:rPr>
          <w:rFonts w:hint="cs"/>
          <w:rtl/>
        </w:rPr>
        <w:t>3-6</w:t>
      </w:r>
      <w:r>
        <w:rPr>
          <w:rFonts w:hint="cs"/>
          <w:rtl/>
        </w:rPr>
        <w:tab/>
      </w:r>
      <w:r w:rsidR="00F75C65">
        <w:rPr>
          <w:rFonts w:hint="cs"/>
          <w:rtl/>
        </w:rPr>
        <w:t>في عام 1999، تم رفع مستوى مكتب المرأة إلى إدارة كاملة بمعنى الكلمة تضم خمسة موظفين، أي بزيادة أربعة موظفين. وبالإضافة إلى المدير، تتكون هذه الإدارة من مسؤول عن البحث والمعلومات ومسؤول عن رصد المشاريع ومسؤول عن تنمية المرأة وشخص يقوم بالأعمال الكتابية، وأنيطت بهذه الإدارة مهمة رئيسية تتمثل بتقديم النصح للحكومة بشأن قضايا المرأة والشؤون الجنسانية في توفالو.</w:t>
      </w:r>
    </w:p>
    <w:p w:rsidR="00F75C65" w:rsidRDefault="00384A94" w:rsidP="00384A94">
      <w:pPr>
        <w:pStyle w:val="SingleTxt"/>
        <w:rPr>
          <w:rFonts w:hint="cs"/>
          <w:rtl/>
        </w:rPr>
      </w:pPr>
      <w:r>
        <w:rPr>
          <w:rFonts w:hint="cs"/>
          <w:rtl/>
        </w:rPr>
        <w:t>3-7</w:t>
      </w:r>
      <w:r>
        <w:rPr>
          <w:rFonts w:hint="cs"/>
          <w:rtl/>
        </w:rPr>
        <w:tab/>
      </w:r>
      <w:r w:rsidR="00F75C65">
        <w:rPr>
          <w:rFonts w:hint="cs"/>
          <w:rtl/>
        </w:rPr>
        <w:t>وتتلقى إدارة شؤون المرأة مخصصات سنوية من الميزانية لتسديد نفقات تشغيلها ونفقاتها الرأسمالية. ويبين الجدول أدناه المخصصات من الميزانية التي خصصتها الحكومة تحديداً لتنمية المرأة. ومع أنه يبين اتجاهاً نحو تخفيض مخصصات ميزانية إدارة شؤون المرأة، فإنه يجب ملاحظة أن الزيادة الكبيرة أثناء الفترة من عام 2004 إلى عام 2005، ومقدارها 000 20 دولار أمريكي، في تكاليف التشغيل العام للإدارة تعزى إلى النهج الجديد إزاء الميزانية البرنامجية حيث تتركز معظم بنود الدعم للعمل الذي تقوم به كل إدارة في مقر وزارة شؤون الوطن التي تشكل إدارة شؤون المرأة جزءاً منها. وظل إسهام الحكومة المقدم لمجلس توفال الوطني للمرأة عند مستوى 000 10 دولار أمريكي.</w:t>
      </w:r>
    </w:p>
    <w:p w:rsidR="00F75C65" w:rsidRDefault="00F75C65" w:rsidP="00384A94">
      <w:pPr>
        <w:pStyle w:val="SingleTxt"/>
        <w:rPr>
          <w:rFonts w:hint="cs"/>
          <w:rtl/>
        </w:rPr>
      </w:pPr>
      <w:r>
        <w:rPr>
          <w:rFonts w:hint="cs"/>
          <w:rtl/>
        </w:rPr>
        <w:tab/>
        <w:t>كما هو مبين في الجدول أدناه، يُستكمل عمل الإدارة أيضاً بعمل الإدارات الحكومية الأخرى ومنظمات المجتمع المدني للمرأة، المحلية والدولية، وما فتئت بعض هذه المنظمات تعمل منذ عقود لتحسين حالة المرأة في توفالو.</w:t>
      </w:r>
    </w:p>
    <w:p w:rsidR="00F75C65" w:rsidRPr="00384A94" w:rsidRDefault="00384A94" w:rsidP="00384A94">
      <w:pPr>
        <w:rPr>
          <w:rFonts w:hint="cs"/>
          <w:b/>
          <w:bCs/>
          <w:rtl/>
        </w:rPr>
      </w:pPr>
      <w:r>
        <w:rPr>
          <w:sz w:val="32"/>
          <w:szCs w:val="32"/>
          <w:rtl/>
        </w:rPr>
        <w:br w:type="page"/>
      </w:r>
      <w:r>
        <w:rPr>
          <w:rFonts w:hint="cs"/>
          <w:sz w:val="32"/>
          <w:szCs w:val="32"/>
          <w:rtl/>
        </w:rPr>
        <w:tab/>
      </w:r>
      <w:r w:rsidR="00F75C65" w:rsidRPr="00384A94">
        <w:rPr>
          <w:rFonts w:hint="cs"/>
          <w:b/>
          <w:bCs/>
          <w:rtl/>
        </w:rPr>
        <w:t>الجدول 5: مخصصات الميزانية الوطنية لإدارة شؤون المرأة - سنوات مختارة من التقارير المتوفرة</w:t>
      </w:r>
    </w:p>
    <w:p w:rsidR="00384A94" w:rsidRPr="00384A94" w:rsidRDefault="00384A94" w:rsidP="00384A94">
      <w:pPr>
        <w:pStyle w:val="SingleTxt"/>
        <w:spacing w:after="0" w:line="120" w:lineRule="exact"/>
        <w:rPr>
          <w:rFonts w:hint="cs"/>
          <w:sz w:val="10"/>
          <w:rtl/>
        </w:rPr>
      </w:pPr>
    </w:p>
    <w:tbl>
      <w:tblPr>
        <w:tblStyle w:val="TableGrid"/>
        <w:bidiVisual/>
        <w:tblW w:w="98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28"/>
        <w:gridCol w:w="688"/>
        <w:gridCol w:w="3916"/>
        <w:gridCol w:w="1478"/>
        <w:gridCol w:w="2940"/>
      </w:tblGrid>
      <w:tr w:rsidR="003F2B09" w:rsidRPr="003F2B09">
        <w:trPr>
          <w:cantSplit/>
          <w:tblHeader/>
          <w:jc w:val="center"/>
        </w:trPr>
        <w:tc>
          <w:tcPr>
            <w:tcW w:w="694" w:type="dxa"/>
            <w:tcBorders>
              <w:top w:val="single" w:sz="4" w:space="0" w:color="auto"/>
              <w:bottom w:val="single" w:sz="12" w:space="0" w:color="auto"/>
            </w:tcBorders>
            <w:shd w:val="clear" w:color="auto" w:fill="auto"/>
            <w:vAlign w:val="bottom"/>
          </w:tcPr>
          <w:p w:rsidR="003F2B09" w:rsidRPr="003F2B09" w:rsidRDefault="003F2B09" w:rsidP="003F2B09">
            <w:pPr>
              <w:spacing w:before="80" w:after="80" w:line="240" w:lineRule="exact"/>
              <w:jc w:val="center"/>
              <w:rPr>
                <w:rFonts w:cs="Traditional Arabic" w:hint="cs"/>
                <w:i/>
                <w:iCs/>
                <w:sz w:val="16"/>
                <w:szCs w:val="24"/>
                <w:rtl/>
              </w:rPr>
            </w:pPr>
          </w:p>
        </w:tc>
        <w:tc>
          <w:tcPr>
            <w:tcW w:w="576" w:type="dxa"/>
            <w:tcBorders>
              <w:top w:val="single" w:sz="4" w:space="0" w:color="auto"/>
              <w:bottom w:val="single" w:sz="12" w:space="0" w:color="auto"/>
            </w:tcBorders>
            <w:shd w:val="clear" w:color="auto" w:fill="auto"/>
            <w:vAlign w:val="bottom"/>
          </w:tcPr>
          <w:p w:rsidR="003F2B09" w:rsidRPr="003F2B09" w:rsidRDefault="003F2B09" w:rsidP="003F2B09">
            <w:pPr>
              <w:spacing w:before="80" w:after="80" w:line="240" w:lineRule="exact"/>
              <w:ind w:right="144"/>
              <w:jc w:val="lowKashida"/>
              <w:rPr>
                <w:rFonts w:cs="Traditional Arabic" w:hint="cs"/>
                <w:i/>
                <w:iCs/>
                <w:sz w:val="16"/>
                <w:szCs w:val="24"/>
                <w:rtl/>
              </w:rPr>
            </w:pPr>
          </w:p>
        </w:tc>
        <w:tc>
          <w:tcPr>
            <w:tcW w:w="3280" w:type="dxa"/>
            <w:tcBorders>
              <w:top w:val="single" w:sz="4" w:space="0" w:color="auto"/>
              <w:bottom w:val="single" w:sz="12" w:space="0" w:color="auto"/>
            </w:tcBorders>
            <w:shd w:val="clear" w:color="auto" w:fill="auto"/>
            <w:vAlign w:val="bottom"/>
          </w:tcPr>
          <w:p w:rsidR="003F2B09" w:rsidRPr="003F2B09" w:rsidRDefault="003F2B09" w:rsidP="003F2B09">
            <w:pPr>
              <w:spacing w:before="80" w:after="80" w:line="240" w:lineRule="exact"/>
              <w:ind w:right="144"/>
              <w:jc w:val="lowKashida"/>
              <w:rPr>
                <w:rFonts w:cs="Traditional Arabic" w:hint="cs"/>
                <w:i/>
                <w:iCs/>
                <w:sz w:val="16"/>
                <w:szCs w:val="24"/>
                <w:rtl/>
              </w:rPr>
            </w:pPr>
            <w:r w:rsidRPr="003F2B09">
              <w:rPr>
                <w:rFonts w:cs="Traditional Arabic" w:hint="cs"/>
                <w:i/>
                <w:iCs/>
                <w:sz w:val="16"/>
                <w:szCs w:val="24"/>
                <w:rtl/>
              </w:rPr>
              <w:t>البرنامج</w:t>
            </w:r>
          </w:p>
        </w:tc>
        <w:tc>
          <w:tcPr>
            <w:tcW w:w="1238" w:type="dxa"/>
            <w:tcBorders>
              <w:top w:val="single" w:sz="4" w:space="0" w:color="auto"/>
              <w:bottom w:val="single" w:sz="12" w:space="0" w:color="auto"/>
            </w:tcBorders>
            <w:shd w:val="clear" w:color="auto" w:fill="auto"/>
            <w:vAlign w:val="bottom"/>
          </w:tcPr>
          <w:p w:rsidR="003F2B09" w:rsidRPr="003F2B09" w:rsidRDefault="003F2B09" w:rsidP="003F2B09">
            <w:pPr>
              <w:spacing w:before="80" w:after="80" w:line="240" w:lineRule="exact"/>
              <w:ind w:right="144"/>
              <w:jc w:val="lowKashida"/>
              <w:rPr>
                <w:rFonts w:cs="Traditional Arabic" w:hint="cs"/>
                <w:i/>
                <w:iCs/>
                <w:sz w:val="16"/>
                <w:szCs w:val="24"/>
                <w:rtl/>
              </w:rPr>
            </w:pPr>
            <w:r w:rsidRPr="003F2B09">
              <w:rPr>
                <w:rFonts w:cs="Traditional Arabic" w:hint="cs"/>
                <w:i/>
                <w:iCs/>
                <w:sz w:val="16"/>
                <w:szCs w:val="24"/>
                <w:rtl/>
              </w:rPr>
              <w:t>التمويل المتكرر</w:t>
            </w:r>
          </w:p>
        </w:tc>
        <w:tc>
          <w:tcPr>
            <w:tcW w:w="2463" w:type="dxa"/>
            <w:tcBorders>
              <w:top w:val="single" w:sz="4" w:space="0" w:color="auto"/>
              <w:bottom w:val="single" w:sz="12" w:space="0" w:color="auto"/>
            </w:tcBorders>
            <w:shd w:val="clear" w:color="auto" w:fill="auto"/>
            <w:vAlign w:val="bottom"/>
          </w:tcPr>
          <w:p w:rsidR="003F2B09" w:rsidRPr="003F2B09" w:rsidRDefault="003F2B09" w:rsidP="003F2B09">
            <w:pPr>
              <w:spacing w:before="80" w:after="80" w:line="240" w:lineRule="exact"/>
              <w:ind w:right="144"/>
              <w:jc w:val="lowKashida"/>
              <w:rPr>
                <w:rFonts w:cs="Traditional Arabic" w:hint="cs"/>
                <w:i/>
                <w:iCs/>
                <w:sz w:val="16"/>
                <w:szCs w:val="24"/>
                <w:rtl/>
              </w:rPr>
            </w:pPr>
            <w:r w:rsidRPr="003F2B09">
              <w:rPr>
                <w:rFonts w:cs="Traditional Arabic" w:hint="cs"/>
                <w:i/>
                <w:iCs/>
                <w:sz w:val="16"/>
                <w:szCs w:val="24"/>
                <w:rtl/>
              </w:rPr>
              <w:t>تمويل التنمية</w:t>
            </w:r>
          </w:p>
          <w:p w:rsidR="003F2B09" w:rsidRPr="003F2B09" w:rsidRDefault="003F2B09" w:rsidP="003F2B09">
            <w:pPr>
              <w:spacing w:before="80" w:after="80" w:line="240" w:lineRule="exact"/>
              <w:ind w:right="144"/>
              <w:jc w:val="lowKashida"/>
              <w:rPr>
                <w:rFonts w:cs="Traditional Arabic" w:hint="cs"/>
                <w:i/>
                <w:iCs/>
                <w:sz w:val="16"/>
                <w:szCs w:val="24"/>
                <w:rtl/>
              </w:rPr>
            </w:pPr>
            <w:r w:rsidRPr="003F2B09">
              <w:rPr>
                <w:rFonts w:cs="Traditional Arabic" w:hint="cs"/>
                <w:i/>
                <w:iCs/>
                <w:sz w:val="16"/>
                <w:szCs w:val="24"/>
                <w:rtl/>
              </w:rPr>
              <w:t>(التمويل من خارج الميزانية)</w:t>
            </w:r>
            <w:r w:rsidR="00090A8E" w:rsidRPr="00090A8E">
              <w:rPr>
                <w:rFonts w:cs="Traditional Arabic"/>
                <w:i/>
                <w:iCs/>
                <w:sz w:val="16"/>
                <w:szCs w:val="24"/>
                <w:vertAlign w:val="superscript"/>
                <w:rtl/>
              </w:rPr>
              <w:t>(</w:t>
            </w:r>
            <w:r w:rsidR="00090A8E">
              <w:rPr>
                <w:rStyle w:val="FootnoteReference"/>
                <w:i/>
                <w:iCs/>
                <w:rtl/>
              </w:rPr>
              <w:footnoteReference w:id="58"/>
            </w:r>
            <w:r w:rsidR="00090A8E" w:rsidRPr="00090A8E">
              <w:rPr>
                <w:rFonts w:cs="Traditional Arabic"/>
                <w:i/>
                <w:iCs/>
                <w:sz w:val="16"/>
                <w:szCs w:val="24"/>
                <w:vertAlign w:val="superscript"/>
                <w:rtl/>
              </w:rPr>
              <w:t>)</w:t>
            </w:r>
          </w:p>
        </w:tc>
      </w:tr>
      <w:tr w:rsidR="003F2B09" w:rsidRPr="003F2B09">
        <w:trPr>
          <w:cantSplit/>
          <w:trHeight w:hRule="exact" w:val="115"/>
          <w:tblHeader/>
          <w:jc w:val="center"/>
        </w:trPr>
        <w:tc>
          <w:tcPr>
            <w:tcW w:w="694" w:type="dxa"/>
            <w:tcBorders>
              <w:top w:val="single" w:sz="12" w:space="0" w:color="auto"/>
            </w:tcBorders>
            <w:shd w:val="clear" w:color="auto" w:fill="auto"/>
            <w:vAlign w:val="bottom"/>
          </w:tcPr>
          <w:p w:rsidR="003F2B09" w:rsidRPr="003F2B09" w:rsidRDefault="003F2B09" w:rsidP="003F2B09">
            <w:pPr>
              <w:spacing w:before="40" w:after="80" w:line="240" w:lineRule="exact"/>
              <w:rPr>
                <w:rFonts w:hint="cs"/>
                <w:sz w:val="16"/>
                <w:szCs w:val="24"/>
                <w:rtl/>
              </w:rPr>
            </w:pPr>
          </w:p>
        </w:tc>
        <w:tc>
          <w:tcPr>
            <w:tcW w:w="576" w:type="dxa"/>
            <w:tcBorders>
              <w:top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hint="cs"/>
                <w:sz w:val="16"/>
                <w:szCs w:val="24"/>
                <w:rtl/>
              </w:rPr>
            </w:pPr>
          </w:p>
        </w:tc>
        <w:tc>
          <w:tcPr>
            <w:tcW w:w="3280" w:type="dxa"/>
            <w:tcBorders>
              <w:top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hint="cs"/>
                <w:sz w:val="16"/>
                <w:szCs w:val="24"/>
                <w:rtl/>
              </w:rPr>
            </w:pPr>
          </w:p>
        </w:tc>
        <w:tc>
          <w:tcPr>
            <w:tcW w:w="1238" w:type="dxa"/>
            <w:tcBorders>
              <w:top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hint="cs"/>
                <w:sz w:val="16"/>
                <w:szCs w:val="24"/>
                <w:rtl/>
              </w:rPr>
            </w:pPr>
          </w:p>
        </w:tc>
        <w:tc>
          <w:tcPr>
            <w:tcW w:w="2463" w:type="dxa"/>
            <w:tcBorders>
              <w:top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r w:rsidRPr="003F2B09">
              <w:rPr>
                <w:rFonts w:cs="Traditional Arabic" w:hint="cs"/>
                <w:sz w:val="16"/>
                <w:szCs w:val="24"/>
                <w:rtl/>
              </w:rPr>
              <w:t>2001</w:t>
            </w: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عمليات الإدارة العامة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71062</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14050</w:t>
            </w: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2-</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إدماج المنظور الجنساني</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10000</w:t>
            </w: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3-</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منحة لمجلس توفالو الوطني للمرأة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11430</w:t>
            </w: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4-</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متطوعو الأمم المتحدة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r w:rsidRPr="003F2B09">
              <w:rPr>
                <w:rFonts w:cs="Traditional Arabic" w:hint="cs"/>
                <w:sz w:val="16"/>
                <w:szCs w:val="24"/>
                <w:rtl/>
              </w:rPr>
              <w:t>2002</w:t>
            </w: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عمليات الإدارة العامة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60356</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2-</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منحة لمجلس توفالو الوطني للمرأة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10000</w:t>
            </w: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3-</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إدماج المنظور الجنساني</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400</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4-</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تاكسي توين</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45000</w:t>
            </w: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r w:rsidRPr="003F2B09">
              <w:rPr>
                <w:rFonts w:cs="Traditional Arabic" w:hint="cs"/>
                <w:sz w:val="16"/>
                <w:szCs w:val="24"/>
                <w:rtl/>
              </w:rPr>
              <w:t>2003</w:t>
            </w: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عمليات الإدارة العامة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55631</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2-</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إدماج المنظور الجنساني</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9750</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3-</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منحة لمجلس توفالو الوطني للمرأة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4000</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r w:rsidRPr="003F2B09">
              <w:rPr>
                <w:rFonts w:cs="Traditional Arabic" w:hint="cs"/>
                <w:sz w:val="16"/>
                <w:szCs w:val="24"/>
                <w:rtl/>
              </w:rPr>
              <w:t>2004</w:t>
            </w: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عمليات الإدارة العامة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46503</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2-</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منحة لمجلس توفالو الوطني للمرأة (الاتحاد الأوروبي)</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10000</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shd w:val="clear" w:color="auto" w:fill="auto"/>
            <w:vAlign w:val="bottom"/>
          </w:tcPr>
          <w:p w:rsidR="003F2B09" w:rsidRPr="003F2B09" w:rsidRDefault="003F2B09" w:rsidP="003F2B09">
            <w:pPr>
              <w:spacing w:before="40" w:after="80" w:line="240" w:lineRule="exact"/>
              <w:rPr>
                <w:rFonts w:cs="Traditional Arabic" w:hint="cs"/>
                <w:sz w:val="16"/>
                <w:szCs w:val="24"/>
                <w:rtl/>
              </w:rPr>
            </w:pPr>
            <w:r w:rsidRPr="003F2B09">
              <w:rPr>
                <w:rFonts w:cs="Traditional Arabic" w:hint="cs"/>
                <w:sz w:val="16"/>
                <w:szCs w:val="24"/>
                <w:rtl/>
              </w:rPr>
              <w:t>2005</w:t>
            </w:r>
          </w:p>
        </w:tc>
        <w:tc>
          <w:tcPr>
            <w:tcW w:w="576"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w:t>
            </w:r>
          </w:p>
        </w:tc>
        <w:tc>
          <w:tcPr>
            <w:tcW w:w="3280"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عمليات الإدارة العامة</w:t>
            </w:r>
          </w:p>
        </w:tc>
        <w:tc>
          <w:tcPr>
            <w:tcW w:w="1238"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28166</w:t>
            </w:r>
          </w:p>
        </w:tc>
        <w:tc>
          <w:tcPr>
            <w:tcW w:w="2463" w:type="dxa"/>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r w:rsidR="003F2B09" w:rsidRPr="003F2B09">
        <w:trPr>
          <w:cantSplit/>
          <w:jc w:val="center"/>
        </w:trPr>
        <w:tc>
          <w:tcPr>
            <w:tcW w:w="694" w:type="dxa"/>
            <w:tcBorders>
              <w:bottom w:val="single" w:sz="12" w:space="0" w:color="auto"/>
            </w:tcBorders>
            <w:shd w:val="clear" w:color="auto" w:fill="auto"/>
            <w:vAlign w:val="bottom"/>
          </w:tcPr>
          <w:p w:rsidR="003F2B09" w:rsidRPr="003F2B09" w:rsidRDefault="003F2B09" w:rsidP="003F2B09">
            <w:pPr>
              <w:spacing w:before="40" w:after="80" w:line="240" w:lineRule="exact"/>
              <w:rPr>
                <w:rFonts w:cs="Traditional Arabic" w:hint="cs"/>
                <w:sz w:val="16"/>
                <w:szCs w:val="24"/>
                <w:rtl/>
              </w:rPr>
            </w:pPr>
          </w:p>
        </w:tc>
        <w:tc>
          <w:tcPr>
            <w:tcW w:w="576" w:type="dxa"/>
            <w:tcBorders>
              <w:bottom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2-</w:t>
            </w:r>
          </w:p>
        </w:tc>
        <w:tc>
          <w:tcPr>
            <w:tcW w:w="3280" w:type="dxa"/>
            <w:tcBorders>
              <w:bottom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منحة لمجلس توفالو الوطني للمرأة (الاتحاد الأوروبي)</w:t>
            </w:r>
          </w:p>
        </w:tc>
        <w:tc>
          <w:tcPr>
            <w:tcW w:w="1238" w:type="dxa"/>
            <w:tcBorders>
              <w:bottom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r w:rsidRPr="003F2B09">
              <w:rPr>
                <w:rFonts w:cs="Traditional Arabic" w:hint="cs"/>
                <w:sz w:val="16"/>
                <w:szCs w:val="24"/>
                <w:rtl/>
              </w:rPr>
              <w:t>10000</w:t>
            </w:r>
          </w:p>
        </w:tc>
        <w:tc>
          <w:tcPr>
            <w:tcW w:w="2463" w:type="dxa"/>
            <w:tcBorders>
              <w:bottom w:val="single" w:sz="12" w:space="0" w:color="auto"/>
            </w:tcBorders>
            <w:shd w:val="clear" w:color="auto" w:fill="auto"/>
            <w:vAlign w:val="bottom"/>
          </w:tcPr>
          <w:p w:rsidR="003F2B09" w:rsidRPr="003F2B09" w:rsidRDefault="003F2B09" w:rsidP="003F2B09">
            <w:pPr>
              <w:spacing w:before="40" w:after="80" w:line="240" w:lineRule="exact"/>
              <w:ind w:right="144"/>
              <w:jc w:val="lowKashida"/>
              <w:rPr>
                <w:rFonts w:cs="Traditional Arabic" w:hint="cs"/>
                <w:sz w:val="16"/>
                <w:szCs w:val="24"/>
                <w:rtl/>
              </w:rPr>
            </w:pPr>
          </w:p>
        </w:tc>
      </w:tr>
    </w:tbl>
    <w:p w:rsidR="00090A8E" w:rsidRPr="00090A8E" w:rsidRDefault="00090A8E" w:rsidP="00090A8E">
      <w:pPr>
        <w:pStyle w:val="SingleTxt"/>
        <w:spacing w:after="0" w:line="120" w:lineRule="exact"/>
        <w:rPr>
          <w:rFonts w:hint="cs"/>
          <w:sz w:val="10"/>
          <w:rtl/>
        </w:rPr>
      </w:pPr>
    </w:p>
    <w:p w:rsidR="00090A8E" w:rsidRPr="00FC4E60" w:rsidRDefault="00090A8E" w:rsidP="00090A8E">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FC4E60">
        <w:rPr>
          <w:rFonts w:hint="cs"/>
          <w:rtl/>
        </w:rPr>
        <w:t>المصدر:</w:t>
      </w:r>
      <w:r>
        <w:rPr>
          <w:rFonts w:hint="cs"/>
          <w:rtl/>
        </w:rPr>
        <w:tab/>
      </w:r>
      <w:r w:rsidRPr="00FC4E60">
        <w:rPr>
          <w:rFonts w:hint="cs"/>
          <w:rtl/>
        </w:rPr>
        <w:t xml:space="preserve">ميزانية توفالو الوطنية، 2001-2005 </w:t>
      </w:r>
    </w:p>
    <w:p w:rsidR="00090A8E" w:rsidRPr="00090A8E" w:rsidRDefault="00090A8E" w:rsidP="00090A8E">
      <w:pPr>
        <w:pStyle w:val="SingleTxt"/>
        <w:spacing w:after="0" w:line="120" w:lineRule="exact"/>
        <w:rPr>
          <w:rFonts w:hint="cs"/>
          <w:sz w:val="10"/>
          <w:rtl/>
        </w:rPr>
      </w:pPr>
    </w:p>
    <w:p w:rsidR="00090A8E" w:rsidRDefault="00090A8E" w:rsidP="00090A8E">
      <w:pPr>
        <w:pStyle w:val="SingleTxt"/>
        <w:rPr>
          <w:rFonts w:hint="cs"/>
          <w:rtl/>
        </w:rPr>
      </w:pPr>
      <w:r>
        <w:rPr>
          <w:rFonts w:hint="cs"/>
          <w:rtl/>
        </w:rPr>
        <w:t>3-8</w:t>
      </w:r>
      <w:r>
        <w:rPr>
          <w:rFonts w:hint="cs"/>
          <w:rtl/>
        </w:rPr>
        <w:tab/>
        <w:t>في عام 2004، موّل برنامج الأمم المتحدة الإنمائي مشروع مرفق دعم المرأة (2004-2007) لحكومة توفالو. وكان هذا على أساس نتائج الاستعراض الذي أجرته لجنة الأمم المتحدة الاقتصادية والاجتماعية لآسيا والمحيط الهاديء للمرحلة الأخيرة من مشروع تعزيز مشاريع الحكومات المحلية الذي يتلقى الدعم من برنامج الأمم المتحدة الإنمائي. وأكد استعراض عام 2002 عدم فهم القضايا الجنسانية وعدم مشاركة المرأة مشاركة فاعلة في عمليات صنع القرار في مجالس الجزر. ويهدف مشروع مرفق دعم المرأة للإسهام في تنمية أكثر إنصافاً من خلال تقديم المشورة العملية وتنمية الموارد البشرية من خلال التدريب على القضايا الجنسانية، وتحليل السياسة لتضييق الفجوات فعلاً بين فونافوتي والجزر الخارجية. ونتيجة لذلك، جرى التركيز على التدريب على الحساسية الجنسانية وتنمية المجتمعات المحلية والتدريب على محو الأمية القانونية والتدريب على ممارسة الأعمال التجارية وإدارة البيئة وتنمية المهارات القيادية والتوعية الصحية والتوعية بفيروس نقص المناعة البشرية والإيدز، ومؤخراً التوعية بالعنف ضد المرأة.</w:t>
      </w:r>
    </w:p>
    <w:p w:rsidR="00090A8E" w:rsidRDefault="00090A8E" w:rsidP="00090A8E">
      <w:pPr>
        <w:pStyle w:val="SingleTxt"/>
        <w:rPr>
          <w:rFonts w:hint="cs"/>
          <w:rtl/>
        </w:rPr>
      </w:pPr>
      <w:r>
        <w:rPr>
          <w:rFonts w:hint="cs"/>
          <w:rtl/>
        </w:rPr>
        <w:t>3-9</w:t>
      </w:r>
      <w:r>
        <w:rPr>
          <w:rFonts w:hint="cs"/>
          <w:rtl/>
        </w:rPr>
        <w:tab/>
        <w:t>وقد أحرزت توفالو تقدماً كبيراً في مجال الأحكام المتعلقة بالأمومة التي تمكن المرأة من أخذ إجازة مدتها 60 يوم عمل مدفوعة الأجر بالكامل وفقاً لقانون العمالة لعام 1996. كما أن سياسات الإرضاع من الثدي، التي توفر للأمهات إمكانية إرضاع أطفالهن من أثدائهن مرتين كل يوم، أصبحت نافذة الآن في القطاعين العام والخاص.</w:t>
      </w:r>
    </w:p>
    <w:p w:rsidR="00090A8E" w:rsidRDefault="00090A8E" w:rsidP="00090A8E">
      <w:pPr>
        <w:pStyle w:val="SingleTxt"/>
        <w:rPr>
          <w:rFonts w:hint="cs"/>
          <w:rtl/>
        </w:rPr>
      </w:pPr>
      <w:r>
        <w:rPr>
          <w:rFonts w:hint="cs"/>
          <w:rtl/>
        </w:rPr>
        <w:t>3-10</w:t>
      </w:r>
      <w:r>
        <w:rPr>
          <w:rFonts w:hint="cs"/>
          <w:rtl/>
        </w:rPr>
        <w:tab/>
        <w:t>وما فتئت رابطة توفال للمنظمات غير الحكومية تساعد في تنمية المرأة بتأمين الأموال لمشروع جمع مياه الأسطح في صهاريج لحفظ المياه في جزيرة نوي. ونظمت أيضاً حلقات عمل في الجزر الخارجية لتدريب النساء على مهارات الحياة، بما في ذلك إعداد وتقديم مقترحات بشأن المشاريع. وتساعد هذه الرابطة أيضاً في بناء قدرات مجلس توفالو الوطني للمرأة بوضع نظم محاسبة جيدة وتحسين المهارات في استخدام الحاسوب. وقدمت أيضاً التدريب على إدارة الأعمال التجارية للمنظمات الأعضاء فيها.</w:t>
      </w:r>
    </w:p>
    <w:p w:rsidR="00090A8E" w:rsidRDefault="00090A8E" w:rsidP="00090A8E">
      <w:pPr>
        <w:pStyle w:val="SingleTxt"/>
        <w:rPr>
          <w:rFonts w:hint="cs"/>
          <w:rtl/>
        </w:rPr>
      </w:pPr>
      <w:r>
        <w:rPr>
          <w:rFonts w:hint="cs"/>
          <w:rtl/>
        </w:rPr>
        <w:t>3-11</w:t>
      </w:r>
      <w:r>
        <w:rPr>
          <w:rFonts w:hint="cs"/>
          <w:rtl/>
        </w:rPr>
        <w:tab/>
      </w:r>
      <w:r w:rsidRPr="00FC4E60">
        <w:rPr>
          <w:rFonts w:hint="cs"/>
          <w:rtl/>
        </w:rPr>
        <w:t xml:space="preserve">لجمعية صحة الأسرة في توفالو هدف رئيسي يتمثل في معالجة مشاكل الصحة الجنسية </w:t>
      </w:r>
      <w:r>
        <w:rPr>
          <w:rFonts w:hint="cs"/>
          <w:rtl/>
        </w:rPr>
        <w:t xml:space="preserve">والصحة </w:t>
      </w:r>
      <w:r w:rsidRPr="00FC4E60">
        <w:rPr>
          <w:rFonts w:hint="cs"/>
          <w:rtl/>
        </w:rPr>
        <w:t xml:space="preserve">الإنجابية بين الشباب والشابات. </w:t>
      </w:r>
      <w:r>
        <w:rPr>
          <w:rFonts w:hint="cs"/>
          <w:rtl/>
        </w:rPr>
        <w:t>إضافة إلى ذلك، ما فتئت جمعية صحة الأسرة في توفالو تنظم برامج تدريب للشابات والشباب على مهارات الحياة. ويشمل هذا التدريب الخياطة والكتابة على الملابس وصبغ ربطات العنق وعمل الشباك والنحت، إلخ. والهدف الرئيسي للتدريب تزويد الشابات والشباب بالمهارات الضرورية لكسب لقمة العيش، بما في ذلك تطوير المشاريع الصغيرة.</w:t>
      </w:r>
    </w:p>
    <w:p w:rsidR="00090A8E" w:rsidRDefault="00090A8E" w:rsidP="00090A8E">
      <w:pPr>
        <w:pStyle w:val="SingleTxt"/>
        <w:rPr>
          <w:rFonts w:hint="cs"/>
          <w:rtl/>
        </w:rPr>
      </w:pPr>
      <w:r>
        <w:rPr>
          <w:rFonts w:hint="cs"/>
          <w:rtl/>
        </w:rPr>
        <w:t>3-12</w:t>
      </w:r>
      <w:r>
        <w:rPr>
          <w:rFonts w:hint="cs"/>
          <w:rtl/>
        </w:rPr>
        <w:tab/>
        <w:t>وتقوم معظم الكنائس في توفالو بدور هام في توفير الرفاه لأعضائها، بمن فيهم النساء، وتنميتهم الروحية. وفي حين أن المرأة غائبة عن الهرم القيادي في الكنيسة، فإن مشاركتها في تنمية المجتمع المحلي مهمة. واستناداً إلى فرضية الحياة الجيدة والصحية، تكمل منظمات الكنائس النسوية عمل الحكومات المحلية في تنفيذ مشاريع ملموسة، مثل توفير صهاريج المياه ومطابخ المجتمعات المحلية، إلخ. وتمول هذه المشاريع في العادة من المساعدات الأجنبية. وفي بعض الجزر، تقوم زوجات القساوسة المتقاعدين بتنظيم صفوف منتظمة لقراءة الإنجيل ولتطوير فهمهن الروحي للمبادئ والقيم المسيحية الأساسية، وهي قيم حيوية بالنسبة لتوفالو بوصفها أمة مسيحية، كما أنها تحسن قدرات الأطفال على القراءة.</w:t>
      </w:r>
    </w:p>
    <w:p w:rsidR="00090A8E" w:rsidRPr="00090A8E" w:rsidRDefault="00090A8E" w:rsidP="00090A8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090A8E" w:rsidRPr="00CA47B4" w:rsidRDefault="00090A8E" w:rsidP="00090A8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CA47B4">
        <w:rPr>
          <w:rFonts w:hint="cs"/>
          <w:rtl/>
        </w:rPr>
        <w:t>النساء المعوقات</w:t>
      </w:r>
    </w:p>
    <w:p w:rsidR="00090A8E" w:rsidRDefault="00090A8E" w:rsidP="00090A8E">
      <w:pPr>
        <w:pStyle w:val="SingleTxt"/>
        <w:rPr>
          <w:rFonts w:hint="cs"/>
          <w:rtl/>
        </w:rPr>
      </w:pPr>
      <w:r>
        <w:rPr>
          <w:rFonts w:hint="cs"/>
          <w:rtl/>
        </w:rPr>
        <w:t>3-13</w:t>
      </w:r>
      <w:r>
        <w:rPr>
          <w:rFonts w:hint="cs"/>
          <w:rtl/>
        </w:rPr>
        <w:tab/>
        <w:t>توفالو طرف في إعلان آسيا والمحيط الهادئ الصادر عن لجنة الأمم المتحدة الاقتصادية والاجتماعية لآسيا والمحيط الهادئ وعقد المعوقين. والمعوقون أضعف أعضاء المجتمع وأكثرهم معاناة من الإهمال، ولا يكاد يشعر بهم أحد تقريباً. ويشكلون نحو 1.6 في المائة من مجموع السكان، وعدد الإناث المعوقات أكبر من عدد الذكور المعوقين.</w:t>
      </w:r>
    </w:p>
    <w:p w:rsidR="00090A8E" w:rsidRPr="00CE038B" w:rsidRDefault="00090A8E" w:rsidP="00090A8E">
      <w:pPr>
        <w:jc w:val="center"/>
        <w:rPr>
          <w:rFonts w:hint="cs"/>
          <w:b/>
          <w:bCs/>
          <w:sz w:val="28"/>
          <w:szCs w:val="28"/>
          <w:rtl/>
        </w:rPr>
      </w:pPr>
      <w:r w:rsidRPr="00CE038B">
        <w:rPr>
          <w:rFonts w:hint="cs"/>
          <w:b/>
          <w:bCs/>
          <w:sz w:val="28"/>
          <w:szCs w:val="28"/>
          <w:rtl/>
        </w:rPr>
        <w:t xml:space="preserve">الجدول 6: عدد المعوقين، موزعين حسب نوع الجنس </w:t>
      </w:r>
      <w:r>
        <w:rPr>
          <w:rFonts w:hint="cs"/>
          <w:b/>
          <w:bCs/>
          <w:sz w:val="28"/>
          <w:szCs w:val="28"/>
          <w:rtl/>
        </w:rPr>
        <w:t>والفئة العمرية و</w:t>
      </w:r>
      <w:r w:rsidRPr="00CE038B">
        <w:rPr>
          <w:rFonts w:hint="cs"/>
          <w:b/>
          <w:bCs/>
          <w:sz w:val="28"/>
          <w:szCs w:val="28"/>
          <w:rtl/>
        </w:rPr>
        <w:t xml:space="preserve">نوع الإعاقة </w:t>
      </w:r>
      <w:r w:rsidR="003626EB">
        <w:rPr>
          <w:rFonts w:hint="cs"/>
          <w:b/>
          <w:bCs/>
          <w:sz w:val="28"/>
          <w:szCs w:val="28"/>
          <w:rtl/>
        </w:rPr>
        <w:t>-</w:t>
      </w:r>
      <w:r w:rsidRPr="00CE038B">
        <w:rPr>
          <w:rFonts w:hint="cs"/>
          <w:b/>
          <w:bCs/>
          <w:sz w:val="28"/>
          <w:szCs w:val="28"/>
          <w:rtl/>
        </w:rPr>
        <w:t xml:space="preserve"> عام 1999</w:t>
      </w:r>
    </w:p>
    <w:p w:rsidR="00090A8E" w:rsidRPr="00853294" w:rsidRDefault="00090A8E" w:rsidP="00090A8E">
      <w:pPr>
        <w:jc w:val="center"/>
        <w:rPr>
          <w:rFonts w:hint="cs"/>
          <w:b/>
          <w:bCs/>
          <w:sz w:val="32"/>
          <w:szCs w:val="32"/>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60"/>
        <w:gridCol w:w="2160"/>
        <w:gridCol w:w="1152"/>
        <w:gridCol w:w="1152"/>
        <w:gridCol w:w="1152"/>
      </w:tblGrid>
      <w:tr w:rsidR="00090A8E" w:rsidRPr="00090A8E">
        <w:trPr>
          <w:cantSplit/>
          <w:tblHeader/>
          <w:jc w:val="center"/>
        </w:trPr>
        <w:tc>
          <w:tcPr>
            <w:tcW w:w="2160" w:type="dxa"/>
            <w:tcBorders>
              <w:top w:val="single" w:sz="4" w:space="0" w:color="auto"/>
              <w:bottom w:val="single" w:sz="12" w:space="0" w:color="auto"/>
            </w:tcBorders>
            <w:shd w:val="clear" w:color="auto" w:fill="auto"/>
            <w:vAlign w:val="bottom"/>
          </w:tcPr>
          <w:p w:rsidR="00090A8E" w:rsidRPr="00090A8E" w:rsidRDefault="00090A8E" w:rsidP="00090A8E">
            <w:pPr>
              <w:spacing w:before="80" w:after="80" w:line="240" w:lineRule="exact"/>
              <w:jc w:val="center"/>
              <w:rPr>
                <w:rFonts w:cs="Traditional Arabic" w:hint="cs"/>
                <w:b/>
                <w:bCs/>
                <w:i/>
                <w:iCs/>
                <w:sz w:val="16"/>
                <w:szCs w:val="24"/>
                <w:rtl/>
              </w:rPr>
            </w:pPr>
            <w:r w:rsidRPr="00090A8E">
              <w:rPr>
                <w:rFonts w:cs="Traditional Arabic" w:hint="cs"/>
                <w:b/>
                <w:bCs/>
                <w:i/>
                <w:iCs/>
                <w:sz w:val="16"/>
                <w:szCs w:val="24"/>
                <w:rtl/>
              </w:rPr>
              <w:t>نوع الإعاقة</w:t>
            </w:r>
          </w:p>
        </w:tc>
        <w:tc>
          <w:tcPr>
            <w:tcW w:w="2160" w:type="dxa"/>
            <w:tcBorders>
              <w:top w:val="single" w:sz="4" w:space="0" w:color="auto"/>
              <w:bottom w:val="single" w:sz="12" w:space="0" w:color="auto"/>
            </w:tcBorders>
            <w:shd w:val="clear" w:color="auto" w:fill="auto"/>
            <w:vAlign w:val="bottom"/>
          </w:tcPr>
          <w:p w:rsidR="00090A8E" w:rsidRPr="00090A8E" w:rsidRDefault="00090A8E" w:rsidP="00090A8E">
            <w:pPr>
              <w:spacing w:before="80" w:after="80" w:line="240" w:lineRule="exact"/>
              <w:ind w:right="144"/>
              <w:jc w:val="lowKashida"/>
              <w:rPr>
                <w:rFonts w:cs="Traditional Arabic" w:hint="cs"/>
                <w:b/>
                <w:bCs/>
                <w:i/>
                <w:iCs/>
                <w:sz w:val="16"/>
                <w:szCs w:val="24"/>
                <w:rtl/>
              </w:rPr>
            </w:pPr>
            <w:r w:rsidRPr="00090A8E">
              <w:rPr>
                <w:rFonts w:cs="Traditional Arabic" w:hint="cs"/>
                <w:b/>
                <w:bCs/>
                <w:i/>
                <w:iCs/>
                <w:sz w:val="16"/>
                <w:szCs w:val="24"/>
                <w:rtl/>
              </w:rPr>
              <w:t>الفئة العمرية (سنوات)</w:t>
            </w:r>
          </w:p>
        </w:tc>
        <w:tc>
          <w:tcPr>
            <w:tcW w:w="1152" w:type="dxa"/>
            <w:tcBorders>
              <w:top w:val="single" w:sz="4" w:space="0" w:color="auto"/>
              <w:bottom w:val="single" w:sz="12" w:space="0" w:color="auto"/>
            </w:tcBorders>
            <w:shd w:val="clear" w:color="auto" w:fill="auto"/>
            <w:vAlign w:val="bottom"/>
          </w:tcPr>
          <w:p w:rsidR="00090A8E" w:rsidRPr="00090A8E" w:rsidRDefault="00090A8E" w:rsidP="00090A8E">
            <w:pPr>
              <w:spacing w:before="80" w:after="80" w:line="240" w:lineRule="exact"/>
              <w:ind w:right="144"/>
              <w:jc w:val="lowKashida"/>
              <w:rPr>
                <w:rFonts w:cs="Traditional Arabic" w:hint="cs"/>
                <w:b/>
                <w:bCs/>
                <w:i/>
                <w:iCs/>
                <w:sz w:val="16"/>
                <w:szCs w:val="24"/>
                <w:rtl/>
              </w:rPr>
            </w:pPr>
            <w:r w:rsidRPr="00090A8E">
              <w:rPr>
                <w:rFonts w:cs="Traditional Arabic" w:hint="cs"/>
                <w:b/>
                <w:bCs/>
                <w:i/>
                <w:iCs/>
                <w:sz w:val="16"/>
                <w:szCs w:val="24"/>
                <w:rtl/>
              </w:rPr>
              <w:t>إناث</w:t>
            </w:r>
          </w:p>
        </w:tc>
        <w:tc>
          <w:tcPr>
            <w:tcW w:w="1152" w:type="dxa"/>
            <w:tcBorders>
              <w:top w:val="single" w:sz="4" w:space="0" w:color="auto"/>
              <w:bottom w:val="single" w:sz="12" w:space="0" w:color="auto"/>
            </w:tcBorders>
            <w:shd w:val="clear" w:color="auto" w:fill="auto"/>
            <w:vAlign w:val="bottom"/>
          </w:tcPr>
          <w:p w:rsidR="00090A8E" w:rsidRPr="00090A8E" w:rsidRDefault="00090A8E" w:rsidP="00090A8E">
            <w:pPr>
              <w:spacing w:before="80" w:after="80" w:line="240" w:lineRule="exact"/>
              <w:ind w:right="144"/>
              <w:jc w:val="lowKashida"/>
              <w:rPr>
                <w:rFonts w:cs="Traditional Arabic" w:hint="cs"/>
                <w:b/>
                <w:bCs/>
                <w:i/>
                <w:iCs/>
                <w:sz w:val="16"/>
                <w:szCs w:val="24"/>
                <w:rtl/>
              </w:rPr>
            </w:pPr>
            <w:r w:rsidRPr="00090A8E">
              <w:rPr>
                <w:rFonts w:cs="Traditional Arabic" w:hint="cs"/>
                <w:b/>
                <w:bCs/>
                <w:i/>
                <w:iCs/>
                <w:sz w:val="16"/>
                <w:szCs w:val="24"/>
                <w:rtl/>
              </w:rPr>
              <w:t>ذكور</w:t>
            </w:r>
          </w:p>
        </w:tc>
        <w:tc>
          <w:tcPr>
            <w:tcW w:w="1152" w:type="dxa"/>
            <w:tcBorders>
              <w:top w:val="single" w:sz="4" w:space="0" w:color="auto"/>
              <w:bottom w:val="single" w:sz="12" w:space="0" w:color="auto"/>
            </w:tcBorders>
            <w:shd w:val="clear" w:color="auto" w:fill="auto"/>
            <w:vAlign w:val="bottom"/>
          </w:tcPr>
          <w:p w:rsidR="00090A8E" w:rsidRPr="00090A8E" w:rsidRDefault="00090A8E" w:rsidP="00090A8E">
            <w:pPr>
              <w:spacing w:before="80" w:after="80" w:line="240" w:lineRule="exact"/>
              <w:ind w:right="144"/>
              <w:jc w:val="lowKashida"/>
              <w:rPr>
                <w:rFonts w:cs="Traditional Arabic" w:hint="cs"/>
                <w:b/>
                <w:bCs/>
                <w:i/>
                <w:iCs/>
                <w:sz w:val="16"/>
                <w:szCs w:val="24"/>
                <w:rtl/>
              </w:rPr>
            </w:pPr>
            <w:r w:rsidRPr="00090A8E">
              <w:rPr>
                <w:rFonts w:cs="Traditional Arabic" w:hint="cs"/>
                <w:b/>
                <w:bCs/>
                <w:i/>
                <w:iCs/>
                <w:sz w:val="16"/>
                <w:szCs w:val="24"/>
                <w:rtl/>
              </w:rPr>
              <w:t>المجموع</w:t>
            </w:r>
          </w:p>
        </w:tc>
      </w:tr>
      <w:tr w:rsidR="00090A8E" w:rsidRPr="00090A8E">
        <w:trPr>
          <w:cantSplit/>
          <w:trHeight w:hRule="exact" w:val="115"/>
          <w:tblHeader/>
          <w:jc w:val="center"/>
        </w:trPr>
        <w:tc>
          <w:tcPr>
            <w:tcW w:w="2160" w:type="dxa"/>
            <w:tcBorders>
              <w:top w:val="single" w:sz="12" w:space="0" w:color="auto"/>
            </w:tcBorders>
            <w:shd w:val="clear" w:color="auto" w:fill="auto"/>
            <w:vAlign w:val="bottom"/>
          </w:tcPr>
          <w:p w:rsidR="00090A8E" w:rsidRPr="00090A8E" w:rsidRDefault="00090A8E" w:rsidP="00090A8E">
            <w:pPr>
              <w:spacing w:before="40" w:after="80" w:line="240" w:lineRule="exact"/>
              <w:rPr>
                <w:rFonts w:hint="cs"/>
                <w:sz w:val="16"/>
                <w:szCs w:val="24"/>
                <w:rtl/>
              </w:rPr>
            </w:pPr>
          </w:p>
        </w:tc>
        <w:tc>
          <w:tcPr>
            <w:tcW w:w="2160" w:type="dxa"/>
            <w:tcBorders>
              <w:top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hint="cs"/>
                <w:sz w:val="16"/>
                <w:szCs w:val="24"/>
                <w:rtl/>
              </w:rPr>
            </w:pPr>
          </w:p>
        </w:tc>
        <w:tc>
          <w:tcPr>
            <w:tcW w:w="1152" w:type="dxa"/>
            <w:tcBorders>
              <w:top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hint="cs"/>
                <w:sz w:val="16"/>
                <w:szCs w:val="24"/>
                <w:rtl/>
              </w:rPr>
            </w:pPr>
          </w:p>
        </w:tc>
        <w:tc>
          <w:tcPr>
            <w:tcW w:w="1152" w:type="dxa"/>
            <w:tcBorders>
              <w:top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hint="cs"/>
                <w:sz w:val="16"/>
                <w:szCs w:val="24"/>
                <w:rtl/>
              </w:rPr>
            </w:pPr>
          </w:p>
        </w:tc>
        <w:tc>
          <w:tcPr>
            <w:tcW w:w="1152" w:type="dxa"/>
            <w:tcBorders>
              <w:top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hint="cs"/>
                <w:sz w:val="16"/>
                <w:szCs w:val="24"/>
                <w:rtl/>
              </w:rPr>
            </w:pP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منغوليون</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8 </w:t>
            </w:r>
            <w:r w:rsidR="00084D51">
              <w:rPr>
                <w:rFonts w:cs="Traditional Arabic"/>
                <w:sz w:val="16"/>
                <w:szCs w:val="24"/>
                <w:rtl/>
              </w:rPr>
              <w:t>-</w:t>
            </w:r>
            <w:r w:rsidRPr="00090A8E">
              <w:rPr>
                <w:rFonts w:cs="Traditional Arabic" w:hint="cs"/>
                <w:sz w:val="16"/>
                <w:szCs w:val="24"/>
                <w:rtl/>
              </w:rPr>
              <w:t xml:space="preserve"> 17</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4</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6</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أمراض عقلية</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9 </w:t>
            </w:r>
            <w:r w:rsidR="00084D51">
              <w:rPr>
                <w:rFonts w:cs="Traditional Arabic"/>
                <w:sz w:val="16"/>
                <w:szCs w:val="24"/>
                <w:rtl/>
              </w:rPr>
              <w:t>-</w:t>
            </w:r>
            <w:r w:rsidRPr="00090A8E">
              <w:rPr>
                <w:rFonts w:cs="Traditional Arabic" w:hint="cs"/>
                <w:sz w:val="16"/>
                <w:szCs w:val="24"/>
                <w:rtl/>
              </w:rPr>
              <w:t xml:space="preserve"> 20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4</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8</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12</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شلل الأطراف السفلي</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12 </w:t>
            </w:r>
            <w:r w:rsidR="00084D51">
              <w:rPr>
                <w:rFonts w:cs="Traditional Arabic"/>
                <w:sz w:val="16"/>
                <w:szCs w:val="24"/>
                <w:rtl/>
              </w:rPr>
              <w:t>-</w:t>
            </w:r>
            <w:r w:rsidRPr="00090A8E">
              <w:rPr>
                <w:rFonts w:cs="Traditional Arabic" w:hint="cs"/>
                <w:sz w:val="16"/>
                <w:szCs w:val="24"/>
                <w:rtl/>
              </w:rPr>
              <w:t xml:space="preserve"> 28</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6</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8</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شلل</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10 </w:t>
            </w:r>
            <w:r w:rsidR="00084D51">
              <w:rPr>
                <w:rFonts w:cs="Traditional Arabic"/>
                <w:sz w:val="16"/>
                <w:szCs w:val="24"/>
                <w:rtl/>
              </w:rPr>
              <w:t>-</w:t>
            </w:r>
            <w:r w:rsidRPr="00090A8E">
              <w:rPr>
                <w:rFonts w:cs="Traditional Arabic" w:hint="cs"/>
                <w:sz w:val="16"/>
                <w:szCs w:val="24"/>
                <w:rtl/>
              </w:rPr>
              <w:t xml:space="preserve"> 46</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3</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3</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6</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صم</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6 </w:t>
            </w:r>
            <w:r w:rsidR="00084D51">
              <w:rPr>
                <w:rFonts w:cs="Traditional Arabic"/>
                <w:sz w:val="16"/>
                <w:szCs w:val="24"/>
                <w:rtl/>
              </w:rPr>
              <w:t>-</w:t>
            </w:r>
            <w:r w:rsidRPr="00090A8E">
              <w:rPr>
                <w:rFonts w:cs="Traditional Arabic" w:hint="cs"/>
                <w:sz w:val="16"/>
                <w:szCs w:val="24"/>
                <w:rtl/>
              </w:rPr>
              <w:t xml:space="preserve"> 22</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8</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18</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شلل نصفي</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8 </w:t>
            </w:r>
            <w:r w:rsidR="00084D51">
              <w:rPr>
                <w:rFonts w:cs="Traditional Arabic"/>
                <w:sz w:val="16"/>
                <w:szCs w:val="24"/>
                <w:rtl/>
              </w:rPr>
              <w:t>-</w:t>
            </w:r>
            <w:r w:rsidRPr="00090A8E">
              <w:rPr>
                <w:rFonts w:cs="Traditional Arabic" w:hint="cs"/>
                <w:sz w:val="16"/>
                <w:szCs w:val="24"/>
                <w:rtl/>
              </w:rPr>
              <w:t xml:space="preserve"> 24</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30</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استسقاء دماغي (رأس كبير)</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6 </w:t>
            </w:r>
            <w:r w:rsidR="00084D51">
              <w:rPr>
                <w:rFonts w:cs="Traditional Arabic"/>
                <w:sz w:val="16"/>
                <w:szCs w:val="24"/>
                <w:rtl/>
              </w:rPr>
              <w:t>-</w:t>
            </w:r>
            <w:r w:rsidRPr="00090A8E">
              <w:rPr>
                <w:rFonts w:cs="Traditional Arabic" w:hint="cs"/>
                <w:sz w:val="16"/>
                <w:szCs w:val="24"/>
                <w:rtl/>
              </w:rPr>
              <w:t xml:space="preserve"> 18</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5</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3</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8</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أعمى بالكامل</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30 </w:t>
            </w:r>
            <w:r w:rsidR="00084D51">
              <w:rPr>
                <w:rFonts w:cs="Traditional Arabic"/>
                <w:sz w:val="16"/>
                <w:szCs w:val="24"/>
                <w:rtl/>
              </w:rPr>
              <w:t>-</w:t>
            </w:r>
            <w:r w:rsidRPr="00090A8E">
              <w:rPr>
                <w:rFonts w:cs="Traditional Arabic" w:hint="cs"/>
                <w:sz w:val="16"/>
                <w:szCs w:val="24"/>
                <w:rtl/>
              </w:rPr>
              <w:t xml:space="preserve"> 50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4</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6</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ضعيف البصر</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10 </w:t>
            </w:r>
            <w:r w:rsidR="00084D51">
              <w:rPr>
                <w:rFonts w:cs="Traditional Arabic"/>
                <w:sz w:val="16"/>
                <w:szCs w:val="24"/>
                <w:rtl/>
              </w:rPr>
              <w:t>-</w:t>
            </w:r>
            <w:r w:rsidRPr="00090A8E">
              <w:rPr>
                <w:rFonts w:cs="Traditional Arabic" w:hint="cs"/>
                <w:sz w:val="16"/>
                <w:szCs w:val="24"/>
                <w:rtl/>
              </w:rPr>
              <w:t xml:space="preserve"> 35</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8</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18</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عاهات عديدة</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10 </w:t>
            </w:r>
            <w:r w:rsidR="00084D51">
              <w:rPr>
                <w:rFonts w:cs="Traditional Arabic"/>
                <w:sz w:val="16"/>
                <w:szCs w:val="24"/>
                <w:rtl/>
              </w:rPr>
              <w:t>-</w:t>
            </w:r>
            <w:r w:rsidRPr="00090A8E">
              <w:rPr>
                <w:rFonts w:cs="Traditional Arabic" w:hint="cs"/>
                <w:sz w:val="16"/>
                <w:szCs w:val="24"/>
                <w:rtl/>
              </w:rPr>
              <w:t xml:space="preserve"> 40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30</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مبتورو الأطراف</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20 </w:t>
            </w:r>
            <w:r w:rsidR="00084D51">
              <w:rPr>
                <w:rFonts w:cs="Traditional Arabic"/>
                <w:sz w:val="16"/>
                <w:szCs w:val="24"/>
                <w:rtl/>
              </w:rPr>
              <w:t>-</w:t>
            </w:r>
            <w:r w:rsidRPr="00090A8E">
              <w:rPr>
                <w:rFonts w:cs="Traditional Arabic" w:hint="cs"/>
                <w:sz w:val="16"/>
                <w:szCs w:val="24"/>
                <w:rtl/>
              </w:rPr>
              <w:t xml:space="preserve"> 40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4</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6</w:t>
            </w:r>
          </w:p>
        </w:tc>
      </w:tr>
      <w:tr w:rsidR="00090A8E" w:rsidRPr="00090A8E">
        <w:trPr>
          <w:cantSplit/>
          <w:jc w:val="center"/>
        </w:trPr>
        <w:tc>
          <w:tcPr>
            <w:tcW w:w="2160" w:type="dxa"/>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البرص</w:t>
            </w:r>
          </w:p>
        </w:tc>
        <w:tc>
          <w:tcPr>
            <w:tcW w:w="2160"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 xml:space="preserve">7 </w:t>
            </w:r>
            <w:r w:rsidR="00084D51">
              <w:rPr>
                <w:rFonts w:cs="Traditional Arabic"/>
                <w:sz w:val="16"/>
                <w:szCs w:val="24"/>
                <w:rtl/>
              </w:rPr>
              <w:t>-</w:t>
            </w:r>
            <w:r w:rsidRPr="00090A8E">
              <w:rPr>
                <w:rFonts w:cs="Traditional Arabic" w:hint="cs"/>
                <w:sz w:val="16"/>
                <w:szCs w:val="24"/>
                <w:rtl/>
              </w:rPr>
              <w:t xml:space="preserve"> 40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10</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2</w:t>
            </w:r>
          </w:p>
        </w:tc>
        <w:tc>
          <w:tcPr>
            <w:tcW w:w="1152" w:type="dxa"/>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12</w:t>
            </w:r>
          </w:p>
        </w:tc>
      </w:tr>
      <w:tr w:rsidR="00090A8E" w:rsidRPr="00090A8E">
        <w:trPr>
          <w:cantSplit/>
          <w:jc w:val="center"/>
        </w:trPr>
        <w:tc>
          <w:tcPr>
            <w:tcW w:w="2160" w:type="dxa"/>
            <w:tcBorders>
              <w:bottom w:val="single" w:sz="12" w:space="0" w:color="auto"/>
            </w:tcBorders>
            <w:shd w:val="clear" w:color="auto" w:fill="auto"/>
            <w:vAlign w:val="bottom"/>
          </w:tcPr>
          <w:p w:rsidR="00090A8E" w:rsidRPr="00090A8E" w:rsidRDefault="00090A8E" w:rsidP="00090A8E">
            <w:pPr>
              <w:spacing w:before="40" w:after="80" w:line="240" w:lineRule="exact"/>
              <w:rPr>
                <w:rFonts w:cs="Traditional Arabic" w:hint="cs"/>
                <w:sz w:val="16"/>
                <w:szCs w:val="24"/>
                <w:rtl/>
              </w:rPr>
            </w:pPr>
            <w:r w:rsidRPr="00090A8E">
              <w:rPr>
                <w:rFonts w:cs="Traditional Arabic" w:hint="cs"/>
                <w:sz w:val="16"/>
                <w:szCs w:val="24"/>
                <w:rtl/>
              </w:rPr>
              <w:t>المجموع</w:t>
            </w:r>
          </w:p>
        </w:tc>
        <w:tc>
          <w:tcPr>
            <w:tcW w:w="2160" w:type="dxa"/>
            <w:tcBorders>
              <w:bottom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p>
        </w:tc>
        <w:tc>
          <w:tcPr>
            <w:tcW w:w="1152" w:type="dxa"/>
            <w:tcBorders>
              <w:bottom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86</w:t>
            </w:r>
          </w:p>
        </w:tc>
        <w:tc>
          <w:tcPr>
            <w:tcW w:w="1152" w:type="dxa"/>
            <w:tcBorders>
              <w:bottom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74</w:t>
            </w:r>
          </w:p>
        </w:tc>
        <w:tc>
          <w:tcPr>
            <w:tcW w:w="1152" w:type="dxa"/>
            <w:tcBorders>
              <w:bottom w:val="single" w:sz="12" w:space="0" w:color="auto"/>
            </w:tcBorders>
            <w:shd w:val="clear" w:color="auto" w:fill="auto"/>
            <w:vAlign w:val="bottom"/>
          </w:tcPr>
          <w:p w:rsidR="00090A8E" w:rsidRPr="00090A8E" w:rsidRDefault="00090A8E" w:rsidP="00090A8E">
            <w:pPr>
              <w:spacing w:before="40" w:after="80" w:line="240" w:lineRule="exact"/>
              <w:ind w:right="144"/>
              <w:jc w:val="lowKashida"/>
              <w:rPr>
                <w:rFonts w:cs="Traditional Arabic" w:hint="cs"/>
                <w:sz w:val="16"/>
                <w:szCs w:val="24"/>
                <w:rtl/>
              </w:rPr>
            </w:pPr>
            <w:r w:rsidRPr="00090A8E">
              <w:rPr>
                <w:rFonts w:cs="Traditional Arabic" w:hint="cs"/>
                <w:sz w:val="16"/>
                <w:szCs w:val="24"/>
                <w:rtl/>
              </w:rPr>
              <w:t>160</w:t>
            </w:r>
          </w:p>
        </w:tc>
      </w:tr>
    </w:tbl>
    <w:p w:rsidR="00090A8E" w:rsidRPr="00853294" w:rsidRDefault="00174457" w:rsidP="00174457">
      <w:pPr>
        <w:ind w:firstLine="720"/>
        <w:rPr>
          <w:rFonts w:hint="cs"/>
          <w:sz w:val="28"/>
          <w:szCs w:val="28"/>
          <w:rtl/>
        </w:rPr>
      </w:pPr>
      <w:r>
        <w:rPr>
          <w:rFonts w:hint="cs"/>
          <w:sz w:val="32"/>
          <w:szCs w:val="32"/>
          <w:rtl/>
        </w:rPr>
        <w:tab/>
      </w:r>
      <w:r w:rsidR="00090A8E" w:rsidRPr="00853294">
        <w:rPr>
          <w:rFonts w:hint="cs"/>
          <w:sz w:val="28"/>
          <w:szCs w:val="28"/>
          <w:rtl/>
        </w:rPr>
        <w:t>المصدر:</w:t>
      </w:r>
      <w:r>
        <w:rPr>
          <w:rFonts w:hint="cs"/>
          <w:sz w:val="28"/>
          <w:szCs w:val="28"/>
          <w:rtl/>
        </w:rPr>
        <w:tab/>
      </w:r>
      <w:r w:rsidR="00090A8E" w:rsidRPr="00853294">
        <w:rPr>
          <w:rFonts w:hint="cs"/>
          <w:sz w:val="28"/>
          <w:szCs w:val="28"/>
          <w:rtl/>
        </w:rPr>
        <w:t xml:space="preserve">تقرير البيانات الاجتماعية في توفالو، عام 2005 </w:t>
      </w:r>
    </w:p>
    <w:p w:rsidR="00174457" w:rsidRPr="00174457" w:rsidRDefault="00174457" w:rsidP="00174457">
      <w:pPr>
        <w:spacing w:line="120" w:lineRule="exact"/>
        <w:rPr>
          <w:rFonts w:hint="cs"/>
          <w:sz w:val="10"/>
          <w:szCs w:val="32"/>
          <w:rtl/>
        </w:rPr>
      </w:pPr>
    </w:p>
    <w:p w:rsidR="00090A8E" w:rsidRDefault="00174457" w:rsidP="00174457">
      <w:pPr>
        <w:pStyle w:val="SingleTxt"/>
        <w:rPr>
          <w:rFonts w:hint="cs"/>
          <w:rtl/>
        </w:rPr>
      </w:pPr>
      <w:r>
        <w:rPr>
          <w:rFonts w:hint="cs"/>
          <w:rtl/>
        </w:rPr>
        <w:t>3-14</w:t>
      </w:r>
      <w:r>
        <w:rPr>
          <w:rFonts w:hint="cs"/>
          <w:rtl/>
        </w:rPr>
        <w:tab/>
        <w:t>ك</w:t>
      </w:r>
      <w:r w:rsidR="00090A8E">
        <w:rPr>
          <w:rFonts w:hint="cs"/>
          <w:rtl/>
        </w:rPr>
        <w:t>معظم بلدان المحيط الهادئ الأخرى، توفر نظم العيش الجماعي والمساعدة والعون والدعم للمعاقين. ولا يوجد هيكل قائم أو مؤسسة تعتني بهم، وتقع مسؤولية توفير الرفاه لهم على عاتق أسرهم (الأسرة الصغيرة والأسرة الموسعة) بمساعدة من جمعية الصليب الأحمر في توفالو (</w:t>
      </w:r>
      <w:r w:rsidR="008B1FB2">
        <w:rPr>
          <w:rFonts w:hint="cs"/>
          <w:rtl/>
        </w:rPr>
        <w:t>انظر</w:t>
      </w:r>
      <w:r w:rsidR="00090A8E">
        <w:rPr>
          <w:rFonts w:hint="cs"/>
          <w:rtl/>
        </w:rPr>
        <w:t xml:space="preserve"> تقرير البيانات الاجتماعية، عام 2005). والمعوقون هم الأكثر حرماناً من الحصول على الخدمات العامة والخدمات الاجتماعية، بما فيها التعليم والعمالة، كما أن مشاركتهم في الأنشطة الاجتماعية الأخرى محدودة. وتوجد حاجة لـ: (أ) دعم مشاركة المعوقين مشاركة كاملة وفعالة في الحياة الاجتماعية وفي التنمية؛ (ب) النهوض بحقوق المعوقين وحماية كرامتهم؛ (ج) تعزيز وصولهم على قدم المساواة إلى العمالة والتعليم والمعلومات والسلع  والخدمات؛ (د) توفير دعم مؤسسي للمعوقين ودعم وتوفير الرفاه لهم. ولمعالجة هذه القضايا، حددت الحكومة في سياستها الاجتماعية لعام 2001 هدفين للمحرومين والضعفاء، هما: </w:t>
      </w:r>
    </w:p>
    <w:p w:rsidR="00090A8E" w:rsidRDefault="00174457" w:rsidP="001744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90A8E">
        <w:rPr>
          <w:rFonts w:hint="cs"/>
          <w:rtl/>
        </w:rPr>
        <w:t>العمل مع مجتمعات الجزر المحلية والهيئات الوطنية لضمان تقديم خدمات للمعوقين تجعل حياتهم أكثر راحة، والأهم، تشجيعهم والحصول على كامل إمكانياتهم للمشاركة في التنمية الوطنية؛ و</w:t>
      </w:r>
    </w:p>
    <w:p w:rsidR="00090A8E" w:rsidRDefault="00174457" w:rsidP="001744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090A8E">
        <w:rPr>
          <w:rFonts w:hint="cs"/>
          <w:rtl/>
        </w:rPr>
        <w:t>العمل مع مجلس الوزراء وذوي الشأن لوضع برنامج دعم يساعد المعوقين على أن يحيوا حياة  أفضل.</w:t>
      </w:r>
    </w:p>
    <w:p w:rsidR="00090A8E" w:rsidRDefault="00174457" w:rsidP="00174457">
      <w:pPr>
        <w:pStyle w:val="SingleTxt"/>
        <w:rPr>
          <w:rFonts w:hint="cs"/>
          <w:rtl/>
        </w:rPr>
      </w:pPr>
      <w:r>
        <w:rPr>
          <w:rFonts w:hint="cs"/>
          <w:rtl/>
        </w:rPr>
        <w:t>3-15</w:t>
      </w:r>
      <w:r>
        <w:rPr>
          <w:rFonts w:hint="cs"/>
          <w:rtl/>
        </w:rPr>
        <w:tab/>
      </w:r>
      <w:r w:rsidR="00090A8E">
        <w:rPr>
          <w:rFonts w:hint="cs"/>
          <w:rtl/>
        </w:rPr>
        <w:t>لتحقيق هذين الهدفين، اعتمدت إدارة شؤون المجتمعات المحلية الاستراتيجيات التالية:</w:t>
      </w:r>
    </w:p>
    <w:p w:rsidR="00090A8E" w:rsidRDefault="00174457" w:rsidP="001744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90A8E">
        <w:rPr>
          <w:rFonts w:hint="cs"/>
          <w:rtl/>
        </w:rPr>
        <w:t>تنفيذ جميع النقاط الرئيسية في إعلان آسيا والمحيط الهادئ المتعلق بالمعوقين وعقد آسيا والمحيط الهادئ للمعوقين؛</w:t>
      </w:r>
    </w:p>
    <w:p w:rsidR="00090A8E" w:rsidRDefault="00174457" w:rsidP="001744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090A8E">
        <w:rPr>
          <w:rFonts w:hint="cs"/>
          <w:rtl/>
        </w:rPr>
        <w:t xml:space="preserve">التوعية بحقوق المعوقين وقدراتهم؛ </w:t>
      </w:r>
    </w:p>
    <w:p w:rsidR="00090A8E" w:rsidRDefault="00174457" w:rsidP="0017445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090A8E">
        <w:rPr>
          <w:rFonts w:hint="cs"/>
          <w:rtl/>
        </w:rPr>
        <w:t>إدراج توصيات اللجنة الاقتصادية الاجتماعية لآسيا والمحيط الهادئ المتعلقة بتيسير الدخول إلى المباني والخروج منها في قانون البناء الوطني.</w:t>
      </w:r>
    </w:p>
    <w:p w:rsidR="00174457" w:rsidRPr="00174457" w:rsidRDefault="00174457" w:rsidP="00174457">
      <w:pPr>
        <w:spacing w:line="120" w:lineRule="exact"/>
        <w:rPr>
          <w:rFonts w:hint="cs"/>
          <w:sz w:val="10"/>
          <w:szCs w:val="32"/>
          <w:rtl/>
        </w:rPr>
      </w:pPr>
    </w:p>
    <w:p w:rsidR="00090A8E" w:rsidRDefault="00174457" w:rsidP="00174457">
      <w:pPr>
        <w:pStyle w:val="SingleTxt"/>
        <w:rPr>
          <w:rFonts w:hint="cs"/>
          <w:rtl/>
        </w:rPr>
      </w:pPr>
      <w:r>
        <w:rPr>
          <w:rFonts w:hint="cs"/>
          <w:rtl/>
        </w:rPr>
        <w:tab/>
      </w:r>
      <w:r w:rsidR="00090A8E">
        <w:rPr>
          <w:rFonts w:hint="cs"/>
          <w:rtl/>
        </w:rPr>
        <w:t>المرافق العامة ووسائل الراحة الأساسية ليست سهلة الاستخدام بالنسبة للمعوقين. ولا توجد مدراس خاصة لسد احتياجات الأطفال المعوقين وذوي العاهات، ولكن هذه المسألة أدرجت في خطة التعليم الاستراتيجية التي وضعتها وزارة التعليم للفترة</w:t>
      </w:r>
      <w:r>
        <w:rPr>
          <w:rtl/>
        </w:rPr>
        <w:br/>
      </w:r>
      <w:r w:rsidR="00090A8E">
        <w:rPr>
          <w:rFonts w:hint="cs"/>
          <w:rtl/>
        </w:rPr>
        <w:t>2006-2010.</w:t>
      </w:r>
    </w:p>
    <w:p w:rsidR="00090A8E" w:rsidRDefault="00174457" w:rsidP="00174457">
      <w:pPr>
        <w:pStyle w:val="SingleTxt"/>
        <w:rPr>
          <w:rFonts w:hint="cs"/>
          <w:rtl/>
        </w:rPr>
      </w:pPr>
      <w:r>
        <w:rPr>
          <w:rFonts w:hint="cs"/>
          <w:rtl/>
        </w:rPr>
        <w:tab/>
      </w:r>
      <w:r w:rsidR="00090A8E">
        <w:rPr>
          <w:rFonts w:hint="cs"/>
          <w:rtl/>
        </w:rPr>
        <w:t>وتعرب الحكومة عن تقديرها لعمل جمعية الصليب الأحمر في توفالو التي تتولى مسؤولية العناية بالمعوقين.</w:t>
      </w:r>
    </w:p>
    <w:p w:rsidR="00E70375" w:rsidRPr="00E70375" w:rsidRDefault="00E70375" w:rsidP="00E70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E70375" w:rsidRDefault="00E70375" w:rsidP="00E70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DC18C0">
        <w:rPr>
          <w:rFonts w:hint="cs"/>
          <w:rtl/>
        </w:rPr>
        <w:t xml:space="preserve">المادة 4 </w:t>
      </w:r>
    </w:p>
    <w:p w:rsidR="00E70375" w:rsidRPr="00E70375" w:rsidRDefault="00E70375" w:rsidP="00E70375">
      <w:pPr>
        <w:spacing w:line="120" w:lineRule="exact"/>
        <w:rPr>
          <w:rFonts w:hint="cs"/>
          <w:b/>
          <w:bCs/>
          <w:sz w:val="10"/>
          <w:szCs w:val="32"/>
          <w:rtl/>
        </w:rPr>
      </w:pPr>
    </w:p>
    <w:tbl>
      <w:tblPr>
        <w:tblStyle w:val="TableGrid"/>
        <w:bidiVisual/>
        <w:tblW w:w="0" w:type="auto"/>
        <w:jc w:val="center"/>
        <w:tblBorders>
          <w:insideH w:val="none" w:sz="0" w:space="0" w:color="auto"/>
        </w:tblBorders>
        <w:tblLook w:val="01E0" w:firstRow="1" w:lastRow="1" w:firstColumn="1" w:lastColumn="1" w:noHBand="0" w:noVBand="0"/>
      </w:tblPr>
      <w:tblGrid>
        <w:gridCol w:w="8856"/>
      </w:tblGrid>
      <w:tr w:rsidR="00E70375" w:rsidRPr="00E70375">
        <w:trPr>
          <w:jc w:val="center"/>
        </w:trPr>
        <w:tc>
          <w:tcPr>
            <w:tcW w:w="8856" w:type="dxa"/>
          </w:tcPr>
          <w:p w:rsidR="00E70375" w:rsidRPr="00E70375" w:rsidRDefault="00E70375" w:rsidP="00E70375">
            <w:pPr>
              <w:pStyle w:val="SingleTxt"/>
              <w:rPr>
                <w:rFonts w:cs="Traditional Arabic" w:hint="cs"/>
                <w:rtl/>
              </w:rPr>
            </w:pPr>
            <w:r w:rsidRPr="00E70375">
              <w:rPr>
                <w:rFonts w:cs="Traditional Arabic" w:hint="cs"/>
                <w:rtl/>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تتحقق أهداف التكافؤ في الفرص والمعاملة.</w:t>
            </w:r>
          </w:p>
        </w:tc>
      </w:tr>
      <w:tr w:rsidR="00E70375">
        <w:trPr>
          <w:jc w:val="center"/>
        </w:trPr>
        <w:tc>
          <w:tcPr>
            <w:tcW w:w="8856" w:type="dxa"/>
          </w:tcPr>
          <w:p w:rsidR="00E70375" w:rsidRPr="00E70375" w:rsidRDefault="00E70375" w:rsidP="00E70375">
            <w:pPr>
              <w:pStyle w:val="SingleTxt"/>
              <w:rPr>
                <w:rFonts w:hint="cs"/>
                <w:rtl/>
              </w:rPr>
            </w:pPr>
            <w:r>
              <w:rPr>
                <w:rFonts w:cs="Traditional Arabic"/>
                <w:rtl/>
              </w:rPr>
              <w:tab/>
            </w:r>
            <w:r w:rsidRPr="00E70375">
              <w:rPr>
                <w:rFonts w:cs="Traditional Arabic" w:hint="cs"/>
                <w:rtl/>
              </w:rPr>
              <w:t>لا يعتبر اتخاذ الدول الأطراف تدابير خاصة تستهدف حماية الأمومة، بما في ذلك تلك التدابير الواردة في هذه الاتفاقية، إجراءً تمييزياً.</w:t>
            </w:r>
          </w:p>
        </w:tc>
      </w:tr>
    </w:tbl>
    <w:p w:rsidR="00E70375" w:rsidRDefault="00E70375" w:rsidP="00E70375">
      <w:pPr>
        <w:rPr>
          <w:rFonts w:hint="cs"/>
          <w:b/>
          <w:bCs/>
          <w:sz w:val="32"/>
          <w:szCs w:val="32"/>
          <w:rtl/>
        </w:rPr>
      </w:pPr>
    </w:p>
    <w:p w:rsidR="00E70375" w:rsidRPr="00DC18C0" w:rsidRDefault="00E70375" w:rsidP="00E70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DC18C0">
        <w:rPr>
          <w:rFonts w:hint="cs"/>
          <w:rtl/>
        </w:rPr>
        <w:t>الإطار القانوني</w:t>
      </w:r>
    </w:p>
    <w:p w:rsidR="00E70375" w:rsidRDefault="00E70375" w:rsidP="00E70375">
      <w:pPr>
        <w:pStyle w:val="SingleTxt"/>
        <w:rPr>
          <w:rFonts w:hint="cs"/>
          <w:rtl/>
        </w:rPr>
      </w:pPr>
      <w:r>
        <w:rPr>
          <w:rFonts w:hint="cs"/>
          <w:rtl/>
        </w:rPr>
        <w:t>4-1- توجد في دستور توفالو أحكام تتيح للبرلمان أن يقرر اتخاذ عمل إيجابي مؤقت يتمشى مع مقتضيات هذه المادة. وينص الفرع 27 (و) على:</w:t>
      </w:r>
    </w:p>
    <w:p w:rsidR="00E70375" w:rsidRDefault="00F3241C" w:rsidP="00F3241C">
      <w:pPr>
        <w:pStyle w:val="SingleTxt"/>
        <w:ind w:left="1930" w:hanging="663"/>
        <w:rPr>
          <w:rFonts w:hint="eastAsia"/>
          <w:rtl/>
        </w:rPr>
      </w:pPr>
      <w:r>
        <w:rPr>
          <w:rFonts w:hint="cs"/>
          <w:rtl/>
        </w:rPr>
        <w:tab/>
      </w:r>
      <w:r w:rsidR="00E70375">
        <w:rPr>
          <w:rFonts w:hint="cs"/>
          <w:rtl/>
        </w:rPr>
        <w:tab/>
      </w:r>
      <w:r w:rsidR="00E70375">
        <w:rPr>
          <w:rFonts w:hint="eastAsia"/>
          <w:rtl/>
        </w:rPr>
        <w:t>”</w:t>
      </w:r>
      <w:r w:rsidR="00E70375">
        <w:rPr>
          <w:rFonts w:hint="cs"/>
          <w:rtl/>
        </w:rPr>
        <w:t>يجوز بموجبها معاملة أي شخص أو مجموعة معاملة تفضيلية أو معاملة غير تفضيلية يمكن تبريرها منطقياً على أساس طبيعة المعاملة وأية ظروف خاصة للشخص أو المجموعة في مجتمع ديمقراطي يحترم حقوق الإنسان وكرامته على نحو سليم</w:t>
      </w:r>
      <w:r w:rsidR="00E70375">
        <w:rPr>
          <w:rFonts w:hint="eastAsia"/>
          <w:rtl/>
        </w:rPr>
        <w:t>“.</w:t>
      </w:r>
    </w:p>
    <w:p w:rsidR="00E70375" w:rsidRDefault="00E70375" w:rsidP="00E70375">
      <w:pPr>
        <w:pStyle w:val="SingleTxt"/>
        <w:rPr>
          <w:rFonts w:hint="cs"/>
          <w:rtl/>
        </w:rPr>
      </w:pPr>
      <w:r>
        <w:rPr>
          <w:rFonts w:hint="cs"/>
          <w:rtl/>
        </w:rPr>
        <w:tab/>
        <w:t>ولا توجد تدابير مؤقتة تهدف إلى التعجيل بالمساواة بحكم الواقع بين الرجل والمرأة في جميع قطاعات الاقتصاد.</w:t>
      </w:r>
    </w:p>
    <w:p w:rsidR="00E70375" w:rsidRDefault="00E70375" w:rsidP="00E70375">
      <w:pPr>
        <w:pStyle w:val="SingleTxt"/>
        <w:rPr>
          <w:rFonts w:hint="cs"/>
          <w:rtl/>
        </w:rPr>
      </w:pPr>
      <w:r>
        <w:rPr>
          <w:rFonts w:hint="cs"/>
          <w:rtl/>
        </w:rPr>
        <w:t>4-2</w:t>
      </w:r>
      <w:r>
        <w:rPr>
          <w:rFonts w:hint="cs"/>
          <w:rtl/>
        </w:rPr>
        <w:tab/>
        <w:t xml:space="preserve">ولم تتخذ تدابير رسمية مؤقتة منذ المصادقة على اتفاقية القضاء على جميع أشكال التمييز ضد المرأة، وإن كانت توجد تغييرات مهمة بالنسبة لحياة المرأة. تقليدياً، يعتقد معظم التوفاليين أن أوضاع أسلوب حياة السكان الأصليين المنبثقة من العادات والتقاليد عاملت المرأة دائماً معاملة منصفة. ولا يرون جوهر تطبيق الاتفاقية. بيد أن الحكومة ترى أن اتخاذ تدابير مناسبة في إطار البرامج الموجهة مسألة حيوية لضمان مصداقية المرأة وقبولها شعبياً، ولكي تكون فاعلاً رئيسياً إلى جانب الرجل في تنمية توفالو ككل. </w:t>
      </w:r>
    </w:p>
    <w:p w:rsidR="00E70375" w:rsidRDefault="00E70375" w:rsidP="00E70375">
      <w:pPr>
        <w:pStyle w:val="SingleTxt"/>
        <w:rPr>
          <w:rFonts w:hint="cs"/>
          <w:rtl/>
        </w:rPr>
      </w:pPr>
      <w:r>
        <w:rPr>
          <w:rFonts w:hint="cs"/>
          <w:rtl/>
        </w:rPr>
        <w:t>4-3</w:t>
      </w:r>
      <w:r>
        <w:rPr>
          <w:rFonts w:hint="cs"/>
          <w:rtl/>
        </w:rPr>
        <w:tab/>
        <w:t>ولا تزال الحكومة تعالج قضايا عدم المساواة من خلال إطار قانوني وإطار للسياسة العامة بدلاً من استخدام التدابير الخاصة المؤقتة. فعلى سبيل المثال، تمكّن سياسة المنح الدراسية المنقحة من تقديم منح لعدد من الرجال مساوٍ لعدد النساء. ففي مطلع الثمانينيات والتسعينيات، كانت تلغى منح الطالبات بعد أن يتزوجن من أشحاص ليسوا من مواطني توفالو. وقد جرى تغيير هذه السياسة بعد ذلك، وبوسع الطالبات الآن الاحتفاظ بمنحهن الدراسية حتى لو تزوجن أثناء دراستهن من أشخاص ليسوا من مواطني توفالو، طالما أن المرأة لا تتخلى عن جنسية توفالو.</w:t>
      </w:r>
    </w:p>
    <w:p w:rsidR="00E70375" w:rsidRDefault="00E70375" w:rsidP="003626EB">
      <w:pPr>
        <w:pStyle w:val="SingleTxt"/>
        <w:rPr>
          <w:rFonts w:hint="cs"/>
          <w:rtl/>
        </w:rPr>
      </w:pPr>
      <w:r>
        <w:rPr>
          <w:rFonts w:hint="cs"/>
          <w:rtl/>
        </w:rPr>
        <w:t>4-4</w:t>
      </w:r>
      <w:r>
        <w:rPr>
          <w:rFonts w:hint="cs"/>
          <w:rtl/>
        </w:rPr>
        <w:tab/>
        <w:t xml:space="preserve">ومع أن امرأة واحدة فقط فازت بعضوية البرلمان منذ عام 1978، لم يتخذ أي تدبير خاص مؤقت لتيسير دخول المرأة عالم السياسة. وفي إطار الجهد الذي تبذله آلية المرأة الوطنية لمعالجة هذه المسألة، لا تزال هذه الآلية تسعى لإشراك المرأة في برامج سياسية لحفز وتشجيع المرأة على دخول ما يرى التوفاليون أنه </w:t>
      </w:r>
      <w:r w:rsidR="003626EB">
        <w:rPr>
          <w:rFonts w:hint="eastAsia"/>
          <w:rtl/>
        </w:rPr>
        <w:t>”</w:t>
      </w:r>
      <w:r>
        <w:rPr>
          <w:rFonts w:hint="cs"/>
          <w:rtl/>
        </w:rPr>
        <w:t>عالم الرجال</w:t>
      </w:r>
      <w:r w:rsidR="003626EB">
        <w:rPr>
          <w:rFonts w:hint="eastAsia"/>
          <w:rtl/>
        </w:rPr>
        <w:t>“</w:t>
      </w:r>
      <w:r>
        <w:rPr>
          <w:rFonts w:hint="cs"/>
          <w:rtl/>
        </w:rPr>
        <w:t>. وكما قيل سابقاً، تؤثر الأدوار التقليدية النمطية للرجل والمرأة على مشاركة الأخيرة وإسهامها في عمليات صنع القرار الرسمية، بما في ذلك البرلمان.</w:t>
      </w:r>
    </w:p>
    <w:p w:rsidR="00E70375" w:rsidRDefault="00E70375" w:rsidP="00E70375">
      <w:pPr>
        <w:pStyle w:val="SingleTxt"/>
        <w:rPr>
          <w:rFonts w:hint="cs"/>
        </w:rPr>
      </w:pPr>
      <w:r>
        <w:rPr>
          <w:rFonts w:hint="cs"/>
          <w:rtl/>
        </w:rPr>
        <w:t>4-5</w:t>
      </w:r>
      <w:r>
        <w:rPr>
          <w:rFonts w:hint="cs"/>
          <w:rtl/>
        </w:rPr>
        <w:tab/>
        <w:t>فضلاً عن ذلك، على الصعيد الرسمي، لا يشارك على مستوى صنع القرار أو يشغل مناصب عليا على أساس الجدارة سوى عدد صغير جداً من النساء. ومع أنه لا يوجد تمييز ضد مشاركة المرأة في صنع القرار على صعيد المجتمع المحلي، فإنه يلزم اتخاذ تدابير خاصة لتحقيق تقدم ملائم أو إيجاد بيئة يتمتع فيها الجميع، بمن في ذلك المرأة، بكامل الحقوق.</w:t>
      </w:r>
    </w:p>
    <w:p w:rsidR="00E70375" w:rsidRPr="00E70375" w:rsidRDefault="00E70375" w:rsidP="00E70375">
      <w:pPr>
        <w:spacing w:line="120" w:lineRule="exact"/>
        <w:rPr>
          <w:rFonts w:hint="cs"/>
          <w:sz w:val="10"/>
          <w:szCs w:val="32"/>
          <w:rtl/>
        </w:rPr>
      </w:pPr>
    </w:p>
    <w:p w:rsidR="00E70375" w:rsidRDefault="00E70375" w:rsidP="00E70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E84F31">
        <w:rPr>
          <w:rFonts w:hint="cs"/>
          <w:rtl/>
        </w:rPr>
        <w:t xml:space="preserve">المادة 5 </w:t>
      </w:r>
    </w:p>
    <w:p w:rsidR="00E70375" w:rsidRDefault="00E70375" w:rsidP="00E70375">
      <w:pPr>
        <w:rPr>
          <w:rFonts w:hint="cs"/>
          <w:b/>
          <w:bCs/>
          <w:sz w:val="32"/>
          <w:szCs w:val="32"/>
          <w:rtl/>
        </w:rPr>
      </w:pPr>
    </w:p>
    <w:tbl>
      <w:tblPr>
        <w:tblStyle w:val="TableGrid"/>
        <w:bidiVisual/>
        <w:tblW w:w="0" w:type="auto"/>
        <w:jc w:val="center"/>
        <w:tblLook w:val="01E0" w:firstRow="1" w:lastRow="1" w:firstColumn="1" w:lastColumn="1" w:noHBand="0" w:noVBand="0"/>
      </w:tblPr>
      <w:tblGrid>
        <w:gridCol w:w="8856"/>
      </w:tblGrid>
      <w:tr w:rsidR="00E70375" w:rsidRPr="00E70375">
        <w:trPr>
          <w:jc w:val="center"/>
        </w:trPr>
        <w:tc>
          <w:tcPr>
            <w:tcW w:w="8856" w:type="dxa"/>
          </w:tcPr>
          <w:p w:rsidR="00E70375" w:rsidRPr="00E70375" w:rsidRDefault="00E70375" w:rsidP="00E70375">
            <w:pPr>
              <w:pStyle w:val="SingleTxt"/>
              <w:rPr>
                <w:rFonts w:cs="Traditional Arabic" w:hint="cs"/>
                <w:rtl/>
              </w:rPr>
            </w:pPr>
            <w:r w:rsidRPr="00E70375">
              <w:rPr>
                <w:rFonts w:cs="Traditional Arabic"/>
                <w:rtl/>
              </w:rPr>
              <w:tab/>
            </w:r>
            <w:r w:rsidRPr="00E70375">
              <w:rPr>
                <w:rFonts w:cs="Traditional Arabic" w:hint="cs"/>
                <w:rtl/>
              </w:rPr>
              <w:t>تتخذ الدول الأطراف جميع التدابير المناسبة، لتحقيق ما يلي:</w:t>
            </w:r>
          </w:p>
          <w:p w:rsidR="00E70375" w:rsidRPr="00E70375" w:rsidRDefault="00E70375" w:rsidP="00E70375">
            <w:pPr>
              <w:pStyle w:val="SingleTxt"/>
              <w:rPr>
                <w:rFonts w:cs="Traditional Arabic" w:hint="cs"/>
                <w:rtl/>
              </w:rPr>
            </w:pPr>
            <w:r>
              <w:rPr>
                <w:rFonts w:cs="Traditional Arabic"/>
                <w:rtl/>
              </w:rPr>
              <w:tab/>
            </w:r>
            <w:r w:rsidRPr="00E70375">
              <w:rPr>
                <w:rFonts w:cs="Traditional Arabic" w:hint="cs"/>
                <w:rtl/>
              </w:rPr>
              <w:t>(أ)</w:t>
            </w:r>
            <w:r w:rsidRPr="00E70375">
              <w:rPr>
                <w:rFonts w:cs="Traditional Arabic" w:hint="cs"/>
                <w:rtl/>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تمطية للرجل والمرأة؛</w:t>
            </w:r>
          </w:p>
          <w:p w:rsidR="00E70375" w:rsidRPr="00E70375" w:rsidRDefault="00E70375" w:rsidP="00E70375">
            <w:pPr>
              <w:pStyle w:val="SingleTxt"/>
              <w:rPr>
                <w:rFonts w:cs="Traditional Arabic" w:hint="cs"/>
                <w:rtl/>
              </w:rPr>
            </w:pPr>
            <w:r>
              <w:rPr>
                <w:rFonts w:cs="Traditional Arabic"/>
                <w:rtl/>
              </w:rPr>
              <w:tab/>
            </w:r>
            <w:r w:rsidRPr="00E70375">
              <w:rPr>
                <w:rFonts w:cs="Traditional Arabic" w:hint="cs"/>
                <w:rtl/>
              </w:rPr>
              <w:t>(ب)</w:t>
            </w:r>
            <w:r>
              <w:rPr>
                <w:rFonts w:cs="Traditional Arabic"/>
                <w:rtl/>
              </w:rPr>
              <w:tab/>
            </w:r>
            <w:r w:rsidRPr="00E70375">
              <w:rPr>
                <w:rFonts w:cs="Traditional Arabic" w:hint="cs"/>
                <w:rtl/>
              </w:rPr>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tc>
      </w:tr>
    </w:tbl>
    <w:p w:rsidR="00E70375" w:rsidRPr="00E70375" w:rsidRDefault="00E70375" w:rsidP="00E70375">
      <w:pPr>
        <w:spacing w:line="120" w:lineRule="exact"/>
        <w:rPr>
          <w:rFonts w:hint="cs"/>
          <w:b/>
          <w:bCs/>
          <w:sz w:val="10"/>
          <w:szCs w:val="32"/>
          <w:rtl/>
        </w:rPr>
      </w:pPr>
    </w:p>
    <w:p w:rsidR="00E70375" w:rsidRDefault="00E70375" w:rsidP="00E70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E84F31">
        <w:rPr>
          <w:rFonts w:hint="cs"/>
          <w:rtl/>
        </w:rPr>
        <w:t>الممارسات الثقافية والتقليدية</w:t>
      </w:r>
    </w:p>
    <w:p w:rsidR="00E70375" w:rsidRDefault="00E70375" w:rsidP="00E70375">
      <w:pPr>
        <w:pStyle w:val="SingleTxt"/>
        <w:rPr>
          <w:rFonts w:hint="cs"/>
          <w:rtl/>
        </w:rPr>
      </w:pPr>
      <w:r>
        <w:rPr>
          <w:rFonts w:hint="cs"/>
          <w:rtl/>
        </w:rPr>
        <w:t>5-1</w:t>
      </w:r>
      <w:r>
        <w:rPr>
          <w:rFonts w:hint="cs"/>
          <w:rtl/>
        </w:rPr>
        <w:tab/>
        <w:t>العادات التقليدية راسخة الجذور في توفالو، وأثرت الثقافة والمعتقدات الدينية الراسخة على طريقة حياة مواطني توفالو وشكلتها. وبطريقة ما، تعوق هذه الثقافة والمعتقدات الدينية إدماج المرأة إدماجاً كاملاً في التنمية وتعوق تقدمها في جميع القطاعات أو ميادين السعي. ومعروف أن المرأة محافظة في معظم الحالات. وأنماط سلوك الرجل والمرأة الاجتماعية والثقافية تسفر عن الأدوار النمطية لكل من الجنسين. وعلى صعيد المجتمع المحلي، تقبل معظم النساء هذه الأدوار (دون أي تردد) بوصفها التزاماً. تقليدياً، تدير المرأة البيت وتعتني بالمسنين والأطفال، في حين أن الرجل هو رب الأسرة. ولذلك، فإن الرجل يتخذ القرار والمرأة تنفذه. وتمتد هذه الأدوار لتشمل هيئات صنع القرار في المجتمعات المحلية، التي يهمين الذكور عليها إلى حد كبير بسبب هذه القواعد الاجتماعية. ومع أنه مسموح للمرأة أن تشارك في صنع القرار في بعض مجالس الفالي كابيول، فإن البيئة لا تساعد على تشجيع مشاركة المرأة.</w:t>
      </w:r>
    </w:p>
    <w:p w:rsidR="00E70375" w:rsidRDefault="00E70375" w:rsidP="0090707A">
      <w:pPr>
        <w:pStyle w:val="SingleTxt"/>
        <w:rPr>
          <w:rFonts w:hint="cs"/>
          <w:rtl/>
        </w:rPr>
      </w:pPr>
      <w:r>
        <w:rPr>
          <w:rFonts w:hint="cs"/>
          <w:rtl/>
        </w:rPr>
        <w:t>5-2</w:t>
      </w:r>
      <w:r>
        <w:rPr>
          <w:rFonts w:hint="cs"/>
          <w:rtl/>
        </w:rPr>
        <w:tab/>
        <w:t>تهدف سياسة المرأة الوطنية المنقحة إلى الحفاط على القيم الثقافية التي تعزز وضع المرأة ورفاهها وتشجع تعديل الممارسات التقليدية التي تعوق النهوض بالمرأة ومشاركتها الكاملة في الأنشطة الاجتماعية والثقافية. ويثمن التوفاليون ثقافتهم وتقاليدهم، وللوحدة الاجتماعية التقليدية في توفالو عدة جوانب. ففي أحد طرفيها المجتمع المحلي التقليدي، وهو بيئة مألوفة لجميع المجتمعات المحلية في الجزر. وهذا يضم كبار الزعماء ومرافقيهم وأرباب الأسر (ماتاي)</w:t>
      </w:r>
      <w:r w:rsidR="0090707A" w:rsidRPr="0090707A">
        <w:rPr>
          <w:vertAlign w:val="superscript"/>
          <w:rtl/>
        </w:rPr>
        <w:t>(</w:t>
      </w:r>
      <w:r w:rsidR="0090707A">
        <w:rPr>
          <w:rStyle w:val="FootnoteReference"/>
          <w:rtl/>
        </w:rPr>
        <w:footnoteReference w:id="59"/>
      </w:r>
      <w:r w:rsidR="0090707A" w:rsidRPr="0090707A">
        <w:rPr>
          <w:vertAlign w:val="superscript"/>
          <w:rtl/>
        </w:rPr>
        <w:t>)</w:t>
      </w:r>
      <w:r>
        <w:rPr>
          <w:rFonts w:hint="cs"/>
          <w:rtl/>
        </w:rPr>
        <w:t xml:space="preserve"> ورؤساء العشائر (ماتانيو)</w:t>
      </w:r>
      <w:r w:rsidR="0090707A" w:rsidRPr="0090707A">
        <w:rPr>
          <w:vertAlign w:val="superscript"/>
          <w:rtl/>
        </w:rPr>
        <w:t>(</w:t>
      </w:r>
      <w:r w:rsidR="0090707A">
        <w:rPr>
          <w:rStyle w:val="FootnoteReference"/>
          <w:rtl/>
        </w:rPr>
        <w:footnoteReference w:id="60"/>
      </w:r>
      <w:r w:rsidR="0090707A" w:rsidRPr="0090707A">
        <w:rPr>
          <w:vertAlign w:val="superscript"/>
          <w:rtl/>
        </w:rPr>
        <w:t>)</w:t>
      </w:r>
      <w:r>
        <w:rPr>
          <w:rFonts w:hint="cs"/>
          <w:rtl/>
        </w:rPr>
        <w:t>، من رجال ونساء وشباب وأطفال. وفي هذه البيئة، يتخذ المسنون الذكور القرارات الهامة للمجتمع المحلي ولفرادى العشائر أيضاً وللأسر الموسعة. وفي الطرف الآخر وحدة الأسرة.</w:t>
      </w:r>
    </w:p>
    <w:p w:rsidR="00E70375" w:rsidRDefault="00E70375" w:rsidP="003626EB">
      <w:pPr>
        <w:pStyle w:val="SingleTxt"/>
        <w:rPr>
          <w:rFonts w:hint="cs"/>
          <w:rtl/>
        </w:rPr>
      </w:pPr>
      <w:r>
        <w:rPr>
          <w:rFonts w:hint="cs"/>
          <w:rtl/>
        </w:rPr>
        <w:t>5-3</w:t>
      </w:r>
      <w:r>
        <w:rPr>
          <w:rFonts w:hint="cs"/>
          <w:rtl/>
        </w:rPr>
        <w:tab/>
        <w:t xml:space="preserve">في السياق التقليدي، تشمل الأسرة الأسرة المصغرة والأسرة الموسعة. وتتفاعل جميع الوحدات الاجتماعية معاً. وفي حين أن وحدات الأسرة المصغرة موجودة، فإن تأثير القواعد التقليدية، لا سيما مفهوم الكايتاسي، يجعل من المتعذر اعتبار الأسر المصغرة كياناً مستقلاً منفصلاً. والأسرة الموسعة في هذا السياق تقوم على فكرة التشاطر والرعاية. ويصبح هذا مفيداً بشكل خاص في حالة ولادة طفل، حيث تقوم أسرة المرأة التي ستصبح أماً بإعداد فراشها، بينما تقوم أخوات الزوج وبنات عمه بإعداد فراش المولود الجديد. وبعد الولادة تعد كلتا الأسرتين مأدبة احتفالية. وتشمل المسؤوليات الجماعية لهاتين الأسرتين أيضاً تنظيم الزواج، حيث تُجمّع الأسرتان مواردهما لدفع تكاليف الزواج وتبادل الهدايا أيضاً بين أسرة العروس وأسرة العريس وتكاليف الطعام والاحتفالات التي تترتب على ذلك. وفي حالة وفاة أحد أفراد الأسرة، بينما يكون بعض أفراد الأسرة الموسعة في حالة حداد ينشغل أفراد آخرون بإعداد المرطبات أثناء التجمع لتقديم التعازي. وفي ليلة الجنازة، يجتمع أفراد الأسرة الأقربون مع أقاربهم للصلاة وتناول العشاء. وتستمر فترة الحداد لبضعة أيام أو حتى أسابيع. ويقرر الماتاي مدة الحداد ووقت إنهائه، وتقام مأدبة طعام كبيرة تسمى </w:t>
      </w:r>
      <w:r w:rsidR="003626EB">
        <w:rPr>
          <w:rFonts w:hint="eastAsia"/>
          <w:rtl/>
        </w:rPr>
        <w:t>”</w:t>
      </w:r>
      <w:r>
        <w:rPr>
          <w:rFonts w:hint="cs"/>
          <w:rtl/>
        </w:rPr>
        <w:t>آيتاغي</w:t>
      </w:r>
      <w:r w:rsidR="003626EB">
        <w:rPr>
          <w:rFonts w:hint="eastAsia"/>
          <w:rtl/>
        </w:rPr>
        <w:t>“</w:t>
      </w:r>
      <w:r w:rsidR="0090707A" w:rsidRPr="0090707A">
        <w:rPr>
          <w:vertAlign w:val="superscript"/>
          <w:rtl/>
        </w:rPr>
        <w:t>(</w:t>
      </w:r>
      <w:r w:rsidR="0090707A">
        <w:rPr>
          <w:rStyle w:val="FootnoteReference"/>
          <w:rtl/>
        </w:rPr>
        <w:footnoteReference w:id="61"/>
      </w:r>
      <w:r w:rsidR="0090707A" w:rsidRPr="0090707A">
        <w:rPr>
          <w:vertAlign w:val="superscript"/>
          <w:rtl/>
        </w:rPr>
        <w:t>)</w:t>
      </w:r>
      <w:r>
        <w:rPr>
          <w:rFonts w:hint="cs"/>
          <w:rtl/>
        </w:rPr>
        <w:t>.</w:t>
      </w:r>
    </w:p>
    <w:p w:rsidR="00E70375" w:rsidRDefault="00E70375" w:rsidP="00E70375">
      <w:pPr>
        <w:pStyle w:val="SingleTxt"/>
        <w:rPr>
          <w:rFonts w:hint="cs"/>
          <w:rtl/>
        </w:rPr>
      </w:pPr>
      <w:r>
        <w:rPr>
          <w:rFonts w:hint="cs"/>
          <w:rtl/>
        </w:rPr>
        <w:t>5-4</w:t>
      </w:r>
      <w:r>
        <w:rPr>
          <w:rFonts w:hint="cs"/>
          <w:rtl/>
        </w:rPr>
        <w:tab/>
        <w:t>في توفالو، نظام هيكل الأسرة ونظام دعمها الشبكي يسهمان في المساعدة على تحقيق الرفاه وتعليم الشباب ودعم المسنين والمحرومين والضعفاء. تقليدياً، تملي قواعد العادات أن يكون الرجل هو رب الأسرة. والعلاقة العمودية بين الرجال من مختلف الأعمار في المجتمع تقضي بأن يكون الأكبر هو رب الأسرة. ويُتوقع من المرأة، بغض النظر عن عمرها، أن تصغي للرجل وإن كان يعطى للوالدين، وفي هذه الحالة للوالدة، اعتبار خاص. وقد يؤثر قرارهما أو نصيحتهما على أي قرار يتخذه الرجل بوصفه رب أسرة. وتقتضي هذه القاعدة أيضاً أن يتحمل الذكور الذين يترأسون الأسر التزامات معينة. وفي هذا السياق، يتوقع من الابن الذكر الأكبر أن يعتني لا بأسرته فقط، بل أيضاً بجميع إخوته وأخواته. ويتوقع المجتمع من المرأة أيضاً أن تفي بهذه الالتزامات عندما تقوم بدور رب الأسرة، بالإضافة إلى وظيفتها الإنجابية والأعمال المنزلية الأخرى اللازمة للأسرة المعيشية. وتتحمل المرأة العاملة بأجر هذه المسؤوليات الإضافية أيضاً.</w:t>
      </w:r>
    </w:p>
    <w:p w:rsidR="00E70375" w:rsidRDefault="00E70375" w:rsidP="00E70375">
      <w:pPr>
        <w:pStyle w:val="SingleTxt"/>
        <w:rPr>
          <w:rFonts w:hint="cs"/>
          <w:rtl/>
        </w:rPr>
      </w:pPr>
      <w:r>
        <w:rPr>
          <w:rFonts w:hint="cs"/>
          <w:rtl/>
        </w:rPr>
        <w:t>5-5</w:t>
      </w:r>
      <w:r>
        <w:rPr>
          <w:rFonts w:hint="cs"/>
          <w:rtl/>
        </w:rPr>
        <w:tab/>
        <w:t>من حيث دور المرأة، ينظر المجتمع في توفالو للمرأة في إطار الدور النمطي للأم والزوجة بالإضافة إلى المسؤولية الكاملة عن أداء أعمال الأسرة المعيشية والعناية بالأطفال ورعايتهم، في حين أن الرجل هو رب الأسرة المعيشية والسلطة في الأسرة. ويتجاوز هذا الدور البيت إلى المجتمع المحلي، حيث يهمين الرجال على مؤسسات صنع القرار. وقد أحدثت الحالة الاجتماعية الاقتصادية بعض التغييرات في  أدوار الجنسين في الأسرة، حيث قد تصبح أنثى ناجحة ربة الأسرة. وكما هو الحال بالنسبة للرجل، فإن المرأة التي تكون ربة أسرة يتوقع منها أيضاً أن تفي بجميع الالتزامات والمسؤوليات المرادفة لكونها ربة أسرة.</w:t>
      </w:r>
    </w:p>
    <w:p w:rsidR="00E70375" w:rsidRDefault="00E70375" w:rsidP="00E70375">
      <w:pPr>
        <w:pStyle w:val="SingleTxt"/>
        <w:rPr>
          <w:rFonts w:hint="cs"/>
          <w:rtl/>
        </w:rPr>
      </w:pPr>
      <w:r>
        <w:rPr>
          <w:rFonts w:hint="cs"/>
          <w:rtl/>
        </w:rPr>
        <w:t>5-6</w:t>
      </w:r>
      <w:r>
        <w:rPr>
          <w:rFonts w:hint="cs"/>
          <w:rtl/>
        </w:rPr>
        <w:tab/>
        <w:t>أدى التحول من العيش في الأسرة الموسعة إلى الأسرة الصغيرة إلى تقليل تأثير الوالدين على شؤون الزوجين الشابين. وأحياناً، قد يؤدي التوجيه والرعاية، المقدمان من الوالدين كنصيحة، إلى مشاكل في البيت إن لم يتفق الطرفان، وإن كان الوالدان يقدمان هذا التوجيه والرعاية بدافع المحبة الوالدية. وتنتهك هذه الممارسة بعض حقوق الإنسان للمرأة، لأنه ينظر إليها ويتوقع منها تقليدياً أن تمتثل للبيئة التقليدية والثقافية للأسرة.</w:t>
      </w:r>
    </w:p>
    <w:p w:rsidR="00E70375" w:rsidRPr="00E70375" w:rsidRDefault="00E70375" w:rsidP="00E70375">
      <w:pPr>
        <w:pStyle w:val="SingleTxt"/>
        <w:spacing w:after="0" w:line="120" w:lineRule="exact"/>
        <w:rPr>
          <w:rFonts w:hint="cs"/>
          <w:sz w:val="10"/>
          <w:rtl/>
        </w:rPr>
      </w:pPr>
    </w:p>
    <w:p w:rsidR="00E70375" w:rsidRDefault="00E70375"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31497">
        <w:rPr>
          <w:rFonts w:hint="cs"/>
          <w:rtl/>
        </w:rPr>
        <w:t>المواقف النمطية</w:t>
      </w:r>
    </w:p>
    <w:p w:rsidR="00E70375" w:rsidRDefault="00E70375" w:rsidP="00A44A3C">
      <w:pPr>
        <w:pStyle w:val="SingleTxt"/>
        <w:rPr>
          <w:rFonts w:hint="cs"/>
          <w:rtl/>
        </w:rPr>
      </w:pPr>
      <w:r>
        <w:rPr>
          <w:rFonts w:hint="cs"/>
          <w:rtl/>
        </w:rPr>
        <w:t>5-7</w:t>
      </w:r>
      <w:r>
        <w:rPr>
          <w:rFonts w:hint="cs"/>
          <w:rtl/>
        </w:rPr>
        <w:tab/>
        <w:t>للمواقف والممارسات النمطية تأثير كبير على صنع القرار الرسمي أيضاً، حيث نادراً ما تُرى المرأة. وتتفاوت الممارسات تفاوتاً كبيراً من جزيرة إلى أخرى فيما يتعلق بالمشاركة في صنع القرار. وتشرك جميع جزر توفالو، باستثناء نوي ونوكوفيتاو، الرجل والمرأة على قدم المساواة في صنع القرار في الفالي كابيول. وتسمح بعض الجزر للمرأة، التي تكون ربة أسرة، أن تشارك في المناقشات المتعلقة بشؤون الجزر وأن تتخذ قرارات. وتسمح بعض الجزر للمرأة أن تترأس عشيرة (ماتانيو) وبالتالي تسمح لها أن تتخذ قرارات. والرجل الذي ليست له قبيلة لا يسمح له أن يتخذ قرارات. ببساطة، تسمح بعض الجزر لأي شخص بلغ 50 عاماً من العمر أن يشارك في صنع القرار في الفالي كابيول. إلا أن تقرير مصرف التنمية الآسيوي لعام 2003 عن صعوبة العيش بيّن أن المرأة، وإن كانت غير ممثلة في مجلس المجتمع المحلي أو مجلس الجزيرة، فإن مجلس الرجال المسنين يعترف باحتياجات المرأة بصورة متزايدة</w:t>
      </w:r>
      <w:r w:rsidR="00A44A3C" w:rsidRPr="00A44A3C">
        <w:rPr>
          <w:vertAlign w:val="superscript"/>
          <w:rtl/>
        </w:rPr>
        <w:t>(</w:t>
      </w:r>
      <w:r w:rsidR="00A44A3C">
        <w:rPr>
          <w:rStyle w:val="FootnoteReference"/>
          <w:rtl/>
        </w:rPr>
        <w:footnoteReference w:id="62"/>
      </w:r>
      <w:r w:rsidR="00A44A3C" w:rsidRPr="00A44A3C">
        <w:rPr>
          <w:vertAlign w:val="superscript"/>
          <w:rtl/>
        </w:rPr>
        <w:t>)</w:t>
      </w:r>
      <w:r>
        <w:rPr>
          <w:rFonts w:hint="cs"/>
          <w:rtl/>
        </w:rPr>
        <w:t>.</w:t>
      </w:r>
    </w:p>
    <w:p w:rsidR="00E70375" w:rsidRDefault="00E70375" w:rsidP="003626EB">
      <w:pPr>
        <w:pStyle w:val="SingleTxt"/>
        <w:rPr>
          <w:rFonts w:hint="cs"/>
          <w:rtl/>
        </w:rPr>
      </w:pPr>
      <w:r>
        <w:rPr>
          <w:rFonts w:hint="cs"/>
          <w:rtl/>
        </w:rPr>
        <w:t>5-8</w:t>
      </w:r>
      <w:r>
        <w:rPr>
          <w:rFonts w:hint="cs"/>
          <w:rtl/>
        </w:rPr>
        <w:tab/>
        <w:t xml:space="preserve">وفي إطار الثقافة والتقاليد، يسمح للمرأة أن تنضم إلى منظمات المجتمع المدني، وبعض منظمات المرأة من أنشط منظمات المجتمع المدني الموجودة في توفالو. وتوجد في كل جزيرة منظمة للمرأة لها فروع شتى. وتربط بين خططها وخطط تنمية الجزيرة واحتياجاتها. ولمختلف الفروع أيضاً هياكلها الخاصة لإدارة الفرع بغرض تحقيق الهدف النهائي المتمثل في دعم المجموعة النسائية في الجزيرة. وفي هذه البيئة، للمرأة مطلق الحرية في أن تفعل أي شيء تريد أن تفعله. وفي معظم الحالات، وربما بسبب </w:t>
      </w:r>
      <w:r w:rsidR="003626EB">
        <w:rPr>
          <w:rFonts w:hint="eastAsia"/>
          <w:rtl/>
        </w:rPr>
        <w:t>”</w:t>
      </w:r>
      <w:r>
        <w:rPr>
          <w:rFonts w:hint="cs"/>
          <w:rtl/>
        </w:rPr>
        <w:t>التوقعات الثقافية لا بسبب الحظر</w:t>
      </w:r>
      <w:r w:rsidR="003626EB">
        <w:rPr>
          <w:rFonts w:hint="eastAsia"/>
          <w:rtl/>
        </w:rPr>
        <w:t>“</w:t>
      </w:r>
      <w:r w:rsidR="00A44A3C" w:rsidRPr="00A44A3C">
        <w:rPr>
          <w:vertAlign w:val="superscript"/>
          <w:rtl/>
        </w:rPr>
        <w:t>(</w:t>
      </w:r>
      <w:r w:rsidR="00A44A3C">
        <w:rPr>
          <w:rStyle w:val="FootnoteReference"/>
          <w:rtl/>
        </w:rPr>
        <w:footnoteReference w:id="63"/>
      </w:r>
      <w:r w:rsidR="00A44A3C" w:rsidRPr="00A44A3C">
        <w:rPr>
          <w:vertAlign w:val="superscript"/>
          <w:rtl/>
        </w:rPr>
        <w:t>)</w:t>
      </w:r>
      <w:r>
        <w:rPr>
          <w:rFonts w:hint="cs"/>
          <w:rtl/>
        </w:rPr>
        <w:t>، تسعى النساء دائماً لإيجاد طرق لخدمة رجالهن وخدمة قرارات الفالي كابيول بدلاً من خدمة أنفسهن.</w:t>
      </w:r>
    </w:p>
    <w:p w:rsidR="00E70375" w:rsidRDefault="00E70375" w:rsidP="00A44A3C">
      <w:pPr>
        <w:pStyle w:val="SingleTxt"/>
        <w:rPr>
          <w:rFonts w:hint="cs"/>
          <w:rtl/>
        </w:rPr>
      </w:pPr>
      <w:r>
        <w:rPr>
          <w:rFonts w:hint="cs"/>
          <w:rtl/>
        </w:rPr>
        <w:t>5-9</w:t>
      </w:r>
      <w:r>
        <w:rPr>
          <w:rFonts w:hint="cs"/>
          <w:rtl/>
        </w:rPr>
        <w:tab/>
        <w:t>تغيير المواقف والمفاهيم الاجتماعية عملية طويلة. إلا أنه يجري بذل جهود لإحداث تغييرات إيجابية في المواقف من خلال التدريب على الحساسية الجنسانية على الصعيد الرسمي وفي المجتمعات المحلية. وبعد التدريب على الحساسية الجنسانية الذي نظمته إدارة شؤون المرأة في جميع جزر توفالو، قال المشاركون إنهم الآن أكثر تقبلاً للنهج الجنساني الذي يشجع المساواة بين الرجل والمرأة، ويوجد أيضاً وعي أكثر باتفاقية القضاء على جميع أشكال التمييز ضد المرأة. ويوجد دليل وافر يبين أن الذي أجابوا على الأسئلة يفهمون على نحو أكبر التزامات حكومات توفالو تجاه الاتفاقيات والإعلانات الدولية. وهذا يعكس فهم الناس على نحو جيد لما ألزمت حكومتهم نفسها به، على سبيل المثال، تجاه اتفاقية القضاء على جميع أشكال التمييز ضد المرأة، وفهم أهمية الوفاء بهذه الالتزامات</w:t>
      </w:r>
      <w:r w:rsidR="00A44A3C" w:rsidRPr="00A44A3C">
        <w:rPr>
          <w:vertAlign w:val="superscript"/>
          <w:rtl/>
        </w:rPr>
        <w:t>(</w:t>
      </w:r>
      <w:r w:rsidR="00A44A3C">
        <w:rPr>
          <w:rStyle w:val="FootnoteReference"/>
          <w:rtl/>
        </w:rPr>
        <w:footnoteReference w:id="64"/>
      </w:r>
      <w:r w:rsidR="00A44A3C" w:rsidRPr="00A44A3C">
        <w:rPr>
          <w:vertAlign w:val="superscript"/>
          <w:rtl/>
        </w:rPr>
        <w:t>)</w:t>
      </w:r>
      <w:r>
        <w:rPr>
          <w:rFonts w:hint="cs"/>
          <w:rtl/>
        </w:rPr>
        <w:t>.</w:t>
      </w:r>
      <w:r w:rsidR="00A44A3C">
        <w:rPr>
          <w:rFonts w:hint="cs"/>
          <w:rtl/>
        </w:rPr>
        <w:t xml:space="preserve"> </w:t>
      </w:r>
      <w:r>
        <w:rPr>
          <w:rFonts w:hint="cs"/>
          <w:rtl/>
        </w:rPr>
        <w:t>ومع أن المرأة لا تزال مهمشة، يجب الاعتراف بأن المواقف والمفاهيم الراسخة المعادية للمرأة آخذة في التغير ببطء شديد. كما أن زيادة التحصيل التعليمي للمرأة عززت نوع ومستوى العمل الذي يمكن للمرأة أن تشارك فيه بغض النظر عن الأدوار التقليدية للجنسين.</w:t>
      </w:r>
    </w:p>
    <w:p w:rsidR="00E70375" w:rsidRDefault="00E70375" w:rsidP="00E70375">
      <w:pPr>
        <w:pStyle w:val="SingleTxt"/>
        <w:rPr>
          <w:rFonts w:hint="cs"/>
          <w:rtl/>
        </w:rPr>
      </w:pPr>
      <w:r>
        <w:rPr>
          <w:rFonts w:hint="cs"/>
          <w:rtl/>
        </w:rPr>
        <w:t>5-10</w:t>
      </w:r>
      <w:r>
        <w:rPr>
          <w:rFonts w:hint="cs"/>
          <w:rtl/>
        </w:rPr>
        <w:tab/>
        <w:t>بالنسبة للتعليم، يجري تنقيح المنهاج مع التركيز على حقوق الإنسان وإدماج جميع العناصر المهمة الناشئة. وبسبب قيود الميزانية، يوجد اعتماد إلى حد كبير على المنح لتمويل الحصول على المواد اللازمة لتعليم حقوق الإنسان وتمويل برامج حقوق الإنسان، بما في ذلك البنى الأساسية. ويقع عبء التوعية الجماهيرية بواسطة وسائط الإعلام وحلقات التدريب المحلية على عاتق مجلس توفالو الوطني للمرأة الذي يشرف على برنامج التدريب على الحقوق القانونية الذي يقدمه برنامج الأمم المتحدة الإنمائي/ فريق موارد الحقوق الإقليمي. وبالإضافة إلى قيام مجلس توفالو الوطني للمرأة بمعالجة القضايا القانونية وقضايا حقوق الإنسان، فإنه يقدم للمرأة خدمات مشورة وإحالة.</w:t>
      </w:r>
    </w:p>
    <w:p w:rsidR="00E70375" w:rsidRDefault="00E70375" w:rsidP="003626EB">
      <w:pPr>
        <w:pStyle w:val="SingleTxt"/>
        <w:rPr>
          <w:rFonts w:hint="cs"/>
          <w:rtl/>
        </w:rPr>
      </w:pPr>
      <w:r>
        <w:rPr>
          <w:rFonts w:hint="cs"/>
          <w:rtl/>
        </w:rPr>
        <w:t>5-11</w:t>
      </w:r>
      <w:r>
        <w:rPr>
          <w:rFonts w:hint="cs"/>
          <w:rtl/>
        </w:rPr>
        <w:tab/>
        <w:t xml:space="preserve">وتمثل الحواجز الثقافية والمواقف، من بين عوامل أخرى، الأسباب التي تجعل من الصعب على بعض الآباء والأمهات تكريس كثير من الوقت لتثقيف أطفالهم في الصحة الإنجابية. فالازدحام وعدم فهم هذه القضايا، التي تعتبر </w:t>
      </w:r>
      <w:r w:rsidR="003626EB">
        <w:rPr>
          <w:rFonts w:hint="eastAsia"/>
          <w:rtl/>
        </w:rPr>
        <w:t>”</w:t>
      </w:r>
      <w:r w:rsidR="003626EB">
        <w:rPr>
          <w:rFonts w:hint="cs"/>
          <w:rtl/>
        </w:rPr>
        <w:t>وصمة عار</w:t>
      </w:r>
      <w:r w:rsidR="003626EB">
        <w:rPr>
          <w:rFonts w:hint="eastAsia"/>
          <w:rtl/>
        </w:rPr>
        <w:t>“</w:t>
      </w:r>
      <w:r>
        <w:rPr>
          <w:rFonts w:hint="cs"/>
          <w:rtl/>
        </w:rPr>
        <w:t>، يؤديان إلى تفاقم الحالة، ويتعين على الأطفال في معظم الحالات أن يثقفوا أنفسهم بأنفسهم. ويعزى هذا أيضاً إلى طابع المجتمع المحافظ، مما يجعل من الصعب على الوالدين أو حتى المدرسين مناقشة الموضوع مع أطفالهم أو طلابهم. وقد عُقدت بعض جلسات المعلومات في مدارس ابتدائية، حضرها أطفال بتفويض من والدي كل منهم، ناقشت مواضيع تتعلق بقضايا الصحة الإنجابية. وتعمل وزارة التعليم على وضع أساليب لإدماج التثقيف بحياة الأسرة في منهاج المدرسة.</w:t>
      </w:r>
    </w:p>
    <w:p w:rsidR="00E70375" w:rsidRDefault="00E70375" w:rsidP="00E70375">
      <w:pPr>
        <w:pStyle w:val="SingleTxt"/>
        <w:rPr>
          <w:rFonts w:hint="cs"/>
          <w:rtl/>
        </w:rPr>
      </w:pPr>
      <w:r>
        <w:rPr>
          <w:rFonts w:hint="cs"/>
          <w:rtl/>
        </w:rPr>
        <w:t>5-12</w:t>
      </w:r>
      <w:r>
        <w:rPr>
          <w:rFonts w:hint="cs"/>
          <w:rtl/>
        </w:rPr>
        <w:tab/>
        <w:t>القواعد الاجتماعية وأدوار الجنسين الراسخة في ذهن المرأة تجعلها أكثر حرصاً على رفاه الأسرة. وتسمح هذه القواعد للزوج أن يؤدب زوجته إذا زنت، بينما إذا زنا الزوج في نفس الظروف فإن المجتمع، لا سيما المسنين في الكنيسة، يؤدب الزوجين في العادة ويقدم لهما المشورة لتجنب الانفصال والطلاق. وفي العادة، ينظر الناس، بمن فيهم الشرطة، إلى العنف المنزلي على أنه مسألة خاصة بالأسرة. ومع أنه لم يبلغ عن عدد كبير من قضايا العنف المنزلي أو القضايا التي جرى سحبها، فإن عدداً كبيراً من النساء يقعن ضحايا للعنف المنزلي، الذي قد يكون على شكل اعتداءات لفظية وجسدية وعاطفية. والنساء، لا سيما اللواتي يعتمدن اقتصادياً على أزواجهن، يترددن دائماً في إنهاء علاقات تنطوي على عنف من أجل أطفالهن ومن أجل رفاههن أيضاً. والممارسة المعتادة المتمثلة ببناء منزل الزوجية على أراضي الزوج تجعل من الأصعب على المرأة التي تتعرض لاعتداءات جسدية واعتداءات أخرى ترك بيت الزوجية، وبالتالي فإنها تظل تتحمل المعاناة.</w:t>
      </w:r>
    </w:p>
    <w:p w:rsidR="00E70375" w:rsidRPr="00E70375" w:rsidRDefault="00E70375" w:rsidP="00E70375">
      <w:pPr>
        <w:pStyle w:val="SingleTxt"/>
        <w:spacing w:after="0" w:line="120" w:lineRule="exact"/>
        <w:rPr>
          <w:rFonts w:hint="cs"/>
          <w:sz w:val="10"/>
          <w:rtl/>
        </w:rPr>
      </w:pPr>
    </w:p>
    <w:p w:rsidR="00E70375" w:rsidRPr="007B36CF" w:rsidRDefault="00E70375"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7B36CF">
        <w:rPr>
          <w:rFonts w:hint="cs"/>
          <w:rtl/>
        </w:rPr>
        <w:t>تدابير لمعالجة هذه القضايا</w:t>
      </w:r>
    </w:p>
    <w:p w:rsidR="00E70375" w:rsidRDefault="00E70375" w:rsidP="00E70375">
      <w:pPr>
        <w:pStyle w:val="SingleTxt"/>
        <w:rPr>
          <w:rFonts w:hint="cs"/>
          <w:rtl/>
        </w:rPr>
      </w:pPr>
      <w:r>
        <w:rPr>
          <w:rFonts w:hint="cs"/>
          <w:rtl/>
        </w:rPr>
        <w:t>5-13</w:t>
      </w:r>
      <w:r>
        <w:rPr>
          <w:rFonts w:hint="cs"/>
          <w:rtl/>
        </w:rPr>
        <w:tab/>
        <w:t>لا تزال آلية المرأة الوطنية تواجه تحدي استمرار الآراء التقليدية النمطية ومواقف المجتمع وأفضلياته والتحيز والأحكام المستبقة. وقد تطورت هذه الآراء والمواقف على مدى قرون، وهي نتاج مزيج معقد من الثقافة والتاريخ والعرف والدين، وسيحتاج تغييرها إلى وقت طويل. ومع ذلك، يتوخى أن يؤدي تجدد الالتزامات الوطنية إلى تسريع تحقيق التقدم. ويتضح هذا مما قاله وزير شؤون الوطن، الأونرابل ويلي تيلافي، في افتتاح احتفالات اليوم الدولي للمرأة في عام 2006، حيث قال:</w:t>
      </w:r>
    </w:p>
    <w:p w:rsidR="00E70375" w:rsidRDefault="00F3241C" w:rsidP="00F3241C">
      <w:pPr>
        <w:pStyle w:val="SingleTxt"/>
        <w:ind w:left="1930" w:hanging="663"/>
        <w:rPr>
          <w:rFonts w:hint="cs"/>
          <w:rtl/>
        </w:rPr>
      </w:pPr>
      <w:r>
        <w:rPr>
          <w:rFonts w:hint="cs"/>
          <w:rtl/>
        </w:rPr>
        <w:tab/>
      </w:r>
      <w:r w:rsidR="00E70375">
        <w:rPr>
          <w:rFonts w:hint="cs"/>
          <w:rtl/>
        </w:rPr>
        <w:tab/>
      </w:r>
      <w:r w:rsidR="00E70375">
        <w:rPr>
          <w:rFonts w:hint="eastAsia"/>
          <w:rtl/>
        </w:rPr>
        <w:t>”</w:t>
      </w:r>
      <w:r w:rsidR="00E70375">
        <w:rPr>
          <w:rFonts w:hint="cs"/>
          <w:rtl/>
        </w:rPr>
        <w:t>نحتفل اليوم مع النساء في جميع أنحاء العالم باليوم الدولي للمرأة في سعيهن لتحسين حالة المرأة. وبالنسبة لهذا الموضوع، تعرضت النساء للإساءة من أزواجهن وإخوانهن، ومن الرجال، وربما من النساء أيضاً. والموضوع في حد ذاته موضوع واسع وعلينا أن نجد حلولاً ممكنة لإنهاء العنف ضد النساء والفتيات. وتقع على عاتقنا كآباء مسؤليات تنشئة أطفالنا على فهم هذه القضايا. وتوجد في توفالو قوانين خاصة بها لحماية أي شخص، بمن في ذلك النساء والفتيات، من هذا السلوك العنيف. وسيتعين على المتهم دائماً أن يمثل أمام المحكمة. ويجب إبلاغ الشرطة بهذه الأحداث، حيث تقوم الشرطة بفتح ملف للقضية لإحالتها إلى المحكمة، وإذا فشلنا في الإبلاغ عن هذه القضايا فإنه سيفترض أننا نسمح بحدوث هذه الحوادث في بلدنا</w:t>
      </w:r>
      <w:r w:rsidR="00E70375">
        <w:rPr>
          <w:rFonts w:hint="eastAsia"/>
          <w:rtl/>
        </w:rPr>
        <w:t>“</w:t>
      </w:r>
      <w:r w:rsidR="00E70375">
        <w:rPr>
          <w:rFonts w:hint="cs"/>
          <w:rtl/>
        </w:rPr>
        <w:t>.</w:t>
      </w:r>
    </w:p>
    <w:p w:rsidR="00E70375" w:rsidRDefault="00E70375" w:rsidP="00E70375">
      <w:pPr>
        <w:pStyle w:val="SingleTxt"/>
        <w:rPr>
          <w:rFonts w:hint="cs"/>
          <w:rtl/>
        </w:rPr>
      </w:pPr>
      <w:r>
        <w:rPr>
          <w:rFonts w:hint="cs"/>
          <w:rtl/>
        </w:rPr>
        <w:t>5-14</w:t>
      </w:r>
      <w:r>
        <w:rPr>
          <w:rFonts w:hint="cs"/>
          <w:rtl/>
        </w:rPr>
        <w:tab/>
        <w:t>تتمثل بعض استراتيجيات زيادة الوعي بقضايا العنف ضد المرأة ببث برامج إذاعية تتضمن  مناقشات حول تأثير المشكلة على النساء والأطفال. وقد عقدت في جميع جزر توفالو حلقات عمل للتدريب على الحساسية الجنسانية استهدفت الرجال والنساء، بمن فيهم قادة الجزر والشباب. ويهدف هذا التدريب إلى التوعية ويسعى إلى تغيير المواقف، وهو عمل حيوي لشمول الجنسين وللتنمية المستدامة. وتستكمل هذه الجهود ببرامج توعية بحقوق الإنسان ينظمها مجلس توفالو الوطني للمرأة من خلال فريق موارد الحقوق الإقليمي/ برنامج الأمم المتحدة الإنمائي. ومع أن تغيير المواقف والصور النمطية مسألة صعبة، فإن يجب الاعتراف بأن التغيير جارٍ.</w:t>
      </w:r>
    </w:p>
    <w:p w:rsidR="00E70375" w:rsidRPr="00E70375" w:rsidRDefault="00E70375" w:rsidP="00E70375">
      <w:pPr>
        <w:pStyle w:val="SingleTxt"/>
        <w:spacing w:after="0" w:line="120" w:lineRule="exact"/>
        <w:rPr>
          <w:rFonts w:hint="cs"/>
          <w:sz w:val="10"/>
          <w:rtl/>
        </w:rPr>
      </w:pPr>
    </w:p>
    <w:p w:rsidR="00E70375" w:rsidRDefault="00E70375"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0811BB">
        <w:rPr>
          <w:rFonts w:hint="cs"/>
          <w:rtl/>
        </w:rPr>
        <w:t>وسائط الإعلام</w:t>
      </w:r>
    </w:p>
    <w:p w:rsidR="00E70375" w:rsidRDefault="00E70375" w:rsidP="00E70375">
      <w:pPr>
        <w:pStyle w:val="SingleTxt"/>
        <w:rPr>
          <w:rFonts w:hint="cs"/>
          <w:rtl/>
        </w:rPr>
      </w:pPr>
      <w:r>
        <w:rPr>
          <w:rFonts w:hint="cs"/>
          <w:rtl/>
        </w:rPr>
        <w:t>5-15</w:t>
      </w:r>
      <w:r>
        <w:rPr>
          <w:rFonts w:hint="cs"/>
          <w:rtl/>
        </w:rPr>
        <w:tab/>
      </w:r>
      <w:r w:rsidRPr="00A93D12">
        <w:rPr>
          <w:rFonts w:hint="cs"/>
          <w:rtl/>
        </w:rPr>
        <w:t xml:space="preserve">الإذاعة </w:t>
      </w:r>
      <w:r>
        <w:rPr>
          <w:rFonts w:hint="cs"/>
          <w:rtl/>
        </w:rPr>
        <w:t>واسطة الإعلام التي تستخدم على نحو شائع لنشر المعلومات وترويجها في البلد ككل. وشركة توفالو للإعلام كيان مسجل كشركة أنشئت بموجب قانون شركات وسائط الإعلام في توفالو لعام 1999. وتدير الحكومة والمنظمات غير الحكومية برامج موجهة تحديداً للنساء والشباب تُبّث باللهجة المحلية. وبالنسبة للتلفزيون، أدخلت شركة الاتصالات السلكية واللاسلكية في توفالو مؤخراً خدمة للبث التلفزيوني إلى الخارج من خلال محطة سكاي باسيفيك الموجودة في سوفا، فيجي. وفي هذا الصدد، لا توجد أية سلطة مباشرة للحكومة للتأثير على برامج التلفزيون التي تسترشد بطلبات المستهلكين.</w:t>
      </w:r>
    </w:p>
    <w:p w:rsidR="00E70375" w:rsidRPr="00E70375" w:rsidRDefault="00E70375" w:rsidP="00E70375">
      <w:pPr>
        <w:pStyle w:val="SingleTxt"/>
        <w:spacing w:after="0" w:line="120" w:lineRule="exact"/>
        <w:rPr>
          <w:rFonts w:hint="cs"/>
          <w:sz w:val="10"/>
          <w:rtl/>
        </w:rPr>
      </w:pPr>
    </w:p>
    <w:p w:rsidR="00E70375" w:rsidRDefault="00F3241C" w:rsidP="00A44A3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E70375">
        <w:rPr>
          <w:rFonts w:hint="cs"/>
          <w:rtl/>
        </w:rPr>
        <w:tab/>
      </w:r>
      <w:r w:rsidR="00E70375">
        <w:rPr>
          <w:rFonts w:hint="cs"/>
          <w:rtl/>
        </w:rPr>
        <w:tab/>
      </w:r>
      <w:r w:rsidR="00E70375" w:rsidRPr="00A93D12">
        <w:rPr>
          <w:rFonts w:hint="cs"/>
          <w:rtl/>
        </w:rPr>
        <w:t xml:space="preserve">المادة 6 </w:t>
      </w:r>
    </w:p>
    <w:p w:rsidR="00E70375" w:rsidRPr="00E70375" w:rsidRDefault="00E70375" w:rsidP="00E70375">
      <w:pPr>
        <w:spacing w:line="120" w:lineRule="exact"/>
        <w:rPr>
          <w:rFonts w:hint="cs"/>
          <w:b/>
          <w:bCs/>
          <w:sz w:val="10"/>
          <w:szCs w:val="32"/>
          <w:rtl/>
        </w:rPr>
      </w:pPr>
    </w:p>
    <w:tbl>
      <w:tblPr>
        <w:tblStyle w:val="TableGrid"/>
        <w:bidiVisual/>
        <w:tblW w:w="0" w:type="auto"/>
        <w:jc w:val="center"/>
        <w:tblLook w:val="01E0" w:firstRow="1" w:lastRow="1" w:firstColumn="1" w:lastColumn="1" w:noHBand="0" w:noVBand="0"/>
      </w:tblPr>
      <w:tblGrid>
        <w:gridCol w:w="8856"/>
      </w:tblGrid>
      <w:tr w:rsidR="00E70375">
        <w:trPr>
          <w:jc w:val="center"/>
        </w:trPr>
        <w:tc>
          <w:tcPr>
            <w:tcW w:w="8856" w:type="dxa"/>
          </w:tcPr>
          <w:p w:rsidR="00E70375" w:rsidRPr="00E70375" w:rsidRDefault="00E70375" w:rsidP="00E70375">
            <w:pPr>
              <w:pStyle w:val="SingleTxt"/>
              <w:rPr>
                <w:rFonts w:cs="Traditional Arabic" w:hint="cs"/>
                <w:rtl/>
              </w:rPr>
            </w:pPr>
            <w:r w:rsidRPr="00E70375">
              <w:rPr>
                <w:rFonts w:cs="Traditional Arabic" w:hint="cs"/>
                <w:rtl/>
              </w:rPr>
              <w:tab/>
              <w:t>تتخذ الدول الأطراف جميع التدابير المناسبة، بما في ذلك التشريع، لمكافحة جميع أشكال الاتجار بالمرأة واستغلال دعارة المرأة.</w:t>
            </w:r>
          </w:p>
        </w:tc>
      </w:tr>
    </w:tbl>
    <w:p w:rsidR="00F3241C" w:rsidRPr="00F3241C" w:rsidRDefault="00F3241C" w:rsidP="00F3241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E70375" w:rsidRDefault="00E70375" w:rsidP="00E7037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الأحكام القانونية</w:t>
      </w:r>
    </w:p>
    <w:p w:rsidR="00E70375" w:rsidRDefault="00E70375" w:rsidP="00A44A3C">
      <w:pPr>
        <w:pStyle w:val="SingleTxt"/>
        <w:rPr>
          <w:rFonts w:hint="cs"/>
          <w:rtl/>
        </w:rPr>
      </w:pPr>
      <w:r>
        <w:rPr>
          <w:rFonts w:hint="cs"/>
          <w:rtl/>
        </w:rPr>
        <w:t>6-1</w:t>
      </w:r>
      <w:r>
        <w:rPr>
          <w:rFonts w:hint="cs"/>
          <w:rtl/>
        </w:rPr>
        <w:tab/>
        <w:t>ينص الفرع 148 من قانون العقوبات في توفالو على أن إدارة بيت للدعارة جناية، كما يجرم المساعدة على أعمال البغاء أو تحريض أي شخص على ممارسة البغاء</w:t>
      </w:r>
      <w:r w:rsidR="00A44A3C" w:rsidRPr="00A44A3C">
        <w:rPr>
          <w:vertAlign w:val="superscript"/>
          <w:rtl/>
        </w:rPr>
        <w:t>(</w:t>
      </w:r>
      <w:r w:rsidR="00A44A3C">
        <w:rPr>
          <w:rStyle w:val="FootnoteReference"/>
          <w:rtl/>
        </w:rPr>
        <w:footnoteReference w:id="65"/>
      </w:r>
      <w:r w:rsidR="00A44A3C" w:rsidRPr="00A44A3C">
        <w:rPr>
          <w:vertAlign w:val="superscript"/>
          <w:rtl/>
        </w:rPr>
        <w:t>)</w:t>
      </w:r>
      <w:r>
        <w:rPr>
          <w:rFonts w:hint="cs"/>
          <w:rtl/>
        </w:rPr>
        <w:t>.</w:t>
      </w:r>
      <w:r w:rsidR="00A44A3C">
        <w:rPr>
          <w:rFonts w:hint="cs"/>
          <w:rtl/>
        </w:rPr>
        <w:t xml:space="preserve"> </w:t>
      </w:r>
      <w:r>
        <w:rPr>
          <w:rFonts w:hint="cs"/>
          <w:rtl/>
        </w:rPr>
        <w:t>ويعتبر تأجير الوالدين البنات للبغاء عملاً جنائياً أيضاً</w:t>
      </w:r>
      <w:r w:rsidR="00A44A3C" w:rsidRPr="00A44A3C">
        <w:rPr>
          <w:vertAlign w:val="superscript"/>
          <w:rtl/>
        </w:rPr>
        <w:t>(</w:t>
      </w:r>
      <w:r w:rsidR="00A44A3C">
        <w:rPr>
          <w:rStyle w:val="FootnoteReference"/>
          <w:rtl/>
        </w:rPr>
        <w:footnoteReference w:id="66"/>
      </w:r>
      <w:r w:rsidR="00A44A3C" w:rsidRPr="00A44A3C">
        <w:rPr>
          <w:vertAlign w:val="superscript"/>
          <w:rtl/>
        </w:rPr>
        <w:t>)</w:t>
      </w:r>
      <w:r>
        <w:rPr>
          <w:rFonts w:hint="cs"/>
          <w:rtl/>
        </w:rPr>
        <w:t>.كما أن الاعتداء الجنسي على فتاة يقل عمرها عن 13 عاماً جناية خطيرة ويعاقب عليها بالسجن مدى الحياة</w:t>
      </w:r>
      <w:r w:rsidR="00A44A3C" w:rsidRPr="00A44A3C">
        <w:rPr>
          <w:vertAlign w:val="superscript"/>
          <w:rtl/>
        </w:rPr>
        <w:t>(</w:t>
      </w:r>
      <w:r w:rsidR="00A44A3C">
        <w:rPr>
          <w:rStyle w:val="FootnoteReference"/>
          <w:rtl/>
        </w:rPr>
        <w:footnoteReference w:id="67"/>
      </w:r>
      <w:r w:rsidR="00A44A3C" w:rsidRPr="00A44A3C">
        <w:rPr>
          <w:vertAlign w:val="superscript"/>
          <w:rtl/>
        </w:rPr>
        <w:t>)</w:t>
      </w:r>
      <w:r>
        <w:rPr>
          <w:rFonts w:hint="cs"/>
          <w:rtl/>
        </w:rPr>
        <w:t>.</w:t>
      </w:r>
      <w:r w:rsidR="00A44A3C">
        <w:rPr>
          <w:rFonts w:hint="cs"/>
          <w:rtl/>
        </w:rPr>
        <w:t xml:space="preserve"> </w:t>
      </w:r>
      <w:r>
        <w:rPr>
          <w:rFonts w:hint="cs"/>
          <w:rtl/>
        </w:rPr>
        <w:t>والاتجار بالمرأة محمي بموجب أحكام الفرع 136 (ب) و (ج) و (د).</w:t>
      </w:r>
    </w:p>
    <w:p w:rsidR="00E70375" w:rsidRPr="00E70375" w:rsidRDefault="00E70375" w:rsidP="00E70375">
      <w:pPr>
        <w:pStyle w:val="SingleTxt"/>
        <w:spacing w:after="0" w:line="120" w:lineRule="exact"/>
        <w:rPr>
          <w:rFonts w:hint="cs"/>
          <w:sz w:val="10"/>
          <w:rtl/>
        </w:rPr>
      </w:pPr>
    </w:p>
    <w:p w:rsidR="00E70375" w:rsidRDefault="00E70375"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3F8A">
        <w:rPr>
          <w:rFonts w:hint="cs"/>
          <w:rtl/>
        </w:rPr>
        <w:t>الاتجار بالبشر</w:t>
      </w:r>
    </w:p>
    <w:p w:rsidR="00E70375" w:rsidRDefault="00E70375" w:rsidP="00E70375">
      <w:pPr>
        <w:pStyle w:val="SingleTxt"/>
        <w:rPr>
          <w:rFonts w:hint="cs"/>
          <w:rtl/>
        </w:rPr>
      </w:pPr>
      <w:r>
        <w:rPr>
          <w:rFonts w:hint="cs"/>
          <w:rtl/>
        </w:rPr>
        <w:t>6-2</w:t>
      </w:r>
      <w:r>
        <w:rPr>
          <w:rFonts w:hint="cs"/>
          <w:rtl/>
        </w:rPr>
        <w:tab/>
        <w:t>الاتجار بالبشر حالياً غير واضح للعيان في توفالو. إلا أن الزيادة المطردة في السفر وتحرك اليد العاملة عبر الحدود الوطنية يمكن أن يولد هذه المشكلة. ومع أن هذه المشكلة قد لا تكون موجودة الآن، فإن الاتجاه العالمي والتأثيرات من الخارج لا تضمن توفر بيئة آمنة للمرأة والطفل. ولذلك، يتعين النظر إلى نشر أساليب منع الاتجار بالبشر ومكافحته في ضوء هذا الواقع، ويتعين النظر إليه أيضاً على أنه ضمان لاستمرار حظر الاتجار بالبشر لحماية صحة وسلامة شعب توفالو. فضلاً عن ذلك، فإن عزلة توفالو الجغرافية تجعل من المتعذر نسبياً الاتجار بالبشر من مناطق أخرى في العالم. فالنقل الجوي أو البحري إلى توفالو يمر من فيجي. وقوارب الصيد أو اليخوت تخضع لمراقبة شديدة من قبل إدارة مصائد الأسماك والشرطة. ومع أن السياحة في توفالو تزداد ببطء، فإن أي نشاط مشبوه يخضع لمراقبة قوية من المجتمع المحلي والشرطة.</w:t>
      </w:r>
    </w:p>
    <w:p w:rsidR="00E70375" w:rsidRPr="00E70375" w:rsidRDefault="00E70375" w:rsidP="00E70375">
      <w:pPr>
        <w:pStyle w:val="SingleTxt"/>
        <w:spacing w:after="0" w:line="120" w:lineRule="exact"/>
        <w:rPr>
          <w:rFonts w:hint="cs"/>
          <w:sz w:val="10"/>
          <w:rtl/>
        </w:rPr>
      </w:pPr>
    </w:p>
    <w:p w:rsidR="00E70375" w:rsidRPr="009E3F8A" w:rsidRDefault="00E70375"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3F8A">
        <w:rPr>
          <w:rFonts w:hint="cs"/>
          <w:rtl/>
        </w:rPr>
        <w:t>البغاء</w:t>
      </w:r>
    </w:p>
    <w:p w:rsidR="00E70375" w:rsidRDefault="00E70375" w:rsidP="00A44A3C">
      <w:pPr>
        <w:pStyle w:val="SingleTxt"/>
        <w:rPr>
          <w:rFonts w:hint="cs"/>
          <w:rtl/>
        </w:rPr>
      </w:pPr>
      <w:r>
        <w:rPr>
          <w:rFonts w:hint="cs"/>
          <w:rtl/>
        </w:rPr>
        <w:t>6-3</w:t>
      </w:r>
      <w:r>
        <w:rPr>
          <w:rFonts w:hint="cs"/>
          <w:rtl/>
        </w:rPr>
        <w:tab/>
        <w:t>ينص الفرع 148 من قانون العقوبات في توفالو (القانون رقم 8) على أن تشغيل بيت دعارة جناية، ويجرِّم المساعدة على البغاء أو تحريض أي شخص على ممارسة البغاء</w:t>
      </w:r>
      <w:r w:rsidR="00A44A3C" w:rsidRPr="00A44A3C">
        <w:rPr>
          <w:vertAlign w:val="superscript"/>
          <w:rtl/>
        </w:rPr>
        <w:t>(</w:t>
      </w:r>
      <w:r w:rsidR="00A44A3C">
        <w:rPr>
          <w:rStyle w:val="FootnoteReference"/>
          <w:rtl/>
        </w:rPr>
        <w:footnoteReference w:id="68"/>
      </w:r>
      <w:r w:rsidR="00A44A3C" w:rsidRPr="00A44A3C">
        <w:rPr>
          <w:vertAlign w:val="superscript"/>
          <w:rtl/>
        </w:rPr>
        <w:t>)</w:t>
      </w:r>
      <w:r>
        <w:rPr>
          <w:rFonts w:hint="cs"/>
          <w:rtl/>
        </w:rPr>
        <w:t>.</w:t>
      </w:r>
      <w:r w:rsidR="00A44A3C">
        <w:rPr>
          <w:rFonts w:hint="cs"/>
          <w:rtl/>
        </w:rPr>
        <w:t xml:space="preserve"> </w:t>
      </w:r>
      <w:r>
        <w:rPr>
          <w:rFonts w:hint="cs"/>
          <w:rtl/>
        </w:rPr>
        <w:t>ويعتبر جريمة أيضاً تأجير الوالدين بناتهما لأغراض البغاء</w:t>
      </w:r>
      <w:r w:rsidR="00A44A3C" w:rsidRPr="00A44A3C">
        <w:rPr>
          <w:vertAlign w:val="superscript"/>
          <w:rtl/>
        </w:rPr>
        <w:t>(</w:t>
      </w:r>
      <w:r w:rsidR="00A44A3C">
        <w:rPr>
          <w:rStyle w:val="FootnoteReference"/>
          <w:rtl/>
        </w:rPr>
        <w:footnoteReference w:id="69"/>
      </w:r>
      <w:r w:rsidR="00A44A3C" w:rsidRPr="00A44A3C">
        <w:rPr>
          <w:vertAlign w:val="superscript"/>
          <w:rtl/>
        </w:rPr>
        <w:t>)</w:t>
      </w:r>
      <w:r>
        <w:rPr>
          <w:rFonts w:hint="cs"/>
          <w:rtl/>
        </w:rPr>
        <w:t>.</w:t>
      </w:r>
      <w:r w:rsidR="00A44A3C">
        <w:rPr>
          <w:rFonts w:hint="cs"/>
          <w:rtl/>
        </w:rPr>
        <w:t xml:space="preserve"> </w:t>
      </w:r>
      <w:r>
        <w:rPr>
          <w:rFonts w:hint="cs"/>
          <w:rtl/>
        </w:rPr>
        <w:t>كما أن الاعتداء الجنسي على فتاة يقل عمرها عن 13 عاماً جناية خطيرة ويعاقب عليها بالسجن مدى الحياة</w:t>
      </w:r>
      <w:r w:rsidR="00A44A3C" w:rsidRPr="00A44A3C">
        <w:rPr>
          <w:vertAlign w:val="superscript"/>
          <w:rtl/>
        </w:rPr>
        <w:t>(</w:t>
      </w:r>
      <w:r w:rsidR="00A44A3C">
        <w:rPr>
          <w:rStyle w:val="FootnoteReference"/>
          <w:rtl/>
        </w:rPr>
        <w:footnoteReference w:id="70"/>
      </w:r>
      <w:r w:rsidR="00A44A3C" w:rsidRPr="00A44A3C">
        <w:rPr>
          <w:vertAlign w:val="superscript"/>
          <w:rtl/>
        </w:rPr>
        <w:t>)</w:t>
      </w:r>
      <w:r>
        <w:rPr>
          <w:rFonts w:hint="cs"/>
          <w:rtl/>
        </w:rPr>
        <w:t>.</w:t>
      </w:r>
      <w:r w:rsidR="00A44A3C">
        <w:rPr>
          <w:rFonts w:hint="cs"/>
          <w:rtl/>
        </w:rPr>
        <w:t xml:space="preserve"> </w:t>
      </w:r>
      <w:r>
        <w:rPr>
          <w:rFonts w:hint="cs"/>
          <w:rtl/>
        </w:rPr>
        <w:t>والاتجار بالمرأة محمي بموجب أحكام الفرع 136 (ب) و (ج) و (د).</w:t>
      </w:r>
    </w:p>
    <w:p w:rsidR="00E70375" w:rsidRDefault="00E70375" w:rsidP="003626EB">
      <w:pPr>
        <w:pStyle w:val="SingleTxt"/>
        <w:rPr>
          <w:rFonts w:hint="cs"/>
          <w:rtl/>
        </w:rPr>
      </w:pPr>
      <w:r>
        <w:rPr>
          <w:rFonts w:hint="cs"/>
          <w:rtl/>
        </w:rPr>
        <w:t>6-4</w:t>
      </w:r>
      <w:r>
        <w:rPr>
          <w:rFonts w:hint="cs"/>
          <w:rtl/>
        </w:rPr>
        <w:tab/>
        <w:t xml:space="preserve">وينظر التوفاليون التقليديون إلى البغاء نظرة سلبية جداً لأنه يتنافى والمعتقدات والقيم المسيحية. ولا يمثل وصمة عار للشخص الذي يمارسه فقط، ولكن للأسرة ككل. ومن المرجح أن تواجه الفتيات والشابات اللواتي ينغمسن في علاقات جنسية غير شرعية إجراءً </w:t>
      </w:r>
      <w:r w:rsidR="003626EB">
        <w:rPr>
          <w:rFonts w:hint="eastAsia"/>
          <w:rtl/>
        </w:rPr>
        <w:t>”</w:t>
      </w:r>
      <w:r w:rsidR="003626EB">
        <w:rPr>
          <w:rFonts w:hint="cs"/>
          <w:rtl/>
        </w:rPr>
        <w:t>تأديبياً</w:t>
      </w:r>
      <w:r w:rsidR="003626EB">
        <w:rPr>
          <w:rFonts w:hint="eastAsia"/>
          <w:rtl/>
        </w:rPr>
        <w:t>“</w:t>
      </w:r>
      <w:r>
        <w:rPr>
          <w:rFonts w:hint="cs"/>
          <w:rtl/>
        </w:rPr>
        <w:t xml:space="preserve"> على هيئة اعتداء جسدي من إخوانهن أو أبناء أعمامهن أو أبناء أخوالهن أو حتى من الوالدين.</w:t>
      </w:r>
    </w:p>
    <w:p w:rsidR="00E70375" w:rsidRDefault="00E70375" w:rsidP="00E70375">
      <w:pPr>
        <w:pStyle w:val="SingleTxt"/>
        <w:rPr>
          <w:rFonts w:hint="cs"/>
          <w:rtl/>
        </w:rPr>
      </w:pPr>
      <w:r>
        <w:rPr>
          <w:rFonts w:hint="cs"/>
          <w:rtl/>
        </w:rPr>
        <w:t>6-5</w:t>
      </w:r>
      <w:r>
        <w:rPr>
          <w:rFonts w:hint="cs"/>
          <w:rtl/>
        </w:rPr>
        <w:tab/>
        <w:t>البغاء غير ملحوظ حالياً في توفالو ولا يعتبر مشكلة لأنه لا توجد تقارير رسمية أيضاً عن هذه المشكلة. إلا أن زيادة السفر المطردة وتحرك اليد العاملة عبر الحدود الوطنية يمكن أن يولدا هذه المشكلة التي ينبغي أن تكون توفالو مستعدة للتصدي لها. إلا أن من الجائز أن يكون البغاء غير الرسمي موجوداً مع زيادة عدد المصابين بأمراض معدية تنتقل عن طريق الاتصال الجنسي. إضافة إلى ذلك، فإن الفتيات يكن وهن تحت تأثير الكحول (وهي مسألة تتعارض مع المعايير الاجتماعية) عرضة لاعتداء الرجال عليهن، وقد يؤدي إلى ممارسة الجنس. ويتسبب هذا السلوك بوصمة عار للأسرة وتترتب عليه في العادة تعليقات سلبية من المجتمع. ونتيجة لذلك من المرجح أن تشعر الضحايا بتدني احترام الذات، وغالباً ما يشعرن بأنهن مهملات ولا يعتنين بأنفسهن، وبالتالي لا يعتنين بممارسة حقوقهن الإنسانية.</w:t>
      </w:r>
    </w:p>
    <w:p w:rsidR="00E70375" w:rsidRPr="00E70375" w:rsidRDefault="00E70375" w:rsidP="00E70375">
      <w:pPr>
        <w:pStyle w:val="SingleTxt"/>
        <w:spacing w:after="0" w:line="120" w:lineRule="exact"/>
        <w:rPr>
          <w:rFonts w:hint="cs"/>
          <w:sz w:val="10"/>
          <w:rtl/>
        </w:rPr>
      </w:pPr>
    </w:p>
    <w:p w:rsidR="00E70375" w:rsidRDefault="00E70375"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C0D94">
        <w:rPr>
          <w:rFonts w:hint="cs"/>
          <w:rtl/>
        </w:rPr>
        <w:t>التدابير الوقائية لكبح الاتجار بالبشر</w:t>
      </w:r>
    </w:p>
    <w:p w:rsidR="00E70375" w:rsidRDefault="00E70375" w:rsidP="00E70375">
      <w:pPr>
        <w:pStyle w:val="SingleTxt"/>
        <w:rPr>
          <w:rFonts w:hint="cs"/>
          <w:rtl/>
        </w:rPr>
      </w:pPr>
      <w:r>
        <w:rPr>
          <w:rFonts w:hint="cs"/>
          <w:rtl/>
        </w:rPr>
        <w:t>6-6</w:t>
      </w:r>
      <w:r>
        <w:rPr>
          <w:rFonts w:hint="cs"/>
          <w:rtl/>
        </w:rPr>
        <w:tab/>
        <w:t>بغض النظر عن مستوى الاتجار بالبشر والبغاء، تواصل الحكومة، بشراكة مع منظمات المجتمع المدني، التوعية بأخطارهما وأخطار ما يصاحبهما من مشاكل اجتماعية. وتعمل رابطة صحة الأسرة في توفالو أيضاً بتعاون وثيق مع الشباب المعرضين لخطر القضايا المتعلقة بالجنس. وركزت مشاريع كثيرة على تشجيع الشباب على النظر في خياراتهم المتعلقة بمستقبلهم، كما ركزت على توعيتهم  بالأمراض التي تنتقل عن طريق الاتصال الجنسي.</w:t>
      </w:r>
    </w:p>
    <w:p w:rsidR="00E70375" w:rsidRPr="00E70375" w:rsidRDefault="00E70375" w:rsidP="00E70375">
      <w:pPr>
        <w:pStyle w:val="SingleTxt"/>
        <w:spacing w:after="0" w:line="120" w:lineRule="exact"/>
        <w:rPr>
          <w:rFonts w:hint="cs"/>
          <w:sz w:val="10"/>
          <w:rtl/>
        </w:rPr>
      </w:pPr>
    </w:p>
    <w:p w:rsidR="00E70375" w:rsidRDefault="00F3241C" w:rsidP="00E703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tl/>
        </w:rPr>
        <w:br w:type="page"/>
      </w:r>
      <w:r w:rsidR="00E70375">
        <w:rPr>
          <w:rFonts w:hint="cs"/>
          <w:rtl/>
        </w:rPr>
        <w:tab/>
      </w:r>
      <w:r w:rsidR="00E70375">
        <w:rPr>
          <w:rFonts w:hint="cs"/>
          <w:rtl/>
        </w:rPr>
        <w:tab/>
      </w:r>
      <w:r w:rsidR="00E70375" w:rsidRPr="008C0D94">
        <w:rPr>
          <w:rFonts w:hint="cs"/>
          <w:rtl/>
        </w:rPr>
        <w:t xml:space="preserve">المادة 7 </w:t>
      </w:r>
    </w:p>
    <w:p w:rsidR="00E70375" w:rsidRPr="00E70375" w:rsidRDefault="00E70375" w:rsidP="00E70375">
      <w:pPr>
        <w:pStyle w:val="SingleTxt"/>
        <w:spacing w:after="0" w:line="120" w:lineRule="exact"/>
        <w:rPr>
          <w:rFonts w:hint="cs"/>
          <w:sz w:val="10"/>
          <w:rtl/>
        </w:rPr>
      </w:pPr>
    </w:p>
    <w:tbl>
      <w:tblPr>
        <w:tblStyle w:val="TableGrid"/>
        <w:bidiVisual/>
        <w:tblW w:w="0" w:type="auto"/>
        <w:jc w:val="center"/>
        <w:tblLook w:val="01E0" w:firstRow="1" w:lastRow="1" w:firstColumn="1" w:lastColumn="1" w:noHBand="0" w:noVBand="0"/>
      </w:tblPr>
      <w:tblGrid>
        <w:gridCol w:w="8856"/>
      </w:tblGrid>
      <w:tr w:rsidR="00E70375">
        <w:trPr>
          <w:jc w:val="center"/>
        </w:trPr>
        <w:tc>
          <w:tcPr>
            <w:tcW w:w="8856" w:type="dxa"/>
          </w:tcPr>
          <w:p w:rsidR="00E70375" w:rsidRPr="001F2085" w:rsidRDefault="00E70375" w:rsidP="001F2085">
            <w:pPr>
              <w:pStyle w:val="SingleTxt"/>
              <w:rPr>
                <w:rFonts w:cs="Traditional Arabic" w:hint="cs"/>
                <w:rtl/>
              </w:rPr>
            </w:pPr>
            <w:r w:rsidRPr="001F2085">
              <w:rPr>
                <w:rFonts w:cs="Traditional Arabic" w:hint="cs"/>
                <w:rtl/>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E70375" w:rsidRPr="001F2085" w:rsidRDefault="001F2085" w:rsidP="001F2085">
            <w:pPr>
              <w:pStyle w:val="SingleTxt"/>
              <w:rPr>
                <w:rFonts w:cs="Traditional Arabic" w:hint="cs"/>
                <w:rtl/>
              </w:rPr>
            </w:pPr>
            <w:r w:rsidRPr="001F2085">
              <w:rPr>
                <w:rFonts w:cs="Traditional Arabic"/>
                <w:rtl/>
              </w:rPr>
              <w:tab/>
            </w:r>
            <w:r w:rsidRPr="001F2085">
              <w:rPr>
                <w:rFonts w:cs="Traditional Arabic" w:hint="cs"/>
                <w:rtl/>
              </w:rPr>
              <w:t>(أ)</w:t>
            </w:r>
            <w:r w:rsidRPr="001F2085">
              <w:rPr>
                <w:rFonts w:cs="Traditional Arabic"/>
                <w:rtl/>
              </w:rPr>
              <w:tab/>
            </w:r>
            <w:r w:rsidR="00E70375" w:rsidRPr="001F2085">
              <w:rPr>
                <w:rFonts w:cs="Traditional Arabic" w:hint="cs"/>
                <w:rtl/>
              </w:rPr>
              <w:t>التصويت في جميع الانتخابات والاستفتاءات العامة، وأهلية الانتخاب لجميع الهيئات التي ينتخب أعضاؤها بالاقتراع العام؛</w:t>
            </w:r>
          </w:p>
          <w:p w:rsidR="00E70375" w:rsidRPr="001F2085" w:rsidRDefault="001F2085" w:rsidP="001F2085">
            <w:pPr>
              <w:pStyle w:val="SingleTxt"/>
              <w:rPr>
                <w:rFonts w:cs="Traditional Arabic" w:hint="cs"/>
                <w:rtl/>
              </w:rPr>
            </w:pPr>
            <w:r w:rsidRPr="001F2085">
              <w:rPr>
                <w:rFonts w:cs="Traditional Arabic"/>
                <w:rtl/>
              </w:rPr>
              <w:tab/>
            </w:r>
            <w:r w:rsidRPr="001F2085">
              <w:rPr>
                <w:rFonts w:cs="Traditional Arabic" w:hint="cs"/>
                <w:rtl/>
              </w:rPr>
              <w:t>(ب)</w:t>
            </w:r>
            <w:r w:rsidRPr="001F2085">
              <w:rPr>
                <w:rFonts w:cs="Traditional Arabic"/>
                <w:rtl/>
              </w:rPr>
              <w:tab/>
            </w:r>
            <w:r w:rsidR="00E70375" w:rsidRPr="001F2085">
              <w:rPr>
                <w:rFonts w:cs="Traditional Arabic" w:hint="cs"/>
                <w:rtl/>
              </w:rPr>
              <w:t>المشاركة في صياغة سياسة الحكومة وتنفيذ هذه السياسة وفي شغل الوظائف العامة وتأدية جميع المهام العامة على جميع المستويات الحكومية؛</w:t>
            </w:r>
          </w:p>
          <w:p w:rsidR="00E70375" w:rsidRPr="00121234" w:rsidRDefault="001F2085" w:rsidP="001F2085">
            <w:pPr>
              <w:pStyle w:val="SingleTxt"/>
              <w:rPr>
                <w:rFonts w:hint="cs"/>
                <w:rtl/>
              </w:rPr>
            </w:pPr>
            <w:r>
              <w:rPr>
                <w:rFonts w:cs="Traditional Arabic"/>
                <w:rtl/>
              </w:rPr>
              <w:tab/>
            </w:r>
            <w:r>
              <w:rPr>
                <w:rFonts w:cs="Traditional Arabic" w:hint="cs"/>
                <w:rtl/>
              </w:rPr>
              <w:t>(ج)</w:t>
            </w:r>
            <w:r>
              <w:rPr>
                <w:rFonts w:cs="Traditional Arabic"/>
                <w:rtl/>
              </w:rPr>
              <w:tab/>
            </w:r>
            <w:r w:rsidR="00E70375" w:rsidRPr="001F2085">
              <w:rPr>
                <w:rFonts w:cs="Traditional Arabic" w:hint="cs"/>
                <w:rtl/>
              </w:rPr>
              <w:t>المشاركة في جميع المنظمات والجمعيات غير الحكومية التي تعني بالحياة العامة والسياسية للبلد.</w:t>
            </w:r>
          </w:p>
        </w:tc>
      </w:tr>
    </w:tbl>
    <w:p w:rsidR="001F2085" w:rsidRPr="001F2085" w:rsidRDefault="001F2085" w:rsidP="001F2085">
      <w:pPr>
        <w:spacing w:line="120" w:lineRule="exact"/>
        <w:rPr>
          <w:rFonts w:hint="cs"/>
          <w:b/>
          <w:bCs/>
          <w:sz w:val="10"/>
          <w:szCs w:val="32"/>
          <w:rtl/>
        </w:rPr>
      </w:pPr>
    </w:p>
    <w:p w:rsidR="00E70375" w:rsidRDefault="001F2085" w:rsidP="001F20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E70375" w:rsidRPr="008C0D94">
        <w:rPr>
          <w:rFonts w:hint="cs"/>
          <w:rtl/>
        </w:rPr>
        <w:t>السياق الدستوري</w:t>
      </w:r>
      <w:r w:rsidR="00E70375">
        <w:rPr>
          <w:rFonts w:hint="cs"/>
          <w:rtl/>
        </w:rPr>
        <w:t xml:space="preserve"> </w:t>
      </w:r>
    </w:p>
    <w:p w:rsidR="00E70375" w:rsidRDefault="001F2085" w:rsidP="00AA522B">
      <w:pPr>
        <w:pStyle w:val="SingleTxt"/>
        <w:rPr>
          <w:rFonts w:hint="cs"/>
          <w:rtl/>
        </w:rPr>
      </w:pPr>
      <w:r>
        <w:rPr>
          <w:rFonts w:hint="cs"/>
          <w:rtl/>
        </w:rPr>
        <w:t>7-1</w:t>
      </w:r>
      <w:r>
        <w:rPr>
          <w:rtl/>
        </w:rPr>
        <w:tab/>
      </w:r>
      <w:r w:rsidR="00E70375">
        <w:rPr>
          <w:rFonts w:hint="cs"/>
          <w:rtl/>
        </w:rPr>
        <w:t>يحق لكل مواطن توفالي بغض النظر عن نوع جنسه، إلا إذا كان غير مؤهل بموجب الفرع 92 من الدستور، أن يدلي بصوته في جميع الانتخابات البرلمانية</w:t>
      </w:r>
      <w:r w:rsidR="00AA522B" w:rsidRPr="00AA522B">
        <w:rPr>
          <w:vertAlign w:val="superscript"/>
          <w:rtl/>
        </w:rPr>
        <w:t>(</w:t>
      </w:r>
      <w:r w:rsidR="00AA522B">
        <w:rPr>
          <w:rStyle w:val="FootnoteReference"/>
          <w:rtl/>
        </w:rPr>
        <w:footnoteReference w:id="71"/>
      </w:r>
      <w:r w:rsidR="00AA522B" w:rsidRPr="00AA522B">
        <w:rPr>
          <w:vertAlign w:val="superscript"/>
          <w:rtl/>
        </w:rPr>
        <w:t>)</w:t>
      </w:r>
      <w:r w:rsidR="00E70375">
        <w:rPr>
          <w:rFonts w:hint="cs"/>
          <w:rtl/>
        </w:rPr>
        <w:t>.</w:t>
      </w:r>
      <w:r w:rsidR="00AA522B">
        <w:rPr>
          <w:rFonts w:hint="cs"/>
          <w:rtl/>
        </w:rPr>
        <w:t xml:space="preserve"> </w:t>
      </w:r>
      <w:r w:rsidR="00E70375">
        <w:rPr>
          <w:rFonts w:hint="cs"/>
          <w:rtl/>
        </w:rPr>
        <w:t>بيد أن الشخص يجب أن يكون مسجلاً في دائرة انتخابية ليتسنى له/ لها ممارسة حقه/ حقها في التصويت. ولذلك، حتى وإن كان الشخص مؤهلاً للتصويت، فإنه يفقد حقه في التصويت إذا لم يسجل أثناء فترة التسجيل لانتخابات معينة</w:t>
      </w:r>
      <w:r w:rsidR="00AA522B" w:rsidRPr="00AA522B">
        <w:rPr>
          <w:vertAlign w:val="superscript"/>
          <w:rtl/>
        </w:rPr>
        <w:t>(</w:t>
      </w:r>
      <w:r w:rsidR="00AA522B">
        <w:rPr>
          <w:rStyle w:val="FootnoteReference"/>
          <w:rtl/>
        </w:rPr>
        <w:footnoteReference w:id="72"/>
      </w:r>
      <w:r w:rsidR="00AA522B" w:rsidRPr="00AA522B">
        <w:rPr>
          <w:vertAlign w:val="superscript"/>
          <w:rtl/>
        </w:rPr>
        <w:t>)</w:t>
      </w:r>
      <w:r w:rsidR="00E70375">
        <w:rPr>
          <w:rFonts w:hint="cs"/>
          <w:rtl/>
        </w:rPr>
        <w:t>.</w:t>
      </w:r>
      <w:r w:rsidR="00AA522B">
        <w:rPr>
          <w:rFonts w:hint="cs"/>
          <w:rtl/>
        </w:rPr>
        <w:t xml:space="preserve"> </w:t>
      </w:r>
      <w:r w:rsidR="00E70375">
        <w:rPr>
          <w:rFonts w:hint="cs"/>
          <w:rtl/>
        </w:rPr>
        <w:t>والأسس التي يفقد الشخص أهليته استناداً إليها بموجب أحكام الفرع 92 تنطبق على قدم المساواة على أي مواطن بغض النظر عن نوع جنسه.</w:t>
      </w:r>
    </w:p>
    <w:p w:rsidR="00E70375" w:rsidRDefault="001F2085" w:rsidP="001F2085">
      <w:pPr>
        <w:pStyle w:val="SingleTxt"/>
        <w:rPr>
          <w:rFonts w:hint="cs"/>
          <w:rtl/>
        </w:rPr>
      </w:pPr>
      <w:r>
        <w:rPr>
          <w:rFonts w:hint="cs"/>
          <w:rtl/>
        </w:rPr>
        <w:tab/>
      </w:r>
      <w:r w:rsidR="00E70375">
        <w:rPr>
          <w:rFonts w:hint="cs"/>
          <w:rtl/>
        </w:rPr>
        <w:t>ويحدد الدستور أيضاً أحكاماً لانتخاب أعضاء البرلمان. فالفرع 87، الذي يحدد طبيعة الانتتخابات، ينص على ما يلي:</w:t>
      </w:r>
    </w:p>
    <w:p w:rsidR="00E70375" w:rsidRDefault="00F3241C" w:rsidP="00F3241C">
      <w:pPr>
        <w:pStyle w:val="SingleTxt"/>
        <w:ind w:left="1930" w:hanging="663"/>
        <w:rPr>
          <w:rFonts w:hint="cs"/>
          <w:rtl/>
        </w:rPr>
      </w:pPr>
      <w:r>
        <w:rPr>
          <w:rFonts w:hint="cs"/>
          <w:rtl/>
        </w:rPr>
        <w:tab/>
      </w:r>
      <w:r w:rsidR="001F2085">
        <w:rPr>
          <w:rFonts w:hint="cs"/>
          <w:rtl/>
        </w:rPr>
        <w:tab/>
      </w:r>
      <w:r w:rsidR="001F2085">
        <w:rPr>
          <w:rFonts w:hint="eastAsia"/>
          <w:rtl/>
        </w:rPr>
        <w:t>”(1)</w:t>
      </w:r>
      <w:r w:rsidR="001F2085">
        <w:rPr>
          <w:rtl/>
        </w:rPr>
        <w:tab/>
      </w:r>
      <w:r w:rsidR="00E70375">
        <w:rPr>
          <w:rFonts w:hint="cs"/>
          <w:rtl/>
        </w:rPr>
        <w:t>ينتخب أعضاء البرلمان بموجب نظام اقتراع عام يشمل جميع المواطنين البالغين، وفقاً لأحكام هذا الدستور وأي قانون يُسن لأغراض الفرع 89 (قوانين الانتخابات).</w:t>
      </w:r>
    </w:p>
    <w:p w:rsidR="00E70375" w:rsidRDefault="00F3241C" w:rsidP="00F3241C">
      <w:pPr>
        <w:pStyle w:val="SingleTxt"/>
        <w:ind w:left="1930" w:hanging="663"/>
        <w:rPr>
          <w:rFonts w:hint="cs"/>
          <w:rtl/>
        </w:rPr>
      </w:pPr>
      <w:r>
        <w:rPr>
          <w:rFonts w:hint="cs"/>
          <w:rtl/>
        </w:rPr>
        <w:tab/>
      </w:r>
      <w:r w:rsidR="001F2085">
        <w:rPr>
          <w:rFonts w:hint="cs"/>
          <w:rtl/>
        </w:rPr>
        <w:tab/>
        <w:t>(2)</w:t>
      </w:r>
      <w:r w:rsidR="001F2085">
        <w:rPr>
          <w:rFonts w:hint="cs"/>
          <w:rtl/>
        </w:rPr>
        <w:tab/>
        <w:t>ي</w:t>
      </w:r>
      <w:r w:rsidR="00E70375">
        <w:rPr>
          <w:rFonts w:hint="cs"/>
          <w:rtl/>
        </w:rPr>
        <w:t>نبغي أن تجرى جميع انتخابات أعضاء البرلمان التنافسية عن طريق الاقتراع السري.</w:t>
      </w:r>
    </w:p>
    <w:p w:rsidR="00E70375" w:rsidRDefault="00F3241C" w:rsidP="00F3241C">
      <w:pPr>
        <w:pStyle w:val="SingleTxt"/>
        <w:ind w:left="1930" w:hanging="663"/>
        <w:rPr>
          <w:rFonts w:hint="cs"/>
        </w:rPr>
      </w:pPr>
      <w:r>
        <w:rPr>
          <w:rFonts w:hint="cs"/>
          <w:rtl/>
        </w:rPr>
        <w:tab/>
      </w:r>
      <w:r w:rsidR="001F2085">
        <w:rPr>
          <w:rFonts w:hint="cs"/>
          <w:rtl/>
        </w:rPr>
        <w:tab/>
        <w:t>(3)</w:t>
      </w:r>
      <w:r w:rsidR="001F2085">
        <w:rPr>
          <w:rFonts w:hint="cs"/>
          <w:rtl/>
        </w:rPr>
        <w:tab/>
      </w:r>
      <w:r w:rsidR="00E70375">
        <w:rPr>
          <w:rFonts w:hint="cs"/>
          <w:rtl/>
        </w:rPr>
        <w:t>لا يتعين أن يعتبر متعارضاً مع أحكام الفرع 2 أي قانون ينص على حكم معقول للمساعدة في عملية الاقت</w:t>
      </w:r>
      <w:r w:rsidR="001F2085">
        <w:rPr>
          <w:rFonts w:hint="cs"/>
          <w:rtl/>
        </w:rPr>
        <w:t>راع يسن بناءً على طلب من أي شخص</w:t>
      </w:r>
      <w:r w:rsidR="001F2085">
        <w:rPr>
          <w:rFonts w:hint="eastAsia"/>
          <w:rtl/>
        </w:rPr>
        <w:t>“</w:t>
      </w:r>
      <w:r w:rsidR="00E70375">
        <w:rPr>
          <w:rFonts w:hint="cs"/>
          <w:rtl/>
        </w:rPr>
        <w:t>.</w:t>
      </w:r>
    </w:p>
    <w:p w:rsidR="00E70375" w:rsidRDefault="001F2085" w:rsidP="001F2085">
      <w:pPr>
        <w:pStyle w:val="SingleTxt"/>
        <w:rPr>
          <w:rFonts w:hint="cs"/>
          <w:rtl/>
        </w:rPr>
      </w:pPr>
      <w:r>
        <w:rPr>
          <w:rFonts w:hint="cs"/>
          <w:rtl/>
        </w:rPr>
        <w:tab/>
      </w:r>
      <w:r w:rsidR="00E70375">
        <w:rPr>
          <w:rFonts w:hint="cs"/>
          <w:rtl/>
        </w:rPr>
        <w:t>إضافة إلى ذلك، ينص الفرع 90 (1) على الحق في التصويت كما يلي:</w:t>
      </w:r>
    </w:p>
    <w:p w:rsidR="00E70375" w:rsidRDefault="001F2085" w:rsidP="001F2085">
      <w:pPr>
        <w:pStyle w:val="SingleTxt"/>
        <w:ind w:left="1930" w:hanging="663"/>
        <w:rPr>
          <w:rFonts w:hint="cs"/>
          <w:rtl/>
        </w:rPr>
      </w:pPr>
      <w:r>
        <w:rPr>
          <w:rFonts w:hint="cs"/>
          <w:rtl/>
        </w:rPr>
        <w:tab/>
      </w:r>
      <w:r>
        <w:rPr>
          <w:rtl/>
        </w:rPr>
        <w:tab/>
      </w:r>
      <w:r>
        <w:rPr>
          <w:rFonts w:hint="cs"/>
          <w:rtl/>
        </w:rPr>
        <w:t>”</w:t>
      </w:r>
      <w:r w:rsidR="00E70375">
        <w:rPr>
          <w:rFonts w:hint="cs"/>
          <w:rtl/>
        </w:rPr>
        <w:t>رهناً بالأحكام التالية في هذا الفرع، أي شخص مسجل بوصفه ناخباً في انتخابات برلمانية في دائرة انتخابية، بموجب أحكام قانون سنه البرلمان، من حقه أن يدلي بصوته على النحو المشار إليه في انتخاب عضو للبرلمان من تلك الدائرة الانتخابية</w:t>
      </w:r>
      <w:r>
        <w:rPr>
          <w:rFonts w:hint="eastAsia"/>
          <w:rtl/>
        </w:rPr>
        <w:t>“</w:t>
      </w:r>
    </w:p>
    <w:p w:rsidR="001F2085" w:rsidRPr="001F2085" w:rsidRDefault="001F2085" w:rsidP="001F2085">
      <w:pPr>
        <w:spacing w:line="120" w:lineRule="exact"/>
        <w:ind w:left="720"/>
        <w:rPr>
          <w:rFonts w:hint="cs"/>
          <w:sz w:val="10"/>
          <w:szCs w:val="32"/>
          <w:rtl/>
        </w:rPr>
      </w:pPr>
    </w:p>
    <w:p w:rsidR="00E70375" w:rsidRPr="00626971" w:rsidRDefault="001F2085" w:rsidP="001F20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E70375" w:rsidRPr="00626971">
        <w:rPr>
          <w:rFonts w:hint="cs"/>
          <w:rtl/>
        </w:rPr>
        <w:t>قوانين الانتخابات</w:t>
      </w:r>
    </w:p>
    <w:p w:rsidR="00E70375" w:rsidRDefault="001F2085" w:rsidP="001F2085">
      <w:pPr>
        <w:pStyle w:val="SingleTxt"/>
        <w:rPr>
          <w:rFonts w:hint="cs"/>
          <w:rtl/>
        </w:rPr>
      </w:pPr>
      <w:r>
        <w:rPr>
          <w:rFonts w:hint="cs"/>
          <w:rtl/>
        </w:rPr>
        <w:t>7-2</w:t>
      </w:r>
      <w:r w:rsidR="00E70375">
        <w:rPr>
          <w:rFonts w:hint="cs"/>
          <w:rtl/>
        </w:rPr>
        <w:tab/>
        <w:t>أجاز نظام الانتخابات في توفالو أولاً نظام الوظائف (تعدد وظائف العضو الواحد). وقد اعتمد هذا النظام من الحقبة الاستعمارية وبقي نافذ المفعول منذ الاستقلال في عام 1978. ولا توجد أحزاب سياسية في توفالو. ويقسم قانون أحكام الانتخابات (البرلمانية) توفالو إلى ثماني دوائر انتخابية كما هو مبين في الجدول الملحق بالقانون، مرتبة حسب الأحرف الهجائية على النحو التالي:</w:t>
      </w:r>
    </w:p>
    <w:p w:rsidR="00E70375" w:rsidRDefault="00E70375" w:rsidP="00E70375">
      <w:pPr>
        <w:rPr>
          <w:rFonts w:hint="cs"/>
          <w:sz w:val="32"/>
          <w:szCs w:val="32"/>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160"/>
        <w:gridCol w:w="2880"/>
        <w:gridCol w:w="1440"/>
      </w:tblGrid>
      <w:tr w:rsidR="00E70375" w:rsidRPr="00EB5763">
        <w:trPr>
          <w:cantSplit/>
          <w:tblHeader/>
          <w:jc w:val="center"/>
        </w:trPr>
        <w:tc>
          <w:tcPr>
            <w:tcW w:w="2160" w:type="dxa"/>
            <w:tcBorders>
              <w:top w:val="single" w:sz="4" w:space="0" w:color="auto"/>
              <w:bottom w:val="single" w:sz="12" w:space="0" w:color="auto"/>
            </w:tcBorders>
            <w:shd w:val="clear" w:color="auto" w:fill="auto"/>
            <w:vAlign w:val="bottom"/>
          </w:tcPr>
          <w:p w:rsidR="00E70375" w:rsidRPr="00EB5763" w:rsidRDefault="00E70375" w:rsidP="00EB5763">
            <w:pPr>
              <w:spacing w:before="80" w:after="80" w:line="240" w:lineRule="exact"/>
              <w:jc w:val="center"/>
              <w:rPr>
                <w:rFonts w:cs="Traditional Arabic" w:hint="cs"/>
                <w:b/>
                <w:bCs/>
                <w:i/>
                <w:iCs/>
                <w:sz w:val="16"/>
                <w:szCs w:val="24"/>
                <w:rtl/>
              </w:rPr>
            </w:pPr>
            <w:r w:rsidRPr="00EB5763">
              <w:rPr>
                <w:rFonts w:cs="Traditional Arabic" w:hint="cs"/>
                <w:b/>
                <w:bCs/>
                <w:i/>
                <w:iCs/>
                <w:sz w:val="16"/>
                <w:szCs w:val="24"/>
                <w:rtl/>
              </w:rPr>
              <w:t>الدائرة الانتخابية</w:t>
            </w:r>
          </w:p>
        </w:tc>
        <w:tc>
          <w:tcPr>
            <w:tcW w:w="2880" w:type="dxa"/>
            <w:tcBorders>
              <w:top w:val="single" w:sz="4" w:space="0" w:color="auto"/>
              <w:bottom w:val="single" w:sz="12" w:space="0" w:color="auto"/>
            </w:tcBorders>
            <w:shd w:val="clear" w:color="auto" w:fill="auto"/>
            <w:vAlign w:val="bottom"/>
          </w:tcPr>
          <w:p w:rsidR="00E70375" w:rsidRPr="00EB5763" w:rsidRDefault="00E70375" w:rsidP="00EB5763">
            <w:pPr>
              <w:spacing w:before="80" w:after="80" w:line="240" w:lineRule="exact"/>
              <w:ind w:right="144"/>
              <w:jc w:val="lowKashida"/>
              <w:rPr>
                <w:rFonts w:cs="Traditional Arabic" w:hint="cs"/>
                <w:b/>
                <w:bCs/>
                <w:i/>
                <w:iCs/>
                <w:sz w:val="16"/>
                <w:szCs w:val="24"/>
                <w:rtl/>
              </w:rPr>
            </w:pPr>
            <w:r w:rsidRPr="00EB5763">
              <w:rPr>
                <w:rFonts w:cs="Traditional Arabic" w:hint="cs"/>
                <w:b/>
                <w:bCs/>
                <w:i/>
                <w:iCs/>
                <w:sz w:val="16"/>
                <w:szCs w:val="24"/>
                <w:rtl/>
              </w:rPr>
              <w:t>المنطقة</w:t>
            </w:r>
          </w:p>
        </w:tc>
        <w:tc>
          <w:tcPr>
            <w:tcW w:w="1440" w:type="dxa"/>
            <w:tcBorders>
              <w:top w:val="single" w:sz="4" w:space="0" w:color="auto"/>
              <w:bottom w:val="single" w:sz="12" w:space="0" w:color="auto"/>
            </w:tcBorders>
            <w:shd w:val="clear" w:color="auto" w:fill="auto"/>
            <w:vAlign w:val="bottom"/>
          </w:tcPr>
          <w:p w:rsidR="00E70375" w:rsidRPr="00EB5763" w:rsidRDefault="00E70375" w:rsidP="00EB5763">
            <w:pPr>
              <w:spacing w:before="80" w:after="80" w:line="240" w:lineRule="exact"/>
              <w:ind w:right="144"/>
              <w:jc w:val="lowKashida"/>
              <w:rPr>
                <w:rFonts w:cs="Traditional Arabic" w:hint="cs"/>
                <w:b/>
                <w:bCs/>
                <w:i/>
                <w:iCs/>
                <w:sz w:val="16"/>
                <w:szCs w:val="24"/>
                <w:rtl/>
              </w:rPr>
            </w:pPr>
            <w:r w:rsidRPr="00EB5763">
              <w:rPr>
                <w:rFonts w:cs="Traditional Arabic" w:hint="cs"/>
                <w:b/>
                <w:bCs/>
                <w:i/>
                <w:iCs/>
                <w:sz w:val="16"/>
                <w:szCs w:val="24"/>
                <w:rtl/>
              </w:rPr>
              <w:t>عدد الممثلين</w:t>
            </w:r>
          </w:p>
        </w:tc>
      </w:tr>
      <w:tr w:rsidR="00EB5763" w:rsidRPr="00EB5763">
        <w:trPr>
          <w:cantSplit/>
          <w:trHeight w:hRule="exact" w:val="115"/>
          <w:tblHeader/>
          <w:jc w:val="center"/>
        </w:trPr>
        <w:tc>
          <w:tcPr>
            <w:tcW w:w="2160" w:type="dxa"/>
            <w:tcBorders>
              <w:top w:val="single" w:sz="12" w:space="0" w:color="auto"/>
            </w:tcBorders>
            <w:shd w:val="clear" w:color="auto" w:fill="auto"/>
            <w:vAlign w:val="bottom"/>
          </w:tcPr>
          <w:p w:rsidR="00EB5763" w:rsidRPr="00EB5763" w:rsidRDefault="00EB5763" w:rsidP="00EB5763">
            <w:pPr>
              <w:spacing w:before="40" w:after="80" w:line="240" w:lineRule="exact"/>
              <w:rPr>
                <w:rFonts w:hint="cs"/>
                <w:sz w:val="16"/>
                <w:szCs w:val="24"/>
                <w:rtl/>
              </w:rPr>
            </w:pPr>
          </w:p>
        </w:tc>
        <w:tc>
          <w:tcPr>
            <w:tcW w:w="2880" w:type="dxa"/>
            <w:tcBorders>
              <w:top w:val="single" w:sz="12" w:space="0" w:color="auto"/>
            </w:tcBorders>
            <w:shd w:val="clear" w:color="auto" w:fill="auto"/>
            <w:vAlign w:val="bottom"/>
          </w:tcPr>
          <w:p w:rsidR="00EB5763" w:rsidRPr="00EB5763" w:rsidRDefault="00EB5763" w:rsidP="00EB5763">
            <w:pPr>
              <w:spacing w:before="40" w:after="80" w:line="240" w:lineRule="exact"/>
              <w:ind w:right="144"/>
              <w:jc w:val="lowKashida"/>
              <w:rPr>
                <w:rFonts w:hint="cs"/>
                <w:sz w:val="16"/>
                <w:szCs w:val="24"/>
                <w:rtl/>
              </w:rPr>
            </w:pPr>
          </w:p>
        </w:tc>
        <w:tc>
          <w:tcPr>
            <w:tcW w:w="1440" w:type="dxa"/>
            <w:tcBorders>
              <w:top w:val="single" w:sz="12" w:space="0" w:color="auto"/>
            </w:tcBorders>
            <w:shd w:val="clear" w:color="auto" w:fill="auto"/>
            <w:vAlign w:val="bottom"/>
          </w:tcPr>
          <w:p w:rsidR="00EB5763" w:rsidRPr="00EB5763" w:rsidRDefault="00EB5763" w:rsidP="00EB5763">
            <w:pPr>
              <w:spacing w:before="40" w:after="80" w:line="240" w:lineRule="exact"/>
              <w:ind w:right="144"/>
              <w:jc w:val="lowKashida"/>
              <w:rPr>
                <w:rFonts w:hint="cs"/>
                <w:sz w:val="16"/>
                <w:szCs w:val="24"/>
                <w:rtl/>
              </w:rPr>
            </w:pP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دائرة فونافوتي</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فونافوتي</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2</w:t>
            </w: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نانومانغا</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نانومانغا</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2</w:t>
            </w: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نانوميا</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نانوميا</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2</w:t>
            </w: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نوي</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نوي</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3</w:t>
            </w: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نيوتاو</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نيوتاو</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2</w:t>
            </w: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نوكوفيتاو</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نوكوفيتاو</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2</w:t>
            </w:r>
          </w:p>
        </w:tc>
      </w:tr>
      <w:tr w:rsidR="00E70375" w:rsidRPr="00EB5763">
        <w:trPr>
          <w:cantSplit/>
          <w:jc w:val="center"/>
        </w:trPr>
        <w:tc>
          <w:tcPr>
            <w:tcW w:w="2160" w:type="dxa"/>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نوكولالا</w:t>
            </w:r>
          </w:p>
        </w:tc>
        <w:tc>
          <w:tcPr>
            <w:tcW w:w="288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نوكولالا</w:t>
            </w:r>
          </w:p>
        </w:tc>
        <w:tc>
          <w:tcPr>
            <w:tcW w:w="1440" w:type="dxa"/>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1</w:t>
            </w:r>
          </w:p>
        </w:tc>
      </w:tr>
      <w:tr w:rsidR="00E70375" w:rsidRPr="00EB5763">
        <w:trPr>
          <w:cantSplit/>
          <w:jc w:val="center"/>
        </w:trPr>
        <w:tc>
          <w:tcPr>
            <w:tcW w:w="2160" w:type="dxa"/>
            <w:tcBorders>
              <w:bottom w:val="single" w:sz="12" w:space="0" w:color="auto"/>
            </w:tcBorders>
            <w:shd w:val="clear" w:color="auto" w:fill="auto"/>
            <w:vAlign w:val="bottom"/>
          </w:tcPr>
          <w:p w:rsidR="00E70375" w:rsidRPr="00EB5763" w:rsidRDefault="00E70375" w:rsidP="00EB5763">
            <w:pPr>
              <w:spacing w:before="40" w:after="80" w:line="240" w:lineRule="exact"/>
              <w:rPr>
                <w:rFonts w:cs="Traditional Arabic" w:hint="cs"/>
                <w:sz w:val="16"/>
                <w:szCs w:val="24"/>
                <w:rtl/>
              </w:rPr>
            </w:pPr>
            <w:r w:rsidRPr="00EB5763">
              <w:rPr>
                <w:rFonts w:cs="Traditional Arabic" w:hint="cs"/>
                <w:sz w:val="16"/>
                <w:szCs w:val="24"/>
                <w:rtl/>
              </w:rPr>
              <w:t>فايتوبو</w:t>
            </w:r>
          </w:p>
        </w:tc>
        <w:tc>
          <w:tcPr>
            <w:tcW w:w="2880" w:type="dxa"/>
            <w:tcBorders>
              <w:bottom w:val="single" w:sz="12" w:space="0" w:color="auto"/>
            </w:tcBorders>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جزيرة فايتوبو</w:t>
            </w:r>
          </w:p>
        </w:tc>
        <w:tc>
          <w:tcPr>
            <w:tcW w:w="1440" w:type="dxa"/>
            <w:tcBorders>
              <w:bottom w:val="single" w:sz="12" w:space="0" w:color="auto"/>
            </w:tcBorders>
            <w:shd w:val="clear" w:color="auto" w:fill="auto"/>
            <w:vAlign w:val="bottom"/>
          </w:tcPr>
          <w:p w:rsidR="00E70375" w:rsidRPr="00EB5763" w:rsidRDefault="00E70375" w:rsidP="00EB5763">
            <w:pPr>
              <w:spacing w:before="40" w:after="80" w:line="240" w:lineRule="exact"/>
              <w:ind w:right="144"/>
              <w:jc w:val="lowKashida"/>
              <w:rPr>
                <w:rFonts w:cs="Traditional Arabic" w:hint="cs"/>
                <w:sz w:val="16"/>
                <w:szCs w:val="24"/>
                <w:rtl/>
              </w:rPr>
            </w:pPr>
            <w:r w:rsidRPr="00EB5763">
              <w:rPr>
                <w:rFonts w:cs="Traditional Arabic" w:hint="cs"/>
                <w:sz w:val="16"/>
                <w:szCs w:val="24"/>
                <w:rtl/>
              </w:rPr>
              <w:t>2</w:t>
            </w:r>
          </w:p>
        </w:tc>
      </w:tr>
    </w:tbl>
    <w:p w:rsidR="00EB5763" w:rsidRPr="00EB5763" w:rsidRDefault="00EB5763" w:rsidP="00EB5763">
      <w:pPr>
        <w:spacing w:line="120" w:lineRule="exact"/>
        <w:rPr>
          <w:rFonts w:hint="cs"/>
          <w:sz w:val="10"/>
          <w:szCs w:val="32"/>
          <w:rtl/>
        </w:rPr>
      </w:pPr>
    </w:p>
    <w:p w:rsidR="00E70375" w:rsidRDefault="00E70375" w:rsidP="00AA522B">
      <w:pPr>
        <w:pStyle w:val="SingleTxt"/>
        <w:rPr>
          <w:rFonts w:hint="cs"/>
          <w:rtl/>
        </w:rPr>
      </w:pPr>
      <w:r>
        <w:rPr>
          <w:rFonts w:hint="cs"/>
          <w:rtl/>
        </w:rPr>
        <w:tab/>
        <w:t>فضلاً عن ذلك، ينص الفرع 5 من هذا القانون على أنه يجوز لكل شخص مواطن في توفالو أن يسجل كناخبٍ عندما يبلغ 18 عاماً من العمر وأن يسجل في سجل الناخبين في الجزيرة التي يقيم فيها أو تقيم فيها. ويحدد القانون أيضاً عدداً من المعايير لتحديد جزيرة الإقامة بالنسبة لشخص ما، ومن بين هذه المعايير الولادة في الدائرة الانتخابية أو أن تكون والدة الشخص أو والده (يعطي كلا الوالدين حقوقاً متساوية) قد ولد في تلك الدائرة الانتخابية</w:t>
      </w:r>
      <w:r w:rsidR="00AA522B" w:rsidRPr="00AA522B">
        <w:rPr>
          <w:vertAlign w:val="superscript"/>
          <w:rtl/>
        </w:rPr>
        <w:t>(</w:t>
      </w:r>
      <w:r w:rsidR="00AA522B">
        <w:rPr>
          <w:rStyle w:val="FootnoteReference"/>
          <w:rtl/>
        </w:rPr>
        <w:footnoteReference w:id="73"/>
      </w:r>
      <w:r w:rsidR="00AA522B" w:rsidRPr="00AA522B">
        <w:rPr>
          <w:vertAlign w:val="superscript"/>
          <w:rtl/>
        </w:rPr>
        <w:t>)</w:t>
      </w:r>
      <w:r>
        <w:rPr>
          <w:rFonts w:hint="cs"/>
          <w:rtl/>
        </w:rPr>
        <w:t>.</w:t>
      </w:r>
    </w:p>
    <w:p w:rsidR="00E70375" w:rsidRDefault="00EB5763" w:rsidP="00EB5763">
      <w:pPr>
        <w:pStyle w:val="SingleTxt"/>
        <w:rPr>
          <w:rFonts w:hint="cs"/>
          <w:rtl/>
        </w:rPr>
      </w:pPr>
      <w:r>
        <w:rPr>
          <w:rFonts w:hint="cs"/>
          <w:rtl/>
        </w:rPr>
        <w:t>7-3</w:t>
      </w:r>
      <w:r>
        <w:rPr>
          <w:rFonts w:hint="cs"/>
          <w:rtl/>
        </w:rPr>
        <w:tab/>
      </w:r>
      <w:r w:rsidR="00E70375">
        <w:rPr>
          <w:rFonts w:hint="cs"/>
          <w:rtl/>
        </w:rPr>
        <w:t>من الواضح أن الدستور وقوانين الانتخابات توفر فرصاً متساوية للمرأة والرجل للتنافس في الانتخابات. وعلى الرغم من أن الأحكام التشريعية تنص على المشاركة على قدم المساواة، توجد في الواقع عقبات تعوق مشاركة المرأة في الانتخابات.</w:t>
      </w:r>
    </w:p>
    <w:p w:rsidR="00E70375" w:rsidRDefault="00EB5763" w:rsidP="00EB576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E70375" w:rsidRPr="005B739F">
        <w:rPr>
          <w:rFonts w:hint="cs"/>
          <w:rtl/>
        </w:rPr>
        <w:t>العوائق التي تعوق مشاركة المرأة في السياسة</w:t>
      </w:r>
    </w:p>
    <w:p w:rsidR="00E70375" w:rsidRDefault="00EB5763" w:rsidP="00EB5763">
      <w:pPr>
        <w:pStyle w:val="SingleTxt"/>
        <w:rPr>
          <w:rFonts w:hint="cs"/>
          <w:rtl/>
        </w:rPr>
      </w:pPr>
      <w:r>
        <w:rPr>
          <w:rFonts w:hint="cs"/>
          <w:rtl/>
        </w:rPr>
        <w:t>7-4</w:t>
      </w:r>
      <w:r>
        <w:rPr>
          <w:rFonts w:hint="cs"/>
          <w:rtl/>
        </w:rPr>
        <w:tab/>
      </w:r>
      <w:r w:rsidR="00E70375">
        <w:rPr>
          <w:rFonts w:hint="cs"/>
          <w:rtl/>
        </w:rPr>
        <w:t>في حين أن القانون ينص على المساواة بين الرجل والمرأة في الفرص، فإنه يتعين على الأخيرة في الممارسة العملية أن تتغلب على الحواجز الثقافية التي تعوق تنافس المرأة في الانتخابات. ومن بين هذه الحواجز:</w:t>
      </w:r>
    </w:p>
    <w:p w:rsidR="00E70375" w:rsidRDefault="00EB5763" w:rsidP="0058501F">
      <w:pPr>
        <w:pStyle w:val="SingleTxt"/>
        <w:ind w:left="2592" w:hanging="1325"/>
        <w:rPr>
          <w:rFonts w:hint="cs"/>
          <w:rtl/>
        </w:rPr>
      </w:pPr>
      <w:r>
        <w:rPr>
          <w:rFonts w:hint="cs"/>
          <w:rtl/>
        </w:rPr>
        <w:tab/>
        <w:t>’1‘</w:t>
      </w:r>
      <w:r>
        <w:rPr>
          <w:rFonts w:hint="cs"/>
          <w:rtl/>
        </w:rPr>
        <w:tab/>
      </w:r>
      <w:r w:rsidR="00E70375">
        <w:rPr>
          <w:rFonts w:hint="cs"/>
          <w:rtl/>
        </w:rPr>
        <w:t>المفاهيم التقليدية والنمطية لأدوار المرأة ذات الأولوية تقصر دورها على البيت بوصفها ربة بيت ومسؤولة عن تقديم الرعاية وتنشئة الأسرة. من جهة أخرى، لا توجد قيود من هذا القبيل على الرجل. ويُتوقع من الرجل أن يشارك في صنع القرارات أو يكون في مقدمة صانعي القرارات في الفالي كابيول والكابيول والمجتمعات الجزرية. وبالتالي فإن تنافسه في الانتخابات ودخوله البرلمان عملية انتقال طبيعية بالنسبة له.</w:t>
      </w:r>
    </w:p>
    <w:p w:rsidR="00E70375" w:rsidRDefault="00EB5763" w:rsidP="0058501F">
      <w:pPr>
        <w:pStyle w:val="SingleTxt"/>
        <w:ind w:left="2592" w:hanging="1325"/>
        <w:rPr>
          <w:rFonts w:hint="cs"/>
          <w:rtl/>
        </w:rPr>
      </w:pPr>
      <w:r>
        <w:rPr>
          <w:rFonts w:hint="cs"/>
          <w:rtl/>
        </w:rPr>
        <w:tab/>
      </w:r>
      <w:r w:rsidR="00E70375">
        <w:rPr>
          <w:rFonts w:hint="cs"/>
          <w:rtl/>
        </w:rPr>
        <w:t>’2‘</w:t>
      </w:r>
      <w:r w:rsidR="00E70375">
        <w:rPr>
          <w:rFonts w:hint="cs"/>
          <w:rtl/>
        </w:rPr>
        <w:tab/>
        <w:t>إقناع الزوج وأفراد الأسرة بدعم مشاركة المرأة سياسياً يقتضي بذل جهود كبيرة.</w:t>
      </w:r>
    </w:p>
    <w:p w:rsidR="00E70375" w:rsidRDefault="00EB5763" w:rsidP="0058501F">
      <w:pPr>
        <w:pStyle w:val="SingleTxt"/>
        <w:ind w:left="2592" w:hanging="1325"/>
        <w:rPr>
          <w:rFonts w:hint="cs"/>
          <w:rtl/>
        </w:rPr>
      </w:pPr>
      <w:r>
        <w:rPr>
          <w:rFonts w:hint="cs"/>
          <w:rtl/>
        </w:rPr>
        <w:tab/>
      </w:r>
      <w:r w:rsidR="00E70375">
        <w:rPr>
          <w:rFonts w:hint="cs"/>
          <w:rtl/>
        </w:rPr>
        <w:t>’3‘</w:t>
      </w:r>
      <w:r w:rsidR="00E70375">
        <w:rPr>
          <w:rFonts w:hint="cs"/>
          <w:rtl/>
        </w:rPr>
        <w:tab/>
        <w:t>القيود المالية أيضاً. في العادة، لا تملك المرأة موارد مالية كافية متاحة للحملة بيسر. وفي الواقع، كلما كانت لدى المرشح أموال أكثر كلما حصل على عدد أكبر من الأصوات.</w:t>
      </w:r>
    </w:p>
    <w:p w:rsidR="00E70375" w:rsidRDefault="00EB5763" w:rsidP="0058501F">
      <w:pPr>
        <w:pStyle w:val="SingleTxt"/>
        <w:ind w:left="2592" w:hanging="1325"/>
        <w:rPr>
          <w:rFonts w:hint="cs"/>
          <w:rtl/>
        </w:rPr>
      </w:pPr>
      <w:r>
        <w:rPr>
          <w:rFonts w:hint="cs"/>
          <w:rtl/>
        </w:rPr>
        <w:tab/>
      </w:r>
      <w:r w:rsidR="00E70375">
        <w:rPr>
          <w:rFonts w:hint="cs"/>
          <w:rtl/>
        </w:rPr>
        <w:t>’4‘</w:t>
      </w:r>
      <w:r w:rsidR="00E70375">
        <w:rPr>
          <w:rFonts w:hint="cs"/>
          <w:rtl/>
        </w:rPr>
        <w:tab/>
        <w:t>طبيعة الإدلاء بالأصوات تسهم أيضاً في تهميش المرأة. فالإدلاء بالأصوات في توفالو يستند بصورة أساسية إلى العلاقات والصلات الأسرية بدلاً من استناده إلى جدارة المرشحين. ويفاقم من هذه الحالة عدم وجود أحزاب سياسية يمكن أن تكون أداة لاتخاذ إجراء إيجابي من خلال تخصيص مقاعد مضمونة للمرأة.</w:t>
      </w:r>
    </w:p>
    <w:p w:rsidR="00E70375" w:rsidRDefault="00EB5763" w:rsidP="0058501F">
      <w:pPr>
        <w:pStyle w:val="SingleTxt"/>
        <w:ind w:left="2592" w:hanging="1325"/>
        <w:rPr>
          <w:rFonts w:hint="cs"/>
          <w:rtl/>
        </w:rPr>
      </w:pPr>
      <w:r>
        <w:rPr>
          <w:rFonts w:hint="cs"/>
          <w:rtl/>
        </w:rPr>
        <w:tab/>
      </w:r>
      <w:r w:rsidR="00E70375">
        <w:rPr>
          <w:rFonts w:hint="cs"/>
          <w:rtl/>
        </w:rPr>
        <w:t>’5‘</w:t>
      </w:r>
      <w:r w:rsidR="00E70375">
        <w:rPr>
          <w:rFonts w:hint="cs"/>
          <w:rtl/>
        </w:rPr>
        <w:tab/>
        <w:t>غالباً ما يعمل المرشح للانتخابات بصورة فردية، وفي بعض الحالات يعمل بالاشتراك مع مرشح زميل آخر من المرجح أن تربطه به صلة قرابة وثيقة من نفس مجموعة الناخبين. وهذه الممارسات أيضاً لا تشجع المرأة على التنافس في ضوء العدد القليل جداً من المرشحات.</w:t>
      </w:r>
    </w:p>
    <w:p w:rsidR="00E70375" w:rsidRDefault="00E70375" w:rsidP="00EB5763">
      <w:pPr>
        <w:pStyle w:val="SingleTxt"/>
        <w:rPr>
          <w:rFonts w:hint="cs"/>
          <w:rtl/>
        </w:rPr>
      </w:pPr>
      <w:r>
        <w:rPr>
          <w:rFonts w:hint="cs"/>
          <w:rtl/>
        </w:rPr>
        <w:tab/>
        <w:t>وكما يتضح من الجدول 7 أدناه، يلزم بذل مزيد من الجهود لتحسين تمثيل المرأة في البرلمان.</w:t>
      </w:r>
    </w:p>
    <w:p w:rsidR="0058501F" w:rsidRDefault="0058501F" w:rsidP="0058501F">
      <w:pPr>
        <w:jc w:val="center"/>
        <w:rPr>
          <w:rFonts w:hint="cs"/>
          <w:b/>
          <w:bCs/>
          <w:sz w:val="28"/>
          <w:szCs w:val="28"/>
          <w:rtl/>
        </w:rPr>
      </w:pPr>
      <w:r w:rsidRPr="00885153">
        <w:rPr>
          <w:rFonts w:hint="cs"/>
          <w:b/>
          <w:bCs/>
          <w:sz w:val="28"/>
          <w:szCs w:val="28"/>
          <w:rtl/>
        </w:rPr>
        <w:t>الجدول 7: تمثيل</w:t>
      </w:r>
      <w:r>
        <w:rPr>
          <w:rFonts w:hint="cs"/>
          <w:b/>
          <w:bCs/>
          <w:sz w:val="28"/>
          <w:szCs w:val="28"/>
          <w:rtl/>
        </w:rPr>
        <w:t xml:space="preserve"> المرأة في البرلمان، 1978- 2006</w:t>
      </w:r>
    </w:p>
    <w:p w:rsidR="0058501F" w:rsidRPr="00885153" w:rsidRDefault="0058501F" w:rsidP="0058501F">
      <w:pPr>
        <w:jc w:val="center"/>
        <w:rPr>
          <w:rFonts w:hint="cs"/>
          <w:b/>
          <w:bCs/>
          <w:sz w:val="28"/>
          <w:szCs w:val="28"/>
          <w:rtl/>
        </w:rPr>
      </w:pPr>
    </w:p>
    <w:tbl>
      <w:tblPr>
        <w:tblStyle w:val="TableGrid"/>
        <w:bidiVisual/>
        <w:tblW w:w="8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456"/>
        <w:gridCol w:w="1728"/>
        <w:gridCol w:w="1728"/>
        <w:gridCol w:w="1728"/>
      </w:tblGrid>
      <w:tr w:rsidR="0058501F" w:rsidRPr="0058501F">
        <w:trPr>
          <w:cantSplit/>
          <w:tblHeader/>
          <w:jc w:val="center"/>
        </w:trPr>
        <w:tc>
          <w:tcPr>
            <w:tcW w:w="1728" w:type="dxa"/>
            <w:tcBorders>
              <w:top w:val="single" w:sz="4" w:space="0" w:color="auto"/>
              <w:bottom w:val="single" w:sz="12" w:space="0" w:color="auto"/>
            </w:tcBorders>
            <w:shd w:val="clear" w:color="auto" w:fill="auto"/>
            <w:vAlign w:val="bottom"/>
          </w:tcPr>
          <w:p w:rsidR="0058501F" w:rsidRPr="0058501F" w:rsidRDefault="0058501F" w:rsidP="0058501F">
            <w:pPr>
              <w:spacing w:before="80" w:after="80" w:line="240" w:lineRule="exact"/>
              <w:jc w:val="center"/>
              <w:rPr>
                <w:rFonts w:cs="Traditional Arabic" w:hint="cs"/>
                <w:b/>
                <w:bCs/>
                <w:i/>
                <w:iCs/>
                <w:sz w:val="16"/>
                <w:szCs w:val="24"/>
                <w:rtl/>
              </w:rPr>
            </w:pPr>
            <w:r w:rsidRPr="0058501F">
              <w:rPr>
                <w:rFonts w:cs="Traditional Arabic" w:hint="cs"/>
                <w:b/>
                <w:bCs/>
                <w:i/>
                <w:iCs/>
                <w:sz w:val="16"/>
                <w:szCs w:val="24"/>
                <w:rtl/>
              </w:rPr>
              <w:t>السنة</w:t>
            </w:r>
          </w:p>
        </w:tc>
        <w:tc>
          <w:tcPr>
            <w:tcW w:w="864" w:type="dxa"/>
            <w:tcBorders>
              <w:top w:val="single" w:sz="4" w:space="0" w:color="auto"/>
              <w:bottom w:val="single" w:sz="12" w:space="0" w:color="auto"/>
            </w:tcBorders>
            <w:shd w:val="clear" w:color="auto" w:fill="auto"/>
            <w:vAlign w:val="bottom"/>
          </w:tcPr>
          <w:p w:rsidR="0058501F" w:rsidRPr="0058501F" w:rsidRDefault="0058501F" w:rsidP="0058501F">
            <w:pPr>
              <w:spacing w:before="80" w:after="80" w:line="240" w:lineRule="exact"/>
              <w:ind w:right="144"/>
              <w:jc w:val="lowKashida"/>
              <w:rPr>
                <w:rFonts w:cs="Traditional Arabic" w:hint="cs"/>
                <w:b/>
                <w:bCs/>
                <w:i/>
                <w:iCs/>
                <w:sz w:val="16"/>
                <w:szCs w:val="24"/>
                <w:rtl/>
              </w:rPr>
            </w:pPr>
            <w:r w:rsidRPr="0058501F">
              <w:rPr>
                <w:rFonts w:cs="Traditional Arabic" w:hint="cs"/>
                <w:b/>
                <w:bCs/>
                <w:i/>
                <w:iCs/>
                <w:sz w:val="16"/>
                <w:szCs w:val="24"/>
                <w:rtl/>
              </w:rPr>
              <w:t>ذكور</w:t>
            </w:r>
          </w:p>
        </w:tc>
        <w:tc>
          <w:tcPr>
            <w:tcW w:w="864" w:type="dxa"/>
            <w:tcBorders>
              <w:top w:val="single" w:sz="4" w:space="0" w:color="auto"/>
              <w:bottom w:val="single" w:sz="12" w:space="0" w:color="auto"/>
            </w:tcBorders>
            <w:shd w:val="clear" w:color="auto" w:fill="auto"/>
            <w:vAlign w:val="bottom"/>
          </w:tcPr>
          <w:p w:rsidR="0058501F" w:rsidRPr="0058501F" w:rsidRDefault="0058501F" w:rsidP="0058501F">
            <w:pPr>
              <w:spacing w:before="80" w:after="80" w:line="240" w:lineRule="exact"/>
              <w:ind w:right="144"/>
              <w:jc w:val="lowKashida"/>
              <w:rPr>
                <w:rFonts w:cs="Traditional Arabic" w:hint="cs"/>
                <w:b/>
                <w:bCs/>
                <w:i/>
                <w:iCs/>
                <w:sz w:val="16"/>
                <w:szCs w:val="24"/>
                <w:rtl/>
              </w:rPr>
            </w:pPr>
            <w:r w:rsidRPr="0058501F">
              <w:rPr>
                <w:rFonts w:cs="Traditional Arabic" w:hint="cs"/>
                <w:b/>
                <w:bCs/>
                <w:i/>
                <w:iCs/>
                <w:sz w:val="16"/>
                <w:szCs w:val="24"/>
                <w:rtl/>
              </w:rPr>
              <w:t>إناث</w:t>
            </w:r>
          </w:p>
        </w:tc>
        <w:tc>
          <w:tcPr>
            <w:tcW w:w="864" w:type="dxa"/>
            <w:tcBorders>
              <w:top w:val="single" w:sz="4" w:space="0" w:color="auto"/>
              <w:bottom w:val="single" w:sz="12" w:space="0" w:color="auto"/>
            </w:tcBorders>
            <w:shd w:val="clear" w:color="auto" w:fill="auto"/>
            <w:vAlign w:val="bottom"/>
          </w:tcPr>
          <w:p w:rsidR="0058501F" w:rsidRPr="0058501F" w:rsidRDefault="0058501F" w:rsidP="0058501F">
            <w:pPr>
              <w:spacing w:before="80" w:after="80" w:line="240" w:lineRule="exact"/>
              <w:ind w:right="144"/>
              <w:jc w:val="lowKashida"/>
              <w:rPr>
                <w:rFonts w:cs="Traditional Arabic" w:hint="cs"/>
                <w:b/>
                <w:bCs/>
                <w:i/>
                <w:iCs/>
                <w:sz w:val="16"/>
                <w:szCs w:val="24"/>
                <w:rtl/>
              </w:rPr>
            </w:pPr>
            <w:r w:rsidRPr="0058501F">
              <w:rPr>
                <w:rFonts w:cs="Traditional Arabic" w:hint="cs"/>
                <w:b/>
                <w:bCs/>
                <w:i/>
                <w:iCs/>
                <w:sz w:val="16"/>
                <w:szCs w:val="24"/>
                <w:rtl/>
              </w:rPr>
              <w:t>المجموع</w:t>
            </w:r>
          </w:p>
        </w:tc>
      </w:tr>
      <w:tr w:rsidR="0058501F" w:rsidRPr="0058501F">
        <w:trPr>
          <w:cantSplit/>
          <w:trHeight w:hRule="exact" w:val="115"/>
          <w:tblHeader/>
          <w:jc w:val="center"/>
        </w:trPr>
        <w:tc>
          <w:tcPr>
            <w:tcW w:w="1728" w:type="dxa"/>
            <w:tcBorders>
              <w:top w:val="single" w:sz="12" w:space="0" w:color="auto"/>
            </w:tcBorders>
            <w:shd w:val="clear" w:color="auto" w:fill="auto"/>
            <w:vAlign w:val="bottom"/>
          </w:tcPr>
          <w:p w:rsidR="0058501F" w:rsidRPr="0058501F" w:rsidRDefault="0058501F" w:rsidP="0058501F">
            <w:pPr>
              <w:spacing w:before="40" w:after="80" w:line="240" w:lineRule="exact"/>
              <w:rPr>
                <w:rFonts w:hint="cs"/>
                <w:sz w:val="16"/>
                <w:szCs w:val="24"/>
                <w:rtl/>
              </w:rPr>
            </w:pPr>
          </w:p>
        </w:tc>
        <w:tc>
          <w:tcPr>
            <w:tcW w:w="864" w:type="dxa"/>
            <w:tcBorders>
              <w:top w:val="single" w:sz="12" w:space="0" w:color="auto"/>
            </w:tcBorders>
            <w:shd w:val="clear" w:color="auto" w:fill="auto"/>
            <w:vAlign w:val="bottom"/>
          </w:tcPr>
          <w:p w:rsidR="0058501F" w:rsidRPr="0058501F" w:rsidRDefault="0058501F" w:rsidP="0058501F">
            <w:pPr>
              <w:spacing w:before="40" w:after="80" w:line="240" w:lineRule="exact"/>
              <w:ind w:right="144"/>
              <w:jc w:val="lowKashida"/>
              <w:rPr>
                <w:rFonts w:hint="cs"/>
                <w:sz w:val="16"/>
                <w:szCs w:val="24"/>
                <w:rtl/>
              </w:rPr>
            </w:pPr>
          </w:p>
        </w:tc>
        <w:tc>
          <w:tcPr>
            <w:tcW w:w="864" w:type="dxa"/>
            <w:tcBorders>
              <w:top w:val="single" w:sz="12" w:space="0" w:color="auto"/>
            </w:tcBorders>
            <w:shd w:val="clear" w:color="auto" w:fill="auto"/>
            <w:vAlign w:val="bottom"/>
          </w:tcPr>
          <w:p w:rsidR="0058501F" w:rsidRPr="0058501F" w:rsidRDefault="0058501F" w:rsidP="0058501F">
            <w:pPr>
              <w:spacing w:before="40" w:after="80" w:line="240" w:lineRule="exact"/>
              <w:ind w:right="144"/>
              <w:jc w:val="lowKashida"/>
              <w:rPr>
                <w:rFonts w:hint="cs"/>
                <w:sz w:val="16"/>
                <w:szCs w:val="24"/>
                <w:rtl/>
              </w:rPr>
            </w:pPr>
          </w:p>
        </w:tc>
        <w:tc>
          <w:tcPr>
            <w:tcW w:w="864" w:type="dxa"/>
            <w:tcBorders>
              <w:top w:val="single" w:sz="12" w:space="0" w:color="auto"/>
            </w:tcBorders>
            <w:shd w:val="clear" w:color="auto" w:fill="auto"/>
            <w:vAlign w:val="bottom"/>
          </w:tcPr>
          <w:p w:rsidR="0058501F" w:rsidRPr="0058501F" w:rsidRDefault="0058501F" w:rsidP="0058501F">
            <w:pPr>
              <w:spacing w:before="40" w:after="80" w:line="240" w:lineRule="exact"/>
              <w:ind w:right="144"/>
              <w:jc w:val="lowKashida"/>
              <w:rPr>
                <w:rFonts w:hint="cs"/>
                <w:sz w:val="16"/>
                <w:szCs w:val="24"/>
                <w:rtl/>
              </w:rPr>
            </w:pP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1978 </w:t>
            </w:r>
            <w:r w:rsidR="00084D51">
              <w:rPr>
                <w:rFonts w:cs="Traditional Arabic"/>
                <w:sz w:val="16"/>
                <w:szCs w:val="24"/>
                <w:rtl/>
              </w:rPr>
              <w:t>-</w:t>
            </w:r>
            <w:r w:rsidRPr="0058501F">
              <w:rPr>
                <w:rFonts w:cs="Traditional Arabic" w:hint="cs"/>
                <w:sz w:val="16"/>
                <w:szCs w:val="24"/>
                <w:rtl/>
              </w:rPr>
              <w:t xml:space="preserve"> 1981</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12</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صفر</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12</w:t>
            </w: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1982 </w:t>
            </w:r>
            <w:r w:rsidR="00084D51">
              <w:rPr>
                <w:rFonts w:cs="Traditional Arabic"/>
                <w:sz w:val="16"/>
                <w:szCs w:val="24"/>
                <w:rtl/>
              </w:rPr>
              <w:t>-</w:t>
            </w:r>
            <w:r w:rsidRPr="0058501F">
              <w:rPr>
                <w:rFonts w:cs="Traditional Arabic" w:hint="cs"/>
                <w:sz w:val="16"/>
                <w:szCs w:val="24"/>
                <w:rtl/>
              </w:rPr>
              <w:t xml:space="preserve"> 1985</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12</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صفر</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12</w:t>
            </w: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1986 </w:t>
            </w:r>
            <w:r w:rsidR="00084D51">
              <w:rPr>
                <w:rFonts w:cs="Traditional Arabic"/>
                <w:sz w:val="16"/>
                <w:szCs w:val="24"/>
                <w:rtl/>
              </w:rPr>
              <w:t>-</w:t>
            </w:r>
            <w:r w:rsidRPr="0058501F">
              <w:rPr>
                <w:rFonts w:cs="Traditional Arabic" w:hint="cs"/>
                <w:sz w:val="16"/>
                <w:szCs w:val="24"/>
                <w:rtl/>
              </w:rPr>
              <w:t xml:space="preserve"> 1989</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14</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1990 </w:t>
            </w:r>
            <w:r w:rsidR="00084D51">
              <w:rPr>
                <w:rFonts w:cs="Traditional Arabic"/>
                <w:sz w:val="16"/>
                <w:szCs w:val="24"/>
                <w:rtl/>
              </w:rPr>
              <w:t>-</w:t>
            </w:r>
            <w:r w:rsidRPr="0058501F">
              <w:rPr>
                <w:rFonts w:cs="Traditional Arabic" w:hint="cs"/>
                <w:sz w:val="16"/>
                <w:szCs w:val="24"/>
                <w:rtl/>
              </w:rPr>
              <w:t xml:space="preserve"> 1993</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14</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1994 </w:t>
            </w:r>
            <w:r w:rsidR="00084D51">
              <w:rPr>
                <w:rFonts w:cs="Traditional Arabic"/>
                <w:sz w:val="16"/>
                <w:szCs w:val="24"/>
                <w:rtl/>
              </w:rPr>
              <w:t>-</w:t>
            </w:r>
            <w:r w:rsidRPr="0058501F">
              <w:rPr>
                <w:rFonts w:cs="Traditional Arabic" w:hint="cs"/>
                <w:sz w:val="16"/>
                <w:szCs w:val="24"/>
                <w:rtl/>
              </w:rPr>
              <w:t xml:space="preserve"> 1997</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صفر</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1998 </w:t>
            </w:r>
            <w:r w:rsidR="00084D51">
              <w:rPr>
                <w:rFonts w:cs="Traditional Arabic"/>
                <w:sz w:val="16"/>
                <w:szCs w:val="24"/>
                <w:rtl/>
              </w:rPr>
              <w:t>-</w:t>
            </w:r>
            <w:r w:rsidRPr="0058501F">
              <w:rPr>
                <w:rFonts w:cs="Traditional Arabic" w:hint="cs"/>
                <w:sz w:val="16"/>
                <w:szCs w:val="24"/>
                <w:rtl/>
              </w:rPr>
              <w:t xml:space="preserve"> 2001 </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صفر</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r>
      <w:tr w:rsidR="0058501F" w:rsidRPr="0058501F">
        <w:trPr>
          <w:cantSplit/>
          <w:jc w:val="center"/>
        </w:trPr>
        <w:tc>
          <w:tcPr>
            <w:tcW w:w="1728" w:type="dxa"/>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2002 </w:t>
            </w:r>
            <w:r w:rsidR="00084D51">
              <w:rPr>
                <w:rFonts w:cs="Traditional Arabic"/>
                <w:sz w:val="16"/>
                <w:szCs w:val="24"/>
                <w:rtl/>
              </w:rPr>
              <w:t>-</w:t>
            </w:r>
            <w:r w:rsidRPr="0058501F">
              <w:rPr>
                <w:rFonts w:cs="Traditional Arabic" w:hint="cs"/>
                <w:sz w:val="16"/>
                <w:szCs w:val="24"/>
                <w:rtl/>
              </w:rPr>
              <w:t xml:space="preserve"> 2005</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صفر</w:t>
            </w:r>
          </w:p>
        </w:tc>
        <w:tc>
          <w:tcPr>
            <w:tcW w:w="864" w:type="dxa"/>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r>
      <w:tr w:rsidR="0058501F" w:rsidRPr="0058501F">
        <w:trPr>
          <w:cantSplit/>
          <w:jc w:val="center"/>
        </w:trPr>
        <w:tc>
          <w:tcPr>
            <w:tcW w:w="1728" w:type="dxa"/>
            <w:tcBorders>
              <w:bottom w:val="single" w:sz="12" w:space="0" w:color="auto"/>
            </w:tcBorders>
            <w:shd w:val="clear" w:color="auto" w:fill="auto"/>
            <w:vAlign w:val="bottom"/>
          </w:tcPr>
          <w:p w:rsidR="0058501F" w:rsidRPr="0058501F" w:rsidRDefault="0058501F" w:rsidP="0058501F">
            <w:pPr>
              <w:spacing w:before="40" w:after="80" w:line="240" w:lineRule="exact"/>
              <w:rPr>
                <w:rFonts w:cs="Traditional Arabic" w:hint="cs"/>
                <w:sz w:val="16"/>
                <w:szCs w:val="24"/>
                <w:rtl/>
              </w:rPr>
            </w:pPr>
            <w:r w:rsidRPr="0058501F">
              <w:rPr>
                <w:rFonts w:cs="Traditional Arabic" w:hint="cs"/>
                <w:sz w:val="16"/>
                <w:szCs w:val="24"/>
                <w:rtl/>
              </w:rPr>
              <w:t xml:space="preserve">2006 </w:t>
            </w:r>
            <w:r w:rsidR="00084D51">
              <w:rPr>
                <w:rFonts w:cs="Traditional Arabic"/>
                <w:sz w:val="16"/>
                <w:szCs w:val="24"/>
                <w:rtl/>
              </w:rPr>
              <w:t>-</w:t>
            </w:r>
            <w:r w:rsidRPr="0058501F">
              <w:rPr>
                <w:rFonts w:cs="Traditional Arabic" w:hint="cs"/>
                <w:sz w:val="16"/>
                <w:szCs w:val="24"/>
                <w:rtl/>
              </w:rPr>
              <w:t xml:space="preserve"> 2009</w:t>
            </w:r>
          </w:p>
        </w:tc>
        <w:tc>
          <w:tcPr>
            <w:tcW w:w="864" w:type="dxa"/>
            <w:tcBorders>
              <w:bottom w:val="single" w:sz="12" w:space="0" w:color="auto"/>
            </w:tcBorders>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c>
          <w:tcPr>
            <w:tcW w:w="864" w:type="dxa"/>
            <w:tcBorders>
              <w:bottom w:val="single" w:sz="12" w:space="0" w:color="auto"/>
            </w:tcBorders>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صفر</w:t>
            </w:r>
          </w:p>
        </w:tc>
        <w:tc>
          <w:tcPr>
            <w:tcW w:w="864" w:type="dxa"/>
            <w:tcBorders>
              <w:bottom w:val="single" w:sz="12" w:space="0" w:color="auto"/>
            </w:tcBorders>
            <w:shd w:val="clear" w:color="auto" w:fill="auto"/>
            <w:vAlign w:val="bottom"/>
          </w:tcPr>
          <w:p w:rsidR="0058501F" w:rsidRPr="0058501F" w:rsidRDefault="0058501F" w:rsidP="0058501F">
            <w:pPr>
              <w:spacing w:before="40" w:after="80" w:line="240" w:lineRule="exact"/>
              <w:ind w:right="144"/>
              <w:jc w:val="lowKashida"/>
              <w:rPr>
                <w:rFonts w:cs="Traditional Arabic" w:hint="cs"/>
                <w:sz w:val="16"/>
                <w:szCs w:val="24"/>
                <w:rtl/>
              </w:rPr>
            </w:pPr>
            <w:r w:rsidRPr="0058501F">
              <w:rPr>
                <w:rFonts w:cs="Traditional Arabic" w:hint="cs"/>
                <w:sz w:val="16"/>
                <w:szCs w:val="24"/>
                <w:rtl/>
              </w:rPr>
              <w:t>15</w:t>
            </w:r>
          </w:p>
        </w:tc>
      </w:tr>
    </w:tbl>
    <w:p w:rsidR="0058501F" w:rsidRPr="00F8637C" w:rsidRDefault="0058501F" w:rsidP="0058501F">
      <w:pPr>
        <w:ind w:left="1440" w:firstLine="10"/>
        <w:rPr>
          <w:rFonts w:hint="cs"/>
          <w:sz w:val="28"/>
          <w:szCs w:val="28"/>
          <w:rtl/>
        </w:rPr>
      </w:pPr>
      <w:r w:rsidRPr="00F8637C">
        <w:rPr>
          <w:rFonts w:hint="cs"/>
          <w:sz w:val="28"/>
          <w:szCs w:val="28"/>
          <w:rtl/>
        </w:rPr>
        <w:t>(المصدر: سجلات مكتب البرلمان، توفالو)</w:t>
      </w:r>
    </w:p>
    <w:p w:rsidR="0058501F" w:rsidRPr="0058501F" w:rsidRDefault="0058501F" w:rsidP="0058501F">
      <w:pPr>
        <w:spacing w:line="120" w:lineRule="exact"/>
        <w:rPr>
          <w:rFonts w:hint="cs"/>
          <w:sz w:val="10"/>
          <w:szCs w:val="32"/>
          <w:rtl/>
        </w:rPr>
      </w:pPr>
    </w:p>
    <w:p w:rsidR="0058501F" w:rsidRDefault="009E3840" w:rsidP="00AA522B">
      <w:pPr>
        <w:pStyle w:val="SingleTxt"/>
        <w:rPr>
          <w:rFonts w:hint="cs"/>
          <w:rtl/>
        </w:rPr>
      </w:pPr>
      <w:r>
        <w:rPr>
          <w:rFonts w:hint="cs"/>
          <w:rtl/>
        </w:rPr>
        <w:t>7-5</w:t>
      </w:r>
      <w:r>
        <w:rPr>
          <w:rFonts w:hint="cs"/>
          <w:rtl/>
        </w:rPr>
        <w:tab/>
      </w:r>
      <w:r w:rsidR="0058501F">
        <w:rPr>
          <w:rFonts w:hint="cs"/>
          <w:rtl/>
        </w:rPr>
        <w:t>يبين الجدول أعلاه أنه كان في البرلمان أثناء الفترة 1986</w:t>
      </w:r>
      <w:r w:rsidR="00AA522B">
        <w:rPr>
          <w:rFonts w:hint="cs"/>
          <w:rtl/>
        </w:rPr>
        <w:t>-</w:t>
      </w:r>
      <w:r w:rsidR="0058501F">
        <w:rPr>
          <w:rFonts w:hint="cs"/>
          <w:rtl/>
        </w:rPr>
        <w:t>1993 امرأة عضو واحدة فقط. وعينت السيدة نعام ماهيو لاتاسي، التي كانت تمثل الناخبين في جزيرة نانوميا، وزيرة للخدمات الصحية والتعليم وخدمات المجتمع أثناء أول فترة لها في البرلمان. وقد تمكنت السيدة لاتاسي، وهي ابنة سياسي بارز في نانوميا، من دخول البرلمان من خلال مشاركتها المكثفة في قضايا التنمية التي تهم الناخبين في دائرتها، ومن خلال عملها على النهوض بالمرأة في توفالو، وكذلك من خلال الدعم الهائل الذي لقيته من زوجها وأسرتها. وقد فازت بعضوية البرلمان مرتين متتاليتين</w:t>
      </w:r>
      <w:r w:rsidR="00AA522B" w:rsidRPr="00AA522B">
        <w:rPr>
          <w:vertAlign w:val="superscript"/>
          <w:rtl/>
        </w:rPr>
        <w:t>(</w:t>
      </w:r>
      <w:r w:rsidR="00AA522B">
        <w:rPr>
          <w:rStyle w:val="FootnoteReference"/>
          <w:rtl/>
        </w:rPr>
        <w:footnoteReference w:id="74"/>
      </w:r>
      <w:r w:rsidR="00AA522B" w:rsidRPr="00AA522B">
        <w:rPr>
          <w:vertAlign w:val="superscript"/>
          <w:rtl/>
        </w:rPr>
        <w:t>)</w:t>
      </w:r>
      <w:r w:rsidR="0058501F">
        <w:rPr>
          <w:rFonts w:hint="cs"/>
          <w:rtl/>
        </w:rPr>
        <w:t>.</w:t>
      </w:r>
      <w:r w:rsidR="00AA522B">
        <w:rPr>
          <w:rFonts w:hint="cs"/>
          <w:rtl/>
        </w:rPr>
        <w:t xml:space="preserve"> </w:t>
      </w:r>
      <w:r w:rsidR="0058501F">
        <w:rPr>
          <w:rFonts w:hint="cs"/>
          <w:rtl/>
        </w:rPr>
        <w:t>للأسف، لم تفز أي امرأة أخرى بعضوية البرلمان من خلال التصويت منذ ذلك الوقت، مع أن نساء ترشحن للمنافسة في انتخابات وطنية لاحقة. وفي عام 2002، ترشحت امرأتان، ولكنهما لم تنجحا. ومرة أخرى، ترشحت امرأتان في الانتخابات الأخيرة، المعقودة في آب/أغسطس 2006، ولكن لم تنجح أي منهما أيضاً.</w:t>
      </w:r>
    </w:p>
    <w:p w:rsidR="0058501F" w:rsidRDefault="0058501F" w:rsidP="0058501F">
      <w:pPr>
        <w:pStyle w:val="SingleTxt"/>
        <w:rPr>
          <w:rFonts w:hint="cs"/>
          <w:rtl/>
        </w:rPr>
      </w:pPr>
      <w:r>
        <w:rPr>
          <w:rFonts w:hint="cs"/>
          <w:rtl/>
        </w:rPr>
        <w:t>7-6- في شباط/ فبراير 2006، أذنت أمانة منتدى جزر الهادئ بإجراء بحث يتعلق بمشاركة المرأة سياسياً في توفالو. ومن بين الاستنتاجات التي جرى تحديدها:</w:t>
      </w:r>
    </w:p>
    <w:p w:rsidR="0058501F" w:rsidRDefault="009E3840" w:rsidP="009E3840">
      <w:pPr>
        <w:pStyle w:val="SingleTxt"/>
        <w:rPr>
          <w:rFonts w:hint="cs"/>
          <w:rtl/>
        </w:rPr>
      </w:pPr>
      <w:r>
        <w:rPr>
          <w:rFonts w:hint="cs"/>
          <w:rtl/>
        </w:rPr>
        <w:tab/>
        <w:t>(أ)</w:t>
      </w:r>
      <w:r>
        <w:rPr>
          <w:rFonts w:hint="cs"/>
          <w:rtl/>
        </w:rPr>
        <w:tab/>
      </w:r>
      <w:r w:rsidR="0058501F">
        <w:rPr>
          <w:rFonts w:hint="cs"/>
          <w:rtl/>
        </w:rPr>
        <w:t>تبين أن الهيكل الاجتماعي في توفالو وتقاليدها وثقافتها كانت العقبات الرئيسية أمام تقدم المرأة على الساحة السياسية؛</w:t>
      </w:r>
    </w:p>
    <w:p w:rsidR="0058501F" w:rsidRDefault="009E3840" w:rsidP="009E3840">
      <w:pPr>
        <w:pStyle w:val="SingleTxt"/>
        <w:rPr>
          <w:rFonts w:hint="cs"/>
          <w:rtl/>
        </w:rPr>
      </w:pPr>
      <w:r>
        <w:rPr>
          <w:rFonts w:hint="cs"/>
          <w:rtl/>
        </w:rPr>
        <w:tab/>
        <w:t>(ب)</w:t>
      </w:r>
      <w:r>
        <w:rPr>
          <w:rFonts w:hint="cs"/>
          <w:rtl/>
        </w:rPr>
        <w:tab/>
      </w:r>
      <w:r w:rsidR="0058501F">
        <w:rPr>
          <w:rFonts w:hint="cs"/>
          <w:rtl/>
        </w:rPr>
        <w:t>لا يفهم عدد كبير من الناس في توفالو ما توفره لهم قوانين الانتخابات التشريعية في توفالو بوصفهم ناخبين ومرشحين، وفهم الناس لنظام الانتخابات محدود جداً؛</w:t>
      </w:r>
    </w:p>
    <w:p w:rsidR="0058501F" w:rsidRDefault="009E3840" w:rsidP="009E3840">
      <w:pPr>
        <w:pStyle w:val="SingleTxt"/>
        <w:rPr>
          <w:rFonts w:hint="cs"/>
          <w:rtl/>
        </w:rPr>
      </w:pPr>
      <w:r>
        <w:rPr>
          <w:rFonts w:hint="cs"/>
          <w:rtl/>
        </w:rPr>
        <w:tab/>
        <w:t>(ج)</w:t>
      </w:r>
      <w:r>
        <w:rPr>
          <w:rFonts w:hint="cs"/>
          <w:rtl/>
        </w:rPr>
        <w:tab/>
      </w:r>
      <w:r w:rsidR="0058501F">
        <w:rPr>
          <w:rFonts w:hint="cs"/>
          <w:rtl/>
        </w:rPr>
        <w:t>افتقار المرأة إلى الثقة بأن بوسعها المشاركة في صنع القرارات. ويعزى هذا إلى انعدام التعليم الذي يعطيها الثقة بالتنافس في انتخابات عامة؛</w:t>
      </w:r>
    </w:p>
    <w:p w:rsidR="0058501F" w:rsidRDefault="009E3840" w:rsidP="009E3840">
      <w:pPr>
        <w:pStyle w:val="SingleTxt"/>
        <w:rPr>
          <w:rFonts w:hint="cs"/>
          <w:rtl/>
        </w:rPr>
      </w:pPr>
      <w:r>
        <w:rPr>
          <w:rFonts w:hint="cs"/>
          <w:rtl/>
        </w:rPr>
        <w:tab/>
        <w:t>(د)</w:t>
      </w:r>
      <w:r>
        <w:rPr>
          <w:rFonts w:hint="cs"/>
          <w:rtl/>
        </w:rPr>
        <w:tab/>
      </w:r>
      <w:r w:rsidR="0058501F">
        <w:rPr>
          <w:rFonts w:hint="cs"/>
          <w:rtl/>
        </w:rPr>
        <w:t>الافتقار إلى التمويل لمساعدة المرأة في حملتها الانتخابية (</w:t>
      </w:r>
      <w:r w:rsidR="008B1FB2">
        <w:rPr>
          <w:rFonts w:hint="cs"/>
          <w:rtl/>
        </w:rPr>
        <w:t>انظر</w:t>
      </w:r>
      <w:r w:rsidR="0058501F">
        <w:rPr>
          <w:rFonts w:hint="cs"/>
          <w:rtl/>
        </w:rPr>
        <w:t xml:space="preserve"> أمانة منتدى جزر الهادئ، عام 2006 </w:t>
      </w:r>
      <w:r w:rsidR="00084D51">
        <w:rPr>
          <w:rtl/>
        </w:rPr>
        <w:t>-</w:t>
      </w:r>
      <w:r w:rsidR="0058501F">
        <w:rPr>
          <w:rFonts w:hint="cs"/>
          <w:rtl/>
        </w:rPr>
        <w:t xml:space="preserve"> ص. 250 من النص الأصلي).</w:t>
      </w:r>
    </w:p>
    <w:p w:rsidR="009E3840" w:rsidRPr="009E3840" w:rsidRDefault="009E3840" w:rsidP="009E3840">
      <w:pPr>
        <w:spacing w:line="120" w:lineRule="exact"/>
        <w:ind w:left="360"/>
        <w:rPr>
          <w:rFonts w:hint="cs"/>
          <w:sz w:val="10"/>
          <w:szCs w:val="32"/>
          <w:rtl/>
        </w:rPr>
      </w:pPr>
    </w:p>
    <w:p w:rsidR="0058501F" w:rsidRPr="008135D9" w:rsidRDefault="009E3840" w:rsidP="009E38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8135D9">
        <w:rPr>
          <w:rFonts w:hint="cs"/>
          <w:rtl/>
        </w:rPr>
        <w:t xml:space="preserve">صنع القرارات </w:t>
      </w:r>
      <w:r w:rsidR="0058501F">
        <w:rPr>
          <w:rFonts w:hint="cs"/>
          <w:rtl/>
        </w:rPr>
        <w:t>على صعيد</w:t>
      </w:r>
      <w:r w:rsidR="0058501F" w:rsidRPr="008135D9">
        <w:rPr>
          <w:rFonts w:hint="cs"/>
          <w:rtl/>
        </w:rPr>
        <w:t xml:space="preserve"> الحكومة</w:t>
      </w:r>
    </w:p>
    <w:p w:rsidR="0058501F" w:rsidRDefault="009E3840" w:rsidP="009E3840">
      <w:pPr>
        <w:pStyle w:val="SingleTxt"/>
        <w:rPr>
          <w:rFonts w:hint="cs"/>
          <w:rtl/>
        </w:rPr>
      </w:pPr>
      <w:r>
        <w:rPr>
          <w:rFonts w:hint="cs"/>
          <w:rtl/>
        </w:rPr>
        <w:t>7-7</w:t>
      </w:r>
      <w:r>
        <w:rPr>
          <w:rFonts w:hint="cs"/>
          <w:rtl/>
        </w:rPr>
        <w:tab/>
      </w:r>
      <w:r w:rsidR="0058501F">
        <w:rPr>
          <w:rFonts w:hint="cs"/>
          <w:rtl/>
        </w:rPr>
        <w:t>توجد 885 وظيفة في قطاع الخدمة العامة في توفالو، تشغل المرأة منها  351 وظيفة ويشغل الرجل 433 وظيفة، في حين لا تزال 101 وظيفة شاغرة. ومن بين الوظائف التي كانت مشغولة في عام 2006، شغلت النساء 22.22 في المائة من الوظائف العليا، بينما شغل الرجال غالبية هذه الوظائف (77.78 في المائة). وكما يتضح من الجدول 7، كانت هذه النسبة متسقة على مدى السنوات الخمس الماضية.</w:t>
      </w:r>
    </w:p>
    <w:p w:rsidR="0058501F" w:rsidRDefault="0058501F" w:rsidP="009E38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885153">
        <w:rPr>
          <w:rFonts w:hint="cs"/>
          <w:rtl/>
        </w:rPr>
        <w:t xml:space="preserve">الجدول 8: الوظائف العليا التي </w:t>
      </w:r>
      <w:r>
        <w:rPr>
          <w:rFonts w:hint="cs"/>
          <w:rtl/>
        </w:rPr>
        <w:t>شغلها الرجال والنساء</w:t>
      </w:r>
      <w:r w:rsidR="009E3840">
        <w:rPr>
          <w:rFonts w:hint="cs"/>
          <w:rtl/>
        </w:rPr>
        <w:t xml:space="preserve"> </w:t>
      </w:r>
      <w:r w:rsidRPr="00885153">
        <w:rPr>
          <w:rFonts w:hint="cs"/>
          <w:rtl/>
        </w:rPr>
        <w:t>في الحكومة</w:t>
      </w:r>
      <w:r>
        <w:rPr>
          <w:rFonts w:hint="cs"/>
          <w:rtl/>
        </w:rPr>
        <w:t xml:space="preserve"> والشركات، 2002 - 2006</w:t>
      </w:r>
    </w:p>
    <w:p w:rsidR="009E3840" w:rsidRPr="009E3840" w:rsidRDefault="009E3840" w:rsidP="009E3840">
      <w:pPr>
        <w:spacing w:line="120" w:lineRule="exact"/>
        <w:rPr>
          <w:rFonts w:hint="cs"/>
          <w:sz w:val="10"/>
          <w:rtl/>
        </w:rPr>
      </w:pPr>
    </w:p>
    <w:tbl>
      <w:tblPr>
        <w:tblStyle w:val="TableGrid"/>
        <w:bidiVisual/>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20"/>
        <w:gridCol w:w="788"/>
        <w:gridCol w:w="767"/>
        <w:gridCol w:w="767"/>
        <w:gridCol w:w="766"/>
        <w:gridCol w:w="766"/>
        <w:gridCol w:w="766"/>
        <w:gridCol w:w="766"/>
        <w:gridCol w:w="766"/>
        <w:gridCol w:w="766"/>
        <w:gridCol w:w="766"/>
      </w:tblGrid>
      <w:tr w:rsidR="009E3840" w:rsidRPr="009E3840">
        <w:trPr>
          <w:cantSplit/>
          <w:tblHeader/>
          <w:jc w:val="center"/>
        </w:trPr>
        <w:tc>
          <w:tcPr>
            <w:tcW w:w="1709" w:type="dxa"/>
            <w:tcBorders>
              <w:top w:val="single" w:sz="4" w:space="0" w:color="auto"/>
            </w:tcBorders>
            <w:shd w:val="clear" w:color="auto" w:fill="auto"/>
            <w:vAlign w:val="bottom"/>
          </w:tcPr>
          <w:p w:rsidR="009E3840" w:rsidRPr="009E3840" w:rsidRDefault="009E3840" w:rsidP="009E3840">
            <w:pPr>
              <w:spacing w:before="80" w:after="80" w:line="240" w:lineRule="exact"/>
              <w:rPr>
                <w:rFonts w:cs="Traditional Arabic" w:hint="cs"/>
                <w:b/>
                <w:bCs/>
                <w:i/>
                <w:iCs/>
                <w:sz w:val="16"/>
                <w:szCs w:val="24"/>
                <w:rtl/>
              </w:rPr>
            </w:pPr>
          </w:p>
        </w:tc>
        <w:tc>
          <w:tcPr>
            <w:tcW w:w="1459" w:type="dxa"/>
            <w:gridSpan w:val="2"/>
            <w:tcBorders>
              <w:top w:val="single" w:sz="4" w:space="0" w:color="auto"/>
              <w:bottom w:val="single" w:sz="4" w:space="0" w:color="auto"/>
            </w:tcBorders>
            <w:shd w:val="clear" w:color="auto" w:fill="auto"/>
            <w:vAlign w:val="bottom"/>
          </w:tcPr>
          <w:p w:rsidR="009E3840" w:rsidRPr="009E3840" w:rsidRDefault="009E3840" w:rsidP="009E384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2002</w:t>
            </w:r>
          </w:p>
        </w:tc>
        <w:tc>
          <w:tcPr>
            <w:tcW w:w="1440" w:type="dxa"/>
            <w:gridSpan w:val="2"/>
            <w:tcBorders>
              <w:top w:val="single" w:sz="4" w:space="0" w:color="auto"/>
              <w:bottom w:val="single" w:sz="4" w:space="0" w:color="auto"/>
            </w:tcBorders>
            <w:shd w:val="clear" w:color="auto" w:fill="auto"/>
            <w:vAlign w:val="bottom"/>
          </w:tcPr>
          <w:p w:rsidR="009E3840" w:rsidRPr="009E3840" w:rsidRDefault="009E3840" w:rsidP="009E384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2003</w:t>
            </w:r>
          </w:p>
        </w:tc>
        <w:tc>
          <w:tcPr>
            <w:tcW w:w="1440" w:type="dxa"/>
            <w:gridSpan w:val="2"/>
            <w:tcBorders>
              <w:top w:val="single" w:sz="4" w:space="0" w:color="auto"/>
              <w:bottom w:val="single" w:sz="4" w:space="0" w:color="auto"/>
            </w:tcBorders>
            <w:shd w:val="clear" w:color="auto" w:fill="auto"/>
            <w:vAlign w:val="bottom"/>
          </w:tcPr>
          <w:p w:rsidR="009E3840" w:rsidRPr="009E3840" w:rsidRDefault="009E3840" w:rsidP="009E384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2004</w:t>
            </w:r>
          </w:p>
        </w:tc>
        <w:tc>
          <w:tcPr>
            <w:tcW w:w="1440" w:type="dxa"/>
            <w:gridSpan w:val="2"/>
            <w:tcBorders>
              <w:top w:val="single" w:sz="4" w:space="0" w:color="auto"/>
              <w:bottom w:val="single" w:sz="4" w:space="0" w:color="auto"/>
            </w:tcBorders>
            <w:shd w:val="clear" w:color="auto" w:fill="auto"/>
            <w:vAlign w:val="bottom"/>
          </w:tcPr>
          <w:p w:rsidR="009E3840" w:rsidRPr="009E3840" w:rsidRDefault="009E3840" w:rsidP="009E384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2005</w:t>
            </w:r>
          </w:p>
        </w:tc>
        <w:tc>
          <w:tcPr>
            <w:tcW w:w="1440" w:type="dxa"/>
            <w:gridSpan w:val="2"/>
            <w:tcBorders>
              <w:top w:val="single" w:sz="4" w:space="0" w:color="auto"/>
              <w:bottom w:val="single" w:sz="4" w:space="0" w:color="auto"/>
            </w:tcBorders>
            <w:shd w:val="clear" w:color="auto" w:fill="auto"/>
            <w:vAlign w:val="bottom"/>
          </w:tcPr>
          <w:p w:rsidR="009E3840" w:rsidRPr="009E3840" w:rsidRDefault="009E3840" w:rsidP="009E384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2006</w:t>
            </w:r>
          </w:p>
        </w:tc>
      </w:tr>
      <w:tr w:rsidR="0058501F" w:rsidRPr="009E3840">
        <w:trPr>
          <w:cantSplit/>
          <w:tblHeader/>
          <w:jc w:val="center"/>
        </w:trPr>
        <w:tc>
          <w:tcPr>
            <w:tcW w:w="1709" w:type="dxa"/>
            <w:tcBorders>
              <w:bottom w:val="single" w:sz="12" w:space="0" w:color="auto"/>
            </w:tcBorders>
            <w:shd w:val="clear" w:color="auto" w:fill="auto"/>
            <w:vAlign w:val="bottom"/>
          </w:tcPr>
          <w:p w:rsidR="0058501F" w:rsidRPr="009E3840" w:rsidRDefault="0058501F" w:rsidP="009E3840">
            <w:pPr>
              <w:spacing w:after="80" w:line="240" w:lineRule="exact"/>
              <w:rPr>
                <w:rFonts w:cs="Traditional Arabic" w:hint="cs"/>
                <w:b/>
                <w:bCs/>
                <w:i/>
                <w:iCs/>
                <w:sz w:val="16"/>
                <w:szCs w:val="24"/>
                <w:rtl/>
              </w:rPr>
            </w:pPr>
            <w:r w:rsidRPr="009E3840">
              <w:rPr>
                <w:rFonts w:cs="Traditional Arabic" w:hint="cs"/>
                <w:b/>
                <w:bCs/>
                <w:i/>
                <w:iCs/>
                <w:sz w:val="16"/>
                <w:szCs w:val="24"/>
                <w:rtl/>
              </w:rPr>
              <w:t>الحكومة</w:t>
            </w:r>
          </w:p>
        </w:tc>
        <w:tc>
          <w:tcPr>
            <w:tcW w:w="739"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20" w:type="dxa"/>
            <w:tcBorders>
              <w:top w:val="single" w:sz="4" w:space="0" w:color="auto"/>
              <w:bottom w:val="single" w:sz="12" w:space="0" w:color="auto"/>
            </w:tcBorders>
            <w:shd w:val="clear" w:color="auto" w:fill="auto"/>
            <w:vAlign w:val="bottom"/>
          </w:tcPr>
          <w:p w:rsidR="0058501F" w:rsidRPr="009E3840" w:rsidRDefault="0058501F"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r>
      <w:tr w:rsidR="009E3840" w:rsidRPr="009E3840">
        <w:trPr>
          <w:cantSplit/>
          <w:trHeight w:hRule="exact" w:val="115"/>
          <w:tblHeader/>
          <w:jc w:val="center"/>
        </w:trPr>
        <w:tc>
          <w:tcPr>
            <w:tcW w:w="1709" w:type="dxa"/>
            <w:tcBorders>
              <w:top w:val="single" w:sz="12" w:space="0" w:color="auto"/>
            </w:tcBorders>
            <w:shd w:val="clear" w:color="auto" w:fill="auto"/>
            <w:vAlign w:val="bottom"/>
          </w:tcPr>
          <w:p w:rsidR="009E3840" w:rsidRPr="009E3840" w:rsidRDefault="009E3840" w:rsidP="009E3840">
            <w:pPr>
              <w:spacing w:before="40" w:after="80" w:line="240" w:lineRule="exact"/>
              <w:rPr>
                <w:rFonts w:hint="cs"/>
                <w:sz w:val="16"/>
                <w:szCs w:val="24"/>
                <w:rtl/>
              </w:rPr>
            </w:pPr>
          </w:p>
        </w:tc>
        <w:tc>
          <w:tcPr>
            <w:tcW w:w="739"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r>
      <w:tr w:rsidR="0058501F" w:rsidRPr="009E3840">
        <w:trPr>
          <w:cantSplit/>
          <w:jc w:val="center"/>
        </w:trPr>
        <w:tc>
          <w:tcPr>
            <w:tcW w:w="1709"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أمناء دائمون</w:t>
            </w:r>
          </w:p>
        </w:tc>
        <w:tc>
          <w:tcPr>
            <w:tcW w:w="739"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r>
      <w:tr w:rsidR="0058501F" w:rsidRPr="009E3840">
        <w:trPr>
          <w:cantSplit/>
          <w:jc w:val="center"/>
        </w:trPr>
        <w:tc>
          <w:tcPr>
            <w:tcW w:w="1709"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كبار مساعدي الأمناء</w:t>
            </w:r>
          </w:p>
        </w:tc>
        <w:tc>
          <w:tcPr>
            <w:tcW w:w="739"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r>
      <w:tr w:rsidR="0058501F" w:rsidRPr="009E3840">
        <w:trPr>
          <w:cantSplit/>
          <w:jc w:val="center"/>
        </w:trPr>
        <w:tc>
          <w:tcPr>
            <w:tcW w:w="1709"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مساعدو الأمناء</w:t>
            </w:r>
          </w:p>
        </w:tc>
        <w:tc>
          <w:tcPr>
            <w:tcW w:w="739"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10</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2</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9</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9</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9</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9</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r>
      <w:tr w:rsidR="0058501F" w:rsidRPr="009E3840">
        <w:trPr>
          <w:cantSplit/>
          <w:jc w:val="center"/>
        </w:trPr>
        <w:tc>
          <w:tcPr>
            <w:tcW w:w="1709"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مديرون</w:t>
            </w:r>
          </w:p>
        </w:tc>
        <w:tc>
          <w:tcPr>
            <w:tcW w:w="739"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13</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صفر</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12</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12</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12</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12</w:t>
            </w:r>
          </w:p>
        </w:tc>
        <w:tc>
          <w:tcPr>
            <w:tcW w:w="720" w:type="dxa"/>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r>
      <w:tr w:rsidR="0058501F" w:rsidRPr="009E3840">
        <w:trPr>
          <w:cantSplit/>
          <w:jc w:val="center"/>
        </w:trPr>
        <w:tc>
          <w:tcPr>
            <w:tcW w:w="1709" w:type="dxa"/>
            <w:tcBorders>
              <w:bottom w:val="single" w:sz="12" w:space="0" w:color="auto"/>
            </w:tcBorders>
            <w:shd w:val="clear" w:color="auto" w:fill="auto"/>
            <w:vAlign w:val="bottom"/>
          </w:tcPr>
          <w:p w:rsidR="0058501F" w:rsidRPr="009E3840" w:rsidRDefault="0058501F" w:rsidP="009E3840">
            <w:pPr>
              <w:spacing w:before="40" w:after="80" w:line="240" w:lineRule="exact"/>
              <w:rPr>
                <w:rFonts w:cs="Traditional Arabic" w:hint="cs"/>
                <w:b/>
                <w:bCs/>
                <w:sz w:val="16"/>
                <w:szCs w:val="24"/>
                <w:rtl/>
              </w:rPr>
            </w:pPr>
            <w:r w:rsidRPr="009E3840">
              <w:rPr>
                <w:rFonts w:cs="Traditional Arabic" w:hint="cs"/>
                <w:b/>
                <w:bCs/>
                <w:sz w:val="16"/>
                <w:szCs w:val="24"/>
                <w:rtl/>
              </w:rPr>
              <w:t>المجموع</w:t>
            </w:r>
          </w:p>
        </w:tc>
        <w:tc>
          <w:tcPr>
            <w:tcW w:w="739"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38</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36</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6</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36</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6</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36</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8</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36</w:t>
            </w:r>
          </w:p>
        </w:tc>
        <w:tc>
          <w:tcPr>
            <w:tcW w:w="720" w:type="dxa"/>
            <w:tcBorders>
              <w:bottom w:val="single" w:sz="12" w:space="0" w:color="auto"/>
            </w:tcBorders>
            <w:shd w:val="clear" w:color="auto" w:fill="auto"/>
            <w:vAlign w:val="bottom"/>
          </w:tcPr>
          <w:p w:rsidR="0058501F" w:rsidRPr="009E3840" w:rsidRDefault="0058501F"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8</w:t>
            </w:r>
          </w:p>
        </w:tc>
      </w:tr>
    </w:tbl>
    <w:p w:rsidR="0058501F" w:rsidRPr="00885153" w:rsidRDefault="009E3840" w:rsidP="0058501F">
      <w:pPr>
        <w:rPr>
          <w:rFonts w:hint="cs"/>
          <w:sz w:val="28"/>
          <w:szCs w:val="28"/>
          <w:rtl/>
        </w:rPr>
      </w:pPr>
      <w:r>
        <w:rPr>
          <w:rFonts w:hint="cs"/>
          <w:sz w:val="28"/>
          <w:szCs w:val="28"/>
          <w:rtl/>
        </w:rPr>
        <w:tab/>
      </w:r>
      <w:r w:rsidR="0058501F" w:rsidRPr="00885153">
        <w:rPr>
          <w:rFonts w:hint="cs"/>
          <w:sz w:val="28"/>
          <w:szCs w:val="28"/>
          <w:rtl/>
        </w:rPr>
        <w:t xml:space="preserve">(المصدر: قائمة الموظفين المدنيين في توفالو، الفترة 2002 </w:t>
      </w:r>
      <w:r w:rsidR="00084D51">
        <w:rPr>
          <w:sz w:val="28"/>
          <w:szCs w:val="28"/>
          <w:rtl/>
        </w:rPr>
        <w:t>-</w:t>
      </w:r>
      <w:r w:rsidR="0058501F" w:rsidRPr="00885153">
        <w:rPr>
          <w:rFonts w:hint="cs"/>
          <w:sz w:val="28"/>
          <w:szCs w:val="28"/>
          <w:rtl/>
        </w:rPr>
        <w:t xml:space="preserve"> 2004، والسجلات الرسمية لإدارة شؤون الموظفين والتدريب)</w:t>
      </w:r>
    </w:p>
    <w:p w:rsidR="009E3840" w:rsidRPr="009E3840" w:rsidRDefault="009E3840" w:rsidP="009E3840">
      <w:pPr>
        <w:spacing w:line="120" w:lineRule="exact"/>
        <w:rPr>
          <w:rFonts w:hint="cs"/>
          <w:sz w:val="10"/>
          <w:szCs w:val="32"/>
          <w:rtl/>
        </w:rPr>
      </w:pPr>
    </w:p>
    <w:p w:rsidR="0058501F" w:rsidRDefault="0058501F" w:rsidP="009E3840">
      <w:pPr>
        <w:pStyle w:val="SingleTxt"/>
        <w:rPr>
          <w:rFonts w:hint="cs"/>
          <w:rtl/>
        </w:rPr>
      </w:pPr>
      <w:r>
        <w:rPr>
          <w:rFonts w:hint="cs"/>
          <w:rtl/>
        </w:rPr>
        <w:tab/>
        <w:t>في قطاع الشركات والشركات النظامية كليهما، باستثناء المنظمات غير الحكومية، يسيطر الرجال على الوظائف من فئة مدير عام في جميع هذه الكيانات كما يتضح من الجدول 9 أدناه.</w:t>
      </w:r>
    </w:p>
    <w:p w:rsidR="009E3840" w:rsidRPr="009E3840" w:rsidRDefault="009E3840" w:rsidP="009E3840">
      <w:pPr>
        <w:spacing w:line="120" w:lineRule="exact"/>
        <w:rPr>
          <w:rFonts w:hint="cs"/>
          <w:sz w:val="10"/>
          <w:szCs w:val="32"/>
          <w:rtl/>
        </w:rPr>
      </w:pPr>
    </w:p>
    <w:p w:rsidR="0058501F" w:rsidRDefault="009E3840" w:rsidP="009E38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sz w:val="32"/>
          <w:szCs w:val="32"/>
          <w:rtl/>
        </w:rPr>
        <w:br w:type="page"/>
      </w:r>
      <w:r w:rsidR="0058501F" w:rsidRPr="003531DA">
        <w:rPr>
          <w:rFonts w:hint="cs"/>
          <w:sz w:val="32"/>
          <w:szCs w:val="32"/>
          <w:rtl/>
        </w:rPr>
        <w:t>ا</w:t>
      </w:r>
      <w:r w:rsidR="0058501F" w:rsidRPr="00885153">
        <w:rPr>
          <w:rFonts w:hint="cs"/>
          <w:rtl/>
        </w:rPr>
        <w:t xml:space="preserve">لجدول 9: </w:t>
      </w:r>
      <w:r w:rsidR="0058501F">
        <w:rPr>
          <w:rFonts w:hint="cs"/>
          <w:rtl/>
        </w:rPr>
        <w:t xml:space="preserve">تمثيل المرأة في </w:t>
      </w:r>
      <w:r w:rsidR="0058501F" w:rsidRPr="00885153">
        <w:rPr>
          <w:rFonts w:hint="cs"/>
          <w:rtl/>
        </w:rPr>
        <w:t>شركات</w:t>
      </w:r>
      <w:r w:rsidR="0058501F">
        <w:rPr>
          <w:rFonts w:hint="cs"/>
          <w:rtl/>
        </w:rPr>
        <w:t xml:space="preserve"> القطاعين، </w:t>
      </w:r>
      <w:r w:rsidR="0058501F" w:rsidRPr="00885153">
        <w:rPr>
          <w:rFonts w:hint="cs"/>
          <w:rtl/>
        </w:rPr>
        <w:t>لخاص والعام</w:t>
      </w:r>
      <w:r w:rsidR="0058501F">
        <w:rPr>
          <w:rFonts w:hint="cs"/>
          <w:rtl/>
        </w:rPr>
        <w:t xml:space="preserve">، 2002 </w:t>
      </w:r>
      <w:r w:rsidR="00084D51">
        <w:rPr>
          <w:rtl/>
        </w:rPr>
        <w:t>-</w:t>
      </w:r>
      <w:r w:rsidR="0058501F">
        <w:rPr>
          <w:rFonts w:hint="cs"/>
          <w:rtl/>
        </w:rPr>
        <w:t xml:space="preserve"> 2006</w:t>
      </w:r>
    </w:p>
    <w:p w:rsidR="009E3840" w:rsidRPr="009E3840" w:rsidRDefault="009E3840" w:rsidP="009E3840">
      <w:pPr>
        <w:spacing w:line="120" w:lineRule="exact"/>
        <w:rPr>
          <w:rFonts w:hint="cs"/>
          <w:sz w:val="10"/>
          <w:rtl/>
        </w:rPr>
      </w:pPr>
    </w:p>
    <w:tbl>
      <w:tblPr>
        <w:tblStyle w:val="TableGrid"/>
        <w:bidiVisual/>
        <w:tblW w:w="97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40"/>
        <w:gridCol w:w="767"/>
        <w:gridCol w:w="767"/>
        <w:gridCol w:w="767"/>
        <w:gridCol w:w="767"/>
        <w:gridCol w:w="766"/>
        <w:gridCol w:w="693"/>
        <w:gridCol w:w="800"/>
        <w:gridCol w:w="677"/>
        <w:gridCol w:w="960"/>
        <w:gridCol w:w="960"/>
      </w:tblGrid>
      <w:tr w:rsidR="009E3840" w:rsidRPr="009E3840">
        <w:trPr>
          <w:cantSplit/>
          <w:tblHeader/>
          <w:jc w:val="center"/>
        </w:trPr>
        <w:tc>
          <w:tcPr>
            <w:tcW w:w="1840" w:type="dxa"/>
            <w:tcBorders>
              <w:top w:val="single" w:sz="4" w:space="0" w:color="auto"/>
            </w:tcBorders>
            <w:shd w:val="clear" w:color="auto" w:fill="auto"/>
            <w:vAlign w:val="bottom"/>
          </w:tcPr>
          <w:p w:rsidR="009E3840" w:rsidRPr="009E3840" w:rsidRDefault="009E3840" w:rsidP="009E3840">
            <w:pPr>
              <w:spacing w:before="80" w:after="80" w:line="240" w:lineRule="exact"/>
              <w:rPr>
                <w:rFonts w:cs="Traditional Arabic" w:hint="cs"/>
                <w:b/>
                <w:bCs/>
                <w:i/>
                <w:iCs/>
                <w:sz w:val="16"/>
                <w:szCs w:val="24"/>
                <w:rtl/>
              </w:rPr>
            </w:pPr>
          </w:p>
        </w:tc>
        <w:tc>
          <w:tcPr>
            <w:tcW w:w="1534" w:type="dxa"/>
            <w:gridSpan w:val="2"/>
            <w:tcBorders>
              <w:top w:val="single" w:sz="4" w:space="0" w:color="auto"/>
              <w:bottom w:val="single" w:sz="4" w:space="0" w:color="auto"/>
            </w:tcBorders>
            <w:shd w:val="clear" w:color="auto" w:fill="auto"/>
            <w:vAlign w:val="bottom"/>
          </w:tcPr>
          <w:p w:rsidR="009E3840" w:rsidRPr="009E3840" w:rsidRDefault="009E3840" w:rsidP="008938D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2002</w:t>
            </w:r>
          </w:p>
        </w:tc>
        <w:tc>
          <w:tcPr>
            <w:tcW w:w="1534" w:type="dxa"/>
            <w:gridSpan w:val="2"/>
            <w:tcBorders>
              <w:top w:val="single" w:sz="4" w:space="0" w:color="auto"/>
              <w:bottom w:val="single" w:sz="4" w:space="0" w:color="auto"/>
            </w:tcBorders>
            <w:shd w:val="clear" w:color="auto" w:fill="auto"/>
            <w:vAlign w:val="bottom"/>
          </w:tcPr>
          <w:p w:rsidR="009E3840" w:rsidRPr="009E3840" w:rsidRDefault="009E3840" w:rsidP="008938D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2003</w:t>
            </w:r>
          </w:p>
        </w:tc>
        <w:tc>
          <w:tcPr>
            <w:tcW w:w="1459" w:type="dxa"/>
            <w:gridSpan w:val="2"/>
            <w:tcBorders>
              <w:top w:val="single" w:sz="4" w:space="0" w:color="auto"/>
              <w:bottom w:val="single" w:sz="4" w:space="0" w:color="auto"/>
            </w:tcBorders>
            <w:shd w:val="clear" w:color="auto" w:fill="auto"/>
            <w:vAlign w:val="bottom"/>
          </w:tcPr>
          <w:p w:rsidR="009E3840" w:rsidRPr="009E3840" w:rsidRDefault="009E3840" w:rsidP="008938D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2004</w:t>
            </w:r>
          </w:p>
        </w:tc>
        <w:tc>
          <w:tcPr>
            <w:tcW w:w="1477" w:type="dxa"/>
            <w:gridSpan w:val="2"/>
            <w:tcBorders>
              <w:top w:val="single" w:sz="4" w:space="0" w:color="auto"/>
              <w:bottom w:val="single" w:sz="4" w:space="0" w:color="auto"/>
            </w:tcBorders>
            <w:shd w:val="clear" w:color="auto" w:fill="auto"/>
            <w:vAlign w:val="bottom"/>
          </w:tcPr>
          <w:p w:rsidR="009E3840" w:rsidRPr="009E3840" w:rsidRDefault="009E3840" w:rsidP="008938D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2005</w:t>
            </w:r>
          </w:p>
        </w:tc>
        <w:tc>
          <w:tcPr>
            <w:tcW w:w="1920" w:type="dxa"/>
            <w:gridSpan w:val="2"/>
            <w:tcBorders>
              <w:top w:val="single" w:sz="4" w:space="0" w:color="auto"/>
              <w:bottom w:val="single" w:sz="4" w:space="0" w:color="auto"/>
            </w:tcBorders>
            <w:shd w:val="clear" w:color="auto" w:fill="auto"/>
            <w:vAlign w:val="bottom"/>
          </w:tcPr>
          <w:p w:rsidR="009E3840" w:rsidRPr="009E3840" w:rsidRDefault="009E3840" w:rsidP="008938D0">
            <w:pPr>
              <w:spacing w:before="80" w:after="80" w:line="240" w:lineRule="exact"/>
              <w:ind w:right="144"/>
              <w:jc w:val="lowKashida"/>
              <w:rPr>
                <w:rFonts w:cs="Traditional Arabic" w:hint="cs"/>
                <w:b/>
                <w:bCs/>
                <w:i/>
                <w:iCs/>
                <w:sz w:val="16"/>
                <w:szCs w:val="24"/>
                <w:rtl/>
              </w:rPr>
            </w:pPr>
            <w:r>
              <w:rPr>
                <w:rFonts w:cs="Traditional Arabic" w:hint="cs"/>
                <w:b/>
                <w:bCs/>
                <w:i/>
                <w:iCs/>
                <w:sz w:val="16"/>
                <w:szCs w:val="24"/>
                <w:rtl/>
              </w:rPr>
              <w:t>عام 2006</w:t>
            </w:r>
          </w:p>
        </w:tc>
      </w:tr>
      <w:tr w:rsidR="009E3840" w:rsidRPr="009E3840">
        <w:trPr>
          <w:cantSplit/>
          <w:tblHeader/>
          <w:jc w:val="center"/>
        </w:trPr>
        <w:tc>
          <w:tcPr>
            <w:tcW w:w="1840" w:type="dxa"/>
            <w:tcBorders>
              <w:bottom w:val="single" w:sz="12" w:space="0" w:color="auto"/>
            </w:tcBorders>
            <w:shd w:val="clear" w:color="auto" w:fill="auto"/>
            <w:vAlign w:val="bottom"/>
          </w:tcPr>
          <w:p w:rsidR="009E3840" w:rsidRPr="009E3840" w:rsidRDefault="009E3840" w:rsidP="009E3840">
            <w:pPr>
              <w:spacing w:after="80" w:line="240" w:lineRule="exact"/>
              <w:rPr>
                <w:rFonts w:cs="Traditional Arabic" w:hint="cs"/>
                <w:b/>
                <w:bCs/>
                <w:i/>
                <w:iCs/>
                <w:sz w:val="16"/>
                <w:szCs w:val="24"/>
                <w:rtl/>
              </w:rPr>
            </w:pPr>
            <w:r w:rsidRPr="009E3840">
              <w:rPr>
                <w:rFonts w:cs="Traditional Arabic" w:hint="cs"/>
                <w:b/>
                <w:bCs/>
                <w:i/>
                <w:iCs/>
                <w:sz w:val="16"/>
                <w:szCs w:val="24"/>
                <w:rtl/>
              </w:rPr>
              <w:t>الحكومة</w:t>
            </w:r>
          </w:p>
        </w:tc>
        <w:tc>
          <w:tcPr>
            <w:tcW w:w="767"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67"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767"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767"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766"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693"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800"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677"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960"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960" w:type="dxa"/>
            <w:tcBorders>
              <w:top w:val="single" w:sz="4" w:space="0" w:color="auto"/>
              <w:bottom w:val="single" w:sz="12" w:space="0" w:color="auto"/>
            </w:tcBorders>
            <w:shd w:val="clear" w:color="auto" w:fill="auto"/>
            <w:vAlign w:val="bottom"/>
          </w:tcPr>
          <w:p w:rsidR="009E3840" w:rsidRPr="009E3840" w:rsidRDefault="009E3840" w:rsidP="009E3840">
            <w:pPr>
              <w:spacing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r>
      <w:tr w:rsidR="009E3840" w:rsidRPr="009E3840">
        <w:trPr>
          <w:cantSplit/>
          <w:trHeight w:hRule="exact" w:val="115"/>
          <w:tblHeader/>
          <w:jc w:val="center"/>
        </w:trPr>
        <w:tc>
          <w:tcPr>
            <w:tcW w:w="1840" w:type="dxa"/>
            <w:tcBorders>
              <w:top w:val="single" w:sz="12" w:space="0" w:color="auto"/>
            </w:tcBorders>
            <w:shd w:val="clear" w:color="auto" w:fill="auto"/>
            <w:vAlign w:val="bottom"/>
          </w:tcPr>
          <w:p w:rsidR="009E3840" w:rsidRPr="009E3840" w:rsidRDefault="009E3840" w:rsidP="009E3840">
            <w:pPr>
              <w:spacing w:before="40" w:after="80" w:line="240" w:lineRule="exact"/>
              <w:rPr>
                <w:rFonts w:hint="cs"/>
                <w:sz w:val="16"/>
                <w:szCs w:val="24"/>
                <w:rtl/>
              </w:rPr>
            </w:pPr>
          </w:p>
        </w:tc>
        <w:tc>
          <w:tcPr>
            <w:tcW w:w="767"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67"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67"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67"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766"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693"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80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677"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96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c>
          <w:tcPr>
            <w:tcW w:w="960" w:type="dxa"/>
            <w:tcBorders>
              <w:top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hint="cs"/>
                <w:sz w:val="16"/>
                <w:szCs w:val="24"/>
                <w:rtl/>
              </w:rPr>
            </w:pPr>
          </w:p>
        </w:tc>
      </w:tr>
      <w:tr w:rsidR="009E3840" w:rsidRPr="009E3840">
        <w:trPr>
          <w:cantSplit/>
          <w:jc w:val="center"/>
        </w:trPr>
        <w:tc>
          <w:tcPr>
            <w:tcW w:w="1840" w:type="dxa"/>
            <w:shd w:val="clear" w:color="auto" w:fill="auto"/>
            <w:vAlign w:val="bottom"/>
          </w:tcPr>
          <w:p w:rsidR="009E3840" w:rsidRPr="009E3840" w:rsidRDefault="009E3840" w:rsidP="009E3840">
            <w:pPr>
              <w:spacing w:before="40" w:after="80" w:line="240" w:lineRule="exact"/>
              <w:rPr>
                <w:rFonts w:cs="Traditional Arabic" w:hint="cs"/>
                <w:sz w:val="16"/>
                <w:szCs w:val="24"/>
                <w:rtl/>
              </w:rPr>
            </w:pPr>
            <w:r w:rsidRPr="009E3840">
              <w:rPr>
                <w:rFonts w:cs="Traditional Arabic" w:hint="cs"/>
                <w:sz w:val="16"/>
                <w:szCs w:val="24"/>
                <w:rtl/>
              </w:rPr>
              <w:t>مدراء عامون</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12</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10</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766"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10</w:t>
            </w:r>
          </w:p>
        </w:tc>
        <w:tc>
          <w:tcPr>
            <w:tcW w:w="693"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w:t>
            </w:r>
          </w:p>
        </w:tc>
        <w:tc>
          <w:tcPr>
            <w:tcW w:w="800"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10</w:t>
            </w:r>
          </w:p>
        </w:tc>
        <w:tc>
          <w:tcPr>
            <w:tcW w:w="67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2</w:t>
            </w:r>
          </w:p>
        </w:tc>
        <w:tc>
          <w:tcPr>
            <w:tcW w:w="960" w:type="dxa"/>
            <w:shd w:val="clear" w:color="auto" w:fill="auto"/>
            <w:vAlign w:val="bottom"/>
          </w:tcPr>
          <w:p w:rsidR="009E3840" w:rsidRPr="009E3840" w:rsidRDefault="009E3840" w:rsidP="009E3840">
            <w:pPr>
              <w:spacing w:before="40" w:after="80" w:line="240" w:lineRule="exact"/>
              <w:ind w:right="144"/>
              <w:jc w:val="lowKashida"/>
              <w:rPr>
                <w:rFonts w:cs="Traditional Arabic" w:hint="cs"/>
                <w:w w:val="100"/>
                <w:sz w:val="16"/>
                <w:szCs w:val="24"/>
                <w:rtl/>
              </w:rPr>
            </w:pPr>
            <w:r w:rsidRPr="009E3840">
              <w:rPr>
                <w:rFonts w:cs="Traditional Arabic" w:hint="cs"/>
                <w:w w:val="100"/>
                <w:sz w:val="16"/>
                <w:szCs w:val="24"/>
                <w:rtl/>
              </w:rPr>
              <w:t>10</w:t>
            </w:r>
          </w:p>
          <w:p w:rsidR="009E3840" w:rsidRPr="009E3840" w:rsidRDefault="009E3840" w:rsidP="009E3840">
            <w:pPr>
              <w:spacing w:before="40" w:after="80" w:line="240" w:lineRule="exact"/>
              <w:ind w:right="144"/>
              <w:jc w:val="lowKashida"/>
              <w:rPr>
                <w:rFonts w:cs="Traditional Arabic" w:hint="cs"/>
                <w:w w:val="100"/>
                <w:sz w:val="16"/>
                <w:szCs w:val="24"/>
                <w:rtl/>
              </w:rPr>
            </w:pPr>
            <w:r w:rsidRPr="009E3840">
              <w:rPr>
                <w:rFonts w:cs="Traditional Arabic" w:hint="cs"/>
                <w:w w:val="100"/>
                <w:sz w:val="16"/>
                <w:szCs w:val="24"/>
                <w:rtl/>
              </w:rPr>
              <w:t>(80%)</w:t>
            </w:r>
          </w:p>
        </w:tc>
        <w:tc>
          <w:tcPr>
            <w:tcW w:w="960" w:type="dxa"/>
            <w:shd w:val="clear" w:color="auto" w:fill="auto"/>
            <w:vAlign w:val="bottom"/>
          </w:tcPr>
          <w:p w:rsidR="009E3840" w:rsidRPr="009E3840" w:rsidRDefault="009E3840" w:rsidP="009E3840">
            <w:pPr>
              <w:spacing w:before="40" w:after="80" w:line="240" w:lineRule="exact"/>
              <w:ind w:right="144"/>
              <w:jc w:val="lowKashida"/>
              <w:rPr>
                <w:rFonts w:cs="Traditional Arabic" w:hint="cs"/>
                <w:w w:val="100"/>
                <w:sz w:val="16"/>
                <w:szCs w:val="24"/>
                <w:rtl/>
              </w:rPr>
            </w:pPr>
            <w:r w:rsidRPr="009E3840">
              <w:rPr>
                <w:rFonts w:cs="Traditional Arabic" w:hint="cs"/>
                <w:w w:val="100"/>
                <w:sz w:val="16"/>
                <w:szCs w:val="24"/>
                <w:rtl/>
              </w:rPr>
              <w:t>2</w:t>
            </w:r>
          </w:p>
          <w:p w:rsidR="009E3840" w:rsidRPr="009E3840" w:rsidRDefault="009E3840" w:rsidP="009E3840">
            <w:pPr>
              <w:spacing w:before="40" w:after="80" w:line="240" w:lineRule="exact"/>
              <w:ind w:right="144"/>
              <w:jc w:val="lowKashida"/>
              <w:rPr>
                <w:rFonts w:cs="Traditional Arabic" w:hint="cs"/>
                <w:w w:val="100"/>
                <w:sz w:val="16"/>
                <w:szCs w:val="24"/>
                <w:rtl/>
              </w:rPr>
            </w:pPr>
            <w:r w:rsidRPr="009E3840">
              <w:rPr>
                <w:rFonts w:cs="Traditional Arabic" w:hint="cs"/>
                <w:w w:val="100"/>
                <w:sz w:val="16"/>
                <w:szCs w:val="24"/>
                <w:rtl/>
              </w:rPr>
              <w:t>(20%)</w:t>
            </w:r>
          </w:p>
        </w:tc>
      </w:tr>
      <w:tr w:rsidR="009E3840" w:rsidRPr="009E3840">
        <w:trPr>
          <w:cantSplit/>
          <w:jc w:val="center"/>
        </w:trPr>
        <w:tc>
          <w:tcPr>
            <w:tcW w:w="1840" w:type="dxa"/>
            <w:shd w:val="clear" w:color="auto" w:fill="auto"/>
            <w:vAlign w:val="bottom"/>
          </w:tcPr>
          <w:p w:rsidR="009E3840" w:rsidRPr="009E3840" w:rsidRDefault="009E3840" w:rsidP="009E3840">
            <w:pPr>
              <w:spacing w:before="40" w:after="80" w:line="240" w:lineRule="exact"/>
              <w:jc w:val="lowKashida"/>
              <w:rPr>
                <w:rFonts w:cs="Traditional Arabic" w:hint="cs"/>
                <w:sz w:val="16"/>
                <w:szCs w:val="24"/>
                <w:rtl/>
              </w:rPr>
            </w:pPr>
            <w:r w:rsidRPr="009E3840">
              <w:rPr>
                <w:rFonts w:cs="Traditional Arabic" w:hint="cs"/>
                <w:sz w:val="16"/>
                <w:szCs w:val="24"/>
                <w:rtl/>
              </w:rPr>
              <w:t>منسقون تنفيذيون (منظمات غير حكومية)</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76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766"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693"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800"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677"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c>
          <w:tcPr>
            <w:tcW w:w="960"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3</w:t>
            </w:r>
          </w:p>
        </w:tc>
        <w:tc>
          <w:tcPr>
            <w:tcW w:w="960" w:type="dxa"/>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4</w:t>
            </w:r>
          </w:p>
        </w:tc>
      </w:tr>
      <w:tr w:rsidR="009E3840" w:rsidRPr="009E3840">
        <w:trPr>
          <w:cantSplit/>
          <w:jc w:val="center"/>
        </w:trPr>
        <w:tc>
          <w:tcPr>
            <w:tcW w:w="1840" w:type="dxa"/>
            <w:tcBorders>
              <w:bottom w:val="single" w:sz="12" w:space="0" w:color="auto"/>
            </w:tcBorders>
            <w:shd w:val="clear" w:color="auto" w:fill="auto"/>
            <w:vAlign w:val="bottom"/>
          </w:tcPr>
          <w:p w:rsidR="009E3840" w:rsidRPr="009E3840" w:rsidRDefault="009E3840" w:rsidP="009E3840">
            <w:pPr>
              <w:spacing w:before="40" w:after="80" w:line="240" w:lineRule="exact"/>
              <w:rPr>
                <w:rFonts w:cs="Traditional Arabic" w:hint="cs"/>
                <w:b/>
                <w:bCs/>
                <w:sz w:val="16"/>
                <w:szCs w:val="24"/>
                <w:rtl/>
              </w:rPr>
            </w:pPr>
            <w:r w:rsidRPr="009E3840">
              <w:rPr>
                <w:rFonts w:cs="Traditional Arabic" w:hint="cs"/>
                <w:b/>
                <w:bCs/>
                <w:sz w:val="16"/>
                <w:szCs w:val="24"/>
                <w:rtl/>
              </w:rPr>
              <w:t>المجموع</w:t>
            </w:r>
          </w:p>
        </w:tc>
        <w:tc>
          <w:tcPr>
            <w:tcW w:w="767"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15</w:t>
            </w:r>
          </w:p>
        </w:tc>
        <w:tc>
          <w:tcPr>
            <w:tcW w:w="767"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5</w:t>
            </w:r>
          </w:p>
        </w:tc>
        <w:tc>
          <w:tcPr>
            <w:tcW w:w="767"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13</w:t>
            </w:r>
          </w:p>
        </w:tc>
        <w:tc>
          <w:tcPr>
            <w:tcW w:w="767"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5</w:t>
            </w:r>
          </w:p>
        </w:tc>
        <w:tc>
          <w:tcPr>
            <w:tcW w:w="766"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13</w:t>
            </w:r>
          </w:p>
        </w:tc>
        <w:tc>
          <w:tcPr>
            <w:tcW w:w="693"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5</w:t>
            </w:r>
          </w:p>
        </w:tc>
        <w:tc>
          <w:tcPr>
            <w:tcW w:w="800"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13</w:t>
            </w:r>
          </w:p>
        </w:tc>
        <w:tc>
          <w:tcPr>
            <w:tcW w:w="677"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6</w:t>
            </w:r>
          </w:p>
        </w:tc>
        <w:tc>
          <w:tcPr>
            <w:tcW w:w="960"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13</w:t>
            </w:r>
          </w:p>
        </w:tc>
        <w:tc>
          <w:tcPr>
            <w:tcW w:w="960" w:type="dxa"/>
            <w:tcBorders>
              <w:bottom w:val="single" w:sz="12" w:space="0" w:color="auto"/>
            </w:tcBorders>
            <w:shd w:val="clear" w:color="auto" w:fill="auto"/>
            <w:vAlign w:val="bottom"/>
          </w:tcPr>
          <w:p w:rsidR="009E3840" w:rsidRPr="009E3840" w:rsidRDefault="009E3840" w:rsidP="009E3840">
            <w:pPr>
              <w:spacing w:before="40" w:after="80" w:line="240" w:lineRule="exact"/>
              <w:ind w:right="144"/>
              <w:jc w:val="lowKashida"/>
              <w:rPr>
                <w:rFonts w:cs="Traditional Arabic" w:hint="cs"/>
                <w:sz w:val="16"/>
                <w:szCs w:val="24"/>
                <w:rtl/>
              </w:rPr>
            </w:pPr>
            <w:r w:rsidRPr="009E3840">
              <w:rPr>
                <w:rFonts w:cs="Traditional Arabic" w:hint="cs"/>
                <w:sz w:val="16"/>
                <w:szCs w:val="24"/>
                <w:rtl/>
              </w:rPr>
              <w:t>6</w:t>
            </w:r>
          </w:p>
        </w:tc>
      </w:tr>
    </w:tbl>
    <w:p w:rsidR="0058501F" w:rsidRPr="00F3241C" w:rsidRDefault="0058501F" w:rsidP="0058501F">
      <w:pPr>
        <w:rPr>
          <w:rFonts w:hint="cs"/>
          <w:sz w:val="26"/>
          <w:szCs w:val="26"/>
          <w:rtl/>
        </w:rPr>
      </w:pPr>
      <w:r w:rsidRPr="00F3241C">
        <w:rPr>
          <w:rFonts w:hint="cs"/>
          <w:sz w:val="26"/>
          <w:szCs w:val="26"/>
          <w:rtl/>
        </w:rPr>
        <w:t xml:space="preserve">(المصدر: قائمة الموظفين المدنيين في توفالو، الفترة 2002 </w:t>
      </w:r>
      <w:r w:rsidR="00084D51" w:rsidRPr="00F3241C">
        <w:rPr>
          <w:sz w:val="26"/>
          <w:szCs w:val="26"/>
          <w:rtl/>
        </w:rPr>
        <w:t>-</w:t>
      </w:r>
      <w:r w:rsidRPr="00F3241C">
        <w:rPr>
          <w:rFonts w:hint="cs"/>
          <w:sz w:val="26"/>
          <w:szCs w:val="26"/>
          <w:rtl/>
        </w:rPr>
        <w:t xml:space="preserve"> 2004، والسجلات الرسمية لإدارة شؤون الموظفين والتدريب)</w:t>
      </w:r>
      <w:r w:rsidR="00F3241C">
        <w:rPr>
          <w:rFonts w:hint="cs"/>
          <w:sz w:val="26"/>
          <w:szCs w:val="26"/>
          <w:rtl/>
        </w:rPr>
        <w:t>.</w:t>
      </w:r>
    </w:p>
    <w:p w:rsidR="009E3840" w:rsidRPr="009E3840" w:rsidRDefault="009E3840" w:rsidP="009E3840">
      <w:pPr>
        <w:spacing w:line="120" w:lineRule="exact"/>
        <w:rPr>
          <w:rFonts w:hint="cs"/>
          <w:sz w:val="10"/>
          <w:szCs w:val="32"/>
          <w:rtl/>
        </w:rPr>
      </w:pPr>
    </w:p>
    <w:p w:rsidR="0058501F" w:rsidRDefault="009E3840" w:rsidP="009E3840">
      <w:pPr>
        <w:pStyle w:val="SingleTxt"/>
        <w:rPr>
          <w:rFonts w:hint="cs"/>
          <w:rtl/>
        </w:rPr>
      </w:pPr>
      <w:r>
        <w:rPr>
          <w:rFonts w:hint="cs"/>
          <w:rtl/>
        </w:rPr>
        <w:t>7-8</w:t>
      </w:r>
      <w:r>
        <w:rPr>
          <w:rFonts w:hint="cs"/>
          <w:rtl/>
        </w:rPr>
        <w:tab/>
      </w:r>
      <w:r w:rsidR="0058501F">
        <w:rPr>
          <w:rFonts w:hint="cs"/>
          <w:rtl/>
        </w:rPr>
        <w:t>وظيفة مدير عام في كل من هذه الشركات يشغلها الرجل بصورة مهيمنة، حيث يشغل الرجال 80 في المائة من هذه الوظائف وتشغل المرأة 20 في المائة.</w:t>
      </w:r>
    </w:p>
    <w:p w:rsidR="0058501F" w:rsidRDefault="009E3840" w:rsidP="009E3840">
      <w:pPr>
        <w:pStyle w:val="SingleTxt"/>
        <w:rPr>
          <w:rFonts w:hint="cs"/>
          <w:rtl/>
        </w:rPr>
      </w:pPr>
      <w:r>
        <w:rPr>
          <w:rFonts w:hint="cs"/>
          <w:rtl/>
        </w:rPr>
        <w:t>7-9</w:t>
      </w:r>
      <w:r>
        <w:rPr>
          <w:rFonts w:hint="cs"/>
          <w:rtl/>
        </w:rPr>
        <w:tab/>
      </w:r>
      <w:r w:rsidR="0058501F">
        <w:rPr>
          <w:rFonts w:hint="cs"/>
          <w:rtl/>
        </w:rPr>
        <w:t>مجالس الإدارة النظامية هي مجالس الإدارة التي تعين بموجب قوانين تشريعية محددة للإشراف على مهام كيانات أنشئت بموجب قوانين تشريعية.</w:t>
      </w:r>
    </w:p>
    <w:p w:rsidR="0058501F" w:rsidRDefault="009E3840" w:rsidP="009E3840">
      <w:pPr>
        <w:pStyle w:val="SingleTxt"/>
        <w:rPr>
          <w:rFonts w:hint="cs"/>
          <w:rtl/>
        </w:rPr>
      </w:pPr>
      <w:r>
        <w:rPr>
          <w:rFonts w:hint="cs"/>
          <w:rtl/>
        </w:rPr>
        <w:t>7-10</w:t>
      </w:r>
      <w:r>
        <w:rPr>
          <w:rFonts w:hint="cs"/>
          <w:rtl/>
        </w:rPr>
        <w:tab/>
      </w:r>
      <w:r w:rsidR="0058501F">
        <w:rPr>
          <w:rFonts w:hint="cs"/>
          <w:rtl/>
        </w:rPr>
        <w:t>تبين تفاصيل عضوية هذه المجالس بتشكيلها المبين</w:t>
      </w:r>
      <w:r>
        <w:rPr>
          <w:rFonts w:hint="cs"/>
          <w:rtl/>
        </w:rPr>
        <w:t xml:space="preserve"> أدناه أن المرأة لا تشغل سوى 11</w:t>
      </w:r>
      <w:r>
        <w:rPr>
          <w:rFonts w:hint="eastAsia"/>
          <w:rtl/>
        </w:rPr>
        <w:t> </w:t>
      </w:r>
      <w:r w:rsidR="0058501F">
        <w:rPr>
          <w:rFonts w:hint="cs"/>
          <w:rtl/>
        </w:rPr>
        <w:t>في المائة من عضوية هذه المجالس بينما يشغل الرجل 89 في المائة من عضويتها. والمرأة غير مرئية إلا في خمسة مجالس إدارة من بين 11 مجلس إدارة. والمرأة غائبة تماماً من كيانات هامة مثل مصرف توفالو للتنمية و</w:t>
      </w:r>
      <w:r w:rsidR="0058501F" w:rsidRPr="003F4C2F">
        <w:rPr>
          <w:rFonts w:hint="cs"/>
          <w:rtl/>
        </w:rPr>
        <w:t xml:space="preserve"> </w:t>
      </w:r>
      <w:r w:rsidR="0058501F">
        <w:rPr>
          <w:rFonts w:hint="cs"/>
          <w:rtl/>
        </w:rPr>
        <w:t>مصرف توفالو الوطني وجمعية توفالو التعاونية وشركة كهرباء توفالو وشركة الاتصالات السلكية واللاسلكية التوفالية.</w:t>
      </w:r>
    </w:p>
    <w:p w:rsidR="009E3840" w:rsidRPr="009E3840" w:rsidRDefault="009E3840" w:rsidP="009E38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58501F" w:rsidRDefault="009E3840" w:rsidP="009E38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Pr>
          <w:rFonts w:hint="cs"/>
          <w:rtl/>
        </w:rPr>
        <w:tab/>
      </w:r>
      <w:r w:rsidR="0058501F" w:rsidRPr="00885153">
        <w:rPr>
          <w:rFonts w:hint="cs"/>
          <w:rtl/>
        </w:rPr>
        <w:t>الجدول 10: عضوية مجالس الإدارة النظامية</w:t>
      </w:r>
    </w:p>
    <w:p w:rsidR="009E3840" w:rsidRPr="009E3840" w:rsidRDefault="009E3840" w:rsidP="009E3840">
      <w:pPr>
        <w:spacing w:line="120" w:lineRule="exact"/>
        <w:jc w:val="center"/>
        <w:rPr>
          <w:rFonts w:hint="cs"/>
          <w:b/>
          <w:bCs/>
          <w:sz w:val="10"/>
          <w:szCs w:val="28"/>
          <w:rtl/>
        </w:rPr>
      </w:pPr>
    </w:p>
    <w:tbl>
      <w:tblPr>
        <w:tblStyle w:val="TableGrid"/>
        <w:bidiVisual/>
        <w:tblW w:w="0" w:type="auto"/>
        <w:jc w:val="center"/>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65"/>
        <w:gridCol w:w="4500"/>
        <w:gridCol w:w="1215"/>
        <w:gridCol w:w="1260"/>
        <w:gridCol w:w="990"/>
      </w:tblGrid>
      <w:tr w:rsidR="0058501F" w:rsidRPr="009E3840">
        <w:trPr>
          <w:cantSplit/>
          <w:tblHeader/>
          <w:jc w:val="center"/>
        </w:trPr>
        <w:tc>
          <w:tcPr>
            <w:tcW w:w="765" w:type="dxa"/>
            <w:tcBorders>
              <w:top w:val="single" w:sz="4" w:space="0" w:color="auto"/>
              <w:bottom w:val="single" w:sz="12" w:space="0" w:color="auto"/>
            </w:tcBorders>
            <w:shd w:val="clear" w:color="auto" w:fill="auto"/>
            <w:vAlign w:val="bottom"/>
          </w:tcPr>
          <w:p w:rsidR="0058501F" w:rsidRPr="009E3840" w:rsidRDefault="0058501F" w:rsidP="009E3840">
            <w:pPr>
              <w:spacing w:before="80" w:after="80" w:line="240" w:lineRule="exact"/>
              <w:rPr>
                <w:rFonts w:cs="Traditional Arabic" w:hint="cs"/>
                <w:i/>
                <w:iCs/>
                <w:sz w:val="16"/>
                <w:szCs w:val="24"/>
                <w:rtl/>
              </w:rPr>
            </w:pPr>
          </w:p>
        </w:tc>
        <w:tc>
          <w:tcPr>
            <w:tcW w:w="4500" w:type="dxa"/>
            <w:tcBorders>
              <w:top w:val="single" w:sz="4" w:space="0" w:color="auto"/>
              <w:bottom w:val="single" w:sz="12" w:space="0" w:color="auto"/>
            </w:tcBorders>
            <w:shd w:val="clear" w:color="auto" w:fill="auto"/>
            <w:vAlign w:val="bottom"/>
          </w:tcPr>
          <w:p w:rsidR="0058501F" w:rsidRPr="009E3840" w:rsidRDefault="0058501F" w:rsidP="009E3840">
            <w:pPr>
              <w:spacing w:before="80"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مجالس الإدارة النظامية</w:t>
            </w:r>
          </w:p>
        </w:tc>
        <w:tc>
          <w:tcPr>
            <w:tcW w:w="1215" w:type="dxa"/>
            <w:tcBorders>
              <w:top w:val="single" w:sz="4" w:space="0" w:color="auto"/>
              <w:bottom w:val="single" w:sz="12" w:space="0" w:color="auto"/>
            </w:tcBorders>
            <w:shd w:val="clear" w:color="auto" w:fill="auto"/>
            <w:vAlign w:val="bottom"/>
          </w:tcPr>
          <w:p w:rsidR="0058501F" w:rsidRPr="009E3840" w:rsidRDefault="0058501F" w:rsidP="009E3840">
            <w:pPr>
              <w:spacing w:before="80"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إناث</w:t>
            </w:r>
          </w:p>
        </w:tc>
        <w:tc>
          <w:tcPr>
            <w:tcW w:w="1260" w:type="dxa"/>
            <w:tcBorders>
              <w:top w:val="single" w:sz="4" w:space="0" w:color="auto"/>
              <w:bottom w:val="single" w:sz="12" w:space="0" w:color="auto"/>
            </w:tcBorders>
            <w:shd w:val="clear" w:color="auto" w:fill="auto"/>
            <w:vAlign w:val="bottom"/>
          </w:tcPr>
          <w:p w:rsidR="0058501F" w:rsidRPr="009E3840" w:rsidRDefault="0058501F" w:rsidP="009E3840">
            <w:pPr>
              <w:spacing w:before="80"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ذكور</w:t>
            </w:r>
          </w:p>
        </w:tc>
        <w:tc>
          <w:tcPr>
            <w:tcW w:w="990" w:type="dxa"/>
            <w:tcBorders>
              <w:top w:val="single" w:sz="4" w:space="0" w:color="auto"/>
              <w:bottom w:val="single" w:sz="12" w:space="0" w:color="auto"/>
            </w:tcBorders>
            <w:shd w:val="clear" w:color="auto" w:fill="auto"/>
            <w:vAlign w:val="bottom"/>
          </w:tcPr>
          <w:p w:rsidR="0058501F" w:rsidRPr="009E3840" w:rsidRDefault="0058501F" w:rsidP="009E3840">
            <w:pPr>
              <w:spacing w:before="80" w:after="80" w:line="240" w:lineRule="exact"/>
              <w:ind w:right="144"/>
              <w:jc w:val="lowKashida"/>
              <w:rPr>
                <w:rFonts w:cs="Traditional Arabic" w:hint="cs"/>
                <w:b/>
                <w:bCs/>
                <w:i/>
                <w:iCs/>
                <w:sz w:val="16"/>
                <w:szCs w:val="24"/>
                <w:rtl/>
              </w:rPr>
            </w:pPr>
            <w:r w:rsidRPr="009E3840">
              <w:rPr>
                <w:rFonts w:cs="Traditional Arabic" w:hint="cs"/>
                <w:b/>
                <w:bCs/>
                <w:i/>
                <w:iCs/>
                <w:sz w:val="16"/>
                <w:szCs w:val="24"/>
                <w:rtl/>
              </w:rPr>
              <w:t>المجموع</w:t>
            </w:r>
          </w:p>
        </w:tc>
      </w:tr>
      <w:tr w:rsidR="009E3840" w:rsidRPr="009E3840">
        <w:trPr>
          <w:cantSplit/>
          <w:trHeight w:hRule="exact" w:val="115"/>
          <w:tblHeader/>
          <w:jc w:val="center"/>
        </w:trPr>
        <w:tc>
          <w:tcPr>
            <w:tcW w:w="765" w:type="dxa"/>
            <w:tcBorders>
              <w:top w:val="single" w:sz="12" w:space="0" w:color="auto"/>
            </w:tcBorders>
            <w:shd w:val="clear" w:color="auto" w:fill="auto"/>
            <w:vAlign w:val="bottom"/>
          </w:tcPr>
          <w:p w:rsidR="009E3840" w:rsidRPr="009E3840" w:rsidRDefault="009E3840" w:rsidP="009E3840">
            <w:pPr>
              <w:spacing w:before="40" w:after="80" w:line="240" w:lineRule="exact"/>
              <w:rPr>
                <w:rFonts w:hint="cs"/>
                <w:sz w:val="16"/>
                <w:szCs w:val="24"/>
                <w:rtl/>
              </w:rPr>
            </w:pPr>
          </w:p>
        </w:tc>
        <w:tc>
          <w:tcPr>
            <w:tcW w:w="4500" w:type="dxa"/>
            <w:tcBorders>
              <w:top w:val="single" w:sz="12" w:space="0" w:color="auto"/>
            </w:tcBorders>
            <w:shd w:val="clear" w:color="auto" w:fill="auto"/>
            <w:vAlign w:val="bottom"/>
          </w:tcPr>
          <w:p w:rsidR="009E3840" w:rsidRPr="009E3840" w:rsidRDefault="009E3840" w:rsidP="009E3840">
            <w:pPr>
              <w:spacing w:before="40" w:after="80" w:line="240" w:lineRule="exact"/>
              <w:rPr>
                <w:rFonts w:hint="cs"/>
                <w:sz w:val="16"/>
                <w:szCs w:val="24"/>
                <w:rtl/>
              </w:rPr>
            </w:pPr>
          </w:p>
        </w:tc>
        <w:tc>
          <w:tcPr>
            <w:tcW w:w="1215" w:type="dxa"/>
            <w:tcBorders>
              <w:top w:val="single" w:sz="12" w:space="0" w:color="auto"/>
            </w:tcBorders>
            <w:shd w:val="clear" w:color="auto" w:fill="auto"/>
            <w:vAlign w:val="bottom"/>
          </w:tcPr>
          <w:p w:rsidR="009E3840" w:rsidRPr="009E3840" w:rsidRDefault="009E3840" w:rsidP="009E3840">
            <w:pPr>
              <w:spacing w:before="40" w:after="80" w:line="240" w:lineRule="exact"/>
              <w:jc w:val="center"/>
              <w:rPr>
                <w:rFonts w:hint="cs"/>
                <w:sz w:val="16"/>
                <w:szCs w:val="24"/>
                <w:rtl/>
              </w:rPr>
            </w:pPr>
          </w:p>
        </w:tc>
        <w:tc>
          <w:tcPr>
            <w:tcW w:w="1260" w:type="dxa"/>
            <w:tcBorders>
              <w:top w:val="single" w:sz="12" w:space="0" w:color="auto"/>
            </w:tcBorders>
            <w:shd w:val="clear" w:color="auto" w:fill="auto"/>
            <w:vAlign w:val="bottom"/>
          </w:tcPr>
          <w:p w:rsidR="009E3840" w:rsidRPr="009E3840" w:rsidRDefault="009E3840" w:rsidP="009E3840">
            <w:pPr>
              <w:spacing w:before="40" w:after="80" w:line="240" w:lineRule="exact"/>
              <w:jc w:val="center"/>
              <w:rPr>
                <w:rFonts w:hint="cs"/>
                <w:sz w:val="16"/>
                <w:szCs w:val="24"/>
                <w:rtl/>
              </w:rPr>
            </w:pPr>
          </w:p>
        </w:tc>
        <w:tc>
          <w:tcPr>
            <w:tcW w:w="990" w:type="dxa"/>
            <w:tcBorders>
              <w:top w:val="single" w:sz="12" w:space="0" w:color="auto"/>
            </w:tcBorders>
            <w:shd w:val="clear" w:color="auto" w:fill="auto"/>
            <w:vAlign w:val="bottom"/>
          </w:tcPr>
          <w:p w:rsidR="009E3840" w:rsidRPr="009E3840" w:rsidRDefault="009E3840" w:rsidP="009E3840">
            <w:pPr>
              <w:spacing w:before="40" w:after="80" w:line="240" w:lineRule="exact"/>
              <w:jc w:val="center"/>
              <w:rPr>
                <w:rFonts w:hint="cs"/>
                <w:sz w:val="16"/>
                <w:szCs w:val="24"/>
                <w:rtl/>
              </w:rPr>
            </w:pP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1-</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صندوق توفالو الوطني للادخار</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2</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4</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6</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2-</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مصرف توفالو الوطني</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صفر</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3-</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مصرف توفالو للتنمية</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صفر</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4-</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شركة الاتصالات السلكية واللاسلكية التوفالية</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صفر</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5-</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تشغيل شركة كهرباء توفالو</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صفر</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6-</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جمعية توفالو التعاونية</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صفر</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10</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10</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7-</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مديري شركة إعلام توفالو</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2</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6</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8</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8-</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مديري فندق فياكو لانغي</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1</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4</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9-</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مديري مكتب فيلاتيليك</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1</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4</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10-</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شركة توفالو الوطنية لصيد الأسماك</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صفر</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w:t>
            </w:r>
          </w:p>
        </w:tc>
      </w:tr>
      <w:tr w:rsidR="0058501F" w:rsidRPr="009E3840">
        <w:trPr>
          <w:cantSplit/>
          <w:jc w:val="center"/>
        </w:trPr>
        <w:tc>
          <w:tcPr>
            <w:tcW w:w="765"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11-</w:t>
            </w:r>
          </w:p>
        </w:tc>
        <w:tc>
          <w:tcPr>
            <w:tcW w:w="4500" w:type="dxa"/>
            <w:shd w:val="clear" w:color="auto" w:fill="auto"/>
            <w:vAlign w:val="bottom"/>
          </w:tcPr>
          <w:p w:rsidR="0058501F" w:rsidRPr="009E3840" w:rsidRDefault="0058501F" w:rsidP="009E3840">
            <w:pPr>
              <w:spacing w:before="40" w:after="80" w:line="240" w:lineRule="exact"/>
              <w:rPr>
                <w:rFonts w:cs="Traditional Arabic" w:hint="cs"/>
                <w:sz w:val="16"/>
                <w:szCs w:val="24"/>
                <w:rtl/>
              </w:rPr>
            </w:pPr>
            <w:r w:rsidRPr="009E3840">
              <w:rPr>
                <w:rFonts w:cs="Traditional Arabic" w:hint="cs"/>
                <w:sz w:val="16"/>
                <w:szCs w:val="24"/>
                <w:rtl/>
              </w:rPr>
              <w:t>مجلس إدارة مراقبة الأسعار</w:t>
            </w:r>
          </w:p>
        </w:tc>
        <w:tc>
          <w:tcPr>
            <w:tcW w:w="1215"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1</w:t>
            </w:r>
          </w:p>
        </w:tc>
        <w:tc>
          <w:tcPr>
            <w:tcW w:w="126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3</w:t>
            </w:r>
          </w:p>
        </w:tc>
        <w:tc>
          <w:tcPr>
            <w:tcW w:w="990" w:type="dxa"/>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4</w:t>
            </w:r>
          </w:p>
        </w:tc>
      </w:tr>
      <w:tr w:rsidR="0058501F" w:rsidRPr="009E3840">
        <w:trPr>
          <w:cantSplit/>
          <w:jc w:val="center"/>
        </w:trPr>
        <w:tc>
          <w:tcPr>
            <w:tcW w:w="5265" w:type="dxa"/>
            <w:gridSpan w:val="2"/>
            <w:tcBorders>
              <w:bottom w:val="single" w:sz="12" w:space="0" w:color="auto"/>
            </w:tcBorders>
            <w:shd w:val="clear" w:color="auto" w:fill="auto"/>
            <w:vAlign w:val="bottom"/>
          </w:tcPr>
          <w:p w:rsidR="0058501F" w:rsidRPr="009E3840" w:rsidRDefault="0058501F" w:rsidP="009E3840">
            <w:pPr>
              <w:spacing w:before="40" w:after="80" w:line="240" w:lineRule="exact"/>
              <w:rPr>
                <w:rFonts w:cs="Traditional Arabic" w:hint="cs"/>
                <w:b/>
                <w:bCs/>
                <w:sz w:val="16"/>
                <w:szCs w:val="24"/>
                <w:rtl/>
              </w:rPr>
            </w:pPr>
            <w:r w:rsidRPr="009E3840">
              <w:rPr>
                <w:rFonts w:cs="Traditional Arabic" w:hint="cs"/>
                <w:b/>
                <w:bCs/>
                <w:sz w:val="16"/>
                <w:szCs w:val="24"/>
                <w:rtl/>
              </w:rPr>
              <w:t>المجموع</w:t>
            </w:r>
          </w:p>
        </w:tc>
        <w:tc>
          <w:tcPr>
            <w:tcW w:w="1215" w:type="dxa"/>
            <w:tcBorders>
              <w:bottom w:val="single" w:sz="12" w:space="0" w:color="auto"/>
            </w:tcBorders>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7 (11%)</w:t>
            </w:r>
          </w:p>
        </w:tc>
        <w:tc>
          <w:tcPr>
            <w:tcW w:w="1260" w:type="dxa"/>
            <w:tcBorders>
              <w:bottom w:val="single" w:sz="12" w:space="0" w:color="auto"/>
            </w:tcBorders>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56 (89%)</w:t>
            </w:r>
          </w:p>
        </w:tc>
        <w:tc>
          <w:tcPr>
            <w:tcW w:w="990" w:type="dxa"/>
            <w:tcBorders>
              <w:bottom w:val="single" w:sz="12" w:space="0" w:color="auto"/>
            </w:tcBorders>
            <w:shd w:val="clear" w:color="auto" w:fill="auto"/>
            <w:vAlign w:val="bottom"/>
          </w:tcPr>
          <w:p w:rsidR="0058501F" w:rsidRPr="009E3840" w:rsidRDefault="0058501F" w:rsidP="009E3840">
            <w:pPr>
              <w:spacing w:before="40" w:after="80" w:line="240" w:lineRule="exact"/>
              <w:jc w:val="center"/>
              <w:rPr>
                <w:rFonts w:cs="Traditional Arabic" w:hint="cs"/>
                <w:sz w:val="16"/>
                <w:szCs w:val="24"/>
                <w:rtl/>
              </w:rPr>
            </w:pPr>
            <w:r w:rsidRPr="009E3840">
              <w:rPr>
                <w:rFonts w:cs="Traditional Arabic" w:hint="cs"/>
                <w:sz w:val="16"/>
                <w:szCs w:val="24"/>
                <w:rtl/>
              </w:rPr>
              <w:t>63</w:t>
            </w:r>
          </w:p>
        </w:tc>
      </w:tr>
    </w:tbl>
    <w:p w:rsidR="0058501F" w:rsidRPr="00F3241C" w:rsidRDefault="0058501F" w:rsidP="0058501F">
      <w:pPr>
        <w:ind w:firstLine="720"/>
        <w:rPr>
          <w:rFonts w:hint="cs"/>
          <w:sz w:val="26"/>
          <w:szCs w:val="26"/>
          <w:rtl/>
        </w:rPr>
      </w:pPr>
      <w:r w:rsidRPr="00F3241C">
        <w:rPr>
          <w:rFonts w:hint="cs"/>
          <w:sz w:val="26"/>
          <w:szCs w:val="26"/>
          <w:rtl/>
        </w:rPr>
        <w:t>المصدر: سجلات إدارة شؤون المرأة</w:t>
      </w:r>
      <w:r w:rsidR="00F3241C" w:rsidRPr="00F3241C">
        <w:rPr>
          <w:rFonts w:hint="cs"/>
          <w:sz w:val="26"/>
          <w:szCs w:val="26"/>
          <w:rtl/>
        </w:rPr>
        <w:t>.</w:t>
      </w:r>
    </w:p>
    <w:p w:rsidR="009E3840" w:rsidRPr="009E3840" w:rsidRDefault="009E3840" w:rsidP="009E3840">
      <w:pPr>
        <w:spacing w:line="120" w:lineRule="exact"/>
        <w:rPr>
          <w:rFonts w:hint="cs"/>
          <w:sz w:val="10"/>
          <w:szCs w:val="32"/>
          <w:rtl/>
        </w:rPr>
      </w:pPr>
    </w:p>
    <w:p w:rsidR="0058501F" w:rsidRDefault="0058501F" w:rsidP="009E3840">
      <w:pPr>
        <w:pStyle w:val="SingleTxt"/>
        <w:rPr>
          <w:rFonts w:hint="cs"/>
          <w:rtl/>
        </w:rPr>
      </w:pPr>
      <w:r>
        <w:rPr>
          <w:rFonts w:hint="cs"/>
          <w:rtl/>
        </w:rPr>
        <w:t>7-11</w:t>
      </w:r>
      <w:r w:rsidR="009E3840">
        <w:rPr>
          <w:rFonts w:hint="cs"/>
          <w:rtl/>
        </w:rPr>
        <w:tab/>
      </w:r>
      <w:r>
        <w:rPr>
          <w:rFonts w:hint="cs"/>
          <w:rtl/>
        </w:rPr>
        <w:t>في حين أن تمثيل المرأة متدنٍ في مجالس الإدارة هذه، يجب ملاحظة أنه يجري في العادة الإعلان عن مقاعد العضوية الشاغرة ويتم الاختيار من بين المرشحين لشغلها على أساس الجدارة ويقوم الوزير ذو الصلة بالتعيين. ويوجد ما يدل على وجود نساء مؤهلات ولكنهن لا يظهرن الاهتمام بهذه التعيينات. فعلى سبيل المثال، لم تقدم أية امرأة طلباً لشغل وظيفة شاغرة أعلن عنها لعضوية مجلس إدارة صندوق توفالو الوطني للادخار أعلن عنها مؤخراً. وهذا دليل واضح على أن المرأة قد لا يكون لديها الوقت لتحمل مسؤوليات إضافية أو أنها تقلل من شأن قدراتها لشغل وظائف في مجالس الإدارة هذه.</w:t>
      </w:r>
    </w:p>
    <w:p w:rsidR="0058501F" w:rsidRDefault="009E3840" w:rsidP="009E3840">
      <w:pPr>
        <w:pStyle w:val="SingleTxt"/>
        <w:rPr>
          <w:rFonts w:hint="cs"/>
          <w:rtl/>
        </w:rPr>
      </w:pPr>
      <w:r>
        <w:rPr>
          <w:rFonts w:hint="cs"/>
          <w:rtl/>
        </w:rPr>
        <w:t>7-12</w:t>
      </w:r>
      <w:r>
        <w:rPr>
          <w:rFonts w:hint="cs"/>
          <w:rtl/>
        </w:rPr>
        <w:tab/>
      </w:r>
      <w:r w:rsidR="0058501F">
        <w:rPr>
          <w:rFonts w:hint="cs"/>
          <w:rtl/>
        </w:rPr>
        <w:t>كما قيل سابقاً، يزيد عدد النساء اللواتي يشغلن وظائف تنفيذية عليا في المنظمات غير الحكومية على عدد الرجال. ويعزى زيادة عدد النساء في مجالس إدارة ولجان هذه المنظمات إلى إدراج مجلس توفالو الوطني للمرأة، الذي تهيمن عليه المرأة، في عداد هذه المنظمات. وبالفحص الأدق، يجد المرء أيضاً أن معظم هذه المنظمات غير الحكومية تشارك في الرفاه الاجتماعي ومسائل أخرى ذات صلة.</w:t>
      </w:r>
    </w:p>
    <w:p w:rsidR="009E3840" w:rsidRPr="009E3840" w:rsidRDefault="009E3840" w:rsidP="009E3840">
      <w:pPr>
        <w:spacing w:line="120" w:lineRule="exact"/>
        <w:rPr>
          <w:rFonts w:hint="cs"/>
          <w:sz w:val="10"/>
          <w:szCs w:val="32"/>
          <w:rtl/>
        </w:rPr>
      </w:pPr>
    </w:p>
    <w:p w:rsidR="0058501F" w:rsidRDefault="009E3840" w:rsidP="009E38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sidR="00726554">
        <w:rPr>
          <w:rFonts w:hint="cs"/>
          <w:rtl/>
        </w:rPr>
        <w:tab/>
      </w:r>
      <w:r w:rsidR="00726554">
        <w:rPr>
          <w:rFonts w:hint="cs"/>
          <w:rtl/>
        </w:rPr>
        <w:tab/>
      </w:r>
      <w:r w:rsidR="0058501F" w:rsidRPr="00885153">
        <w:rPr>
          <w:rFonts w:hint="cs"/>
          <w:rtl/>
        </w:rPr>
        <w:t>الجدول 11: مجالس إدارة ولجان المنظمات غير الحكومية</w:t>
      </w:r>
    </w:p>
    <w:p w:rsidR="009E3840" w:rsidRPr="009E3840" w:rsidRDefault="009E3840" w:rsidP="009E3840">
      <w:pPr>
        <w:spacing w:line="120" w:lineRule="exact"/>
        <w:jc w:val="center"/>
        <w:rPr>
          <w:rFonts w:hint="cs"/>
          <w:b/>
          <w:bCs/>
          <w:sz w:val="10"/>
          <w:szCs w:val="28"/>
          <w:rtl/>
        </w:rPr>
      </w:pPr>
    </w:p>
    <w:tbl>
      <w:tblPr>
        <w:tblStyle w:val="TableGrid"/>
        <w:bidiVisual/>
        <w:tblW w:w="0" w:type="auto"/>
        <w:jc w:val="center"/>
        <w:tblLayout w:type="fixed"/>
        <w:tblLook w:val="01E0" w:firstRow="1" w:lastRow="1" w:firstColumn="1" w:lastColumn="1" w:noHBand="0" w:noVBand="0"/>
      </w:tblPr>
      <w:tblGrid>
        <w:gridCol w:w="576"/>
        <w:gridCol w:w="4176"/>
        <w:gridCol w:w="1008"/>
        <w:gridCol w:w="1008"/>
        <w:gridCol w:w="1008"/>
      </w:tblGrid>
      <w:tr w:rsidR="0058501F" w:rsidRPr="00F8637C">
        <w:trPr>
          <w:jc w:val="center"/>
        </w:trPr>
        <w:tc>
          <w:tcPr>
            <w:tcW w:w="4752" w:type="dxa"/>
            <w:gridSpan w:val="2"/>
          </w:tcPr>
          <w:p w:rsidR="0058501F" w:rsidRPr="00F8637C" w:rsidRDefault="0058501F" w:rsidP="0058501F">
            <w:pPr>
              <w:rPr>
                <w:rFonts w:cs="Traditional Arabic" w:hint="cs"/>
                <w:sz w:val="28"/>
                <w:szCs w:val="28"/>
                <w:rtl/>
              </w:rPr>
            </w:pPr>
          </w:p>
        </w:tc>
        <w:tc>
          <w:tcPr>
            <w:tcW w:w="1008" w:type="dxa"/>
          </w:tcPr>
          <w:p w:rsidR="0058501F" w:rsidRPr="009B5306" w:rsidRDefault="0058501F" w:rsidP="0058501F">
            <w:pPr>
              <w:jc w:val="center"/>
              <w:rPr>
                <w:rFonts w:cs="Traditional Arabic" w:hint="cs"/>
                <w:b/>
                <w:bCs/>
                <w:sz w:val="28"/>
                <w:szCs w:val="28"/>
                <w:rtl/>
              </w:rPr>
            </w:pPr>
            <w:r w:rsidRPr="009B5306">
              <w:rPr>
                <w:rFonts w:cs="Traditional Arabic" w:hint="cs"/>
                <w:b/>
                <w:bCs/>
                <w:sz w:val="28"/>
                <w:szCs w:val="28"/>
                <w:rtl/>
              </w:rPr>
              <w:t>ذكور</w:t>
            </w:r>
          </w:p>
        </w:tc>
        <w:tc>
          <w:tcPr>
            <w:tcW w:w="1008" w:type="dxa"/>
          </w:tcPr>
          <w:p w:rsidR="0058501F" w:rsidRPr="009B5306" w:rsidRDefault="0058501F" w:rsidP="0058501F">
            <w:pPr>
              <w:jc w:val="center"/>
              <w:rPr>
                <w:rFonts w:cs="Traditional Arabic" w:hint="cs"/>
                <w:b/>
                <w:bCs/>
                <w:sz w:val="28"/>
                <w:szCs w:val="28"/>
                <w:rtl/>
              </w:rPr>
            </w:pPr>
            <w:r w:rsidRPr="009B5306">
              <w:rPr>
                <w:rFonts w:cs="Traditional Arabic" w:hint="cs"/>
                <w:b/>
                <w:bCs/>
                <w:sz w:val="28"/>
                <w:szCs w:val="28"/>
                <w:rtl/>
              </w:rPr>
              <w:t>إناث</w:t>
            </w:r>
          </w:p>
        </w:tc>
        <w:tc>
          <w:tcPr>
            <w:tcW w:w="1008" w:type="dxa"/>
          </w:tcPr>
          <w:p w:rsidR="0058501F" w:rsidRPr="009B5306" w:rsidRDefault="0058501F" w:rsidP="0058501F">
            <w:pPr>
              <w:jc w:val="center"/>
              <w:rPr>
                <w:rFonts w:cs="Traditional Arabic" w:hint="cs"/>
                <w:b/>
                <w:bCs/>
                <w:sz w:val="28"/>
                <w:szCs w:val="28"/>
                <w:rtl/>
              </w:rPr>
            </w:pPr>
            <w:r w:rsidRPr="009B5306">
              <w:rPr>
                <w:rFonts w:cs="Traditional Arabic" w:hint="cs"/>
                <w:b/>
                <w:bCs/>
                <w:sz w:val="28"/>
                <w:szCs w:val="28"/>
                <w:rtl/>
              </w:rPr>
              <w:t>المجموع</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 xml:space="preserve">1- </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رعاية الجزر</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3</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5</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2-</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اللجنة التنفيذية لرابطة توفالو للمنظمات غير الحكومية</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8</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3-</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إدارة النفايات</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4-</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المشاريع العاملة</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16</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20</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5-</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تنسيق المشاريع</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3</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20</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23</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6-</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مجلس مديري جمعية صحة الأسرة في توفالو</w:t>
            </w:r>
          </w:p>
        </w:tc>
        <w:tc>
          <w:tcPr>
            <w:tcW w:w="1008" w:type="dxa"/>
          </w:tcPr>
          <w:p w:rsidR="0058501F" w:rsidRPr="00F8637C" w:rsidRDefault="0058501F" w:rsidP="0058501F">
            <w:pPr>
              <w:jc w:val="center"/>
              <w:rPr>
                <w:rFonts w:cs="Traditional Arabic" w:hint="cs"/>
                <w:sz w:val="28"/>
                <w:szCs w:val="28"/>
                <w:rtl/>
              </w:rPr>
            </w:pPr>
          </w:p>
        </w:tc>
        <w:tc>
          <w:tcPr>
            <w:tcW w:w="1008" w:type="dxa"/>
          </w:tcPr>
          <w:p w:rsidR="0058501F" w:rsidRPr="00F8637C" w:rsidRDefault="0058501F" w:rsidP="0058501F">
            <w:pPr>
              <w:jc w:val="center"/>
              <w:rPr>
                <w:rFonts w:cs="Traditional Arabic" w:hint="cs"/>
                <w:sz w:val="28"/>
                <w:szCs w:val="28"/>
                <w:rtl/>
              </w:rPr>
            </w:pPr>
          </w:p>
        </w:tc>
        <w:tc>
          <w:tcPr>
            <w:tcW w:w="1008" w:type="dxa"/>
          </w:tcPr>
          <w:p w:rsidR="0058501F" w:rsidRPr="00F8637C" w:rsidRDefault="0058501F" w:rsidP="0058501F">
            <w:pPr>
              <w:jc w:val="center"/>
              <w:rPr>
                <w:rFonts w:cs="Traditional Arabic" w:hint="cs"/>
                <w:sz w:val="28"/>
                <w:szCs w:val="28"/>
                <w:rtl/>
              </w:rPr>
            </w:pP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7-</w:t>
            </w:r>
          </w:p>
        </w:tc>
        <w:tc>
          <w:tcPr>
            <w:tcW w:w="4176" w:type="dxa"/>
          </w:tcPr>
          <w:p w:rsidR="0058501F" w:rsidRPr="00F8637C" w:rsidRDefault="0058501F" w:rsidP="0058501F">
            <w:pPr>
              <w:rPr>
                <w:rFonts w:cs="Traditional Arabic" w:hint="cs"/>
                <w:sz w:val="28"/>
                <w:szCs w:val="28"/>
                <w:rtl/>
              </w:rPr>
            </w:pPr>
            <w:r w:rsidRPr="00F8637C">
              <w:rPr>
                <w:rFonts w:cs="Traditional Arabic" w:hint="cs"/>
                <w:sz w:val="28"/>
                <w:szCs w:val="28"/>
                <w:rtl/>
              </w:rPr>
              <w:t>مجلس توفالو الوطني للمرأة</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16</w:t>
            </w:r>
          </w:p>
        </w:tc>
        <w:tc>
          <w:tcPr>
            <w:tcW w:w="1008" w:type="dxa"/>
          </w:tcPr>
          <w:p w:rsidR="0058501F" w:rsidRPr="00F8637C" w:rsidRDefault="0058501F" w:rsidP="0058501F">
            <w:pPr>
              <w:jc w:val="center"/>
              <w:rPr>
                <w:rFonts w:cs="Traditional Arabic" w:hint="cs"/>
                <w:sz w:val="28"/>
                <w:szCs w:val="28"/>
                <w:rtl/>
              </w:rPr>
            </w:pP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16</w:t>
            </w:r>
          </w:p>
        </w:tc>
      </w:tr>
      <w:tr w:rsidR="0058501F" w:rsidRPr="00F8637C">
        <w:trPr>
          <w:jc w:val="center"/>
        </w:trPr>
        <w:tc>
          <w:tcPr>
            <w:tcW w:w="4752" w:type="dxa"/>
            <w:gridSpan w:val="2"/>
          </w:tcPr>
          <w:p w:rsidR="0058501F" w:rsidRPr="009B5306" w:rsidRDefault="0058501F" w:rsidP="0058501F">
            <w:pPr>
              <w:rPr>
                <w:rFonts w:cs="Traditional Arabic" w:hint="cs"/>
                <w:b/>
                <w:bCs/>
                <w:sz w:val="28"/>
                <w:szCs w:val="28"/>
                <w:rtl/>
              </w:rPr>
            </w:pPr>
            <w:r w:rsidRPr="009B5306">
              <w:rPr>
                <w:rFonts w:cs="Traditional Arabic" w:hint="cs"/>
                <w:b/>
                <w:bCs/>
                <w:sz w:val="28"/>
                <w:szCs w:val="28"/>
                <w:rtl/>
              </w:rPr>
              <w:t>المجموع</w:t>
            </w:r>
          </w:p>
        </w:tc>
        <w:tc>
          <w:tcPr>
            <w:tcW w:w="1008" w:type="dxa"/>
          </w:tcPr>
          <w:p w:rsidR="0058501F" w:rsidRDefault="0058501F" w:rsidP="0058501F">
            <w:pPr>
              <w:jc w:val="center"/>
              <w:rPr>
                <w:rFonts w:cs="Traditional Arabic" w:hint="cs"/>
                <w:sz w:val="28"/>
                <w:szCs w:val="28"/>
                <w:rtl/>
              </w:rPr>
            </w:pPr>
            <w:r>
              <w:rPr>
                <w:rFonts w:cs="Traditional Arabic" w:hint="cs"/>
                <w:sz w:val="28"/>
                <w:szCs w:val="28"/>
                <w:rtl/>
              </w:rPr>
              <w:t>36</w:t>
            </w:r>
          </w:p>
          <w:p w:rsidR="0058501F" w:rsidRPr="00F8637C" w:rsidRDefault="0058501F" w:rsidP="0058501F">
            <w:pPr>
              <w:jc w:val="center"/>
              <w:rPr>
                <w:rFonts w:cs="Traditional Arabic" w:hint="cs"/>
                <w:sz w:val="28"/>
                <w:szCs w:val="28"/>
                <w:rtl/>
              </w:rPr>
            </w:pPr>
            <w:r>
              <w:rPr>
                <w:rFonts w:cs="Traditional Arabic" w:hint="cs"/>
                <w:sz w:val="28"/>
                <w:szCs w:val="28"/>
                <w:rtl/>
              </w:rPr>
              <w:t>(46%)</w:t>
            </w:r>
          </w:p>
        </w:tc>
        <w:tc>
          <w:tcPr>
            <w:tcW w:w="1008" w:type="dxa"/>
          </w:tcPr>
          <w:p w:rsidR="0058501F" w:rsidRDefault="0058501F" w:rsidP="0058501F">
            <w:pPr>
              <w:jc w:val="center"/>
              <w:rPr>
                <w:rFonts w:cs="Traditional Arabic" w:hint="cs"/>
                <w:sz w:val="28"/>
                <w:szCs w:val="28"/>
                <w:rtl/>
              </w:rPr>
            </w:pPr>
            <w:r>
              <w:rPr>
                <w:rFonts w:cs="Traditional Arabic" w:hint="cs"/>
                <w:sz w:val="28"/>
                <w:szCs w:val="28"/>
                <w:rtl/>
              </w:rPr>
              <w:t>42</w:t>
            </w:r>
          </w:p>
          <w:p w:rsidR="0058501F" w:rsidRPr="00F8637C" w:rsidRDefault="0058501F" w:rsidP="0058501F">
            <w:pPr>
              <w:jc w:val="center"/>
              <w:rPr>
                <w:rFonts w:cs="Traditional Arabic" w:hint="cs"/>
                <w:sz w:val="28"/>
                <w:szCs w:val="28"/>
                <w:rtl/>
              </w:rPr>
            </w:pPr>
            <w:r>
              <w:rPr>
                <w:rFonts w:cs="Traditional Arabic" w:hint="cs"/>
                <w:sz w:val="28"/>
                <w:szCs w:val="28"/>
                <w:rtl/>
              </w:rPr>
              <w:t>(54%)</w:t>
            </w:r>
          </w:p>
        </w:tc>
        <w:tc>
          <w:tcPr>
            <w:tcW w:w="1008" w:type="dxa"/>
          </w:tcPr>
          <w:p w:rsidR="0058501F" w:rsidRPr="00F8637C" w:rsidRDefault="0058501F" w:rsidP="0058501F">
            <w:pPr>
              <w:jc w:val="center"/>
              <w:rPr>
                <w:rFonts w:cs="Traditional Arabic" w:hint="cs"/>
                <w:sz w:val="28"/>
                <w:szCs w:val="28"/>
                <w:rtl/>
              </w:rPr>
            </w:pPr>
            <w:r>
              <w:rPr>
                <w:rFonts w:cs="Traditional Arabic" w:hint="cs"/>
                <w:sz w:val="28"/>
                <w:szCs w:val="28"/>
                <w:rtl/>
              </w:rPr>
              <w:t>78</w:t>
            </w:r>
          </w:p>
        </w:tc>
      </w:tr>
    </w:tbl>
    <w:p w:rsidR="0058501F" w:rsidRPr="00F3241C" w:rsidRDefault="00F3241C" w:rsidP="0058501F">
      <w:pPr>
        <w:ind w:firstLine="720"/>
        <w:rPr>
          <w:rFonts w:hint="cs"/>
          <w:sz w:val="26"/>
          <w:szCs w:val="26"/>
          <w:rtl/>
        </w:rPr>
      </w:pPr>
      <w:r>
        <w:rPr>
          <w:rFonts w:hint="cs"/>
          <w:sz w:val="28"/>
          <w:szCs w:val="28"/>
          <w:rtl/>
        </w:rPr>
        <w:tab/>
      </w:r>
      <w:r w:rsidR="0058501F" w:rsidRPr="00F3241C">
        <w:rPr>
          <w:rFonts w:hint="cs"/>
          <w:sz w:val="26"/>
          <w:szCs w:val="26"/>
          <w:rtl/>
        </w:rPr>
        <w:t>المص</w:t>
      </w:r>
      <w:r>
        <w:rPr>
          <w:rFonts w:hint="cs"/>
          <w:sz w:val="26"/>
          <w:szCs w:val="26"/>
          <w:rtl/>
        </w:rPr>
        <w:t>در: إدارة شؤون المرأة، عام 2006.</w:t>
      </w:r>
    </w:p>
    <w:p w:rsidR="00726554" w:rsidRPr="00726554" w:rsidRDefault="00726554" w:rsidP="00726554">
      <w:pPr>
        <w:spacing w:line="120" w:lineRule="exact"/>
        <w:rPr>
          <w:rFonts w:hint="cs"/>
          <w:sz w:val="10"/>
          <w:szCs w:val="32"/>
          <w:rtl/>
        </w:rPr>
      </w:pPr>
    </w:p>
    <w:p w:rsidR="0058501F" w:rsidRDefault="00726554" w:rsidP="00AA522B">
      <w:pPr>
        <w:pStyle w:val="SingleTxt"/>
        <w:rPr>
          <w:rFonts w:hint="cs"/>
          <w:rtl/>
        </w:rPr>
      </w:pPr>
      <w:r>
        <w:rPr>
          <w:rFonts w:hint="cs"/>
          <w:rtl/>
        </w:rPr>
        <w:t>7-13</w:t>
      </w:r>
      <w:r>
        <w:rPr>
          <w:rFonts w:hint="cs"/>
          <w:rtl/>
        </w:rPr>
        <w:tab/>
      </w:r>
      <w:r w:rsidR="0058501F">
        <w:rPr>
          <w:rFonts w:hint="cs"/>
          <w:rtl/>
        </w:rPr>
        <w:t>في عام 2006 شكلت النساء 38 في المائة من أعضاء المفوضيات ومجالس الإدارة واللجان. ولكن بالفحص الدقيق نجد أن المرأة تهيمن على اللجان المعنية بفيروس نقص المناعة البشرية ومتلازمة نقص المناعة المكتسب (الإيدز) واللجنة المعنية بالقضاء على التمييز ضد المرأة. والمرأة مهمشة في هيئات صنع القرار الهامة، مثل لجنة الخدمة العامة ولجنة تنسيق التنمية</w:t>
      </w:r>
      <w:r w:rsidR="00AA522B" w:rsidRPr="00AA522B">
        <w:rPr>
          <w:vertAlign w:val="superscript"/>
          <w:rtl/>
        </w:rPr>
        <w:t>(</w:t>
      </w:r>
      <w:r w:rsidR="00AA522B">
        <w:rPr>
          <w:rStyle w:val="FootnoteReference"/>
          <w:rtl/>
        </w:rPr>
        <w:footnoteReference w:id="75"/>
      </w:r>
      <w:r w:rsidR="00AA522B" w:rsidRPr="00AA522B">
        <w:rPr>
          <w:vertAlign w:val="superscript"/>
          <w:rtl/>
        </w:rPr>
        <w:t>)</w:t>
      </w:r>
      <w:r w:rsidR="00AA522B">
        <w:rPr>
          <w:rFonts w:hint="cs"/>
          <w:vertAlign w:val="superscript"/>
          <w:rtl/>
        </w:rPr>
        <w:t xml:space="preserve"> </w:t>
      </w:r>
      <w:r w:rsidR="0058501F">
        <w:rPr>
          <w:rFonts w:hint="cs"/>
          <w:rtl/>
        </w:rPr>
        <w:t>ولجنة التنسيق في حالة الكوارث أيضاً.</w:t>
      </w:r>
    </w:p>
    <w:p w:rsidR="00726554" w:rsidRPr="00726554" w:rsidRDefault="00726554" w:rsidP="00726554">
      <w:pPr>
        <w:spacing w:line="120" w:lineRule="exact"/>
        <w:rPr>
          <w:rFonts w:hint="cs"/>
          <w:sz w:val="10"/>
          <w:szCs w:val="32"/>
          <w:rtl/>
        </w:rPr>
      </w:pPr>
    </w:p>
    <w:p w:rsidR="0058501F" w:rsidRDefault="00726554" w:rsidP="0072655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sz w:val="32"/>
          <w:szCs w:val="32"/>
        </w:rPr>
      </w:pPr>
      <w:r>
        <w:rPr>
          <w:sz w:val="32"/>
          <w:szCs w:val="32"/>
          <w:rtl/>
        </w:rPr>
        <w:br w:type="page"/>
      </w:r>
      <w:r>
        <w:rPr>
          <w:rFonts w:hint="cs"/>
          <w:sz w:val="32"/>
          <w:szCs w:val="32"/>
          <w:rtl/>
        </w:rPr>
        <w:tab/>
      </w:r>
      <w:r>
        <w:rPr>
          <w:rFonts w:hint="cs"/>
          <w:sz w:val="32"/>
          <w:szCs w:val="32"/>
          <w:rtl/>
        </w:rPr>
        <w:tab/>
      </w:r>
      <w:r w:rsidR="0058501F" w:rsidRPr="00521E2E">
        <w:rPr>
          <w:rFonts w:hint="cs"/>
          <w:sz w:val="32"/>
          <w:szCs w:val="32"/>
          <w:rtl/>
        </w:rPr>
        <w:t>ا</w:t>
      </w:r>
      <w:r w:rsidR="0058501F" w:rsidRPr="00DA3354">
        <w:rPr>
          <w:rFonts w:hint="cs"/>
          <w:rtl/>
        </w:rPr>
        <w:t xml:space="preserve">لجدول 12: تمثيل المرأة في مجالس الإدارة واللجان الحكومية، عام 2006 </w:t>
      </w:r>
    </w:p>
    <w:p w:rsidR="00726554" w:rsidRPr="00726554" w:rsidRDefault="00726554" w:rsidP="00726554">
      <w:pPr>
        <w:spacing w:line="120" w:lineRule="exact"/>
        <w:jc w:val="center"/>
        <w:rPr>
          <w:b/>
          <w:bCs/>
          <w:sz w:val="10"/>
          <w:szCs w:val="32"/>
          <w:rtl/>
        </w:rPr>
      </w:pPr>
    </w:p>
    <w:tbl>
      <w:tblPr>
        <w:tblStyle w:val="TableGrid"/>
        <w:bidiVisual/>
        <w:tblW w:w="0" w:type="auto"/>
        <w:jc w:val="center"/>
        <w:tblLook w:val="01E0" w:firstRow="1" w:lastRow="1" w:firstColumn="1" w:lastColumn="1" w:noHBand="0" w:noVBand="0"/>
      </w:tblPr>
      <w:tblGrid>
        <w:gridCol w:w="576"/>
        <w:gridCol w:w="4320"/>
        <w:gridCol w:w="1008"/>
        <w:gridCol w:w="1008"/>
        <w:gridCol w:w="1008"/>
      </w:tblGrid>
      <w:tr w:rsidR="0058501F" w:rsidRPr="00F8637C">
        <w:trPr>
          <w:jc w:val="center"/>
        </w:trPr>
        <w:tc>
          <w:tcPr>
            <w:tcW w:w="576" w:type="dxa"/>
          </w:tcPr>
          <w:p w:rsidR="0058501F" w:rsidRPr="00F8637C" w:rsidRDefault="0058501F" w:rsidP="0058501F">
            <w:pPr>
              <w:rPr>
                <w:rFonts w:cs="Traditional Arabic" w:hint="cs"/>
                <w:sz w:val="28"/>
                <w:szCs w:val="28"/>
                <w:rtl/>
              </w:rPr>
            </w:pPr>
          </w:p>
        </w:tc>
        <w:tc>
          <w:tcPr>
            <w:tcW w:w="4320" w:type="dxa"/>
          </w:tcPr>
          <w:p w:rsidR="0058501F" w:rsidRPr="00F8637C" w:rsidRDefault="0058501F" w:rsidP="0058501F">
            <w:pPr>
              <w:jc w:val="center"/>
              <w:rPr>
                <w:rFonts w:cs="Traditional Arabic" w:hint="cs"/>
                <w:b/>
                <w:bCs/>
                <w:sz w:val="28"/>
                <w:szCs w:val="28"/>
                <w:rtl/>
              </w:rPr>
            </w:pPr>
            <w:r w:rsidRPr="00F8637C">
              <w:rPr>
                <w:rFonts w:cs="Traditional Arabic" w:hint="cs"/>
                <w:b/>
                <w:bCs/>
                <w:sz w:val="28"/>
                <w:szCs w:val="28"/>
                <w:rtl/>
              </w:rPr>
              <w:t>المفوضيات ومجالس الإدارة واللجان</w:t>
            </w:r>
          </w:p>
        </w:tc>
        <w:tc>
          <w:tcPr>
            <w:tcW w:w="1008" w:type="dxa"/>
          </w:tcPr>
          <w:p w:rsidR="0058501F" w:rsidRPr="00F8637C" w:rsidRDefault="0058501F" w:rsidP="0058501F">
            <w:pPr>
              <w:jc w:val="center"/>
              <w:rPr>
                <w:rFonts w:cs="Traditional Arabic" w:hint="cs"/>
                <w:b/>
                <w:bCs/>
                <w:sz w:val="28"/>
                <w:szCs w:val="28"/>
                <w:rtl/>
              </w:rPr>
            </w:pPr>
            <w:r w:rsidRPr="00F8637C">
              <w:rPr>
                <w:rFonts w:cs="Traditional Arabic" w:hint="cs"/>
                <w:b/>
                <w:bCs/>
                <w:sz w:val="28"/>
                <w:szCs w:val="28"/>
                <w:rtl/>
              </w:rPr>
              <w:t>إناث</w:t>
            </w:r>
          </w:p>
        </w:tc>
        <w:tc>
          <w:tcPr>
            <w:tcW w:w="1008" w:type="dxa"/>
          </w:tcPr>
          <w:p w:rsidR="0058501F" w:rsidRPr="00F8637C" w:rsidRDefault="0058501F" w:rsidP="0058501F">
            <w:pPr>
              <w:jc w:val="center"/>
              <w:rPr>
                <w:rFonts w:cs="Traditional Arabic" w:hint="cs"/>
                <w:b/>
                <w:bCs/>
                <w:sz w:val="28"/>
                <w:szCs w:val="28"/>
                <w:rtl/>
              </w:rPr>
            </w:pPr>
            <w:r w:rsidRPr="00F8637C">
              <w:rPr>
                <w:rFonts w:cs="Traditional Arabic" w:hint="cs"/>
                <w:b/>
                <w:bCs/>
                <w:sz w:val="28"/>
                <w:szCs w:val="28"/>
                <w:rtl/>
              </w:rPr>
              <w:t>ذكور</w:t>
            </w:r>
          </w:p>
        </w:tc>
        <w:tc>
          <w:tcPr>
            <w:tcW w:w="1008" w:type="dxa"/>
          </w:tcPr>
          <w:p w:rsidR="0058501F" w:rsidRPr="00F8637C" w:rsidRDefault="0058501F" w:rsidP="0058501F">
            <w:pPr>
              <w:jc w:val="center"/>
              <w:rPr>
                <w:rFonts w:cs="Traditional Arabic" w:hint="cs"/>
                <w:b/>
                <w:bCs/>
                <w:sz w:val="28"/>
                <w:szCs w:val="28"/>
                <w:rtl/>
              </w:rPr>
            </w:pPr>
            <w:r w:rsidRPr="00F8637C">
              <w:rPr>
                <w:rFonts w:cs="Traditional Arabic" w:hint="cs"/>
                <w:b/>
                <w:bCs/>
                <w:sz w:val="28"/>
                <w:szCs w:val="28"/>
                <w:rtl/>
              </w:rPr>
              <w:t>المجموع</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1-</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الخدمة العامة</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3</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4</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2-</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تنسيق التنمية</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12</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13</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3-</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توفالو الوطنية المعنية بالإيدز</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7</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4</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11</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4-</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توفالو الوطنية لشؤون اليونيسكو</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4</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2</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6</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5-</w:t>
            </w:r>
          </w:p>
        </w:tc>
        <w:tc>
          <w:tcPr>
            <w:tcW w:w="4320" w:type="dxa"/>
          </w:tcPr>
          <w:p w:rsidR="0058501F" w:rsidRPr="0063102F" w:rsidRDefault="0058501F" w:rsidP="0058501F">
            <w:pPr>
              <w:rPr>
                <w:rFonts w:cs="Traditional Arabic" w:hint="cs"/>
                <w:sz w:val="28"/>
                <w:szCs w:val="28"/>
                <w:rtl/>
              </w:rPr>
            </w:pPr>
            <w:r w:rsidRPr="0063102F">
              <w:rPr>
                <w:rFonts w:cs="Traditional Arabic" w:hint="cs"/>
                <w:sz w:val="28"/>
                <w:szCs w:val="28"/>
                <w:rtl/>
              </w:rPr>
              <w:t>لجنة تنمية الزراعة المستدامة في بلدان المحيط الهادئ</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5</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4</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9</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6-</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قوة العمل المعنية بالأهداف الإنمائية للألفية</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3</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6</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9</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7-</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تنسيق شؤون اتفاقية القضاء على جميع أشكال التمييز ضد المرأة والشؤون الجنسانية الوطنية</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8</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5</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13</w:t>
            </w:r>
          </w:p>
        </w:tc>
      </w:tr>
      <w:tr w:rsidR="0058501F" w:rsidRPr="00F8637C">
        <w:trPr>
          <w:jc w:val="center"/>
        </w:trPr>
        <w:tc>
          <w:tcPr>
            <w:tcW w:w="576" w:type="dxa"/>
          </w:tcPr>
          <w:p w:rsidR="0058501F" w:rsidRPr="00F8637C" w:rsidRDefault="0058501F" w:rsidP="0058501F">
            <w:pPr>
              <w:rPr>
                <w:rFonts w:cs="Traditional Arabic" w:hint="cs"/>
                <w:sz w:val="28"/>
                <w:szCs w:val="28"/>
                <w:rtl/>
              </w:rPr>
            </w:pPr>
            <w:r>
              <w:rPr>
                <w:rFonts w:cs="Traditional Arabic" w:hint="cs"/>
                <w:sz w:val="28"/>
                <w:szCs w:val="28"/>
                <w:rtl/>
              </w:rPr>
              <w:t>8-</w:t>
            </w:r>
          </w:p>
        </w:tc>
        <w:tc>
          <w:tcPr>
            <w:tcW w:w="4320" w:type="dxa"/>
          </w:tcPr>
          <w:p w:rsidR="0058501F" w:rsidRPr="00F8637C" w:rsidRDefault="0058501F" w:rsidP="0058501F">
            <w:pPr>
              <w:rPr>
                <w:rFonts w:cs="Traditional Arabic" w:hint="cs"/>
                <w:sz w:val="28"/>
                <w:szCs w:val="28"/>
                <w:rtl/>
              </w:rPr>
            </w:pPr>
            <w:r w:rsidRPr="00F8637C">
              <w:rPr>
                <w:rFonts w:cs="Traditional Arabic" w:hint="cs"/>
                <w:sz w:val="28"/>
                <w:szCs w:val="28"/>
                <w:rtl/>
              </w:rPr>
              <w:t>لجنة التنسيق في حالة الكوارث</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12</w:t>
            </w:r>
          </w:p>
        </w:tc>
        <w:tc>
          <w:tcPr>
            <w:tcW w:w="1008" w:type="dxa"/>
          </w:tcPr>
          <w:p w:rsidR="0058501F" w:rsidRPr="00F8637C" w:rsidRDefault="0058501F" w:rsidP="0058501F">
            <w:pPr>
              <w:rPr>
                <w:rFonts w:cs="Traditional Arabic" w:hint="cs"/>
                <w:sz w:val="28"/>
                <w:szCs w:val="28"/>
                <w:rtl/>
              </w:rPr>
            </w:pPr>
            <w:r>
              <w:rPr>
                <w:rFonts w:cs="Traditional Arabic" w:hint="cs"/>
                <w:sz w:val="28"/>
                <w:szCs w:val="28"/>
                <w:rtl/>
              </w:rPr>
              <w:t>13</w:t>
            </w:r>
          </w:p>
        </w:tc>
      </w:tr>
      <w:tr w:rsidR="0058501F" w:rsidRPr="00F8637C">
        <w:trPr>
          <w:jc w:val="center"/>
        </w:trPr>
        <w:tc>
          <w:tcPr>
            <w:tcW w:w="576" w:type="dxa"/>
          </w:tcPr>
          <w:p w:rsidR="0058501F" w:rsidRDefault="0058501F" w:rsidP="0058501F">
            <w:pPr>
              <w:rPr>
                <w:rFonts w:cs="Traditional Arabic" w:hint="cs"/>
                <w:sz w:val="28"/>
                <w:szCs w:val="28"/>
                <w:rtl/>
              </w:rPr>
            </w:pPr>
          </w:p>
        </w:tc>
        <w:tc>
          <w:tcPr>
            <w:tcW w:w="4320" w:type="dxa"/>
          </w:tcPr>
          <w:p w:rsidR="0058501F" w:rsidRPr="00F8637C" w:rsidRDefault="0058501F" w:rsidP="0058501F">
            <w:pPr>
              <w:rPr>
                <w:rFonts w:cs="Traditional Arabic" w:hint="cs"/>
                <w:sz w:val="28"/>
                <w:szCs w:val="28"/>
                <w:rtl/>
              </w:rPr>
            </w:pPr>
            <w:r>
              <w:rPr>
                <w:rFonts w:cs="Traditional Arabic" w:hint="cs"/>
                <w:sz w:val="28"/>
                <w:szCs w:val="28"/>
                <w:rtl/>
              </w:rPr>
              <w:t>المجموع</w:t>
            </w:r>
          </w:p>
        </w:tc>
        <w:tc>
          <w:tcPr>
            <w:tcW w:w="1008" w:type="dxa"/>
          </w:tcPr>
          <w:p w:rsidR="0058501F" w:rsidRDefault="0058501F" w:rsidP="0058501F">
            <w:pPr>
              <w:rPr>
                <w:rFonts w:cs="Traditional Arabic" w:hint="cs"/>
                <w:sz w:val="28"/>
                <w:szCs w:val="28"/>
                <w:rtl/>
              </w:rPr>
            </w:pPr>
            <w:r>
              <w:rPr>
                <w:rFonts w:cs="Traditional Arabic" w:hint="cs"/>
                <w:sz w:val="28"/>
                <w:szCs w:val="28"/>
                <w:rtl/>
              </w:rPr>
              <w:t>30</w:t>
            </w:r>
          </w:p>
          <w:p w:rsidR="0058501F" w:rsidRDefault="0058501F" w:rsidP="0058501F">
            <w:pPr>
              <w:rPr>
                <w:rFonts w:cs="Traditional Arabic" w:hint="cs"/>
                <w:sz w:val="28"/>
                <w:szCs w:val="28"/>
                <w:rtl/>
              </w:rPr>
            </w:pPr>
            <w:r>
              <w:rPr>
                <w:rFonts w:cs="Traditional Arabic" w:hint="cs"/>
                <w:sz w:val="28"/>
                <w:szCs w:val="28"/>
                <w:rtl/>
              </w:rPr>
              <w:t>(38%)</w:t>
            </w:r>
          </w:p>
        </w:tc>
        <w:tc>
          <w:tcPr>
            <w:tcW w:w="1008" w:type="dxa"/>
          </w:tcPr>
          <w:p w:rsidR="0058501F" w:rsidRDefault="0058501F" w:rsidP="0058501F">
            <w:pPr>
              <w:rPr>
                <w:rFonts w:cs="Traditional Arabic" w:hint="cs"/>
                <w:sz w:val="28"/>
                <w:szCs w:val="28"/>
                <w:rtl/>
              </w:rPr>
            </w:pPr>
            <w:r>
              <w:rPr>
                <w:rFonts w:cs="Traditional Arabic" w:hint="cs"/>
                <w:sz w:val="28"/>
                <w:szCs w:val="28"/>
                <w:rtl/>
              </w:rPr>
              <w:t>48</w:t>
            </w:r>
          </w:p>
          <w:p w:rsidR="0058501F" w:rsidRDefault="0058501F" w:rsidP="0058501F">
            <w:pPr>
              <w:rPr>
                <w:rFonts w:cs="Traditional Arabic" w:hint="cs"/>
                <w:sz w:val="28"/>
                <w:szCs w:val="28"/>
                <w:rtl/>
              </w:rPr>
            </w:pPr>
            <w:r>
              <w:rPr>
                <w:rFonts w:cs="Traditional Arabic" w:hint="cs"/>
                <w:sz w:val="28"/>
                <w:szCs w:val="28"/>
                <w:rtl/>
              </w:rPr>
              <w:t>(62%)</w:t>
            </w:r>
          </w:p>
        </w:tc>
        <w:tc>
          <w:tcPr>
            <w:tcW w:w="1008" w:type="dxa"/>
          </w:tcPr>
          <w:p w:rsidR="0058501F" w:rsidRDefault="0058501F" w:rsidP="0058501F">
            <w:pPr>
              <w:rPr>
                <w:rFonts w:cs="Traditional Arabic" w:hint="cs"/>
                <w:sz w:val="28"/>
                <w:szCs w:val="28"/>
                <w:rtl/>
              </w:rPr>
            </w:pPr>
            <w:r>
              <w:rPr>
                <w:rFonts w:cs="Traditional Arabic" w:hint="cs"/>
                <w:sz w:val="28"/>
                <w:szCs w:val="28"/>
                <w:rtl/>
              </w:rPr>
              <w:t>78</w:t>
            </w:r>
          </w:p>
        </w:tc>
      </w:tr>
    </w:tbl>
    <w:p w:rsidR="0058501F" w:rsidRPr="00AA522B" w:rsidRDefault="00AA522B" w:rsidP="0058501F">
      <w:pPr>
        <w:ind w:firstLine="720"/>
        <w:rPr>
          <w:rFonts w:hint="cs"/>
          <w:sz w:val="16"/>
          <w:szCs w:val="26"/>
          <w:rtl/>
        </w:rPr>
      </w:pPr>
      <w:r>
        <w:rPr>
          <w:rFonts w:hint="cs"/>
          <w:rtl/>
        </w:rPr>
        <w:tab/>
      </w:r>
      <w:r w:rsidR="0058501F" w:rsidRPr="00AA522B">
        <w:rPr>
          <w:rFonts w:hint="cs"/>
          <w:sz w:val="16"/>
          <w:szCs w:val="26"/>
          <w:rtl/>
        </w:rPr>
        <w:t>المصدر: لجنة الخدمة العامة</w:t>
      </w:r>
      <w:r>
        <w:rPr>
          <w:rFonts w:hint="cs"/>
          <w:sz w:val="16"/>
          <w:szCs w:val="26"/>
          <w:rtl/>
        </w:rPr>
        <w:t>.</w:t>
      </w:r>
    </w:p>
    <w:p w:rsidR="00726554" w:rsidRPr="00726554" w:rsidRDefault="00726554" w:rsidP="00726554">
      <w:pPr>
        <w:spacing w:line="120" w:lineRule="exact"/>
        <w:rPr>
          <w:rFonts w:hint="cs"/>
          <w:sz w:val="10"/>
          <w:szCs w:val="32"/>
          <w:rtl/>
        </w:rPr>
      </w:pPr>
    </w:p>
    <w:p w:rsidR="0058501F" w:rsidRDefault="00726554" w:rsidP="00726554">
      <w:pPr>
        <w:pStyle w:val="SingleTxt"/>
        <w:rPr>
          <w:rFonts w:hint="cs"/>
          <w:rtl/>
        </w:rPr>
      </w:pPr>
      <w:r>
        <w:rPr>
          <w:rFonts w:hint="cs"/>
          <w:rtl/>
        </w:rPr>
        <w:t>7-14</w:t>
      </w:r>
      <w:r>
        <w:rPr>
          <w:rFonts w:hint="cs"/>
          <w:rtl/>
        </w:rPr>
        <w:tab/>
      </w:r>
      <w:r w:rsidR="0058501F">
        <w:rPr>
          <w:rFonts w:hint="cs"/>
          <w:rtl/>
        </w:rPr>
        <w:t>يتعين تحسين تمثيل المرأة في القطاع الرسمي. ومن الأساسي توفير تدريب وتعليم مناسبين على جميع المستويات لبناء الثقة وتشجيع مشاركة المرأة على نحو أفضل في مؤسسات صنع القرار الرسمية، بما فيها البرلمان. ولمعالجة هذا الوضع الشاذ، نقحت الحكومة أهداف سياسة المرأة لتطوير برامج وإعداد تدريب لتشجيع المرأة على المشاركة بفعالية في الهيئات القيادية وهيئات صنع القرار الأخرى. وحتى الآن، لا يزال تدريب المرأة مستمراً لتسريع إحداث تغيير في المواقف تجاه القضايا الجنسانية بين موظفي الخدمة المدنية وذوي العلاقة الآخرين. ويجرى أيضاً تقديم أشكال أخرى من التدريب تركز على المهارات القيادية وصنع القرار. ويُتوخى أن ييسر هذا تحقيق النتائج المرجوة المتمثلة في تمكين المرأة لكي تشارك بفعالية في صنع القرارات على صعيد رسمي. وفي سعي الحكومة لتعميم الشؤون الجنسانية في الحياة العامة لتحقيق الهدف النهائي المتمثل في تحقيق المساواة في جميع مجالات العمل، ستنظر في وضع سياسة لتساوي الفرص في العمالة بهدف تسريع هذه العملية. وسيكون من الحصافة أيضاً إدماج الشؤون الجنسانية في التدريب على الإدارة الجيدة في الخدمة المدنية وعلى صعيد الحكومات المحلية أيضاً.</w:t>
      </w:r>
    </w:p>
    <w:p w:rsidR="00726554" w:rsidRPr="00726554" w:rsidRDefault="00726554" w:rsidP="00726554">
      <w:pPr>
        <w:spacing w:line="120" w:lineRule="exact"/>
        <w:rPr>
          <w:rFonts w:hint="cs"/>
          <w:sz w:val="10"/>
          <w:szCs w:val="32"/>
          <w:rtl/>
        </w:rPr>
      </w:pPr>
    </w:p>
    <w:p w:rsidR="0058501F" w:rsidRPr="008B1E60" w:rsidRDefault="00726554" w:rsidP="0072655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8B1E60">
        <w:rPr>
          <w:rFonts w:hint="cs"/>
          <w:rtl/>
        </w:rPr>
        <w:t>الحكومة المحلية (</w:t>
      </w:r>
      <w:r w:rsidR="0058501F">
        <w:rPr>
          <w:rFonts w:hint="cs"/>
          <w:rtl/>
        </w:rPr>
        <w:t>ال</w:t>
      </w:r>
      <w:r w:rsidR="0058501F" w:rsidRPr="008B1E60">
        <w:rPr>
          <w:rFonts w:hint="cs"/>
          <w:rtl/>
        </w:rPr>
        <w:t>فالي كابيول)</w:t>
      </w:r>
    </w:p>
    <w:p w:rsidR="0058501F" w:rsidRDefault="00726554" w:rsidP="00726554">
      <w:pPr>
        <w:pStyle w:val="SingleTxt"/>
        <w:rPr>
          <w:rFonts w:hint="cs"/>
          <w:rtl/>
        </w:rPr>
      </w:pPr>
      <w:r>
        <w:rPr>
          <w:rFonts w:hint="cs"/>
          <w:rtl/>
        </w:rPr>
        <w:t>7-15</w:t>
      </w:r>
      <w:r>
        <w:rPr>
          <w:rFonts w:hint="cs"/>
          <w:rtl/>
        </w:rPr>
        <w:tab/>
      </w:r>
      <w:r w:rsidR="0058501F">
        <w:rPr>
          <w:rFonts w:hint="cs"/>
          <w:rtl/>
        </w:rPr>
        <w:t xml:space="preserve">الفالي كابيول هيئة صنع القرار الرئيسية على الصعيد المحلي. بيد أن هياكل وممارسات صنع القرار تتباين من جزيرة إلى أخرى. فقبل عام 1997، تطور صنع القرار على أساس الممارسات التقليدية والعادات، حيث كان الرجال كبار السن يتخذون القرارات للمجتمع، وتنفذها النساء وبقية المجتمع المحلي. وأدى سن قانون الفالي كابيول في عام 1997 إلى إحداث تغييرات معينة، من بينها إنشاء الكابيول بوصفه الذراع التنفيذي للفالي كابيول. وتوخى القرار أيضاً تمهيد الطريق لإشراك النساء في عمليات صنع القرار الرسمية. وفي حين أن بعض المجتمعات المحلية تتيح مجالاً للمرأة لمشاركة الرجل في صنع القرار في اجتماعات الفالي كابيول، فإن مجتمعات أخرى لا تسمح للمرأة بالمشاركة على الإطلاق. وأظهرت الممارسة أن التقاليد والثقافة السائدتين لا تزالان تعوقان مشاركة المرأة مشاركة نشطة وفاعلة في الفالي كابيول. وتقتصر عضوية الفالي كابيول على الرجال والنساء الذين/ اللواتي تتجاوز أعمارهم/ أعمارهن 50 عاماً؛ إلا أن المرأة لا ترى في معظم الحالات وإن كان يجري تشجيعها في العادة على الحضور والمشاركة. ويعزى ذلك بصورة رئيسية إلى عادات وتقاليد </w:t>
      </w:r>
      <w:r w:rsidR="0058501F" w:rsidRPr="00F8637C">
        <w:rPr>
          <w:szCs w:val="20"/>
        </w:rPr>
        <w:t>“Tuu Mo Aganuu”</w:t>
      </w:r>
      <w:r w:rsidR="0058501F">
        <w:rPr>
          <w:rFonts w:hint="cs"/>
          <w:rtl/>
        </w:rPr>
        <w:t xml:space="preserve"> كل جزيرة.</w:t>
      </w:r>
    </w:p>
    <w:p w:rsidR="0058501F" w:rsidRDefault="00726554" w:rsidP="00AA522B">
      <w:pPr>
        <w:pStyle w:val="SingleTxt"/>
        <w:rPr>
          <w:rFonts w:hint="cs"/>
          <w:rtl/>
        </w:rPr>
      </w:pPr>
      <w:r>
        <w:rPr>
          <w:rFonts w:hint="cs"/>
          <w:rtl/>
        </w:rPr>
        <w:t>7-16</w:t>
      </w:r>
      <w:r>
        <w:rPr>
          <w:rFonts w:hint="cs"/>
          <w:rtl/>
        </w:rPr>
        <w:tab/>
      </w:r>
      <w:r w:rsidR="0058501F">
        <w:rPr>
          <w:rFonts w:hint="cs"/>
          <w:rtl/>
        </w:rPr>
        <w:t>وفي حين أن الفالي كابيول هو المجلس الرئيسي لصنع القرار، فإن فرعه التنفيذي هو الكابيول. وينتخب الشعب أعضاء الكابيول، والشروط الوحيدة هي</w:t>
      </w:r>
      <w:r w:rsidR="00AA522B" w:rsidRPr="00AA522B">
        <w:rPr>
          <w:vertAlign w:val="superscript"/>
          <w:rtl/>
        </w:rPr>
        <w:t>(</w:t>
      </w:r>
      <w:r w:rsidR="00AA522B">
        <w:rPr>
          <w:rStyle w:val="FootnoteReference"/>
          <w:rtl/>
        </w:rPr>
        <w:footnoteReference w:id="76"/>
      </w:r>
      <w:r w:rsidR="00AA522B" w:rsidRPr="00AA522B">
        <w:rPr>
          <w:vertAlign w:val="superscript"/>
          <w:rtl/>
        </w:rPr>
        <w:t>)</w:t>
      </w:r>
      <w:r w:rsidR="0058501F">
        <w:rPr>
          <w:rFonts w:hint="cs"/>
          <w:rtl/>
        </w:rPr>
        <w:t>:</w:t>
      </w:r>
    </w:p>
    <w:p w:rsidR="0058501F" w:rsidRDefault="00726554" w:rsidP="00AA522B">
      <w:pPr>
        <w:pStyle w:val="SingleTxt"/>
        <w:spacing w:line="360" w:lineRule="exact"/>
        <w:rPr>
          <w:rFonts w:hint="cs"/>
          <w:rtl/>
        </w:rPr>
      </w:pPr>
      <w:r>
        <w:rPr>
          <w:rFonts w:hint="cs"/>
          <w:rtl/>
        </w:rPr>
        <w:tab/>
        <w:t>(أ)</w:t>
      </w:r>
      <w:r>
        <w:rPr>
          <w:rFonts w:hint="cs"/>
          <w:rtl/>
        </w:rPr>
        <w:tab/>
      </w:r>
      <w:r w:rsidR="0058501F">
        <w:rPr>
          <w:rFonts w:hint="cs"/>
          <w:rtl/>
        </w:rPr>
        <w:t>أن لا يكون الشخص مسؤولاً حكومياً؛</w:t>
      </w:r>
    </w:p>
    <w:p w:rsidR="0058501F" w:rsidRDefault="00726554" w:rsidP="00AA522B">
      <w:pPr>
        <w:pStyle w:val="SingleTxt"/>
        <w:spacing w:line="360" w:lineRule="exact"/>
        <w:rPr>
          <w:rFonts w:hint="cs"/>
          <w:rtl/>
        </w:rPr>
      </w:pPr>
      <w:r>
        <w:rPr>
          <w:rFonts w:hint="cs"/>
          <w:rtl/>
        </w:rPr>
        <w:tab/>
        <w:t>(ب)</w:t>
      </w:r>
      <w:r>
        <w:rPr>
          <w:rFonts w:hint="cs"/>
          <w:rtl/>
        </w:rPr>
        <w:tab/>
      </w:r>
      <w:r w:rsidR="0058501F">
        <w:rPr>
          <w:rFonts w:hint="cs"/>
          <w:rtl/>
        </w:rPr>
        <w:t>أن لا يكون قد أشهر إفلاسه ولم يردّ اعتباره؛</w:t>
      </w:r>
    </w:p>
    <w:p w:rsidR="0058501F" w:rsidRDefault="00726554" w:rsidP="00AA522B">
      <w:pPr>
        <w:pStyle w:val="SingleTxt"/>
        <w:spacing w:line="360" w:lineRule="exact"/>
        <w:rPr>
          <w:rFonts w:hint="cs"/>
          <w:rtl/>
        </w:rPr>
      </w:pPr>
      <w:r>
        <w:rPr>
          <w:rFonts w:hint="cs"/>
          <w:rtl/>
        </w:rPr>
        <w:tab/>
        <w:t>(ج)</w:t>
      </w:r>
      <w:r>
        <w:rPr>
          <w:rFonts w:hint="cs"/>
          <w:rtl/>
        </w:rPr>
        <w:tab/>
      </w:r>
      <w:r w:rsidR="0058501F">
        <w:rPr>
          <w:rFonts w:hint="cs"/>
          <w:rtl/>
        </w:rPr>
        <w:t>أن لا يكون الشخص قد أدين في السنوات الخمس التي تسبق مباشرة الانتخابات لعضوية الكابيول بتبديد أموال تتجاوز 200 دولار أمريكي من أموال الفالي كابيول؛</w:t>
      </w:r>
    </w:p>
    <w:p w:rsidR="0058501F" w:rsidRDefault="00726554" w:rsidP="00AA522B">
      <w:pPr>
        <w:pStyle w:val="SingleTxt"/>
        <w:spacing w:line="360" w:lineRule="exact"/>
        <w:rPr>
          <w:rFonts w:hint="cs"/>
          <w:rtl/>
        </w:rPr>
      </w:pPr>
      <w:r>
        <w:rPr>
          <w:rFonts w:hint="cs"/>
          <w:rtl/>
        </w:rPr>
        <w:tab/>
        <w:t>(د)</w:t>
      </w:r>
      <w:r>
        <w:rPr>
          <w:rFonts w:hint="cs"/>
          <w:rtl/>
        </w:rPr>
        <w:tab/>
      </w:r>
      <w:r w:rsidR="0058501F">
        <w:rPr>
          <w:rFonts w:hint="cs"/>
          <w:rtl/>
        </w:rPr>
        <w:t>أن لا يكون يقضي عقوبة في السجن؛</w:t>
      </w:r>
    </w:p>
    <w:p w:rsidR="0058501F" w:rsidRDefault="00726554" w:rsidP="00AA522B">
      <w:pPr>
        <w:pStyle w:val="SingleTxt"/>
        <w:spacing w:line="360" w:lineRule="exact"/>
        <w:rPr>
          <w:rFonts w:hint="cs"/>
          <w:rtl/>
        </w:rPr>
      </w:pPr>
      <w:r>
        <w:rPr>
          <w:rFonts w:hint="cs"/>
          <w:rtl/>
        </w:rPr>
        <w:tab/>
        <w:t>(هـ)</w:t>
      </w:r>
      <w:r>
        <w:rPr>
          <w:rFonts w:hint="cs"/>
          <w:rtl/>
        </w:rPr>
        <w:tab/>
      </w:r>
      <w:r w:rsidR="0058501F">
        <w:rPr>
          <w:rFonts w:hint="cs"/>
          <w:rtl/>
        </w:rPr>
        <w:t xml:space="preserve">أن لا تكون قد صدرت شهادة بأنه مجنون أو تقرر أنه مختل عقلياً؛ </w:t>
      </w:r>
    </w:p>
    <w:p w:rsidR="0058501F" w:rsidRDefault="00726554" w:rsidP="00AA522B">
      <w:pPr>
        <w:pStyle w:val="SingleTxt"/>
        <w:spacing w:line="360" w:lineRule="exact"/>
        <w:rPr>
          <w:rFonts w:hint="cs"/>
          <w:rtl/>
        </w:rPr>
      </w:pPr>
      <w:r>
        <w:rPr>
          <w:rFonts w:hint="cs"/>
          <w:rtl/>
        </w:rPr>
        <w:tab/>
        <w:t>(و)</w:t>
      </w:r>
      <w:r>
        <w:rPr>
          <w:rFonts w:hint="cs"/>
          <w:rtl/>
        </w:rPr>
        <w:tab/>
      </w:r>
      <w:r w:rsidR="0058501F">
        <w:rPr>
          <w:rFonts w:hint="cs"/>
          <w:rtl/>
        </w:rPr>
        <w:t>أن لا يكون قد أُدين بأية جناية تتعلق بالانتخابات؛</w:t>
      </w:r>
    </w:p>
    <w:p w:rsidR="0058501F" w:rsidRDefault="00726554" w:rsidP="00AA522B">
      <w:pPr>
        <w:pStyle w:val="SingleTxt"/>
        <w:spacing w:line="360" w:lineRule="exact"/>
        <w:rPr>
          <w:rFonts w:hint="cs"/>
          <w:rtl/>
        </w:rPr>
      </w:pPr>
      <w:r>
        <w:rPr>
          <w:rFonts w:hint="cs"/>
          <w:rtl/>
        </w:rPr>
        <w:tab/>
        <w:t>(ز)</w:t>
      </w:r>
      <w:r>
        <w:rPr>
          <w:rFonts w:hint="cs"/>
          <w:rtl/>
        </w:rPr>
        <w:tab/>
      </w:r>
      <w:r w:rsidR="0058501F">
        <w:rPr>
          <w:rFonts w:hint="cs"/>
          <w:rtl/>
        </w:rPr>
        <w:t>أن لا يكون يشغل منصب قاضي صلح في الجزيرة؛</w:t>
      </w:r>
    </w:p>
    <w:p w:rsidR="0058501F" w:rsidRDefault="00726554" w:rsidP="00AA522B">
      <w:pPr>
        <w:pStyle w:val="SingleTxt"/>
        <w:spacing w:line="360" w:lineRule="exact"/>
        <w:rPr>
          <w:rFonts w:hint="cs"/>
          <w:rtl/>
        </w:rPr>
      </w:pPr>
      <w:r>
        <w:rPr>
          <w:rFonts w:hint="cs"/>
          <w:rtl/>
        </w:rPr>
        <w:tab/>
        <w:t>(ح)</w:t>
      </w:r>
      <w:r>
        <w:rPr>
          <w:rFonts w:hint="cs"/>
          <w:rtl/>
        </w:rPr>
        <w:tab/>
      </w:r>
      <w:r w:rsidR="0058501F">
        <w:rPr>
          <w:rFonts w:hint="cs"/>
          <w:rtl/>
        </w:rPr>
        <w:t>أن لا يكون عضواً في محكمة الأراضي أو لجنة الاستئناف الخاصة بالأراضي؛</w:t>
      </w:r>
    </w:p>
    <w:p w:rsidR="0058501F" w:rsidRDefault="00726554" w:rsidP="00AA522B">
      <w:pPr>
        <w:pStyle w:val="SingleTxt"/>
        <w:spacing w:line="360" w:lineRule="exact"/>
        <w:rPr>
          <w:rFonts w:hint="cs"/>
          <w:rtl/>
        </w:rPr>
      </w:pPr>
      <w:r>
        <w:rPr>
          <w:rFonts w:hint="cs"/>
          <w:rtl/>
        </w:rPr>
        <w:tab/>
        <w:t>(ط)</w:t>
      </w:r>
      <w:r>
        <w:rPr>
          <w:rFonts w:hint="cs"/>
          <w:rtl/>
        </w:rPr>
        <w:tab/>
      </w:r>
      <w:r w:rsidR="0058501F">
        <w:rPr>
          <w:rFonts w:hint="cs"/>
          <w:rtl/>
        </w:rPr>
        <w:t>أن يوافق الشخص على أن ينتخب.</w:t>
      </w:r>
    </w:p>
    <w:p w:rsidR="0058501F" w:rsidRDefault="00726554" w:rsidP="00726554">
      <w:pPr>
        <w:pStyle w:val="SingleTxt"/>
        <w:rPr>
          <w:rFonts w:hint="cs"/>
          <w:rtl/>
        </w:rPr>
      </w:pPr>
      <w:r>
        <w:rPr>
          <w:rFonts w:hint="cs"/>
          <w:rtl/>
        </w:rPr>
        <w:t>7-17</w:t>
      </w:r>
      <w:r>
        <w:rPr>
          <w:rFonts w:hint="cs"/>
          <w:rtl/>
        </w:rPr>
        <w:tab/>
      </w:r>
      <w:r w:rsidR="0058501F">
        <w:rPr>
          <w:rFonts w:hint="cs"/>
          <w:rtl/>
        </w:rPr>
        <w:t>بموجب أحكام قانون الفالي كابيول لعام 1997، يتعين أن تنتخب كل جزيرة ستة أشخاص ليكونوا أعضاءً في الكابيول (مجلس) الجزيرة. وما فتئ الرجال يسيطرون على عضوية هذه المجالس، ولكن يجب الاعتراف بأنه بدأ يحدث شيء من التغيير، وذلك كما يتضح من الجدول أدناه.</w:t>
      </w:r>
    </w:p>
    <w:p w:rsidR="00726554" w:rsidRPr="00726554" w:rsidRDefault="00726554" w:rsidP="00726554">
      <w:pPr>
        <w:spacing w:line="120" w:lineRule="exact"/>
        <w:jc w:val="center"/>
        <w:rPr>
          <w:rFonts w:hint="cs"/>
          <w:b/>
          <w:bCs/>
          <w:sz w:val="10"/>
          <w:szCs w:val="28"/>
          <w:rtl/>
        </w:rPr>
      </w:pPr>
    </w:p>
    <w:p w:rsidR="0058501F" w:rsidRDefault="00726554" w:rsidP="0072655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sidR="0058501F" w:rsidRPr="00885153">
        <w:rPr>
          <w:rFonts w:hint="cs"/>
          <w:rtl/>
        </w:rPr>
        <w:t xml:space="preserve">الجدول 13: أعضاء </w:t>
      </w:r>
      <w:r w:rsidR="0058501F">
        <w:rPr>
          <w:rFonts w:hint="cs"/>
          <w:rtl/>
        </w:rPr>
        <w:t>المج</w:t>
      </w:r>
      <w:r w:rsidR="0058501F" w:rsidRPr="00885153">
        <w:rPr>
          <w:rFonts w:hint="cs"/>
          <w:rtl/>
        </w:rPr>
        <w:t>لس</w:t>
      </w:r>
      <w:r w:rsidR="0058501F">
        <w:rPr>
          <w:rFonts w:hint="cs"/>
          <w:rtl/>
        </w:rPr>
        <w:t xml:space="preserve"> (الكابيول)</w:t>
      </w:r>
      <w:r w:rsidR="0058501F" w:rsidRPr="00885153">
        <w:rPr>
          <w:rFonts w:hint="cs"/>
          <w:rtl/>
        </w:rPr>
        <w:t xml:space="preserve"> المنتخبون موزعون حسب نوع الجنس، 1997 </w:t>
      </w:r>
      <w:r w:rsidR="00084D51">
        <w:rPr>
          <w:rtl/>
        </w:rPr>
        <w:t>-</w:t>
      </w:r>
      <w:r w:rsidR="0058501F">
        <w:rPr>
          <w:rFonts w:hint="cs"/>
          <w:rtl/>
        </w:rPr>
        <w:t xml:space="preserve"> 2005</w:t>
      </w:r>
    </w:p>
    <w:p w:rsidR="00726554" w:rsidRPr="00726554" w:rsidRDefault="00726554" w:rsidP="00726554">
      <w:pPr>
        <w:spacing w:line="120" w:lineRule="exact"/>
        <w:rPr>
          <w:rFonts w:hint="cs"/>
          <w:sz w:val="10"/>
          <w:rtl/>
        </w:rPr>
      </w:pPr>
    </w:p>
    <w:tbl>
      <w:tblPr>
        <w:tblStyle w:val="TableGrid"/>
        <w:bidiVisual/>
        <w:tblW w:w="0" w:type="auto"/>
        <w:jc w:val="center"/>
        <w:tblLayout w:type="fixed"/>
        <w:tblLook w:val="01E0" w:firstRow="1" w:lastRow="1" w:firstColumn="1" w:lastColumn="1" w:noHBand="0" w:noVBand="0"/>
      </w:tblPr>
      <w:tblGrid>
        <w:gridCol w:w="1440"/>
        <w:gridCol w:w="792"/>
        <w:gridCol w:w="792"/>
        <w:gridCol w:w="792"/>
        <w:gridCol w:w="792"/>
        <w:gridCol w:w="792"/>
        <w:gridCol w:w="792"/>
        <w:gridCol w:w="792"/>
        <w:gridCol w:w="792"/>
        <w:gridCol w:w="792"/>
      </w:tblGrid>
      <w:tr w:rsidR="0058501F" w:rsidRPr="00F8637C">
        <w:trPr>
          <w:jc w:val="center"/>
        </w:trPr>
        <w:tc>
          <w:tcPr>
            <w:tcW w:w="1440"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الجزيرة</w:t>
            </w:r>
          </w:p>
        </w:tc>
        <w:tc>
          <w:tcPr>
            <w:tcW w:w="2376" w:type="dxa"/>
            <w:gridSpan w:val="3"/>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1997</w:t>
            </w:r>
          </w:p>
        </w:tc>
        <w:tc>
          <w:tcPr>
            <w:tcW w:w="2376" w:type="dxa"/>
            <w:gridSpan w:val="3"/>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2001</w:t>
            </w:r>
          </w:p>
        </w:tc>
        <w:tc>
          <w:tcPr>
            <w:tcW w:w="2376" w:type="dxa"/>
            <w:gridSpan w:val="3"/>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2005</w:t>
            </w:r>
          </w:p>
        </w:tc>
      </w:tr>
      <w:tr w:rsidR="0058501F" w:rsidRPr="00F8637C">
        <w:trPr>
          <w:jc w:val="center"/>
        </w:trPr>
        <w:tc>
          <w:tcPr>
            <w:tcW w:w="1440" w:type="dxa"/>
          </w:tcPr>
          <w:p w:rsidR="0058501F" w:rsidRPr="002348B7" w:rsidRDefault="0058501F" w:rsidP="0058501F">
            <w:pPr>
              <w:rPr>
                <w:rFonts w:cs="Traditional Arabic" w:hint="cs"/>
                <w:b/>
                <w:bCs/>
                <w:sz w:val="28"/>
                <w:szCs w:val="28"/>
                <w:rtl/>
              </w:rPr>
            </w:pP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ذكور</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إناث</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المجموع</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ذكور</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إناث</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المجموع</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ذكور</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إناث</w:t>
            </w:r>
          </w:p>
        </w:tc>
        <w:tc>
          <w:tcPr>
            <w:tcW w:w="792" w:type="dxa"/>
          </w:tcPr>
          <w:p w:rsidR="0058501F" w:rsidRPr="002348B7" w:rsidRDefault="0058501F" w:rsidP="0058501F">
            <w:pPr>
              <w:jc w:val="center"/>
              <w:rPr>
                <w:rFonts w:cs="Traditional Arabic" w:hint="cs"/>
                <w:b/>
                <w:bCs/>
                <w:sz w:val="28"/>
                <w:szCs w:val="28"/>
                <w:rtl/>
              </w:rPr>
            </w:pPr>
            <w:r w:rsidRPr="002348B7">
              <w:rPr>
                <w:rFonts w:cs="Traditional Arabic" w:hint="cs"/>
                <w:b/>
                <w:bCs/>
                <w:sz w:val="28"/>
                <w:szCs w:val="28"/>
                <w:rtl/>
              </w:rPr>
              <w:t>المجموع</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نانوميا</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نيوتاو</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5</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1</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نانومانغا</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نوي</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فايتو</w:t>
            </w:r>
            <w:r>
              <w:rPr>
                <w:rFonts w:cs="Traditional Arabic" w:hint="cs"/>
                <w:sz w:val="28"/>
                <w:szCs w:val="28"/>
                <w:rtl/>
              </w:rPr>
              <w:t>ب</w:t>
            </w:r>
            <w:r w:rsidRPr="00F8637C">
              <w:rPr>
                <w:rFonts w:cs="Traditional Arabic" w:hint="cs"/>
                <w:sz w:val="28"/>
                <w:szCs w:val="28"/>
                <w:rtl/>
              </w:rPr>
              <w:t>و</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نوكوفيتا</w:t>
            </w:r>
            <w:r>
              <w:rPr>
                <w:rFonts w:cs="Traditional Arabic" w:hint="cs"/>
                <w:sz w:val="28"/>
                <w:szCs w:val="28"/>
                <w:rtl/>
              </w:rPr>
              <w:t>و</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فونافوتي</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F8637C" w:rsidRDefault="0058501F" w:rsidP="0058501F">
            <w:pPr>
              <w:rPr>
                <w:rFonts w:cs="Traditional Arabic" w:hint="cs"/>
                <w:sz w:val="28"/>
                <w:szCs w:val="28"/>
                <w:rtl/>
              </w:rPr>
            </w:pPr>
            <w:r w:rsidRPr="00F8637C">
              <w:rPr>
                <w:rFonts w:cs="Traditional Arabic" w:hint="cs"/>
                <w:sz w:val="28"/>
                <w:szCs w:val="28"/>
                <w:rtl/>
              </w:rPr>
              <w:t>نوكولالا</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2</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6</w:t>
            </w:r>
          </w:p>
        </w:tc>
      </w:tr>
      <w:tr w:rsidR="0058501F" w:rsidRPr="00F8637C">
        <w:trPr>
          <w:jc w:val="center"/>
        </w:trPr>
        <w:tc>
          <w:tcPr>
            <w:tcW w:w="1440" w:type="dxa"/>
          </w:tcPr>
          <w:p w:rsidR="0058501F" w:rsidRPr="002348B7" w:rsidRDefault="0058501F" w:rsidP="0058501F">
            <w:pPr>
              <w:rPr>
                <w:rFonts w:cs="Traditional Arabic" w:hint="cs"/>
                <w:b/>
                <w:bCs/>
                <w:sz w:val="28"/>
                <w:szCs w:val="28"/>
                <w:rtl/>
              </w:rPr>
            </w:pPr>
            <w:r w:rsidRPr="002348B7">
              <w:rPr>
                <w:rFonts w:cs="Traditional Arabic" w:hint="cs"/>
                <w:b/>
                <w:bCs/>
                <w:sz w:val="28"/>
                <w:szCs w:val="28"/>
                <w:rtl/>
              </w:rPr>
              <w:t>المجموع</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48</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48</w:t>
            </w:r>
          </w:p>
        </w:tc>
        <w:tc>
          <w:tcPr>
            <w:tcW w:w="792" w:type="dxa"/>
          </w:tcPr>
          <w:p w:rsidR="0058501F" w:rsidRDefault="0058501F" w:rsidP="0058501F">
            <w:pPr>
              <w:jc w:val="center"/>
              <w:rPr>
                <w:rFonts w:cs="Traditional Arabic" w:hint="cs"/>
                <w:sz w:val="28"/>
                <w:szCs w:val="28"/>
                <w:rtl/>
              </w:rPr>
            </w:pPr>
            <w:r>
              <w:rPr>
                <w:rFonts w:cs="Traditional Arabic" w:hint="cs"/>
                <w:sz w:val="28"/>
                <w:szCs w:val="28"/>
                <w:rtl/>
              </w:rPr>
              <w:t>38</w:t>
            </w:r>
          </w:p>
          <w:p w:rsidR="0058501F" w:rsidRPr="008F7181" w:rsidRDefault="0058501F" w:rsidP="0058501F">
            <w:pPr>
              <w:jc w:val="center"/>
              <w:rPr>
                <w:rFonts w:cs="Traditional Arabic" w:hint="cs"/>
                <w:szCs w:val="20"/>
                <w:rtl/>
              </w:rPr>
            </w:pPr>
            <w:r w:rsidRPr="008F7181">
              <w:rPr>
                <w:rFonts w:cs="Traditional Arabic" w:hint="cs"/>
                <w:szCs w:val="20"/>
                <w:rtl/>
              </w:rPr>
              <w:t>79.17</w:t>
            </w:r>
            <w:r>
              <w:rPr>
                <w:rFonts w:cs="Traditional Arabic" w:hint="cs"/>
                <w:szCs w:val="20"/>
                <w:rtl/>
              </w:rPr>
              <w:t>%</w:t>
            </w:r>
          </w:p>
        </w:tc>
        <w:tc>
          <w:tcPr>
            <w:tcW w:w="792" w:type="dxa"/>
          </w:tcPr>
          <w:p w:rsidR="0058501F" w:rsidRDefault="0058501F" w:rsidP="0058501F">
            <w:pPr>
              <w:jc w:val="center"/>
              <w:rPr>
                <w:rFonts w:cs="Traditional Arabic" w:hint="cs"/>
                <w:sz w:val="28"/>
                <w:szCs w:val="28"/>
                <w:rtl/>
              </w:rPr>
            </w:pPr>
            <w:r>
              <w:rPr>
                <w:rFonts w:cs="Traditional Arabic" w:hint="cs"/>
                <w:sz w:val="28"/>
                <w:szCs w:val="28"/>
                <w:rtl/>
              </w:rPr>
              <w:t>10</w:t>
            </w:r>
          </w:p>
          <w:p w:rsidR="0058501F" w:rsidRPr="008F7181" w:rsidRDefault="0058501F" w:rsidP="0058501F">
            <w:pPr>
              <w:jc w:val="center"/>
              <w:rPr>
                <w:rFonts w:cs="Traditional Arabic" w:hint="cs"/>
                <w:szCs w:val="20"/>
                <w:rtl/>
              </w:rPr>
            </w:pPr>
            <w:r w:rsidRPr="008F7181">
              <w:rPr>
                <w:rFonts w:cs="Traditional Arabic" w:hint="cs"/>
                <w:szCs w:val="20"/>
                <w:rtl/>
              </w:rPr>
              <w:t>20.83</w:t>
            </w:r>
            <w:r>
              <w:rPr>
                <w:rFonts w:cs="Traditional Arabic" w:hint="cs"/>
                <w:szCs w:val="20"/>
                <w:rtl/>
              </w:rPr>
              <w:t>%</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48</w:t>
            </w:r>
          </w:p>
        </w:tc>
        <w:tc>
          <w:tcPr>
            <w:tcW w:w="792" w:type="dxa"/>
          </w:tcPr>
          <w:p w:rsidR="0058501F" w:rsidRDefault="0058501F" w:rsidP="0058501F">
            <w:pPr>
              <w:jc w:val="center"/>
              <w:rPr>
                <w:rFonts w:cs="Traditional Arabic" w:hint="cs"/>
                <w:sz w:val="28"/>
                <w:szCs w:val="28"/>
                <w:rtl/>
              </w:rPr>
            </w:pPr>
            <w:r>
              <w:rPr>
                <w:rFonts w:cs="Traditional Arabic" w:hint="cs"/>
                <w:sz w:val="28"/>
                <w:szCs w:val="28"/>
                <w:rtl/>
              </w:rPr>
              <w:t>45</w:t>
            </w:r>
          </w:p>
          <w:p w:rsidR="0058501F" w:rsidRPr="008F7181" w:rsidRDefault="0058501F" w:rsidP="0058501F">
            <w:pPr>
              <w:jc w:val="center"/>
              <w:rPr>
                <w:rFonts w:cs="Traditional Arabic" w:hint="cs"/>
                <w:szCs w:val="20"/>
                <w:rtl/>
              </w:rPr>
            </w:pPr>
            <w:r w:rsidRPr="008F7181">
              <w:rPr>
                <w:rFonts w:cs="Traditional Arabic" w:hint="cs"/>
                <w:szCs w:val="20"/>
                <w:rtl/>
              </w:rPr>
              <w:t>93.75</w:t>
            </w:r>
            <w:r>
              <w:rPr>
                <w:rFonts w:cs="Traditional Arabic" w:hint="cs"/>
                <w:szCs w:val="20"/>
                <w:rtl/>
              </w:rPr>
              <w:t>%</w:t>
            </w:r>
          </w:p>
        </w:tc>
        <w:tc>
          <w:tcPr>
            <w:tcW w:w="792" w:type="dxa"/>
          </w:tcPr>
          <w:p w:rsidR="0058501F" w:rsidRDefault="0058501F" w:rsidP="0058501F">
            <w:pPr>
              <w:jc w:val="center"/>
              <w:rPr>
                <w:rFonts w:cs="Traditional Arabic" w:hint="cs"/>
                <w:sz w:val="28"/>
                <w:szCs w:val="28"/>
                <w:rtl/>
              </w:rPr>
            </w:pPr>
            <w:r>
              <w:rPr>
                <w:rFonts w:cs="Traditional Arabic" w:hint="cs"/>
                <w:sz w:val="28"/>
                <w:szCs w:val="28"/>
                <w:rtl/>
              </w:rPr>
              <w:t>3</w:t>
            </w:r>
          </w:p>
          <w:p w:rsidR="0058501F" w:rsidRPr="008F7181" w:rsidRDefault="0058501F" w:rsidP="0058501F">
            <w:pPr>
              <w:rPr>
                <w:rFonts w:cs="Traditional Arabic" w:hint="cs"/>
                <w:szCs w:val="20"/>
                <w:rtl/>
              </w:rPr>
            </w:pPr>
            <w:r w:rsidRPr="008F7181">
              <w:rPr>
                <w:rFonts w:cs="Traditional Arabic" w:hint="cs"/>
                <w:szCs w:val="20"/>
                <w:rtl/>
              </w:rPr>
              <w:t>6.25</w:t>
            </w:r>
            <w:r>
              <w:rPr>
                <w:rFonts w:cs="Traditional Arabic" w:hint="cs"/>
                <w:szCs w:val="20"/>
                <w:rtl/>
              </w:rPr>
              <w:t>%</w:t>
            </w:r>
          </w:p>
        </w:tc>
        <w:tc>
          <w:tcPr>
            <w:tcW w:w="792" w:type="dxa"/>
          </w:tcPr>
          <w:p w:rsidR="0058501F" w:rsidRPr="00F8637C" w:rsidRDefault="0058501F" w:rsidP="0058501F">
            <w:pPr>
              <w:jc w:val="center"/>
              <w:rPr>
                <w:rFonts w:cs="Traditional Arabic" w:hint="cs"/>
                <w:sz w:val="28"/>
                <w:szCs w:val="28"/>
                <w:rtl/>
              </w:rPr>
            </w:pPr>
            <w:r>
              <w:rPr>
                <w:rFonts w:cs="Traditional Arabic" w:hint="cs"/>
                <w:sz w:val="28"/>
                <w:szCs w:val="28"/>
                <w:rtl/>
              </w:rPr>
              <w:t>48</w:t>
            </w:r>
          </w:p>
        </w:tc>
      </w:tr>
    </w:tbl>
    <w:p w:rsidR="0058501F" w:rsidRPr="00F8637C" w:rsidRDefault="00726554" w:rsidP="0058501F">
      <w:pPr>
        <w:rPr>
          <w:rFonts w:hint="cs"/>
          <w:sz w:val="28"/>
          <w:szCs w:val="28"/>
          <w:rtl/>
        </w:rPr>
      </w:pPr>
      <w:r>
        <w:rPr>
          <w:rFonts w:hint="cs"/>
          <w:sz w:val="28"/>
          <w:szCs w:val="28"/>
          <w:rtl/>
        </w:rPr>
        <w:tab/>
      </w:r>
      <w:r w:rsidR="0058501F" w:rsidRPr="00F8637C">
        <w:rPr>
          <w:rFonts w:hint="cs"/>
          <w:sz w:val="28"/>
          <w:szCs w:val="28"/>
          <w:rtl/>
        </w:rPr>
        <w:t xml:space="preserve">المصدر: إدارة التنمية الريفية، عام 2006 </w:t>
      </w:r>
    </w:p>
    <w:p w:rsidR="00726554" w:rsidRPr="00726554" w:rsidRDefault="00726554" w:rsidP="00726554">
      <w:pPr>
        <w:spacing w:line="120" w:lineRule="exact"/>
        <w:rPr>
          <w:rFonts w:hint="cs"/>
          <w:sz w:val="10"/>
          <w:szCs w:val="32"/>
          <w:rtl/>
        </w:rPr>
      </w:pPr>
    </w:p>
    <w:p w:rsidR="0058501F" w:rsidRDefault="00726554" w:rsidP="00726554">
      <w:pPr>
        <w:pStyle w:val="SingleTxt"/>
        <w:rPr>
          <w:rFonts w:hint="cs"/>
          <w:rtl/>
        </w:rPr>
      </w:pPr>
      <w:r>
        <w:rPr>
          <w:rFonts w:hint="cs"/>
          <w:rtl/>
        </w:rPr>
        <w:t>7-18</w:t>
      </w:r>
      <w:r>
        <w:rPr>
          <w:rFonts w:hint="cs"/>
          <w:rtl/>
        </w:rPr>
        <w:tab/>
      </w:r>
      <w:r w:rsidR="0058501F">
        <w:rPr>
          <w:rFonts w:hint="cs"/>
          <w:rtl/>
        </w:rPr>
        <w:t>يتكون كل مجلس من خمسة أعضاء دائمين كحد أدنى، من بينهم الأمين وأمين الصندوق ومسؤول التخطيط والتنمية في المجتمع المحلي، وكاتب وعامل في المجتمع المحلي. ويتكون الموظفون مما يلي:</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60"/>
        <w:gridCol w:w="1152"/>
        <w:gridCol w:w="1152"/>
        <w:gridCol w:w="1152"/>
      </w:tblGrid>
      <w:tr w:rsidR="0058501F" w:rsidRPr="00726554">
        <w:trPr>
          <w:cantSplit/>
          <w:tblHeader/>
          <w:jc w:val="center"/>
        </w:trPr>
        <w:tc>
          <w:tcPr>
            <w:tcW w:w="2160" w:type="dxa"/>
            <w:tcBorders>
              <w:top w:val="single" w:sz="4" w:space="0" w:color="auto"/>
              <w:bottom w:val="single" w:sz="12" w:space="0" w:color="auto"/>
            </w:tcBorders>
            <w:shd w:val="clear" w:color="auto" w:fill="auto"/>
            <w:vAlign w:val="bottom"/>
          </w:tcPr>
          <w:p w:rsidR="0058501F" w:rsidRPr="00726554" w:rsidRDefault="0058501F" w:rsidP="00726554">
            <w:pPr>
              <w:spacing w:before="80" w:after="80" w:line="240" w:lineRule="exact"/>
              <w:rPr>
                <w:rFonts w:cs="Traditional Arabic" w:hint="cs"/>
                <w:i/>
                <w:iCs/>
                <w:sz w:val="16"/>
                <w:szCs w:val="24"/>
                <w:rtl/>
              </w:rPr>
            </w:pPr>
          </w:p>
        </w:tc>
        <w:tc>
          <w:tcPr>
            <w:tcW w:w="1152" w:type="dxa"/>
            <w:tcBorders>
              <w:top w:val="single" w:sz="4" w:space="0" w:color="auto"/>
              <w:bottom w:val="single" w:sz="12" w:space="0" w:color="auto"/>
            </w:tcBorders>
            <w:shd w:val="clear" w:color="auto" w:fill="auto"/>
            <w:vAlign w:val="bottom"/>
          </w:tcPr>
          <w:p w:rsidR="0058501F" w:rsidRPr="00726554" w:rsidRDefault="0058501F" w:rsidP="00726554">
            <w:pPr>
              <w:spacing w:before="80" w:after="80" w:line="240" w:lineRule="exact"/>
              <w:ind w:right="144"/>
              <w:jc w:val="lowKashida"/>
              <w:rPr>
                <w:rFonts w:cs="Traditional Arabic" w:hint="cs"/>
                <w:b/>
                <w:bCs/>
                <w:i/>
                <w:iCs/>
                <w:sz w:val="16"/>
                <w:szCs w:val="24"/>
                <w:rtl/>
              </w:rPr>
            </w:pPr>
            <w:r w:rsidRPr="00726554">
              <w:rPr>
                <w:rFonts w:cs="Traditional Arabic" w:hint="cs"/>
                <w:b/>
                <w:bCs/>
                <w:i/>
                <w:iCs/>
                <w:sz w:val="16"/>
                <w:szCs w:val="24"/>
                <w:rtl/>
              </w:rPr>
              <w:t>ذكور</w:t>
            </w:r>
          </w:p>
        </w:tc>
        <w:tc>
          <w:tcPr>
            <w:tcW w:w="1152" w:type="dxa"/>
            <w:tcBorders>
              <w:top w:val="single" w:sz="4" w:space="0" w:color="auto"/>
              <w:bottom w:val="single" w:sz="12" w:space="0" w:color="auto"/>
            </w:tcBorders>
            <w:shd w:val="clear" w:color="auto" w:fill="auto"/>
            <w:vAlign w:val="bottom"/>
          </w:tcPr>
          <w:p w:rsidR="0058501F" w:rsidRPr="00726554" w:rsidRDefault="0058501F" w:rsidP="00726554">
            <w:pPr>
              <w:spacing w:before="80" w:after="80" w:line="240" w:lineRule="exact"/>
              <w:ind w:right="144"/>
              <w:jc w:val="lowKashida"/>
              <w:rPr>
                <w:rFonts w:cs="Traditional Arabic" w:hint="cs"/>
                <w:b/>
                <w:bCs/>
                <w:i/>
                <w:iCs/>
                <w:sz w:val="16"/>
                <w:szCs w:val="24"/>
                <w:rtl/>
              </w:rPr>
            </w:pPr>
            <w:r w:rsidRPr="00726554">
              <w:rPr>
                <w:rFonts w:cs="Traditional Arabic" w:hint="cs"/>
                <w:b/>
                <w:bCs/>
                <w:i/>
                <w:iCs/>
                <w:sz w:val="16"/>
                <w:szCs w:val="24"/>
                <w:rtl/>
              </w:rPr>
              <w:t>إناث</w:t>
            </w:r>
          </w:p>
        </w:tc>
        <w:tc>
          <w:tcPr>
            <w:tcW w:w="1152" w:type="dxa"/>
            <w:tcBorders>
              <w:top w:val="single" w:sz="4" w:space="0" w:color="auto"/>
              <w:bottom w:val="single" w:sz="12" w:space="0" w:color="auto"/>
            </w:tcBorders>
            <w:shd w:val="clear" w:color="auto" w:fill="auto"/>
            <w:vAlign w:val="bottom"/>
          </w:tcPr>
          <w:p w:rsidR="0058501F" w:rsidRPr="00726554" w:rsidRDefault="0058501F" w:rsidP="00726554">
            <w:pPr>
              <w:spacing w:before="80" w:after="80" w:line="240" w:lineRule="exact"/>
              <w:ind w:right="144"/>
              <w:jc w:val="lowKashida"/>
              <w:rPr>
                <w:rFonts w:cs="Traditional Arabic" w:hint="cs"/>
                <w:b/>
                <w:bCs/>
                <w:i/>
                <w:iCs/>
                <w:sz w:val="16"/>
                <w:szCs w:val="24"/>
                <w:rtl/>
              </w:rPr>
            </w:pPr>
            <w:r w:rsidRPr="00726554">
              <w:rPr>
                <w:rFonts w:cs="Traditional Arabic" w:hint="cs"/>
                <w:b/>
                <w:bCs/>
                <w:i/>
                <w:iCs/>
                <w:sz w:val="16"/>
                <w:szCs w:val="24"/>
                <w:rtl/>
              </w:rPr>
              <w:t>المجموع</w:t>
            </w:r>
          </w:p>
        </w:tc>
      </w:tr>
      <w:tr w:rsidR="00726554" w:rsidRPr="00726554">
        <w:trPr>
          <w:cantSplit/>
          <w:trHeight w:hRule="exact" w:val="115"/>
          <w:tblHeader/>
          <w:jc w:val="center"/>
        </w:trPr>
        <w:tc>
          <w:tcPr>
            <w:tcW w:w="2160" w:type="dxa"/>
            <w:tcBorders>
              <w:top w:val="single" w:sz="12" w:space="0" w:color="auto"/>
            </w:tcBorders>
            <w:shd w:val="clear" w:color="auto" w:fill="auto"/>
            <w:vAlign w:val="bottom"/>
          </w:tcPr>
          <w:p w:rsidR="00726554" w:rsidRPr="00726554" w:rsidRDefault="00726554" w:rsidP="00726554">
            <w:pPr>
              <w:spacing w:before="40" w:after="80" w:line="240" w:lineRule="exact"/>
              <w:rPr>
                <w:rFonts w:hint="cs"/>
                <w:sz w:val="16"/>
                <w:szCs w:val="24"/>
                <w:rtl/>
              </w:rPr>
            </w:pPr>
          </w:p>
        </w:tc>
        <w:tc>
          <w:tcPr>
            <w:tcW w:w="1152" w:type="dxa"/>
            <w:tcBorders>
              <w:top w:val="single" w:sz="12" w:space="0" w:color="auto"/>
            </w:tcBorders>
            <w:shd w:val="clear" w:color="auto" w:fill="auto"/>
            <w:vAlign w:val="bottom"/>
          </w:tcPr>
          <w:p w:rsidR="00726554" w:rsidRPr="00726554" w:rsidRDefault="00726554" w:rsidP="00726554">
            <w:pPr>
              <w:spacing w:before="40" w:after="80" w:line="240" w:lineRule="exact"/>
              <w:ind w:right="144"/>
              <w:jc w:val="lowKashida"/>
              <w:rPr>
                <w:rFonts w:hint="cs"/>
                <w:sz w:val="16"/>
                <w:szCs w:val="24"/>
                <w:rtl/>
              </w:rPr>
            </w:pPr>
          </w:p>
        </w:tc>
        <w:tc>
          <w:tcPr>
            <w:tcW w:w="1152" w:type="dxa"/>
            <w:tcBorders>
              <w:top w:val="single" w:sz="12" w:space="0" w:color="auto"/>
            </w:tcBorders>
            <w:shd w:val="clear" w:color="auto" w:fill="auto"/>
            <w:vAlign w:val="bottom"/>
          </w:tcPr>
          <w:p w:rsidR="00726554" w:rsidRPr="00726554" w:rsidRDefault="00726554" w:rsidP="00726554">
            <w:pPr>
              <w:spacing w:before="40" w:after="80" w:line="240" w:lineRule="exact"/>
              <w:ind w:right="144"/>
              <w:jc w:val="lowKashida"/>
              <w:rPr>
                <w:rFonts w:hint="cs"/>
                <w:sz w:val="16"/>
                <w:szCs w:val="24"/>
                <w:rtl/>
              </w:rPr>
            </w:pPr>
          </w:p>
        </w:tc>
        <w:tc>
          <w:tcPr>
            <w:tcW w:w="1152" w:type="dxa"/>
            <w:tcBorders>
              <w:top w:val="single" w:sz="12" w:space="0" w:color="auto"/>
            </w:tcBorders>
            <w:shd w:val="clear" w:color="auto" w:fill="auto"/>
            <w:vAlign w:val="bottom"/>
          </w:tcPr>
          <w:p w:rsidR="00726554" w:rsidRPr="00726554" w:rsidRDefault="00726554" w:rsidP="00726554">
            <w:pPr>
              <w:spacing w:before="40" w:after="80" w:line="240" w:lineRule="exact"/>
              <w:ind w:right="144"/>
              <w:jc w:val="lowKashida"/>
              <w:rPr>
                <w:rFonts w:hint="cs"/>
                <w:sz w:val="16"/>
                <w:szCs w:val="24"/>
                <w:rtl/>
              </w:rPr>
            </w:pPr>
          </w:p>
        </w:tc>
      </w:tr>
      <w:tr w:rsidR="0058501F" w:rsidRPr="00726554">
        <w:trPr>
          <w:cantSplit/>
          <w:jc w:val="center"/>
        </w:trPr>
        <w:tc>
          <w:tcPr>
            <w:tcW w:w="2160" w:type="dxa"/>
            <w:shd w:val="clear" w:color="auto" w:fill="auto"/>
            <w:vAlign w:val="bottom"/>
          </w:tcPr>
          <w:p w:rsidR="0058501F" w:rsidRPr="00726554" w:rsidRDefault="0058501F" w:rsidP="00726554">
            <w:pPr>
              <w:spacing w:before="40" w:after="80" w:line="240" w:lineRule="exact"/>
              <w:rPr>
                <w:rFonts w:cs="Traditional Arabic" w:hint="cs"/>
                <w:sz w:val="16"/>
                <w:szCs w:val="24"/>
                <w:rtl/>
              </w:rPr>
            </w:pPr>
            <w:r w:rsidRPr="00726554">
              <w:rPr>
                <w:rFonts w:cs="Traditional Arabic" w:hint="cs"/>
                <w:sz w:val="16"/>
                <w:szCs w:val="24"/>
                <w:rtl/>
              </w:rPr>
              <w:t>الأمين</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7</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1</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r>
      <w:tr w:rsidR="0058501F" w:rsidRPr="00726554">
        <w:trPr>
          <w:cantSplit/>
          <w:jc w:val="center"/>
        </w:trPr>
        <w:tc>
          <w:tcPr>
            <w:tcW w:w="2160" w:type="dxa"/>
            <w:shd w:val="clear" w:color="auto" w:fill="auto"/>
            <w:vAlign w:val="bottom"/>
          </w:tcPr>
          <w:p w:rsidR="0058501F" w:rsidRPr="00726554" w:rsidRDefault="0058501F" w:rsidP="00726554">
            <w:pPr>
              <w:spacing w:before="40" w:after="80" w:line="240" w:lineRule="exact"/>
              <w:rPr>
                <w:rFonts w:cs="Traditional Arabic" w:hint="cs"/>
                <w:sz w:val="16"/>
                <w:szCs w:val="24"/>
                <w:rtl/>
              </w:rPr>
            </w:pPr>
            <w:r w:rsidRPr="00726554">
              <w:rPr>
                <w:rFonts w:cs="Traditional Arabic" w:hint="cs"/>
                <w:sz w:val="16"/>
                <w:szCs w:val="24"/>
                <w:rtl/>
              </w:rPr>
              <w:t>مسؤول التخطيط والتنمية</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صفر</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r>
      <w:tr w:rsidR="0058501F" w:rsidRPr="00726554">
        <w:trPr>
          <w:cantSplit/>
          <w:jc w:val="center"/>
        </w:trPr>
        <w:tc>
          <w:tcPr>
            <w:tcW w:w="2160" w:type="dxa"/>
            <w:shd w:val="clear" w:color="auto" w:fill="auto"/>
            <w:vAlign w:val="bottom"/>
          </w:tcPr>
          <w:p w:rsidR="0058501F" w:rsidRPr="00726554" w:rsidRDefault="0058501F" w:rsidP="00726554">
            <w:pPr>
              <w:spacing w:before="40" w:after="80" w:line="240" w:lineRule="exact"/>
              <w:rPr>
                <w:rFonts w:cs="Traditional Arabic" w:hint="cs"/>
                <w:sz w:val="16"/>
                <w:szCs w:val="24"/>
                <w:rtl/>
              </w:rPr>
            </w:pPr>
            <w:r w:rsidRPr="00726554">
              <w:rPr>
                <w:rFonts w:cs="Traditional Arabic" w:hint="cs"/>
                <w:sz w:val="16"/>
                <w:szCs w:val="24"/>
                <w:rtl/>
              </w:rPr>
              <w:t>أمين الصندوق</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5</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3</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r>
      <w:tr w:rsidR="0058501F" w:rsidRPr="00726554">
        <w:trPr>
          <w:cantSplit/>
          <w:jc w:val="center"/>
        </w:trPr>
        <w:tc>
          <w:tcPr>
            <w:tcW w:w="2160" w:type="dxa"/>
            <w:shd w:val="clear" w:color="auto" w:fill="auto"/>
            <w:vAlign w:val="bottom"/>
          </w:tcPr>
          <w:p w:rsidR="0058501F" w:rsidRPr="00726554" w:rsidRDefault="0058501F" w:rsidP="00726554">
            <w:pPr>
              <w:spacing w:before="40" w:after="80" w:line="240" w:lineRule="exact"/>
              <w:rPr>
                <w:rFonts w:cs="Traditional Arabic" w:hint="cs"/>
                <w:sz w:val="16"/>
                <w:szCs w:val="24"/>
                <w:rtl/>
              </w:rPr>
            </w:pPr>
            <w:r w:rsidRPr="00726554">
              <w:rPr>
                <w:rFonts w:cs="Traditional Arabic" w:hint="cs"/>
                <w:sz w:val="16"/>
                <w:szCs w:val="24"/>
                <w:rtl/>
              </w:rPr>
              <w:t>كاتب</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1</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7</w:t>
            </w:r>
          </w:p>
        </w:tc>
        <w:tc>
          <w:tcPr>
            <w:tcW w:w="1152" w:type="dxa"/>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r>
      <w:tr w:rsidR="0058501F" w:rsidRPr="00726554">
        <w:trPr>
          <w:cantSplit/>
          <w:jc w:val="center"/>
        </w:trPr>
        <w:tc>
          <w:tcPr>
            <w:tcW w:w="2160" w:type="dxa"/>
            <w:tcBorders>
              <w:bottom w:val="single" w:sz="12" w:space="0" w:color="auto"/>
            </w:tcBorders>
            <w:shd w:val="clear" w:color="auto" w:fill="auto"/>
            <w:vAlign w:val="bottom"/>
          </w:tcPr>
          <w:p w:rsidR="0058501F" w:rsidRPr="00726554" w:rsidRDefault="0058501F" w:rsidP="00726554">
            <w:pPr>
              <w:spacing w:before="40" w:after="80" w:line="240" w:lineRule="exact"/>
              <w:rPr>
                <w:rFonts w:cs="Traditional Arabic" w:hint="cs"/>
                <w:sz w:val="16"/>
                <w:szCs w:val="24"/>
                <w:rtl/>
              </w:rPr>
            </w:pPr>
            <w:r w:rsidRPr="00726554">
              <w:rPr>
                <w:rFonts w:cs="Traditional Arabic" w:hint="cs"/>
                <w:sz w:val="16"/>
                <w:szCs w:val="24"/>
                <w:rtl/>
              </w:rPr>
              <w:t>عاملون في المجتمع المحلي</w:t>
            </w:r>
          </w:p>
        </w:tc>
        <w:tc>
          <w:tcPr>
            <w:tcW w:w="1152" w:type="dxa"/>
            <w:tcBorders>
              <w:bottom w:val="single" w:sz="12" w:space="0" w:color="auto"/>
            </w:tcBorders>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صفر</w:t>
            </w:r>
          </w:p>
        </w:tc>
        <w:tc>
          <w:tcPr>
            <w:tcW w:w="1152" w:type="dxa"/>
            <w:tcBorders>
              <w:bottom w:val="single" w:sz="12" w:space="0" w:color="auto"/>
            </w:tcBorders>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c>
          <w:tcPr>
            <w:tcW w:w="1152" w:type="dxa"/>
            <w:tcBorders>
              <w:bottom w:val="single" w:sz="12" w:space="0" w:color="auto"/>
            </w:tcBorders>
            <w:shd w:val="clear" w:color="auto" w:fill="auto"/>
            <w:vAlign w:val="bottom"/>
          </w:tcPr>
          <w:p w:rsidR="0058501F" w:rsidRPr="00726554" w:rsidRDefault="0058501F" w:rsidP="00726554">
            <w:pPr>
              <w:spacing w:before="40" w:after="80" w:line="240" w:lineRule="exact"/>
              <w:ind w:right="144"/>
              <w:jc w:val="lowKashida"/>
              <w:rPr>
                <w:rFonts w:cs="Traditional Arabic" w:hint="cs"/>
                <w:sz w:val="16"/>
                <w:szCs w:val="24"/>
                <w:rtl/>
              </w:rPr>
            </w:pPr>
            <w:r w:rsidRPr="00726554">
              <w:rPr>
                <w:rFonts w:cs="Traditional Arabic" w:hint="cs"/>
                <w:sz w:val="16"/>
                <w:szCs w:val="24"/>
                <w:rtl/>
              </w:rPr>
              <w:t>8</w:t>
            </w:r>
          </w:p>
        </w:tc>
      </w:tr>
    </w:tbl>
    <w:p w:rsidR="0058501F" w:rsidRDefault="0058501F" w:rsidP="0058501F">
      <w:pPr>
        <w:rPr>
          <w:rFonts w:hint="cs"/>
          <w:sz w:val="32"/>
          <w:szCs w:val="32"/>
          <w:rtl/>
        </w:rPr>
      </w:pPr>
    </w:p>
    <w:p w:rsidR="0058501F" w:rsidRDefault="0058501F" w:rsidP="00893BE0">
      <w:pPr>
        <w:pStyle w:val="SingleTxt"/>
        <w:rPr>
          <w:rFonts w:hint="cs"/>
          <w:rtl/>
        </w:rPr>
      </w:pPr>
      <w:r>
        <w:rPr>
          <w:rFonts w:hint="cs"/>
          <w:rtl/>
        </w:rPr>
        <w:t>كما يتضح من الأرقام الواردة أعلاه، توجد امرأة واحدة تعمل أمينة مجلس من المجالس الجزرية الثمانية.</w:t>
      </w:r>
    </w:p>
    <w:p w:rsidR="0058501F" w:rsidRDefault="0058501F" w:rsidP="00AA522B">
      <w:pPr>
        <w:pStyle w:val="SingleTxt"/>
        <w:rPr>
          <w:rFonts w:hint="cs"/>
          <w:rtl/>
        </w:rPr>
      </w:pPr>
      <w:r>
        <w:rPr>
          <w:rFonts w:hint="cs"/>
          <w:rtl/>
        </w:rPr>
        <w:t>7-19</w:t>
      </w:r>
      <w:r w:rsidR="00893BE0">
        <w:rPr>
          <w:rFonts w:hint="cs"/>
          <w:rtl/>
        </w:rPr>
        <w:tab/>
      </w:r>
      <w:r>
        <w:rPr>
          <w:rFonts w:hint="cs"/>
          <w:rtl/>
        </w:rPr>
        <w:t>يعمل المجلس على نحو مشابه للبرلمان. ولكل مجلس أوامر دائمة مكتوبة باللغة المحلية، ولجان دائمة معينة. ولهذه اللجان الدائمة مجالات اهتمام محددة، وهي الصحة والتعليم والزراعة ومصائد الأسماك والاتصالات والنقل والبنى التحتية والميزانية وتوزيع مخصصات الميزانية</w:t>
      </w:r>
      <w:r w:rsidR="00AA522B" w:rsidRPr="00AA522B">
        <w:rPr>
          <w:vertAlign w:val="superscript"/>
          <w:rtl/>
        </w:rPr>
        <w:t>(</w:t>
      </w:r>
      <w:r w:rsidR="00AA522B">
        <w:rPr>
          <w:rStyle w:val="FootnoteReference"/>
          <w:rtl/>
        </w:rPr>
        <w:footnoteReference w:id="77"/>
      </w:r>
      <w:r w:rsidR="00AA522B" w:rsidRPr="00AA522B">
        <w:rPr>
          <w:vertAlign w:val="superscript"/>
          <w:rtl/>
        </w:rPr>
        <w:t>)</w:t>
      </w:r>
      <w:r>
        <w:rPr>
          <w:rFonts w:hint="cs"/>
          <w:rtl/>
        </w:rPr>
        <w:t>.</w:t>
      </w:r>
      <w:r w:rsidR="00AA522B">
        <w:rPr>
          <w:rFonts w:hint="cs"/>
          <w:rtl/>
        </w:rPr>
        <w:t xml:space="preserve"> </w:t>
      </w:r>
      <w:r>
        <w:rPr>
          <w:rFonts w:hint="cs"/>
          <w:rtl/>
        </w:rPr>
        <w:t>ومع أن المرأة في معظم المجتمعات الجزرية غير ممثلة في المجلس، فإن قانون الفالي كابيول لعام 1997 يوفر فرصة للمرأة للعمل في مختلف لجان المجلس الدائمة في الجزيرة التي تنتمي إليها. ومن المشجع أن نلاحظ مشاركة المرأة في هذه اللجان تدل على إسهامها الذي لا غنى عنه لتحقيق التقدم والنهوض بمجتمعاتها اجتماعياً واقتصادياً.</w:t>
      </w:r>
    </w:p>
    <w:p w:rsidR="0058501F" w:rsidRDefault="0058501F" w:rsidP="00893BE0">
      <w:pPr>
        <w:pStyle w:val="SingleTxt"/>
        <w:rPr>
          <w:rFonts w:hint="cs"/>
          <w:rtl/>
        </w:rPr>
      </w:pPr>
      <w:r>
        <w:rPr>
          <w:rFonts w:hint="cs"/>
          <w:rtl/>
        </w:rPr>
        <w:tab/>
        <w:t>ويبين الجدول 14 تكوين أعضاء هذه اللجان الدائمة.</w:t>
      </w:r>
    </w:p>
    <w:p w:rsidR="0058501F" w:rsidRDefault="0058501F" w:rsidP="00893BE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AF39E6">
        <w:rPr>
          <w:rFonts w:hint="cs"/>
          <w:rtl/>
        </w:rPr>
        <w:t xml:space="preserve">الجدول 14: عدد النساء في لجان </w:t>
      </w:r>
      <w:r>
        <w:rPr>
          <w:rFonts w:hint="cs"/>
          <w:rtl/>
        </w:rPr>
        <w:t>الكابيول الدائمة، عام 2005</w:t>
      </w:r>
    </w:p>
    <w:p w:rsidR="00893BE0" w:rsidRPr="00893BE0" w:rsidRDefault="00893BE0" w:rsidP="00893BE0">
      <w:pPr>
        <w:spacing w:line="120" w:lineRule="exact"/>
        <w:jc w:val="center"/>
        <w:rPr>
          <w:rFonts w:hint="cs"/>
          <w:b/>
          <w:bCs/>
          <w:sz w:val="10"/>
          <w:szCs w:val="32"/>
          <w:rtl/>
        </w:rPr>
      </w:pPr>
    </w:p>
    <w:tbl>
      <w:tblPr>
        <w:tblStyle w:val="TableGrid"/>
        <w:bidiVisual/>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37"/>
        <w:gridCol w:w="1339"/>
        <w:gridCol w:w="792"/>
        <w:gridCol w:w="792"/>
        <w:gridCol w:w="677"/>
        <w:gridCol w:w="800"/>
        <w:gridCol w:w="899"/>
        <w:gridCol w:w="792"/>
        <w:gridCol w:w="792"/>
        <w:gridCol w:w="792"/>
        <w:gridCol w:w="792"/>
      </w:tblGrid>
      <w:tr w:rsidR="00893BE0" w:rsidRPr="00893BE0">
        <w:trPr>
          <w:cantSplit/>
          <w:tblHeader/>
          <w:jc w:val="center"/>
        </w:trPr>
        <w:tc>
          <w:tcPr>
            <w:tcW w:w="1037" w:type="dxa"/>
            <w:tcBorders>
              <w:top w:val="single" w:sz="4" w:space="0" w:color="auto"/>
            </w:tcBorders>
            <w:shd w:val="clear" w:color="auto" w:fill="auto"/>
            <w:vAlign w:val="bottom"/>
          </w:tcPr>
          <w:p w:rsidR="00893BE0" w:rsidRPr="00893BE0" w:rsidRDefault="00893BE0" w:rsidP="00893BE0">
            <w:pPr>
              <w:spacing w:before="80" w:after="80" w:line="240" w:lineRule="exact"/>
              <w:rPr>
                <w:rFonts w:cs="Traditional Arabic" w:hint="cs"/>
                <w:i/>
                <w:iCs/>
                <w:sz w:val="16"/>
                <w:szCs w:val="24"/>
                <w:rtl/>
              </w:rPr>
            </w:pPr>
          </w:p>
        </w:tc>
        <w:tc>
          <w:tcPr>
            <w:tcW w:w="1339" w:type="dxa"/>
            <w:tcBorders>
              <w:top w:val="single" w:sz="4" w:space="0" w:color="auto"/>
              <w:bottom w:val="single" w:sz="4" w:space="0" w:color="auto"/>
            </w:tcBorders>
            <w:shd w:val="clear" w:color="auto" w:fill="auto"/>
            <w:vAlign w:val="bottom"/>
          </w:tcPr>
          <w:p w:rsidR="00893BE0" w:rsidRPr="00893BE0" w:rsidRDefault="00893BE0" w:rsidP="00893BE0">
            <w:pPr>
              <w:spacing w:before="80" w:after="80" w:line="240" w:lineRule="exact"/>
              <w:ind w:right="144"/>
              <w:jc w:val="lowKashida"/>
              <w:rPr>
                <w:rFonts w:cs="Traditional Arabic" w:hint="cs"/>
                <w:i/>
                <w:iCs/>
                <w:sz w:val="16"/>
                <w:szCs w:val="24"/>
                <w:rtl/>
              </w:rPr>
            </w:pPr>
          </w:p>
        </w:tc>
        <w:tc>
          <w:tcPr>
            <w:tcW w:w="5544" w:type="dxa"/>
            <w:gridSpan w:val="7"/>
            <w:tcBorders>
              <w:top w:val="single" w:sz="4" w:space="0" w:color="auto"/>
              <w:bottom w:val="single" w:sz="4" w:space="0" w:color="auto"/>
            </w:tcBorders>
            <w:shd w:val="clear" w:color="auto" w:fill="auto"/>
            <w:vAlign w:val="bottom"/>
          </w:tcPr>
          <w:p w:rsidR="00893BE0" w:rsidRPr="00893BE0" w:rsidRDefault="00893BE0" w:rsidP="00893BE0">
            <w:pPr>
              <w:spacing w:before="80" w:after="80" w:line="240" w:lineRule="exact"/>
              <w:ind w:right="144"/>
              <w:jc w:val="center"/>
              <w:rPr>
                <w:rFonts w:cs="Traditional Arabic" w:hint="cs"/>
                <w:i/>
                <w:iCs/>
                <w:sz w:val="16"/>
                <w:szCs w:val="24"/>
                <w:rtl/>
              </w:rPr>
            </w:pPr>
            <w:r w:rsidRPr="00893BE0">
              <w:rPr>
                <w:rFonts w:cs="Traditional Arabic" w:hint="cs"/>
                <w:i/>
                <w:iCs/>
                <w:sz w:val="16"/>
                <w:szCs w:val="24"/>
                <w:rtl/>
              </w:rPr>
              <w:t>رجال الكابيول</w:t>
            </w:r>
          </w:p>
        </w:tc>
        <w:tc>
          <w:tcPr>
            <w:tcW w:w="1584" w:type="dxa"/>
            <w:gridSpan w:val="2"/>
            <w:tcBorders>
              <w:top w:val="single" w:sz="4" w:space="0" w:color="auto"/>
              <w:bottom w:val="single" w:sz="4" w:space="0" w:color="auto"/>
            </w:tcBorders>
            <w:shd w:val="clear" w:color="auto" w:fill="auto"/>
            <w:vAlign w:val="bottom"/>
          </w:tcPr>
          <w:p w:rsidR="00893BE0" w:rsidRPr="00893BE0" w:rsidRDefault="00893BE0" w:rsidP="00893BE0">
            <w:pPr>
              <w:spacing w:before="80" w:after="80" w:line="240" w:lineRule="exact"/>
              <w:ind w:right="144"/>
              <w:jc w:val="lowKashida"/>
              <w:rPr>
                <w:rFonts w:cs="Traditional Arabic" w:hint="cs"/>
                <w:i/>
                <w:iCs/>
                <w:sz w:val="16"/>
                <w:szCs w:val="24"/>
                <w:rtl/>
              </w:rPr>
            </w:pPr>
            <w:r w:rsidRPr="00893BE0">
              <w:rPr>
                <w:rFonts w:cs="Traditional Arabic" w:hint="cs"/>
                <w:i/>
                <w:iCs/>
                <w:sz w:val="16"/>
                <w:szCs w:val="24"/>
                <w:rtl/>
              </w:rPr>
              <w:t>المحاكم</w:t>
            </w:r>
          </w:p>
        </w:tc>
      </w:tr>
      <w:tr w:rsidR="00893BE0" w:rsidRPr="00893BE0">
        <w:trPr>
          <w:cantSplit/>
          <w:tblHeader/>
          <w:jc w:val="center"/>
        </w:trPr>
        <w:tc>
          <w:tcPr>
            <w:tcW w:w="1037" w:type="dxa"/>
            <w:tcBorders>
              <w:bottom w:val="single" w:sz="12" w:space="0" w:color="auto"/>
            </w:tcBorders>
            <w:shd w:val="clear" w:color="auto" w:fill="auto"/>
          </w:tcPr>
          <w:p w:rsidR="00893BE0" w:rsidRPr="00893BE0" w:rsidRDefault="00893BE0" w:rsidP="00893BE0">
            <w:pPr>
              <w:jc w:val="lowKashida"/>
              <w:rPr>
                <w:rFonts w:cs="Traditional Arabic" w:hint="cs"/>
                <w:i/>
                <w:iCs/>
                <w:w w:val="100"/>
                <w:rtl/>
              </w:rPr>
            </w:pPr>
            <w:r w:rsidRPr="00893BE0">
              <w:rPr>
                <w:rFonts w:cs="Traditional Arabic" w:hint="cs"/>
                <w:i/>
                <w:iCs/>
                <w:w w:val="100"/>
                <w:rtl/>
              </w:rPr>
              <w:t>الجزيرة</w:t>
            </w:r>
          </w:p>
        </w:tc>
        <w:tc>
          <w:tcPr>
            <w:tcW w:w="1339" w:type="dxa"/>
            <w:tcBorders>
              <w:top w:val="single" w:sz="4" w:space="0" w:color="auto"/>
              <w:bottom w:val="single" w:sz="12" w:space="0" w:color="auto"/>
            </w:tcBorders>
            <w:shd w:val="clear" w:color="auto" w:fill="auto"/>
          </w:tcPr>
          <w:p w:rsidR="00893BE0" w:rsidRPr="00893BE0" w:rsidRDefault="00893BE0" w:rsidP="00893BE0">
            <w:pPr>
              <w:jc w:val="lowKashida"/>
              <w:rPr>
                <w:rFonts w:cs="Traditional Arabic" w:hint="cs"/>
                <w:i/>
                <w:iCs/>
                <w:w w:val="100"/>
                <w:rtl/>
              </w:rPr>
            </w:pPr>
            <w:r w:rsidRPr="00893BE0">
              <w:rPr>
                <w:rFonts w:cs="Traditional Arabic" w:hint="cs"/>
                <w:i/>
                <w:iCs/>
                <w:w w:val="100"/>
                <w:rtl/>
              </w:rPr>
              <w:t>أعضاء الكابيول المنتخبون</w:t>
            </w:r>
          </w:p>
        </w:tc>
        <w:tc>
          <w:tcPr>
            <w:tcW w:w="792"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صحة</w:t>
            </w:r>
          </w:p>
        </w:tc>
        <w:tc>
          <w:tcPr>
            <w:tcW w:w="792"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مدرسة</w:t>
            </w:r>
          </w:p>
        </w:tc>
        <w:tc>
          <w:tcPr>
            <w:tcW w:w="677"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تنمية</w:t>
            </w:r>
          </w:p>
        </w:tc>
        <w:tc>
          <w:tcPr>
            <w:tcW w:w="800"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أسماك</w:t>
            </w:r>
          </w:p>
        </w:tc>
        <w:tc>
          <w:tcPr>
            <w:tcW w:w="899"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كوارث</w:t>
            </w:r>
          </w:p>
        </w:tc>
        <w:tc>
          <w:tcPr>
            <w:tcW w:w="792"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حضانة</w:t>
            </w:r>
          </w:p>
        </w:tc>
        <w:tc>
          <w:tcPr>
            <w:tcW w:w="792"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ميزانية</w:t>
            </w:r>
          </w:p>
        </w:tc>
        <w:tc>
          <w:tcPr>
            <w:tcW w:w="792"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م. ج.</w:t>
            </w:r>
          </w:p>
        </w:tc>
        <w:tc>
          <w:tcPr>
            <w:tcW w:w="792" w:type="dxa"/>
            <w:tcBorders>
              <w:top w:val="single" w:sz="4" w:space="0" w:color="auto"/>
              <w:bottom w:val="single" w:sz="12" w:space="0" w:color="auto"/>
            </w:tcBorders>
            <w:shd w:val="clear" w:color="auto" w:fill="auto"/>
            <w:vAlign w:val="bottom"/>
          </w:tcPr>
          <w:p w:rsidR="00893BE0" w:rsidRPr="00893BE0" w:rsidRDefault="00893BE0" w:rsidP="00893BE0">
            <w:pPr>
              <w:spacing w:after="80" w:line="240" w:lineRule="exact"/>
              <w:ind w:right="144"/>
              <w:jc w:val="lowKashida"/>
              <w:rPr>
                <w:rFonts w:cs="Traditional Arabic" w:hint="cs"/>
                <w:i/>
                <w:iCs/>
                <w:w w:val="100"/>
                <w:sz w:val="16"/>
                <w:szCs w:val="24"/>
                <w:rtl/>
              </w:rPr>
            </w:pPr>
            <w:r w:rsidRPr="00893BE0">
              <w:rPr>
                <w:rFonts w:cs="Traditional Arabic" w:hint="cs"/>
                <w:i/>
                <w:iCs/>
                <w:w w:val="100"/>
                <w:sz w:val="16"/>
                <w:szCs w:val="24"/>
                <w:rtl/>
              </w:rPr>
              <w:t>م. أر.</w:t>
            </w:r>
          </w:p>
        </w:tc>
      </w:tr>
      <w:tr w:rsidR="00893BE0" w:rsidRPr="00893BE0">
        <w:trPr>
          <w:cantSplit/>
          <w:trHeight w:hRule="exact" w:val="115"/>
          <w:tblHeader/>
          <w:jc w:val="center"/>
        </w:trPr>
        <w:tc>
          <w:tcPr>
            <w:tcW w:w="1037" w:type="dxa"/>
            <w:tcBorders>
              <w:top w:val="single" w:sz="12" w:space="0" w:color="auto"/>
            </w:tcBorders>
            <w:shd w:val="clear" w:color="auto" w:fill="auto"/>
            <w:vAlign w:val="bottom"/>
          </w:tcPr>
          <w:p w:rsidR="00893BE0" w:rsidRPr="00893BE0" w:rsidRDefault="00893BE0" w:rsidP="00893BE0">
            <w:pPr>
              <w:spacing w:before="40" w:after="80" w:line="240" w:lineRule="exact"/>
              <w:rPr>
                <w:rFonts w:hint="cs"/>
                <w:sz w:val="16"/>
                <w:szCs w:val="24"/>
                <w:rtl/>
              </w:rPr>
            </w:pPr>
          </w:p>
        </w:tc>
        <w:tc>
          <w:tcPr>
            <w:tcW w:w="1339"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792"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792"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677"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800"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899"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792"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792"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792"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c>
          <w:tcPr>
            <w:tcW w:w="792" w:type="dxa"/>
            <w:tcBorders>
              <w:top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hint="cs"/>
                <w:sz w:val="16"/>
                <w:szCs w:val="24"/>
                <w:rtl/>
              </w:rPr>
            </w:pP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نانوميا</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10</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5</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نانومانغا</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6</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5</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6</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نيوتاو</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5</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نوي</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نوكو فيتاو</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فايتوبو</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3</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6</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7</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فونافوتي</w:t>
            </w:r>
          </w:p>
        </w:tc>
        <w:tc>
          <w:tcPr>
            <w:tcW w:w="133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10</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16</w:t>
            </w:r>
          </w:p>
        </w:tc>
        <w:tc>
          <w:tcPr>
            <w:tcW w:w="677"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800"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899"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5</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r w:rsidR="00893BE0" w:rsidRPr="00893BE0">
        <w:trPr>
          <w:cantSplit/>
          <w:jc w:val="center"/>
        </w:trPr>
        <w:tc>
          <w:tcPr>
            <w:tcW w:w="1037" w:type="dxa"/>
            <w:tcBorders>
              <w:bottom w:val="single" w:sz="12" w:space="0" w:color="auto"/>
            </w:tcBorders>
            <w:shd w:val="clear" w:color="auto" w:fill="auto"/>
            <w:vAlign w:val="bottom"/>
          </w:tcPr>
          <w:p w:rsidR="00893BE0" w:rsidRPr="00893BE0" w:rsidRDefault="00893BE0" w:rsidP="00893BE0">
            <w:pPr>
              <w:spacing w:before="40" w:after="80" w:line="240" w:lineRule="exact"/>
              <w:rPr>
                <w:rFonts w:cs="Traditional Arabic" w:hint="cs"/>
                <w:sz w:val="16"/>
                <w:szCs w:val="24"/>
                <w:rtl/>
              </w:rPr>
            </w:pPr>
            <w:r w:rsidRPr="00893BE0">
              <w:rPr>
                <w:rFonts w:cs="Traditional Arabic" w:hint="cs"/>
                <w:sz w:val="16"/>
                <w:szCs w:val="24"/>
                <w:rtl/>
              </w:rPr>
              <w:t>نوكولالا</w:t>
            </w:r>
          </w:p>
        </w:tc>
        <w:tc>
          <w:tcPr>
            <w:tcW w:w="1339"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6</w:t>
            </w:r>
          </w:p>
        </w:tc>
        <w:tc>
          <w:tcPr>
            <w:tcW w:w="792"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5</w:t>
            </w:r>
          </w:p>
        </w:tc>
        <w:tc>
          <w:tcPr>
            <w:tcW w:w="677"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800"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899"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c>
          <w:tcPr>
            <w:tcW w:w="792"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4</w:t>
            </w:r>
          </w:p>
        </w:tc>
        <w:tc>
          <w:tcPr>
            <w:tcW w:w="792"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2</w:t>
            </w:r>
          </w:p>
        </w:tc>
        <w:tc>
          <w:tcPr>
            <w:tcW w:w="792" w:type="dxa"/>
            <w:tcBorders>
              <w:bottom w:val="single" w:sz="12" w:space="0" w:color="auto"/>
            </w:tcBorders>
            <w:shd w:val="clear" w:color="auto" w:fill="auto"/>
            <w:vAlign w:val="bottom"/>
          </w:tcPr>
          <w:p w:rsidR="00893BE0" w:rsidRPr="00893BE0" w:rsidRDefault="00893BE0" w:rsidP="00893BE0">
            <w:pPr>
              <w:spacing w:before="40" w:after="80" w:line="240" w:lineRule="exact"/>
              <w:ind w:right="144"/>
              <w:jc w:val="lowKashida"/>
              <w:rPr>
                <w:rFonts w:cs="Traditional Arabic" w:hint="cs"/>
                <w:sz w:val="16"/>
                <w:szCs w:val="24"/>
                <w:rtl/>
              </w:rPr>
            </w:pPr>
            <w:r w:rsidRPr="00893BE0">
              <w:rPr>
                <w:rFonts w:cs="Traditional Arabic" w:hint="cs"/>
                <w:sz w:val="16"/>
                <w:szCs w:val="24"/>
                <w:rtl/>
              </w:rPr>
              <w:t>صفر</w:t>
            </w:r>
          </w:p>
        </w:tc>
      </w:tr>
    </w:tbl>
    <w:p w:rsidR="0058501F" w:rsidRPr="00885153" w:rsidRDefault="00893BE0" w:rsidP="00893BE0">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0058501F" w:rsidRPr="00885153">
        <w:rPr>
          <w:rFonts w:hint="cs"/>
          <w:rtl/>
        </w:rPr>
        <w:t>صحة (لجنة الرعاية الصحية الأولية)؛ مدرسة (لجنة المدارس الابتدائية)؛ تنمية (لجنة تنسيق تنمية الجزر)؛ أسماك (لجنة المجتمع المعنية بمركز مصائد الأسماك)؛ حضانة (لجنة مدارس الحضانة)؛ ميزانية (لجنة الميزانية)؛ م.ج. (مح</w:t>
      </w:r>
      <w:r w:rsidR="0058501F">
        <w:rPr>
          <w:rFonts w:hint="cs"/>
          <w:rtl/>
        </w:rPr>
        <w:t>ك</w:t>
      </w:r>
      <w:r w:rsidR="0058501F" w:rsidRPr="00885153">
        <w:rPr>
          <w:rFonts w:hint="cs"/>
          <w:rtl/>
        </w:rPr>
        <w:t>مة جزيرة)؛ م. أر. (مح</w:t>
      </w:r>
      <w:r w:rsidR="0058501F">
        <w:rPr>
          <w:rFonts w:hint="cs"/>
          <w:rtl/>
        </w:rPr>
        <w:t>ك</w:t>
      </w:r>
      <w:r w:rsidR="0058501F" w:rsidRPr="00885153">
        <w:rPr>
          <w:rFonts w:hint="cs"/>
          <w:rtl/>
        </w:rPr>
        <w:t>مة أراضي).</w:t>
      </w:r>
    </w:p>
    <w:p w:rsidR="00893BE0" w:rsidRPr="00893BE0" w:rsidRDefault="00893BE0" w:rsidP="00893BE0">
      <w:pPr>
        <w:spacing w:line="120" w:lineRule="exact"/>
        <w:rPr>
          <w:rFonts w:hint="cs"/>
          <w:sz w:val="10"/>
          <w:szCs w:val="32"/>
          <w:rtl/>
        </w:rPr>
      </w:pPr>
    </w:p>
    <w:p w:rsidR="0058501F" w:rsidRDefault="0058501F" w:rsidP="00893BE0">
      <w:pPr>
        <w:pStyle w:val="SingleTxt"/>
        <w:rPr>
          <w:rFonts w:hint="cs"/>
          <w:rtl/>
        </w:rPr>
      </w:pPr>
      <w:r>
        <w:rPr>
          <w:rFonts w:hint="cs"/>
          <w:rtl/>
        </w:rPr>
        <w:tab/>
        <w:t>بينما تشارك المرأة بنشاط في اللجان الدائمة، فإن غيابها ملحوظ كحاكم صلح في الجزر أو في محاكم الأراضي.</w:t>
      </w:r>
    </w:p>
    <w:p w:rsidR="0058501F" w:rsidRDefault="00893BE0" w:rsidP="00AA522B">
      <w:pPr>
        <w:pStyle w:val="SingleTxt"/>
        <w:rPr>
          <w:rFonts w:hint="cs"/>
          <w:rtl/>
        </w:rPr>
      </w:pPr>
      <w:r>
        <w:rPr>
          <w:rFonts w:hint="cs"/>
          <w:rtl/>
        </w:rPr>
        <w:t>7-20</w:t>
      </w:r>
      <w:r>
        <w:rPr>
          <w:rFonts w:hint="cs"/>
          <w:rtl/>
        </w:rPr>
        <w:tab/>
      </w:r>
      <w:r w:rsidR="0058501F">
        <w:rPr>
          <w:rFonts w:hint="cs"/>
          <w:rtl/>
        </w:rPr>
        <w:t>يتعين على كل مجلس أن ينشئ، من بين مهام أخرى، صندوقاً عاماً لجباية الإيرادات ودفع النفقات. وللمجلس سلطة زيادة الإيرادات في منطقته من خلال فرض ضرائب ورسوم وريوع وغرامات وأتعاب ورسوم أخرى، ومن خلال القروض، شريطة أن تتم هذه العمليات وفقاً للقانون. ويعد كل مجلس ميزانية سنوية لتقرها جمعية الفالي كابيول</w:t>
      </w:r>
      <w:r w:rsidR="00AA522B" w:rsidRPr="00AA522B">
        <w:rPr>
          <w:vertAlign w:val="superscript"/>
          <w:rtl/>
        </w:rPr>
        <w:t>(</w:t>
      </w:r>
      <w:r w:rsidR="00AA522B">
        <w:rPr>
          <w:rStyle w:val="FootnoteReference"/>
          <w:rtl/>
        </w:rPr>
        <w:footnoteReference w:id="78"/>
      </w:r>
      <w:r w:rsidR="00AA522B" w:rsidRPr="00AA522B">
        <w:rPr>
          <w:vertAlign w:val="superscript"/>
          <w:rtl/>
        </w:rPr>
        <w:t>)</w:t>
      </w:r>
      <w:r w:rsidR="0058501F">
        <w:rPr>
          <w:rFonts w:hint="cs"/>
          <w:rtl/>
        </w:rPr>
        <w:t>.</w:t>
      </w:r>
      <w:r w:rsidR="00AA522B">
        <w:rPr>
          <w:rFonts w:hint="cs"/>
          <w:rtl/>
        </w:rPr>
        <w:t xml:space="preserve"> </w:t>
      </w:r>
      <w:r w:rsidR="0058501F">
        <w:rPr>
          <w:rFonts w:hint="cs"/>
          <w:rtl/>
        </w:rPr>
        <w:t>وتخصص الحكومة الوطنية مبالغ سنوية للمجالس لاستكمال تمويلها. وتوفر الحكومة أحياناً للمجالس معدات مكاتب أو آلات زراعية، مثل الجرارات.</w:t>
      </w:r>
    </w:p>
    <w:p w:rsidR="0058501F" w:rsidRDefault="00893BE0" w:rsidP="00893BE0">
      <w:pPr>
        <w:pStyle w:val="SingleTxt"/>
        <w:rPr>
          <w:rFonts w:hint="cs"/>
          <w:rtl/>
        </w:rPr>
      </w:pPr>
      <w:r>
        <w:rPr>
          <w:rFonts w:hint="cs"/>
          <w:rtl/>
        </w:rPr>
        <w:t>7-21</w:t>
      </w:r>
      <w:r>
        <w:rPr>
          <w:rFonts w:hint="cs"/>
          <w:rtl/>
        </w:rPr>
        <w:tab/>
      </w:r>
      <w:r w:rsidR="0058501F">
        <w:rPr>
          <w:rFonts w:hint="cs"/>
          <w:rtl/>
        </w:rPr>
        <w:t>ومع أن المرأة قد لا تشاهد في الفالي كابيول، فإن من المفهوم أن آراءها تصل إلى صانع القرار من خلال الممثلين الذكور، مثل الزوج أو الأخوة أو الأعمام أو الأخوال، الذين يعملون كأطراف ثالثة. من جهة أخرى، فإن النساء، اللواتي يعلمن أن من حقهن إبداء آرائهن بشأن موضوع ما يفعلن ذلك. وقد حدثت حالات طُلبت فيها أثناء الاجتماعات آراء النساء بشأن مسائل تؤثر على المجتمع المحلي. إلا أن هذا نادراً ما يحدث. وعلى الرغم من الممارسة الثقافية، أعطيت المرأة مزيداً من الفرص للمشاركة في اجتماعات الفالي كابيول (الجمعية) التي تعقد كل ثلاثة أشهر بدفع من الحكومات المحلية عملاً بقانون الفالي كابيول لعام 1997. بيد أن هذا يتوقف في الممارسة العملية على الثقافة التقليدية لكل جزيرة. ففي جزيرة فايتوبو على سبيل المثال، يجوز للرجال والنساء الذين تتجاوز أعمارهم 35 عاماً المشاركة والإدلاء بأصواتهم. وفي جزيرتي نوي ونوكوفيتاو لا يجوز أن يشارك ويدلي بصوته إلا الرجل الذي يبلغ من العمر 50 عاماً فما فوق. وفي جزيرة فونافوتي، يجوز لأي شخص يبلغ 18 عاماً من العمر أن يشارك ويدلي بصوته بشأن المسائل ذات الأهمية البسيطة. وتعرض المسائل الهامة على جمعية حصرية لرؤساء العشائر (ماتاي). ويجوز للمرأة التي ترأس عشيرة أن تشارك في عملية صنع القرار، ولكن لا يحق لها أن تدلي بصوتها.</w:t>
      </w:r>
    </w:p>
    <w:p w:rsidR="0058501F" w:rsidRDefault="00893BE0" w:rsidP="00893BE0">
      <w:pPr>
        <w:pStyle w:val="SingleTxt"/>
        <w:rPr>
          <w:rFonts w:hint="cs"/>
          <w:rtl/>
        </w:rPr>
      </w:pPr>
      <w:r>
        <w:rPr>
          <w:rFonts w:hint="cs"/>
          <w:rtl/>
        </w:rPr>
        <w:t>7-22</w:t>
      </w:r>
      <w:r>
        <w:rPr>
          <w:rFonts w:hint="cs"/>
          <w:rtl/>
        </w:rPr>
        <w:tab/>
      </w:r>
      <w:r w:rsidR="0058501F">
        <w:rPr>
          <w:rFonts w:hint="cs"/>
          <w:rtl/>
        </w:rPr>
        <w:t>ومع أن قانون الفالي كابيول مهد الطريق لإشراك المرأة في عمليات صنع القرار الرسمية، فإنه لم يُحدِث تأثيراً إيجابياً فورياً في هيكل صنع القرارات التقليدي القائم في كل جزيرة الذي لا يزال يستبعد المرأة. ويلاحظ أن المرأة تتردد في استخدام الفرصة المتوفرة لها لأنها لم تتواجد أبداً في اجتماعات الفالي كابيول. ولمعظم هؤلاء النسوة أولويات أخرى ويعتبرن هذا التجمع من اختصاص الرجال، وبالتالي فإنهن لا يحضرن هذه الاجتماعات. وفضلاً عن هذه الأولويات تلعب المرأة أدواراً رئيسية في عمليات صنع القرار داخل الأسرة، وفي والحفاظ على المهارات الثقافية والممارسات وآداب المعاشرة وسبل توليد الثروة التقليدية، مثل الحرف اليدوية وخلط أوراق الشجر الميتة مع روث الحيوانات لتسميد حفر نبات البولاكا، وما إلى ذلك.</w:t>
      </w:r>
    </w:p>
    <w:p w:rsidR="0058501F" w:rsidRDefault="00893BE0" w:rsidP="00893BE0">
      <w:pPr>
        <w:pStyle w:val="SingleTxt"/>
        <w:rPr>
          <w:rFonts w:hint="cs"/>
          <w:rtl/>
        </w:rPr>
      </w:pPr>
      <w:r>
        <w:rPr>
          <w:rFonts w:hint="cs"/>
          <w:rtl/>
        </w:rPr>
        <w:t>7-23</w:t>
      </w:r>
      <w:r>
        <w:rPr>
          <w:rFonts w:hint="cs"/>
          <w:rtl/>
        </w:rPr>
        <w:tab/>
      </w:r>
      <w:r w:rsidR="0058501F">
        <w:rPr>
          <w:rFonts w:hint="cs"/>
          <w:rtl/>
        </w:rPr>
        <w:t>غياب المرأة الملحوظ من هيئات صنع القرار الرسمية، مثل الفالي كابيول وذراعه التنفيذي الكابيول (المجلس)، تحدٍ يمكن التصدي له من خلال جعل تعميم الشؤون الجنسانية في الحياة العامة مسألة مؤسسية. وما فتئت الحكومة تدرب على الشؤون الجنسانية للمساعدة على تغيير المواقف والمفاهيم النمطية الجنسانية. وستستمر آلية المرأة الوطنية وشركاؤها في التنمية في تنظيم برامج موجهة للمرأة للتدريب على المهارات القيادية وصنع القرار تحديداً. بيد أن الهيكل التقليدي للمجتمع أدى إلى عدم تمكين المرأة في مجالات عديدة. ولذلك، فإن الترويج للمسائل الجنسانية وحقوق الإنسان والمهارات القيادية والتدريب عليها مسألتان ضروريتان لتوعية المرأة والرجل وتمكينهما من أجل تحسين إمكانيات المرأة على المشاركة بفعالية في عملية صنع القرار الرسمية.</w:t>
      </w:r>
    </w:p>
    <w:p w:rsidR="00893BE0" w:rsidRPr="00893BE0" w:rsidRDefault="00893BE0" w:rsidP="00893BE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501F" w:rsidRDefault="00893BE0" w:rsidP="00893B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8501F" w:rsidRPr="000D6C61">
        <w:rPr>
          <w:rFonts w:hint="cs"/>
          <w:rtl/>
        </w:rPr>
        <w:t>المنظمات غير الحكومية</w:t>
      </w:r>
    </w:p>
    <w:p w:rsidR="0058501F" w:rsidRDefault="00893BE0" w:rsidP="00893BE0">
      <w:pPr>
        <w:pStyle w:val="SingleTxt"/>
        <w:rPr>
          <w:rFonts w:hint="cs"/>
          <w:rtl/>
        </w:rPr>
      </w:pPr>
      <w:r>
        <w:rPr>
          <w:rFonts w:hint="cs"/>
          <w:rtl/>
        </w:rPr>
        <w:t>7-24</w:t>
      </w:r>
      <w:r>
        <w:rPr>
          <w:rFonts w:hint="cs"/>
          <w:rtl/>
        </w:rPr>
        <w:tab/>
      </w:r>
      <w:r w:rsidR="0058501F">
        <w:rPr>
          <w:rFonts w:hint="cs"/>
          <w:rtl/>
        </w:rPr>
        <w:t>على الرغم من تمثيل المرأة المتدني في مجالس الإدارة الحكومية والعامة، فإن المرأة تهيمن إلى حد كبير على المنظمات غير الحكومية، لا سيما مجلس توفالو الوطني للمرأة ورابطة توفالو للمنظمات غير الحكومية وجمعية صحة الأسرة في توفالي والمنظمات الكنسية ومنظمة المرأة في الأعمال التجارية ومنظمة نساء الجزر. ومن الإنجازات الملحوظة التي حققها مجلس توفالو الوطني للمرأة ممارسة الضغط بنجاح لإنشاء إدارة شؤون المرأة في عام 1999 ووضع أول سياسة وطنية للمرأة في توفالو. وانطلاقاً من إدراك الحكومة لمحدوديتها، تدعم عمل هذه المنظمات غير الحكومية، وعلى وجه التحديد مجلس توفالو الوطني للمرأة ورابطة توفالو للمنظمات غير الحكومية وجمعية صحة الأسرة في توفالو بتخصيص مبلغ 000 10 دولار أمريكي سنوياً لتغطية تكاليفها الإدارية. وفي العادة، تمول برامج التنمية الأخرى التي تنظمها هذه المنظمات غير الحكومية من موارد خارجية. وما فتئ مركز توفالو الوطني للمرأة، بشراكة مع الحكومة، يشجع مشاركة المرأة في جميع مجالات التنمية الوطنية من خلال التدريب على المهارات القيادية وتطوير المشاريع الصغيرة. وهذه المنظمات غير الحكومية أعضاء في لجان الحكومة في مجالات خبرتها؛ وبالتالي فإنها تشكل جزءاً لا يتجزأ من عمليات وضع السياسة العامة في الحكومة.</w:t>
      </w:r>
    </w:p>
    <w:p w:rsidR="00A24ECD" w:rsidRPr="00A24ECD" w:rsidRDefault="00A24ECD" w:rsidP="00A24EC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501F" w:rsidRDefault="00A24ECD" w:rsidP="00A24E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8501F" w:rsidRPr="000D6C61">
        <w:rPr>
          <w:rFonts w:hint="cs"/>
          <w:rtl/>
        </w:rPr>
        <w:t>المرأة في النقابات العمالية</w:t>
      </w:r>
    </w:p>
    <w:p w:rsidR="0058501F" w:rsidRDefault="00A24ECD" w:rsidP="00A24ECD">
      <w:pPr>
        <w:pStyle w:val="SingleTxt"/>
        <w:rPr>
          <w:rFonts w:hint="cs"/>
          <w:rtl/>
        </w:rPr>
      </w:pPr>
      <w:r>
        <w:rPr>
          <w:rFonts w:hint="cs"/>
          <w:rtl/>
        </w:rPr>
        <w:t>7-25</w:t>
      </w:r>
      <w:r>
        <w:rPr>
          <w:rFonts w:hint="cs"/>
          <w:rtl/>
        </w:rPr>
        <w:tab/>
        <w:t>ي</w:t>
      </w:r>
      <w:r w:rsidR="0058501F">
        <w:rPr>
          <w:rFonts w:hint="cs"/>
          <w:rtl/>
        </w:rPr>
        <w:t>نص قانون النقابات العمالية (القانون رقم 82) على إنشاء وتشغيل نقابات عمالية. ولا توجد في توفالو سوى نقابتين عماليتين، هما اتحاد البحارة التوفاليين العاملين في الخارج وجميعية المعلمين. ويهيمن على الأولى الرجال الذين يعملون بحارة، ومن بين اهتماماته الرئيسية العمالة ورفاه أعضائه. وتبذل جهود أيضاً لتعبئة أمهات وزوجات هؤلاء البحارة لتكوين كيان رسمي يعالج مجالات اهتمامهن التي تشمل مسائل مالية واجتماعية وصحية. وتعمل وزارة الصحة وجمعية صحة الأسرة في توفالو بتعاون وثيق على تنظيم حلقات تدريب على المسائل الصحية، لا سيما خطر الأمراض التي تنتقل عن طريق الاتصال الجنسي وفيروس نقص المناعة البشرية ومتلازمة نقص المناعة المكتسب (الإيدز).</w:t>
      </w:r>
    </w:p>
    <w:p w:rsidR="0058501F" w:rsidRDefault="00A24ECD" w:rsidP="00A24ECD">
      <w:pPr>
        <w:pStyle w:val="SingleTxt"/>
        <w:rPr>
          <w:rFonts w:hint="cs"/>
          <w:rtl/>
        </w:rPr>
      </w:pPr>
      <w:r>
        <w:rPr>
          <w:rFonts w:hint="cs"/>
          <w:rtl/>
        </w:rPr>
        <w:t>7-26</w:t>
      </w:r>
      <w:r>
        <w:rPr>
          <w:rFonts w:hint="cs"/>
          <w:rtl/>
        </w:rPr>
        <w:tab/>
      </w:r>
      <w:r w:rsidR="0058501F">
        <w:rPr>
          <w:rFonts w:hint="cs"/>
          <w:rtl/>
        </w:rPr>
        <w:t>من جهة أخرى، تهيمن المرأة على جمعية المعلمين، مما يعكس تكوين العاملين في مهنة التعليم، حيث يزيد عدد النساء على عدد الرجال. وتشغل المرأة وظيفة مدير المدرسة في ثماني مدارس ابتدائية حكومية، بينما يشغل الرجل وظيفة مدير المدرسة في المدرستين الثانويتين.</w:t>
      </w:r>
    </w:p>
    <w:p w:rsidR="00A24ECD" w:rsidRPr="00A24ECD" w:rsidRDefault="00A24ECD" w:rsidP="00A24ECD">
      <w:pPr>
        <w:pStyle w:val="SingleTxt"/>
        <w:spacing w:after="0" w:line="120" w:lineRule="exact"/>
        <w:rPr>
          <w:rFonts w:hint="cs"/>
          <w:sz w:val="10"/>
          <w:rtl/>
        </w:rPr>
      </w:pPr>
    </w:p>
    <w:p w:rsidR="0058501F" w:rsidRDefault="00A24ECD" w:rsidP="00A24E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8501F" w:rsidRPr="00F81BD1">
        <w:rPr>
          <w:rFonts w:hint="cs"/>
          <w:rtl/>
        </w:rPr>
        <w:t>المرأة في الكنيسة</w:t>
      </w:r>
    </w:p>
    <w:p w:rsidR="0058501F" w:rsidRDefault="00A24ECD" w:rsidP="00A24ECD">
      <w:pPr>
        <w:pStyle w:val="SingleTxt"/>
        <w:rPr>
          <w:rFonts w:hint="cs"/>
          <w:rtl/>
        </w:rPr>
      </w:pPr>
      <w:r>
        <w:rPr>
          <w:rFonts w:hint="cs"/>
          <w:rtl/>
        </w:rPr>
        <w:t>7-27</w:t>
      </w:r>
      <w:r>
        <w:rPr>
          <w:rFonts w:hint="cs"/>
          <w:rtl/>
        </w:rPr>
        <w:tab/>
      </w:r>
      <w:r w:rsidR="0058501F" w:rsidRPr="005C22C8">
        <w:rPr>
          <w:rFonts w:hint="cs"/>
          <w:rtl/>
        </w:rPr>
        <w:t xml:space="preserve">قد تكون الكنيسة المسيحية هي أكثر المؤسسات نفوذاً في مجتمع توفالو. وتمثيل المرأة في الوظائف القيادية في الكنيسة تمثيل ناقص جداً. ونظرة قادة الكنيسة التقليدية والنمطية للمرأة </w:t>
      </w:r>
      <w:r w:rsidR="0058501F">
        <w:rPr>
          <w:rFonts w:hint="cs"/>
          <w:rtl/>
        </w:rPr>
        <w:t xml:space="preserve">مجسدة في </w:t>
      </w:r>
      <w:r w:rsidR="0058501F" w:rsidRPr="005C22C8">
        <w:rPr>
          <w:rFonts w:hint="cs"/>
          <w:rtl/>
        </w:rPr>
        <w:t xml:space="preserve">عدم تنصيب المرأة </w:t>
      </w:r>
      <w:r w:rsidR="0058501F">
        <w:rPr>
          <w:rFonts w:hint="cs"/>
          <w:rtl/>
        </w:rPr>
        <w:t xml:space="preserve">في مركز </w:t>
      </w:r>
      <w:r w:rsidR="0058501F" w:rsidRPr="005C22C8">
        <w:rPr>
          <w:rFonts w:hint="cs"/>
          <w:rtl/>
        </w:rPr>
        <w:t>ق</w:t>
      </w:r>
      <w:r w:rsidR="0058501F">
        <w:rPr>
          <w:rFonts w:hint="cs"/>
          <w:rtl/>
        </w:rPr>
        <w:t>ي</w:t>
      </w:r>
      <w:r w:rsidR="0058501F" w:rsidRPr="005C22C8">
        <w:rPr>
          <w:rFonts w:hint="cs"/>
          <w:rtl/>
        </w:rPr>
        <w:t xml:space="preserve">سيس، حتى وإن أكملت دراستها بنجاح في كلية لاهوتية وتخرجت منها. إلا أن التغيير جارٍ </w:t>
      </w:r>
      <w:r w:rsidR="0058501F">
        <w:rPr>
          <w:rFonts w:hint="cs"/>
          <w:rtl/>
        </w:rPr>
        <w:t>ب</w:t>
      </w:r>
      <w:r w:rsidR="0058501F" w:rsidRPr="005C22C8">
        <w:rPr>
          <w:rFonts w:hint="cs"/>
          <w:rtl/>
        </w:rPr>
        <w:t>تعيين بعض النساء بوظيفة واعظ غير محترف ووظيفة</w:t>
      </w:r>
      <w:r w:rsidR="0058501F">
        <w:rPr>
          <w:rFonts w:hint="cs"/>
          <w:rtl/>
        </w:rPr>
        <w:t xml:space="preserve"> </w:t>
      </w:r>
      <w:r w:rsidR="0058501F" w:rsidRPr="005C22C8">
        <w:rPr>
          <w:rFonts w:hint="cs"/>
          <w:rtl/>
        </w:rPr>
        <w:t>ديكانوس في الكنيسة. وعلى الرغم من الدور النشط الذي تقوم به المرأة في أنشطة الكنيسة، فإنها لا تزال تخضع للآراء والمواقف النمطية.</w:t>
      </w:r>
    </w:p>
    <w:p w:rsidR="0058501F" w:rsidRPr="005C22C8" w:rsidRDefault="00A24ECD" w:rsidP="00A24ECD">
      <w:pPr>
        <w:pStyle w:val="SingleTxt"/>
        <w:rPr>
          <w:rFonts w:hint="cs"/>
        </w:rPr>
      </w:pPr>
      <w:r>
        <w:rPr>
          <w:rFonts w:hint="cs"/>
          <w:rtl/>
        </w:rPr>
        <w:t>7-28</w:t>
      </w:r>
      <w:r>
        <w:rPr>
          <w:rFonts w:hint="cs"/>
          <w:rtl/>
        </w:rPr>
        <w:tab/>
      </w:r>
      <w:r w:rsidR="0058501F">
        <w:rPr>
          <w:rFonts w:hint="cs"/>
          <w:rtl/>
        </w:rPr>
        <w:t>يمثل</w:t>
      </w:r>
      <w:r w:rsidR="0058501F" w:rsidRPr="005C22C8">
        <w:rPr>
          <w:rFonts w:hint="cs"/>
          <w:rtl/>
        </w:rPr>
        <w:t xml:space="preserve"> إدماج المرأة في السياسة وفي مؤسسات صنع القرار </w:t>
      </w:r>
      <w:r w:rsidR="0058501F">
        <w:rPr>
          <w:rFonts w:hint="cs"/>
          <w:rtl/>
        </w:rPr>
        <w:t xml:space="preserve">تحدٍ </w:t>
      </w:r>
      <w:r w:rsidR="0058501F" w:rsidRPr="005C22C8">
        <w:rPr>
          <w:rFonts w:hint="cs"/>
          <w:rtl/>
        </w:rPr>
        <w:t xml:space="preserve">بسبب الترتيب الهرمي التقليدي والعادات. وتعرف المرأة وتتقبل مكانها وأدوارها في المجتمع التي يتوقع منها أن تقوم بها. وعلى الرغم من الجهود التي تبذل مؤخراً لزيادة عدد النساء المشاركات في السياسة، فإن مشاركة المرأة لا تزال هامشية. والدستور والتشريعات الانتخابية منصفة وغير تمييزية وتتضمن بصورة أساسية جوهر اتفاقية القضاء على جميع أشكال التمييز ضد المرأة. إلا أن الممارسات التي تستبعد مشاركة المرأة في صنع القرار الرسمي وتستبعدها من البرلمان ومن مؤسسات أخرى لا تزال متفشية. وفي حين أن الثقافة والتقاليد والمواقف وما إلى ذلك قد تكون العوامل الكامنة وراء هذه الحالة، فإن تقليل المرأة من شأن طاقاتها وقدراتها يفاقم الحالة. </w:t>
      </w:r>
    </w:p>
    <w:p w:rsidR="00A24ECD" w:rsidRPr="00A24ECD" w:rsidRDefault="00A24ECD" w:rsidP="00A24ECD">
      <w:pPr>
        <w:spacing w:line="120" w:lineRule="exact"/>
        <w:rPr>
          <w:rFonts w:hint="cs"/>
          <w:b/>
          <w:bCs/>
          <w:sz w:val="10"/>
          <w:szCs w:val="32"/>
          <w:rtl/>
        </w:rPr>
      </w:pPr>
    </w:p>
    <w:p w:rsidR="0058501F" w:rsidRDefault="00A24ECD" w:rsidP="00A24EC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752CF1">
        <w:rPr>
          <w:rFonts w:hint="cs"/>
          <w:rtl/>
        </w:rPr>
        <w:t xml:space="preserve">المادة 8 </w:t>
      </w:r>
    </w:p>
    <w:p w:rsidR="0058501F" w:rsidRDefault="0058501F" w:rsidP="0058501F">
      <w:pPr>
        <w:rPr>
          <w:rFonts w:hint="cs"/>
          <w:sz w:val="32"/>
          <w:szCs w:val="32"/>
          <w:rtl/>
        </w:rPr>
      </w:pPr>
    </w:p>
    <w:tbl>
      <w:tblPr>
        <w:tblStyle w:val="TableGrid"/>
        <w:bidiVisual/>
        <w:tblW w:w="0" w:type="auto"/>
        <w:jc w:val="center"/>
        <w:tblLook w:val="01E0" w:firstRow="1" w:lastRow="1" w:firstColumn="1" w:lastColumn="1" w:noHBand="0" w:noVBand="0"/>
      </w:tblPr>
      <w:tblGrid>
        <w:gridCol w:w="8856"/>
      </w:tblGrid>
      <w:tr w:rsidR="0058501F">
        <w:trPr>
          <w:jc w:val="center"/>
        </w:trPr>
        <w:tc>
          <w:tcPr>
            <w:tcW w:w="8856" w:type="dxa"/>
          </w:tcPr>
          <w:p w:rsidR="00A24ECD" w:rsidRPr="00A24ECD" w:rsidRDefault="00A24ECD" w:rsidP="00A24ECD">
            <w:pPr>
              <w:pStyle w:val="SingleTxt"/>
              <w:spacing w:after="0" w:line="120" w:lineRule="exact"/>
              <w:rPr>
                <w:rFonts w:cs="Traditional Arabic" w:hint="cs"/>
                <w:b/>
                <w:bCs/>
                <w:sz w:val="10"/>
                <w:rtl/>
              </w:rPr>
            </w:pPr>
          </w:p>
          <w:p w:rsidR="0058501F" w:rsidRPr="00A24ECD" w:rsidRDefault="0058501F" w:rsidP="00A24ECD">
            <w:pPr>
              <w:pStyle w:val="SingleTxt"/>
              <w:rPr>
                <w:rFonts w:cs="Traditional Arabic" w:hint="cs"/>
                <w:rtl/>
              </w:rPr>
            </w:pPr>
            <w:r w:rsidRPr="00A24ECD">
              <w:rPr>
                <w:rFonts w:cs="Traditional Arabic" w:hint="cs"/>
                <w:b/>
                <w:bCs/>
                <w:rtl/>
              </w:rPr>
              <w:tab/>
            </w:r>
            <w:r w:rsidRPr="00A24ECD">
              <w:rPr>
                <w:rFonts w:cs="Traditional Arabic" w:hint="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58501F" w:rsidRDefault="0058501F" w:rsidP="0058501F">
            <w:pPr>
              <w:rPr>
                <w:rFonts w:cs="Traditional Arabic" w:hint="cs"/>
                <w:sz w:val="32"/>
                <w:szCs w:val="32"/>
                <w:rtl/>
              </w:rPr>
            </w:pPr>
          </w:p>
        </w:tc>
      </w:tr>
    </w:tbl>
    <w:p w:rsidR="0058501F" w:rsidRPr="00F94737" w:rsidRDefault="0058501F" w:rsidP="0058501F">
      <w:pPr>
        <w:rPr>
          <w:rFonts w:hint="cs"/>
          <w:sz w:val="32"/>
          <w:szCs w:val="32"/>
          <w:rtl/>
        </w:rPr>
      </w:pPr>
    </w:p>
    <w:p w:rsidR="0058501F" w:rsidRPr="00752CF1" w:rsidRDefault="00A24ECD" w:rsidP="00A24EC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752CF1">
        <w:rPr>
          <w:rFonts w:hint="cs"/>
          <w:rtl/>
        </w:rPr>
        <w:t>القانون والممارسة</w:t>
      </w:r>
    </w:p>
    <w:p w:rsidR="0058501F" w:rsidRDefault="00A24ECD" w:rsidP="00A24ECD">
      <w:pPr>
        <w:pStyle w:val="SingleTxt"/>
        <w:rPr>
          <w:rFonts w:hint="cs"/>
          <w:rtl/>
        </w:rPr>
      </w:pPr>
      <w:r>
        <w:rPr>
          <w:rFonts w:hint="cs"/>
          <w:rtl/>
        </w:rPr>
        <w:t>8-1</w:t>
      </w:r>
      <w:r>
        <w:rPr>
          <w:rFonts w:hint="cs"/>
          <w:rtl/>
        </w:rPr>
        <w:tab/>
      </w:r>
      <w:r w:rsidR="0058501F">
        <w:rPr>
          <w:rFonts w:hint="cs"/>
          <w:rtl/>
        </w:rPr>
        <w:t>لا يوجد في الدستور أي حكم يحظر قيام المرأة بتمثيل الحكومة على صعيد دولي أو يحد من مشاركتها في المنظمات الدولية. وينطبق نفس القول على المجتمع المدني والمنظمات غير الحكومية.</w:t>
      </w:r>
    </w:p>
    <w:p w:rsidR="0058501F" w:rsidRPr="00AC24EF" w:rsidRDefault="00A24ECD" w:rsidP="0083269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AC24EF">
        <w:rPr>
          <w:rFonts w:hint="cs"/>
          <w:rtl/>
        </w:rPr>
        <w:t>المؤتمرات الدولية التي حضرها مسؤولون توفاليون</w:t>
      </w:r>
    </w:p>
    <w:p w:rsidR="0058501F" w:rsidRDefault="00A24ECD" w:rsidP="00A24EC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sidR="0058501F" w:rsidRPr="00AC24EF">
        <w:rPr>
          <w:rFonts w:hint="cs"/>
          <w:rtl/>
        </w:rPr>
        <w:t xml:space="preserve">الشكل 2 </w:t>
      </w:r>
    </w:p>
    <w:p w:rsidR="0058501F" w:rsidRPr="00AA3BA5" w:rsidRDefault="00A24ECD" w:rsidP="000F646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Pr>
          <w:rFonts w:hint="cs"/>
          <w:rtl/>
        </w:rPr>
        <w:tab/>
      </w:r>
      <w:r w:rsidR="0058501F" w:rsidRPr="00AA3BA5">
        <w:rPr>
          <w:rFonts w:hint="cs"/>
          <w:rtl/>
        </w:rPr>
        <w:t>تمثيل توفالو في المؤتمرات الدولية أثناء الفترة 2001</w:t>
      </w:r>
      <w:r w:rsidR="0083269C">
        <w:rPr>
          <w:rFonts w:hint="cs"/>
          <w:rtl/>
        </w:rPr>
        <w:t>-</w:t>
      </w:r>
      <w:r w:rsidR="0058501F" w:rsidRPr="00AA3BA5">
        <w:rPr>
          <w:rFonts w:hint="cs"/>
          <w:rtl/>
        </w:rPr>
        <w:t>200</w:t>
      </w:r>
      <w:r w:rsidR="000F646B">
        <w:rPr>
          <w:rFonts w:hint="cs"/>
          <w:rtl/>
        </w:rPr>
        <w:t>6</w:t>
      </w:r>
      <w:r w:rsidR="0058501F" w:rsidRPr="00AA3BA5">
        <w:rPr>
          <w:rFonts w:hint="cs"/>
          <w:rtl/>
        </w:rPr>
        <w:t xml:space="preserve"> </w:t>
      </w:r>
    </w:p>
    <w:p w:rsidR="00A24ECD" w:rsidRDefault="00BF2AB5" w:rsidP="0058501F">
      <w:pPr>
        <w:ind w:left="720" w:firstLine="720"/>
        <w:rPr>
          <w:rFonts w:hint="cs"/>
          <w:sz w:val="28"/>
          <w:szCs w:val="28"/>
          <w:rtl/>
        </w:rPr>
      </w:pPr>
      <w:r>
        <w:rPr>
          <w:rFonts w:hint="cs"/>
          <w:noProof/>
          <w:w w:val="100"/>
          <w:sz w:val="32"/>
          <w:szCs w:val="32"/>
          <w:rtl/>
        </w:rPr>
        <w:pict>
          <v:shape id="_x0000_s2202" type="#_x0000_t202" style="position:absolute;left:0;text-align:left;margin-left:136pt;margin-top:17.2pt;width:204pt;height:27pt;z-index:11" strokecolor="white">
            <v:textbox inset="0,0,0,0">
              <w:txbxContent>
                <w:p w:rsidR="00F93B21" w:rsidRPr="00BF2AB5" w:rsidRDefault="00F93B21" w:rsidP="00BF2AB5">
                  <w:pPr>
                    <w:jc w:val="center"/>
                    <w:rPr>
                      <w:rFonts w:hint="cs"/>
                      <w:b/>
                      <w:bCs/>
                      <w:sz w:val="12"/>
                      <w:szCs w:val="22"/>
                      <w:lang w:bidi="ar-EG"/>
                    </w:rPr>
                  </w:pPr>
                  <w:r w:rsidRPr="00BF2AB5">
                    <w:rPr>
                      <w:rFonts w:hint="cs"/>
                      <w:b/>
                      <w:bCs/>
                      <w:sz w:val="12"/>
                      <w:szCs w:val="22"/>
                      <w:rtl/>
                      <w:lang w:bidi="ar-EG"/>
                    </w:rPr>
                    <w:t>تمثيل توفالو في المؤتمرات الدولية أثناء الفترة 2001-2005</w:t>
                  </w:r>
                </w:p>
              </w:txbxContent>
            </v:textbox>
          </v:shape>
        </w:pict>
      </w:r>
      <w:r w:rsidR="0083269C">
        <w:rPr>
          <w:noProof/>
        </w:rPr>
        <w:pict>
          <v:shape id="_x0000_s2192" type="#_x0000_t75" style="position:absolute;left:0;text-align:left;margin-left:0;margin-top:9.4pt;width:280.5pt;height:203.9pt;z-index:10;mso-position-horizontal:center" o:allowoverlap="f" o:cliptowrap="t">
            <v:imagedata r:id="rId16" o:title=""/>
            <o:lock v:ext="edit" ungrouping="t" grouping="t"/>
          </v:shape>
        </w:pict>
      </w:r>
    </w:p>
    <w:p w:rsidR="0083269C" w:rsidRPr="00AA3BA5" w:rsidRDefault="0083269C" w:rsidP="0083269C">
      <w:pPr>
        <w:jc w:val="center"/>
        <w:rPr>
          <w:rFonts w:hint="cs"/>
          <w:sz w:val="28"/>
          <w:szCs w:val="28"/>
          <w:rtl/>
        </w:rPr>
      </w:pPr>
    </w:p>
    <w:p w:rsidR="0083269C" w:rsidRDefault="0083269C" w:rsidP="0083269C">
      <w:pPr>
        <w:jc w:val="center"/>
        <w:rPr>
          <w:rFonts w:hint="cs"/>
          <w:b/>
          <w:bCs/>
          <w:sz w:val="32"/>
          <w:szCs w:val="32"/>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A24ECD" w:rsidRDefault="00A24ECD" w:rsidP="0058501F">
      <w:pPr>
        <w:ind w:left="720" w:firstLine="720"/>
        <w:rPr>
          <w:rFonts w:hint="cs"/>
          <w:sz w:val="28"/>
          <w:szCs w:val="28"/>
          <w:rtl/>
        </w:rPr>
      </w:pPr>
    </w:p>
    <w:p w:rsidR="0058501F" w:rsidRPr="002270DF" w:rsidRDefault="0058501F" w:rsidP="002270DF">
      <w:pPr>
        <w:ind w:left="720" w:firstLine="720"/>
        <w:rPr>
          <w:rFonts w:hint="cs"/>
          <w:sz w:val="28"/>
          <w:szCs w:val="28"/>
          <w:rtl/>
        </w:rPr>
      </w:pPr>
      <w:r w:rsidRPr="002270DF">
        <w:rPr>
          <w:rFonts w:hint="cs"/>
          <w:sz w:val="26"/>
          <w:szCs w:val="26"/>
          <w:rtl/>
        </w:rPr>
        <w:t>المصدر سجلات إدارة الشؤون الخارجية (2001</w:t>
      </w:r>
      <w:r w:rsidR="002270DF">
        <w:rPr>
          <w:rFonts w:hint="cs"/>
          <w:sz w:val="26"/>
          <w:szCs w:val="26"/>
          <w:rtl/>
        </w:rPr>
        <w:t>-</w:t>
      </w:r>
      <w:r w:rsidRPr="002270DF">
        <w:rPr>
          <w:rFonts w:hint="cs"/>
          <w:sz w:val="26"/>
          <w:szCs w:val="26"/>
          <w:rtl/>
        </w:rPr>
        <w:t>2005)</w:t>
      </w:r>
      <w:r w:rsidR="002270DF" w:rsidRPr="002270DF">
        <w:rPr>
          <w:sz w:val="26"/>
          <w:szCs w:val="26"/>
          <w:vertAlign w:val="superscript"/>
          <w:rtl/>
        </w:rPr>
        <w:t>(</w:t>
      </w:r>
      <w:r w:rsidR="002270DF" w:rsidRPr="002270DF">
        <w:rPr>
          <w:rStyle w:val="FootnoteReference"/>
          <w:sz w:val="15"/>
          <w:szCs w:val="24"/>
          <w:rtl/>
        </w:rPr>
        <w:footnoteReference w:id="79"/>
      </w:r>
      <w:r w:rsidR="002270DF" w:rsidRPr="002270DF">
        <w:rPr>
          <w:sz w:val="26"/>
          <w:szCs w:val="26"/>
          <w:vertAlign w:val="superscript"/>
          <w:rtl/>
        </w:rPr>
        <w:t>)</w:t>
      </w:r>
      <w:r w:rsidR="002270DF" w:rsidRPr="002270DF">
        <w:rPr>
          <w:rFonts w:hint="cs"/>
          <w:sz w:val="26"/>
          <w:szCs w:val="26"/>
          <w:rtl/>
        </w:rPr>
        <w:t>.</w:t>
      </w:r>
    </w:p>
    <w:p w:rsidR="0058501F" w:rsidRDefault="0058501F" w:rsidP="002270DF">
      <w:pPr>
        <w:pStyle w:val="SingleTxt"/>
        <w:rPr>
          <w:rFonts w:hint="cs"/>
          <w:rtl/>
        </w:rPr>
      </w:pPr>
      <w:r>
        <w:rPr>
          <w:rFonts w:hint="cs"/>
          <w:rtl/>
        </w:rPr>
        <w:t>8-2</w:t>
      </w:r>
      <w:r w:rsidR="002270DF">
        <w:rPr>
          <w:rFonts w:hint="cs"/>
          <w:rtl/>
        </w:rPr>
        <w:tab/>
      </w:r>
      <w:r>
        <w:rPr>
          <w:rFonts w:hint="cs"/>
          <w:rtl/>
        </w:rPr>
        <w:t>مع أن القانون لا يميز بين تمثيل المرأة والرجل على صعيد دولي، فإن عدم المساواة موجود في الممارسة العملية. ويوضح الشكل 2 بجلاء أن المرأة كانت ممثلة تمثلاً ناقصاً في المؤتمرات الدولية أثناء الفترة من عام 2001 إلى عام 2005. وأثناء هذه الفترة، لم تعط فرصة للمرأة لتمثيل توفالو في المؤتمرات الدولية سوى بنسبة 10 في المائة مقابل 90 في المائة أعطيت للرجل. ويفترض أن بعض العوامل الرئيسية التي أسهمت في هذا التمثيل الناقص تعزى إلى أن معظم التمثيل في هذا النوع من المؤتمرات يناط بكبار  مسؤولي الحكومة الذين معظمهم من الرجال. وتمثل المرأة توفالو في الاجتماعات والمؤتمرات وحلقات العمل والندوات الدولية بسبب خبرتها المهنية.</w:t>
      </w:r>
    </w:p>
    <w:p w:rsidR="0058501F" w:rsidRDefault="004E5DEC" w:rsidP="004E5DEC">
      <w:pPr>
        <w:pStyle w:val="SingleTxt"/>
        <w:rPr>
          <w:rFonts w:hint="cs"/>
          <w:rtl/>
        </w:rPr>
      </w:pPr>
      <w:r>
        <w:rPr>
          <w:rFonts w:hint="cs"/>
          <w:rtl/>
        </w:rPr>
        <w:t>8-3</w:t>
      </w:r>
      <w:r>
        <w:rPr>
          <w:rFonts w:hint="cs"/>
          <w:rtl/>
        </w:rPr>
        <w:tab/>
      </w:r>
      <w:r w:rsidR="0058501F">
        <w:rPr>
          <w:rFonts w:hint="cs"/>
          <w:rtl/>
        </w:rPr>
        <w:t>فضلاً عن مشاركة المرأة في الاجتماعات الدولية، فإن تمثيل المرأة في المراكز الدبلوماسية متدنٍ في الوظائف الدبلوماسية. ولا يوجد لتوفالو سوى سفارتين ويرأس الرجل كليتهما. ويوجد عدد صغير أيضاً من التوفاليات اللواتي يعملن موظفات في منظمات إقليمية ودولية.</w:t>
      </w:r>
    </w:p>
    <w:p w:rsidR="0058501F" w:rsidRDefault="0058501F" w:rsidP="0058501F">
      <w:pPr>
        <w:rPr>
          <w:rFonts w:hint="cs"/>
          <w:sz w:val="32"/>
          <w:szCs w:val="32"/>
          <w:rtl/>
        </w:rPr>
      </w:pPr>
    </w:p>
    <w:p w:rsidR="0058501F" w:rsidRDefault="004E5DEC" w:rsidP="004E5DE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sz w:val="32"/>
          <w:szCs w:val="32"/>
          <w:rtl/>
        </w:rPr>
      </w:pPr>
      <w:r>
        <w:rPr>
          <w:rFonts w:hint="cs"/>
          <w:sz w:val="32"/>
          <w:szCs w:val="32"/>
          <w:rtl/>
        </w:rPr>
        <w:tab/>
      </w:r>
      <w:r w:rsidR="0058501F" w:rsidRPr="003340AE">
        <w:rPr>
          <w:rFonts w:hint="cs"/>
          <w:sz w:val="32"/>
          <w:szCs w:val="32"/>
          <w:rtl/>
        </w:rPr>
        <w:t>ا</w:t>
      </w:r>
      <w:r w:rsidR="0058501F" w:rsidRPr="00F0009A">
        <w:rPr>
          <w:rFonts w:hint="cs"/>
          <w:rtl/>
        </w:rPr>
        <w:t>لجدول 15: تكوين الموظفين في بعثات توفالو الدبلوماسية في الخارج، عام 2005</w:t>
      </w:r>
    </w:p>
    <w:p w:rsidR="0058501F" w:rsidRPr="003340AE" w:rsidRDefault="0058501F" w:rsidP="0058501F">
      <w:pPr>
        <w:jc w:val="center"/>
        <w:rPr>
          <w:rFonts w:hint="cs"/>
          <w:b/>
          <w:bCs/>
          <w:sz w:val="32"/>
          <w:szCs w:val="32"/>
          <w:rtl/>
        </w:rPr>
      </w:pPr>
      <w:r w:rsidRPr="00B87632">
        <w:rPr>
          <w:rFonts w:hint="cs"/>
          <w:b/>
          <w:bCs/>
          <w:sz w:val="32"/>
          <w:szCs w:val="32"/>
          <w:rtl/>
        </w:rPr>
        <w:t xml:space="preserve"> </w:t>
      </w:r>
    </w:p>
    <w:tbl>
      <w:tblPr>
        <w:tblStyle w:val="TableGrid"/>
        <w:bidiVisual/>
        <w:tblW w:w="0" w:type="auto"/>
        <w:jc w:val="center"/>
        <w:tblLayout w:type="fixed"/>
        <w:tblLook w:val="01E0" w:firstRow="1" w:lastRow="1" w:firstColumn="1" w:lastColumn="1" w:noHBand="0" w:noVBand="0"/>
      </w:tblPr>
      <w:tblGrid>
        <w:gridCol w:w="3024"/>
        <w:gridCol w:w="792"/>
        <w:gridCol w:w="792"/>
        <w:gridCol w:w="792"/>
        <w:gridCol w:w="792"/>
        <w:gridCol w:w="792"/>
        <w:gridCol w:w="792"/>
        <w:gridCol w:w="792"/>
      </w:tblGrid>
      <w:tr w:rsidR="0058501F" w:rsidRPr="00137EEC">
        <w:trPr>
          <w:jc w:val="center"/>
        </w:trPr>
        <w:tc>
          <w:tcPr>
            <w:tcW w:w="8568" w:type="dxa"/>
            <w:gridSpan w:val="8"/>
          </w:tcPr>
          <w:p w:rsidR="0058501F" w:rsidRPr="00137EEC" w:rsidRDefault="0058501F" w:rsidP="0058501F">
            <w:pPr>
              <w:rPr>
                <w:rFonts w:cs="Traditional Arabic" w:hint="cs"/>
                <w:sz w:val="28"/>
                <w:szCs w:val="28"/>
                <w:rtl/>
              </w:rPr>
            </w:pPr>
            <w:r w:rsidRPr="00137EEC">
              <w:rPr>
                <w:rFonts w:cs="Traditional Arabic" w:hint="cs"/>
                <w:b/>
                <w:bCs/>
                <w:sz w:val="28"/>
                <w:szCs w:val="28"/>
                <w:rtl/>
              </w:rPr>
              <w:t xml:space="preserve">بعثة توفالو في </w:t>
            </w:r>
            <w:r>
              <w:rPr>
                <w:rFonts w:cs="Traditional Arabic" w:hint="cs"/>
                <w:b/>
                <w:bCs/>
                <w:sz w:val="28"/>
                <w:szCs w:val="28"/>
                <w:rtl/>
              </w:rPr>
              <w:t>نيويورك</w:t>
            </w:r>
          </w:p>
        </w:tc>
      </w:tr>
      <w:tr w:rsidR="0058501F" w:rsidRPr="00137EEC">
        <w:trPr>
          <w:jc w:val="center"/>
        </w:trPr>
        <w:tc>
          <w:tcPr>
            <w:tcW w:w="3024"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السنة</w:t>
            </w:r>
          </w:p>
        </w:tc>
        <w:tc>
          <w:tcPr>
            <w:tcW w:w="792" w:type="dxa"/>
          </w:tcPr>
          <w:p w:rsidR="0058501F" w:rsidRPr="007737E4" w:rsidRDefault="0058501F" w:rsidP="0058501F">
            <w:pPr>
              <w:jc w:val="center"/>
              <w:rPr>
                <w:rFonts w:cs="Traditional Arabic" w:hint="cs"/>
                <w:b/>
                <w:bCs/>
                <w:sz w:val="28"/>
                <w:szCs w:val="28"/>
                <w:rtl/>
              </w:rPr>
            </w:pPr>
          </w:p>
        </w:tc>
        <w:tc>
          <w:tcPr>
            <w:tcW w:w="2376" w:type="dxa"/>
            <w:gridSpan w:val="3"/>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2003</w:t>
            </w:r>
          </w:p>
        </w:tc>
        <w:tc>
          <w:tcPr>
            <w:tcW w:w="2376" w:type="dxa"/>
            <w:gridSpan w:val="3"/>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2005</w:t>
            </w:r>
          </w:p>
        </w:tc>
      </w:tr>
      <w:tr w:rsidR="0058501F" w:rsidRPr="00137EEC">
        <w:trPr>
          <w:jc w:val="center"/>
        </w:trPr>
        <w:tc>
          <w:tcPr>
            <w:tcW w:w="3024"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الوظيفة</w:t>
            </w:r>
          </w:p>
        </w:tc>
        <w:tc>
          <w:tcPr>
            <w:tcW w:w="792" w:type="dxa"/>
          </w:tcPr>
          <w:p w:rsidR="0058501F" w:rsidRPr="003D357B" w:rsidRDefault="0058501F" w:rsidP="0058501F">
            <w:pPr>
              <w:jc w:val="center"/>
              <w:rPr>
                <w:rFonts w:cs="Traditional Arabic" w:hint="cs"/>
                <w:b/>
                <w:bCs/>
                <w:sz w:val="26"/>
                <w:szCs w:val="26"/>
                <w:rtl/>
              </w:rPr>
            </w:pPr>
            <w:r w:rsidRPr="003D357B">
              <w:rPr>
                <w:rFonts w:cs="Traditional Arabic" w:hint="cs"/>
                <w:b/>
                <w:bCs/>
                <w:sz w:val="26"/>
                <w:szCs w:val="26"/>
                <w:rtl/>
              </w:rPr>
              <w:t>المستوى</w:t>
            </w:r>
          </w:p>
        </w:tc>
        <w:tc>
          <w:tcPr>
            <w:tcW w:w="792"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المجموع</w:t>
            </w:r>
          </w:p>
        </w:tc>
        <w:tc>
          <w:tcPr>
            <w:tcW w:w="1584" w:type="dxa"/>
            <w:gridSpan w:val="2"/>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نوع الجنس</w:t>
            </w:r>
          </w:p>
        </w:tc>
        <w:tc>
          <w:tcPr>
            <w:tcW w:w="792"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المجموع</w:t>
            </w:r>
          </w:p>
        </w:tc>
        <w:tc>
          <w:tcPr>
            <w:tcW w:w="1584" w:type="dxa"/>
            <w:gridSpan w:val="2"/>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نوع الجنس</w:t>
            </w:r>
          </w:p>
        </w:tc>
      </w:tr>
      <w:tr w:rsidR="0058501F" w:rsidRPr="00137EEC">
        <w:trPr>
          <w:jc w:val="center"/>
        </w:trPr>
        <w:tc>
          <w:tcPr>
            <w:tcW w:w="3024"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ذكور</w:t>
            </w:r>
          </w:p>
        </w:tc>
        <w:tc>
          <w:tcPr>
            <w:tcW w:w="792"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إناث</w:t>
            </w:r>
          </w:p>
        </w:tc>
        <w:tc>
          <w:tcPr>
            <w:tcW w:w="792" w:type="dxa"/>
          </w:tcPr>
          <w:p w:rsidR="0058501F" w:rsidRPr="007737E4" w:rsidRDefault="0058501F" w:rsidP="0058501F">
            <w:pPr>
              <w:jc w:val="center"/>
              <w:rPr>
                <w:rFonts w:cs="Traditional Arabic" w:hint="cs"/>
                <w:b/>
                <w:bCs/>
                <w:sz w:val="28"/>
                <w:szCs w:val="28"/>
                <w:rtl/>
              </w:rPr>
            </w:pPr>
          </w:p>
        </w:tc>
        <w:tc>
          <w:tcPr>
            <w:tcW w:w="792"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ذكور</w:t>
            </w:r>
          </w:p>
        </w:tc>
        <w:tc>
          <w:tcPr>
            <w:tcW w:w="792" w:type="dxa"/>
          </w:tcPr>
          <w:p w:rsidR="0058501F" w:rsidRPr="007737E4" w:rsidRDefault="0058501F" w:rsidP="0058501F">
            <w:pPr>
              <w:jc w:val="center"/>
              <w:rPr>
                <w:rFonts w:cs="Traditional Arabic" w:hint="cs"/>
                <w:b/>
                <w:bCs/>
                <w:sz w:val="28"/>
                <w:szCs w:val="28"/>
                <w:rtl/>
              </w:rPr>
            </w:pPr>
            <w:r w:rsidRPr="007737E4">
              <w:rPr>
                <w:rFonts w:cs="Traditional Arabic" w:hint="cs"/>
                <w:b/>
                <w:bCs/>
                <w:sz w:val="28"/>
                <w:szCs w:val="28"/>
                <w:rtl/>
              </w:rPr>
              <w:t>إناث</w:t>
            </w: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سفير لدى الأمم المتحدة</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مساعد سكرتير أعلى</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3/2</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سكرتير (كاتب)</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9</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سائق سيارة</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10</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b/>
                <w:bCs/>
                <w:sz w:val="28"/>
                <w:szCs w:val="28"/>
                <w:rtl/>
              </w:rPr>
            </w:pPr>
            <w:r w:rsidRPr="00137EEC">
              <w:rPr>
                <w:rFonts w:cs="Traditional Arabic" w:hint="cs"/>
                <w:b/>
                <w:bCs/>
                <w:sz w:val="28"/>
                <w:szCs w:val="28"/>
                <w:rtl/>
              </w:rPr>
              <w:t>المجموع</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4</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3</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4</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3</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r>
      <w:tr w:rsidR="0058501F" w:rsidRPr="00137EEC">
        <w:trPr>
          <w:jc w:val="center"/>
        </w:trPr>
        <w:tc>
          <w:tcPr>
            <w:tcW w:w="8568" w:type="dxa"/>
            <w:gridSpan w:val="8"/>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b/>
                <w:bCs/>
                <w:sz w:val="28"/>
                <w:szCs w:val="28"/>
                <w:rtl/>
              </w:rPr>
            </w:pPr>
            <w:r w:rsidRPr="00137EEC">
              <w:rPr>
                <w:rFonts w:cs="Traditional Arabic" w:hint="cs"/>
                <w:b/>
                <w:bCs/>
                <w:sz w:val="28"/>
                <w:szCs w:val="28"/>
                <w:rtl/>
              </w:rPr>
              <w:t>مفوض</w:t>
            </w:r>
            <w:r>
              <w:rPr>
                <w:rFonts w:cs="Traditional Arabic" w:hint="cs"/>
                <w:b/>
                <w:bCs/>
                <w:sz w:val="28"/>
                <w:szCs w:val="28"/>
                <w:rtl/>
              </w:rPr>
              <w:t>ية</w:t>
            </w:r>
            <w:r w:rsidRPr="00137EEC">
              <w:rPr>
                <w:rFonts w:cs="Traditional Arabic" w:hint="cs"/>
                <w:b/>
                <w:bCs/>
                <w:sz w:val="28"/>
                <w:szCs w:val="28"/>
                <w:rtl/>
              </w:rPr>
              <w:t xml:space="preserve"> توفالو السامي</w:t>
            </w:r>
            <w:r>
              <w:rPr>
                <w:rFonts w:cs="Traditional Arabic" w:hint="cs"/>
                <w:b/>
                <w:bCs/>
                <w:sz w:val="28"/>
                <w:szCs w:val="28"/>
                <w:rtl/>
              </w:rPr>
              <w:t>ة</w:t>
            </w:r>
            <w:r w:rsidRPr="00137EEC">
              <w:rPr>
                <w:rFonts w:cs="Traditional Arabic" w:hint="cs"/>
                <w:b/>
                <w:bCs/>
                <w:sz w:val="28"/>
                <w:szCs w:val="28"/>
                <w:rtl/>
              </w:rPr>
              <w:t xml:space="preserve"> لدى فيجي</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المفوض السامي</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نائب المفوض السامي</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3/2</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مسؤول تنفيذي</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8</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كاتب</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9</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موظف استقبال</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9</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سائق سيارة/ مراسل</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10</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شخص لأداء الأعمال اليدوية</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10</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r>
      <w:tr w:rsidR="0058501F" w:rsidRPr="00137EEC">
        <w:trPr>
          <w:jc w:val="center"/>
        </w:trPr>
        <w:tc>
          <w:tcPr>
            <w:tcW w:w="3024" w:type="dxa"/>
          </w:tcPr>
          <w:p w:rsidR="0058501F" w:rsidRPr="00137EEC" w:rsidRDefault="0058501F" w:rsidP="0058501F">
            <w:pPr>
              <w:rPr>
                <w:rFonts w:cs="Traditional Arabic" w:hint="cs"/>
                <w:sz w:val="28"/>
                <w:szCs w:val="28"/>
                <w:rtl/>
              </w:rPr>
            </w:pPr>
            <w:r w:rsidRPr="00137EEC">
              <w:rPr>
                <w:rFonts w:cs="Traditional Arabic" w:hint="cs"/>
                <w:sz w:val="28"/>
                <w:szCs w:val="28"/>
                <w:rtl/>
              </w:rPr>
              <w:t>خادمة</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10</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1</w:t>
            </w:r>
          </w:p>
        </w:tc>
      </w:tr>
      <w:tr w:rsidR="0058501F" w:rsidRPr="00137EEC">
        <w:trPr>
          <w:jc w:val="center"/>
        </w:trPr>
        <w:tc>
          <w:tcPr>
            <w:tcW w:w="3024" w:type="dxa"/>
          </w:tcPr>
          <w:p w:rsidR="0058501F" w:rsidRPr="00137EEC" w:rsidRDefault="0058501F" w:rsidP="0058501F">
            <w:pPr>
              <w:rPr>
                <w:rFonts w:cs="Traditional Arabic" w:hint="cs"/>
                <w:b/>
                <w:bCs/>
                <w:sz w:val="28"/>
                <w:szCs w:val="28"/>
                <w:rtl/>
              </w:rPr>
            </w:pPr>
            <w:r w:rsidRPr="00137EEC">
              <w:rPr>
                <w:rFonts w:cs="Traditional Arabic" w:hint="cs"/>
                <w:b/>
                <w:bCs/>
                <w:sz w:val="28"/>
                <w:szCs w:val="28"/>
                <w:rtl/>
              </w:rPr>
              <w:t>المجموع</w:t>
            </w:r>
          </w:p>
        </w:tc>
        <w:tc>
          <w:tcPr>
            <w:tcW w:w="792" w:type="dxa"/>
          </w:tcPr>
          <w:p w:rsidR="0058501F" w:rsidRPr="00137EEC" w:rsidRDefault="0058501F" w:rsidP="0058501F">
            <w:pPr>
              <w:rPr>
                <w:rFonts w:cs="Traditional Arabic" w:hint="cs"/>
                <w:sz w:val="28"/>
                <w:szCs w:val="28"/>
                <w:rtl/>
              </w:rPr>
            </w:pP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8</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4</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4</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8</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4</w:t>
            </w:r>
          </w:p>
        </w:tc>
        <w:tc>
          <w:tcPr>
            <w:tcW w:w="792" w:type="dxa"/>
          </w:tcPr>
          <w:p w:rsidR="0058501F" w:rsidRPr="00137EEC" w:rsidRDefault="0058501F" w:rsidP="0058501F">
            <w:pPr>
              <w:rPr>
                <w:rFonts w:cs="Traditional Arabic" w:hint="cs"/>
                <w:sz w:val="28"/>
                <w:szCs w:val="28"/>
                <w:rtl/>
              </w:rPr>
            </w:pPr>
            <w:r>
              <w:rPr>
                <w:rFonts w:cs="Traditional Arabic" w:hint="cs"/>
                <w:sz w:val="28"/>
                <w:szCs w:val="28"/>
                <w:rtl/>
              </w:rPr>
              <w:t>4</w:t>
            </w:r>
          </w:p>
        </w:tc>
      </w:tr>
    </w:tbl>
    <w:p w:rsidR="0058501F" w:rsidRPr="00226523" w:rsidRDefault="004E5DEC" w:rsidP="004E5DEC">
      <w:pPr>
        <w:rPr>
          <w:rFonts w:hint="cs"/>
          <w:sz w:val="28"/>
          <w:szCs w:val="28"/>
          <w:rtl/>
        </w:rPr>
      </w:pPr>
      <w:r>
        <w:rPr>
          <w:rFonts w:hint="cs"/>
          <w:sz w:val="28"/>
          <w:szCs w:val="28"/>
          <w:rtl/>
        </w:rPr>
        <w:tab/>
      </w:r>
      <w:r>
        <w:rPr>
          <w:rFonts w:hint="cs"/>
          <w:sz w:val="28"/>
          <w:szCs w:val="28"/>
          <w:rtl/>
        </w:rPr>
        <w:tab/>
      </w:r>
      <w:r w:rsidR="0058501F" w:rsidRPr="00226523">
        <w:rPr>
          <w:rFonts w:hint="cs"/>
          <w:sz w:val="28"/>
          <w:szCs w:val="28"/>
          <w:rtl/>
        </w:rPr>
        <w:t>(المصدر: سجلات إدارة الشؤون الخارجية</w:t>
      </w:r>
      <w:r w:rsidR="0058501F">
        <w:rPr>
          <w:rFonts w:hint="cs"/>
          <w:sz w:val="28"/>
          <w:szCs w:val="28"/>
          <w:rtl/>
        </w:rPr>
        <w:t>،</w:t>
      </w:r>
      <w:r>
        <w:rPr>
          <w:rFonts w:hint="cs"/>
          <w:sz w:val="28"/>
          <w:szCs w:val="28"/>
          <w:rtl/>
        </w:rPr>
        <w:t xml:space="preserve"> الفترة 2003-</w:t>
      </w:r>
      <w:r w:rsidR="0058501F" w:rsidRPr="00226523">
        <w:rPr>
          <w:rFonts w:hint="cs"/>
          <w:sz w:val="28"/>
          <w:szCs w:val="28"/>
          <w:rtl/>
        </w:rPr>
        <w:t>2005)</w:t>
      </w:r>
    </w:p>
    <w:p w:rsidR="004E5DEC" w:rsidRPr="004E5DEC" w:rsidRDefault="004E5DEC" w:rsidP="004E5DEC">
      <w:pPr>
        <w:pStyle w:val="SingleTxt"/>
        <w:spacing w:after="0" w:line="120" w:lineRule="exact"/>
        <w:rPr>
          <w:rFonts w:hint="cs"/>
          <w:sz w:val="10"/>
          <w:rtl/>
        </w:rPr>
      </w:pPr>
    </w:p>
    <w:p w:rsidR="0058501F" w:rsidRDefault="0058501F" w:rsidP="004E5DEC">
      <w:pPr>
        <w:pStyle w:val="SingleTxt"/>
        <w:rPr>
          <w:rFonts w:hint="cs"/>
          <w:rtl/>
        </w:rPr>
      </w:pPr>
      <w:r>
        <w:rPr>
          <w:rFonts w:hint="cs"/>
          <w:rtl/>
        </w:rPr>
        <w:tab/>
        <w:t>يبين الجدول 15 حدوث تقدم في مشاركة المرأة في هاتين البعثتين في الخارج وإن كان تمثيلها على مستوى متدنٍ في الهرم الوظيفي.</w:t>
      </w:r>
    </w:p>
    <w:p w:rsidR="0058501F" w:rsidRDefault="004E5DEC" w:rsidP="004E5DEC">
      <w:pPr>
        <w:pStyle w:val="SingleTxt"/>
        <w:rPr>
          <w:rFonts w:hint="cs"/>
          <w:rtl/>
        </w:rPr>
      </w:pPr>
      <w:r>
        <w:rPr>
          <w:rFonts w:hint="cs"/>
          <w:rtl/>
        </w:rPr>
        <w:t>8-4</w:t>
      </w:r>
      <w:r>
        <w:rPr>
          <w:rFonts w:hint="cs"/>
          <w:rtl/>
        </w:rPr>
        <w:tab/>
      </w:r>
      <w:r w:rsidR="0058501F">
        <w:rPr>
          <w:rFonts w:hint="cs"/>
          <w:rtl/>
        </w:rPr>
        <w:t>مشاركة المرأة على الصعيد الدولي مجال بحاجة إلى تعزيز. ولذلك، ربما يتعين على الحكومة أن تضع سياسة تعزز المساواة بين الجنسين في التمثيل في الخارج والاستخدام في المؤسسات الإقليمية والدولية أيضاً.</w:t>
      </w:r>
    </w:p>
    <w:p w:rsidR="0058501F" w:rsidRDefault="004E5DEC" w:rsidP="004E5DEC">
      <w:pPr>
        <w:pStyle w:val="SingleTxt"/>
        <w:rPr>
          <w:rFonts w:hint="cs"/>
          <w:rtl/>
        </w:rPr>
      </w:pPr>
      <w:r>
        <w:rPr>
          <w:rFonts w:hint="cs"/>
          <w:rtl/>
        </w:rPr>
        <w:t>8-5</w:t>
      </w:r>
      <w:r>
        <w:rPr>
          <w:rFonts w:hint="cs"/>
          <w:rtl/>
        </w:rPr>
        <w:tab/>
      </w:r>
      <w:r w:rsidR="0058501F">
        <w:rPr>
          <w:rFonts w:hint="cs"/>
          <w:rtl/>
        </w:rPr>
        <w:t>وبالمقارنة مع الحكومة، تشارك المرأة في المنظمات غير الحكومية مشاركة نشطة في الاجتماعات والمؤتمرات الإقليمية والدولية، وما شابهها. وترأس المرأة منظمات غير حكومية راسخة مثل رابطة المنظمات غير الحكومية في توفالو وجمعية صحة الأسرة في توفالو والصليب الأحمر ومجلس توفالو الوطني للمرأة. وفي العادة، تمثل هؤلاء النسوة منظماتهن كما تمثل توفالو في الاجتماعات الدولية في مجال عملهن. ومن بين هذه الاجتماعات اجتماعات الاتحاد الدولي لتنظيم الأسرة واجتماعات الصليب الأحمر الدولي، كما تشارك أحياناً كجزء من وفد توفالي في اجتماعات دولية، مثل مؤتمر القمة العالمي للتنمية المستدامة، واجتماعات الجمعية العامة للأمم المتحدة وصندوق الأمم المتحدة الإنمائي للمرأة. وتشارك النساء العاملات في المنظمات غير الحكومية أيضاً في أعمال المنظمات الإقليمية والدولية من خلال المشاريع. وتنسق رابطة المنظمات غير الحكومية في توفالو مع شركائها في التنمية، مثل الاتحاد الأوروبي والمؤسسة الدولية لجنوب الهادئ والمنظمات التطوعية المعترف بها دولياً، مثل منظمة الخدمة التطوعية البريطانية ومنظمة المتطوعين الأستراليين الدولية. ومشاركة المرأة على الصعيد الدولي في المنظمات غير الحكومية تتفق إلى حد كبير مع مبادئ المادة الثامنة من اتفاقية القضاء على جميع أشكال التمييز ضد المرأة.</w:t>
      </w:r>
    </w:p>
    <w:p w:rsidR="004E5DEC" w:rsidRPr="004E5DEC" w:rsidRDefault="004E5DEC" w:rsidP="004E5DEC">
      <w:pPr>
        <w:spacing w:line="120" w:lineRule="exact"/>
        <w:rPr>
          <w:rFonts w:hint="cs"/>
          <w:sz w:val="10"/>
          <w:szCs w:val="32"/>
          <w:rtl/>
        </w:rPr>
      </w:pPr>
    </w:p>
    <w:p w:rsidR="0058501F" w:rsidRPr="003340AE" w:rsidRDefault="004E5DEC" w:rsidP="004E5DE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3340AE">
        <w:rPr>
          <w:rFonts w:hint="cs"/>
          <w:rtl/>
        </w:rPr>
        <w:t>حفظ السلام</w:t>
      </w:r>
    </w:p>
    <w:p w:rsidR="0058501F" w:rsidRDefault="0058501F" w:rsidP="004E5DEC">
      <w:pPr>
        <w:pStyle w:val="SingleTxt"/>
        <w:rPr>
          <w:rFonts w:hint="cs"/>
          <w:rtl/>
        </w:rPr>
      </w:pPr>
      <w:r>
        <w:rPr>
          <w:rFonts w:hint="cs"/>
          <w:rtl/>
        </w:rPr>
        <w:t>8-6</w:t>
      </w:r>
      <w:r w:rsidR="004E5DEC">
        <w:rPr>
          <w:rFonts w:hint="cs"/>
          <w:rtl/>
        </w:rPr>
        <w:tab/>
      </w:r>
      <w:r>
        <w:rPr>
          <w:rFonts w:hint="cs"/>
          <w:rtl/>
        </w:rPr>
        <w:t>لا تملك توفالو قوة عسكرية، ولكن تقع مسؤولية المسائل الأمنية وإنفاذ القانون على عاتق قوات الشرطة وتضم هذه القوة وحدة مراقبة بحرية لمهام البحث والإنقاذ. ويوجد أيضاً قارب دورية يستعمل للمراقبة البحرية ودورية صيد الأسماك. ويبلغ مجموع قوة الشرطة 56 رجل شرطة وأربعة شرطيات يعملون في إدارة الشرطة. وقد شاركت شرطيتان من هذه الشرطيات في مهام حفظ السلام في بعثة المساعدة الإقليمية إلى جزر سليمان. وقد أنشئت هذه البعثة لعملية حفظ السلام في جزر سليمان، التي تقودها أستراليا، في عام 2000 للمساعدة على استعادة السلم والأوضاع الطبيعية في جزر سليمان. وتتكون بعثة السلام هذه من رجال شرطة وعسكريين من أستراليا ونيوزيلندا وبلدان المحيط الهادئ الجزرية الأخرى.</w:t>
      </w:r>
    </w:p>
    <w:p w:rsidR="004E5DEC" w:rsidRPr="004E5DEC" w:rsidRDefault="004E5DEC" w:rsidP="004E5DEC">
      <w:pPr>
        <w:pStyle w:val="SingleTxt"/>
        <w:spacing w:after="0" w:line="120" w:lineRule="exact"/>
        <w:rPr>
          <w:rFonts w:hint="cs"/>
          <w:sz w:val="10"/>
          <w:rtl/>
        </w:rPr>
      </w:pPr>
    </w:p>
    <w:p w:rsidR="0058501F" w:rsidRDefault="004E5DEC" w:rsidP="00E87C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8501F" w:rsidRPr="00980BEF">
        <w:rPr>
          <w:rFonts w:hint="cs"/>
          <w:rtl/>
        </w:rPr>
        <w:t xml:space="preserve">المادة 9 </w:t>
      </w:r>
    </w:p>
    <w:tbl>
      <w:tblPr>
        <w:tblStyle w:val="TableGrid"/>
        <w:bidiVisual/>
        <w:tblW w:w="0" w:type="auto"/>
        <w:jc w:val="center"/>
        <w:tblLook w:val="01E0" w:firstRow="1" w:lastRow="1" w:firstColumn="1" w:lastColumn="1" w:noHBand="0" w:noVBand="0"/>
      </w:tblPr>
      <w:tblGrid>
        <w:gridCol w:w="8856"/>
      </w:tblGrid>
      <w:tr w:rsidR="0058501F">
        <w:trPr>
          <w:jc w:val="center"/>
        </w:trPr>
        <w:tc>
          <w:tcPr>
            <w:tcW w:w="8856" w:type="dxa"/>
          </w:tcPr>
          <w:p w:rsidR="0058501F" w:rsidRPr="004E5DEC" w:rsidRDefault="0058501F" w:rsidP="004E5DEC">
            <w:pPr>
              <w:pStyle w:val="SingleTxt"/>
              <w:rPr>
                <w:rFonts w:cs="Traditional Arabic" w:hint="cs"/>
                <w:rtl/>
              </w:rPr>
            </w:pPr>
            <w:r>
              <w:rPr>
                <w:rFonts w:hint="cs"/>
                <w:rtl/>
              </w:rPr>
              <w:tab/>
            </w:r>
            <w:r w:rsidRPr="004E5DEC">
              <w:rPr>
                <w:rFonts w:cs="Traditional Arabic" w:hint="cs"/>
                <w:rtl/>
              </w:rPr>
              <w:t>تمنح الدول الأطراف المرأة حقاً مساوياً لحق الرجل في اكتساب جنسيتها أو الاحتفاظ بها أو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58501F" w:rsidRDefault="0058501F" w:rsidP="004E5DEC">
            <w:pPr>
              <w:pStyle w:val="SingleTxt"/>
              <w:rPr>
                <w:rFonts w:hint="cs"/>
                <w:rtl/>
              </w:rPr>
            </w:pPr>
            <w:r w:rsidRPr="004E5DEC">
              <w:rPr>
                <w:rFonts w:cs="Traditional Arabic" w:hint="cs"/>
                <w:rtl/>
              </w:rPr>
              <w:tab/>
              <w:t>تمنح الدول الأطراف المرأة حقاً مساوياً لحق الرجل فيما يتعلق بجنسية أطفالها.</w:t>
            </w:r>
          </w:p>
        </w:tc>
      </w:tr>
    </w:tbl>
    <w:p w:rsidR="00F6672D" w:rsidRPr="00F6672D" w:rsidRDefault="00F6672D" w:rsidP="00F6672D">
      <w:pPr>
        <w:spacing w:line="120" w:lineRule="exact"/>
        <w:rPr>
          <w:rFonts w:hint="cs"/>
          <w:b/>
          <w:bCs/>
          <w:sz w:val="10"/>
          <w:szCs w:val="32"/>
          <w:rtl/>
        </w:rPr>
      </w:pPr>
    </w:p>
    <w:p w:rsidR="0058501F" w:rsidRPr="00980BEF" w:rsidRDefault="00F6672D" w:rsidP="00F6672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980BEF">
        <w:rPr>
          <w:rFonts w:hint="cs"/>
          <w:rtl/>
        </w:rPr>
        <w:t>الإطار القانوني</w:t>
      </w:r>
    </w:p>
    <w:p w:rsidR="0058501F" w:rsidRDefault="0058501F" w:rsidP="00F6672D">
      <w:pPr>
        <w:pStyle w:val="SingleTxt"/>
        <w:rPr>
          <w:rFonts w:hint="cs"/>
          <w:rtl/>
        </w:rPr>
      </w:pPr>
      <w:r>
        <w:rPr>
          <w:rFonts w:hint="cs"/>
          <w:rtl/>
        </w:rPr>
        <w:t>9-1</w:t>
      </w:r>
      <w:r w:rsidR="00F6672D">
        <w:rPr>
          <w:rFonts w:hint="cs"/>
          <w:rtl/>
        </w:rPr>
        <w:tab/>
      </w:r>
      <w:r>
        <w:rPr>
          <w:rFonts w:hint="cs"/>
          <w:rtl/>
        </w:rPr>
        <w:t>يتناول الجزء الثالث من دستور توفالو الجنسية. وينطبق الحق في الحصول على الجنسية أو تغييرها أو الاحتفاظ بها على الرجل والمرأة على قدم المساواة. ولا يسمح بازدواج الجنسية، وينطبق ذلك بالتساوي على المرأة والرجل. ولا يفقد المواطن التوفالي جنسيته إذا تزوج من أجنبية ولا تفقد المواطنة التوفالية جنسيتها إذا تزوجت من أجنبي، إلا إذا اختار المواطن أو المواطنة التخلي عن جنسيته/ جنسيتها امتثالاً لقوانين البلد الآخر الذي يختار المواطن أو المواطنة أن يحصل/ تحصل على جنسيته، أو إذا كان المواطن/ المواطنة يحمل/ تحمل بالفعل جنسية بلد آخر.</w:t>
      </w:r>
    </w:p>
    <w:p w:rsidR="00F6672D" w:rsidRPr="00F6672D" w:rsidRDefault="00F6672D" w:rsidP="00F6672D">
      <w:pPr>
        <w:pStyle w:val="SingleTxt"/>
        <w:spacing w:after="0" w:line="120" w:lineRule="exact"/>
        <w:rPr>
          <w:rFonts w:hint="cs"/>
          <w:sz w:val="10"/>
          <w:rtl/>
        </w:rPr>
      </w:pPr>
    </w:p>
    <w:p w:rsidR="0058501F" w:rsidRDefault="00F6672D" w:rsidP="00F667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8501F">
        <w:rPr>
          <w:rFonts w:hint="cs"/>
          <w:rtl/>
        </w:rPr>
        <w:t xml:space="preserve">الحصول على </w:t>
      </w:r>
      <w:r w:rsidR="0058501F" w:rsidRPr="00980BEF">
        <w:rPr>
          <w:rFonts w:hint="cs"/>
          <w:rtl/>
        </w:rPr>
        <w:t>الجنسية عن طريق الولادة</w:t>
      </w:r>
    </w:p>
    <w:p w:rsidR="0058501F" w:rsidRDefault="00F6672D" w:rsidP="00F6672D">
      <w:pPr>
        <w:pStyle w:val="SingleTxt"/>
        <w:rPr>
          <w:rFonts w:hint="cs"/>
          <w:rtl/>
        </w:rPr>
      </w:pPr>
      <w:r>
        <w:rPr>
          <w:rFonts w:hint="cs"/>
          <w:rtl/>
        </w:rPr>
        <w:t>9-2</w:t>
      </w:r>
      <w:r>
        <w:rPr>
          <w:rFonts w:hint="cs"/>
          <w:rtl/>
        </w:rPr>
        <w:tab/>
      </w:r>
      <w:r w:rsidR="0058501F">
        <w:rPr>
          <w:rFonts w:hint="cs"/>
          <w:rtl/>
        </w:rPr>
        <w:t>ينص قانون الجنسية (القانون رقم 98) على معاملة الرجل والمرأة على قدم المساواة. وينص على أنه يحق للطفل الذي يولد لأم توفالية وأب أجنبي أن يحصل على جنسية توفالو إذا اختار ذلك. وينطبق هذا الحكم إذا ولد الطفل لوالدين متزوجين قانوناً أو إذا ولد خارج عش الزوجية. وبموجب قوانين توفالو، يمكن الحصول على الجنسية بالولادة، وذلك وفقاً لما ينص عليه الفرع 45 من الدستور، الذي ينص على ما يلي:</w:t>
      </w:r>
    </w:p>
    <w:p w:rsidR="0058501F" w:rsidRDefault="00F6672D" w:rsidP="00F6672D">
      <w:pPr>
        <w:pStyle w:val="SingleTxt"/>
        <w:rPr>
          <w:rFonts w:hint="cs"/>
          <w:rtl/>
        </w:rPr>
      </w:pPr>
      <w:r>
        <w:rPr>
          <w:rFonts w:hint="cs"/>
          <w:rtl/>
        </w:rPr>
        <w:tab/>
      </w:r>
      <w:r>
        <w:rPr>
          <w:rFonts w:hint="eastAsia"/>
          <w:rtl/>
        </w:rPr>
        <w:t>”</w:t>
      </w:r>
      <w:r>
        <w:rPr>
          <w:rFonts w:hint="cs"/>
          <w:rtl/>
        </w:rPr>
        <w:t>(1)</w:t>
      </w:r>
      <w:r>
        <w:rPr>
          <w:rFonts w:hint="cs"/>
          <w:rtl/>
        </w:rPr>
        <w:tab/>
      </w:r>
      <w:r w:rsidR="0058501F" w:rsidRPr="00335B5B">
        <w:rPr>
          <w:rFonts w:hint="cs"/>
          <w:rtl/>
        </w:rPr>
        <w:t>رهناً بالفرعي</w:t>
      </w:r>
      <w:r w:rsidR="0058501F">
        <w:rPr>
          <w:rFonts w:hint="cs"/>
          <w:rtl/>
        </w:rPr>
        <w:t>ن الفرعيين</w:t>
      </w:r>
      <w:r w:rsidR="0058501F" w:rsidRPr="00335B5B">
        <w:rPr>
          <w:rFonts w:hint="cs"/>
          <w:rtl/>
        </w:rPr>
        <w:t xml:space="preserve"> (3) و (4)، أي شخص يولد في توفالو في تاريخ دخول هذا الدستور حيز النفاذ أو بعده يعتبر مواطناً توفالياً بالولادة.</w:t>
      </w:r>
    </w:p>
    <w:p w:rsidR="0058501F" w:rsidRPr="00335B5B" w:rsidRDefault="00F6672D" w:rsidP="003626EB">
      <w:pPr>
        <w:pStyle w:val="SingleTxt"/>
        <w:rPr>
          <w:rFonts w:hint="cs"/>
          <w:rtl/>
        </w:rPr>
      </w:pPr>
      <w:r>
        <w:rPr>
          <w:rFonts w:hint="cs"/>
          <w:rtl/>
        </w:rPr>
        <w:tab/>
        <w:t>(2)</w:t>
      </w:r>
      <w:r>
        <w:rPr>
          <w:rFonts w:hint="cs"/>
          <w:rtl/>
        </w:rPr>
        <w:tab/>
      </w:r>
      <w:r w:rsidR="0058501F" w:rsidRPr="00335B5B">
        <w:rPr>
          <w:rFonts w:hint="cs"/>
          <w:rtl/>
        </w:rPr>
        <w:t>أي شخص يولد خارج توفالو في تاريخ دخول هذا الدستور حيز النفاذ أو بعده يعتبر مواطناً توفالياً بالولادة إذا كان أحد والديه مواطناً توفالياً يوم ولادته، أو كان سيكون مواطناً توفالياً يوم ولادته لو لم ي</w:t>
      </w:r>
      <w:r w:rsidR="0058501F">
        <w:rPr>
          <w:rFonts w:hint="cs"/>
          <w:rtl/>
        </w:rPr>
        <w:t>ُ</w:t>
      </w:r>
      <w:r w:rsidR="0058501F" w:rsidRPr="00335B5B">
        <w:rPr>
          <w:rFonts w:hint="cs"/>
          <w:rtl/>
        </w:rPr>
        <w:t>توف</w:t>
      </w:r>
      <w:r w:rsidR="003626EB">
        <w:rPr>
          <w:rFonts w:hint="eastAsia"/>
          <w:rtl/>
        </w:rPr>
        <w:t>“</w:t>
      </w:r>
      <w:r w:rsidR="0058501F" w:rsidRPr="00335B5B">
        <w:rPr>
          <w:rFonts w:hint="cs"/>
          <w:rtl/>
        </w:rPr>
        <w:t>.</w:t>
      </w:r>
    </w:p>
    <w:p w:rsidR="0058501F" w:rsidRDefault="00F6672D" w:rsidP="00F6672D">
      <w:pPr>
        <w:pStyle w:val="SingleTxt"/>
        <w:rPr>
          <w:rFonts w:hint="cs"/>
          <w:rtl/>
        </w:rPr>
      </w:pPr>
      <w:r>
        <w:rPr>
          <w:rFonts w:hint="cs"/>
          <w:rtl/>
        </w:rPr>
        <w:t>9-3</w:t>
      </w:r>
      <w:r>
        <w:rPr>
          <w:rFonts w:hint="cs"/>
          <w:rtl/>
        </w:rPr>
        <w:tab/>
      </w:r>
      <w:r w:rsidR="0058501F">
        <w:rPr>
          <w:rFonts w:hint="cs"/>
          <w:rtl/>
        </w:rPr>
        <w:t>أي طفل يولد لأي مواطن توفالي، سواءً كان رجلاً أو امرأة، له حق مساوٍ في أن يختار جنسية أي من والديه جنسية له أو لها. وبصورة عامة، يتماشى دستور توفالو مع مبادئ أحكام المادة 9 من اتفاقية القضاء على جميع أشكال التمييز ضد المرأة.</w:t>
      </w:r>
    </w:p>
    <w:p w:rsidR="00F6672D" w:rsidRPr="00F6672D" w:rsidRDefault="00F6672D" w:rsidP="00F6672D">
      <w:pPr>
        <w:pStyle w:val="SingleTxt"/>
        <w:spacing w:after="0" w:line="120" w:lineRule="exact"/>
        <w:rPr>
          <w:rFonts w:hint="cs"/>
          <w:sz w:val="10"/>
          <w:rtl/>
        </w:rPr>
      </w:pPr>
    </w:p>
    <w:p w:rsidR="0058501F" w:rsidRPr="00BA5681" w:rsidRDefault="00F6672D" w:rsidP="00F6672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8501F">
        <w:rPr>
          <w:rFonts w:hint="cs"/>
          <w:rtl/>
        </w:rPr>
        <w:t xml:space="preserve">الحصول على </w:t>
      </w:r>
      <w:r w:rsidR="0058501F" w:rsidRPr="00BA5681">
        <w:rPr>
          <w:rFonts w:hint="cs"/>
          <w:rtl/>
        </w:rPr>
        <w:t>الجنسية عن طريق الزواج</w:t>
      </w:r>
    </w:p>
    <w:p w:rsidR="0058501F" w:rsidRDefault="0058501F" w:rsidP="002270DF">
      <w:pPr>
        <w:pStyle w:val="SingleTxt"/>
        <w:rPr>
          <w:rFonts w:hint="cs"/>
          <w:rtl/>
        </w:rPr>
      </w:pPr>
      <w:r>
        <w:rPr>
          <w:rFonts w:hint="cs"/>
          <w:rtl/>
        </w:rPr>
        <w:t>9-4</w:t>
      </w:r>
      <w:r w:rsidR="00F6672D">
        <w:rPr>
          <w:rFonts w:hint="cs"/>
          <w:rtl/>
        </w:rPr>
        <w:tab/>
      </w:r>
      <w:r>
        <w:rPr>
          <w:rFonts w:hint="cs"/>
          <w:rtl/>
        </w:rPr>
        <w:t>تعامل توفالو المواطنين الذكور والإناث على قدم المساواة فيما يتعلق بحقوق المواطنة للزوجة أو الزوج الأجنبي. ولا تفقد المرأة التوفالية أياً من حقوقها إذا تزوجت من أجنبي. ويعطى الرجل والمرأة، كلاهما، حقوقاً متساوية، ولذلك يمكن للزوج أو الزوجة أن يبقى في بلده/بلدها (</w:t>
      </w:r>
      <w:r w:rsidR="008B1FB2">
        <w:rPr>
          <w:rFonts w:hint="cs"/>
          <w:rtl/>
        </w:rPr>
        <w:t>انظر</w:t>
      </w:r>
      <w:r>
        <w:rPr>
          <w:rFonts w:hint="cs"/>
          <w:rtl/>
        </w:rPr>
        <w:t xml:space="preserve"> جلال، عام 1998). وينص الفرع 46 من الدستور على ما يلي: </w:t>
      </w:r>
    </w:p>
    <w:p w:rsidR="0058501F" w:rsidRDefault="00F3241C" w:rsidP="00F3241C">
      <w:pPr>
        <w:pStyle w:val="SingleTxt"/>
        <w:ind w:left="1930" w:hanging="663"/>
        <w:rPr>
          <w:rFonts w:hint="cs"/>
          <w:rtl/>
        </w:rPr>
      </w:pPr>
      <w:r>
        <w:rPr>
          <w:rFonts w:hint="cs"/>
          <w:rtl/>
        </w:rPr>
        <w:tab/>
      </w:r>
      <w:r w:rsidR="00F6672D">
        <w:rPr>
          <w:rFonts w:hint="cs"/>
          <w:rtl/>
        </w:rPr>
        <w:tab/>
      </w:r>
      <w:r>
        <w:rPr>
          <w:rFonts w:hint="eastAsia"/>
          <w:rtl/>
        </w:rPr>
        <w:t>”</w:t>
      </w:r>
      <w:r w:rsidR="00F6672D">
        <w:rPr>
          <w:rFonts w:hint="cs"/>
          <w:rtl/>
        </w:rPr>
        <w:t>(1)</w:t>
      </w:r>
      <w:r w:rsidR="00F6672D">
        <w:rPr>
          <w:rFonts w:hint="cs"/>
          <w:rtl/>
        </w:rPr>
        <w:tab/>
        <w:t>ر</w:t>
      </w:r>
      <w:r w:rsidR="0058501F" w:rsidRPr="00335B5B">
        <w:rPr>
          <w:rFonts w:hint="cs"/>
          <w:rtl/>
        </w:rPr>
        <w:t xml:space="preserve">هناً بأحكام الفرع الفرعي (2)، أي شخص يتزوج في تاريخ دخول هذا الدستور حيز النفاذ أو بعده من شخص توفالي أو يصبح مواطناً توفالياً من حقه أن يسجل بوصفه مواطناً توفالياً </w:t>
      </w:r>
      <w:r w:rsidR="0058501F">
        <w:rPr>
          <w:rFonts w:hint="cs"/>
          <w:rtl/>
        </w:rPr>
        <w:t>ب</w:t>
      </w:r>
      <w:r w:rsidR="0058501F" w:rsidRPr="00335B5B">
        <w:rPr>
          <w:rFonts w:hint="cs"/>
          <w:rtl/>
        </w:rPr>
        <w:t>تقديم طلب على النحو المنصوص عليه في القانون.</w:t>
      </w:r>
    </w:p>
    <w:p w:rsidR="0058501F" w:rsidRDefault="00F3241C" w:rsidP="00F3241C">
      <w:pPr>
        <w:pStyle w:val="SingleTxt"/>
        <w:ind w:left="1930" w:hanging="663"/>
        <w:rPr>
          <w:rFonts w:hint="cs"/>
          <w:rtl/>
        </w:rPr>
      </w:pPr>
      <w:r>
        <w:rPr>
          <w:rFonts w:hint="cs"/>
          <w:rtl/>
        </w:rPr>
        <w:tab/>
      </w:r>
      <w:r w:rsidR="00F6672D">
        <w:rPr>
          <w:rFonts w:hint="cs"/>
          <w:rtl/>
        </w:rPr>
        <w:tab/>
        <w:t>(2)</w:t>
      </w:r>
      <w:r w:rsidR="00F6672D">
        <w:rPr>
          <w:rFonts w:hint="cs"/>
          <w:rtl/>
        </w:rPr>
        <w:tab/>
      </w:r>
      <w:r w:rsidR="0058501F" w:rsidRPr="00335B5B">
        <w:rPr>
          <w:rFonts w:hint="cs"/>
          <w:rtl/>
        </w:rPr>
        <w:t xml:space="preserve">الحق الذي يمنحه الفرع الفرعي (1) يمكن أن يكون رهناً بالتوقعات </w:t>
      </w:r>
      <w:r w:rsidR="0058501F">
        <w:rPr>
          <w:rFonts w:hint="cs"/>
          <w:rtl/>
        </w:rPr>
        <w:t>والشروط</w:t>
      </w:r>
      <w:r w:rsidR="0058501F" w:rsidRPr="00335B5B">
        <w:rPr>
          <w:rFonts w:hint="cs"/>
          <w:rtl/>
        </w:rPr>
        <w:t xml:space="preserve"> التي يعلن القانون أنها تخدم مصالح الأمن الوطني أو سياسة عامة</w:t>
      </w:r>
      <w:r w:rsidR="00084D51">
        <w:rPr>
          <w:rFonts w:hint="eastAsia"/>
          <w:rtl/>
        </w:rPr>
        <w:t>“</w:t>
      </w:r>
      <w:r w:rsidR="00084D51">
        <w:rPr>
          <w:rFonts w:hint="cs"/>
          <w:rtl/>
        </w:rPr>
        <w:t>.</w:t>
      </w:r>
    </w:p>
    <w:p w:rsidR="00C36165" w:rsidRDefault="00C36165" w:rsidP="00F6672D">
      <w:pPr>
        <w:pStyle w:val="SingleTxt"/>
        <w:rPr>
          <w:rFonts w:hint="cs"/>
          <w:rtl/>
        </w:rPr>
      </w:pPr>
      <w:r>
        <w:rPr>
          <w:rtl/>
        </w:rPr>
        <w:br w:type="page"/>
      </w:r>
    </w:p>
    <w:p w:rsidR="00C36165" w:rsidRPr="00B14EBF" w:rsidRDefault="00B14EBF" w:rsidP="00F6672D">
      <w:pPr>
        <w:pStyle w:val="SingleTxt"/>
        <w:rPr>
          <w:rFonts w:hint="cs"/>
          <w:b/>
          <w:bCs/>
          <w:rtl/>
        </w:rPr>
      </w:pPr>
      <w:r>
        <w:rPr>
          <w:rFonts w:hint="cs"/>
          <w:b/>
          <w:bCs/>
          <w:rtl/>
        </w:rPr>
        <w:t>الشكل 3: الحصول على الجنسية عن طريق الزواج</w:t>
      </w:r>
    </w:p>
    <w:p w:rsidR="00C36165" w:rsidRDefault="00F3241C" w:rsidP="00F6672D">
      <w:pPr>
        <w:pStyle w:val="SingleTxt"/>
        <w:rPr>
          <w:rFonts w:hint="cs"/>
          <w:rtl/>
        </w:rPr>
      </w:pPr>
      <w:r>
        <w:rPr>
          <w:rFonts w:hint="cs"/>
          <w:noProof/>
          <w:w w:val="100"/>
          <w:rtl/>
        </w:rPr>
        <w:pict>
          <v:shape id="_x0000_s2252" type="#_x0000_t202" style="position:absolute;left:0;text-align:left;margin-left:164pt;margin-top:19.2pt;width:160pt;height:18pt;z-index:13" o:regroupid="2" strokecolor="white">
            <v:textbox inset="0,0,0,0">
              <w:txbxContent>
                <w:p w:rsidR="00F93B21" w:rsidRPr="00836F9F" w:rsidRDefault="00F93B21" w:rsidP="00836F9F">
                  <w:pPr>
                    <w:spacing w:line="280" w:lineRule="exact"/>
                    <w:jc w:val="center"/>
                    <w:rPr>
                      <w:rFonts w:hint="cs"/>
                      <w:sz w:val="14"/>
                      <w:szCs w:val="24"/>
                      <w:lang w:bidi="ar-EG"/>
                    </w:rPr>
                  </w:pPr>
                  <w:r>
                    <w:rPr>
                      <w:rFonts w:hint="cs"/>
                      <w:sz w:val="14"/>
                      <w:szCs w:val="24"/>
                      <w:rtl/>
                      <w:lang w:bidi="ar-EG"/>
                    </w:rPr>
                    <w:t>الحصول على الجنسية عن طريق الزواج</w:t>
                  </w:r>
                </w:p>
              </w:txbxContent>
            </v:textbox>
          </v:shape>
        </w:pict>
      </w:r>
      <w:r w:rsidR="00807B20">
        <w:rPr>
          <w:noProof/>
        </w:rPr>
        <w:pict>
          <v:shape id="_x0000_s2249" type="#_x0000_t75" style="position:absolute;left:0;text-align:left;margin-left:106pt;margin-top:12.15pt;width:280.5pt;height:248.25pt;z-index:12" o:cliptowrap="t">
            <v:imagedata r:id="rId17" o:title=""/>
            <o:lock v:ext="edit" ungrouping="t" grouping="t"/>
          </v:shape>
        </w:pict>
      </w:r>
    </w:p>
    <w:p w:rsidR="00C36165" w:rsidRDefault="00C36165" w:rsidP="00F6672D">
      <w:pPr>
        <w:pStyle w:val="SingleTxt"/>
        <w:rPr>
          <w:rFonts w:hint="cs"/>
          <w:rtl/>
        </w:rPr>
      </w:pPr>
    </w:p>
    <w:p w:rsidR="00C36165" w:rsidRDefault="00C36165" w:rsidP="00F6672D">
      <w:pPr>
        <w:pStyle w:val="SingleTxt"/>
        <w:rPr>
          <w:rFonts w:hint="cs"/>
          <w:rtl/>
        </w:rPr>
      </w:pPr>
    </w:p>
    <w:p w:rsidR="00C36165" w:rsidRDefault="00F3241C" w:rsidP="00F6672D">
      <w:pPr>
        <w:pStyle w:val="SingleTxt"/>
        <w:rPr>
          <w:rFonts w:hint="cs"/>
          <w:rtl/>
        </w:rPr>
      </w:pPr>
      <w:r>
        <w:rPr>
          <w:rFonts w:hint="cs"/>
          <w:noProof/>
          <w:w w:val="100"/>
          <w:rtl/>
        </w:rPr>
        <w:pict>
          <v:shape id="_x0000_s2253" type="#_x0000_t202" style="position:absolute;left:0;text-align:left;margin-left:120pt;margin-top:11.4pt;width:16pt;height:90pt;z-index:14" o:regroupid="2" strokecolor="white">
            <v:textbox style="layout-flow:vertical;mso-layout-flow-alt:bottom-to-top" inset="0,0,0,0">
              <w:txbxContent>
                <w:p w:rsidR="00F93B21" w:rsidRPr="00836F9F" w:rsidRDefault="00F93B21" w:rsidP="00836F9F">
                  <w:pPr>
                    <w:spacing w:line="280" w:lineRule="exact"/>
                    <w:jc w:val="center"/>
                    <w:rPr>
                      <w:rFonts w:hint="cs"/>
                      <w:sz w:val="14"/>
                      <w:szCs w:val="24"/>
                      <w:rtl/>
                      <w:lang w:val="en-ZW" w:bidi="ar-EG"/>
                    </w:rPr>
                  </w:pPr>
                  <w:r w:rsidRPr="00836F9F">
                    <w:rPr>
                      <w:rFonts w:hint="cs"/>
                      <w:sz w:val="14"/>
                      <w:szCs w:val="24"/>
                      <w:rtl/>
                      <w:lang w:val="en-ZW" w:bidi="ar-EG"/>
                    </w:rPr>
                    <w:t>عدد الأشخاص</w:t>
                  </w:r>
                </w:p>
              </w:txbxContent>
            </v:textbox>
          </v:shape>
        </w:pict>
      </w:r>
    </w:p>
    <w:p w:rsidR="00C36165" w:rsidRDefault="00F3241C" w:rsidP="00F6672D">
      <w:pPr>
        <w:pStyle w:val="SingleTxt"/>
        <w:rPr>
          <w:rFonts w:hint="cs"/>
          <w:rtl/>
        </w:rPr>
      </w:pPr>
      <w:r>
        <w:rPr>
          <w:rFonts w:hint="cs"/>
          <w:noProof/>
          <w:w w:val="100"/>
          <w:rtl/>
        </w:rPr>
        <w:pict>
          <v:shape id="_x0000_s2254" type="#_x0000_t202" style="position:absolute;left:0;text-align:left;margin-left:344pt;margin-top:16.6pt;width:32pt;height:21.6pt;z-index:15" o:regroupid="2" strokecolor="white">
            <v:textbox inset="0,0,0,0">
              <w:txbxContent>
                <w:p w:rsidR="00F93B21" w:rsidRPr="00836F9F" w:rsidRDefault="00F93B21" w:rsidP="00F3241C">
                  <w:pPr>
                    <w:spacing w:line="200" w:lineRule="exact"/>
                    <w:jc w:val="center"/>
                    <w:rPr>
                      <w:rFonts w:hint="cs"/>
                      <w:sz w:val="14"/>
                      <w:szCs w:val="24"/>
                      <w:lang w:bidi="ar-EG"/>
                    </w:rPr>
                  </w:pPr>
                  <w:r w:rsidRPr="00F3241C">
                    <w:rPr>
                      <w:rFonts w:hint="cs"/>
                      <w:sz w:val="22"/>
                      <w:szCs w:val="22"/>
                      <w:rtl/>
                      <w:lang w:bidi="ar-EG"/>
                    </w:rPr>
                    <w:t>ذكور</w:t>
                  </w:r>
                  <w:r>
                    <w:rPr>
                      <w:sz w:val="22"/>
                      <w:szCs w:val="22"/>
                      <w:rtl/>
                      <w:lang w:bidi="ar-EG"/>
                    </w:rPr>
                    <w:br/>
                  </w:r>
                  <w:r>
                    <w:rPr>
                      <w:rFonts w:hint="cs"/>
                      <w:sz w:val="14"/>
                      <w:szCs w:val="24"/>
                      <w:rtl/>
                      <w:lang w:bidi="ar-EG"/>
                    </w:rPr>
                    <w:t>إناث</w:t>
                  </w:r>
                </w:p>
              </w:txbxContent>
            </v:textbox>
          </v:shape>
        </w:pict>
      </w:r>
    </w:p>
    <w:p w:rsidR="00C36165" w:rsidRDefault="00C36165" w:rsidP="00F6672D">
      <w:pPr>
        <w:pStyle w:val="SingleTxt"/>
        <w:rPr>
          <w:rFonts w:hint="cs"/>
          <w:rtl/>
        </w:rPr>
      </w:pPr>
    </w:p>
    <w:p w:rsidR="00C36165" w:rsidRDefault="00C36165" w:rsidP="00F6672D">
      <w:pPr>
        <w:pStyle w:val="SingleTxt"/>
        <w:rPr>
          <w:rFonts w:hint="cs"/>
          <w:rtl/>
        </w:rPr>
      </w:pPr>
    </w:p>
    <w:p w:rsidR="00C36165" w:rsidRDefault="00C36165" w:rsidP="00F6672D">
      <w:pPr>
        <w:pStyle w:val="SingleTxt"/>
        <w:rPr>
          <w:rFonts w:hint="cs"/>
          <w:rtl/>
        </w:rPr>
      </w:pPr>
    </w:p>
    <w:p w:rsidR="00C36165" w:rsidRDefault="00F3241C" w:rsidP="00F6672D">
      <w:pPr>
        <w:pStyle w:val="SingleTxt"/>
        <w:rPr>
          <w:rFonts w:hint="cs"/>
          <w:rtl/>
        </w:rPr>
      </w:pPr>
      <w:r>
        <w:rPr>
          <w:rFonts w:hint="cs"/>
          <w:noProof/>
          <w:w w:val="100"/>
          <w:rtl/>
        </w:rPr>
        <w:pict>
          <v:shape id="_x0000_s2255" type="#_x0000_t202" style="position:absolute;left:0;text-align:left;margin-left:212pt;margin-top:25.4pt;width:32pt;height:18pt;z-index:16" o:regroupid="1" strokecolor="white">
            <v:textbox inset="0,0,0,0">
              <w:txbxContent>
                <w:p w:rsidR="00F93B21" w:rsidRPr="00836F9F" w:rsidRDefault="00F93B21" w:rsidP="00B14EBF">
                  <w:pPr>
                    <w:spacing w:line="220" w:lineRule="exact"/>
                    <w:jc w:val="center"/>
                    <w:rPr>
                      <w:rFonts w:hint="cs"/>
                      <w:sz w:val="14"/>
                      <w:szCs w:val="24"/>
                      <w:lang w:bidi="ar-EG"/>
                    </w:rPr>
                  </w:pPr>
                  <w:r>
                    <w:rPr>
                      <w:rFonts w:hint="cs"/>
                      <w:sz w:val="14"/>
                      <w:szCs w:val="24"/>
                      <w:rtl/>
                      <w:lang w:bidi="ar-EG"/>
                    </w:rPr>
                    <w:t>السنة</w:t>
                  </w:r>
                </w:p>
              </w:txbxContent>
            </v:textbox>
          </v:shape>
        </w:pict>
      </w:r>
    </w:p>
    <w:p w:rsidR="00C36165" w:rsidRDefault="00C36165" w:rsidP="00F6672D">
      <w:pPr>
        <w:pStyle w:val="SingleTxt"/>
        <w:rPr>
          <w:rFonts w:hint="cs"/>
          <w:rtl/>
        </w:rPr>
      </w:pPr>
    </w:p>
    <w:p w:rsidR="0058501F" w:rsidRPr="00226523" w:rsidRDefault="0058501F" w:rsidP="00084D51">
      <w:pPr>
        <w:jc w:val="center"/>
        <w:rPr>
          <w:rFonts w:hint="cs"/>
          <w:sz w:val="28"/>
          <w:szCs w:val="28"/>
          <w:rtl/>
        </w:rPr>
      </w:pPr>
      <w:r w:rsidRPr="00226523">
        <w:rPr>
          <w:rFonts w:hint="cs"/>
          <w:sz w:val="28"/>
          <w:szCs w:val="28"/>
          <w:rtl/>
        </w:rPr>
        <w:t>المصدر: مكتب المدعي العام، حكومة توفالو (أيلول/سبتمبر 2006).</w:t>
      </w:r>
    </w:p>
    <w:p w:rsidR="0058501F" w:rsidRDefault="0058501F" w:rsidP="0058501F">
      <w:pPr>
        <w:rPr>
          <w:rFonts w:hint="cs"/>
          <w:sz w:val="32"/>
          <w:szCs w:val="32"/>
          <w:rtl/>
        </w:rPr>
      </w:pPr>
    </w:p>
    <w:p w:rsidR="0058501F" w:rsidRDefault="0058501F" w:rsidP="00630357">
      <w:pPr>
        <w:pStyle w:val="SingleTxt"/>
        <w:rPr>
          <w:rFonts w:hint="cs"/>
          <w:rtl/>
        </w:rPr>
      </w:pPr>
      <w:r>
        <w:rPr>
          <w:rFonts w:hint="cs"/>
          <w:rtl/>
        </w:rPr>
        <w:tab/>
        <w:t>يبين الشكل 3 بوضوح أن عدد الرجال الذين تخلوا عن جنسيتهم السابقة في عام 2005 يفوق عدد الإناث اللواتي تخلين عن جنسيتهن السابقة في ذلك العام، وذلك ليتمكن الواحد منهم، أو الوا</w:t>
      </w:r>
      <w:r w:rsidR="00084D51">
        <w:rPr>
          <w:rFonts w:hint="cs"/>
          <w:rtl/>
        </w:rPr>
        <w:t>حدة منهن من العيش في بلد زوجته/</w:t>
      </w:r>
      <w:r>
        <w:rPr>
          <w:rFonts w:hint="cs"/>
          <w:rtl/>
        </w:rPr>
        <w:t>زوجها.</w:t>
      </w:r>
    </w:p>
    <w:p w:rsidR="0058501F" w:rsidRDefault="00E87C85" w:rsidP="00B14EBF">
      <w:pPr>
        <w:pStyle w:val="SingleTxt"/>
        <w:rPr>
          <w:rFonts w:hint="cs"/>
          <w:rtl/>
        </w:rPr>
      </w:pPr>
      <w:r>
        <w:rPr>
          <w:rFonts w:hint="cs"/>
          <w:rtl/>
        </w:rPr>
        <w:t>9-5</w:t>
      </w:r>
      <w:r>
        <w:rPr>
          <w:rFonts w:hint="cs"/>
          <w:rtl/>
        </w:rPr>
        <w:tab/>
      </w:r>
      <w:r w:rsidR="0058501F">
        <w:rPr>
          <w:rFonts w:hint="cs"/>
          <w:rtl/>
        </w:rPr>
        <w:t>ينص الفرع 9 من قانون الجنسية على أن المرأة التي تتخلى عن جنسيتها التوفالية لكي تحصل على جنسية أخرى عند زواجها من شخص يحمل جنسية بلد آخر أو إذا كان مواطناً في بلد آخر تفقد جنسيتها التوفالية. بيد أن بوسعها أن تتقدم بطلب لاستعادة جنسيتها التوفالية على أساس أن زواجها فُسخ على نحو لا رجعة فيه.</w:t>
      </w:r>
    </w:p>
    <w:p w:rsidR="00E87C85" w:rsidRPr="00E87C85" w:rsidRDefault="00E87C85" w:rsidP="00E87C8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501F" w:rsidRPr="00BA5681" w:rsidRDefault="00E87C85" w:rsidP="00E87C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58501F">
        <w:rPr>
          <w:rFonts w:hint="cs"/>
          <w:rtl/>
        </w:rPr>
        <w:t xml:space="preserve">الحصول على </w:t>
      </w:r>
      <w:r w:rsidR="0058501F" w:rsidRPr="00BA5681">
        <w:rPr>
          <w:rFonts w:hint="cs"/>
          <w:rtl/>
        </w:rPr>
        <w:t>الجنسية عن طريق التجنس</w:t>
      </w:r>
    </w:p>
    <w:p w:rsidR="0058501F" w:rsidRDefault="0058501F" w:rsidP="00E87C85">
      <w:pPr>
        <w:pStyle w:val="SingleTxt"/>
        <w:rPr>
          <w:rFonts w:hint="cs"/>
          <w:rtl/>
        </w:rPr>
      </w:pPr>
      <w:r>
        <w:rPr>
          <w:rFonts w:hint="cs"/>
          <w:rtl/>
        </w:rPr>
        <w:t>9-6</w:t>
      </w:r>
      <w:r w:rsidR="00E87C85">
        <w:rPr>
          <w:rFonts w:hint="cs"/>
          <w:rtl/>
        </w:rPr>
        <w:tab/>
      </w:r>
      <w:r>
        <w:rPr>
          <w:rFonts w:hint="cs"/>
          <w:rtl/>
        </w:rPr>
        <w:t>ينص قانون الجنسية (القانون رقم 98) على أنه يجوز لأي شخص بالغ وعاقل أن يتقدم بطلب للتجنس. بيد أنه يجب عليه/ عليها أن يتخلى/ تتخلى عن جنسيته أو مواطنته/ جنسيتها أو مواطنتها وأن يقسم/تقسم يمين الولاء.</w:t>
      </w:r>
    </w:p>
    <w:p w:rsidR="0058501F" w:rsidRDefault="00E87C85" w:rsidP="002270DF">
      <w:pPr>
        <w:pStyle w:val="SingleTxt"/>
        <w:rPr>
          <w:rFonts w:hint="cs"/>
          <w:rtl/>
        </w:rPr>
      </w:pPr>
      <w:r>
        <w:rPr>
          <w:rFonts w:hint="cs"/>
          <w:rtl/>
        </w:rPr>
        <w:t>9-7</w:t>
      </w:r>
      <w:r>
        <w:rPr>
          <w:rFonts w:hint="cs"/>
          <w:rtl/>
        </w:rPr>
        <w:tab/>
      </w:r>
      <w:r w:rsidR="0058501F">
        <w:rPr>
          <w:rFonts w:hint="cs"/>
          <w:rtl/>
        </w:rPr>
        <w:t>لا توجد قيود كبيرة معروفة على تطبيق هذه المادة في توفالو لأن معظم الرجال والنساء يعاملون معاملة منصفة بموجب قانون توفالو. ومع ذلك، لا تزال توجد حاجة لمزيد من الدراسة فيما يتعلق بازدواجية الجنسية، لا سيما الفرع 45 من الدستور. فهذا الفرع يميز ضد المرأة التوفالية التي قد يكون لها أطفال في ظل نطاق من السيناريوهات المحتملة (حتى الاغتصاب) في بلد تكون توفالو في حالة حرب معه، بما في ذلك توفالو نفسها أثناء الاحتلال (</w:t>
      </w:r>
      <w:r w:rsidR="008B1FB2">
        <w:rPr>
          <w:rFonts w:hint="cs"/>
          <w:rtl/>
        </w:rPr>
        <w:t>انظر</w:t>
      </w:r>
      <w:r w:rsidR="0058501F">
        <w:rPr>
          <w:rFonts w:hint="cs"/>
          <w:rtl/>
        </w:rPr>
        <w:t xml:space="preserve"> جيفان وفورستر)</w:t>
      </w:r>
      <w:r w:rsidR="002270DF" w:rsidRPr="002270DF">
        <w:rPr>
          <w:vertAlign w:val="superscript"/>
          <w:rtl/>
        </w:rPr>
        <w:t>(</w:t>
      </w:r>
      <w:r w:rsidR="002270DF">
        <w:rPr>
          <w:rStyle w:val="FootnoteReference"/>
          <w:rtl/>
        </w:rPr>
        <w:footnoteReference w:id="80"/>
      </w:r>
      <w:r w:rsidR="002270DF" w:rsidRPr="002270DF">
        <w:rPr>
          <w:vertAlign w:val="superscript"/>
          <w:rtl/>
        </w:rPr>
        <w:t>)</w:t>
      </w:r>
      <w:r w:rsidR="0058501F">
        <w:rPr>
          <w:rFonts w:hint="cs"/>
          <w:rtl/>
        </w:rPr>
        <w:t>.</w:t>
      </w:r>
      <w:r w:rsidR="002270DF">
        <w:rPr>
          <w:rFonts w:hint="cs"/>
          <w:rtl/>
        </w:rPr>
        <w:t xml:space="preserve"> </w:t>
      </w:r>
      <w:r w:rsidR="0058501F">
        <w:rPr>
          <w:rFonts w:hint="cs"/>
          <w:rtl/>
        </w:rPr>
        <w:t>وسيؤثر هذا القيد على تمتع بعض أطفال توفالو بحرية ازدواج الجنسية.</w:t>
      </w:r>
    </w:p>
    <w:p w:rsidR="00E87C85" w:rsidRPr="00E87C85" w:rsidRDefault="00E87C85" w:rsidP="00E87C8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58501F" w:rsidRDefault="00E87C85" w:rsidP="00E87C8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58501F" w:rsidRPr="00B70833">
        <w:rPr>
          <w:rFonts w:hint="cs"/>
          <w:rtl/>
        </w:rPr>
        <w:t xml:space="preserve">المادة 10 </w:t>
      </w:r>
    </w:p>
    <w:tbl>
      <w:tblPr>
        <w:tblStyle w:val="TableGrid"/>
        <w:bidiVisual/>
        <w:tblW w:w="9840" w:type="dxa"/>
        <w:tblInd w:w="118" w:type="dxa"/>
        <w:tblBorders>
          <w:insideH w:val="none" w:sz="0" w:space="0" w:color="auto"/>
        </w:tblBorders>
        <w:tblLook w:val="01E0" w:firstRow="1" w:lastRow="1" w:firstColumn="1" w:lastColumn="1" w:noHBand="0" w:noVBand="0"/>
      </w:tblPr>
      <w:tblGrid>
        <w:gridCol w:w="9840"/>
      </w:tblGrid>
      <w:tr w:rsidR="00E87C85" w:rsidRPr="00E87C85">
        <w:tc>
          <w:tcPr>
            <w:tcW w:w="9840" w:type="dxa"/>
          </w:tcPr>
          <w:p w:rsidR="00E87C85" w:rsidRPr="00E87C85" w:rsidRDefault="00E87C85" w:rsidP="00C72525">
            <w:pPr>
              <w:rPr>
                <w:rFonts w:cs="Traditional Arabic" w:hint="cs"/>
                <w:sz w:val="32"/>
                <w:szCs w:val="32"/>
                <w:rtl/>
              </w:rPr>
            </w:pP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hint="cs"/>
                <w:rtl/>
              </w:rPr>
              <w:t>تتخذ الدول الأطراف جميع التدابير المناسبة للقضاء على التمييز ضد المرأة لكي تكفل للمرأة حقوقاً مساوية لحقوق الرجل في ميدان التعليم، وبوجه خاص لكي تكفل، على أساس تساوي الرجل والمرأة:</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(أ)</w:t>
            </w:r>
            <w:r w:rsidRPr="00E87C85">
              <w:rPr>
                <w:rFonts w:cs="Traditional Arabic"/>
                <w:rtl/>
              </w:rPr>
              <w:tab/>
            </w:r>
            <w:r w:rsidRPr="00E87C85">
              <w:rPr>
                <w:rFonts w:cs="Traditional Arabic" w:hint="cs"/>
                <w:rtl/>
              </w:rPr>
              <w:t>نفس الظروف للتوجه الوظيفي والمهني، وللوصول إلى الدراسات والحصول على الدرجات العلمية في المؤسسات التعليمية من جميع الفئات، في المناطق الريفية والحضرية على السواء؛ وتكون هذه المساواة مكفولة في المرحلة السابقة للالتحاق بالمدرسة وفي التعليم العام والتقني والمهني والتعليم التقني العالي، وكذلك في جميع أنواع التدريب المهني؛</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(ب)</w:t>
            </w:r>
            <w:r w:rsidRPr="00E87C85">
              <w:rPr>
                <w:rFonts w:cs="Traditional Arabic"/>
                <w:rtl/>
              </w:rPr>
              <w:tab/>
            </w:r>
            <w:r w:rsidRPr="00E87C85">
              <w:rPr>
                <w:rFonts w:cs="Traditional Arabic" w:hint="cs"/>
                <w:rtl/>
              </w:rPr>
              <w:t>توفّر نفس المناهج الدراسية، ونفس الامتحانات وهيئات تدريسية تتمتع بمؤهلات من نفس المستوى ومبان ومعدات مدرسية من نفس النوعية؛</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(ج)</w:t>
            </w:r>
            <w:r w:rsidRPr="00E87C85">
              <w:rPr>
                <w:rFonts w:cs="Traditional Arabic"/>
                <w:rtl/>
              </w:rPr>
              <w:tab/>
            </w:r>
            <w:r w:rsidRPr="00E87C85">
              <w:rPr>
                <w:rFonts w:cs="Traditional Arabic" w:hint="cs"/>
                <w:rtl/>
              </w:rPr>
              <w:t>القضاء على أي مفهوم نمطي عن دور الرجل ودور المرأة على جميع مستويات التعليم وفي 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(د)</w:t>
            </w:r>
            <w:r w:rsidRPr="00E87C85">
              <w:rPr>
                <w:rFonts w:cs="Traditional Arabic"/>
                <w:rtl/>
              </w:rPr>
              <w:tab/>
            </w:r>
            <w:r w:rsidRPr="00E87C85">
              <w:rPr>
                <w:rFonts w:cs="Traditional Arabic" w:hint="cs"/>
                <w:rtl/>
              </w:rPr>
              <w:t>نفس الفرص للاستفادة من المنح التعليمية وغيرها من المنح الدراسية؛</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(هـ)</w:t>
            </w:r>
            <w:r w:rsidRPr="00E87C85">
              <w:rPr>
                <w:rFonts w:cs="Traditional Arabic"/>
                <w:rtl/>
              </w:rPr>
              <w:tab/>
            </w:r>
            <w:r w:rsidRPr="00E87C85">
              <w:rPr>
                <w:rFonts w:cs="Traditional Arabic" w:hint="cs"/>
                <w:rtl/>
              </w:rPr>
              <w:t>نفس الفرص للوصول غلى برامج التعليم المتواصل، بما في ذلك برامج تعليم الكبار ومحو الأمية الوظيفية، ولا سيما التي تهدف إلى أن تضيق، في أقرب وقت ممكن، أي فجوة في التعليم قائمة بين الرجل والمرأة؛</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(و)</w:t>
            </w:r>
            <w:r w:rsidRPr="00E87C85">
              <w:rPr>
                <w:rFonts w:cs="Traditional Arabic"/>
                <w:rtl/>
              </w:rPr>
              <w:tab/>
            </w:r>
            <w:r w:rsidRPr="00E87C85">
              <w:rPr>
                <w:rFonts w:cs="Traditional Arabic" w:hint="cs"/>
                <w:rtl/>
              </w:rPr>
              <w:t>خفض معدلات ترك المدرسة، قبل الأوان بين الطالبات وتنظيم برامج للفتيات والنساء اللاتي تركن المدرسة قبل الأوان؛</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(ز)</w:t>
            </w:r>
            <w:r w:rsidRPr="00E87C85">
              <w:rPr>
                <w:rFonts w:cs="Traditional Arabic"/>
                <w:rtl/>
              </w:rPr>
              <w:tab/>
            </w:r>
            <w:r w:rsidRPr="00E87C85">
              <w:rPr>
                <w:rFonts w:cs="Traditional Arabic" w:hint="cs"/>
                <w:rtl/>
              </w:rPr>
              <w:t>نفس الفرص للمشاركة النشطة في الألعاب الرياضية والتربية البدنية؛</w:t>
            </w:r>
          </w:p>
        </w:tc>
      </w:tr>
      <w:tr w:rsidR="00E87C85" w:rsidRPr="00E87C85">
        <w:tc>
          <w:tcPr>
            <w:tcW w:w="9840" w:type="dxa"/>
          </w:tcPr>
          <w:p w:rsidR="00E87C85" w:rsidRPr="00E87C85" w:rsidRDefault="00E87C85" w:rsidP="00E87C85">
            <w:pPr>
              <w:pStyle w:val="SingleTxt"/>
              <w:rPr>
                <w:rFonts w:cs="Traditional Arabic" w:hint="cs"/>
                <w:rtl/>
              </w:rPr>
            </w:pPr>
            <w:r w:rsidRPr="00E87C85">
              <w:rPr>
                <w:rFonts w:cs="Traditional Arabic"/>
                <w:rtl/>
              </w:rPr>
              <w:tab/>
            </w:r>
            <w:r w:rsidRPr="00E87C85">
              <w:rPr>
                <w:rFonts w:cs="Traditional Arabic" w:hint="cs"/>
                <w:rtl/>
              </w:rPr>
              <w:t>(ح)</w:t>
            </w:r>
            <w:r w:rsidRPr="00E87C85">
              <w:rPr>
                <w:rFonts w:cs="Traditional Arabic"/>
                <w:rtl/>
              </w:rPr>
              <w:tab/>
            </w:r>
            <w:r w:rsidRPr="00E87C85">
              <w:rPr>
                <w:rFonts w:cs="Traditional Arabic" w:hint="cs"/>
                <w:rtl/>
              </w:rPr>
              <w:t>الوصول إلى معلومات تربوية محددة للمساعدة في ضمان صحة الأسرة ورفاهها، بما في ذلك المعلومات والنصح عن تخطيط الأسرة.</w:t>
            </w:r>
          </w:p>
        </w:tc>
      </w:tr>
    </w:tbl>
    <w:p w:rsidR="0058501F" w:rsidRDefault="0058501F" w:rsidP="0058501F">
      <w:pPr>
        <w:rPr>
          <w:rFonts w:hint="cs"/>
          <w:b/>
          <w:bCs/>
          <w:sz w:val="32"/>
          <w:szCs w:val="32"/>
          <w:rtl/>
        </w:rPr>
      </w:pPr>
    </w:p>
    <w:p w:rsidR="0058501F" w:rsidRPr="00B70833" w:rsidRDefault="00E87C85" w:rsidP="00E87C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B70833">
        <w:rPr>
          <w:rFonts w:hint="cs"/>
          <w:rtl/>
        </w:rPr>
        <w:t xml:space="preserve">إطار القانون </w:t>
      </w:r>
      <w:r w:rsidR="0058501F">
        <w:rPr>
          <w:rFonts w:hint="cs"/>
          <w:rtl/>
        </w:rPr>
        <w:t>و</w:t>
      </w:r>
      <w:r w:rsidR="0058501F" w:rsidRPr="00B70833">
        <w:rPr>
          <w:rFonts w:hint="cs"/>
          <w:rtl/>
        </w:rPr>
        <w:t>السياسة العامة</w:t>
      </w:r>
      <w:r w:rsidR="0058501F">
        <w:rPr>
          <w:rFonts w:hint="cs"/>
          <w:rtl/>
        </w:rPr>
        <w:t xml:space="preserve"> </w:t>
      </w:r>
    </w:p>
    <w:p w:rsidR="0058501F" w:rsidRDefault="00E87C85" w:rsidP="00084D51">
      <w:pPr>
        <w:pStyle w:val="SingleTxt"/>
        <w:rPr>
          <w:rFonts w:hint="cs"/>
          <w:rtl/>
        </w:rPr>
      </w:pPr>
      <w:r>
        <w:rPr>
          <w:rFonts w:hint="cs"/>
          <w:rtl/>
        </w:rPr>
        <w:t>10-1</w:t>
      </w:r>
      <w:r>
        <w:rPr>
          <w:rFonts w:hint="cs"/>
          <w:rtl/>
        </w:rPr>
        <w:tab/>
      </w:r>
      <w:r w:rsidR="0058501F">
        <w:rPr>
          <w:rFonts w:hint="cs"/>
          <w:rtl/>
        </w:rPr>
        <w:t>ينص الفرع 3 من قانون التعليم</w:t>
      </w:r>
      <w:r w:rsidR="00084D51">
        <w:rPr>
          <w:rFonts w:hint="cs"/>
          <w:rtl/>
        </w:rPr>
        <w:t xml:space="preserve"> (القانون رقم 38) على أنه يجوز </w:t>
      </w:r>
      <w:r w:rsidR="00084D51">
        <w:rPr>
          <w:rFonts w:hint="eastAsia"/>
          <w:rtl/>
        </w:rPr>
        <w:t>”</w:t>
      </w:r>
      <w:r w:rsidR="0058501F">
        <w:rPr>
          <w:rFonts w:hint="cs"/>
          <w:rtl/>
        </w:rPr>
        <w:t>للوزير أن يتخذ الترتيبات التي يرى أنها ضرورية لضمان توفير فرص التعليم والتدريب للأطفال وفقاً لأعمارهم وإمكانياتهم وقدراتهم، وكذلك بالنسبة للكبار</w:t>
      </w:r>
      <w:r w:rsidR="00084D51">
        <w:rPr>
          <w:rFonts w:hint="eastAsia"/>
          <w:rtl/>
        </w:rPr>
        <w:t>“</w:t>
      </w:r>
      <w:r w:rsidR="0058501F">
        <w:rPr>
          <w:rFonts w:hint="cs"/>
          <w:rtl/>
        </w:rPr>
        <w:t>. وينص القانون أيضاً على إنشاء مدارس ومؤسسات</w:t>
      </w:r>
      <w:r w:rsidR="002270DF" w:rsidRPr="002270DF">
        <w:rPr>
          <w:vertAlign w:val="superscript"/>
          <w:rtl/>
        </w:rPr>
        <w:t>(</w:t>
      </w:r>
      <w:r w:rsidR="002270DF">
        <w:rPr>
          <w:rStyle w:val="FootnoteReference"/>
          <w:rtl/>
        </w:rPr>
        <w:footnoteReference w:id="81"/>
      </w:r>
      <w:r w:rsidR="002270DF" w:rsidRPr="002270DF">
        <w:rPr>
          <w:vertAlign w:val="superscript"/>
          <w:rtl/>
        </w:rPr>
        <w:t>)</w:t>
      </w:r>
      <w:r w:rsidR="0058501F">
        <w:rPr>
          <w:rFonts w:hint="cs"/>
          <w:rtl/>
        </w:rPr>
        <w:t>،</w:t>
      </w:r>
      <w:r w:rsidR="002270DF">
        <w:rPr>
          <w:rFonts w:hint="cs"/>
          <w:rtl/>
        </w:rPr>
        <w:t xml:space="preserve"> </w:t>
      </w:r>
      <w:r w:rsidR="0058501F">
        <w:rPr>
          <w:rFonts w:hint="cs"/>
          <w:rtl/>
        </w:rPr>
        <w:t>وينص على تقديم معونة للمساعدة على التعليم</w:t>
      </w:r>
      <w:r w:rsidR="002270DF" w:rsidRPr="002270DF">
        <w:rPr>
          <w:vertAlign w:val="superscript"/>
          <w:rtl/>
        </w:rPr>
        <w:t>(</w:t>
      </w:r>
      <w:r w:rsidR="002270DF">
        <w:rPr>
          <w:rStyle w:val="FootnoteReference"/>
          <w:rtl/>
        </w:rPr>
        <w:footnoteReference w:id="82"/>
      </w:r>
      <w:r w:rsidR="002270DF" w:rsidRPr="002270DF">
        <w:rPr>
          <w:vertAlign w:val="superscript"/>
          <w:rtl/>
        </w:rPr>
        <w:t>)</w:t>
      </w:r>
      <w:r w:rsidR="0058501F">
        <w:rPr>
          <w:rFonts w:hint="cs"/>
          <w:rtl/>
        </w:rPr>
        <w:t>،</w:t>
      </w:r>
      <w:r w:rsidR="002270DF">
        <w:rPr>
          <w:rFonts w:hint="cs"/>
          <w:rtl/>
        </w:rPr>
        <w:t xml:space="preserve"> </w:t>
      </w:r>
      <w:r w:rsidR="0058501F">
        <w:rPr>
          <w:rFonts w:hint="cs"/>
          <w:rtl/>
        </w:rPr>
        <w:t>ومنح دراسية</w:t>
      </w:r>
      <w:r w:rsidR="002270DF" w:rsidRPr="002270DF">
        <w:rPr>
          <w:vertAlign w:val="superscript"/>
          <w:rtl/>
        </w:rPr>
        <w:t>(</w:t>
      </w:r>
      <w:r w:rsidR="002270DF">
        <w:rPr>
          <w:rStyle w:val="FootnoteReference"/>
          <w:rtl/>
        </w:rPr>
        <w:footnoteReference w:id="83"/>
      </w:r>
      <w:r w:rsidR="002270DF" w:rsidRPr="002270DF">
        <w:rPr>
          <w:vertAlign w:val="superscript"/>
          <w:rtl/>
        </w:rPr>
        <w:t>)</w:t>
      </w:r>
      <w:r w:rsidR="0058501F">
        <w:rPr>
          <w:rFonts w:hint="cs"/>
          <w:rtl/>
        </w:rPr>
        <w:t>.</w:t>
      </w:r>
      <w:r w:rsidR="002270DF">
        <w:rPr>
          <w:rFonts w:hint="cs"/>
          <w:rtl/>
        </w:rPr>
        <w:t xml:space="preserve"> </w:t>
      </w:r>
      <w:r w:rsidR="0058501F">
        <w:rPr>
          <w:rFonts w:hint="cs"/>
          <w:rtl/>
        </w:rPr>
        <w:t>ولا يوجد حالياً أي تمييز فيما يتعلق بفرص التعليم والمنح الدراسية.</w:t>
      </w:r>
    </w:p>
    <w:p w:rsidR="0058501F" w:rsidRDefault="00E87C85" w:rsidP="002270DF">
      <w:pPr>
        <w:pStyle w:val="SingleTxt"/>
        <w:rPr>
          <w:rFonts w:hint="cs"/>
          <w:rtl/>
        </w:rPr>
      </w:pPr>
      <w:r>
        <w:rPr>
          <w:rFonts w:hint="cs"/>
          <w:rtl/>
        </w:rPr>
        <w:t>10-2</w:t>
      </w:r>
      <w:r>
        <w:rPr>
          <w:rFonts w:hint="cs"/>
          <w:rtl/>
        </w:rPr>
        <w:tab/>
      </w:r>
      <w:r w:rsidR="0058501F">
        <w:rPr>
          <w:rFonts w:hint="cs"/>
          <w:rtl/>
        </w:rPr>
        <w:t>حققت توفالو الهدف الإنمائي الثاني للألفية، التعليم الابتدائي للجميع. ويبين تقرير منطقة المحيط الهادئ عن الأهداف الإنمائية للألفية أن توفالو في الربع الأعلى بالنسبة لتعليم القراءة والكتابة للكبار، حيث يستطيع القراءة والكتابة 95 في المائة من سكانها. وحققت توفالو أيضاً الأهداف الإنمائية للألفية المتمثلة في المساواة في توفير الفرص للأولاد والبنات على مستوى التعليم الابتدائي والثانوي، وتحقق هذا التوازن على مستوى التعليم الجامعي أيضاً</w:t>
      </w:r>
      <w:r w:rsidR="002270DF" w:rsidRPr="002270DF">
        <w:rPr>
          <w:vertAlign w:val="superscript"/>
          <w:rtl/>
        </w:rPr>
        <w:t>(</w:t>
      </w:r>
      <w:r w:rsidR="002270DF">
        <w:rPr>
          <w:rStyle w:val="FootnoteReference"/>
          <w:rtl/>
        </w:rPr>
        <w:footnoteReference w:id="84"/>
      </w:r>
      <w:r w:rsidR="002270DF" w:rsidRPr="002270DF">
        <w:rPr>
          <w:vertAlign w:val="superscript"/>
          <w:rtl/>
        </w:rPr>
        <w:t>)</w:t>
      </w:r>
      <w:r w:rsidR="0058501F">
        <w:rPr>
          <w:rFonts w:hint="cs"/>
          <w:rtl/>
        </w:rPr>
        <w:t>.</w:t>
      </w:r>
      <w:r w:rsidR="002270DF">
        <w:rPr>
          <w:rFonts w:hint="cs"/>
          <w:rtl/>
        </w:rPr>
        <w:t xml:space="preserve"> </w:t>
      </w:r>
      <w:r w:rsidR="0058501F">
        <w:rPr>
          <w:rFonts w:hint="cs"/>
          <w:rtl/>
        </w:rPr>
        <w:t>وتؤمن توفالو أن لتنمية مواردها البشرية من خلال التعليم والتدريب دوراً رئيسياً في مستقبل رخاء الأمة. وبالتالي، تحتل تنمية الموارد البشرية مكاناً بارزاً في برنامج الاستثمار في التعليم من أجل الحياة، الذي طُوّر على مدى الفترة 1988</w:t>
      </w:r>
      <w:r w:rsidR="002270DF">
        <w:rPr>
          <w:rFonts w:hint="cs"/>
          <w:rtl/>
        </w:rPr>
        <w:t>-</w:t>
      </w:r>
      <w:r w:rsidR="0058501F">
        <w:rPr>
          <w:rFonts w:hint="cs"/>
          <w:rtl/>
        </w:rPr>
        <w:t>1993. ويشدد برنامج التعليم من أجل الحياة على أن التعليم لا يولد المهارات الضرورية للسوق فحسب، بل يولد مهارات يستطيع الناس أن يعتمدوا عليها طيلة حياتهم.</w:t>
      </w:r>
    </w:p>
    <w:p w:rsidR="0058501F" w:rsidRDefault="00E87C85" w:rsidP="00E87C85">
      <w:pPr>
        <w:pStyle w:val="SingleTxt"/>
        <w:rPr>
          <w:rFonts w:hint="cs"/>
          <w:rtl/>
        </w:rPr>
      </w:pPr>
      <w:r>
        <w:rPr>
          <w:rFonts w:hint="cs"/>
          <w:rtl/>
        </w:rPr>
        <w:t>10-3</w:t>
      </w:r>
      <w:r>
        <w:rPr>
          <w:rFonts w:hint="cs"/>
          <w:rtl/>
        </w:rPr>
        <w:tab/>
      </w:r>
      <w:r w:rsidR="0058501F">
        <w:rPr>
          <w:rFonts w:hint="cs"/>
          <w:rtl/>
        </w:rPr>
        <w:t>أسفر السعي المتواصل للتحسين عن وضع خطة شاملة لقطاع التعليم في عام 2002، تركز على النوعية والأهمية والوصول إلى التعليم. وقد أدمجت هذه الخطة في خطة التنمية الوطنية الثانية لتوفالو لتحقيق الأهداف الرئيسية التالية، من بين أهداف أخرى:</w:t>
      </w:r>
    </w:p>
    <w:p w:rsidR="0058501F" w:rsidRDefault="00E87C85" w:rsidP="00227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8501F">
        <w:rPr>
          <w:rFonts w:hint="cs"/>
          <w:rtl/>
        </w:rPr>
        <w:t>تحسين مستويات التعليم على نحو شامل؛</w:t>
      </w:r>
    </w:p>
    <w:p w:rsidR="0058501F" w:rsidRDefault="00E87C85" w:rsidP="00227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8501F">
        <w:rPr>
          <w:rFonts w:hint="cs"/>
          <w:rtl/>
        </w:rPr>
        <w:t>توفير مدرسين للمراحل الابتدائية والثانوية وما بعد الثانوية أفضل تدريباً ومتحمسين؛</w:t>
      </w:r>
    </w:p>
    <w:p w:rsidR="0058501F" w:rsidRDefault="00E87C85" w:rsidP="00227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8501F">
        <w:rPr>
          <w:rFonts w:hint="cs"/>
          <w:rtl/>
        </w:rPr>
        <w:t>وضع منهاج سليم ومناسب موجه على نحو أفضل لتلبية احتياجات الطلاب والاقتصاد؛</w:t>
      </w:r>
    </w:p>
    <w:p w:rsidR="0058501F" w:rsidRDefault="00E87C85" w:rsidP="002270D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8501F">
        <w:rPr>
          <w:rFonts w:hint="cs"/>
          <w:rtl/>
        </w:rPr>
        <w:t>زيادة وتحسين فرص التدريب الفني والمهني؛</w:t>
      </w:r>
    </w:p>
    <w:p w:rsidR="0058501F" w:rsidRDefault="00E87C85" w:rsidP="003E7C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58501F">
        <w:rPr>
          <w:rFonts w:hint="cs"/>
          <w:rtl/>
        </w:rPr>
        <w:t>توسيع نطاق الخدمات والمرافق لتلبي الاحتياجات الخاصة للطلاب، بمن فيهم طلاب مرحلة ما قبل المدرسة والمعوقين</w:t>
      </w:r>
      <w:r w:rsidR="002270DF" w:rsidRPr="002270DF">
        <w:rPr>
          <w:vertAlign w:val="superscript"/>
          <w:rtl/>
        </w:rPr>
        <w:t>(</w:t>
      </w:r>
      <w:r w:rsidR="002270DF">
        <w:rPr>
          <w:rStyle w:val="FootnoteReference"/>
          <w:rtl/>
        </w:rPr>
        <w:footnoteReference w:id="85"/>
      </w:r>
      <w:r w:rsidR="002270DF" w:rsidRPr="002270DF">
        <w:rPr>
          <w:vertAlign w:val="superscript"/>
          <w:rtl/>
        </w:rPr>
        <w:t>)</w:t>
      </w:r>
      <w:r w:rsidR="0058501F">
        <w:rPr>
          <w:rFonts w:hint="cs"/>
          <w:rtl/>
        </w:rPr>
        <w:t>.</w:t>
      </w:r>
    </w:p>
    <w:p w:rsidR="0058501F" w:rsidRDefault="00E87C85" w:rsidP="00084D51">
      <w:pPr>
        <w:pStyle w:val="SingleTxt"/>
        <w:rPr>
          <w:rFonts w:hint="cs"/>
          <w:rtl/>
        </w:rPr>
      </w:pPr>
      <w:r>
        <w:rPr>
          <w:rFonts w:hint="cs"/>
          <w:rtl/>
        </w:rPr>
        <w:t>10-4</w:t>
      </w:r>
      <w:r>
        <w:rPr>
          <w:rFonts w:hint="cs"/>
          <w:rtl/>
        </w:rPr>
        <w:tab/>
      </w:r>
      <w:r w:rsidR="0058501F">
        <w:rPr>
          <w:rFonts w:hint="cs"/>
          <w:rtl/>
        </w:rPr>
        <w:t>وينص قانون التعليم (القانون رقم 38) أيضاً على أن التعليم الأساسي إلزامي لجميع الأطفال الذين تتراوح أعمارهم بين ستة أعوام و 15 عاماً. وينص القانون</w:t>
      </w:r>
      <w:r w:rsidR="003E7CC2" w:rsidRPr="003E7CC2">
        <w:rPr>
          <w:vertAlign w:val="superscript"/>
          <w:rtl/>
        </w:rPr>
        <w:t>(</w:t>
      </w:r>
      <w:r w:rsidR="003E7CC2">
        <w:rPr>
          <w:rStyle w:val="FootnoteReference"/>
          <w:rtl/>
        </w:rPr>
        <w:footnoteReference w:id="86"/>
      </w:r>
      <w:r w:rsidR="003E7CC2" w:rsidRPr="003E7CC2">
        <w:rPr>
          <w:vertAlign w:val="superscript"/>
          <w:rtl/>
        </w:rPr>
        <w:t>)</w:t>
      </w:r>
      <w:r w:rsidR="003E7CC2">
        <w:rPr>
          <w:rFonts w:hint="cs"/>
          <w:vertAlign w:val="superscript"/>
          <w:rtl/>
        </w:rPr>
        <w:t xml:space="preserve"> </w:t>
      </w:r>
      <w:r w:rsidR="0058501F">
        <w:rPr>
          <w:rFonts w:hint="cs"/>
          <w:rtl/>
        </w:rPr>
        <w:t>على أن الوالد أو الوالدة أو الوصي يمكن أن يُغرّم إن لم يلتحق طفله/طفلته أو طفلها/طفلتها بمدرسة ابتدائية. والتعليم الابتدائي في متناول يد كل طفل، باستثناء الأطفال الذين يعانون من إعاقة شديدة الذين منعوا من الذهاب إلى المدرسة بناءً على خيار والديهم. وقبل عام 1990، كان يتعين على الطلاب، الذين يبلغون 10 و 11 عاماً من العمر، الجلوس لامتحانات القبول في مدرسة موتوفوا الثانوية</w:t>
      </w:r>
      <w:r w:rsidR="003E7CC2" w:rsidRPr="003E7CC2">
        <w:rPr>
          <w:vertAlign w:val="superscript"/>
          <w:rtl/>
        </w:rPr>
        <w:t>(</w:t>
      </w:r>
      <w:r w:rsidR="003E7CC2">
        <w:rPr>
          <w:rStyle w:val="FootnoteReference"/>
          <w:rtl/>
        </w:rPr>
        <w:footnoteReference w:id="87"/>
      </w:r>
      <w:r w:rsidR="003E7CC2" w:rsidRPr="003E7CC2">
        <w:rPr>
          <w:vertAlign w:val="superscript"/>
          <w:rtl/>
        </w:rPr>
        <w:t>)</w:t>
      </w:r>
      <w:r w:rsidR="003E7CC2">
        <w:rPr>
          <w:rFonts w:hint="cs"/>
          <w:vertAlign w:val="superscript"/>
          <w:rtl/>
        </w:rPr>
        <w:t xml:space="preserve"> </w:t>
      </w:r>
      <w:r w:rsidR="0058501F">
        <w:rPr>
          <w:rFonts w:hint="cs"/>
          <w:rtl/>
        </w:rPr>
        <w:t>ليلتحقوا بها. وكان الذين لا ينجحون في الامتحان يلتحقون بمركز تدريب المجتمع في كل جزيرة. وقد كان مركز تدريب المجتمع يوفر التدريب المهني إلى أن يبلغ الطفل الصف العاشر فقط. وفي عام 1990، جرى وقف هذه الامتحانات. ونتيجة لذلك، جرى استيعاب جميع طلاب الصف الثامن بصورة تلقائية في المرحلة الثالثة من مدرسة موتوفوا الثانوية شريطة دفع رسوم الطالب أو الطالبة المدرسية. وبالتالي، فإن تكلفة العدد المتزايد من الطلاب الملتحقين بالمدرسة أصبحت عالية جداً للحكومة، وتدنى أيضاً مستوى النتائج الأكاديمية</w:t>
      </w:r>
      <w:r w:rsidR="003E7CC2" w:rsidRPr="003E7CC2">
        <w:rPr>
          <w:vertAlign w:val="superscript"/>
          <w:rtl/>
        </w:rPr>
        <w:t>(</w:t>
      </w:r>
      <w:r w:rsidR="003E7CC2">
        <w:rPr>
          <w:rStyle w:val="FootnoteReference"/>
          <w:rtl/>
        </w:rPr>
        <w:footnoteReference w:id="88"/>
      </w:r>
      <w:r w:rsidR="003E7CC2" w:rsidRPr="003E7CC2">
        <w:rPr>
          <w:vertAlign w:val="superscript"/>
          <w:rtl/>
        </w:rPr>
        <w:t>)</w:t>
      </w:r>
      <w:r w:rsidR="0058501F">
        <w:rPr>
          <w:rFonts w:hint="cs"/>
          <w:rtl/>
        </w:rPr>
        <w:t>.</w:t>
      </w:r>
      <w:r w:rsidR="003E7CC2">
        <w:rPr>
          <w:rFonts w:hint="cs"/>
          <w:rtl/>
        </w:rPr>
        <w:t xml:space="preserve"> </w:t>
      </w:r>
      <w:r w:rsidR="0058501F">
        <w:rPr>
          <w:rFonts w:hint="cs"/>
          <w:rtl/>
        </w:rPr>
        <w:t>واضطُر هذا وزير التعليم في عام 2002 إلى إعادة امتحان القبول في المدارس الثانوية في نهاية المرحلة الابتدائية، وفرض رسوم مدرسية مقدارها 50 دولاراً أمريكياً لكل فصل دراسي. بيد أن وزير التعليم مفوض، بموجب أحكام الفرع 33 (1) من قانون التعليم، صلاحية تخفيف أو إلغاء الرسوم المدرسية في الحالات التي يثبت فيها أن والدي الطالب يواجهون صعوبات اقتصادية في توفير الرسوم. فضلاً عن ذلك، بوسع الوالدين الذين يكون لهم أكثر من ثلاثة أطفال في نفس المدرسة الحكومية في المرحلة الثانوية أن يقدموا طلباً لإعفاء طفل واحد من الرسوم المدرسية.</w:t>
      </w:r>
    </w:p>
    <w:p w:rsidR="00E87C85" w:rsidRPr="00E87C85" w:rsidRDefault="00E87C85" w:rsidP="00E87C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58501F" w:rsidRPr="0060580D" w:rsidRDefault="00E87C85" w:rsidP="00E87C85">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60580D">
        <w:rPr>
          <w:rFonts w:hint="cs"/>
          <w:rtl/>
        </w:rPr>
        <w:t>مرحلة ما قبل المدرسة</w:t>
      </w:r>
    </w:p>
    <w:p w:rsidR="0058501F" w:rsidRDefault="00E87C85" w:rsidP="00E87C85">
      <w:pPr>
        <w:pStyle w:val="SingleTxt"/>
        <w:rPr>
          <w:rFonts w:hint="cs"/>
          <w:rtl/>
        </w:rPr>
      </w:pPr>
      <w:r>
        <w:rPr>
          <w:rFonts w:hint="cs"/>
          <w:rtl/>
        </w:rPr>
        <w:t>10-5</w:t>
      </w:r>
      <w:r>
        <w:rPr>
          <w:rFonts w:hint="cs"/>
          <w:rtl/>
        </w:rPr>
        <w:tab/>
      </w:r>
      <w:r w:rsidR="0058501F">
        <w:rPr>
          <w:rFonts w:hint="cs"/>
          <w:rtl/>
        </w:rPr>
        <w:t>التأثير الإيجابي الطويل الأجل لمرحلة ما قبل المدرسة على التحصيل الأكاديمي للأفراد في وقت لاحق من حياتهم يحظى بالتقدير الواجب بصورة متزايدة في البلد، ويُشجع الوالدان على إرسال أطفالهما إلى رياض الأطفال المملوكة للمجتمع. وتدعم الحكومة رياض الأطفال، ولكن القيد المالي يحول دون تمويل الحكومة مباشرة تشغيل رياض الأطفال. واقتصرت مشاركة الحكومة المباشرة حتى الآن على ميزانية سنوية مقدارها 000 10 دولار أمريكي لدعم الخدمات و 000 30 دولار أمريكي للمساعدة في دفع رواتب معلمي رياض الأطفال. وفي عام 2007، زيد هذا المبلــغ إلى 000 20 دولار أمريكـي و 000 46 دولار أمريكي على التوالي.</w:t>
      </w:r>
    </w:p>
    <w:p w:rsidR="0058501F" w:rsidRDefault="00E87C85" w:rsidP="00E87C85">
      <w:pPr>
        <w:pStyle w:val="SingleTxt"/>
        <w:rPr>
          <w:rFonts w:hint="cs"/>
          <w:rtl/>
        </w:rPr>
      </w:pPr>
      <w:r>
        <w:rPr>
          <w:rFonts w:hint="cs"/>
          <w:rtl/>
        </w:rPr>
        <w:t>10-6</w:t>
      </w:r>
      <w:r>
        <w:rPr>
          <w:rFonts w:hint="cs"/>
          <w:rtl/>
        </w:rPr>
        <w:tab/>
      </w:r>
      <w:r w:rsidR="0058501F">
        <w:rPr>
          <w:rFonts w:hint="cs"/>
          <w:rtl/>
        </w:rPr>
        <w:t>يبين الجدول 16 والشكل 4 أدناه، أن المقاعد متوفرة لجميع الأطفال في سن الحضانة ومتاحة لكلا الجنسين في توفالو. ويضم بعضها عدداً أكبر من الذكور في حين تهيمن الإناث على بعضها الآخر. ومن الواضح أن الذكور والإناث، يحضرون المدارس بنسب متساوية تقريباً.</w:t>
      </w:r>
    </w:p>
    <w:p w:rsidR="0058501F" w:rsidRDefault="0058501F" w:rsidP="0058501F">
      <w:pPr>
        <w:rPr>
          <w:rFonts w:hint="cs"/>
          <w:sz w:val="32"/>
          <w:szCs w:val="32"/>
          <w:rtl/>
        </w:rPr>
      </w:pPr>
    </w:p>
    <w:p w:rsidR="0058501F" w:rsidRDefault="00D12C6C" w:rsidP="0058501F">
      <w:pPr>
        <w:jc w:val="center"/>
        <w:rPr>
          <w:rFonts w:hint="cs"/>
          <w:b/>
          <w:bCs/>
          <w:sz w:val="28"/>
          <w:szCs w:val="28"/>
          <w:rtl/>
        </w:rPr>
      </w:pPr>
      <w:r>
        <w:rPr>
          <w:b/>
          <w:bCs/>
          <w:sz w:val="28"/>
          <w:szCs w:val="28"/>
          <w:rtl/>
        </w:rPr>
        <w:br w:type="page"/>
      </w:r>
      <w:r w:rsidR="0058501F" w:rsidRPr="00666378">
        <w:rPr>
          <w:rFonts w:hint="cs"/>
          <w:b/>
          <w:bCs/>
          <w:sz w:val="28"/>
          <w:szCs w:val="28"/>
          <w:rtl/>
        </w:rPr>
        <w:t>الجدول 16:</w:t>
      </w:r>
      <w:r w:rsidR="0058501F">
        <w:rPr>
          <w:rFonts w:hint="cs"/>
          <w:b/>
          <w:bCs/>
          <w:sz w:val="28"/>
          <w:szCs w:val="28"/>
          <w:rtl/>
        </w:rPr>
        <w:t xml:space="preserve"> الالتحاق</w:t>
      </w:r>
      <w:r w:rsidR="0058501F" w:rsidRPr="00666378">
        <w:rPr>
          <w:rFonts w:hint="cs"/>
          <w:b/>
          <w:bCs/>
          <w:sz w:val="28"/>
          <w:szCs w:val="28"/>
          <w:rtl/>
        </w:rPr>
        <w:t xml:space="preserve"> </w:t>
      </w:r>
      <w:r w:rsidR="0058501F">
        <w:rPr>
          <w:rFonts w:hint="cs"/>
          <w:b/>
          <w:bCs/>
          <w:sz w:val="28"/>
          <w:szCs w:val="28"/>
          <w:rtl/>
        </w:rPr>
        <w:t>ب</w:t>
      </w:r>
      <w:r w:rsidR="0058501F" w:rsidRPr="00666378">
        <w:rPr>
          <w:rFonts w:hint="cs"/>
          <w:b/>
          <w:bCs/>
          <w:sz w:val="28"/>
          <w:szCs w:val="28"/>
          <w:rtl/>
        </w:rPr>
        <w:t>رياض الأطفال حسب الجز</w:t>
      </w:r>
      <w:r w:rsidR="0058501F">
        <w:rPr>
          <w:rFonts w:hint="cs"/>
          <w:b/>
          <w:bCs/>
          <w:sz w:val="28"/>
          <w:szCs w:val="28"/>
          <w:rtl/>
        </w:rPr>
        <w:t>ي</w:t>
      </w:r>
      <w:r w:rsidR="0058501F" w:rsidRPr="00666378">
        <w:rPr>
          <w:rFonts w:hint="cs"/>
          <w:b/>
          <w:bCs/>
          <w:sz w:val="28"/>
          <w:szCs w:val="28"/>
          <w:rtl/>
        </w:rPr>
        <w:t>ر</w:t>
      </w:r>
      <w:r w:rsidR="0058501F">
        <w:rPr>
          <w:rFonts w:hint="cs"/>
          <w:b/>
          <w:bCs/>
          <w:sz w:val="28"/>
          <w:szCs w:val="28"/>
          <w:rtl/>
        </w:rPr>
        <w:t>ة</w:t>
      </w:r>
      <w:r w:rsidR="0058501F" w:rsidRPr="00666378">
        <w:rPr>
          <w:rFonts w:hint="cs"/>
          <w:b/>
          <w:bCs/>
          <w:sz w:val="28"/>
          <w:szCs w:val="28"/>
          <w:rtl/>
        </w:rPr>
        <w:t xml:space="preserve"> ونوع الجنس والسن و</w:t>
      </w:r>
      <w:r w:rsidR="0058501F">
        <w:rPr>
          <w:rFonts w:hint="cs"/>
          <w:b/>
          <w:bCs/>
          <w:sz w:val="28"/>
          <w:szCs w:val="28"/>
          <w:rtl/>
        </w:rPr>
        <w:t xml:space="preserve">عدد </w:t>
      </w:r>
      <w:r w:rsidR="0058501F" w:rsidRPr="00666378">
        <w:rPr>
          <w:rFonts w:hint="cs"/>
          <w:b/>
          <w:bCs/>
          <w:sz w:val="28"/>
          <w:szCs w:val="28"/>
          <w:rtl/>
        </w:rPr>
        <w:t>الموظفين، عام</w:t>
      </w:r>
      <w:r w:rsidR="0058501F">
        <w:rPr>
          <w:rFonts w:hint="cs"/>
          <w:b/>
          <w:bCs/>
          <w:sz w:val="28"/>
          <w:szCs w:val="28"/>
          <w:rtl/>
        </w:rPr>
        <w:t xml:space="preserve"> 2005</w:t>
      </w:r>
    </w:p>
    <w:p w:rsidR="0058501F" w:rsidRDefault="0058501F" w:rsidP="0058501F">
      <w:pPr>
        <w:jc w:val="center"/>
        <w:rPr>
          <w:rFonts w:hint="cs"/>
          <w:b/>
          <w:bCs/>
          <w:sz w:val="28"/>
          <w:szCs w:val="28"/>
          <w:rtl/>
        </w:rPr>
      </w:pPr>
    </w:p>
    <w:tbl>
      <w:tblPr>
        <w:tblStyle w:val="TableGrid"/>
        <w:bidiVisual/>
        <w:tblW w:w="8568" w:type="dxa"/>
        <w:jc w:val="center"/>
        <w:tblLayout w:type="fixed"/>
        <w:tblLook w:val="01E0" w:firstRow="1" w:lastRow="1" w:firstColumn="1" w:lastColumn="1" w:noHBand="0" w:noVBand="0"/>
      </w:tblPr>
      <w:tblGrid>
        <w:gridCol w:w="1440"/>
        <w:gridCol w:w="792"/>
        <w:gridCol w:w="792"/>
        <w:gridCol w:w="792"/>
        <w:gridCol w:w="792"/>
        <w:gridCol w:w="792"/>
        <w:gridCol w:w="792"/>
        <w:gridCol w:w="792"/>
        <w:gridCol w:w="792"/>
        <w:gridCol w:w="792"/>
      </w:tblGrid>
      <w:tr w:rsidR="0058501F">
        <w:trPr>
          <w:jc w:val="center"/>
        </w:trPr>
        <w:tc>
          <w:tcPr>
            <w:tcW w:w="1440" w:type="dxa"/>
            <w:vMerge w:val="restart"/>
          </w:tcPr>
          <w:p w:rsidR="0058501F" w:rsidRDefault="0058501F" w:rsidP="0058501F">
            <w:pPr>
              <w:rPr>
                <w:rFonts w:cs="Traditional Arabic" w:hint="cs"/>
                <w:b/>
                <w:bCs/>
                <w:sz w:val="28"/>
                <w:szCs w:val="28"/>
                <w:rtl/>
              </w:rPr>
            </w:pPr>
          </w:p>
          <w:p w:rsidR="0058501F" w:rsidRPr="00E20049" w:rsidRDefault="0058501F" w:rsidP="0058501F">
            <w:pPr>
              <w:rPr>
                <w:rFonts w:cs="Traditional Arabic" w:hint="cs"/>
                <w:sz w:val="28"/>
                <w:szCs w:val="28"/>
                <w:rtl/>
              </w:rPr>
            </w:pPr>
            <w:r w:rsidRPr="00057C5A">
              <w:rPr>
                <w:rFonts w:cs="Traditional Arabic" w:hint="cs"/>
                <w:b/>
                <w:bCs/>
                <w:sz w:val="28"/>
                <w:szCs w:val="28"/>
                <w:rtl/>
              </w:rPr>
              <w:t>الجزيرة</w:t>
            </w:r>
            <w:r>
              <w:rPr>
                <w:rFonts w:cs="Traditional Arabic" w:hint="cs"/>
                <w:b/>
                <w:bCs/>
                <w:sz w:val="28"/>
                <w:szCs w:val="28"/>
                <w:rtl/>
              </w:rPr>
              <w:t xml:space="preserve"> </w:t>
            </w:r>
            <w:r w:rsidRPr="00057C5A">
              <w:rPr>
                <w:rFonts w:cs="Traditional Arabic" w:hint="cs"/>
                <w:b/>
                <w:bCs/>
                <w:sz w:val="28"/>
                <w:szCs w:val="28"/>
                <w:rtl/>
              </w:rPr>
              <w:t>الأم</w:t>
            </w:r>
          </w:p>
        </w:tc>
        <w:tc>
          <w:tcPr>
            <w:tcW w:w="2376" w:type="dxa"/>
            <w:gridSpan w:val="3"/>
          </w:tcPr>
          <w:p w:rsidR="0058501F" w:rsidRDefault="0058501F" w:rsidP="0058501F">
            <w:pPr>
              <w:jc w:val="center"/>
              <w:rPr>
                <w:rFonts w:cs="Traditional Arabic" w:hint="cs"/>
                <w:b/>
                <w:bCs/>
                <w:sz w:val="28"/>
                <w:szCs w:val="28"/>
                <w:rtl/>
              </w:rPr>
            </w:pPr>
            <w:r>
              <w:rPr>
                <w:rFonts w:cs="Traditional Arabic" w:hint="cs"/>
                <w:b/>
                <w:bCs/>
                <w:sz w:val="28"/>
                <w:szCs w:val="28"/>
                <w:rtl/>
              </w:rPr>
              <w:t>سنتان</w:t>
            </w:r>
          </w:p>
        </w:tc>
        <w:tc>
          <w:tcPr>
            <w:tcW w:w="2376" w:type="dxa"/>
            <w:gridSpan w:val="3"/>
          </w:tcPr>
          <w:p w:rsidR="0058501F" w:rsidRDefault="0058501F" w:rsidP="0058501F">
            <w:pPr>
              <w:jc w:val="center"/>
              <w:rPr>
                <w:rFonts w:cs="Traditional Arabic" w:hint="cs"/>
                <w:b/>
                <w:bCs/>
                <w:sz w:val="28"/>
                <w:szCs w:val="28"/>
                <w:rtl/>
              </w:rPr>
            </w:pPr>
            <w:r>
              <w:rPr>
                <w:rFonts w:cs="Traditional Arabic" w:hint="cs"/>
                <w:b/>
                <w:bCs/>
                <w:sz w:val="28"/>
                <w:szCs w:val="28"/>
                <w:rtl/>
              </w:rPr>
              <w:t>3 سنوات</w:t>
            </w:r>
          </w:p>
        </w:tc>
        <w:tc>
          <w:tcPr>
            <w:tcW w:w="2376" w:type="dxa"/>
            <w:gridSpan w:val="3"/>
          </w:tcPr>
          <w:p w:rsidR="0058501F" w:rsidRDefault="0058501F" w:rsidP="0058501F">
            <w:pPr>
              <w:jc w:val="center"/>
              <w:rPr>
                <w:rFonts w:cs="Traditional Arabic" w:hint="cs"/>
                <w:b/>
                <w:bCs/>
                <w:sz w:val="28"/>
                <w:szCs w:val="28"/>
                <w:rtl/>
              </w:rPr>
            </w:pPr>
            <w:r>
              <w:rPr>
                <w:rFonts w:cs="Traditional Arabic" w:hint="cs"/>
                <w:b/>
                <w:bCs/>
                <w:sz w:val="28"/>
                <w:szCs w:val="28"/>
                <w:rtl/>
              </w:rPr>
              <w:t>4 سنوات</w:t>
            </w:r>
          </w:p>
        </w:tc>
      </w:tr>
      <w:tr w:rsidR="0058501F">
        <w:trPr>
          <w:jc w:val="center"/>
        </w:trPr>
        <w:tc>
          <w:tcPr>
            <w:tcW w:w="1440" w:type="dxa"/>
            <w:vMerge/>
          </w:tcPr>
          <w:p w:rsidR="0058501F" w:rsidRPr="00E20049" w:rsidRDefault="0058501F" w:rsidP="0058501F">
            <w:pPr>
              <w:rPr>
                <w:rFonts w:cs="Traditional Arabic" w:hint="cs"/>
                <w:sz w:val="28"/>
                <w:szCs w:val="28"/>
                <w:rtl/>
              </w:rPr>
            </w:pP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ذكر</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أنثى</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المجموع</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ذكر</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أنثى</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المجموع</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ذكر</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أنثى</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المجموع</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فونافوتي</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45</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نانوميا</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18</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نوكولالا</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نوكوفيتاو</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16</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نانومانغا</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15</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r>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27</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فايتوبو</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37</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نوي</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8</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8</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نيولاكيتا</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نيوتاو</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45</w:t>
            </w:r>
          </w:p>
        </w:tc>
      </w:tr>
      <w:tr w:rsidR="0058501F">
        <w:trPr>
          <w:jc w:val="center"/>
        </w:trPr>
        <w:tc>
          <w:tcPr>
            <w:tcW w:w="1440" w:type="dxa"/>
          </w:tcPr>
          <w:p w:rsidR="0058501F" w:rsidRPr="00057C5A" w:rsidRDefault="0058501F" w:rsidP="0058501F">
            <w:pPr>
              <w:rPr>
                <w:rFonts w:cs="Traditional Arabic" w:hint="cs"/>
                <w:b/>
                <w:bCs/>
                <w:sz w:val="28"/>
                <w:szCs w:val="28"/>
                <w:rtl/>
              </w:rPr>
            </w:pPr>
            <w:r w:rsidRPr="00057C5A">
              <w:rPr>
                <w:rFonts w:cs="Traditional Arabic" w:hint="cs"/>
                <w:b/>
                <w:bCs/>
                <w:sz w:val="28"/>
                <w:szCs w:val="28"/>
                <w:rtl/>
              </w:rPr>
              <w:t>المجموع</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86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108</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218</w:t>
            </w:r>
          </w:p>
        </w:tc>
      </w:tr>
    </w:tbl>
    <w:p w:rsidR="0058501F" w:rsidRDefault="0058501F" w:rsidP="0058501F">
      <w:pPr>
        <w:rPr>
          <w:rFonts w:hint="cs"/>
          <w:b/>
          <w:bCs/>
          <w:sz w:val="28"/>
          <w:szCs w:val="28"/>
          <w:rtl/>
        </w:rPr>
      </w:pPr>
    </w:p>
    <w:p w:rsidR="0058501F" w:rsidRDefault="0058501F" w:rsidP="0058501F">
      <w:pPr>
        <w:jc w:val="center"/>
        <w:rPr>
          <w:rFonts w:hint="cs"/>
          <w:b/>
          <w:bCs/>
          <w:sz w:val="28"/>
          <w:szCs w:val="28"/>
          <w:rtl/>
        </w:rPr>
      </w:pPr>
      <w:r w:rsidRPr="00666378">
        <w:rPr>
          <w:rFonts w:hint="cs"/>
          <w:b/>
          <w:bCs/>
          <w:sz w:val="28"/>
          <w:szCs w:val="28"/>
          <w:rtl/>
        </w:rPr>
        <w:t xml:space="preserve">الجدول 16: </w:t>
      </w:r>
      <w:r>
        <w:rPr>
          <w:rFonts w:hint="cs"/>
          <w:b/>
          <w:bCs/>
          <w:sz w:val="28"/>
          <w:szCs w:val="28"/>
          <w:rtl/>
        </w:rPr>
        <w:t>الالتحاق</w:t>
      </w:r>
      <w:r w:rsidRPr="00666378">
        <w:rPr>
          <w:rFonts w:hint="cs"/>
          <w:b/>
          <w:bCs/>
          <w:sz w:val="28"/>
          <w:szCs w:val="28"/>
          <w:rtl/>
        </w:rPr>
        <w:t xml:space="preserve"> </w:t>
      </w:r>
      <w:r>
        <w:rPr>
          <w:rFonts w:hint="cs"/>
          <w:b/>
          <w:bCs/>
          <w:sz w:val="28"/>
          <w:szCs w:val="28"/>
          <w:rtl/>
        </w:rPr>
        <w:t>ب</w:t>
      </w:r>
      <w:r w:rsidRPr="00666378">
        <w:rPr>
          <w:rFonts w:hint="cs"/>
          <w:b/>
          <w:bCs/>
          <w:sz w:val="28"/>
          <w:szCs w:val="28"/>
          <w:rtl/>
        </w:rPr>
        <w:t>رياض الأطفال حسب الجز</w:t>
      </w:r>
      <w:r>
        <w:rPr>
          <w:rFonts w:hint="cs"/>
          <w:b/>
          <w:bCs/>
          <w:sz w:val="28"/>
          <w:szCs w:val="28"/>
          <w:rtl/>
        </w:rPr>
        <w:t>ي</w:t>
      </w:r>
      <w:r w:rsidRPr="00666378">
        <w:rPr>
          <w:rFonts w:hint="cs"/>
          <w:b/>
          <w:bCs/>
          <w:sz w:val="28"/>
          <w:szCs w:val="28"/>
          <w:rtl/>
        </w:rPr>
        <w:t>ر</w:t>
      </w:r>
      <w:r>
        <w:rPr>
          <w:rFonts w:hint="cs"/>
          <w:b/>
          <w:bCs/>
          <w:sz w:val="28"/>
          <w:szCs w:val="28"/>
          <w:rtl/>
        </w:rPr>
        <w:t>ة</w:t>
      </w:r>
      <w:r w:rsidRPr="00666378">
        <w:rPr>
          <w:rFonts w:hint="cs"/>
          <w:b/>
          <w:bCs/>
          <w:sz w:val="28"/>
          <w:szCs w:val="28"/>
          <w:rtl/>
        </w:rPr>
        <w:t xml:space="preserve"> ونوع الجنس والسن و</w:t>
      </w:r>
      <w:r>
        <w:rPr>
          <w:rFonts w:hint="cs"/>
          <w:b/>
          <w:bCs/>
          <w:sz w:val="28"/>
          <w:szCs w:val="28"/>
          <w:rtl/>
        </w:rPr>
        <w:t xml:space="preserve">عدد </w:t>
      </w:r>
      <w:r w:rsidRPr="00666378">
        <w:rPr>
          <w:rFonts w:hint="cs"/>
          <w:b/>
          <w:bCs/>
          <w:sz w:val="28"/>
          <w:szCs w:val="28"/>
          <w:rtl/>
        </w:rPr>
        <w:t>الموظفين، عام</w:t>
      </w:r>
      <w:r>
        <w:rPr>
          <w:rFonts w:hint="cs"/>
          <w:b/>
          <w:bCs/>
          <w:sz w:val="28"/>
          <w:szCs w:val="28"/>
          <w:rtl/>
        </w:rPr>
        <w:t xml:space="preserve"> 2005 (تابع)</w:t>
      </w:r>
    </w:p>
    <w:p w:rsidR="0058501F" w:rsidRDefault="0058501F" w:rsidP="0058501F">
      <w:pPr>
        <w:jc w:val="center"/>
        <w:rPr>
          <w:rFonts w:hint="cs"/>
          <w:b/>
          <w:bCs/>
          <w:sz w:val="28"/>
          <w:szCs w:val="28"/>
          <w:rtl/>
        </w:rPr>
      </w:pPr>
    </w:p>
    <w:tbl>
      <w:tblPr>
        <w:tblStyle w:val="TableGrid"/>
        <w:bidiVisual/>
        <w:tblW w:w="0" w:type="auto"/>
        <w:jc w:val="center"/>
        <w:tblLayout w:type="fixed"/>
        <w:tblLook w:val="01E0" w:firstRow="1" w:lastRow="1" w:firstColumn="1" w:lastColumn="1" w:noHBand="0" w:noVBand="0"/>
      </w:tblPr>
      <w:tblGrid>
        <w:gridCol w:w="1440"/>
        <w:gridCol w:w="792"/>
        <w:gridCol w:w="792"/>
        <w:gridCol w:w="792"/>
        <w:gridCol w:w="792"/>
        <w:gridCol w:w="792"/>
        <w:gridCol w:w="792"/>
        <w:gridCol w:w="1008"/>
        <w:gridCol w:w="1296"/>
      </w:tblGrid>
      <w:tr w:rsidR="0058501F">
        <w:trPr>
          <w:jc w:val="center"/>
        </w:trPr>
        <w:tc>
          <w:tcPr>
            <w:tcW w:w="1440" w:type="dxa"/>
            <w:vMerge w:val="restart"/>
          </w:tcPr>
          <w:p w:rsidR="0058501F" w:rsidRDefault="0058501F" w:rsidP="0058501F">
            <w:pPr>
              <w:rPr>
                <w:rFonts w:cs="Traditional Arabic" w:hint="cs"/>
                <w:b/>
                <w:bCs/>
                <w:sz w:val="28"/>
                <w:szCs w:val="28"/>
                <w:rtl/>
              </w:rPr>
            </w:pPr>
          </w:p>
          <w:p w:rsidR="0058501F" w:rsidRPr="00057C5A" w:rsidRDefault="0058501F" w:rsidP="0058501F">
            <w:pPr>
              <w:rPr>
                <w:rFonts w:cs="Traditional Arabic" w:hint="cs"/>
                <w:b/>
                <w:bCs/>
                <w:sz w:val="28"/>
                <w:szCs w:val="28"/>
                <w:rtl/>
              </w:rPr>
            </w:pPr>
            <w:r w:rsidRPr="00057C5A">
              <w:rPr>
                <w:rFonts w:cs="Traditional Arabic" w:hint="cs"/>
                <w:b/>
                <w:bCs/>
                <w:sz w:val="28"/>
                <w:szCs w:val="28"/>
                <w:rtl/>
              </w:rPr>
              <w:t>الجزيرة الأم</w:t>
            </w:r>
          </w:p>
        </w:tc>
        <w:tc>
          <w:tcPr>
            <w:tcW w:w="2376" w:type="dxa"/>
            <w:gridSpan w:val="3"/>
          </w:tcPr>
          <w:p w:rsidR="0058501F" w:rsidRDefault="0058501F" w:rsidP="0058501F">
            <w:pPr>
              <w:jc w:val="center"/>
              <w:rPr>
                <w:rFonts w:cs="Traditional Arabic" w:hint="cs"/>
                <w:b/>
                <w:bCs/>
                <w:sz w:val="28"/>
                <w:szCs w:val="28"/>
                <w:rtl/>
              </w:rPr>
            </w:pPr>
            <w:r>
              <w:rPr>
                <w:rFonts w:cs="Traditional Arabic" w:hint="cs"/>
                <w:b/>
                <w:bCs/>
                <w:sz w:val="28"/>
                <w:szCs w:val="28"/>
                <w:rtl/>
              </w:rPr>
              <w:t>5 سنوات</w:t>
            </w:r>
          </w:p>
        </w:tc>
        <w:tc>
          <w:tcPr>
            <w:tcW w:w="2376" w:type="dxa"/>
            <w:gridSpan w:val="3"/>
          </w:tcPr>
          <w:p w:rsidR="0058501F" w:rsidRDefault="0058501F" w:rsidP="0058501F">
            <w:pPr>
              <w:jc w:val="center"/>
              <w:rPr>
                <w:rFonts w:cs="Traditional Arabic" w:hint="cs"/>
                <w:b/>
                <w:bCs/>
                <w:sz w:val="28"/>
                <w:szCs w:val="28"/>
                <w:rtl/>
              </w:rPr>
            </w:pPr>
            <w:r>
              <w:rPr>
                <w:rFonts w:cs="Traditional Arabic" w:hint="cs"/>
                <w:b/>
                <w:bCs/>
                <w:sz w:val="28"/>
                <w:szCs w:val="28"/>
                <w:rtl/>
              </w:rPr>
              <w:t>المجموع</w:t>
            </w:r>
          </w:p>
        </w:tc>
        <w:tc>
          <w:tcPr>
            <w:tcW w:w="1008" w:type="dxa"/>
            <w:vMerge w:val="restart"/>
          </w:tcPr>
          <w:p w:rsidR="0058501F" w:rsidRDefault="0058501F" w:rsidP="0058501F">
            <w:pPr>
              <w:jc w:val="center"/>
              <w:rPr>
                <w:rFonts w:cs="Traditional Arabic"/>
                <w:b/>
                <w:bCs/>
                <w:sz w:val="28"/>
                <w:szCs w:val="28"/>
                <w:rtl/>
              </w:rPr>
            </w:pPr>
            <w:r>
              <w:rPr>
                <w:rFonts w:cs="Traditional Arabic" w:hint="cs"/>
                <w:b/>
                <w:bCs/>
                <w:sz w:val="28"/>
                <w:szCs w:val="28"/>
                <w:rtl/>
              </w:rPr>
              <w:t>المعلمون</w:t>
            </w:r>
          </w:p>
          <w:p w:rsidR="0058501F" w:rsidRDefault="0058501F" w:rsidP="0058501F">
            <w:pPr>
              <w:jc w:val="center"/>
              <w:rPr>
                <w:rFonts w:cs="Traditional Arabic" w:hint="cs"/>
                <w:b/>
                <w:bCs/>
                <w:sz w:val="28"/>
                <w:szCs w:val="28"/>
                <w:rtl/>
              </w:rPr>
            </w:pPr>
            <w:r>
              <w:rPr>
                <w:rFonts w:cs="Traditional Arabic" w:hint="cs"/>
                <w:b/>
                <w:bCs/>
                <w:sz w:val="28"/>
                <w:szCs w:val="28"/>
                <w:rtl/>
              </w:rPr>
              <w:t>المؤهلون</w:t>
            </w:r>
          </w:p>
        </w:tc>
        <w:tc>
          <w:tcPr>
            <w:tcW w:w="1296" w:type="dxa"/>
            <w:vMerge w:val="restart"/>
          </w:tcPr>
          <w:p w:rsidR="0058501F" w:rsidRDefault="0058501F" w:rsidP="0058501F">
            <w:pPr>
              <w:jc w:val="center"/>
              <w:rPr>
                <w:rFonts w:cs="Traditional Arabic"/>
                <w:b/>
                <w:bCs/>
                <w:sz w:val="28"/>
                <w:szCs w:val="28"/>
                <w:rtl/>
              </w:rPr>
            </w:pPr>
            <w:r>
              <w:rPr>
                <w:rFonts w:cs="Traditional Arabic" w:hint="cs"/>
                <w:b/>
                <w:bCs/>
                <w:sz w:val="28"/>
                <w:szCs w:val="28"/>
                <w:rtl/>
              </w:rPr>
              <w:t>المعلمون غير</w:t>
            </w:r>
          </w:p>
          <w:p w:rsidR="0058501F" w:rsidRDefault="0058501F" w:rsidP="0058501F">
            <w:pPr>
              <w:jc w:val="center"/>
              <w:rPr>
                <w:rFonts w:cs="Traditional Arabic" w:hint="cs"/>
                <w:b/>
                <w:bCs/>
                <w:sz w:val="28"/>
                <w:szCs w:val="28"/>
                <w:rtl/>
              </w:rPr>
            </w:pPr>
            <w:r>
              <w:rPr>
                <w:rFonts w:cs="Traditional Arabic" w:hint="cs"/>
                <w:b/>
                <w:bCs/>
                <w:sz w:val="28"/>
                <w:szCs w:val="28"/>
                <w:rtl/>
              </w:rPr>
              <w:t>المؤهلين</w:t>
            </w:r>
          </w:p>
        </w:tc>
      </w:tr>
      <w:tr w:rsidR="0058501F">
        <w:trPr>
          <w:jc w:val="center"/>
        </w:trPr>
        <w:tc>
          <w:tcPr>
            <w:tcW w:w="1440" w:type="dxa"/>
            <w:vMerge/>
          </w:tcPr>
          <w:p w:rsidR="0058501F" w:rsidRPr="00E20049" w:rsidRDefault="0058501F" w:rsidP="0058501F">
            <w:pPr>
              <w:rPr>
                <w:rFonts w:cs="Traditional Arabic" w:hint="cs"/>
                <w:sz w:val="28"/>
                <w:szCs w:val="28"/>
                <w:rtl/>
              </w:rPr>
            </w:pP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ذكر</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أنثى</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المجموع</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ذكر</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أنثى</w:t>
            </w:r>
          </w:p>
        </w:tc>
        <w:tc>
          <w:tcPr>
            <w:tcW w:w="792" w:type="dxa"/>
          </w:tcPr>
          <w:p w:rsidR="0058501F" w:rsidRDefault="0058501F" w:rsidP="0058501F">
            <w:pPr>
              <w:jc w:val="center"/>
              <w:rPr>
                <w:rFonts w:cs="Traditional Arabic" w:hint="cs"/>
                <w:b/>
                <w:bCs/>
                <w:sz w:val="28"/>
                <w:szCs w:val="28"/>
                <w:rtl/>
              </w:rPr>
            </w:pPr>
            <w:r>
              <w:rPr>
                <w:rFonts w:cs="Traditional Arabic" w:hint="cs"/>
                <w:b/>
                <w:bCs/>
                <w:sz w:val="28"/>
                <w:szCs w:val="28"/>
                <w:rtl/>
              </w:rPr>
              <w:t>المجموع</w:t>
            </w:r>
          </w:p>
        </w:tc>
        <w:tc>
          <w:tcPr>
            <w:tcW w:w="1008" w:type="dxa"/>
            <w:vMerge/>
          </w:tcPr>
          <w:p w:rsidR="0058501F" w:rsidRDefault="0058501F" w:rsidP="0058501F">
            <w:pPr>
              <w:jc w:val="center"/>
              <w:rPr>
                <w:rFonts w:cs="Traditional Arabic" w:hint="cs"/>
                <w:b/>
                <w:bCs/>
                <w:sz w:val="28"/>
                <w:szCs w:val="28"/>
                <w:rtl/>
              </w:rPr>
            </w:pPr>
          </w:p>
        </w:tc>
        <w:tc>
          <w:tcPr>
            <w:tcW w:w="1296" w:type="dxa"/>
            <w:vMerge/>
          </w:tcPr>
          <w:p w:rsidR="0058501F" w:rsidRDefault="0058501F" w:rsidP="0058501F">
            <w:pPr>
              <w:jc w:val="center"/>
              <w:rPr>
                <w:rFonts w:cs="Traditional Arabic" w:hint="cs"/>
                <w:b/>
                <w:bCs/>
                <w:sz w:val="28"/>
                <w:szCs w:val="28"/>
                <w:rtl/>
              </w:rPr>
            </w:pP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فونافوتي</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82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159</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نانوميا</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8</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58</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نوكولالا</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15</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32</w:t>
            </w:r>
          </w:p>
        </w:tc>
        <w:tc>
          <w:tcPr>
            <w:tcW w:w="1008"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نوكوفيتاو</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44</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نانومانغا</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60</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فايتوبو</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55</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122</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9</w:t>
            </w:r>
          </w:p>
        </w:tc>
      </w:tr>
      <w:tr w:rsidR="0058501F">
        <w:trPr>
          <w:jc w:val="center"/>
        </w:trPr>
        <w:tc>
          <w:tcPr>
            <w:tcW w:w="1440" w:type="dxa"/>
          </w:tcPr>
          <w:p w:rsidR="0058501F" w:rsidRPr="00E20049" w:rsidRDefault="0058501F" w:rsidP="0058501F">
            <w:pPr>
              <w:rPr>
                <w:rFonts w:cs="Traditional Arabic" w:hint="cs"/>
                <w:sz w:val="28"/>
                <w:szCs w:val="28"/>
                <w:rtl/>
              </w:rPr>
            </w:pPr>
            <w:r>
              <w:rPr>
                <w:rFonts w:cs="Traditional Arabic" w:hint="cs"/>
                <w:sz w:val="28"/>
                <w:szCs w:val="28"/>
                <w:rtl/>
              </w:rPr>
              <w:t>نوي</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27</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48</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نيولاكيتا</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792"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8</w:t>
            </w:r>
          </w:p>
        </w:tc>
        <w:tc>
          <w:tcPr>
            <w:tcW w:w="1008" w:type="dxa"/>
          </w:tcPr>
          <w:p w:rsidR="0058501F" w:rsidRPr="009D675F" w:rsidRDefault="0058501F" w:rsidP="0058501F">
            <w:pPr>
              <w:jc w:val="center"/>
              <w:rPr>
                <w:rFonts w:cs="Traditional Arabic" w:hint="cs"/>
                <w:sz w:val="28"/>
                <w:szCs w:val="28"/>
                <w:rtl/>
              </w:rPr>
            </w:pPr>
            <w:r>
              <w:rPr>
                <w:rFonts w:cs="Traditional Arabic" w:hint="cs"/>
                <w:sz w:val="28"/>
                <w:szCs w:val="28"/>
                <w:rtl/>
              </w:rPr>
              <w:t>صفر</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نيوتاو</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20</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28</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48</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53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63</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116</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4</w:t>
            </w:r>
          </w:p>
        </w:tc>
      </w:tr>
      <w:tr w:rsidR="0058501F">
        <w:trPr>
          <w:jc w:val="center"/>
        </w:trPr>
        <w:tc>
          <w:tcPr>
            <w:tcW w:w="1440" w:type="dxa"/>
          </w:tcPr>
          <w:p w:rsidR="0058501F" w:rsidRPr="00E20049" w:rsidRDefault="0058501F" w:rsidP="0058501F">
            <w:pPr>
              <w:rPr>
                <w:rFonts w:cs="Traditional Arabic" w:hint="cs"/>
                <w:sz w:val="28"/>
                <w:szCs w:val="28"/>
                <w:rtl/>
              </w:rPr>
            </w:pPr>
            <w:r w:rsidRPr="00E20049">
              <w:rPr>
                <w:rFonts w:cs="Traditional Arabic" w:hint="cs"/>
                <w:sz w:val="28"/>
                <w:szCs w:val="28"/>
                <w:rtl/>
              </w:rPr>
              <w:t>المجموع</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132</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104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236</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334</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315</w:t>
            </w:r>
          </w:p>
        </w:tc>
        <w:tc>
          <w:tcPr>
            <w:tcW w:w="792"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647</w:t>
            </w:r>
          </w:p>
        </w:tc>
        <w:tc>
          <w:tcPr>
            <w:tcW w:w="1008"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17</w:t>
            </w:r>
          </w:p>
        </w:tc>
        <w:tc>
          <w:tcPr>
            <w:tcW w:w="1296" w:type="dxa"/>
          </w:tcPr>
          <w:p w:rsidR="0058501F" w:rsidRPr="009D675F" w:rsidRDefault="0058501F" w:rsidP="0058501F">
            <w:pPr>
              <w:jc w:val="center"/>
              <w:rPr>
                <w:rFonts w:cs="Traditional Arabic" w:hint="cs"/>
                <w:sz w:val="28"/>
                <w:szCs w:val="28"/>
                <w:rtl/>
              </w:rPr>
            </w:pPr>
            <w:r w:rsidRPr="009D675F">
              <w:rPr>
                <w:rFonts w:cs="Traditional Arabic" w:hint="cs"/>
                <w:sz w:val="28"/>
                <w:szCs w:val="28"/>
                <w:rtl/>
              </w:rPr>
              <w:t>39</w:t>
            </w:r>
          </w:p>
        </w:tc>
      </w:tr>
    </w:tbl>
    <w:p w:rsidR="0058501F" w:rsidRPr="00D12C6C" w:rsidRDefault="00D12C6C" w:rsidP="00D12C6C">
      <w:pPr>
        <w:rPr>
          <w:rFonts w:hint="cs"/>
          <w:sz w:val="26"/>
          <w:szCs w:val="26"/>
          <w:rtl/>
        </w:rPr>
      </w:pPr>
      <w:r>
        <w:rPr>
          <w:rFonts w:hint="cs"/>
          <w:sz w:val="28"/>
          <w:szCs w:val="28"/>
          <w:rtl/>
        </w:rPr>
        <w:tab/>
      </w:r>
      <w:r w:rsidR="0058501F" w:rsidRPr="00D12C6C">
        <w:rPr>
          <w:rFonts w:hint="cs"/>
          <w:sz w:val="26"/>
          <w:szCs w:val="26"/>
          <w:rtl/>
        </w:rPr>
        <w:t xml:space="preserve">المصدر: إدارة التعليم </w:t>
      </w:r>
      <w:r>
        <w:rPr>
          <w:rFonts w:hint="cs"/>
          <w:sz w:val="26"/>
          <w:szCs w:val="26"/>
          <w:rtl/>
        </w:rPr>
        <w:t>-</w:t>
      </w:r>
      <w:r w:rsidR="0058501F" w:rsidRPr="00D12C6C">
        <w:rPr>
          <w:rFonts w:hint="cs"/>
          <w:sz w:val="26"/>
          <w:szCs w:val="26"/>
          <w:rtl/>
        </w:rPr>
        <w:t xml:space="preserve"> (بيانات لم تنشر).</w:t>
      </w:r>
    </w:p>
    <w:p w:rsidR="0058501F" w:rsidRDefault="0058501F" w:rsidP="00D12C6C">
      <w:pPr>
        <w:pStyle w:val="SingleTxt"/>
        <w:rPr>
          <w:rFonts w:hint="cs"/>
          <w:rtl/>
        </w:rPr>
      </w:pPr>
      <w:r>
        <w:rPr>
          <w:rFonts w:hint="cs"/>
          <w:rtl/>
        </w:rPr>
        <w:tab/>
        <w:t>وحتى نهاية عام 2005، كانت توجد في البلد 17 حضانة مسجلة، وربما يكون العدد قد ازداد في العاصمة نتيجة لارتفاع معدل الانتقال إلى المناطق الحضرية.</w:t>
      </w:r>
    </w:p>
    <w:p w:rsidR="00D12C6C" w:rsidRDefault="00D12C6C" w:rsidP="00D12C6C">
      <w:pPr>
        <w:rPr>
          <w:rFonts w:hint="cs"/>
          <w:b/>
          <w:bCs/>
          <w:sz w:val="32"/>
          <w:szCs w:val="32"/>
          <w:rtl/>
        </w:rPr>
      </w:pPr>
    </w:p>
    <w:p w:rsidR="00D12C6C" w:rsidRDefault="00084D51" w:rsidP="00D12C6C">
      <w:pPr>
        <w:rPr>
          <w:rFonts w:hint="cs"/>
          <w:sz w:val="32"/>
          <w:szCs w:val="32"/>
          <w:rtl/>
        </w:rPr>
      </w:pPr>
      <w:r>
        <w:rPr>
          <w:rFonts w:hint="cs"/>
          <w:b/>
          <w:bCs/>
          <w:sz w:val="32"/>
          <w:szCs w:val="32"/>
          <w:rtl/>
        </w:rPr>
        <w:tab/>
      </w:r>
      <w:r w:rsidR="00D12C6C" w:rsidRPr="00D12C6C">
        <w:rPr>
          <w:rFonts w:hint="cs"/>
          <w:b/>
          <w:bCs/>
          <w:sz w:val="32"/>
          <w:szCs w:val="32"/>
          <w:rtl/>
        </w:rPr>
        <w:t>الشكل 4: الالتحاق برياض الأطفال حسب الجزيرة ونوع الجنس، عام 2005</w:t>
      </w:r>
    </w:p>
    <w:p w:rsidR="00D12C6C" w:rsidRDefault="00D12C6C" w:rsidP="0058501F">
      <w:pPr>
        <w:rPr>
          <w:rFonts w:hint="cs"/>
          <w:sz w:val="32"/>
          <w:szCs w:val="32"/>
          <w:rtl/>
        </w:rPr>
      </w:pPr>
    </w:p>
    <w:p w:rsidR="00D12C6C" w:rsidRDefault="00D12C6C" w:rsidP="0058501F">
      <w:pPr>
        <w:rPr>
          <w:rFonts w:hint="cs"/>
          <w:sz w:val="32"/>
          <w:szCs w:val="32"/>
          <w:rtl/>
        </w:rPr>
      </w:pPr>
    </w:p>
    <w:p w:rsidR="0058501F" w:rsidRDefault="0058501F" w:rsidP="00D12C6C">
      <w:pPr>
        <w:pStyle w:val="SingleTxt"/>
        <w:rPr>
          <w:rFonts w:hint="cs"/>
          <w:rtl/>
        </w:rPr>
      </w:pPr>
    </w:p>
    <w:p w:rsidR="00D12C6C" w:rsidRDefault="00D12C6C" w:rsidP="00D12C6C">
      <w:pPr>
        <w:pStyle w:val="SingleTxt"/>
        <w:rPr>
          <w:rFonts w:hint="cs"/>
          <w:rtl/>
        </w:rPr>
      </w:pPr>
    </w:p>
    <w:p w:rsidR="00D12C6C" w:rsidRDefault="00D12C6C" w:rsidP="00D12C6C">
      <w:pPr>
        <w:pStyle w:val="SingleTxt"/>
        <w:rPr>
          <w:rFonts w:hint="cs"/>
          <w:rtl/>
        </w:rPr>
      </w:pPr>
    </w:p>
    <w:p w:rsidR="00D12C6C" w:rsidRDefault="00D12C6C" w:rsidP="00D12C6C">
      <w:pPr>
        <w:pStyle w:val="SingleTxt"/>
        <w:rPr>
          <w:rFonts w:hint="cs"/>
          <w:rtl/>
        </w:rPr>
      </w:pPr>
    </w:p>
    <w:p w:rsidR="00D12C6C" w:rsidRDefault="00D12C6C" w:rsidP="00D12C6C">
      <w:pPr>
        <w:pStyle w:val="SingleTxt"/>
        <w:rPr>
          <w:rFonts w:hint="cs"/>
          <w:rtl/>
        </w:rPr>
      </w:pPr>
    </w:p>
    <w:p w:rsidR="00D12C6C" w:rsidRDefault="00D12C6C" w:rsidP="00D12C6C">
      <w:pPr>
        <w:pStyle w:val="SingleTxt"/>
        <w:rPr>
          <w:rFonts w:hint="cs"/>
          <w:rtl/>
        </w:rPr>
      </w:pPr>
    </w:p>
    <w:p w:rsidR="00D12C6C" w:rsidRDefault="00D12C6C" w:rsidP="00D12C6C">
      <w:pPr>
        <w:pStyle w:val="SingleTxt"/>
        <w:rPr>
          <w:rFonts w:hint="cs"/>
          <w:rtl/>
        </w:rPr>
      </w:pPr>
    </w:p>
    <w:p w:rsidR="00D12C6C" w:rsidRDefault="00D12C6C" w:rsidP="00D12C6C">
      <w:pPr>
        <w:pStyle w:val="SingleTxt"/>
        <w:rPr>
          <w:rFonts w:hint="cs"/>
          <w:rtl/>
        </w:rPr>
      </w:pPr>
    </w:p>
    <w:p w:rsidR="0058501F" w:rsidRPr="00D13BE3" w:rsidRDefault="0058501F" w:rsidP="0058501F">
      <w:pPr>
        <w:jc w:val="center"/>
        <w:rPr>
          <w:rFonts w:hint="cs"/>
          <w:sz w:val="28"/>
          <w:szCs w:val="28"/>
          <w:rtl/>
        </w:rPr>
      </w:pPr>
      <w:r w:rsidRPr="00D13BE3">
        <w:rPr>
          <w:rFonts w:hint="cs"/>
          <w:sz w:val="28"/>
          <w:szCs w:val="28"/>
          <w:rtl/>
        </w:rPr>
        <w:t xml:space="preserve">المصدر: مأخوذة من الجدول 19 (إدارة التعليم </w:t>
      </w:r>
      <w:r w:rsidRPr="00D13BE3">
        <w:rPr>
          <w:sz w:val="28"/>
          <w:szCs w:val="28"/>
          <w:rtl/>
        </w:rPr>
        <w:t>–</w:t>
      </w:r>
      <w:r w:rsidRPr="00D13BE3">
        <w:rPr>
          <w:rFonts w:hint="cs"/>
          <w:sz w:val="28"/>
          <w:szCs w:val="28"/>
          <w:rtl/>
        </w:rPr>
        <w:t xml:space="preserve"> بيانات لم تنشر)</w:t>
      </w:r>
    </w:p>
    <w:p w:rsidR="0058501F" w:rsidRDefault="0058501F" w:rsidP="0058501F">
      <w:pPr>
        <w:jc w:val="center"/>
        <w:rPr>
          <w:rFonts w:hint="cs"/>
          <w:sz w:val="32"/>
          <w:szCs w:val="32"/>
          <w:rtl/>
        </w:rPr>
      </w:pPr>
    </w:p>
    <w:p w:rsidR="003105C2" w:rsidRDefault="003105C2" w:rsidP="00D12C6C">
      <w:pPr>
        <w:rPr>
          <w:rFonts w:hint="cs"/>
          <w:b/>
          <w:bCs/>
          <w:sz w:val="28"/>
          <w:szCs w:val="28"/>
          <w:rtl/>
        </w:rPr>
      </w:pPr>
    </w:p>
    <w:p w:rsidR="00D12C6C" w:rsidRDefault="00D12C6C" w:rsidP="00D12C6C">
      <w:pPr>
        <w:jc w:val="center"/>
        <w:rPr>
          <w:b/>
          <w:bCs/>
          <w:sz w:val="28"/>
          <w:szCs w:val="28"/>
          <w:rtl/>
        </w:rPr>
      </w:pPr>
      <w:r>
        <w:rPr>
          <w:b/>
          <w:bCs/>
          <w:noProof/>
          <w:sz w:val="28"/>
          <w:szCs w:val="28"/>
          <w:rtl/>
        </w:rPr>
      </w:r>
      <w:r w:rsidRPr="00DD6480">
        <w:rPr>
          <w:b/>
          <w:bCs/>
          <w:sz w:val="28"/>
          <w:szCs w:val="28"/>
        </w:rPr>
        <w:pict>
          <v:group id="_x0000_s2458" editas="canvas" style="width:433.3pt;height:315.3pt;mso-position-horizontal-relative:char;mso-position-vertical-relative:line" coordsize="8666,6306">
            <o:lock v:ext="edit" aspectratio="t"/>
            <v:shape id="_x0000_s2459" type="#_x0000_t75" style="position:absolute;width:8666;height:6306" o:preferrelative="f">
              <v:fill o:detectmouseclick="t"/>
              <v:path o:extrusionok="t" o:connecttype="none"/>
              <o:lock v:ext="edit" text="t"/>
            </v:shape>
            <v:rect id="_x0000_s2460" style="position:absolute;left:70;top:70;width:8486;height:5770" strokeweight=".7pt"/>
            <v:rect id="_x0000_s2461" style="position:absolute;left:824;top:641;width:7341;height:4112" fillcolor="silver" stroked="f"/>
            <v:line id="_x0000_s2462" style="position:absolute" from="824,4293" to="8165,4294" strokeweight="0"/>
            <v:line id="_x0000_s2463" style="position:absolute" from="824,3833" to="8165,3834" strokeweight="0"/>
            <v:line id="_x0000_s2464" style="position:absolute" from="824,3387" to="8165,3388" strokeweight="0"/>
            <v:line id="_x0000_s2465" style="position:absolute" from="824,2927" to="8165,2928" strokeweight="0"/>
            <v:line id="_x0000_s2466" style="position:absolute" from="824,2467" to="8165,2468" strokeweight="0"/>
            <v:line id="_x0000_s2467" style="position:absolute" from="824,2007" to="8165,2008" strokeweight="0"/>
            <v:line id="_x0000_s2468" style="position:absolute" from="824,1561" to="8165,1562" strokeweight="0"/>
            <v:line id="_x0000_s2469" style="position:absolute" from="824,1101" to="8165,1102" strokeweight="0"/>
            <v:line id="_x0000_s2470" style="position:absolute" from="824,641" to="8165,642" strokeweight="0"/>
            <v:rect id="_x0000_s2471" style="position:absolute;left:824;top:641;width:7341;height:4112" filled="f" strokecolor="gray" strokeweight=".7pt"/>
            <v:rect id="_x0000_s2472" style="position:absolute;left:991;top:1004;width:237;height:3749" fillcolor="#99f" strokeweight=".7pt"/>
            <v:rect id="_x0000_s2473" style="position:absolute;left:1801;top:3429;width:237;height:1324" fillcolor="#99f" strokeweight=".7pt"/>
            <v:rect id="_x0000_s2474" style="position:absolute;left:2624;top:3972;width:237;height:781" fillcolor="#99f" strokeweight=".7pt"/>
            <v:rect id="_x0000_s2475" style="position:absolute;left:3434;top:3652;width:237;height:1101" fillcolor="#99f" strokeweight=".7pt"/>
            <v:rect id="_x0000_s2476" style="position:absolute;left:4257;top:3206;width:237;height:1547" fillcolor="#99f" strokeweight=".7pt"/>
            <v:rect id="_x0000_s2477" style="position:absolute;left:5067;top:1686;width:237;height:3067" fillcolor="#99f" strokeweight=".7pt"/>
            <v:rect id="_x0000_s2478" style="position:absolute;left:5890;top:3791;width:238;height:962" fillcolor="#99f" strokeweight=".7pt"/>
            <v:rect id="_x0000_s2479" style="position:absolute;left:6700;top:4530;width:237;height:223" fillcolor="#99f" strokeweight=".7pt"/>
            <v:rect id="_x0000_s2480" style="position:absolute;left:7523;top:2328;width:238;height:2425" fillcolor="#99f" strokeweight=".7pt"/>
            <v:rect id="_x0000_s2481" style="position:absolute;left:1228;top:1240;width:224;height:3513" fillcolor="#936" strokeweight=".7pt"/>
            <v:rect id="_x0000_s2482" style="position:absolute;left:2038;top:3429;width:237;height:1324" fillcolor="#936" strokeweight=".7pt"/>
            <v:rect id="_x0000_s2483" style="position:absolute;left:2861;top:4070;width:224;height:683" fillcolor="#936" strokeweight=".7pt"/>
            <v:rect id="_x0000_s2484" style="position:absolute;left:3671;top:3833;width:237;height:920" fillcolor="#936" strokeweight=".7pt"/>
            <v:rect id="_x0000_s2485" style="position:absolute;left:4494;top:3568;width:224;height:1185" fillcolor="#936" strokeweight=".7pt"/>
            <v:rect id="_x0000_s2486" style="position:absolute;left:5304;top:2244;width:237;height:2509" fillcolor="#936" strokeweight=".7pt"/>
            <v:rect id="_x0000_s2487" style="position:absolute;left:6128;top:3526;width:223;height:1227" fillcolor="#936" strokeweight=".7pt"/>
            <v:rect id="_x0000_s2488" style="position:absolute;left:6937;top:4613;width:237;height:140" fillcolor="#936" strokeweight=".7pt"/>
            <v:rect id="_x0000_s2489" style="position:absolute;left:7761;top:1882;width:223;height:2871" fillcolor="#936" strokeweight=".7pt"/>
            <v:line id="_x0000_s2490" style="position:absolute" from="824,641" to="825,4753" strokeweight="0"/>
            <v:line id="_x0000_s2491" style="position:absolute" from="782,4753" to="824,4754" strokeweight="0"/>
            <v:line id="_x0000_s2492" style="position:absolute" from="782,4293" to="824,4294" strokeweight="0"/>
            <v:line id="_x0000_s2493" style="position:absolute" from="782,3833" to="824,3834" strokeweight="0"/>
            <v:line id="_x0000_s2494" style="position:absolute" from="782,3387" to="824,3388" strokeweight="0"/>
            <v:line id="_x0000_s2495" style="position:absolute" from="782,2927" to="824,2928" strokeweight="0"/>
            <v:line id="_x0000_s2496" style="position:absolute" from="782,2467" to="824,2468" strokeweight="0"/>
            <v:line id="_x0000_s2497" style="position:absolute" from="782,2007" to="824,2008" strokeweight="0"/>
            <v:line id="_x0000_s2498" style="position:absolute" from="782,1561" to="824,1562" strokeweight="0"/>
            <v:line id="_x0000_s2499" style="position:absolute" from="782,1101" to="824,1102" strokeweight="0"/>
            <v:line id="_x0000_s2500" style="position:absolute" from="782,641" to="824,642" strokeweight="0"/>
            <v:line id="_x0000_s2501" style="position:absolute" from="824,4753" to="8165,4754" strokeweight="0"/>
            <v:line id="_x0000_s2502" style="position:absolute;flip:y" from="824,4753" to="825,4795" strokeweight="0"/>
            <v:line id="_x0000_s2503" style="position:absolute;flip:y" from="1633,4753" to="1634,4795" strokeweight="0"/>
            <v:line id="_x0000_s2504" style="position:absolute;flip:y" from="2457,4753" to="2458,4795" strokeweight="0"/>
            <v:line id="_x0000_s2505" style="position:absolute;flip:y" from="3266,4753" to="3267,4795" strokeweight="0"/>
            <v:line id="_x0000_s2506" style="position:absolute;flip:y" from="4090,4753" to="4091,4795" strokeweight="0"/>
            <v:line id="_x0000_s2507" style="position:absolute;flip:y" from="4899,4753" to="4900,4795" strokeweight="0"/>
            <v:line id="_x0000_s2508" style="position:absolute;flip:y" from="5723,4753" to="5724,4795" strokeweight="0"/>
            <v:line id="_x0000_s2509" style="position:absolute;flip:y" from="6532,4753" to="6533,4795" strokeweight="0"/>
            <v:line id="_x0000_s2510" style="position:absolute;flip:y" from="7356,4753" to="7357,4795" strokeweight="0"/>
            <v:line id="_x0000_s2511" style="position:absolute;flip:y" from="8165,4753" to="8166,4795" strokeweight="0"/>
            <v:rect id="_x0000_s2512" style="position:absolute;left:1954;top:223;width:5246;height:400" filled="f" stroked="f">
              <v:textbox style="mso-next-textbox:#_x0000_s2512;mso-fit-shape-to-text:t" inset="0,0,0,0">
                <w:txbxContent>
                  <w:p w:rsidR="00F93B21" w:rsidRPr="00C051AB" w:rsidRDefault="00F93B21" w:rsidP="00D12C6C">
                    <w:pPr>
                      <w:rPr>
                        <w:rFonts w:hint="cs"/>
                        <w:sz w:val="28"/>
                        <w:szCs w:val="28"/>
                        <w:rtl/>
                        <w:lang w:val="en-ZW" w:bidi="ar-EG"/>
                      </w:rPr>
                    </w:pPr>
                    <w:r w:rsidRPr="00C051AB">
                      <w:rPr>
                        <w:rFonts w:ascii="Arial" w:hAnsi="Arial" w:hint="cs"/>
                        <w:b/>
                        <w:bCs/>
                        <w:color w:val="000000"/>
                        <w:sz w:val="28"/>
                        <w:szCs w:val="28"/>
                        <w:rtl/>
                        <w:lang w:val="en-ZW" w:bidi="ar-EG"/>
                      </w:rPr>
                      <w:t>الالتحاق برياض الأطفال حسب الجزيرة ونوع الجنس، عام 2005</w:t>
                    </w:r>
                  </w:p>
                </w:txbxContent>
              </v:textbox>
            </v:rect>
            <v:rect id="_x0000_s2513" style="position:absolute;left:1019;top:725;width:184;height:800;mso-wrap-style:none" filled="f" stroked="f">
              <v:textbox style="mso-next-textbox:#_x0000_s2513;mso-fit-shape-to-text:t" inset="0,0,0,0">
                <w:txbxContent>
                  <w:p w:rsidR="00F93B21" w:rsidRDefault="00F93B21" w:rsidP="00D12C6C">
                    <w:r>
                      <w:rPr>
                        <w:rFonts w:ascii="Arial" w:hAnsi="Arial" w:cs="Arial"/>
                        <w:color w:val="000000"/>
                        <w:sz w:val="16"/>
                        <w:szCs w:val="16"/>
                      </w:rPr>
                      <w:t>82</w:t>
                    </w:r>
                  </w:p>
                </w:txbxContent>
              </v:textbox>
            </v:rect>
            <v:rect id="_x0000_s2514" style="position:absolute;left:1828;top:3150;width:184;height:800;mso-wrap-style:none" filled="f" stroked="f">
              <v:textbox style="mso-next-textbox:#_x0000_s2514;mso-fit-shape-to-text:t" inset="0,0,0,0">
                <w:txbxContent>
                  <w:p w:rsidR="00F93B21" w:rsidRDefault="00F93B21" w:rsidP="00D12C6C">
                    <w:r>
                      <w:rPr>
                        <w:rFonts w:ascii="Arial" w:hAnsi="Arial" w:cs="Arial"/>
                        <w:color w:val="000000"/>
                        <w:sz w:val="16"/>
                        <w:szCs w:val="16"/>
                      </w:rPr>
                      <w:t>29</w:t>
                    </w:r>
                  </w:p>
                </w:txbxContent>
              </v:textbox>
            </v:rect>
            <v:rect id="_x0000_s2515" style="position:absolute;left:2652;top:3694;width:184;height:800;mso-wrap-style:none" filled="f" stroked="f">
              <v:textbox style="mso-next-textbox:#_x0000_s2515;mso-fit-shape-to-text:t" inset="0,0,0,0">
                <w:txbxContent>
                  <w:p w:rsidR="00F93B21" w:rsidRDefault="00F93B21" w:rsidP="00D12C6C">
                    <w:r>
                      <w:rPr>
                        <w:rFonts w:ascii="Arial" w:hAnsi="Arial" w:cs="Arial"/>
                        <w:color w:val="000000"/>
                        <w:sz w:val="16"/>
                        <w:szCs w:val="16"/>
                      </w:rPr>
                      <w:t>17</w:t>
                    </w:r>
                  </w:p>
                </w:txbxContent>
              </v:textbox>
            </v:rect>
            <v:rect id="_x0000_s2516" style="position:absolute;left:3462;top:3373;width:184;height:800;mso-wrap-style:none" filled="f" stroked="f">
              <v:textbox style="mso-next-textbox:#_x0000_s2516;mso-fit-shape-to-text:t" inset="0,0,0,0">
                <w:txbxContent>
                  <w:p w:rsidR="00F93B21" w:rsidRDefault="00F93B21" w:rsidP="00D12C6C">
                    <w:r>
                      <w:rPr>
                        <w:rFonts w:ascii="Arial" w:hAnsi="Arial" w:cs="Arial"/>
                        <w:color w:val="000000"/>
                        <w:sz w:val="16"/>
                        <w:szCs w:val="16"/>
                      </w:rPr>
                      <w:t>24</w:t>
                    </w:r>
                  </w:p>
                </w:txbxContent>
              </v:textbox>
            </v:rect>
            <v:rect id="_x0000_s2517" style="position:absolute;left:4285;top:2927;width:184;height:800;mso-wrap-style:none" filled="f" stroked="f">
              <v:textbox style="mso-next-textbox:#_x0000_s2517;mso-fit-shape-to-text:t" inset="0,0,0,0">
                <w:txbxContent>
                  <w:p w:rsidR="00F93B21" w:rsidRDefault="00F93B21" w:rsidP="00D12C6C">
                    <w:r>
                      <w:rPr>
                        <w:rFonts w:ascii="Arial" w:hAnsi="Arial" w:cs="Arial"/>
                        <w:color w:val="000000"/>
                        <w:sz w:val="16"/>
                        <w:szCs w:val="16"/>
                      </w:rPr>
                      <w:t>34</w:t>
                    </w:r>
                  </w:p>
                </w:txbxContent>
              </v:textbox>
            </v:rect>
            <v:rect id="_x0000_s2518" style="position:absolute;left:5095;top:1408;width:184;height:800;mso-wrap-style:none" filled="f" stroked="f">
              <v:textbox style="mso-next-textbox:#_x0000_s2518;mso-fit-shape-to-text:t" inset="0,0,0,0">
                <w:txbxContent>
                  <w:p w:rsidR="00F93B21" w:rsidRDefault="00F93B21" w:rsidP="00D12C6C">
                    <w:r>
                      <w:rPr>
                        <w:rFonts w:ascii="Arial" w:hAnsi="Arial" w:cs="Arial"/>
                        <w:color w:val="000000"/>
                        <w:sz w:val="16"/>
                        <w:szCs w:val="16"/>
                      </w:rPr>
                      <w:t>67</w:t>
                    </w:r>
                  </w:p>
                </w:txbxContent>
              </v:textbox>
            </v:rect>
            <v:rect id="_x0000_s2519" style="position:absolute;left:5918;top:3512;width:184;height:800;mso-wrap-style:none" filled="f" stroked="f">
              <v:textbox style="mso-next-textbox:#_x0000_s2519;mso-fit-shape-to-text:t" inset="0,0,0,0">
                <w:txbxContent>
                  <w:p w:rsidR="00F93B21" w:rsidRDefault="00F93B21" w:rsidP="00D12C6C">
                    <w:r>
                      <w:rPr>
                        <w:rFonts w:ascii="Arial" w:hAnsi="Arial" w:cs="Arial"/>
                        <w:color w:val="000000"/>
                        <w:sz w:val="16"/>
                        <w:szCs w:val="16"/>
                      </w:rPr>
                      <w:t>21</w:t>
                    </w:r>
                  </w:p>
                </w:txbxContent>
              </v:textbox>
            </v:rect>
            <v:rect id="_x0000_s2520" style="position:absolute;left:6770;top:4251;width:92;height:400;mso-wrap-style:none" filled="f" stroked="f">
              <v:textbox style="mso-next-textbox:#_x0000_s2520;mso-fit-shape-to-text:t" inset="0,0,0,0">
                <w:txbxContent>
                  <w:p w:rsidR="00F93B21" w:rsidRDefault="00F93B21" w:rsidP="00D12C6C">
                    <w:r>
                      <w:rPr>
                        <w:rFonts w:ascii="Arial" w:hAnsi="Arial" w:cs="Arial"/>
                        <w:color w:val="000000"/>
                        <w:sz w:val="16"/>
                        <w:szCs w:val="16"/>
                      </w:rPr>
                      <w:t>5</w:t>
                    </w:r>
                  </w:p>
                </w:txbxContent>
              </v:textbox>
            </v:rect>
            <v:rect id="_x0000_s2521" style="position:absolute;left:7551;top:2049;width:184;height:800;mso-wrap-style:none" filled="f" stroked="f">
              <v:textbox style="mso-next-textbox:#_x0000_s2521;mso-fit-shape-to-text:t" inset="0,0,0,0">
                <w:txbxContent>
                  <w:p w:rsidR="00F93B21" w:rsidRDefault="00F93B21" w:rsidP="00D12C6C">
                    <w:r>
                      <w:rPr>
                        <w:rFonts w:ascii="Arial" w:hAnsi="Arial" w:cs="Arial"/>
                        <w:color w:val="000000"/>
                        <w:sz w:val="16"/>
                        <w:szCs w:val="16"/>
                      </w:rPr>
                      <w:t>53</w:t>
                    </w:r>
                  </w:p>
                </w:txbxContent>
              </v:textbox>
            </v:rect>
            <v:rect id="_x0000_s2522" style="position:absolute;left:1256;top:962;width:184;height:800;mso-wrap-style:none" filled="f" stroked="f">
              <v:textbox style="mso-next-textbox:#_x0000_s2522;mso-fit-shape-to-text:t" inset="0,0,0,0">
                <w:txbxContent>
                  <w:p w:rsidR="00F93B21" w:rsidRDefault="00F93B21" w:rsidP="00D12C6C">
                    <w:r>
                      <w:rPr>
                        <w:rFonts w:ascii="Arial" w:hAnsi="Arial" w:cs="Arial"/>
                        <w:color w:val="000000"/>
                        <w:sz w:val="16"/>
                        <w:szCs w:val="16"/>
                      </w:rPr>
                      <w:t>77</w:t>
                    </w:r>
                  </w:p>
                </w:txbxContent>
              </v:textbox>
            </v:rect>
            <v:rect id="_x0000_s2523" style="position:absolute;left:2066;top:3150;width:184;height:800;mso-wrap-style:none" filled="f" stroked="f">
              <v:textbox style="mso-next-textbox:#_x0000_s2523;mso-fit-shape-to-text:t" inset="0,0,0,0">
                <w:txbxContent>
                  <w:p w:rsidR="00F93B21" w:rsidRDefault="00F93B21" w:rsidP="00D12C6C">
                    <w:r>
                      <w:rPr>
                        <w:rFonts w:ascii="Arial" w:hAnsi="Arial" w:cs="Arial"/>
                        <w:color w:val="000000"/>
                        <w:sz w:val="16"/>
                        <w:szCs w:val="16"/>
                      </w:rPr>
                      <w:t>29</w:t>
                    </w:r>
                  </w:p>
                </w:txbxContent>
              </v:textbox>
            </v:rect>
            <v:rect id="_x0000_s2524" style="position:absolute;left:2889;top:3791;width:184;height:800;mso-wrap-style:none" filled="f" stroked="f">
              <v:textbox style="mso-next-textbox:#_x0000_s2524;mso-fit-shape-to-text:t" inset="0,0,0,0">
                <w:txbxContent>
                  <w:p w:rsidR="00F93B21" w:rsidRDefault="00F93B21" w:rsidP="00D12C6C">
                    <w:r>
                      <w:rPr>
                        <w:rFonts w:ascii="Arial" w:hAnsi="Arial" w:cs="Arial"/>
                        <w:color w:val="000000"/>
                        <w:sz w:val="16"/>
                        <w:szCs w:val="16"/>
                      </w:rPr>
                      <w:t>15</w:t>
                    </w:r>
                  </w:p>
                </w:txbxContent>
              </v:textbox>
            </v:rect>
            <v:rect id="_x0000_s2525" style="position:absolute;left:3699;top:3554;width:184;height:800;mso-wrap-style:none" filled="f" stroked="f">
              <v:textbox style="mso-next-textbox:#_x0000_s2525;mso-fit-shape-to-text:t" inset="0,0,0,0">
                <w:txbxContent>
                  <w:p w:rsidR="00F93B21" w:rsidRDefault="00F93B21" w:rsidP="00D12C6C">
                    <w:r>
                      <w:rPr>
                        <w:rFonts w:ascii="Arial" w:hAnsi="Arial" w:cs="Arial"/>
                        <w:color w:val="000000"/>
                        <w:sz w:val="16"/>
                        <w:szCs w:val="16"/>
                      </w:rPr>
                      <w:t>20</w:t>
                    </w:r>
                  </w:p>
                </w:txbxContent>
              </v:textbox>
            </v:rect>
            <v:rect id="_x0000_s2526" style="position:absolute;left:4522;top:3289;width:184;height:800;mso-wrap-style:none" filled="f" stroked="f">
              <v:textbox style="mso-next-textbox:#_x0000_s2526;mso-fit-shape-to-text:t" inset="0,0,0,0">
                <w:txbxContent>
                  <w:p w:rsidR="00F93B21" w:rsidRDefault="00F93B21" w:rsidP="00D12C6C">
                    <w:r>
                      <w:rPr>
                        <w:rFonts w:ascii="Arial" w:hAnsi="Arial" w:cs="Arial"/>
                        <w:color w:val="000000"/>
                        <w:sz w:val="16"/>
                        <w:szCs w:val="16"/>
                      </w:rPr>
                      <w:t>26</w:t>
                    </w:r>
                  </w:p>
                </w:txbxContent>
              </v:textbox>
            </v:rect>
            <v:rect id="_x0000_s2527" style="position:absolute;left:5332;top:1965;width:184;height:800;mso-wrap-style:none" filled="f" stroked="f">
              <v:textbox style="mso-next-textbox:#_x0000_s2527;mso-fit-shape-to-text:t" inset="0,0,0,0">
                <w:txbxContent>
                  <w:p w:rsidR="00F93B21" w:rsidRDefault="00F93B21" w:rsidP="00D12C6C">
                    <w:r>
                      <w:rPr>
                        <w:rFonts w:ascii="Arial" w:hAnsi="Arial" w:cs="Arial"/>
                        <w:color w:val="000000"/>
                        <w:sz w:val="16"/>
                        <w:szCs w:val="16"/>
                      </w:rPr>
                      <w:t>55</w:t>
                    </w:r>
                  </w:p>
                </w:txbxContent>
              </v:textbox>
            </v:rect>
            <v:rect id="_x0000_s2528" style="position:absolute;left:6155;top:3248;width:184;height:800;mso-wrap-style:none" filled="f" stroked="f">
              <v:textbox style="mso-next-textbox:#_x0000_s2528;mso-fit-shape-to-text:t" inset="0,0,0,0">
                <w:txbxContent>
                  <w:p w:rsidR="00F93B21" w:rsidRDefault="00F93B21" w:rsidP="00D12C6C">
                    <w:r>
                      <w:rPr>
                        <w:rFonts w:ascii="Arial" w:hAnsi="Arial" w:cs="Arial"/>
                        <w:color w:val="000000"/>
                        <w:sz w:val="16"/>
                        <w:szCs w:val="16"/>
                      </w:rPr>
                      <w:t>27</w:t>
                    </w:r>
                  </w:p>
                </w:txbxContent>
              </v:textbox>
            </v:rect>
            <v:rect id="_x0000_s2529" style="position:absolute;left:7007;top:4335;width:92;height:400;mso-wrap-style:none" filled="f" stroked="f">
              <v:textbox style="mso-next-textbox:#_x0000_s2529;mso-fit-shape-to-text:t" inset="0,0,0,0">
                <w:txbxContent>
                  <w:p w:rsidR="00F93B21" w:rsidRDefault="00F93B21" w:rsidP="00D12C6C">
                    <w:r>
                      <w:rPr>
                        <w:rFonts w:ascii="Arial" w:hAnsi="Arial" w:cs="Arial"/>
                        <w:color w:val="000000"/>
                        <w:sz w:val="16"/>
                        <w:szCs w:val="16"/>
                      </w:rPr>
                      <w:t>3</w:t>
                    </w:r>
                  </w:p>
                </w:txbxContent>
              </v:textbox>
            </v:rect>
            <v:rect id="_x0000_s2530" style="position:absolute;left:7789;top:1603;width:184;height:800;mso-wrap-style:none" filled="f" stroked="f">
              <v:textbox style="mso-next-textbox:#_x0000_s2530;mso-fit-shape-to-text:t" inset="0,0,0,0">
                <w:txbxContent>
                  <w:p w:rsidR="00F93B21" w:rsidRDefault="00F93B21" w:rsidP="00D12C6C">
                    <w:r>
                      <w:rPr>
                        <w:rFonts w:ascii="Arial" w:hAnsi="Arial" w:cs="Arial"/>
                        <w:color w:val="000000"/>
                        <w:sz w:val="16"/>
                        <w:szCs w:val="16"/>
                      </w:rPr>
                      <w:t>63</w:t>
                    </w:r>
                  </w:p>
                </w:txbxContent>
              </v:textbox>
            </v:rect>
            <v:rect id="_x0000_s2531" style="position:absolute;left:628;top:4655;width:92;height:400;mso-wrap-style:none" filled="f" stroked="f">
              <v:textbox style="mso-next-textbox:#_x0000_s2531;mso-fit-shape-to-text:t" inset="0,0,0,0">
                <w:txbxContent>
                  <w:p w:rsidR="00F93B21" w:rsidRDefault="00F93B21" w:rsidP="00D12C6C">
                    <w:r>
                      <w:rPr>
                        <w:rFonts w:ascii="Arial" w:hAnsi="Arial" w:cs="Arial"/>
                        <w:color w:val="000000"/>
                        <w:sz w:val="16"/>
                        <w:szCs w:val="16"/>
                      </w:rPr>
                      <w:t>0</w:t>
                    </w:r>
                  </w:p>
                </w:txbxContent>
              </v:textbox>
            </v:rect>
            <v:rect id="_x0000_s2532" style="position:absolute;left:544;top:4195;width:184;height:800;mso-wrap-style:none" filled="f" stroked="f">
              <v:textbox style="mso-next-textbox:#_x0000_s2532;mso-fit-shape-to-text:t" inset="0,0,0,0">
                <w:txbxContent>
                  <w:p w:rsidR="00F93B21" w:rsidRDefault="00F93B21" w:rsidP="00D12C6C">
                    <w:r>
                      <w:rPr>
                        <w:rFonts w:ascii="Arial" w:hAnsi="Arial" w:cs="Arial"/>
                        <w:color w:val="000000"/>
                        <w:sz w:val="16"/>
                        <w:szCs w:val="16"/>
                      </w:rPr>
                      <w:t>10</w:t>
                    </w:r>
                  </w:p>
                </w:txbxContent>
              </v:textbox>
            </v:rect>
            <v:rect id="_x0000_s2533" style="position:absolute;left:544;top:3735;width:184;height:800;mso-wrap-style:none" filled="f" stroked="f">
              <v:textbox style="mso-next-textbox:#_x0000_s2533;mso-fit-shape-to-text:t" inset="0,0,0,0">
                <w:txbxContent>
                  <w:p w:rsidR="00F93B21" w:rsidRDefault="00F93B21" w:rsidP="00D12C6C">
                    <w:r>
                      <w:rPr>
                        <w:rFonts w:ascii="Arial" w:hAnsi="Arial" w:cs="Arial"/>
                        <w:color w:val="000000"/>
                        <w:sz w:val="16"/>
                        <w:szCs w:val="16"/>
                      </w:rPr>
                      <w:t>20</w:t>
                    </w:r>
                  </w:p>
                </w:txbxContent>
              </v:textbox>
            </v:rect>
            <v:rect id="_x0000_s2534" style="position:absolute;left:544;top:3289;width:184;height:800;mso-wrap-style:none" filled="f" stroked="f">
              <v:textbox style="mso-next-textbox:#_x0000_s2534;mso-fit-shape-to-text:t" inset="0,0,0,0">
                <w:txbxContent>
                  <w:p w:rsidR="00F93B21" w:rsidRDefault="00F93B21" w:rsidP="00D12C6C">
                    <w:r>
                      <w:rPr>
                        <w:rFonts w:ascii="Arial" w:hAnsi="Arial" w:cs="Arial"/>
                        <w:color w:val="000000"/>
                        <w:sz w:val="16"/>
                        <w:szCs w:val="16"/>
                      </w:rPr>
                      <w:t>30</w:t>
                    </w:r>
                  </w:p>
                </w:txbxContent>
              </v:textbox>
            </v:rect>
            <v:rect id="_x0000_s2535" style="position:absolute;left:544;top:2829;width:184;height:800;mso-wrap-style:none" filled="f" stroked="f">
              <v:textbox style="mso-next-textbox:#_x0000_s2535;mso-fit-shape-to-text:t" inset="0,0,0,0">
                <w:txbxContent>
                  <w:p w:rsidR="00F93B21" w:rsidRDefault="00F93B21" w:rsidP="00D12C6C">
                    <w:r>
                      <w:rPr>
                        <w:rFonts w:ascii="Arial" w:hAnsi="Arial" w:cs="Arial"/>
                        <w:color w:val="000000"/>
                        <w:sz w:val="16"/>
                        <w:szCs w:val="16"/>
                      </w:rPr>
                      <w:t>40</w:t>
                    </w:r>
                  </w:p>
                </w:txbxContent>
              </v:textbox>
            </v:rect>
            <v:rect id="_x0000_s2536" style="position:absolute;left:544;top:2369;width:184;height:800;mso-wrap-style:none" filled="f" stroked="f">
              <v:textbox style="mso-next-textbox:#_x0000_s2536;mso-fit-shape-to-text:t" inset="0,0,0,0">
                <w:txbxContent>
                  <w:p w:rsidR="00F93B21" w:rsidRDefault="00F93B21" w:rsidP="00D12C6C">
                    <w:r>
                      <w:rPr>
                        <w:rFonts w:ascii="Arial" w:hAnsi="Arial" w:cs="Arial"/>
                        <w:color w:val="000000"/>
                        <w:sz w:val="16"/>
                        <w:szCs w:val="16"/>
                      </w:rPr>
                      <w:t>50</w:t>
                    </w:r>
                  </w:p>
                </w:txbxContent>
              </v:textbox>
            </v:rect>
            <v:rect id="_x0000_s2537" style="position:absolute;left:544;top:1910;width:184;height:800;mso-wrap-style:none" filled="f" stroked="f">
              <v:textbox style="mso-next-textbox:#_x0000_s2537;mso-fit-shape-to-text:t" inset="0,0,0,0">
                <w:txbxContent>
                  <w:p w:rsidR="00F93B21" w:rsidRDefault="00F93B21" w:rsidP="00D12C6C">
                    <w:r>
                      <w:rPr>
                        <w:rFonts w:ascii="Arial" w:hAnsi="Arial" w:cs="Arial"/>
                        <w:color w:val="000000"/>
                        <w:sz w:val="16"/>
                        <w:szCs w:val="16"/>
                      </w:rPr>
                      <w:t>60</w:t>
                    </w:r>
                  </w:p>
                </w:txbxContent>
              </v:textbox>
            </v:rect>
            <v:rect id="_x0000_s2538" style="position:absolute;left:544;top:1463;width:184;height:800;mso-wrap-style:none" filled="f" stroked="f">
              <v:textbox style="mso-next-textbox:#_x0000_s2538;mso-fit-shape-to-text:t" inset="0,0,0,0">
                <w:txbxContent>
                  <w:p w:rsidR="00F93B21" w:rsidRDefault="00F93B21" w:rsidP="00D12C6C">
                    <w:r>
                      <w:rPr>
                        <w:rFonts w:ascii="Arial" w:hAnsi="Arial" w:cs="Arial"/>
                        <w:color w:val="000000"/>
                        <w:sz w:val="16"/>
                        <w:szCs w:val="16"/>
                      </w:rPr>
                      <w:t>70</w:t>
                    </w:r>
                  </w:p>
                </w:txbxContent>
              </v:textbox>
            </v:rect>
            <v:rect id="_x0000_s2539" style="position:absolute;left:544;top:1004;width:184;height:800;mso-wrap-style:none" filled="f" stroked="f">
              <v:textbox style="mso-next-textbox:#_x0000_s2539;mso-fit-shape-to-text:t" inset="0,0,0,0">
                <w:txbxContent>
                  <w:p w:rsidR="00F93B21" w:rsidRDefault="00F93B21" w:rsidP="00D12C6C">
                    <w:r>
                      <w:rPr>
                        <w:rFonts w:ascii="Arial" w:hAnsi="Arial" w:cs="Arial"/>
                        <w:color w:val="000000"/>
                        <w:sz w:val="16"/>
                        <w:szCs w:val="16"/>
                      </w:rPr>
                      <w:t>80</w:t>
                    </w:r>
                  </w:p>
                </w:txbxContent>
              </v:textbox>
            </v:rect>
            <v:rect id="_x0000_s2540" style="position:absolute;left:544;top:544;width:184;height:800;mso-wrap-style:none" filled="f" stroked="f">
              <v:textbox style="mso-next-textbox:#_x0000_s2540;mso-fit-shape-to-text:t" inset="0,0,0,0">
                <w:txbxContent>
                  <w:p w:rsidR="00F93B21" w:rsidRDefault="00F93B21" w:rsidP="00D12C6C">
                    <w:r>
                      <w:rPr>
                        <w:rFonts w:ascii="Arial" w:hAnsi="Arial" w:cs="Arial"/>
                        <w:color w:val="000000"/>
                        <w:sz w:val="16"/>
                        <w:szCs w:val="16"/>
                      </w:rPr>
                      <w:t>90</w:t>
                    </w:r>
                  </w:p>
                </w:txbxContent>
              </v:textbox>
            </v:rect>
            <v:rect id="_x0000_s2541" style="position:absolute;left:800;top:4878;width:718;height:400" filled="f" stroked="f">
              <v:textbox style="mso-next-textbox:#_x0000_s2541;mso-fit-shape-to-text:t" inset="0,0,0,0">
                <w:txbxContent>
                  <w:p w:rsidR="00F93B21" w:rsidRPr="00D12C6C" w:rsidRDefault="00F93B21">
                    <w:pPr>
                      <w:rPr>
                        <w:rFonts w:hint="cs"/>
                        <w:sz w:val="16"/>
                        <w:szCs w:val="26"/>
                        <w:lang w:bidi="ar-EG"/>
                      </w:rPr>
                    </w:pPr>
                    <w:r w:rsidRPr="00D12C6C">
                      <w:rPr>
                        <w:rFonts w:hint="cs"/>
                        <w:sz w:val="16"/>
                        <w:szCs w:val="26"/>
                        <w:rtl/>
                        <w:lang w:bidi="ar-EG"/>
                      </w:rPr>
                      <w:t>فونافوتي</w:t>
                    </w:r>
                  </w:p>
                </w:txbxContent>
              </v:textbox>
            </v:rect>
            <v:rect id="_x0000_s2542" style="position:absolute;left:1745;top:4878;width:495;height:400" filled="f" stroked="f">
              <v:textbox style="mso-next-textbox:#_x0000_s2542;mso-fit-shape-to-text:t" inset="0,0,0,0">
                <w:txbxContent>
                  <w:p w:rsidR="00F93B21" w:rsidRDefault="00F93B21" w:rsidP="00D12C6C">
                    <w:pPr>
                      <w:rPr>
                        <w:rFonts w:hint="cs"/>
                        <w:lang w:bidi="ar-EG"/>
                      </w:rPr>
                    </w:pPr>
                    <w:r>
                      <w:rPr>
                        <w:rFonts w:ascii="Arial" w:hAnsi="Arial" w:cs="Arial" w:hint="cs"/>
                        <w:color w:val="000000"/>
                        <w:sz w:val="16"/>
                        <w:szCs w:val="16"/>
                        <w:rtl/>
                        <w:lang w:bidi="ar-EG"/>
                      </w:rPr>
                      <w:t>نانوميا</w:t>
                    </w:r>
                  </w:p>
                </w:txbxContent>
              </v:textbox>
            </v:rect>
            <v:rect id="_x0000_s2543" style="position:absolute;left:2498;top:4878;width:426;height:800;mso-wrap-style:none" filled="f" stroked="f">
              <v:textbox style="mso-next-textbox:#_x0000_s2543;mso-fit-shape-to-text:t" inset="0,0,0,0">
                <w:txbxContent>
                  <w:p w:rsidR="00F93B21" w:rsidRDefault="00F93B21" w:rsidP="00D12C6C">
                    <w:pPr>
                      <w:rPr>
                        <w:rFonts w:hint="cs"/>
                        <w:lang w:bidi="ar-EG"/>
                      </w:rPr>
                    </w:pPr>
                    <w:r>
                      <w:rPr>
                        <w:rFonts w:ascii="Arial" w:hAnsi="Arial" w:cs="Arial" w:hint="cs"/>
                        <w:color w:val="000000"/>
                        <w:sz w:val="16"/>
                        <w:szCs w:val="16"/>
                        <w:rtl/>
                        <w:lang w:bidi="ar-EG"/>
                      </w:rPr>
                      <w:t>نوكولالا</w:t>
                    </w:r>
                  </w:p>
                </w:txbxContent>
              </v:textbox>
            </v:rect>
            <v:rect id="_x0000_s2544" style="position:absolute;left:3350;top:4878;width:481;height:800;mso-wrap-style:none" filled="f" stroked="f">
              <v:textbox style="mso-next-textbox:#_x0000_s2544;mso-fit-shape-to-text:t" inset="0,0,0,0">
                <w:txbxContent>
                  <w:p w:rsidR="00F93B21" w:rsidRDefault="00F93B21" w:rsidP="00D12C6C">
                    <w:pPr>
                      <w:rPr>
                        <w:rFonts w:hint="cs"/>
                        <w:lang w:bidi="ar-EG"/>
                      </w:rPr>
                    </w:pPr>
                    <w:r>
                      <w:rPr>
                        <w:rFonts w:ascii="Arial" w:hAnsi="Arial" w:cs="Arial" w:hint="cs"/>
                        <w:color w:val="000000"/>
                        <w:sz w:val="16"/>
                        <w:szCs w:val="16"/>
                        <w:rtl/>
                        <w:lang w:bidi="ar-EG"/>
                      </w:rPr>
                      <w:t>نوكوفيتاو</w:t>
                    </w:r>
                  </w:p>
                </w:txbxContent>
              </v:textbox>
            </v:rect>
            <v:rect id="_x0000_s2545" style="position:absolute;left:4146;top:4878;width:894;height:400" filled="f" stroked="f">
              <v:textbox style="mso-next-textbox:#_x0000_s2545;mso-fit-shape-to-text:t" inset="0,0,0,0">
                <w:txbxContent>
                  <w:p w:rsidR="00F93B21" w:rsidRDefault="00F93B21" w:rsidP="00C051AB">
                    <w:pPr>
                      <w:jc w:val="center"/>
                      <w:rPr>
                        <w:rFonts w:hint="cs"/>
                        <w:lang w:bidi="ar-EG"/>
                      </w:rPr>
                    </w:pPr>
                    <w:r>
                      <w:rPr>
                        <w:rFonts w:ascii="Arial" w:hAnsi="Arial" w:cs="Arial" w:hint="cs"/>
                        <w:color w:val="000000"/>
                        <w:sz w:val="16"/>
                        <w:szCs w:val="16"/>
                        <w:rtl/>
                        <w:lang w:bidi="ar-EG"/>
                      </w:rPr>
                      <w:t>نانومانغا</w:t>
                    </w:r>
                  </w:p>
                </w:txbxContent>
              </v:textbox>
            </v:rect>
            <v:rect id="_x0000_s2546" style="position:absolute;left:5053;top:4878;width:351;height:800;mso-wrap-style:none" filled="f" stroked="f">
              <v:textbox style="mso-next-textbox:#_x0000_s2546;mso-fit-shape-to-text:t" inset="0,0,0,0">
                <w:txbxContent>
                  <w:p w:rsidR="00F93B21" w:rsidRDefault="00F93B21" w:rsidP="00D12C6C">
                    <w:pPr>
                      <w:rPr>
                        <w:rFonts w:hint="cs"/>
                        <w:lang w:bidi="ar-EG"/>
                      </w:rPr>
                    </w:pPr>
                    <w:r>
                      <w:rPr>
                        <w:rFonts w:ascii="Arial" w:hAnsi="Arial" w:cs="Arial" w:hint="cs"/>
                        <w:color w:val="000000"/>
                        <w:sz w:val="16"/>
                        <w:szCs w:val="16"/>
                        <w:rtl/>
                        <w:lang w:bidi="ar-EG"/>
                      </w:rPr>
                      <w:t>فايتوبو</w:t>
                    </w:r>
                  </w:p>
                </w:txbxContent>
              </v:textbox>
            </v:rect>
            <v:rect id="_x0000_s2547" style="position:absolute;left:5840;top:4878;width:407;height:400" filled="f" stroked="f">
              <v:textbox style="mso-next-textbox:#_x0000_s2547;mso-fit-shape-to-text:t" inset="0,0,0,0">
                <w:txbxContent>
                  <w:p w:rsidR="00F93B21" w:rsidRDefault="00F93B21" w:rsidP="00D12C6C">
                    <w:pPr>
                      <w:rPr>
                        <w:rFonts w:hint="cs"/>
                        <w:lang w:bidi="ar-EG"/>
                      </w:rPr>
                    </w:pPr>
                    <w:r>
                      <w:rPr>
                        <w:rFonts w:ascii="Arial" w:hAnsi="Arial" w:cs="Arial" w:hint="cs"/>
                        <w:color w:val="000000"/>
                        <w:sz w:val="16"/>
                        <w:szCs w:val="16"/>
                        <w:rtl/>
                        <w:lang w:bidi="ar-EG"/>
                      </w:rPr>
                      <w:t>نوي</w:t>
                    </w:r>
                  </w:p>
                </w:txbxContent>
              </v:textbox>
            </v:rect>
            <v:rect id="_x0000_s2548" style="position:absolute;left:6672;top:4878;width:768;height:400" filled="f" stroked="f">
              <v:textbox style="mso-next-textbox:#_x0000_s2548;mso-fit-shape-to-text:t" inset="0,0,0,0">
                <w:txbxContent>
                  <w:p w:rsidR="00F93B21" w:rsidRDefault="00F93B21" w:rsidP="00D12C6C">
                    <w:pPr>
                      <w:rPr>
                        <w:rFonts w:hint="cs"/>
                        <w:lang w:bidi="ar-EG"/>
                      </w:rPr>
                    </w:pPr>
                    <w:r>
                      <w:rPr>
                        <w:rFonts w:ascii="Arial" w:hAnsi="Arial" w:cs="Arial" w:hint="cs"/>
                        <w:color w:val="000000"/>
                        <w:sz w:val="16"/>
                        <w:szCs w:val="16"/>
                        <w:rtl/>
                        <w:lang w:bidi="ar-EG"/>
                      </w:rPr>
                      <w:t>نوي لاكيتا</w:t>
                    </w:r>
                  </w:p>
                </w:txbxContent>
              </v:textbox>
            </v:rect>
            <v:rect id="_x0000_s2549" style="position:absolute;left:7551;top:4878;width:310;height:800;mso-wrap-style:none" filled="f" stroked="f">
              <v:textbox style="mso-next-textbox:#_x0000_s2549;mso-fit-shape-to-text:t" inset="0,0,0,0">
                <w:txbxContent>
                  <w:p w:rsidR="00F93B21" w:rsidRDefault="00F93B21" w:rsidP="00D12C6C">
                    <w:pPr>
                      <w:rPr>
                        <w:rFonts w:hint="cs"/>
                        <w:lang w:bidi="ar-EG"/>
                      </w:rPr>
                    </w:pPr>
                    <w:r>
                      <w:rPr>
                        <w:rFonts w:ascii="Arial" w:hAnsi="Arial" w:cs="Arial" w:hint="cs"/>
                        <w:color w:val="000000"/>
                        <w:sz w:val="16"/>
                        <w:szCs w:val="16"/>
                        <w:rtl/>
                        <w:lang w:bidi="ar-EG"/>
                      </w:rPr>
                      <w:t>نيوتار</w:t>
                    </w:r>
                  </w:p>
                </w:txbxContent>
              </v:textbox>
            </v:rect>
            <v:rect id="_x0000_s2550" style="position:absolute;left:4000;top:5400;width:788;height:360" filled="f" stroked="f">
              <v:textbox style="mso-next-textbox:#_x0000_s2550" inset="0,0,0,0">
                <w:txbxContent>
                  <w:p w:rsidR="00F93B21" w:rsidRDefault="00F93B21" w:rsidP="00C051AB">
                    <w:pPr>
                      <w:spacing w:line="260" w:lineRule="exact"/>
                      <w:rPr>
                        <w:rFonts w:hint="cs"/>
                        <w:lang w:bidi="ar-EG"/>
                      </w:rPr>
                    </w:pPr>
                    <w:r>
                      <w:rPr>
                        <w:rFonts w:ascii="Arial" w:hAnsi="Arial" w:cs="Arial" w:hint="cs"/>
                        <w:color w:val="000000"/>
                        <w:sz w:val="16"/>
                        <w:szCs w:val="16"/>
                        <w:rtl/>
                        <w:lang w:bidi="ar-EG"/>
                      </w:rPr>
                      <w:t>الجزيرة الأم</w:t>
                    </w:r>
                  </w:p>
                </w:txbxContent>
              </v:textbox>
            </v:rect>
            <v:rect id="_x0000_s2551" style="position:absolute;left:1934;top:1173;width:480;height:1134;rotation:270;mso-wrap-style:none" filled="f" stroked="f">
              <v:textbox style="mso-next-textbox:#_x0000_s2551" inset="0,0,0,0">
                <w:txbxContent>
                  <w:p w:rsidR="00F93B21" w:rsidRDefault="00F93B21" w:rsidP="00D12C6C">
                    <w:pPr>
                      <w:rPr>
                        <w:rFonts w:hint="cs"/>
                        <w:lang w:bidi="ar-EG"/>
                      </w:rPr>
                    </w:pPr>
                    <w:r>
                      <w:rPr>
                        <w:rFonts w:ascii="Arial" w:hAnsi="Arial" w:cs="Arial" w:hint="cs"/>
                        <w:color w:val="000000"/>
                        <w:sz w:val="16"/>
                        <w:szCs w:val="16"/>
                        <w:rtl/>
                        <w:lang w:bidi="ar-EG"/>
                      </w:rPr>
                      <w:t>عدد الطلاب الملتحقين</w:t>
                    </w:r>
                  </w:p>
                </w:txbxContent>
              </v:textbox>
            </v:rect>
            <v:rect id="_x0000_s2552" style="position:absolute;left:6400;top:5280;width:712;height:530" strokeweight="0"/>
            <v:rect id="_x0000_s2553" style="position:absolute;left:6449;top:5296;width:83;height:84" fillcolor="#99f" strokeweight=".7pt"/>
            <v:rect id="_x0000_s2555" style="position:absolute;left:6449;top:5561;width:83;height:84" fillcolor="#936" strokeweight=".7pt"/>
            <v:rect id="_x0000_s2558" style="position:absolute;left:6597;top:5336;width:407;height:400" filled="f" stroked="f">
              <v:textbox style="mso-next-textbox:#_x0000_s2558;mso-fit-shape-to-text:t" inset="0,0,0,0">
                <w:txbxContent>
                  <w:p w:rsidR="00F93B21" w:rsidRDefault="00F93B21" w:rsidP="00C051AB">
                    <w:pPr>
                      <w:spacing w:line="200" w:lineRule="exact"/>
                      <w:rPr>
                        <w:rFonts w:hint="cs"/>
                        <w:lang w:bidi="ar-EG"/>
                      </w:rPr>
                    </w:pPr>
                    <w:r>
                      <w:rPr>
                        <w:rFonts w:ascii="Arial" w:hAnsi="Arial" w:cs="Arial" w:hint="cs"/>
                        <w:color w:val="000000"/>
                        <w:sz w:val="16"/>
                        <w:szCs w:val="16"/>
                        <w:rtl/>
                        <w:lang w:bidi="ar-EG"/>
                      </w:rPr>
                      <w:t>ذكور</w:t>
                    </w:r>
                    <w:r>
                      <w:rPr>
                        <w:rFonts w:ascii="Arial" w:hAnsi="Arial" w:cs="Arial"/>
                        <w:color w:val="000000"/>
                        <w:sz w:val="16"/>
                        <w:szCs w:val="16"/>
                        <w:rtl/>
                        <w:lang w:bidi="ar-EG"/>
                      </w:rPr>
                      <w:br/>
                    </w:r>
                    <w:r>
                      <w:rPr>
                        <w:rFonts w:ascii="Arial" w:hAnsi="Arial" w:cs="Arial" w:hint="cs"/>
                        <w:color w:val="000000"/>
                        <w:sz w:val="16"/>
                        <w:szCs w:val="16"/>
                        <w:rtl/>
                        <w:lang w:bidi="ar-EG"/>
                      </w:rPr>
                      <w:t>إناث</w:t>
                    </w:r>
                  </w:p>
                </w:txbxContent>
              </v:textbox>
            </v:rect>
            <v:rect id="_x0000_s2557" style="position:absolute;left:78;top:70;width:8486;height:5770" filled="f" strokeweight=".7pt"/>
            <w10:anchorlock/>
          </v:group>
        </w:pict>
      </w:r>
    </w:p>
    <w:p w:rsidR="0058501F" w:rsidRPr="003105C2" w:rsidRDefault="0001015C" w:rsidP="00C7252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sz w:val="28"/>
          <w:szCs w:val="28"/>
          <w:rtl/>
        </w:rPr>
        <w:tab/>
      </w:r>
      <w:r w:rsidR="00D12C6C" w:rsidRPr="003105C2">
        <w:rPr>
          <w:rFonts w:hint="cs"/>
          <w:sz w:val="26"/>
          <w:rtl/>
        </w:rPr>
        <w:t>المصدر</w:t>
      </w:r>
      <w:r w:rsidR="003105C2">
        <w:rPr>
          <w:rFonts w:hint="cs"/>
          <w:sz w:val="26"/>
          <w:rtl/>
        </w:rPr>
        <w:t>:</w:t>
      </w:r>
      <w:r w:rsidR="00D12C6C" w:rsidRPr="003105C2">
        <w:rPr>
          <w:rFonts w:hint="cs"/>
          <w:rtl/>
        </w:rPr>
        <w:t xml:space="preserve"> </w:t>
      </w:r>
      <w:r w:rsidR="00C72525" w:rsidRPr="00C72525">
        <w:rPr>
          <w:rFonts w:hint="cs"/>
          <w:rtl/>
        </w:rPr>
        <w:t xml:space="preserve">مأخوذة من الجدول 19 (إدارة التعليم </w:t>
      </w:r>
      <w:r w:rsidR="00C72525">
        <w:rPr>
          <w:rFonts w:hint="cs"/>
          <w:rtl/>
        </w:rPr>
        <w:t>-</w:t>
      </w:r>
      <w:r w:rsidR="00C72525" w:rsidRPr="00C72525">
        <w:rPr>
          <w:rFonts w:hint="cs"/>
          <w:rtl/>
        </w:rPr>
        <w:t xml:space="preserve"> بيانات لم تنشر)</w:t>
      </w:r>
      <w:r w:rsidR="003105C2">
        <w:rPr>
          <w:rFonts w:hint="cs"/>
          <w:rtl/>
        </w:rPr>
        <w:t>.</w:t>
      </w:r>
    </w:p>
    <w:p w:rsidR="003105C2" w:rsidRPr="003105C2" w:rsidRDefault="003105C2" w:rsidP="003105C2">
      <w:pPr>
        <w:spacing w:line="120" w:lineRule="exact"/>
        <w:rPr>
          <w:rFonts w:hint="cs"/>
          <w:sz w:val="10"/>
          <w:szCs w:val="32"/>
          <w:rtl/>
        </w:rPr>
      </w:pPr>
    </w:p>
    <w:p w:rsidR="00C72525" w:rsidRPr="00C72525" w:rsidRDefault="00C72525" w:rsidP="00C72525">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C72525">
        <w:rPr>
          <w:rFonts w:hint="cs"/>
          <w:rtl/>
        </w:rPr>
        <w:tab/>
      </w:r>
      <w:r w:rsidRPr="00C72525">
        <w:rPr>
          <w:rFonts w:hint="cs"/>
          <w:rtl/>
        </w:rPr>
        <w:tab/>
      </w:r>
      <w:r>
        <w:rPr>
          <w:rFonts w:hint="cs"/>
          <w:rtl/>
        </w:rPr>
        <w:t>المدارس الابتدائية</w:t>
      </w:r>
    </w:p>
    <w:p w:rsidR="0058501F" w:rsidRDefault="0058501F" w:rsidP="003105C2">
      <w:pPr>
        <w:pStyle w:val="SingleTxt"/>
        <w:rPr>
          <w:rFonts w:hint="cs"/>
          <w:rtl/>
        </w:rPr>
      </w:pPr>
      <w:r>
        <w:rPr>
          <w:rFonts w:hint="cs"/>
          <w:rtl/>
        </w:rPr>
        <w:tab/>
        <w:t>توجد 9 مدارس تديرها الحكومة، حيث توجد مدرسة في كل جزيرة، وتوجد مدرسة ابتدائية خاصة واحدة في توفالو. والمدرسة الابتدائية غير الحكومية مدرسة تابعة للكنيسة المجيئية السبتية وموجودة في جزيرة فونافوتي.</w:t>
      </w:r>
    </w:p>
    <w:p w:rsidR="0058501F" w:rsidRDefault="003105C2" w:rsidP="0058501F">
      <w:pPr>
        <w:rPr>
          <w:rFonts w:hint="cs"/>
          <w:sz w:val="32"/>
          <w:szCs w:val="32"/>
          <w:rtl/>
        </w:rPr>
      </w:pPr>
      <w:r>
        <w:rPr>
          <w:sz w:val="32"/>
          <w:szCs w:val="32"/>
          <w:rtl/>
        </w:rPr>
        <w:br w:type="page"/>
      </w:r>
    </w:p>
    <w:p w:rsidR="0058501F" w:rsidRDefault="0058501F" w:rsidP="0058501F">
      <w:pPr>
        <w:jc w:val="center"/>
        <w:rPr>
          <w:rFonts w:hint="cs"/>
          <w:b/>
          <w:bCs/>
          <w:sz w:val="28"/>
          <w:szCs w:val="28"/>
          <w:rtl/>
        </w:rPr>
      </w:pPr>
      <w:r w:rsidRPr="001265F2">
        <w:rPr>
          <w:rFonts w:hint="cs"/>
          <w:b/>
          <w:bCs/>
          <w:sz w:val="28"/>
          <w:szCs w:val="28"/>
          <w:rtl/>
        </w:rPr>
        <w:t>الجدول 17: عدد الطلاب الملتحقين بالمدارس الابتدائية موزعين حسب نوع الجنس والسنة</w:t>
      </w:r>
    </w:p>
    <w:tbl>
      <w:tblPr>
        <w:tblStyle w:val="TableGrid"/>
        <w:bidiVisual/>
        <w:tblW w:w="0" w:type="auto"/>
        <w:jc w:val="center"/>
        <w:tblLayout w:type="fixed"/>
        <w:tblLook w:val="01E0" w:firstRow="1" w:lastRow="1" w:firstColumn="1" w:lastColumn="1" w:noHBand="0" w:noVBand="0"/>
      </w:tblPr>
      <w:tblGrid>
        <w:gridCol w:w="1440"/>
        <w:gridCol w:w="792"/>
        <w:gridCol w:w="792"/>
        <w:gridCol w:w="792"/>
        <w:gridCol w:w="792"/>
        <w:gridCol w:w="792"/>
        <w:gridCol w:w="792"/>
        <w:gridCol w:w="792"/>
        <w:gridCol w:w="792"/>
        <w:gridCol w:w="792"/>
      </w:tblGrid>
      <w:tr w:rsidR="0058501F" w:rsidRPr="00257756">
        <w:trPr>
          <w:jc w:val="center"/>
        </w:trPr>
        <w:tc>
          <w:tcPr>
            <w:tcW w:w="1440" w:type="dxa"/>
          </w:tcPr>
          <w:p w:rsidR="0058501F" w:rsidRPr="00257756" w:rsidRDefault="0058501F" w:rsidP="0058501F">
            <w:pPr>
              <w:jc w:val="center"/>
              <w:rPr>
                <w:rFonts w:cs="Traditional Arabic" w:hint="cs"/>
                <w:sz w:val="28"/>
                <w:szCs w:val="28"/>
                <w:rtl/>
              </w:rPr>
            </w:pPr>
          </w:p>
        </w:tc>
        <w:tc>
          <w:tcPr>
            <w:tcW w:w="2376" w:type="dxa"/>
            <w:gridSpan w:val="3"/>
          </w:tcPr>
          <w:p w:rsidR="0058501F" w:rsidRPr="009C1ED9" w:rsidRDefault="0058501F" w:rsidP="0058501F">
            <w:pPr>
              <w:jc w:val="center"/>
              <w:rPr>
                <w:rFonts w:cs="Traditional Arabic" w:hint="cs"/>
                <w:b/>
                <w:bCs/>
                <w:sz w:val="28"/>
                <w:szCs w:val="28"/>
                <w:rtl/>
              </w:rPr>
            </w:pPr>
            <w:r w:rsidRPr="009C1ED9">
              <w:rPr>
                <w:rFonts w:cs="Traditional Arabic" w:hint="cs"/>
                <w:b/>
                <w:bCs/>
                <w:sz w:val="28"/>
                <w:szCs w:val="28"/>
                <w:rtl/>
              </w:rPr>
              <w:t>2000</w:t>
            </w:r>
          </w:p>
        </w:tc>
        <w:tc>
          <w:tcPr>
            <w:tcW w:w="2376" w:type="dxa"/>
            <w:gridSpan w:val="3"/>
          </w:tcPr>
          <w:p w:rsidR="0058501F" w:rsidRPr="009C1ED9" w:rsidRDefault="0058501F" w:rsidP="0058501F">
            <w:pPr>
              <w:jc w:val="center"/>
              <w:rPr>
                <w:rFonts w:cs="Traditional Arabic" w:hint="cs"/>
                <w:b/>
                <w:bCs/>
                <w:sz w:val="28"/>
                <w:szCs w:val="28"/>
                <w:rtl/>
              </w:rPr>
            </w:pPr>
            <w:r w:rsidRPr="009C1ED9">
              <w:rPr>
                <w:rFonts w:cs="Traditional Arabic" w:hint="cs"/>
                <w:b/>
                <w:bCs/>
                <w:sz w:val="28"/>
                <w:szCs w:val="28"/>
                <w:rtl/>
              </w:rPr>
              <w:t>2001</w:t>
            </w:r>
          </w:p>
        </w:tc>
        <w:tc>
          <w:tcPr>
            <w:tcW w:w="2376" w:type="dxa"/>
            <w:gridSpan w:val="3"/>
          </w:tcPr>
          <w:p w:rsidR="0058501F" w:rsidRPr="009C1ED9" w:rsidRDefault="0058501F" w:rsidP="0058501F">
            <w:pPr>
              <w:jc w:val="center"/>
              <w:rPr>
                <w:rFonts w:cs="Traditional Arabic" w:hint="cs"/>
                <w:b/>
                <w:bCs/>
                <w:sz w:val="28"/>
                <w:szCs w:val="28"/>
                <w:rtl/>
              </w:rPr>
            </w:pPr>
            <w:r w:rsidRPr="009C1ED9">
              <w:rPr>
                <w:rFonts w:cs="Traditional Arabic" w:hint="cs"/>
                <w:b/>
                <w:bCs/>
                <w:sz w:val="28"/>
                <w:szCs w:val="28"/>
                <w:rtl/>
              </w:rPr>
              <w:t>2002</w:t>
            </w:r>
          </w:p>
        </w:tc>
      </w:tr>
      <w:tr w:rsidR="0058501F" w:rsidRPr="00257756">
        <w:trPr>
          <w:jc w:val="center"/>
        </w:trPr>
        <w:tc>
          <w:tcPr>
            <w:tcW w:w="1440" w:type="dxa"/>
          </w:tcPr>
          <w:p w:rsidR="0058501F" w:rsidRPr="00C5796A" w:rsidRDefault="0058501F" w:rsidP="0058501F">
            <w:pPr>
              <w:jc w:val="center"/>
              <w:rPr>
                <w:rFonts w:cs="Traditional Arabic" w:hint="cs"/>
                <w:b/>
                <w:bCs/>
                <w:sz w:val="28"/>
                <w:szCs w:val="28"/>
                <w:rtl/>
              </w:rPr>
            </w:pPr>
            <w:r w:rsidRPr="00C5796A">
              <w:rPr>
                <w:rFonts w:cs="Traditional Arabic" w:hint="cs"/>
                <w:b/>
                <w:bCs/>
                <w:sz w:val="28"/>
                <w:szCs w:val="28"/>
                <w:rtl/>
              </w:rPr>
              <w:t>المدرسة</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 xml:space="preserve">ذكر </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58501F" w:rsidRPr="00257756" w:rsidRDefault="0058501F" w:rsidP="0058501F">
            <w:pPr>
              <w:jc w:val="center"/>
              <w:rPr>
                <w:rFonts w:cs="Traditional Arabic" w:hint="cs"/>
                <w:b/>
                <w:bCs/>
                <w:sz w:val="28"/>
                <w:szCs w:val="28"/>
                <w:rtl/>
              </w:rPr>
            </w:pPr>
            <w:r>
              <w:rPr>
                <w:rFonts w:cs="Traditional Arabic" w:hint="cs"/>
                <w:b/>
                <w:bCs/>
                <w:sz w:val="28"/>
                <w:szCs w:val="28"/>
                <w:rtl/>
              </w:rPr>
              <w:t>ط/م*</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 xml:space="preserve">ذكر </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58501F" w:rsidRPr="00257756" w:rsidRDefault="0058501F" w:rsidP="0058501F">
            <w:pPr>
              <w:jc w:val="center"/>
              <w:rPr>
                <w:rFonts w:cs="Traditional Arabic" w:hint="cs"/>
                <w:b/>
                <w:bCs/>
                <w:sz w:val="28"/>
                <w:szCs w:val="28"/>
                <w:rtl/>
              </w:rPr>
            </w:pPr>
            <w:r>
              <w:rPr>
                <w:rFonts w:cs="Traditional Arabic" w:hint="cs"/>
                <w:b/>
                <w:bCs/>
                <w:sz w:val="28"/>
                <w:szCs w:val="28"/>
                <w:rtl/>
              </w:rPr>
              <w:t>ط/م*</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 xml:space="preserve">ذكر </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58501F" w:rsidRPr="00257756" w:rsidRDefault="0058501F" w:rsidP="0058501F">
            <w:pPr>
              <w:jc w:val="center"/>
              <w:rPr>
                <w:rFonts w:cs="Traditional Arabic" w:hint="cs"/>
                <w:b/>
                <w:bCs/>
                <w:sz w:val="28"/>
                <w:szCs w:val="28"/>
                <w:rtl/>
              </w:rPr>
            </w:pPr>
            <w:r>
              <w:rPr>
                <w:rFonts w:cs="Traditional Arabic" w:hint="cs"/>
                <w:b/>
                <w:bCs/>
                <w:sz w:val="28"/>
                <w:szCs w:val="28"/>
                <w:rtl/>
              </w:rPr>
              <w:t>ط/م*</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نانوميا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93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نانوم</w:t>
            </w:r>
            <w:r>
              <w:rPr>
                <w:rFonts w:cs="Traditional Arabic" w:hint="cs"/>
                <w:sz w:val="28"/>
                <w:szCs w:val="28"/>
                <w:rtl/>
              </w:rPr>
              <w:t>ا</w:t>
            </w:r>
            <w:r w:rsidRPr="00135052">
              <w:rPr>
                <w:rFonts w:cs="Traditional Arabic" w:hint="cs"/>
                <w:sz w:val="28"/>
                <w:szCs w:val="28"/>
                <w:rtl/>
              </w:rPr>
              <w:t>نغا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15</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Pr>
                <w:rFonts w:cs="Traditional Arabic" w:hint="cs"/>
                <w:sz w:val="28"/>
                <w:szCs w:val="28"/>
                <w:rtl/>
              </w:rPr>
              <w:t>نيوتاو</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Pr>
                <w:rFonts w:cs="Traditional Arabic" w:hint="cs"/>
                <w:sz w:val="28"/>
                <w:szCs w:val="28"/>
                <w:rtl/>
              </w:rPr>
              <w:t>نوي</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فايتوبو</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132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23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116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132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Pr>
                <w:rFonts w:cs="Traditional Arabic" w:hint="cs"/>
                <w:sz w:val="28"/>
                <w:szCs w:val="28"/>
                <w:rtl/>
              </w:rPr>
              <w:t>نوكوفيتاو</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r>
      <w:tr w:rsidR="0058501F" w:rsidRPr="00257756">
        <w:trPr>
          <w:jc w:val="center"/>
        </w:trPr>
        <w:tc>
          <w:tcPr>
            <w:tcW w:w="1440" w:type="dxa"/>
          </w:tcPr>
          <w:p w:rsidR="0058501F" w:rsidRDefault="0058501F" w:rsidP="0058501F">
            <w:pPr>
              <w:rPr>
                <w:rFonts w:cs="Traditional Arabic" w:hint="cs"/>
                <w:sz w:val="28"/>
                <w:szCs w:val="28"/>
                <w:rtl/>
              </w:rPr>
            </w:pPr>
            <w:r>
              <w:rPr>
                <w:rFonts w:cs="Traditional Arabic" w:hint="cs"/>
                <w:sz w:val="28"/>
                <w:szCs w:val="28"/>
                <w:rtl/>
              </w:rPr>
              <w:t>فونافوتي</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387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345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22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352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330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20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306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317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نوكولالا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نيولاكيتا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w:t>
            </w:r>
          </w:p>
        </w:tc>
      </w:tr>
      <w:tr w:rsidR="0058501F" w:rsidRPr="00257756">
        <w:trPr>
          <w:jc w:val="center"/>
        </w:trPr>
        <w:tc>
          <w:tcPr>
            <w:tcW w:w="1440" w:type="dxa"/>
          </w:tcPr>
          <w:p w:rsidR="0058501F" w:rsidRPr="00C70A2E" w:rsidRDefault="0058501F" w:rsidP="0058501F">
            <w:pPr>
              <w:rPr>
                <w:rFonts w:cs="Traditional Arabic" w:hint="cs"/>
                <w:b/>
                <w:bCs/>
                <w:sz w:val="28"/>
                <w:szCs w:val="28"/>
                <w:rtl/>
              </w:rPr>
            </w:pPr>
            <w:r w:rsidRPr="00C70A2E">
              <w:rPr>
                <w:rFonts w:cs="Traditional Arabic" w:hint="cs"/>
                <w:b/>
                <w:bCs/>
                <w:sz w:val="28"/>
                <w:szCs w:val="28"/>
                <w:rtl/>
              </w:rPr>
              <w:t>المجموع</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1055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885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945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853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846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815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17</w:t>
            </w:r>
          </w:p>
        </w:tc>
      </w:tr>
    </w:tbl>
    <w:p w:rsidR="003105C2" w:rsidRPr="003105C2" w:rsidRDefault="003105C2" w:rsidP="003105C2">
      <w:pPr>
        <w:spacing w:line="120" w:lineRule="exact"/>
        <w:rPr>
          <w:rFonts w:hint="cs"/>
          <w:sz w:val="10"/>
          <w:szCs w:val="32"/>
          <w:rtl/>
        </w:rPr>
      </w:pPr>
    </w:p>
    <w:p w:rsidR="0058501F" w:rsidRDefault="0058501F" w:rsidP="0058501F">
      <w:pPr>
        <w:jc w:val="center"/>
        <w:rPr>
          <w:rFonts w:hint="cs"/>
          <w:b/>
          <w:bCs/>
          <w:sz w:val="28"/>
          <w:szCs w:val="28"/>
          <w:rtl/>
        </w:rPr>
      </w:pPr>
      <w:r w:rsidRPr="001265F2">
        <w:rPr>
          <w:rFonts w:hint="cs"/>
          <w:b/>
          <w:bCs/>
          <w:sz w:val="28"/>
          <w:szCs w:val="28"/>
          <w:rtl/>
        </w:rPr>
        <w:t>الجدول 17: عدد الطلاب الملتحقين بالمدارس الابتدائية موزعين حسب نوع الجنس والسنة</w:t>
      </w:r>
      <w:r>
        <w:rPr>
          <w:rFonts w:hint="cs"/>
          <w:b/>
          <w:bCs/>
          <w:sz w:val="28"/>
          <w:szCs w:val="28"/>
          <w:rtl/>
        </w:rPr>
        <w:t xml:space="preserve"> (تابع)</w:t>
      </w:r>
    </w:p>
    <w:p w:rsidR="003105C2" w:rsidRPr="003105C2" w:rsidRDefault="003105C2" w:rsidP="003105C2">
      <w:pPr>
        <w:spacing w:line="120" w:lineRule="exact"/>
        <w:jc w:val="center"/>
        <w:rPr>
          <w:rFonts w:hint="cs"/>
          <w:b/>
          <w:bCs/>
          <w:sz w:val="10"/>
          <w:szCs w:val="28"/>
          <w:rtl/>
        </w:rPr>
      </w:pPr>
    </w:p>
    <w:tbl>
      <w:tblPr>
        <w:tblStyle w:val="TableGrid"/>
        <w:bidiVisual/>
        <w:tblW w:w="8640" w:type="dxa"/>
        <w:jc w:val="center"/>
        <w:tblLayout w:type="fixed"/>
        <w:tblLook w:val="01E0" w:firstRow="1" w:lastRow="1" w:firstColumn="1" w:lastColumn="1" w:noHBand="0" w:noVBand="0"/>
      </w:tblPr>
      <w:tblGrid>
        <w:gridCol w:w="2010"/>
        <w:gridCol w:w="1105"/>
        <w:gridCol w:w="1105"/>
        <w:gridCol w:w="1105"/>
        <w:gridCol w:w="1105"/>
        <w:gridCol w:w="1105"/>
        <w:gridCol w:w="1105"/>
      </w:tblGrid>
      <w:tr w:rsidR="0058501F" w:rsidRPr="00257756">
        <w:trPr>
          <w:jc w:val="center"/>
        </w:trPr>
        <w:tc>
          <w:tcPr>
            <w:tcW w:w="1440" w:type="dxa"/>
          </w:tcPr>
          <w:p w:rsidR="0058501F" w:rsidRPr="00257756" w:rsidRDefault="0058501F" w:rsidP="0058501F">
            <w:pPr>
              <w:jc w:val="center"/>
              <w:rPr>
                <w:rFonts w:cs="Traditional Arabic" w:hint="cs"/>
                <w:sz w:val="28"/>
                <w:szCs w:val="28"/>
                <w:rtl/>
              </w:rPr>
            </w:pPr>
          </w:p>
        </w:tc>
        <w:tc>
          <w:tcPr>
            <w:tcW w:w="2376" w:type="dxa"/>
            <w:gridSpan w:val="3"/>
          </w:tcPr>
          <w:p w:rsidR="0058501F" w:rsidRPr="00257756" w:rsidRDefault="0058501F" w:rsidP="0058501F">
            <w:pPr>
              <w:jc w:val="center"/>
              <w:rPr>
                <w:rFonts w:cs="Traditional Arabic" w:hint="cs"/>
                <w:sz w:val="28"/>
                <w:szCs w:val="28"/>
                <w:rtl/>
              </w:rPr>
            </w:pPr>
            <w:r>
              <w:rPr>
                <w:rFonts w:cs="Traditional Arabic" w:hint="cs"/>
                <w:sz w:val="28"/>
                <w:szCs w:val="28"/>
                <w:rtl/>
              </w:rPr>
              <w:t>2003</w:t>
            </w:r>
          </w:p>
        </w:tc>
        <w:tc>
          <w:tcPr>
            <w:tcW w:w="2376" w:type="dxa"/>
            <w:gridSpan w:val="3"/>
          </w:tcPr>
          <w:p w:rsidR="0058501F" w:rsidRPr="00257756" w:rsidRDefault="0058501F" w:rsidP="0058501F">
            <w:pPr>
              <w:jc w:val="center"/>
              <w:rPr>
                <w:rFonts w:cs="Traditional Arabic" w:hint="cs"/>
                <w:sz w:val="28"/>
                <w:szCs w:val="28"/>
                <w:rtl/>
              </w:rPr>
            </w:pPr>
            <w:r>
              <w:rPr>
                <w:rFonts w:cs="Traditional Arabic" w:hint="cs"/>
                <w:sz w:val="28"/>
                <w:szCs w:val="28"/>
                <w:rtl/>
              </w:rPr>
              <w:t>2004</w:t>
            </w:r>
          </w:p>
        </w:tc>
      </w:tr>
      <w:tr w:rsidR="0058501F" w:rsidRPr="00257756">
        <w:trPr>
          <w:jc w:val="center"/>
        </w:trPr>
        <w:tc>
          <w:tcPr>
            <w:tcW w:w="1440" w:type="dxa"/>
          </w:tcPr>
          <w:p w:rsidR="0058501F" w:rsidRPr="00C5796A" w:rsidRDefault="0058501F" w:rsidP="0058501F">
            <w:pPr>
              <w:jc w:val="center"/>
              <w:rPr>
                <w:rFonts w:cs="Traditional Arabic" w:hint="cs"/>
                <w:b/>
                <w:bCs/>
                <w:sz w:val="28"/>
                <w:szCs w:val="28"/>
                <w:rtl/>
              </w:rPr>
            </w:pPr>
            <w:r w:rsidRPr="00C5796A">
              <w:rPr>
                <w:rFonts w:cs="Traditional Arabic" w:hint="cs"/>
                <w:b/>
                <w:bCs/>
                <w:sz w:val="28"/>
                <w:szCs w:val="28"/>
                <w:rtl/>
              </w:rPr>
              <w:t>المدرسة</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 xml:space="preserve">ذكر </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58501F" w:rsidRPr="00257756" w:rsidRDefault="0058501F" w:rsidP="0058501F">
            <w:pPr>
              <w:jc w:val="center"/>
              <w:rPr>
                <w:rFonts w:cs="Traditional Arabic" w:hint="cs"/>
                <w:b/>
                <w:bCs/>
                <w:sz w:val="28"/>
                <w:szCs w:val="28"/>
                <w:rtl/>
              </w:rPr>
            </w:pPr>
            <w:r>
              <w:rPr>
                <w:rFonts w:cs="Traditional Arabic" w:hint="cs"/>
                <w:b/>
                <w:bCs/>
                <w:sz w:val="28"/>
                <w:szCs w:val="28"/>
                <w:rtl/>
              </w:rPr>
              <w:t>ط/م*</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 xml:space="preserve">ذكر </w:t>
            </w:r>
          </w:p>
        </w:tc>
        <w:tc>
          <w:tcPr>
            <w:tcW w:w="792" w:type="dxa"/>
          </w:tcPr>
          <w:p w:rsidR="0058501F" w:rsidRPr="00257756" w:rsidRDefault="0058501F" w:rsidP="0058501F">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58501F" w:rsidRPr="00257756" w:rsidRDefault="0058501F" w:rsidP="0058501F">
            <w:pPr>
              <w:jc w:val="center"/>
              <w:rPr>
                <w:rFonts w:cs="Traditional Arabic" w:hint="cs"/>
                <w:b/>
                <w:bCs/>
                <w:sz w:val="28"/>
                <w:szCs w:val="28"/>
                <w:rtl/>
              </w:rPr>
            </w:pPr>
            <w:r>
              <w:rPr>
                <w:rFonts w:cs="Traditional Arabic" w:hint="cs"/>
                <w:b/>
                <w:bCs/>
                <w:sz w:val="28"/>
                <w:szCs w:val="28"/>
                <w:rtl/>
              </w:rPr>
              <w:t>ط/م*</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نانوميا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نانومانغا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Pr>
                <w:rFonts w:cs="Traditional Arabic" w:hint="cs"/>
                <w:sz w:val="28"/>
                <w:szCs w:val="28"/>
                <w:rtl/>
              </w:rPr>
              <w:t>نيوتاو</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17</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Pr>
                <w:rFonts w:cs="Traditional Arabic" w:hint="cs"/>
                <w:sz w:val="28"/>
                <w:szCs w:val="28"/>
                <w:rtl/>
              </w:rPr>
              <w:t>نوي</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16</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فايتوبو</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116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118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130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21</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Pr>
                <w:rFonts w:cs="Traditional Arabic" w:hint="cs"/>
                <w:sz w:val="28"/>
                <w:szCs w:val="28"/>
                <w:rtl/>
              </w:rPr>
              <w:t>نوكوفيتاو</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69</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19</w:t>
            </w:r>
          </w:p>
        </w:tc>
      </w:tr>
      <w:tr w:rsidR="0058501F" w:rsidRPr="00257756">
        <w:trPr>
          <w:jc w:val="center"/>
        </w:trPr>
        <w:tc>
          <w:tcPr>
            <w:tcW w:w="1440" w:type="dxa"/>
          </w:tcPr>
          <w:p w:rsidR="0058501F" w:rsidRDefault="0058501F" w:rsidP="0058501F">
            <w:pPr>
              <w:rPr>
                <w:rFonts w:cs="Traditional Arabic" w:hint="cs"/>
                <w:sz w:val="28"/>
                <w:szCs w:val="28"/>
                <w:rtl/>
              </w:rPr>
            </w:pPr>
            <w:r>
              <w:rPr>
                <w:rFonts w:cs="Traditional Arabic" w:hint="cs"/>
                <w:sz w:val="28"/>
                <w:szCs w:val="28"/>
                <w:rtl/>
              </w:rPr>
              <w:t>فونافوتي</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394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353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21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393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391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22</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نوكولالا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40</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w:t>
            </w:r>
          </w:p>
        </w:tc>
      </w:tr>
      <w:tr w:rsidR="0058501F" w:rsidRPr="00257756">
        <w:trPr>
          <w:jc w:val="center"/>
        </w:trPr>
        <w:tc>
          <w:tcPr>
            <w:tcW w:w="1440" w:type="dxa"/>
          </w:tcPr>
          <w:p w:rsidR="0058501F" w:rsidRPr="00135052" w:rsidRDefault="0058501F" w:rsidP="0058501F">
            <w:pPr>
              <w:rPr>
                <w:rFonts w:cs="Traditional Arabic" w:hint="cs"/>
                <w:sz w:val="28"/>
                <w:szCs w:val="28"/>
                <w:rtl/>
              </w:rPr>
            </w:pPr>
            <w:r w:rsidRPr="00135052">
              <w:rPr>
                <w:rFonts w:cs="Traditional Arabic" w:hint="cs"/>
                <w:sz w:val="28"/>
                <w:szCs w:val="28"/>
                <w:rtl/>
              </w:rPr>
              <w:t>نيولاكيتا</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7</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5</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3</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4</w:t>
            </w:r>
          </w:p>
        </w:tc>
      </w:tr>
      <w:tr w:rsidR="0058501F" w:rsidRPr="00257756">
        <w:trPr>
          <w:jc w:val="center"/>
        </w:trPr>
        <w:tc>
          <w:tcPr>
            <w:tcW w:w="1440" w:type="dxa"/>
          </w:tcPr>
          <w:p w:rsidR="0058501F" w:rsidRPr="00C70A2E" w:rsidRDefault="0058501F" w:rsidP="0058501F">
            <w:pPr>
              <w:rPr>
                <w:rFonts w:cs="Traditional Arabic" w:hint="cs"/>
                <w:b/>
                <w:bCs/>
                <w:sz w:val="28"/>
                <w:szCs w:val="28"/>
                <w:rtl/>
              </w:rPr>
            </w:pPr>
            <w:r w:rsidRPr="00C70A2E">
              <w:rPr>
                <w:rFonts w:cs="Traditional Arabic" w:hint="cs"/>
                <w:b/>
                <w:bCs/>
                <w:sz w:val="28"/>
                <w:szCs w:val="28"/>
                <w:rtl/>
              </w:rPr>
              <w:t>المجموع</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996</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914</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1002</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961</w:t>
            </w:r>
          </w:p>
        </w:tc>
        <w:tc>
          <w:tcPr>
            <w:tcW w:w="792" w:type="dxa"/>
          </w:tcPr>
          <w:p w:rsidR="0058501F" w:rsidRPr="00257756" w:rsidRDefault="0058501F" w:rsidP="0058501F">
            <w:pPr>
              <w:jc w:val="center"/>
              <w:rPr>
                <w:rFonts w:cs="Traditional Arabic" w:hint="cs"/>
                <w:sz w:val="28"/>
                <w:szCs w:val="28"/>
                <w:rtl/>
              </w:rPr>
            </w:pPr>
            <w:r>
              <w:rPr>
                <w:rFonts w:cs="Traditional Arabic" w:hint="cs"/>
                <w:sz w:val="28"/>
                <w:szCs w:val="28"/>
                <w:rtl/>
              </w:rPr>
              <w:t>18</w:t>
            </w:r>
          </w:p>
        </w:tc>
      </w:tr>
    </w:tbl>
    <w:p w:rsidR="0058501F" w:rsidRPr="00084D51" w:rsidRDefault="0058501F" w:rsidP="0058501F">
      <w:pPr>
        <w:ind w:left="1080" w:firstLine="360"/>
        <w:rPr>
          <w:rFonts w:hint="cs"/>
          <w:sz w:val="26"/>
          <w:szCs w:val="26"/>
          <w:rtl/>
        </w:rPr>
      </w:pPr>
      <w:r w:rsidRPr="00084D51">
        <w:rPr>
          <w:rFonts w:hint="cs"/>
          <w:sz w:val="26"/>
          <w:szCs w:val="26"/>
          <w:rtl/>
        </w:rPr>
        <w:t xml:space="preserve">* </w:t>
      </w:r>
      <w:r w:rsidRPr="00084D51">
        <w:rPr>
          <w:rFonts w:hint="cs"/>
          <w:b/>
          <w:bCs/>
          <w:sz w:val="26"/>
          <w:szCs w:val="26"/>
          <w:rtl/>
        </w:rPr>
        <w:t>ط/م*</w:t>
      </w:r>
      <w:r w:rsidRPr="00084D51">
        <w:rPr>
          <w:rFonts w:hint="cs"/>
          <w:sz w:val="26"/>
          <w:szCs w:val="26"/>
          <w:rtl/>
        </w:rPr>
        <w:t xml:space="preserve"> تعني عدد الطلاب لكل معلم.</w:t>
      </w:r>
    </w:p>
    <w:p w:rsidR="0058501F" w:rsidRPr="00084D51" w:rsidRDefault="0058501F" w:rsidP="0058501F">
      <w:pPr>
        <w:ind w:left="720" w:firstLine="360"/>
        <w:rPr>
          <w:rFonts w:hint="cs"/>
          <w:sz w:val="30"/>
          <w:rtl/>
        </w:rPr>
      </w:pPr>
      <w:r w:rsidRPr="00084D51">
        <w:rPr>
          <w:rFonts w:hint="cs"/>
          <w:sz w:val="26"/>
          <w:szCs w:val="26"/>
          <w:rtl/>
        </w:rPr>
        <w:t>المصدر: دائرة الإحصاءات، البيانات السنوية المستكملة (بيانات لم تنشر).</w:t>
      </w:r>
    </w:p>
    <w:p w:rsidR="0058501F" w:rsidRDefault="003105C2" w:rsidP="00084D51">
      <w:pPr>
        <w:pStyle w:val="SingleTxt"/>
        <w:rPr>
          <w:rFonts w:hint="cs"/>
          <w:rtl/>
        </w:rPr>
      </w:pPr>
      <w:r>
        <w:rPr>
          <w:rFonts w:hint="cs"/>
          <w:rtl/>
        </w:rPr>
        <w:t>10-7</w:t>
      </w:r>
      <w:r>
        <w:rPr>
          <w:rFonts w:hint="cs"/>
          <w:rtl/>
        </w:rPr>
        <w:tab/>
      </w:r>
      <w:r w:rsidR="0058501F">
        <w:rPr>
          <w:rFonts w:hint="cs"/>
          <w:rtl/>
        </w:rPr>
        <w:t>يبين الجدول 17 أن الالتحاق الكلي بالمدارس الابتدائية كان متسقاً بالنسبة للإناث والذكور أثناء الفترة 2000</w:t>
      </w:r>
      <w:r w:rsidR="00084D51">
        <w:rPr>
          <w:rFonts w:hint="cs"/>
          <w:rtl/>
        </w:rPr>
        <w:t>-</w:t>
      </w:r>
      <w:r w:rsidR="0058501F">
        <w:rPr>
          <w:rFonts w:hint="cs"/>
          <w:rtl/>
        </w:rPr>
        <w:t>2004. وبالتمحيص الدقيق للإحصاءات يتبين أن بعض الجزر سجلت التحاق الإناث بأعداد أكبر من الذكور. فعلى سبيل المثال، يتبين أن عدد الإناث اللواتي التحقن بالمدارس في فايتوبو في عام 2001 أكثر من عدد الذكور. وفي جزيرة نوكوفيتاو، كانت توجد ظاهرة مثيرة للاهتمام في عام 2001 وعام 2000، حيث انخفض عدد الذكور وازداد عدد الإناث. وتشمل البيانات المبينة في الجدول 17 عدد الذين أعادوا الصف الثامن.</w:t>
      </w:r>
    </w:p>
    <w:p w:rsidR="0058501F" w:rsidRDefault="003105C2" w:rsidP="003105C2">
      <w:pPr>
        <w:pStyle w:val="SingleTxt"/>
        <w:rPr>
          <w:rFonts w:hint="cs"/>
          <w:rtl/>
        </w:rPr>
      </w:pPr>
      <w:r>
        <w:rPr>
          <w:rFonts w:hint="cs"/>
          <w:rtl/>
        </w:rPr>
        <w:t>10-8</w:t>
      </w:r>
      <w:r>
        <w:rPr>
          <w:rFonts w:hint="cs"/>
          <w:rtl/>
        </w:rPr>
        <w:tab/>
      </w:r>
      <w:r w:rsidR="0058501F">
        <w:rPr>
          <w:rFonts w:hint="cs"/>
          <w:rtl/>
        </w:rPr>
        <w:t>يبين التقرير الإحصائي لعام 2002 أن عدد الأطفال الذين ينتمون لفئة عمرية معينة أو فصل مدرسي في جميع أنحاء البلاد يبلغ في المتوسط نحو 250 طفلاً. بيد أن مجموع الملتحقين في المدارس بلغ 1940 طالباً في عام 2000 و 1963 طالباً في عام 2004، مما يعني أن متوسط عدد الذين ينتمون إلى كل فئة من الفئات الثماني في هاتين السنتين يبلغ في المتوسط نحو 283 طالباً. ومع أن المتوسطات أعلى من أرقام التعداد السكاني، فإن هذا قد يكون ناتجاً عن بقاء الذين يعيدون صفوفهم في المدارس الابتدائية في نهاية الصف الثامن.</w:t>
      </w:r>
    </w:p>
    <w:p w:rsidR="0058501F" w:rsidRDefault="003105C2" w:rsidP="003E7CC2">
      <w:pPr>
        <w:pStyle w:val="SingleTxt"/>
        <w:rPr>
          <w:rFonts w:hint="cs"/>
          <w:rtl/>
        </w:rPr>
      </w:pPr>
      <w:r>
        <w:rPr>
          <w:rFonts w:hint="cs"/>
          <w:rtl/>
        </w:rPr>
        <w:t>10-9</w:t>
      </w:r>
      <w:r>
        <w:rPr>
          <w:rFonts w:hint="cs"/>
          <w:rtl/>
        </w:rPr>
        <w:tab/>
      </w:r>
      <w:r w:rsidR="0058501F">
        <w:rPr>
          <w:rFonts w:hint="cs"/>
          <w:rtl/>
        </w:rPr>
        <w:t>نسبة الفتيات إلى الأولاد في المدارس الابتدائية، المبينة في الجدول 18 أدناه، تبين بوضوح أن عدم تساوي أعداد الملتحقين بالمدارس الابتدائية من الجنسين لا يمثل مشكلة في توفالو. ونسبة الطلاب إلى المعلمبن في توفالو 20 طالباً لكل معلم</w:t>
      </w:r>
      <w:r w:rsidR="003E7CC2" w:rsidRPr="003E7CC2">
        <w:rPr>
          <w:vertAlign w:val="superscript"/>
          <w:rtl/>
        </w:rPr>
        <w:t>(</w:t>
      </w:r>
      <w:r w:rsidR="003E7CC2">
        <w:rPr>
          <w:rStyle w:val="FootnoteReference"/>
          <w:rtl/>
        </w:rPr>
        <w:footnoteReference w:id="89"/>
      </w:r>
      <w:r w:rsidR="003E7CC2" w:rsidRPr="003E7CC2">
        <w:rPr>
          <w:vertAlign w:val="superscript"/>
          <w:rtl/>
        </w:rPr>
        <w:t>)</w:t>
      </w:r>
      <w:r w:rsidR="0058501F">
        <w:rPr>
          <w:rFonts w:hint="cs"/>
          <w:rtl/>
        </w:rPr>
        <w:t>.</w:t>
      </w:r>
    </w:p>
    <w:p w:rsidR="0058501F" w:rsidRDefault="0058501F" w:rsidP="003105C2">
      <w:pPr>
        <w:jc w:val="center"/>
        <w:rPr>
          <w:rFonts w:hint="cs"/>
          <w:b/>
          <w:bCs/>
          <w:sz w:val="28"/>
          <w:szCs w:val="28"/>
          <w:rtl/>
        </w:rPr>
      </w:pPr>
      <w:r w:rsidRPr="004324E0">
        <w:rPr>
          <w:rFonts w:hint="cs"/>
          <w:b/>
          <w:bCs/>
          <w:sz w:val="28"/>
          <w:szCs w:val="28"/>
          <w:rtl/>
        </w:rPr>
        <w:t>الجدول 18: الالتحاق بالمدارس الابتدائية،</w:t>
      </w:r>
      <w:r>
        <w:rPr>
          <w:rFonts w:hint="cs"/>
          <w:b/>
          <w:bCs/>
          <w:sz w:val="28"/>
          <w:szCs w:val="28"/>
          <w:rtl/>
        </w:rPr>
        <w:t xml:space="preserve"> ونسبة الطلاب إلى</w:t>
      </w:r>
      <w:r w:rsidRPr="004324E0">
        <w:rPr>
          <w:rFonts w:hint="cs"/>
          <w:b/>
          <w:bCs/>
          <w:sz w:val="28"/>
          <w:szCs w:val="28"/>
          <w:rtl/>
        </w:rPr>
        <w:t xml:space="preserve"> المعلم</w:t>
      </w:r>
      <w:r>
        <w:rPr>
          <w:rFonts w:hint="cs"/>
          <w:b/>
          <w:bCs/>
          <w:sz w:val="28"/>
          <w:szCs w:val="28"/>
          <w:rtl/>
        </w:rPr>
        <w:t>ي</w:t>
      </w:r>
      <w:r w:rsidRPr="004324E0">
        <w:rPr>
          <w:rFonts w:hint="cs"/>
          <w:b/>
          <w:bCs/>
          <w:sz w:val="28"/>
          <w:szCs w:val="28"/>
          <w:rtl/>
        </w:rPr>
        <w:t>ن</w:t>
      </w:r>
      <w:r>
        <w:rPr>
          <w:rFonts w:hint="cs"/>
          <w:b/>
          <w:bCs/>
          <w:sz w:val="28"/>
          <w:szCs w:val="28"/>
          <w:rtl/>
        </w:rPr>
        <w:t>، 1991 - 2004</w:t>
      </w:r>
    </w:p>
    <w:p w:rsidR="0058501F" w:rsidRPr="004324E0" w:rsidRDefault="0058501F" w:rsidP="0058501F">
      <w:pPr>
        <w:ind w:left="360"/>
        <w:jc w:val="center"/>
        <w:rPr>
          <w:rFonts w:hint="cs"/>
          <w:b/>
          <w:bCs/>
          <w:sz w:val="28"/>
          <w:szCs w:val="28"/>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008"/>
        <w:gridCol w:w="816"/>
        <w:gridCol w:w="720"/>
        <w:gridCol w:w="844"/>
        <w:gridCol w:w="2160"/>
        <w:gridCol w:w="895"/>
        <w:gridCol w:w="2169"/>
      </w:tblGrid>
      <w:tr w:rsidR="0058501F" w:rsidRPr="003105C2">
        <w:trPr>
          <w:cantSplit/>
          <w:tblHeader/>
          <w:jc w:val="center"/>
        </w:trPr>
        <w:tc>
          <w:tcPr>
            <w:tcW w:w="1008"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jc w:val="center"/>
              <w:rPr>
                <w:rFonts w:cs="Traditional Arabic" w:hint="cs"/>
                <w:b/>
                <w:bCs/>
                <w:i/>
                <w:iCs/>
                <w:sz w:val="16"/>
                <w:szCs w:val="24"/>
                <w:rtl/>
              </w:rPr>
            </w:pPr>
            <w:r w:rsidRPr="003105C2">
              <w:rPr>
                <w:rFonts w:cs="Traditional Arabic" w:hint="cs"/>
                <w:b/>
                <w:bCs/>
                <w:i/>
                <w:iCs/>
                <w:sz w:val="16"/>
                <w:szCs w:val="24"/>
                <w:rtl/>
              </w:rPr>
              <w:t>السنة</w:t>
            </w:r>
          </w:p>
        </w:tc>
        <w:tc>
          <w:tcPr>
            <w:tcW w:w="748"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ind w:right="144"/>
              <w:jc w:val="lowKashida"/>
              <w:rPr>
                <w:rFonts w:cs="Traditional Arabic" w:hint="cs"/>
                <w:b/>
                <w:bCs/>
                <w:i/>
                <w:iCs/>
                <w:sz w:val="16"/>
                <w:szCs w:val="24"/>
                <w:rtl/>
              </w:rPr>
            </w:pPr>
            <w:r w:rsidRPr="003105C2">
              <w:rPr>
                <w:rFonts w:cs="Traditional Arabic" w:hint="cs"/>
                <w:b/>
                <w:bCs/>
                <w:i/>
                <w:iCs/>
                <w:sz w:val="16"/>
                <w:szCs w:val="24"/>
                <w:rtl/>
              </w:rPr>
              <w:t>ذكور</w:t>
            </w:r>
          </w:p>
        </w:tc>
        <w:tc>
          <w:tcPr>
            <w:tcW w:w="720"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ind w:right="144"/>
              <w:jc w:val="lowKashida"/>
              <w:rPr>
                <w:rFonts w:cs="Traditional Arabic" w:hint="cs"/>
                <w:b/>
                <w:bCs/>
                <w:i/>
                <w:iCs/>
                <w:sz w:val="16"/>
                <w:szCs w:val="24"/>
                <w:rtl/>
              </w:rPr>
            </w:pPr>
            <w:r w:rsidRPr="003105C2">
              <w:rPr>
                <w:rFonts w:cs="Traditional Arabic" w:hint="cs"/>
                <w:b/>
                <w:bCs/>
                <w:i/>
                <w:iCs/>
                <w:sz w:val="16"/>
                <w:szCs w:val="24"/>
                <w:rtl/>
              </w:rPr>
              <w:t>إناث</w:t>
            </w:r>
          </w:p>
        </w:tc>
        <w:tc>
          <w:tcPr>
            <w:tcW w:w="780"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ind w:right="144"/>
              <w:jc w:val="lowKashida"/>
              <w:rPr>
                <w:rFonts w:cs="Traditional Arabic" w:hint="cs"/>
                <w:b/>
                <w:bCs/>
                <w:i/>
                <w:iCs/>
                <w:sz w:val="16"/>
                <w:szCs w:val="24"/>
                <w:rtl/>
              </w:rPr>
            </w:pPr>
            <w:r w:rsidRPr="003105C2">
              <w:rPr>
                <w:rFonts w:cs="Traditional Arabic" w:hint="cs"/>
                <w:b/>
                <w:bCs/>
                <w:i/>
                <w:iCs/>
                <w:sz w:val="16"/>
                <w:szCs w:val="24"/>
                <w:rtl/>
              </w:rPr>
              <w:t>المجموع</w:t>
            </w:r>
          </w:p>
        </w:tc>
        <w:tc>
          <w:tcPr>
            <w:tcW w:w="2160"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ind w:right="144"/>
              <w:jc w:val="lowKashida"/>
              <w:rPr>
                <w:rFonts w:cs="Traditional Arabic" w:hint="cs"/>
                <w:b/>
                <w:bCs/>
                <w:i/>
                <w:iCs/>
                <w:sz w:val="16"/>
                <w:szCs w:val="24"/>
                <w:rtl/>
              </w:rPr>
            </w:pPr>
            <w:r w:rsidRPr="003105C2">
              <w:rPr>
                <w:rFonts w:cs="Traditional Arabic" w:hint="cs"/>
                <w:b/>
                <w:bCs/>
                <w:i/>
                <w:iCs/>
                <w:sz w:val="16"/>
                <w:szCs w:val="24"/>
                <w:rtl/>
              </w:rPr>
              <w:t>نسبة البنات إلى الأولاد</w:t>
            </w:r>
          </w:p>
        </w:tc>
        <w:tc>
          <w:tcPr>
            <w:tcW w:w="864"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ind w:right="144"/>
              <w:jc w:val="lowKashida"/>
              <w:rPr>
                <w:rFonts w:cs="Traditional Arabic" w:hint="cs"/>
                <w:b/>
                <w:bCs/>
                <w:i/>
                <w:iCs/>
                <w:sz w:val="16"/>
                <w:szCs w:val="24"/>
                <w:rtl/>
              </w:rPr>
            </w:pPr>
            <w:r w:rsidRPr="003105C2">
              <w:rPr>
                <w:rFonts w:cs="Traditional Arabic" w:hint="cs"/>
                <w:b/>
                <w:bCs/>
                <w:i/>
                <w:iCs/>
                <w:sz w:val="16"/>
                <w:szCs w:val="24"/>
                <w:rtl/>
              </w:rPr>
              <w:t>المعلمون</w:t>
            </w:r>
          </w:p>
        </w:tc>
        <w:tc>
          <w:tcPr>
            <w:tcW w:w="2169" w:type="dxa"/>
            <w:tcBorders>
              <w:top w:val="single" w:sz="4" w:space="0" w:color="auto"/>
              <w:bottom w:val="single" w:sz="12" w:space="0" w:color="auto"/>
            </w:tcBorders>
            <w:shd w:val="clear" w:color="auto" w:fill="auto"/>
            <w:vAlign w:val="bottom"/>
          </w:tcPr>
          <w:p w:rsidR="0058501F" w:rsidRPr="003105C2" w:rsidRDefault="0058501F" w:rsidP="003105C2">
            <w:pPr>
              <w:spacing w:before="80" w:after="80" w:line="240" w:lineRule="exact"/>
              <w:ind w:right="144"/>
              <w:jc w:val="lowKashida"/>
              <w:rPr>
                <w:rFonts w:cs="Traditional Arabic" w:hint="cs"/>
                <w:b/>
                <w:bCs/>
                <w:i/>
                <w:iCs/>
                <w:sz w:val="16"/>
                <w:szCs w:val="24"/>
                <w:rtl/>
              </w:rPr>
            </w:pPr>
            <w:r w:rsidRPr="003105C2">
              <w:rPr>
                <w:rFonts w:cs="Traditional Arabic" w:hint="cs"/>
                <w:b/>
                <w:bCs/>
                <w:i/>
                <w:iCs/>
                <w:sz w:val="16"/>
                <w:szCs w:val="24"/>
                <w:rtl/>
              </w:rPr>
              <w:t>نسبة الطلاب/معلم</w:t>
            </w:r>
          </w:p>
        </w:tc>
      </w:tr>
      <w:tr w:rsidR="003105C2" w:rsidRPr="003105C2">
        <w:trPr>
          <w:cantSplit/>
          <w:trHeight w:hRule="exact" w:val="115"/>
          <w:tblHeader/>
          <w:jc w:val="center"/>
        </w:trPr>
        <w:tc>
          <w:tcPr>
            <w:tcW w:w="1008" w:type="dxa"/>
            <w:tcBorders>
              <w:top w:val="single" w:sz="12" w:space="0" w:color="auto"/>
            </w:tcBorders>
            <w:shd w:val="clear" w:color="auto" w:fill="auto"/>
            <w:vAlign w:val="bottom"/>
          </w:tcPr>
          <w:p w:rsidR="003105C2" w:rsidRPr="003105C2" w:rsidRDefault="003105C2" w:rsidP="003105C2">
            <w:pPr>
              <w:spacing w:before="40" w:after="80" w:line="240" w:lineRule="exact"/>
              <w:rPr>
                <w:rFonts w:hint="cs"/>
                <w:sz w:val="16"/>
                <w:szCs w:val="24"/>
                <w:rtl/>
              </w:rPr>
            </w:pPr>
          </w:p>
        </w:tc>
        <w:tc>
          <w:tcPr>
            <w:tcW w:w="748" w:type="dxa"/>
            <w:tcBorders>
              <w:top w:val="single" w:sz="12" w:space="0" w:color="auto"/>
            </w:tcBorders>
            <w:shd w:val="clear" w:color="auto" w:fill="auto"/>
            <w:vAlign w:val="bottom"/>
          </w:tcPr>
          <w:p w:rsidR="003105C2" w:rsidRPr="003105C2" w:rsidRDefault="003105C2" w:rsidP="003105C2">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3105C2" w:rsidRPr="003105C2" w:rsidRDefault="003105C2" w:rsidP="003105C2">
            <w:pPr>
              <w:spacing w:before="40" w:after="80" w:line="240" w:lineRule="exact"/>
              <w:ind w:right="144"/>
              <w:jc w:val="lowKashida"/>
              <w:rPr>
                <w:rFonts w:hint="cs"/>
                <w:sz w:val="16"/>
                <w:szCs w:val="24"/>
                <w:rtl/>
              </w:rPr>
            </w:pPr>
          </w:p>
        </w:tc>
        <w:tc>
          <w:tcPr>
            <w:tcW w:w="780" w:type="dxa"/>
            <w:tcBorders>
              <w:top w:val="single" w:sz="12" w:space="0" w:color="auto"/>
            </w:tcBorders>
            <w:shd w:val="clear" w:color="auto" w:fill="auto"/>
            <w:vAlign w:val="bottom"/>
          </w:tcPr>
          <w:p w:rsidR="003105C2" w:rsidRPr="003105C2" w:rsidRDefault="003105C2" w:rsidP="003105C2">
            <w:pPr>
              <w:spacing w:before="40" w:after="80" w:line="240" w:lineRule="exact"/>
              <w:ind w:right="144"/>
              <w:jc w:val="lowKashida"/>
              <w:rPr>
                <w:rFonts w:hint="cs"/>
                <w:sz w:val="16"/>
                <w:szCs w:val="24"/>
                <w:rtl/>
              </w:rPr>
            </w:pPr>
          </w:p>
        </w:tc>
        <w:tc>
          <w:tcPr>
            <w:tcW w:w="2160" w:type="dxa"/>
            <w:tcBorders>
              <w:top w:val="single" w:sz="12" w:space="0" w:color="auto"/>
            </w:tcBorders>
            <w:shd w:val="clear" w:color="auto" w:fill="auto"/>
            <w:vAlign w:val="bottom"/>
          </w:tcPr>
          <w:p w:rsidR="003105C2" w:rsidRPr="003105C2" w:rsidRDefault="003105C2" w:rsidP="003105C2">
            <w:pPr>
              <w:spacing w:before="40" w:after="80" w:line="240" w:lineRule="exact"/>
              <w:ind w:right="144"/>
              <w:jc w:val="lowKashida"/>
              <w:rPr>
                <w:rFonts w:hint="cs"/>
                <w:sz w:val="16"/>
                <w:szCs w:val="24"/>
                <w:rtl/>
              </w:rPr>
            </w:pPr>
          </w:p>
        </w:tc>
        <w:tc>
          <w:tcPr>
            <w:tcW w:w="864" w:type="dxa"/>
            <w:tcBorders>
              <w:top w:val="single" w:sz="12" w:space="0" w:color="auto"/>
            </w:tcBorders>
            <w:shd w:val="clear" w:color="auto" w:fill="auto"/>
            <w:vAlign w:val="bottom"/>
          </w:tcPr>
          <w:p w:rsidR="003105C2" w:rsidRPr="003105C2" w:rsidRDefault="003105C2" w:rsidP="003105C2">
            <w:pPr>
              <w:spacing w:before="40" w:after="80" w:line="240" w:lineRule="exact"/>
              <w:ind w:right="144"/>
              <w:jc w:val="lowKashida"/>
              <w:rPr>
                <w:rFonts w:hint="cs"/>
                <w:sz w:val="16"/>
                <w:szCs w:val="24"/>
                <w:rtl/>
              </w:rPr>
            </w:pPr>
          </w:p>
        </w:tc>
        <w:tc>
          <w:tcPr>
            <w:tcW w:w="2169" w:type="dxa"/>
            <w:tcBorders>
              <w:top w:val="single" w:sz="12" w:space="0" w:color="auto"/>
            </w:tcBorders>
            <w:shd w:val="clear" w:color="auto" w:fill="auto"/>
            <w:vAlign w:val="bottom"/>
          </w:tcPr>
          <w:p w:rsidR="003105C2" w:rsidRPr="003105C2" w:rsidRDefault="003105C2" w:rsidP="003105C2">
            <w:pPr>
              <w:spacing w:before="40" w:after="80" w:line="240" w:lineRule="exact"/>
              <w:ind w:right="144"/>
              <w:jc w:val="lowKashida"/>
              <w:rPr>
                <w:rFonts w:hint="cs"/>
                <w:sz w:val="16"/>
                <w:szCs w:val="24"/>
                <w:rtl/>
              </w:rPr>
            </w:pP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1991</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781</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702</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1483</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0.90</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66</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22.5</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1992</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731</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685</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1416</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0.94</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62</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22.8</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1993</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854</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794</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1648</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0.93</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73</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22.6</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1994</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879</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767</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1646</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0.87</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72</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22.9</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1995</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940</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769</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1709</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0.82</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60</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28.5</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1996</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938</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747</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1685</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0.80</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59</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28.6</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1997</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957</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786</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1743</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0.82</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78</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22.3</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1998</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975</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846</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1821</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0.87</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90</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20.2</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1999</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955</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784</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1739</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0.82</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92</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18.9</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2000</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1055</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885</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1940</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0.84</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20.6</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2001</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945</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853</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1798</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0.90</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19.1</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2002</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846</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795</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1641</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0.94</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17.5</w:t>
            </w:r>
          </w:p>
        </w:tc>
      </w:tr>
      <w:tr w:rsidR="0058501F" w:rsidRPr="003105C2">
        <w:trPr>
          <w:cantSplit/>
          <w:jc w:val="center"/>
        </w:trPr>
        <w:tc>
          <w:tcPr>
            <w:tcW w:w="1008" w:type="dxa"/>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2003</w:t>
            </w:r>
          </w:p>
        </w:tc>
        <w:tc>
          <w:tcPr>
            <w:tcW w:w="748"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945</w:t>
            </w:r>
          </w:p>
        </w:tc>
        <w:tc>
          <w:tcPr>
            <w:tcW w:w="72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914</w:t>
            </w:r>
          </w:p>
        </w:tc>
        <w:tc>
          <w:tcPr>
            <w:tcW w:w="78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1859</w:t>
            </w:r>
          </w:p>
        </w:tc>
        <w:tc>
          <w:tcPr>
            <w:tcW w:w="2160"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0.97</w:t>
            </w:r>
          </w:p>
        </w:tc>
        <w:tc>
          <w:tcPr>
            <w:tcW w:w="864"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w:t>
            </w:r>
          </w:p>
        </w:tc>
        <w:tc>
          <w:tcPr>
            <w:tcW w:w="2169" w:type="dxa"/>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19.8</w:t>
            </w:r>
          </w:p>
        </w:tc>
      </w:tr>
      <w:tr w:rsidR="0058501F" w:rsidRPr="003105C2">
        <w:trPr>
          <w:cantSplit/>
          <w:jc w:val="center"/>
        </w:trPr>
        <w:tc>
          <w:tcPr>
            <w:tcW w:w="1008" w:type="dxa"/>
            <w:tcBorders>
              <w:bottom w:val="single" w:sz="12" w:space="0" w:color="auto"/>
            </w:tcBorders>
            <w:shd w:val="clear" w:color="auto" w:fill="auto"/>
            <w:vAlign w:val="bottom"/>
          </w:tcPr>
          <w:p w:rsidR="0058501F" w:rsidRPr="003105C2" w:rsidRDefault="0058501F" w:rsidP="003105C2">
            <w:pPr>
              <w:spacing w:before="40" w:after="80" w:line="240" w:lineRule="exact"/>
              <w:rPr>
                <w:rFonts w:cs="Traditional Arabic" w:hint="cs"/>
                <w:sz w:val="16"/>
                <w:szCs w:val="24"/>
                <w:rtl/>
              </w:rPr>
            </w:pPr>
            <w:r w:rsidRPr="003105C2">
              <w:rPr>
                <w:rFonts w:cs="Traditional Arabic" w:hint="cs"/>
                <w:sz w:val="16"/>
                <w:szCs w:val="24"/>
                <w:rtl/>
              </w:rPr>
              <w:t>2004</w:t>
            </w:r>
          </w:p>
        </w:tc>
        <w:tc>
          <w:tcPr>
            <w:tcW w:w="748" w:type="dxa"/>
            <w:tcBorders>
              <w:bottom w:val="single" w:sz="12" w:space="0" w:color="auto"/>
            </w:tcBorders>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964</w:t>
            </w:r>
          </w:p>
        </w:tc>
        <w:tc>
          <w:tcPr>
            <w:tcW w:w="720" w:type="dxa"/>
            <w:tcBorders>
              <w:bottom w:val="single" w:sz="12" w:space="0" w:color="auto"/>
            </w:tcBorders>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929</w:t>
            </w:r>
          </w:p>
        </w:tc>
        <w:tc>
          <w:tcPr>
            <w:tcW w:w="780" w:type="dxa"/>
            <w:tcBorders>
              <w:bottom w:val="single" w:sz="12" w:space="0" w:color="auto"/>
            </w:tcBorders>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1893</w:t>
            </w:r>
          </w:p>
        </w:tc>
        <w:tc>
          <w:tcPr>
            <w:tcW w:w="2160" w:type="dxa"/>
            <w:tcBorders>
              <w:bottom w:val="single" w:sz="12" w:space="0" w:color="auto"/>
            </w:tcBorders>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0.96</w:t>
            </w:r>
          </w:p>
        </w:tc>
        <w:tc>
          <w:tcPr>
            <w:tcW w:w="864" w:type="dxa"/>
            <w:tcBorders>
              <w:bottom w:val="single" w:sz="12" w:space="0" w:color="auto"/>
            </w:tcBorders>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94</w:t>
            </w:r>
          </w:p>
        </w:tc>
        <w:tc>
          <w:tcPr>
            <w:tcW w:w="2169" w:type="dxa"/>
            <w:tcBorders>
              <w:bottom w:val="single" w:sz="12" w:space="0" w:color="auto"/>
            </w:tcBorders>
            <w:shd w:val="clear" w:color="auto" w:fill="auto"/>
            <w:vAlign w:val="bottom"/>
          </w:tcPr>
          <w:p w:rsidR="0058501F" w:rsidRPr="003105C2" w:rsidRDefault="0058501F" w:rsidP="003105C2">
            <w:pPr>
              <w:spacing w:before="40" w:after="80" w:line="240" w:lineRule="exact"/>
              <w:ind w:right="144"/>
              <w:jc w:val="lowKashida"/>
              <w:rPr>
                <w:rFonts w:cs="Traditional Arabic" w:hint="cs"/>
                <w:sz w:val="16"/>
                <w:szCs w:val="24"/>
                <w:rtl/>
              </w:rPr>
            </w:pPr>
            <w:r w:rsidRPr="003105C2">
              <w:rPr>
                <w:rFonts w:cs="Traditional Arabic" w:hint="cs"/>
                <w:sz w:val="16"/>
                <w:szCs w:val="24"/>
                <w:rtl/>
              </w:rPr>
              <w:t>20.1</w:t>
            </w:r>
          </w:p>
        </w:tc>
      </w:tr>
    </w:tbl>
    <w:p w:rsidR="0058501F" w:rsidRPr="003E7CC2" w:rsidRDefault="0058501F" w:rsidP="003E7CC2">
      <w:pPr>
        <w:jc w:val="center"/>
        <w:rPr>
          <w:rFonts w:hint="cs"/>
          <w:sz w:val="26"/>
          <w:szCs w:val="26"/>
          <w:rtl/>
        </w:rPr>
      </w:pPr>
      <w:r w:rsidRPr="003E7CC2">
        <w:rPr>
          <w:rFonts w:hint="cs"/>
          <w:sz w:val="26"/>
          <w:szCs w:val="26"/>
          <w:rtl/>
        </w:rPr>
        <w:t>المصدر: تقرير الإحصاءات التي تصدره شعبة الإحصاءات المركزية كل ثلاثة شهور، كانون الأول/ديسمبر 2003.</w:t>
      </w:r>
    </w:p>
    <w:p w:rsidR="0058501F" w:rsidRDefault="0058501F" w:rsidP="0058501F">
      <w:pPr>
        <w:rPr>
          <w:rFonts w:hint="cs"/>
          <w:sz w:val="32"/>
          <w:szCs w:val="32"/>
          <w:rtl/>
        </w:rPr>
      </w:pPr>
    </w:p>
    <w:p w:rsidR="0058501F" w:rsidRDefault="0058501F" w:rsidP="003105C2">
      <w:pPr>
        <w:pStyle w:val="SingleTxt"/>
        <w:rPr>
          <w:rFonts w:hint="cs"/>
          <w:rtl/>
        </w:rPr>
      </w:pPr>
      <w:r>
        <w:rPr>
          <w:rFonts w:hint="cs"/>
          <w:rtl/>
        </w:rPr>
        <w:t>10-10</w:t>
      </w:r>
      <w:r w:rsidR="003105C2">
        <w:rPr>
          <w:rFonts w:hint="cs"/>
          <w:rtl/>
        </w:rPr>
        <w:t xml:space="preserve"> </w:t>
      </w:r>
      <w:r w:rsidR="006D5033">
        <w:rPr>
          <w:rFonts w:hint="cs"/>
          <w:rtl/>
        </w:rPr>
        <w:t xml:space="preserve"> </w:t>
      </w:r>
      <w:r>
        <w:rPr>
          <w:rFonts w:hint="cs"/>
          <w:rtl/>
        </w:rPr>
        <w:t>يلخص الجدول 18 الالتحاق بالمدارس الابتدائية في توفالو. وتختلف نسبة الفتيات إلى الأولاد عن مؤشر الإهداف الإنمائية للألفية لأن تعريف المدرسة الابتدائية للأهداف الإنمائية للألفية يشمل الصف السابع فما دون (الصف الثامن مدرج في الجدول 18 ولكنه ليس مدرجاً في مؤشر الأهداف الإنمائية للألفية).</w:t>
      </w:r>
    </w:p>
    <w:p w:rsidR="006D5033" w:rsidRPr="006D5033" w:rsidRDefault="006D5033" w:rsidP="006D5033">
      <w:pPr>
        <w:spacing w:line="120" w:lineRule="exact"/>
        <w:rPr>
          <w:rFonts w:hint="cs"/>
          <w:sz w:val="10"/>
          <w:szCs w:val="32"/>
          <w:rtl/>
        </w:rPr>
      </w:pPr>
    </w:p>
    <w:p w:rsidR="0058501F" w:rsidRPr="006D5033" w:rsidRDefault="006D5033" w:rsidP="006D5033">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Pr>
      </w:pPr>
      <w:r>
        <w:rPr>
          <w:rFonts w:hint="cs"/>
          <w:rtl/>
        </w:rPr>
        <w:tab/>
      </w:r>
      <w:r w:rsidRPr="006D5033">
        <w:rPr>
          <w:rFonts w:hint="cs"/>
          <w:rtl/>
        </w:rPr>
        <w:t>’3‘</w:t>
      </w:r>
      <w:r w:rsidRPr="006D5033">
        <w:rPr>
          <w:rFonts w:hint="cs"/>
          <w:rtl/>
        </w:rPr>
        <w:tab/>
      </w:r>
      <w:r w:rsidR="0058501F" w:rsidRPr="006D5033">
        <w:rPr>
          <w:rFonts w:hint="cs"/>
          <w:rtl/>
        </w:rPr>
        <w:t>الالتحاق بالمدارس الثانوية كمؤشر</w:t>
      </w:r>
    </w:p>
    <w:p w:rsidR="0058501F" w:rsidRDefault="006D5033" w:rsidP="006D5033">
      <w:pPr>
        <w:pStyle w:val="SingleTxt"/>
        <w:rPr>
          <w:rFonts w:hint="cs"/>
          <w:rtl/>
        </w:rPr>
      </w:pPr>
      <w:r>
        <w:rPr>
          <w:rFonts w:hint="cs"/>
          <w:rtl/>
        </w:rPr>
        <w:t>10-11  ت</w:t>
      </w:r>
      <w:r w:rsidR="0058501F">
        <w:rPr>
          <w:rFonts w:hint="cs"/>
          <w:rtl/>
        </w:rPr>
        <w:t>وجد مدرستان ثانويتان فقط في توفالو وتدير الحكومة مدرسة موتوفوا الثانوية الموجودة في جزيرة فايتوبو، وتدير كنيسة إكاليسيا كيليسيانو (</w:t>
      </w:r>
      <w:r w:rsidR="0058501F" w:rsidRPr="00D804D0">
        <w:rPr>
          <w:szCs w:val="20"/>
          <w:lang w:val="es-ES_tradnl" w:eastAsia="en-AU"/>
        </w:rPr>
        <w:t>Ekalesia Kelisiano o Tuvalu</w:t>
      </w:r>
      <w:r w:rsidR="0058501F">
        <w:rPr>
          <w:rFonts w:hint="cs"/>
          <w:szCs w:val="20"/>
          <w:rtl/>
          <w:lang w:val="es-ES_tradnl" w:eastAsia="en-AU"/>
        </w:rPr>
        <w:t xml:space="preserve">) </w:t>
      </w:r>
      <w:r w:rsidR="0058501F">
        <w:rPr>
          <w:rFonts w:hint="cs"/>
          <w:rtl/>
        </w:rPr>
        <w:t>في توفالو مدرسة فيتوفالو الثانوية الموجودة في جزيرة فونافوتي. وكان يوجد في موتوفوا وفي توفالو، كلتيهما، في عام 2006 صفوف من الثالث إلى السادس. ويجلس طلاب موتوفوا لامتحان فيجي للقبول في المرحلة الثانوية الدنيا وهم في الصف الرابع، ولامتحان شهادة توفالو المدرسية وهم في الصف الخامس ولامتحان الشهادة المدرسية العليا في منطقة الهادئ وهم في الصف السادس. وتتبع مدرسة فيتوفالو نظام شهادة الدراسة الثانوية العامة الدولية (الصف 5) والثانوي المتقدم (الصف 6 في عام 2006) والصف 7 مستوى متقدم من كامبردج في المملكة المتحدة منذ عام 2007.</w:t>
      </w:r>
    </w:p>
    <w:p w:rsidR="0058501F" w:rsidRPr="00574921" w:rsidRDefault="006D5033" w:rsidP="006D5033">
      <w:pPr>
        <w:rPr>
          <w:rFonts w:hint="cs"/>
          <w:b/>
          <w:bCs/>
          <w:sz w:val="32"/>
          <w:szCs w:val="32"/>
          <w:rtl/>
        </w:rPr>
      </w:pPr>
      <w:r>
        <w:rPr>
          <w:sz w:val="32"/>
          <w:szCs w:val="32"/>
          <w:rtl/>
        </w:rPr>
        <w:br w:type="page"/>
      </w:r>
      <w:r w:rsidR="003E7CC2">
        <w:rPr>
          <w:rFonts w:hint="cs"/>
          <w:sz w:val="32"/>
          <w:szCs w:val="32"/>
          <w:rtl/>
        </w:rPr>
        <w:tab/>
      </w:r>
      <w:r w:rsidR="0058501F" w:rsidRPr="009D675F">
        <w:rPr>
          <w:rFonts w:hint="cs"/>
          <w:b/>
          <w:bCs/>
          <w:sz w:val="28"/>
          <w:szCs w:val="28"/>
          <w:rtl/>
        </w:rPr>
        <w:t xml:space="preserve">الجدول 19 (أ): </w:t>
      </w:r>
      <w:r w:rsidR="0058501F">
        <w:rPr>
          <w:rFonts w:hint="cs"/>
          <w:b/>
          <w:bCs/>
          <w:sz w:val="28"/>
          <w:szCs w:val="28"/>
          <w:rtl/>
        </w:rPr>
        <w:t>عدد</w:t>
      </w:r>
      <w:r w:rsidR="0058501F" w:rsidRPr="009D675F">
        <w:rPr>
          <w:rFonts w:hint="cs"/>
          <w:b/>
          <w:bCs/>
          <w:sz w:val="28"/>
          <w:szCs w:val="28"/>
          <w:rtl/>
        </w:rPr>
        <w:t xml:space="preserve"> الطلاب</w:t>
      </w:r>
      <w:r w:rsidR="0058501F">
        <w:rPr>
          <w:rFonts w:hint="cs"/>
          <w:b/>
          <w:bCs/>
          <w:sz w:val="28"/>
          <w:szCs w:val="28"/>
          <w:rtl/>
        </w:rPr>
        <w:t xml:space="preserve"> الملتحقين</w:t>
      </w:r>
      <w:r w:rsidR="0058501F" w:rsidRPr="009D675F">
        <w:rPr>
          <w:rFonts w:hint="cs"/>
          <w:b/>
          <w:bCs/>
          <w:sz w:val="28"/>
          <w:szCs w:val="28"/>
          <w:rtl/>
        </w:rPr>
        <w:t xml:space="preserve"> بمدرسة </w:t>
      </w:r>
      <w:r w:rsidR="0058501F" w:rsidRPr="004324E0">
        <w:rPr>
          <w:rFonts w:hint="cs"/>
          <w:b/>
          <w:bCs/>
          <w:sz w:val="28"/>
          <w:szCs w:val="28"/>
          <w:rtl/>
        </w:rPr>
        <w:t xml:space="preserve">موتوفوا </w:t>
      </w:r>
      <w:r w:rsidR="0058501F" w:rsidRPr="009D675F">
        <w:rPr>
          <w:rFonts w:hint="cs"/>
          <w:b/>
          <w:bCs/>
          <w:sz w:val="28"/>
          <w:szCs w:val="28"/>
          <w:rtl/>
        </w:rPr>
        <w:t>الثانوية</w:t>
      </w:r>
      <w:r w:rsidR="0058501F">
        <w:rPr>
          <w:rFonts w:hint="cs"/>
          <w:b/>
          <w:bCs/>
          <w:sz w:val="28"/>
          <w:szCs w:val="28"/>
          <w:rtl/>
        </w:rPr>
        <w:t xml:space="preserve"> موزعين</w:t>
      </w:r>
      <w:r w:rsidR="0058501F" w:rsidRPr="009D675F">
        <w:rPr>
          <w:rFonts w:hint="cs"/>
          <w:b/>
          <w:bCs/>
          <w:sz w:val="28"/>
          <w:szCs w:val="28"/>
          <w:rtl/>
        </w:rPr>
        <w:t xml:space="preserve"> حسب السنة ونوع الجنس والصف </w:t>
      </w:r>
    </w:p>
    <w:p w:rsidR="0058501F" w:rsidRPr="004324E0" w:rsidRDefault="0058501F" w:rsidP="0058501F">
      <w:pPr>
        <w:jc w:val="center"/>
        <w:rPr>
          <w:rFonts w:hint="cs"/>
          <w:b/>
          <w:bCs/>
          <w:sz w:val="28"/>
          <w:szCs w:val="28"/>
          <w:rtl/>
        </w:rPr>
      </w:pPr>
    </w:p>
    <w:tbl>
      <w:tblPr>
        <w:tblStyle w:val="TableGrid"/>
        <w:bidiVisual/>
        <w:tblW w:w="0" w:type="auto"/>
        <w:jc w:val="center"/>
        <w:tblLook w:val="01E0" w:firstRow="1" w:lastRow="1" w:firstColumn="1" w:lastColumn="1" w:noHBand="0" w:noVBand="0"/>
      </w:tblPr>
      <w:tblGrid>
        <w:gridCol w:w="596"/>
        <w:gridCol w:w="532"/>
        <w:gridCol w:w="526"/>
        <w:gridCol w:w="619"/>
        <w:gridCol w:w="533"/>
        <w:gridCol w:w="530"/>
        <w:gridCol w:w="619"/>
        <w:gridCol w:w="533"/>
        <w:gridCol w:w="531"/>
        <w:gridCol w:w="619"/>
        <w:gridCol w:w="533"/>
        <w:gridCol w:w="527"/>
        <w:gridCol w:w="619"/>
        <w:gridCol w:w="533"/>
        <w:gridCol w:w="527"/>
        <w:gridCol w:w="619"/>
      </w:tblGrid>
      <w:tr w:rsidR="0058501F" w:rsidRPr="00574921">
        <w:trPr>
          <w:jc w:val="center"/>
        </w:trPr>
        <w:tc>
          <w:tcPr>
            <w:tcW w:w="586"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w:t>
            </w:r>
          </w:p>
        </w:tc>
        <w:tc>
          <w:tcPr>
            <w:tcW w:w="1651"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الثالث</w:t>
            </w:r>
          </w:p>
        </w:tc>
        <w:tc>
          <w:tcPr>
            <w:tcW w:w="1656"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الرابع</w:t>
            </w:r>
          </w:p>
        </w:tc>
        <w:tc>
          <w:tcPr>
            <w:tcW w:w="1657"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الخامس</w:t>
            </w:r>
          </w:p>
        </w:tc>
        <w:tc>
          <w:tcPr>
            <w:tcW w:w="1653"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السادس</w:t>
            </w:r>
          </w:p>
        </w:tc>
        <w:tc>
          <w:tcPr>
            <w:tcW w:w="1653"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r>
      <w:tr w:rsidR="0058501F" w:rsidRPr="00574921">
        <w:trPr>
          <w:jc w:val="center"/>
        </w:trPr>
        <w:tc>
          <w:tcPr>
            <w:tcW w:w="586"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السنة</w:t>
            </w:r>
          </w:p>
        </w:tc>
        <w:tc>
          <w:tcPr>
            <w:tcW w:w="532"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526"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أثنى</w:t>
            </w:r>
          </w:p>
        </w:tc>
        <w:tc>
          <w:tcPr>
            <w:tcW w:w="59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53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530"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أنثى</w:t>
            </w:r>
          </w:p>
        </w:tc>
        <w:tc>
          <w:tcPr>
            <w:tcW w:w="59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53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53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أنثى</w:t>
            </w:r>
          </w:p>
        </w:tc>
        <w:tc>
          <w:tcPr>
            <w:tcW w:w="59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53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527"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أثنى</w:t>
            </w:r>
          </w:p>
        </w:tc>
        <w:tc>
          <w:tcPr>
            <w:tcW w:w="59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53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527"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أثنى</w:t>
            </w:r>
          </w:p>
        </w:tc>
        <w:tc>
          <w:tcPr>
            <w:tcW w:w="593"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r>
      <w:tr w:rsidR="0058501F" w:rsidRPr="00574921">
        <w:trPr>
          <w:jc w:val="center"/>
        </w:trPr>
        <w:tc>
          <w:tcPr>
            <w:tcW w:w="586" w:type="dxa"/>
          </w:tcPr>
          <w:p w:rsidR="0058501F" w:rsidRPr="00574921" w:rsidRDefault="0058501F" w:rsidP="0058501F">
            <w:pPr>
              <w:rPr>
                <w:rFonts w:cs="Traditional Arabic" w:hint="cs"/>
                <w:szCs w:val="20"/>
                <w:rtl/>
              </w:rPr>
            </w:pPr>
            <w:r>
              <w:rPr>
                <w:rFonts w:cs="Traditional Arabic" w:hint="cs"/>
                <w:szCs w:val="20"/>
                <w:rtl/>
              </w:rPr>
              <w:t>2000</w:t>
            </w:r>
          </w:p>
        </w:tc>
        <w:tc>
          <w:tcPr>
            <w:tcW w:w="532" w:type="dxa"/>
          </w:tcPr>
          <w:p w:rsidR="0058501F" w:rsidRPr="00574921" w:rsidRDefault="0058501F" w:rsidP="0058501F">
            <w:pPr>
              <w:rPr>
                <w:rFonts w:cs="Traditional Arabic" w:hint="cs"/>
                <w:szCs w:val="20"/>
                <w:rtl/>
              </w:rPr>
            </w:pPr>
            <w:r>
              <w:rPr>
                <w:rFonts w:cs="Traditional Arabic" w:hint="cs"/>
                <w:szCs w:val="20"/>
                <w:rtl/>
              </w:rPr>
              <w:t>97</w:t>
            </w:r>
          </w:p>
        </w:tc>
        <w:tc>
          <w:tcPr>
            <w:tcW w:w="526" w:type="dxa"/>
          </w:tcPr>
          <w:p w:rsidR="0058501F" w:rsidRPr="00574921" w:rsidRDefault="0058501F" w:rsidP="0058501F">
            <w:pPr>
              <w:rPr>
                <w:rFonts w:cs="Traditional Arabic" w:hint="cs"/>
                <w:szCs w:val="20"/>
                <w:rtl/>
              </w:rPr>
            </w:pPr>
            <w:r>
              <w:rPr>
                <w:rFonts w:cs="Traditional Arabic" w:hint="cs"/>
                <w:szCs w:val="20"/>
                <w:rtl/>
              </w:rPr>
              <w:t>80</w:t>
            </w:r>
          </w:p>
        </w:tc>
        <w:tc>
          <w:tcPr>
            <w:tcW w:w="593" w:type="dxa"/>
          </w:tcPr>
          <w:p w:rsidR="0058501F" w:rsidRPr="00574921" w:rsidRDefault="0058501F" w:rsidP="0058501F">
            <w:pPr>
              <w:rPr>
                <w:rFonts w:cs="Traditional Arabic" w:hint="cs"/>
                <w:szCs w:val="20"/>
                <w:rtl/>
              </w:rPr>
            </w:pPr>
            <w:r>
              <w:rPr>
                <w:rFonts w:cs="Traditional Arabic" w:hint="cs"/>
                <w:szCs w:val="20"/>
                <w:rtl/>
              </w:rPr>
              <w:t>177</w:t>
            </w:r>
          </w:p>
        </w:tc>
        <w:tc>
          <w:tcPr>
            <w:tcW w:w="533" w:type="dxa"/>
          </w:tcPr>
          <w:p w:rsidR="0058501F" w:rsidRPr="00574921" w:rsidRDefault="0058501F" w:rsidP="0058501F">
            <w:pPr>
              <w:rPr>
                <w:rFonts w:cs="Traditional Arabic" w:hint="cs"/>
                <w:szCs w:val="20"/>
                <w:rtl/>
              </w:rPr>
            </w:pPr>
            <w:r>
              <w:rPr>
                <w:rFonts w:cs="Traditional Arabic" w:hint="cs"/>
                <w:szCs w:val="20"/>
                <w:rtl/>
              </w:rPr>
              <w:t>112</w:t>
            </w:r>
          </w:p>
        </w:tc>
        <w:tc>
          <w:tcPr>
            <w:tcW w:w="530" w:type="dxa"/>
          </w:tcPr>
          <w:p w:rsidR="0058501F" w:rsidRPr="00574921" w:rsidRDefault="0058501F" w:rsidP="0058501F">
            <w:pPr>
              <w:rPr>
                <w:rFonts w:cs="Traditional Arabic" w:hint="cs"/>
                <w:szCs w:val="20"/>
                <w:rtl/>
              </w:rPr>
            </w:pPr>
            <w:r>
              <w:rPr>
                <w:rFonts w:cs="Traditional Arabic" w:hint="cs"/>
                <w:szCs w:val="20"/>
                <w:rtl/>
              </w:rPr>
              <w:t>86</w:t>
            </w:r>
          </w:p>
        </w:tc>
        <w:tc>
          <w:tcPr>
            <w:tcW w:w="593" w:type="dxa"/>
          </w:tcPr>
          <w:p w:rsidR="0058501F" w:rsidRPr="00574921" w:rsidRDefault="0058501F" w:rsidP="0058501F">
            <w:pPr>
              <w:rPr>
                <w:rFonts w:cs="Traditional Arabic" w:hint="cs"/>
                <w:szCs w:val="20"/>
                <w:rtl/>
              </w:rPr>
            </w:pPr>
            <w:r>
              <w:rPr>
                <w:rFonts w:cs="Traditional Arabic" w:hint="cs"/>
                <w:szCs w:val="20"/>
                <w:rtl/>
              </w:rPr>
              <w:t>198</w:t>
            </w:r>
          </w:p>
        </w:tc>
        <w:tc>
          <w:tcPr>
            <w:tcW w:w="533" w:type="dxa"/>
          </w:tcPr>
          <w:p w:rsidR="0058501F" w:rsidRPr="00574921" w:rsidRDefault="0058501F" w:rsidP="0058501F">
            <w:pPr>
              <w:rPr>
                <w:rFonts w:cs="Traditional Arabic" w:hint="cs"/>
                <w:szCs w:val="20"/>
                <w:rtl/>
              </w:rPr>
            </w:pPr>
            <w:r>
              <w:rPr>
                <w:rFonts w:cs="Traditional Arabic" w:hint="cs"/>
                <w:szCs w:val="20"/>
                <w:rtl/>
              </w:rPr>
              <w:t>40</w:t>
            </w:r>
          </w:p>
        </w:tc>
        <w:tc>
          <w:tcPr>
            <w:tcW w:w="531" w:type="dxa"/>
          </w:tcPr>
          <w:p w:rsidR="0058501F" w:rsidRPr="00574921" w:rsidRDefault="0058501F" w:rsidP="0058501F">
            <w:pPr>
              <w:rPr>
                <w:rFonts w:cs="Traditional Arabic" w:hint="cs"/>
                <w:szCs w:val="20"/>
                <w:rtl/>
              </w:rPr>
            </w:pPr>
            <w:r>
              <w:rPr>
                <w:rFonts w:cs="Traditional Arabic" w:hint="cs"/>
                <w:szCs w:val="20"/>
                <w:rtl/>
              </w:rPr>
              <w:t>50</w:t>
            </w:r>
          </w:p>
        </w:tc>
        <w:tc>
          <w:tcPr>
            <w:tcW w:w="593" w:type="dxa"/>
          </w:tcPr>
          <w:p w:rsidR="0058501F" w:rsidRPr="00574921" w:rsidRDefault="0058501F" w:rsidP="0058501F">
            <w:pPr>
              <w:rPr>
                <w:rFonts w:cs="Traditional Arabic" w:hint="cs"/>
                <w:szCs w:val="20"/>
                <w:rtl/>
              </w:rPr>
            </w:pPr>
            <w:r>
              <w:rPr>
                <w:rFonts w:cs="Traditional Arabic" w:hint="cs"/>
                <w:szCs w:val="20"/>
                <w:rtl/>
              </w:rPr>
              <w:t>90</w:t>
            </w:r>
          </w:p>
        </w:tc>
        <w:tc>
          <w:tcPr>
            <w:tcW w:w="533" w:type="dxa"/>
          </w:tcPr>
          <w:p w:rsidR="0058501F" w:rsidRPr="00574921" w:rsidRDefault="0058501F" w:rsidP="0058501F">
            <w:pPr>
              <w:rPr>
                <w:rFonts w:cs="Traditional Arabic" w:hint="cs"/>
                <w:szCs w:val="20"/>
                <w:rtl/>
              </w:rPr>
            </w:pPr>
            <w:r>
              <w:rPr>
                <w:rFonts w:cs="Traditional Arabic" w:hint="cs"/>
                <w:szCs w:val="20"/>
                <w:rtl/>
              </w:rPr>
              <w:t>20</w:t>
            </w:r>
          </w:p>
        </w:tc>
        <w:tc>
          <w:tcPr>
            <w:tcW w:w="527" w:type="dxa"/>
          </w:tcPr>
          <w:p w:rsidR="0058501F" w:rsidRPr="00574921" w:rsidRDefault="0058501F" w:rsidP="0058501F">
            <w:pPr>
              <w:rPr>
                <w:rFonts w:cs="Traditional Arabic" w:hint="cs"/>
                <w:szCs w:val="20"/>
                <w:rtl/>
              </w:rPr>
            </w:pPr>
            <w:r>
              <w:rPr>
                <w:rFonts w:cs="Traditional Arabic" w:hint="cs"/>
                <w:szCs w:val="20"/>
                <w:rtl/>
              </w:rPr>
              <w:t>28</w:t>
            </w:r>
          </w:p>
        </w:tc>
        <w:tc>
          <w:tcPr>
            <w:tcW w:w="593" w:type="dxa"/>
          </w:tcPr>
          <w:p w:rsidR="0058501F" w:rsidRPr="00574921" w:rsidRDefault="0058501F" w:rsidP="0058501F">
            <w:pPr>
              <w:rPr>
                <w:rFonts w:cs="Traditional Arabic" w:hint="cs"/>
                <w:szCs w:val="20"/>
                <w:rtl/>
              </w:rPr>
            </w:pPr>
            <w:r>
              <w:rPr>
                <w:rFonts w:cs="Traditional Arabic" w:hint="cs"/>
                <w:szCs w:val="20"/>
                <w:rtl/>
              </w:rPr>
              <w:t>48</w:t>
            </w:r>
          </w:p>
        </w:tc>
        <w:tc>
          <w:tcPr>
            <w:tcW w:w="533" w:type="dxa"/>
          </w:tcPr>
          <w:p w:rsidR="0058501F" w:rsidRPr="00574921" w:rsidRDefault="0058501F" w:rsidP="0058501F">
            <w:pPr>
              <w:rPr>
                <w:rFonts w:cs="Traditional Arabic" w:hint="cs"/>
                <w:szCs w:val="20"/>
                <w:rtl/>
              </w:rPr>
            </w:pPr>
            <w:r>
              <w:rPr>
                <w:rFonts w:cs="Traditional Arabic" w:hint="cs"/>
                <w:szCs w:val="20"/>
                <w:rtl/>
              </w:rPr>
              <w:t>269</w:t>
            </w:r>
          </w:p>
        </w:tc>
        <w:tc>
          <w:tcPr>
            <w:tcW w:w="527" w:type="dxa"/>
          </w:tcPr>
          <w:p w:rsidR="0058501F" w:rsidRPr="00574921" w:rsidRDefault="0058501F" w:rsidP="0058501F">
            <w:pPr>
              <w:rPr>
                <w:rFonts w:cs="Traditional Arabic" w:hint="cs"/>
                <w:szCs w:val="20"/>
                <w:rtl/>
              </w:rPr>
            </w:pPr>
            <w:r>
              <w:rPr>
                <w:rFonts w:cs="Traditional Arabic" w:hint="cs"/>
                <w:szCs w:val="20"/>
                <w:rtl/>
              </w:rPr>
              <w:t>244</w:t>
            </w:r>
          </w:p>
        </w:tc>
        <w:tc>
          <w:tcPr>
            <w:tcW w:w="593" w:type="dxa"/>
          </w:tcPr>
          <w:p w:rsidR="0058501F" w:rsidRPr="00574921" w:rsidRDefault="0058501F" w:rsidP="0058501F">
            <w:pPr>
              <w:rPr>
                <w:rFonts w:cs="Traditional Arabic" w:hint="cs"/>
                <w:szCs w:val="20"/>
                <w:rtl/>
              </w:rPr>
            </w:pPr>
            <w:r>
              <w:rPr>
                <w:rFonts w:cs="Traditional Arabic" w:hint="cs"/>
                <w:szCs w:val="20"/>
                <w:rtl/>
              </w:rPr>
              <w:t>513</w:t>
            </w:r>
          </w:p>
        </w:tc>
      </w:tr>
      <w:tr w:rsidR="0058501F" w:rsidRPr="00574921">
        <w:trPr>
          <w:jc w:val="center"/>
        </w:trPr>
        <w:tc>
          <w:tcPr>
            <w:tcW w:w="586" w:type="dxa"/>
          </w:tcPr>
          <w:p w:rsidR="0058501F" w:rsidRPr="00574921" w:rsidRDefault="0058501F" w:rsidP="0058501F">
            <w:pPr>
              <w:rPr>
                <w:rFonts w:cs="Traditional Arabic" w:hint="cs"/>
                <w:szCs w:val="20"/>
                <w:rtl/>
              </w:rPr>
            </w:pPr>
            <w:r>
              <w:rPr>
                <w:rFonts w:cs="Traditional Arabic" w:hint="cs"/>
                <w:szCs w:val="20"/>
                <w:rtl/>
              </w:rPr>
              <w:t>2001</w:t>
            </w:r>
          </w:p>
        </w:tc>
        <w:tc>
          <w:tcPr>
            <w:tcW w:w="532" w:type="dxa"/>
          </w:tcPr>
          <w:p w:rsidR="0058501F" w:rsidRPr="00574921" w:rsidRDefault="0058501F" w:rsidP="0058501F">
            <w:pPr>
              <w:rPr>
                <w:rFonts w:cs="Traditional Arabic" w:hint="cs"/>
                <w:szCs w:val="20"/>
                <w:rtl/>
              </w:rPr>
            </w:pPr>
            <w:r>
              <w:rPr>
                <w:rFonts w:cs="Traditional Arabic" w:hint="cs"/>
                <w:szCs w:val="20"/>
                <w:rtl/>
              </w:rPr>
              <w:t>111</w:t>
            </w:r>
          </w:p>
        </w:tc>
        <w:tc>
          <w:tcPr>
            <w:tcW w:w="526" w:type="dxa"/>
          </w:tcPr>
          <w:p w:rsidR="0058501F" w:rsidRPr="00574921" w:rsidRDefault="0058501F" w:rsidP="0058501F">
            <w:pPr>
              <w:rPr>
                <w:rFonts w:cs="Traditional Arabic" w:hint="cs"/>
                <w:szCs w:val="20"/>
                <w:rtl/>
              </w:rPr>
            </w:pPr>
            <w:r>
              <w:rPr>
                <w:rFonts w:cs="Traditional Arabic" w:hint="cs"/>
                <w:szCs w:val="20"/>
                <w:rtl/>
              </w:rPr>
              <w:t>95</w:t>
            </w:r>
          </w:p>
        </w:tc>
        <w:tc>
          <w:tcPr>
            <w:tcW w:w="593" w:type="dxa"/>
          </w:tcPr>
          <w:p w:rsidR="0058501F" w:rsidRPr="00574921" w:rsidRDefault="0058501F" w:rsidP="0058501F">
            <w:pPr>
              <w:rPr>
                <w:rFonts w:cs="Traditional Arabic" w:hint="cs"/>
                <w:szCs w:val="20"/>
                <w:rtl/>
              </w:rPr>
            </w:pPr>
            <w:r>
              <w:rPr>
                <w:rFonts w:cs="Traditional Arabic" w:hint="cs"/>
                <w:szCs w:val="20"/>
                <w:rtl/>
              </w:rPr>
              <w:t>206</w:t>
            </w:r>
          </w:p>
        </w:tc>
        <w:tc>
          <w:tcPr>
            <w:tcW w:w="533" w:type="dxa"/>
          </w:tcPr>
          <w:p w:rsidR="0058501F" w:rsidRPr="00574921" w:rsidRDefault="0058501F" w:rsidP="0058501F">
            <w:pPr>
              <w:rPr>
                <w:rFonts w:cs="Traditional Arabic" w:hint="cs"/>
                <w:szCs w:val="20"/>
                <w:rtl/>
              </w:rPr>
            </w:pPr>
            <w:r>
              <w:rPr>
                <w:rFonts w:cs="Traditional Arabic" w:hint="cs"/>
                <w:szCs w:val="20"/>
                <w:rtl/>
              </w:rPr>
              <w:t>105</w:t>
            </w:r>
          </w:p>
        </w:tc>
        <w:tc>
          <w:tcPr>
            <w:tcW w:w="530" w:type="dxa"/>
          </w:tcPr>
          <w:p w:rsidR="0058501F" w:rsidRPr="00574921" w:rsidRDefault="0058501F" w:rsidP="0058501F">
            <w:pPr>
              <w:rPr>
                <w:rFonts w:cs="Traditional Arabic" w:hint="cs"/>
                <w:szCs w:val="20"/>
                <w:rtl/>
              </w:rPr>
            </w:pPr>
            <w:r>
              <w:rPr>
                <w:rFonts w:cs="Traditional Arabic" w:hint="cs"/>
                <w:szCs w:val="20"/>
                <w:rtl/>
              </w:rPr>
              <w:t>85</w:t>
            </w:r>
          </w:p>
        </w:tc>
        <w:tc>
          <w:tcPr>
            <w:tcW w:w="593" w:type="dxa"/>
          </w:tcPr>
          <w:p w:rsidR="0058501F" w:rsidRPr="00574921" w:rsidRDefault="0058501F" w:rsidP="0058501F">
            <w:pPr>
              <w:rPr>
                <w:rFonts w:cs="Traditional Arabic" w:hint="cs"/>
                <w:szCs w:val="20"/>
                <w:rtl/>
              </w:rPr>
            </w:pPr>
            <w:r>
              <w:rPr>
                <w:rFonts w:cs="Traditional Arabic" w:hint="cs"/>
                <w:szCs w:val="20"/>
                <w:rtl/>
              </w:rPr>
              <w:t>190</w:t>
            </w:r>
          </w:p>
        </w:tc>
        <w:tc>
          <w:tcPr>
            <w:tcW w:w="533" w:type="dxa"/>
          </w:tcPr>
          <w:p w:rsidR="0058501F" w:rsidRPr="00574921" w:rsidRDefault="0058501F" w:rsidP="0058501F">
            <w:pPr>
              <w:rPr>
                <w:rFonts w:cs="Traditional Arabic" w:hint="cs"/>
                <w:szCs w:val="20"/>
                <w:rtl/>
              </w:rPr>
            </w:pPr>
            <w:r>
              <w:rPr>
                <w:rFonts w:cs="Traditional Arabic" w:hint="cs"/>
                <w:szCs w:val="20"/>
                <w:rtl/>
              </w:rPr>
              <w:t>47</w:t>
            </w:r>
          </w:p>
        </w:tc>
        <w:tc>
          <w:tcPr>
            <w:tcW w:w="531" w:type="dxa"/>
          </w:tcPr>
          <w:p w:rsidR="0058501F" w:rsidRPr="00574921" w:rsidRDefault="0058501F" w:rsidP="0058501F">
            <w:pPr>
              <w:rPr>
                <w:rFonts w:cs="Traditional Arabic" w:hint="cs"/>
                <w:szCs w:val="20"/>
                <w:rtl/>
              </w:rPr>
            </w:pPr>
            <w:r>
              <w:rPr>
                <w:rFonts w:cs="Traditional Arabic" w:hint="cs"/>
                <w:szCs w:val="20"/>
                <w:rtl/>
              </w:rPr>
              <w:t>48</w:t>
            </w:r>
          </w:p>
        </w:tc>
        <w:tc>
          <w:tcPr>
            <w:tcW w:w="593" w:type="dxa"/>
          </w:tcPr>
          <w:p w:rsidR="0058501F" w:rsidRPr="00574921" w:rsidRDefault="0058501F" w:rsidP="0058501F">
            <w:pPr>
              <w:rPr>
                <w:rFonts w:cs="Traditional Arabic" w:hint="cs"/>
                <w:szCs w:val="20"/>
                <w:rtl/>
              </w:rPr>
            </w:pPr>
            <w:r>
              <w:rPr>
                <w:rFonts w:cs="Traditional Arabic" w:hint="cs"/>
                <w:szCs w:val="20"/>
                <w:rtl/>
              </w:rPr>
              <w:t>95</w:t>
            </w:r>
          </w:p>
        </w:tc>
        <w:tc>
          <w:tcPr>
            <w:tcW w:w="533" w:type="dxa"/>
          </w:tcPr>
          <w:p w:rsidR="0058501F" w:rsidRPr="00574921" w:rsidRDefault="0058501F" w:rsidP="0058501F">
            <w:pPr>
              <w:rPr>
                <w:rFonts w:cs="Traditional Arabic" w:hint="cs"/>
                <w:szCs w:val="20"/>
                <w:rtl/>
              </w:rPr>
            </w:pPr>
            <w:r>
              <w:rPr>
                <w:rFonts w:cs="Traditional Arabic" w:hint="cs"/>
                <w:szCs w:val="20"/>
                <w:rtl/>
              </w:rPr>
              <w:t>26</w:t>
            </w:r>
          </w:p>
        </w:tc>
        <w:tc>
          <w:tcPr>
            <w:tcW w:w="527" w:type="dxa"/>
          </w:tcPr>
          <w:p w:rsidR="0058501F" w:rsidRPr="00574921" w:rsidRDefault="0058501F" w:rsidP="0058501F">
            <w:pPr>
              <w:rPr>
                <w:rFonts w:cs="Traditional Arabic" w:hint="cs"/>
                <w:szCs w:val="20"/>
                <w:rtl/>
              </w:rPr>
            </w:pPr>
            <w:r>
              <w:rPr>
                <w:rFonts w:cs="Traditional Arabic" w:hint="cs"/>
                <w:szCs w:val="20"/>
                <w:rtl/>
              </w:rPr>
              <w:t>41</w:t>
            </w:r>
          </w:p>
        </w:tc>
        <w:tc>
          <w:tcPr>
            <w:tcW w:w="593" w:type="dxa"/>
          </w:tcPr>
          <w:p w:rsidR="0058501F" w:rsidRPr="00574921" w:rsidRDefault="0058501F" w:rsidP="0058501F">
            <w:pPr>
              <w:rPr>
                <w:rFonts w:cs="Traditional Arabic" w:hint="cs"/>
                <w:szCs w:val="20"/>
                <w:rtl/>
              </w:rPr>
            </w:pPr>
            <w:r>
              <w:rPr>
                <w:rFonts w:cs="Traditional Arabic" w:hint="cs"/>
                <w:szCs w:val="20"/>
                <w:rtl/>
              </w:rPr>
              <w:t>67</w:t>
            </w:r>
          </w:p>
        </w:tc>
        <w:tc>
          <w:tcPr>
            <w:tcW w:w="533" w:type="dxa"/>
          </w:tcPr>
          <w:p w:rsidR="0058501F" w:rsidRPr="00574921" w:rsidRDefault="0058501F" w:rsidP="0058501F">
            <w:pPr>
              <w:rPr>
                <w:rFonts w:cs="Traditional Arabic" w:hint="cs"/>
                <w:szCs w:val="20"/>
                <w:rtl/>
              </w:rPr>
            </w:pPr>
            <w:r>
              <w:rPr>
                <w:rFonts w:cs="Traditional Arabic" w:hint="cs"/>
                <w:szCs w:val="20"/>
                <w:rtl/>
              </w:rPr>
              <w:t>289</w:t>
            </w:r>
          </w:p>
        </w:tc>
        <w:tc>
          <w:tcPr>
            <w:tcW w:w="527" w:type="dxa"/>
          </w:tcPr>
          <w:p w:rsidR="0058501F" w:rsidRPr="00574921" w:rsidRDefault="0058501F" w:rsidP="0058501F">
            <w:pPr>
              <w:rPr>
                <w:rFonts w:cs="Traditional Arabic" w:hint="cs"/>
                <w:szCs w:val="20"/>
                <w:rtl/>
              </w:rPr>
            </w:pPr>
            <w:r>
              <w:rPr>
                <w:rFonts w:cs="Traditional Arabic" w:hint="cs"/>
                <w:szCs w:val="20"/>
                <w:rtl/>
              </w:rPr>
              <w:t>269</w:t>
            </w:r>
          </w:p>
        </w:tc>
        <w:tc>
          <w:tcPr>
            <w:tcW w:w="593" w:type="dxa"/>
          </w:tcPr>
          <w:p w:rsidR="0058501F" w:rsidRPr="00574921" w:rsidRDefault="0058501F" w:rsidP="0058501F">
            <w:pPr>
              <w:rPr>
                <w:rFonts w:cs="Traditional Arabic" w:hint="cs"/>
                <w:szCs w:val="20"/>
                <w:rtl/>
              </w:rPr>
            </w:pPr>
            <w:r>
              <w:rPr>
                <w:rFonts w:cs="Traditional Arabic" w:hint="cs"/>
                <w:szCs w:val="20"/>
                <w:rtl/>
              </w:rPr>
              <w:t>558</w:t>
            </w:r>
          </w:p>
        </w:tc>
      </w:tr>
      <w:tr w:rsidR="0058501F" w:rsidRPr="00574921">
        <w:trPr>
          <w:jc w:val="center"/>
        </w:trPr>
        <w:tc>
          <w:tcPr>
            <w:tcW w:w="586" w:type="dxa"/>
          </w:tcPr>
          <w:p w:rsidR="0058501F" w:rsidRPr="00574921" w:rsidRDefault="0058501F" w:rsidP="0058501F">
            <w:pPr>
              <w:rPr>
                <w:rFonts w:cs="Traditional Arabic" w:hint="cs"/>
                <w:szCs w:val="20"/>
                <w:rtl/>
              </w:rPr>
            </w:pPr>
            <w:r>
              <w:rPr>
                <w:rFonts w:cs="Traditional Arabic" w:hint="cs"/>
                <w:szCs w:val="20"/>
                <w:rtl/>
              </w:rPr>
              <w:t>2002</w:t>
            </w:r>
          </w:p>
        </w:tc>
        <w:tc>
          <w:tcPr>
            <w:tcW w:w="532" w:type="dxa"/>
          </w:tcPr>
          <w:p w:rsidR="0058501F" w:rsidRPr="00574921" w:rsidRDefault="0058501F" w:rsidP="0058501F">
            <w:pPr>
              <w:rPr>
                <w:rFonts w:cs="Traditional Arabic" w:hint="cs"/>
                <w:szCs w:val="20"/>
                <w:rtl/>
              </w:rPr>
            </w:pPr>
            <w:r>
              <w:rPr>
                <w:rFonts w:cs="Traditional Arabic" w:hint="cs"/>
                <w:szCs w:val="20"/>
                <w:rtl/>
              </w:rPr>
              <w:t>72</w:t>
            </w:r>
          </w:p>
        </w:tc>
        <w:tc>
          <w:tcPr>
            <w:tcW w:w="526" w:type="dxa"/>
          </w:tcPr>
          <w:p w:rsidR="0058501F" w:rsidRPr="00574921" w:rsidRDefault="0058501F" w:rsidP="0058501F">
            <w:pPr>
              <w:rPr>
                <w:rFonts w:cs="Traditional Arabic" w:hint="cs"/>
                <w:szCs w:val="20"/>
                <w:rtl/>
              </w:rPr>
            </w:pPr>
            <w:r>
              <w:rPr>
                <w:rFonts w:cs="Traditional Arabic" w:hint="cs"/>
                <w:szCs w:val="20"/>
                <w:rtl/>
              </w:rPr>
              <w:t>82</w:t>
            </w:r>
          </w:p>
        </w:tc>
        <w:tc>
          <w:tcPr>
            <w:tcW w:w="593" w:type="dxa"/>
          </w:tcPr>
          <w:p w:rsidR="0058501F" w:rsidRPr="00574921" w:rsidRDefault="0058501F" w:rsidP="0058501F">
            <w:pPr>
              <w:rPr>
                <w:rFonts w:cs="Traditional Arabic" w:hint="cs"/>
                <w:szCs w:val="20"/>
                <w:rtl/>
              </w:rPr>
            </w:pPr>
            <w:r>
              <w:rPr>
                <w:rFonts w:cs="Traditional Arabic" w:hint="cs"/>
                <w:szCs w:val="20"/>
                <w:rtl/>
              </w:rPr>
              <w:t>154</w:t>
            </w:r>
          </w:p>
        </w:tc>
        <w:tc>
          <w:tcPr>
            <w:tcW w:w="533" w:type="dxa"/>
          </w:tcPr>
          <w:p w:rsidR="0058501F" w:rsidRPr="00574921" w:rsidRDefault="0058501F" w:rsidP="0058501F">
            <w:pPr>
              <w:rPr>
                <w:rFonts w:cs="Traditional Arabic" w:hint="cs"/>
                <w:szCs w:val="20"/>
                <w:rtl/>
              </w:rPr>
            </w:pPr>
            <w:r>
              <w:rPr>
                <w:rFonts w:cs="Traditional Arabic" w:hint="cs"/>
                <w:szCs w:val="20"/>
                <w:rtl/>
              </w:rPr>
              <w:t>90</w:t>
            </w:r>
          </w:p>
        </w:tc>
        <w:tc>
          <w:tcPr>
            <w:tcW w:w="530" w:type="dxa"/>
          </w:tcPr>
          <w:p w:rsidR="0058501F" w:rsidRPr="00574921" w:rsidRDefault="0058501F" w:rsidP="0058501F">
            <w:pPr>
              <w:rPr>
                <w:rFonts w:cs="Traditional Arabic" w:hint="cs"/>
                <w:szCs w:val="20"/>
                <w:rtl/>
              </w:rPr>
            </w:pPr>
            <w:r>
              <w:rPr>
                <w:rFonts w:cs="Traditional Arabic" w:hint="cs"/>
                <w:szCs w:val="20"/>
                <w:rtl/>
              </w:rPr>
              <w:t>95</w:t>
            </w:r>
          </w:p>
        </w:tc>
        <w:tc>
          <w:tcPr>
            <w:tcW w:w="593" w:type="dxa"/>
          </w:tcPr>
          <w:p w:rsidR="0058501F" w:rsidRPr="00574921" w:rsidRDefault="0058501F" w:rsidP="0058501F">
            <w:pPr>
              <w:rPr>
                <w:rFonts w:cs="Traditional Arabic" w:hint="cs"/>
                <w:szCs w:val="20"/>
                <w:rtl/>
              </w:rPr>
            </w:pPr>
            <w:r>
              <w:rPr>
                <w:rFonts w:cs="Traditional Arabic" w:hint="cs"/>
                <w:szCs w:val="20"/>
                <w:rtl/>
              </w:rPr>
              <w:t>185</w:t>
            </w:r>
          </w:p>
        </w:tc>
        <w:tc>
          <w:tcPr>
            <w:tcW w:w="533" w:type="dxa"/>
          </w:tcPr>
          <w:p w:rsidR="0058501F" w:rsidRPr="00574921" w:rsidRDefault="0058501F" w:rsidP="0058501F">
            <w:pPr>
              <w:rPr>
                <w:rFonts w:cs="Traditional Arabic" w:hint="cs"/>
                <w:szCs w:val="20"/>
                <w:rtl/>
              </w:rPr>
            </w:pPr>
            <w:r>
              <w:rPr>
                <w:rFonts w:cs="Traditional Arabic" w:hint="cs"/>
                <w:szCs w:val="20"/>
                <w:rtl/>
              </w:rPr>
              <w:t>20</w:t>
            </w:r>
          </w:p>
        </w:tc>
        <w:tc>
          <w:tcPr>
            <w:tcW w:w="531" w:type="dxa"/>
          </w:tcPr>
          <w:p w:rsidR="0058501F" w:rsidRPr="00574921" w:rsidRDefault="0058501F" w:rsidP="0058501F">
            <w:pPr>
              <w:rPr>
                <w:rFonts w:cs="Traditional Arabic" w:hint="cs"/>
                <w:szCs w:val="20"/>
                <w:rtl/>
              </w:rPr>
            </w:pPr>
            <w:r>
              <w:rPr>
                <w:rFonts w:cs="Traditional Arabic" w:hint="cs"/>
                <w:szCs w:val="20"/>
                <w:rtl/>
              </w:rPr>
              <w:t>13</w:t>
            </w:r>
          </w:p>
        </w:tc>
        <w:tc>
          <w:tcPr>
            <w:tcW w:w="593" w:type="dxa"/>
          </w:tcPr>
          <w:p w:rsidR="0058501F" w:rsidRPr="00574921" w:rsidRDefault="0058501F" w:rsidP="0058501F">
            <w:pPr>
              <w:rPr>
                <w:rFonts w:cs="Traditional Arabic" w:hint="cs"/>
                <w:szCs w:val="20"/>
                <w:rtl/>
              </w:rPr>
            </w:pPr>
            <w:r>
              <w:rPr>
                <w:rFonts w:cs="Traditional Arabic" w:hint="cs"/>
                <w:szCs w:val="20"/>
                <w:rtl/>
              </w:rPr>
              <w:t>33</w:t>
            </w:r>
          </w:p>
        </w:tc>
        <w:tc>
          <w:tcPr>
            <w:tcW w:w="533" w:type="dxa"/>
          </w:tcPr>
          <w:p w:rsidR="0058501F" w:rsidRPr="00574921" w:rsidRDefault="0058501F" w:rsidP="0058501F">
            <w:pPr>
              <w:rPr>
                <w:rFonts w:cs="Traditional Arabic" w:hint="cs"/>
                <w:szCs w:val="20"/>
                <w:rtl/>
              </w:rPr>
            </w:pPr>
            <w:r>
              <w:rPr>
                <w:rFonts w:cs="Traditional Arabic" w:hint="cs"/>
                <w:szCs w:val="20"/>
                <w:rtl/>
              </w:rPr>
              <w:t>42</w:t>
            </w:r>
          </w:p>
        </w:tc>
        <w:tc>
          <w:tcPr>
            <w:tcW w:w="527" w:type="dxa"/>
          </w:tcPr>
          <w:p w:rsidR="0058501F" w:rsidRPr="00574921" w:rsidRDefault="0058501F" w:rsidP="0058501F">
            <w:pPr>
              <w:rPr>
                <w:rFonts w:cs="Traditional Arabic" w:hint="cs"/>
                <w:szCs w:val="20"/>
                <w:rtl/>
              </w:rPr>
            </w:pPr>
            <w:r>
              <w:rPr>
                <w:rFonts w:cs="Traditional Arabic" w:hint="cs"/>
                <w:szCs w:val="20"/>
                <w:rtl/>
              </w:rPr>
              <w:t>41</w:t>
            </w:r>
          </w:p>
        </w:tc>
        <w:tc>
          <w:tcPr>
            <w:tcW w:w="593" w:type="dxa"/>
          </w:tcPr>
          <w:p w:rsidR="0058501F" w:rsidRPr="00574921" w:rsidRDefault="0058501F" w:rsidP="0058501F">
            <w:pPr>
              <w:rPr>
                <w:rFonts w:cs="Traditional Arabic" w:hint="cs"/>
                <w:szCs w:val="20"/>
                <w:rtl/>
              </w:rPr>
            </w:pPr>
            <w:r>
              <w:rPr>
                <w:rFonts w:cs="Traditional Arabic" w:hint="cs"/>
                <w:szCs w:val="20"/>
                <w:rtl/>
              </w:rPr>
              <w:t>83</w:t>
            </w:r>
          </w:p>
        </w:tc>
        <w:tc>
          <w:tcPr>
            <w:tcW w:w="533" w:type="dxa"/>
          </w:tcPr>
          <w:p w:rsidR="0058501F" w:rsidRPr="00574921" w:rsidRDefault="0058501F" w:rsidP="0058501F">
            <w:pPr>
              <w:rPr>
                <w:rFonts w:cs="Traditional Arabic" w:hint="cs"/>
                <w:szCs w:val="20"/>
                <w:rtl/>
              </w:rPr>
            </w:pPr>
            <w:r>
              <w:rPr>
                <w:rFonts w:cs="Traditional Arabic" w:hint="cs"/>
                <w:szCs w:val="20"/>
                <w:rtl/>
              </w:rPr>
              <w:t>224</w:t>
            </w:r>
          </w:p>
        </w:tc>
        <w:tc>
          <w:tcPr>
            <w:tcW w:w="527" w:type="dxa"/>
          </w:tcPr>
          <w:p w:rsidR="0058501F" w:rsidRPr="00574921" w:rsidRDefault="0058501F" w:rsidP="0058501F">
            <w:pPr>
              <w:rPr>
                <w:rFonts w:cs="Traditional Arabic" w:hint="cs"/>
                <w:szCs w:val="20"/>
                <w:rtl/>
              </w:rPr>
            </w:pPr>
            <w:r>
              <w:rPr>
                <w:rFonts w:cs="Traditional Arabic" w:hint="cs"/>
                <w:szCs w:val="20"/>
                <w:rtl/>
              </w:rPr>
              <w:t>231</w:t>
            </w:r>
          </w:p>
        </w:tc>
        <w:tc>
          <w:tcPr>
            <w:tcW w:w="593" w:type="dxa"/>
          </w:tcPr>
          <w:p w:rsidR="0058501F" w:rsidRPr="00574921" w:rsidRDefault="0058501F" w:rsidP="0058501F">
            <w:pPr>
              <w:rPr>
                <w:rFonts w:cs="Traditional Arabic" w:hint="cs"/>
                <w:szCs w:val="20"/>
                <w:rtl/>
              </w:rPr>
            </w:pPr>
            <w:r>
              <w:rPr>
                <w:rFonts w:cs="Traditional Arabic" w:hint="cs"/>
                <w:szCs w:val="20"/>
                <w:rtl/>
              </w:rPr>
              <w:t>455</w:t>
            </w:r>
          </w:p>
        </w:tc>
      </w:tr>
      <w:tr w:rsidR="0058501F" w:rsidRPr="00574921">
        <w:trPr>
          <w:jc w:val="center"/>
        </w:trPr>
        <w:tc>
          <w:tcPr>
            <w:tcW w:w="586" w:type="dxa"/>
          </w:tcPr>
          <w:p w:rsidR="0058501F" w:rsidRPr="00574921" w:rsidRDefault="0058501F" w:rsidP="0058501F">
            <w:pPr>
              <w:rPr>
                <w:rFonts w:cs="Traditional Arabic" w:hint="cs"/>
                <w:szCs w:val="20"/>
                <w:rtl/>
              </w:rPr>
            </w:pPr>
            <w:r>
              <w:rPr>
                <w:rFonts w:cs="Traditional Arabic" w:hint="cs"/>
                <w:szCs w:val="20"/>
                <w:rtl/>
              </w:rPr>
              <w:t>2003</w:t>
            </w:r>
          </w:p>
        </w:tc>
        <w:tc>
          <w:tcPr>
            <w:tcW w:w="532" w:type="dxa"/>
          </w:tcPr>
          <w:p w:rsidR="0058501F" w:rsidRPr="00574921" w:rsidRDefault="0058501F" w:rsidP="0058501F">
            <w:pPr>
              <w:rPr>
                <w:rFonts w:cs="Traditional Arabic" w:hint="cs"/>
                <w:szCs w:val="20"/>
                <w:rtl/>
              </w:rPr>
            </w:pPr>
            <w:r>
              <w:rPr>
                <w:rFonts w:cs="Traditional Arabic" w:hint="cs"/>
                <w:szCs w:val="20"/>
                <w:rtl/>
              </w:rPr>
              <w:t>97</w:t>
            </w:r>
          </w:p>
        </w:tc>
        <w:tc>
          <w:tcPr>
            <w:tcW w:w="526" w:type="dxa"/>
          </w:tcPr>
          <w:p w:rsidR="0058501F" w:rsidRPr="00574921" w:rsidRDefault="0058501F" w:rsidP="0058501F">
            <w:pPr>
              <w:rPr>
                <w:rFonts w:cs="Traditional Arabic" w:hint="cs"/>
                <w:szCs w:val="20"/>
                <w:rtl/>
              </w:rPr>
            </w:pPr>
            <w:r>
              <w:rPr>
                <w:rFonts w:cs="Traditional Arabic" w:hint="cs"/>
                <w:szCs w:val="20"/>
                <w:rtl/>
              </w:rPr>
              <w:t>75</w:t>
            </w:r>
          </w:p>
        </w:tc>
        <w:tc>
          <w:tcPr>
            <w:tcW w:w="593" w:type="dxa"/>
          </w:tcPr>
          <w:p w:rsidR="0058501F" w:rsidRPr="00574921" w:rsidRDefault="0058501F" w:rsidP="0058501F">
            <w:pPr>
              <w:rPr>
                <w:rFonts w:cs="Traditional Arabic" w:hint="cs"/>
                <w:szCs w:val="20"/>
                <w:rtl/>
              </w:rPr>
            </w:pPr>
            <w:r>
              <w:rPr>
                <w:rFonts w:cs="Traditional Arabic" w:hint="cs"/>
                <w:szCs w:val="20"/>
                <w:rtl/>
              </w:rPr>
              <w:t>172</w:t>
            </w:r>
          </w:p>
        </w:tc>
        <w:tc>
          <w:tcPr>
            <w:tcW w:w="533" w:type="dxa"/>
          </w:tcPr>
          <w:p w:rsidR="0058501F" w:rsidRPr="00574921" w:rsidRDefault="0058501F" w:rsidP="0058501F">
            <w:pPr>
              <w:rPr>
                <w:rFonts w:cs="Traditional Arabic" w:hint="cs"/>
                <w:szCs w:val="20"/>
                <w:rtl/>
              </w:rPr>
            </w:pPr>
            <w:r>
              <w:rPr>
                <w:rFonts w:cs="Traditional Arabic" w:hint="cs"/>
                <w:szCs w:val="20"/>
                <w:rtl/>
              </w:rPr>
              <w:t>85</w:t>
            </w:r>
          </w:p>
        </w:tc>
        <w:tc>
          <w:tcPr>
            <w:tcW w:w="530" w:type="dxa"/>
          </w:tcPr>
          <w:p w:rsidR="0058501F" w:rsidRPr="00574921" w:rsidRDefault="0058501F" w:rsidP="0058501F">
            <w:pPr>
              <w:rPr>
                <w:rFonts w:cs="Traditional Arabic" w:hint="cs"/>
                <w:szCs w:val="20"/>
                <w:rtl/>
              </w:rPr>
            </w:pPr>
            <w:r>
              <w:rPr>
                <w:rFonts w:cs="Traditional Arabic" w:hint="cs"/>
                <w:szCs w:val="20"/>
                <w:rtl/>
              </w:rPr>
              <w:t>94</w:t>
            </w:r>
          </w:p>
        </w:tc>
        <w:tc>
          <w:tcPr>
            <w:tcW w:w="593" w:type="dxa"/>
          </w:tcPr>
          <w:p w:rsidR="0058501F" w:rsidRPr="00574921" w:rsidRDefault="0058501F" w:rsidP="0058501F">
            <w:pPr>
              <w:rPr>
                <w:rFonts w:cs="Traditional Arabic" w:hint="cs"/>
                <w:szCs w:val="20"/>
                <w:rtl/>
              </w:rPr>
            </w:pPr>
            <w:r>
              <w:rPr>
                <w:rFonts w:cs="Traditional Arabic" w:hint="cs"/>
                <w:szCs w:val="20"/>
                <w:rtl/>
              </w:rPr>
              <w:t>179</w:t>
            </w:r>
          </w:p>
        </w:tc>
        <w:tc>
          <w:tcPr>
            <w:tcW w:w="533" w:type="dxa"/>
          </w:tcPr>
          <w:p w:rsidR="0058501F" w:rsidRPr="00574921" w:rsidRDefault="0058501F" w:rsidP="0058501F">
            <w:pPr>
              <w:rPr>
                <w:rFonts w:cs="Traditional Arabic" w:hint="cs"/>
                <w:szCs w:val="20"/>
                <w:rtl/>
              </w:rPr>
            </w:pPr>
            <w:r>
              <w:rPr>
                <w:rFonts w:cs="Traditional Arabic" w:hint="cs"/>
                <w:szCs w:val="20"/>
                <w:rtl/>
              </w:rPr>
              <w:t>40</w:t>
            </w:r>
          </w:p>
        </w:tc>
        <w:tc>
          <w:tcPr>
            <w:tcW w:w="531" w:type="dxa"/>
          </w:tcPr>
          <w:p w:rsidR="0058501F" w:rsidRPr="00574921" w:rsidRDefault="0058501F" w:rsidP="0058501F">
            <w:pPr>
              <w:rPr>
                <w:rFonts w:cs="Traditional Arabic" w:hint="cs"/>
                <w:szCs w:val="20"/>
                <w:rtl/>
              </w:rPr>
            </w:pPr>
            <w:r>
              <w:rPr>
                <w:rFonts w:cs="Traditional Arabic" w:hint="cs"/>
                <w:szCs w:val="20"/>
                <w:rtl/>
              </w:rPr>
              <w:t>51</w:t>
            </w:r>
          </w:p>
        </w:tc>
        <w:tc>
          <w:tcPr>
            <w:tcW w:w="593" w:type="dxa"/>
          </w:tcPr>
          <w:p w:rsidR="0058501F" w:rsidRPr="00574921" w:rsidRDefault="0058501F" w:rsidP="0058501F">
            <w:pPr>
              <w:rPr>
                <w:rFonts w:cs="Traditional Arabic" w:hint="cs"/>
                <w:szCs w:val="20"/>
                <w:rtl/>
              </w:rPr>
            </w:pPr>
            <w:r>
              <w:rPr>
                <w:rFonts w:cs="Traditional Arabic" w:hint="cs"/>
                <w:szCs w:val="20"/>
                <w:rtl/>
              </w:rPr>
              <w:t>91</w:t>
            </w:r>
          </w:p>
        </w:tc>
        <w:tc>
          <w:tcPr>
            <w:tcW w:w="533" w:type="dxa"/>
          </w:tcPr>
          <w:p w:rsidR="0058501F" w:rsidRPr="00574921" w:rsidRDefault="0058501F" w:rsidP="0058501F">
            <w:pPr>
              <w:rPr>
                <w:rFonts w:cs="Traditional Arabic" w:hint="cs"/>
                <w:szCs w:val="20"/>
                <w:rtl/>
              </w:rPr>
            </w:pPr>
            <w:r>
              <w:rPr>
                <w:rFonts w:cs="Traditional Arabic" w:hint="cs"/>
                <w:szCs w:val="20"/>
                <w:rtl/>
              </w:rPr>
              <w:t>15</w:t>
            </w:r>
          </w:p>
        </w:tc>
        <w:tc>
          <w:tcPr>
            <w:tcW w:w="527" w:type="dxa"/>
          </w:tcPr>
          <w:p w:rsidR="0058501F" w:rsidRPr="00574921" w:rsidRDefault="0058501F" w:rsidP="0058501F">
            <w:pPr>
              <w:rPr>
                <w:rFonts w:cs="Traditional Arabic" w:hint="cs"/>
                <w:szCs w:val="20"/>
                <w:rtl/>
              </w:rPr>
            </w:pPr>
            <w:r>
              <w:rPr>
                <w:rFonts w:cs="Traditional Arabic" w:hint="cs"/>
                <w:szCs w:val="20"/>
                <w:rtl/>
              </w:rPr>
              <w:t>23</w:t>
            </w:r>
          </w:p>
        </w:tc>
        <w:tc>
          <w:tcPr>
            <w:tcW w:w="593" w:type="dxa"/>
          </w:tcPr>
          <w:p w:rsidR="0058501F" w:rsidRPr="00574921" w:rsidRDefault="0058501F" w:rsidP="0058501F">
            <w:pPr>
              <w:rPr>
                <w:rFonts w:cs="Traditional Arabic" w:hint="cs"/>
                <w:szCs w:val="20"/>
                <w:rtl/>
              </w:rPr>
            </w:pPr>
            <w:r>
              <w:rPr>
                <w:rFonts w:cs="Traditional Arabic" w:hint="cs"/>
                <w:szCs w:val="20"/>
                <w:rtl/>
              </w:rPr>
              <w:t>38</w:t>
            </w:r>
          </w:p>
        </w:tc>
        <w:tc>
          <w:tcPr>
            <w:tcW w:w="533" w:type="dxa"/>
          </w:tcPr>
          <w:p w:rsidR="0058501F" w:rsidRPr="00574921" w:rsidRDefault="0058501F" w:rsidP="0058501F">
            <w:pPr>
              <w:rPr>
                <w:rFonts w:cs="Traditional Arabic" w:hint="cs"/>
                <w:szCs w:val="20"/>
                <w:rtl/>
              </w:rPr>
            </w:pPr>
            <w:r>
              <w:rPr>
                <w:rFonts w:cs="Traditional Arabic" w:hint="cs"/>
                <w:szCs w:val="20"/>
                <w:rtl/>
              </w:rPr>
              <w:t>237</w:t>
            </w:r>
          </w:p>
        </w:tc>
        <w:tc>
          <w:tcPr>
            <w:tcW w:w="527" w:type="dxa"/>
          </w:tcPr>
          <w:p w:rsidR="0058501F" w:rsidRPr="00574921" w:rsidRDefault="0058501F" w:rsidP="0058501F">
            <w:pPr>
              <w:rPr>
                <w:rFonts w:cs="Traditional Arabic" w:hint="cs"/>
                <w:szCs w:val="20"/>
                <w:rtl/>
              </w:rPr>
            </w:pPr>
            <w:r>
              <w:rPr>
                <w:rFonts w:cs="Traditional Arabic" w:hint="cs"/>
                <w:szCs w:val="20"/>
                <w:rtl/>
              </w:rPr>
              <w:t>243</w:t>
            </w:r>
          </w:p>
        </w:tc>
        <w:tc>
          <w:tcPr>
            <w:tcW w:w="593" w:type="dxa"/>
          </w:tcPr>
          <w:p w:rsidR="0058501F" w:rsidRPr="00574921" w:rsidRDefault="0058501F" w:rsidP="0058501F">
            <w:pPr>
              <w:rPr>
                <w:rFonts w:cs="Traditional Arabic" w:hint="cs"/>
                <w:szCs w:val="20"/>
                <w:rtl/>
              </w:rPr>
            </w:pPr>
            <w:r>
              <w:rPr>
                <w:rFonts w:cs="Traditional Arabic" w:hint="cs"/>
                <w:szCs w:val="20"/>
                <w:rtl/>
              </w:rPr>
              <w:t>480</w:t>
            </w:r>
          </w:p>
        </w:tc>
      </w:tr>
      <w:tr w:rsidR="0058501F" w:rsidRPr="00574921">
        <w:trPr>
          <w:jc w:val="center"/>
        </w:trPr>
        <w:tc>
          <w:tcPr>
            <w:tcW w:w="586" w:type="dxa"/>
          </w:tcPr>
          <w:p w:rsidR="0058501F" w:rsidRDefault="0058501F" w:rsidP="0058501F">
            <w:pPr>
              <w:rPr>
                <w:rFonts w:cs="Traditional Arabic" w:hint="cs"/>
                <w:szCs w:val="20"/>
                <w:rtl/>
              </w:rPr>
            </w:pPr>
            <w:r>
              <w:rPr>
                <w:rFonts w:cs="Traditional Arabic" w:hint="cs"/>
                <w:szCs w:val="20"/>
                <w:rtl/>
              </w:rPr>
              <w:t>2004</w:t>
            </w:r>
          </w:p>
        </w:tc>
        <w:tc>
          <w:tcPr>
            <w:tcW w:w="532" w:type="dxa"/>
          </w:tcPr>
          <w:p w:rsidR="0058501F" w:rsidRPr="00574921" w:rsidRDefault="0058501F" w:rsidP="0058501F">
            <w:pPr>
              <w:rPr>
                <w:rFonts w:cs="Traditional Arabic" w:hint="cs"/>
                <w:szCs w:val="20"/>
                <w:rtl/>
              </w:rPr>
            </w:pPr>
            <w:r>
              <w:rPr>
                <w:rFonts w:cs="Traditional Arabic" w:hint="cs"/>
                <w:szCs w:val="20"/>
                <w:rtl/>
              </w:rPr>
              <w:t>42</w:t>
            </w:r>
          </w:p>
        </w:tc>
        <w:tc>
          <w:tcPr>
            <w:tcW w:w="526" w:type="dxa"/>
          </w:tcPr>
          <w:p w:rsidR="0058501F" w:rsidRPr="00574921" w:rsidRDefault="0058501F" w:rsidP="0058501F">
            <w:pPr>
              <w:rPr>
                <w:rFonts w:cs="Traditional Arabic" w:hint="cs"/>
                <w:szCs w:val="20"/>
                <w:rtl/>
              </w:rPr>
            </w:pPr>
            <w:r>
              <w:rPr>
                <w:rFonts w:cs="Traditional Arabic" w:hint="cs"/>
                <w:szCs w:val="20"/>
                <w:rtl/>
              </w:rPr>
              <w:t>35</w:t>
            </w:r>
          </w:p>
        </w:tc>
        <w:tc>
          <w:tcPr>
            <w:tcW w:w="593" w:type="dxa"/>
          </w:tcPr>
          <w:p w:rsidR="0058501F" w:rsidRPr="00574921" w:rsidRDefault="0058501F" w:rsidP="0058501F">
            <w:pPr>
              <w:rPr>
                <w:rFonts w:cs="Traditional Arabic" w:hint="cs"/>
                <w:szCs w:val="20"/>
                <w:rtl/>
              </w:rPr>
            </w:pPr>
            <w:r>
              <w:rPr>
                <w:rFonts w:cs="Traditional Arabic" w:hint="cs"/>
                <w:szCs w:val="20"/>
                <w:rtl/>
              </w:rPr>
              <w:t>77</w:t>
            </w:r>
          </w:p>
        </w:tc>
        <w:tc>
          <w:tcPr>
            <w:tcW w:w="533" w:type="dxa"/>
          </w:tcPr>
          <w:p w:rsidR="0058501F" w:rsidRPr="00574921" w:rsidRDefault="0058501F" w:rsidP="0058501F">
            <w:pPr>
              <w:rPr>
                <w:rFonts w:cs="Traditional Arabic" w:hint="cs"/>
                <w:szCs w:val="20"/>
                <w:rtl/>
              </w:rPr>
            </w:pPr>
            <w:r>
              <w:rPr>
                <w:rFonts w:cs="Traditional Arabic" w:hint="cs"/>
                <w:szCs w:val="20"/>
                <w:rtl/>
              </w:rPr>
              <w:t>91</w:t>
            </w:r>
          </w:p>
        </w:tc>
        <w:tc>
          <w:tcPr>
            <w:tcW w:w="530" w:type="dxa"/>
          </w:tcPr>
          <w:p w:rsidR="0058501F" w:rsidRPr="00574921" w:rsidRDefault="0058501F" w:rsidP="0058501F">
            <w:pPr>
              <w:rPr>
                <w:rFonts w:cs="Traditional Arabic" w:hint="cs"/>
                <w:szCs w:val="20"/>
                <w:rtl/>
              </w:rPr>
            </w:pPr>
            <w:r>
              <w:rPr>
                <w:rFonts w:cs="Traditional Arabic" w:hint="cs"/>
                <w:szCs w:val="20"/>
                <w:rtl/>
              </w:rPr>
              <w:t>81</w:t>
            </w:r>
          </w:p>
        </w:tc>
        <w:tc>
          <w:tcPr>
            <w:tcW w:w="593" w:type="dxa"/>
          </w:tcPr>
          <w:p w:rsidR="0058501F" w:rsidRPr="00574921" w:rsidRDefault="0058501F" w:rsidP="0058501F">
            <w:pPr>
              <w:rPr>
                <w:rFonts w:cs="Traditional Arabic" w:hint="cs"/>
                <w:szCs w:val="20"/>
                <w:rtl/>
              </w:rPr>
            </w:pPr>
            <w:r>
              <w:rPr>
                <w:rFonts w:cs="Traditional Arabic" w:hint="cs"/>
                <w:szCs w:val="20"/>
                <w:rtl/>
              </w:rPr>
              <w:t>172</w:t>
            </w:r>
          </w:p>
        </w:tc>
        <w:tc>
          <w:tcPr>
            <w:tcW w:w="533" w:type="dxa"/>
          </w:tcPr>
          <w:p w:rsidR="0058501F" w:rsidRPr="00574921" w:rsidRDefault="0058501F" w:rsidP="0058501F">
            <w:pPr>
              <w:rPr>
                <w:rFonts w:cs="Traditional Arabic" w:hint="cs"/>
                <w:szCs w:val="20"/>
                <w:rtl/>
              </w:rPr>
            </w:pPr>
            <w:r>
              <w:rPr>
                <w:rFonts w:cs="Traditional Arabic" w:hint="cs"/>
                <w:szCs w:val="20"/>
                <w:rtl/>
              </w:rPr>
              <w:t>46</w:t>
            </w:r>
          </w:p>
        </w:tc>
        <w:tc>
          <w:tcPr>
            <w:tcW w:w="531" w:type="dxa"/>
          </w:tcPr>
          <w:p w:rsidR="0058501F" w:rsidRPr="00574921" w:rsidRDefault="0058501F" w:rsidP="0058501F">
            <w:pPr>
              <w:rPr>
                <w:rFonts w:cs="Traditional Arabic" w:hint="cs"/>
                <w:szCs w:val="20"/>
                <w:rtl/>
              </w:rPr>
            </w:pPr>
            <w:r>
              <w:rPr>
                <w:rFonts w:cs="Traditional Arabic" w:hint="cs"/>
                <w:szCs w:val="20"/>
                <w:rtl/>
              </w:rPr>
              <w:t>59</w:t>
            </w:r>
          </w:p>
        </w:tc>
        <w:tc>
          <w:tcPr>
            <w:tcW w:w="593" w:type="dxa"/>
          </w:tcPr>
          <w:p w:rsidR="0058501F" w:rsidRPr="00574921" w:rsidRDefault="0058501F" w:rsidP="0058501F">
            <w:pPr>
              <w:rPr>
                <w:rFonts w:cs="Traditional Arabic" w:hint="cs"/>
                <w:szCs w:val="20"/>
                <w:rtl/>
              </w:rPr>
            </w:pPr>
            <w:r>
              <w:rPr>
                <w:rFonts w:cs="Traditional Arabic" w:hint="cs"/>
                <w:szCs w:val="20"/>
                <w:rtl/>
              </w:rPr>
              <w:t>105</w:t>
            </w:r>
          </w:p>
        </w:tc>
        <w:tc>
          <w:tcPr>
            <w:tcW w:w="533" w:type="dxa"/>
          </w:tcPr>
          <w:p w:rsidR="0058501F" w:rsidRPr="00574921" w:rsidRDefault="0058501F" w:rsidP="0058501F">
            <w:pPr>
              <w:rPr>
                <w:rFonts w:cs="Traditional Arabic" w:hint="cs"/>
                <w:szCs w:val="20"/>
                <w:rtl/>
              </w:rPr>
            </w:pPr>
            <w:r>
              <w:rPr>
                <w:rFonts w:cs="Traditional Arabic" w:hint="cs"/>
                <w:szCs w:val="20"/>
                <w:rtl/>
              </w:rPr>
              <w:t>33</w:t>
            </w:r>
          </w:p>
        </w:tc>
        <w:tc>
          <w:tcPr>
            <w:tcW w:w="527" w:type="dxa"/>
          </w:tcPr>
          <w:p w:rsidR="0058501F" w:rsidRPr="00574921" w:rsidRDefault="0058501F" w:rsidP="0058501F">
            <w:pPr>
              <w:rPr>
                <w:rFonts w:cs="Traditional Arabic" w:hint="cs"/>
                <w:szCs w:val="20"/>
                <w:rtl/>
              </w:rPr>
            </w:pPr>
            <w:r>
              <w:rPr>
                <w:rFonts w:cs="Traditional Arabic" w:hint="cs"/>
                <w:szCs w:val="20"/>
                <w:rtl/>
              </w:rPr>
              <w:t>46</w:t>
            </w:r>
          </w:p>
        </w:tc>
        <w:tc>
          <w:tcPr>
            <w:tcW w:w="593" w:type="dxa"/>
          </w:tcPr>
          <w:p w:rsidR="0058501F" w:rsidRPr="00574921" w:rsidRDefault="0058501F" w:rsidP="0058501F">
            <w:pPr>
              <w:rPr>
                <w:rFonts w:cs="Traditional Arabic" w:hint="cs"/>
                <w:szCs w:val="20"/>
                <w:rtl/>
              </w:rPr>
            </w:pPr>
            <w:r>
              <w:rPr>
                <w:rFonts w:cs="Traditional Arabic" w:hint="cs"/>
                <w:szCs w:val="20"/>
                <w:rtl/>
              </w:rPr>
              <w:t>79</w:t>
            </w:r>
          </w:p>
        </w:tc>
        <w:tc>
          <w:tcPr>
            <w:tcW w:w="533" w:type="dxa"/>
          </w:tcPr>
          <w:p w:rsidR="0058501F" w:rsidRPr="00574921" w:rsidRDefault="0058501F" w:rsidP="0058501F">
            <w:pPr>
              <w:rPr>
                <w:rFonts w:cs="Traditional Arabic" w:hint="cs"/>
                <w:szCs w:val="20"/>
                <w:rtl/>
              </w:rPr>
            </w:pPr>
            <w:r>
              <w:rPr>
                <w:rFonts w:cs="Traditional Arabic" w:hint="cs"/>
                <w:szCs w:val="20"/>
                <w:rtl/>
              </w:rPr>
              <w:t>211</w:t>
            </w:r>
          </w:p>
        </w:tc>
        <w:tc>
          <w:tcPr>
            <w:tcW w:w="527" w:type="dxa"/>
          </w:tcPr>
          <w:p w:rsidR="0058501F" w:rsidRPr="00574921" w:rsidRDefault="0058501F" w:rsidP="0058501F">
            <w:pPr>
              <w:rPr>
                <w:rFonts w:cs="Traditional Arabic" w:hint="cs"/>
                <w:szCs w:val="20"/>
                <w:rtl/>
              </w:rPr>
            </w:pPr>
            <w:r>
              <w:rPr>
                <w:rFonts w:cs="Traditional Arabic" w:hint="cs"/>
                <w:szCs w:val="20"/>
                <w:rtl/>
              </w:rPr>
              <w:t>222</w:t>
            </w:r>
          </w:p>
        </w:tc>
        <w:tc>
          <w:tcPr>
            <w:tcW w:w="593" w:type="dxa"/>
          </w:tcPr>
          <w:p w:rsidR="0058501F" w:rsidRPr="00574921" w:rsidRDefault="0058501F" w:rsidP="0058501F">
            <w:pPr>
              <w:rPr>
                <w:rFonts w:cs="Traditional Arabic" w:hint="cs"/>
                <w:szCs w:val="20"/>
                <w:rtl/>
              </w:rPr>
            </w:pPr>
            <w:r>
              <w:rPr>
                <w:rFonts w:cs="Traditional Arabic" w:hint="cs"/>
                <w:szCs w:val="20"/>
                <w:rtl/>
              </w:rPr>
              <w:t>433</w:t>
            </w:r>
          </w:p>
        </w:tc>
      </w:tr>
    </w:tbl>
    <w:p w:rsidR="0058501F" w:rsidRPr="004324E0" w:rsidRDefault="006D5033" w:rsidP="0058501F">
      <w:pPr>
        <w:rPr>
          <w:rFonts w:hint="cs"/>
          <w:sz w:val="28"/>
          <w:szCs w:val="28"/>
          <w:rtl/>
        </w:rPr>
      </w:pPr>
      <w:r>
        <w:rPr>
          <w:rFonts w:hint="cs"/>
          <w:sz w:val="28"/>
          <w:szCs w:val="28"/>
          <w:rtl/>
        </w:rPr>
        <w:tab/>
      </w:r>
      <w:r w:rsidR="0058501F" w:rsidRPr="004324E0">
        <w:rPr>
          <w:rFonts w:hint="cs"/>
          <w:sz w:val="28"/>
          <w:szCs w:val="28"/>
          <w:rtl/>
        </w:rPr>
        <w:t>المصدر: إدارة الإحصاءات، بيانات سنوية مستكملة (بيانات لم تنشر)</w:t>
      </w:r>
      <w:r w:rsidR="00402408">
        <w:rPr>
          <w:rFonts w:hint="cs"/>
          <w:sz w:val="28"/>
          <w:szCs w:val="28"/>
          <w:rtl/>
        </w:rPr>
        <w:t>.</w:t>
      </w:r>
    </w:p>
    <w:p w:rsidR="0058501F" w:rsidRDefault="0058501F" w:rsidP="0058501F">
      <w:pPr>
        <w:rPr>
          <w:rFonts w:hint="cs"/>
          <w:sz w:val="32"/>
          <w:szCs w:val="32"/>
          <w:rtl/>
        </w:rPr>
      </w:pPr>
    </w:p>
    <w:p w:rsidR="0058501F" w:rsidRPr="00682710" w:rsidRDefault="0058501F" w:rsidP="0058501F">
      <w:pPr>
        <w:jc w:val="center"/>
        <w:rPr>
          <w:rFonts w:hint="cs"/>
          <w:b/>
          <w:bCs/>
          <w:sz w:val="28"/>
          <w:szCs w:val="28"/>
          <w:rtl/>
        </w:rPr>
      </w:pPr>
      <w:r w:rsidRPr="00682710">
        <w:rPr>
          <w:rFonts w:hint="cs"/>
          <w:b/>
          <w:bCs/>
          <w:sz w:val="28"/>
          <w:szCs w:val="28"/>
          <w:rtl/>
        </w:rPr>
        <w:t xml:space="preserve">الجدول 19 (ب) </w:t>
      </w:r>
      <w:r>
        <w:rPr>
          <w:rFonts w:hint="cs"/>
          <w:b/>
          <w:bCs/>
          <w:sz w:val="28"/>
          <w:szCs w:val="28"/>
          <w:rtl/>
        </w:rPr>
        <w:t>عدد</w:t>
      </w:r>
      <w:r w:rsidRPr="009D675F">
        <w:rPr>
          <w:rFonts w:hint="cs"/>
          <w:b/>
          <w:bCs/>
          <w:sz w:val="28"/>
          <w:szCs w:val="28"/>
          <w:rtl/>
        </w:rPr>
        <w:t xml:space="preserve"> الطلاب</w:t>
      </w:r>
      <w:r>
        <w:rPr>
          <w:rFonts w:hint="cs"/>
          <w:b/>
          <w:bCs/>
          <w:sz w:val="28"/>
          <w:szCs w:val="28"/>
          <w:rtl/>
        </w:rPr>
        <w:t xml:space="preserve"> الملتحقين</w:t>
      </w:r>
      <w:r w:rsidRPr="009D675F">
        <w:rPr>
          <w:rFonts w:hint="cs"/>
          <w:b/>
          <w:bCs/>
          <w:sz w:val="28"/>
          <w:szCs w:val="28"/>
          <w:rtl/>
        </w:rPr>
        <w:t xml:space="preserve"> بمدرسة </w:t>
      </w:r>
      <w:r w:rsidRPr="00682710">
        <w:rPr>
          <w:rFonts w:hint="cs"/>
          <w:b/>
          <w:bCs/>
          <w:sz w:val="28"/>
          <w:szCs w:val="28"/>
          <w:rtl/>
        </w:rPr>
        <w:t>فيتوفالو الثانوية حسب الصف ونوع الجنس، 2003- 2005</w:t>
      </w:r>
    </w:p>
    <w:p w:rsidR="0058501F" w:rsidRDefault="0058501F" w:rsidP="0058501F">
      <w:pPr>
        <w:rPr>
          <w:rFonts w:hint="cs"/>
          <w:sz w:val="32"/>
          <w:szCs w:val="32"/>
          <w:rtl/>
        </w:rPr>
      </w:pPr>
    </w:p>
    <w:tbl>
      <w:tblPr>
        <w:tblStyle w:val="TableGrid"/>
        <w:bidiVisual/>
        <w:tblW w:w="0" w:type="auto"/>
        <w:jc w:val="center"/>
        <w:tblLook w:val="01E0" w:firstRow="1" w:lastRow="1" w:firstColumn="1" w:lastColumn="1" w:noHBand="0" w:noVBand="0"/>
      </w:tblPr>
      <w:tblGrid>
        <w:gridCol w:w="681"/>
        <w:gridCol w:w="681"/>
        <w:gridCol w:w="681"/>
        <w:gridCol w:w="681"/>
        <w:gridCol w:w="681"/>
        <w:gridCol w:w="681"/>
        <w:gridCol w:w="681"/>
        <w:gridCol w:w="681"/>
        <w:gridCol w:w="681"/>
        <w:gridCol w:w="681"/>
        <w:gridCol w:w="682"/>
        <w:gridCol w:w="682"/>
        <w:gridCol w:w="682"/>
      </w:tblGrid>
      <w:tr w:rsidR="0058501F" w:rsidRPr="00574921">
        <w:trPr>
          <w:jc w:val="center"/>
        </w:trPr>
        <w:tc>
          <w:tcPr>
            <w:tcW w:w="681" w:type="dxa"/>
          </w:tcPr>
          <w:p w:rsidR="0058501F" w:rsidRPr="00574921" w:rsidRDefault="0058501F" w:rsidP="0058501F">
            <w:pPr>
              <w:rPr>
                <w:rFonts w:cs="Traditional Arabic" w:hint="cs"/>
                <w:szCs w:val="20"/>
                <w:rtl/>
              </w:rPr>
            </w:pPr>
          </w:p>
        </w:tc>
        <w:tc>
          <w:tcPr>
            <w:tcW w:w="2043"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الثالث</w:t>
            </w:r>
          </w:p>
        </w:tc>
        <w:tc>
          <w:tcPr>
            <w:tcW w:w="2043"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الرابع</w:t>
            </w:r>
          </w:p>
        </w:tc>
        <w:tc>
          <w:tcPr>
            <w:tcW w:w="2043"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الصف الخامس</w:t>
            </w:r>
          </w:p>
        </w:tc>
        <w:tc>
          <w:tcPr>
            <w:tcW w:w="2046" w:type="dxa"/>
            <w:gridSpan w:val="3"/>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r>
      <w:tr w:rsidR="0058501F" w:rsidRPr="00574921">
        <w:trPr>
          <w:jc w:val="center"/>
        </w:trPr>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السنة</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أنثى</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أنثى</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أنثى</w:t>
            </w:r>
          </w:p>
        </w:tc>
        <w:tc>
          <w:tcPr>
            <w:tcW w:w="681"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c>
          <w:tcPr>
            <w:tcW w:w="682"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ذكر</w:t>
            </w:r>
          </w:p>
        </w:tc>
        <w:tc>
          <w:tcPr>
            <w:tcW w:w="682"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أنثى</w:t>
            </w:r>
          </w:p>
        </w:tc>
        <w:tc>
          <w:tcPr>
            <w:tcW w:w="682" w:type="dxa"/>
          </w:tcPr>
          <w:p w:rsidR="0058501F" w:rsidRPr="004324E0" w:rsidRDefault="0058501F" w:rsidP="0058501F">
            <w:pPr>
              <w:jc w:val="center"/>
              <w:rPr>
                <w:rFonts w:cs="Traditional Arabic" w:hint="cs"/>
                <w:b/>
                <w:bCs/>
                <w:szCs w:val="20"/>
                <w:rtl/>
              </w:rPr>
            </w:pPr>
            <w:r w:rsidRPr="004324E0">
              <w:rPr>
                <w:rFonts w:cs="Traditional Arabic" w:hint="cs"/>
                <w:b/>
                <w:bCs/>
                <w:szCs w:val="20"/>
                <w:rtl/>
              </w:rPr>
              <w:t>المجموع</w:t>
            </w:r>
          </w:p>
        </w:tc>
      </w:tr>
      <w:tr w:rsidR="0058501F" w:rsidRPr="00574921">
        <w:trPr>
          <w:jc w:val="center"/>
        </w:trPr>
        <w:tc>
          <w:tcPr>
            <w:tcW w:w="681" w:type="dxa"/>
          </w:tcPr>
          <w:p w:rsidR="0058501F" w:rsidRPr="00574921" w:rsidRDefault="0058501F" w:rsidP="0058501F">
            <w:pPr>
              <w:rPr>
                <w:rFonts w:cs="Traditional Arabic" w:hint="cs"/>
                <w:szCs w:val="20"/>
                <w:rtl/>
              </w:rPr>
            </w:pPr>
            <w:r>
              <w:rPr>
                <w:rFonts w:cs="Traditional Arabic" w:hint="cs"/>
                <w:szCs w:val="20"/>
                <w:rtl/>
              </w:rPr>
              <w:t>2003</w:t>
            </w:r>
          </w:p>
        </w:tc>
        <w:tc>
          <w:tcPr>
            <w:tcW w:w="681" w:type="dxa"/>
          </w:tcPr>
          <w:p w:rsidR="0058501F" w:rsidRPr="00574921" w:rsidRDefault="0058501F" w:rsidP="0058501F">
            <w:pPr>
              <w:rPr>
                <w:rFonts w:cs="Traditional Arabic" w:hint="cs"/>
                <w:szCs w:val="20"/>
                <w:rtl/>
              </w:rPr>
            </w:pPr>
            <w:r>
              <w:rPr>
                <w:rFonts w:cs="Traditional Arabic" w:hint="cs"/>
                <w:szCs w:val="20"/>
                <w:rtl/>
              </w:rPr>
              <w:t>44</w:t>
            </w:r>
          </w:p>
        </w:tc>
        <w:tc>
          <w:tcPr>
            <w:tcW w:w="681" w:type="dxa"/>
          </w:tcPr>
          <w:p w:rsidR="0058501F" w:rsidRPr="00574921" w:rsidRDefault="0058501F" w:rsidP="0058501F">
            <w:pPr>
              <w:rPr>
                <w:rFonts w:cs="Traditional Arabic" w:hint="cs"/>
                <w:szCs w:val="20"/>
                <w:rtl/>
              </w:rPr>
            </w:pPr>
            <w:r>
              <w:rPr>
                <w:rFonts w:cs="Traditional Arabic" w:hint="cs"/>
                <w:szCs w:val="20"/>
                <w:rtl/>
              </w:rPr>
              <w:t>55</w:t>
            </w:r>
          </w:p>
        </w:tc>
        <w:tc>
          <w:tcPr>
            <w:tcW w:w="681" w:type="dxa"/>
          </w:tcPr>
          <w:p w:rsidR="0058501F" w:rsidRPr="00574921" w:rsidRDefault="0058501F" w:rsidP="0058501F">
            <w:pPr>
              <w:rPr>
                <w:rFonts w:cs="Traditional Arabic" w:hint="cs"/>
                <w:szCs w:val="20"/>
                <w:rtl/>
              </w:rPr>
            </w:pPr>
            <w:r>
              <w:rPr>
                <w:rFonts w:cs="Traditional Arabic" w:hint="cs"/>
                <w:szCs w:val="20"/>
                <w:rtl/>
              </w:rPr>
              <w:t>99</w:t>
            </w: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2" w:type="dxa"/>
          </w:tcPr>
          <w:p w:rsidR="0058501F" w:rsidRPr="00574921" w:rsidRDefault="0058501F" w:rsidP="0058501F">
            <w:pPr>
              <w:rPr>
                <w:rFonts w:cs="Traditional Arabic" w:hint="cs"/>
                <w:szCs w:val="20"/>
                <w:rtl/>
              </w:rPr>
            </w:pPr>
            <w:r>
              <w:rPr>
                <w:rFonts w:cs="Traditional Arabic" w:hint="cs"/>
                <w:szCs w:val="20"/>
                <w:rtl/>
              </w:rPr>
              <w:t>44</w:t>
            </w:r>
          </w:p>
        </w:tc>
        <w:tc>
          <w:tcPr>
            <w:tcW w:w="682" w:type="dxa"/>
          </w:tcPr>
          <w:p w:rsidR="0058501F" w:rsidRPr="00574921" w:rsidRDefault="0058501F" w:rsidP="0058501F">
            <w:pPr>
              <w:rPr>
                <w:rFonts w:cs="Traditional Arabic" w:hint="cs"/>
                <w:szCs w:val="20"/>
                <w:rtl/>
              </w:rPr>
            </w:pPr>
            <w:r>
              <w:rPr>
                <w:rFonts w:cs="Traditional Arabic" w:hint="cs"/>
                <w:szCs w:val="20"/>
                <w:rtl/>
              </w:rPr>
              <w:t>55</w:t>
            </w:r>
          </w:p>
        </w:tc>
        <w:tc>
          <w:tcPr>
            <w:tcW w:w="682" w:type="dxa"/>
          </w:tcPr>
          <w:p w:rsidR="0058501F" w:rsidRPr="00574921" w:rsidRDefault="0058501F" w:rsidP="0058501F">
            <w:pPr>
              <w:rPr>
                <w:rFonts w:cs="Traditional Arabic" w:hint="cs"/>
                <w:szCs w:val="20"/>
                <w:rtl/>
              </w:rPr>
            </w:pPr>
            <w:r>
              <w:rPr>
                <w:rFonts w:cs="Traditional Arabic" w:hint="cs"/>
                <w:szCs w:val="20"/>
                <w:rtl/>
              </w:rPr>
              <w:t>99</w:t>
            </w:r>
          </w:p>
        </w:tc>
      </w:tr>
      <w:tr w:rsidR="0058501F" w:rsidRPr="00574921">
        <w:trPr>
          <w:jc w:val="center"/>
        </w:trPr>
        <w:tc>
          <w:tcPr>
            <w:tcW w:w="681" w:type="dxa"/>
          </w:tcPr>
          <w:p w:rsidR="0058501F" w:rsidRPr="00574921" w:rsidRDefault="0058501F" w:rsidP="0058501F">
            <w:pPr>
              <w:rPr>
                <w:rFonts w:cs="Traditional Arabic" w:hint="cs"/>
                <w:szCs w:val="20"/>
                <w:rtl/>
              </w:rPr>
            </w:pPr>
            <w:r>
              <w:rPr>
                <w:rFonts w:cs="Traditional Arabic" w:hint="cs"/>
                <w:szCs w:val="20"/>
                <w:rtl/>
              </w:rPr>
              <w:t>2004</w:t>
            </w:r>
          </w:p>
        </w:tc>
        <w:tc>
          <w:tcPr>
            <w:tcW w:w="681" w:type="dxa"/>
          </w:tcPr>
          <w:p w:rsidR="0058501F" w:rsidRPr="00574921" w:rsidRDefault="0058501F" w:rsidP="0058501F">
            <w:pPr>
              <w:rPr>
                <w:rFonts w:cs="Traditional Arabic" w:hint="cs"/>
                <w:szCs w:val="20"/>
                <w:rtl/>
              </w:rPr>
            </w:pPr>
            <w:r>
              <w:rPr>
                <w:rFonts w:cs="Traditional Arabic" w:hint="cs"/>
                <w:szCs w:val="20"/>
                <w:rtl/>
              </w:rPr>
              <w:t>35</w:t>
            </w:r>
          </w:p>
        </w:tc>
        <w:tc>
          <w:tcPr>
            <w:tcW w:w="681" w:type="dxa"/>
          </w:tcPr>
          <w:p w:rsidR="0058501F" w:rsidRPr="00574921" w:rsidRDefault="0058501F" w:rsidP="0058501F">
            <w:pPr>
              <w:rPr>
                <w:rFonts w:cs="Traditional Arabic" w:hint="cs"/>
                <w:szCs w:val="20"/>
                <w:rtl/>
              </w:rPr>
            </w:pPr>
            <w:r>
              <w:rPr>
                <w:rFonts w:cs="Traditional Arabic" w:hint="cs"/>
                <w:szCs w:val="20"/>
                <w:rtl/>
              </w:rPr>
              <w:t>25</w:t>
            </w:r>
          </w:p>
        </w:tc>
        <w:tc>
          <w:tcPr>
            <w:tcW w:w="681" w:type="dxa"/>
          </w:tcPr>
          <w:p w:rsidR="0058501F" w:rsidRPr="00574921" w:rsidRDefault="0058501F" w:rsidP="0058501F">
            <w:pPr>
              <w:rPr>
                <w:rFonts w:cs="Traditional Arabic" w:hint="cs"/>
                <w:szCs w:val="20"/>
                <w:rtl/>
              </w:rPr>
            </w:pPr>
            <w:r>
              <w:rPr>
                <w:rFonts w:cs="Traditional Arabic" w:hint="cs"/>
                <w:szCs w:val="20"/>
                <w:rtl/>
              </w:rPr>
              <w:t>60</w:t>
            </w:r>
          </w:p>
        </w:tc>
        <w:tc>
          <w:tcPr>
            <w:tcW w:w="681" w:type="dxa"/>
          </w:tcPr>
          <w:p w:rsidR="0058501F" w:rsidRPr="00574921" w:rsidRDefault="0058501F" w:rsidP="0058501F">
            <w:pPr>
              <w:rPr>
                <w:rFonts w:cs="Traditional Arabic" w:hint="cs"/>
                <w:szCs w:val="20"/>
                <w:rtl/>
              </w:rPr>
            </w:pPr>
            <w:r>
              <w:rPr>
                <w:rFonts w:cs="Traditional Arabic" w:hint="cs"/>
                <w:szCs w:val="20"/>
                <w:rtl/>
              </w:rPr>
              <w:t>61</w:t>
            </w:r>
          </w:p>
        </w:tc>
        <w:tc>
          <w:tcPr>
            <w:tcW w:w="681" w:type="dxa"/>
          </w:tcPr>
          <w:p w:rsidR="0058501F" w:rsidRPr="00574921" w:rsidRDefault="0058501F" w:rsidP="0058501F">
            <w:pPr>
              <w:rPr>
                <w:rFonts w:cs="Traditional Arabic" w:hint="cs"/>
                <w:szCs w:val="20"/>
                <w:rtl/>
              </w:rPr>
            </w:pPr>
            <w:r>
              <w:rPr>
                <w:rFonts w:cs="Traditional Arabic" w:hint="cs"/>
                <w:szCs w:val="20"/>
                <w:rtl/>
              </w:rPr>
              <w:t>76</w:t>
            </w:r>
          </w:p>
        </w:tc>
        <w:tc>
          <w:tcPr>
            <w:tcW w:w="681" w:type="dxa"/>
          </w:tcPr>
          <w:p w:rsidR="0058501F" w:rsidRPr="00574921" w:rsidRDefault="0058501F" w:rsidP="0058501F">
            <w:pPr>
              <w:rPr>
                <w:rFonts w:cs="Traditional Arabic" w:hint="cs"/>
                <w:szCs w:val="20"/>
                <w:rtl/>
              </w:rPr>
            </w:pPr>
            <w:r>
              <w:rPr>
                <w:rFonts w:cs="Traditional Arabic" w:hint="cs"/>
                <w:szCs w:val="20"/>
                <w:rtl/>
              </w:rPr>
              <w:t>137</w:t>
            </w: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2" w:type="dxa"/>
          </w:tcPr>
          <w:p w:rsidR="0058501F" w:rsidRPr="00574921" w:rsidRDefault="0058501F" w:rsidP="0058501F">
            <w:pPr>
              <w:rPr>
                <w:rFonts w:cs="Traditional Arabic" w:hint="cs"/>
                <w:szCs w:val="20"/>
                <w:rtl/>
              </w:rPr>
            </w:pPr>
            <w:r>
              <w:rPr>
                <w:rFonts w:cs="Traditional Arabic" w:hint="cs"/>
                <w:szCs w:val="20"/>
                <w:rtl/>
              </w:rPr>
              <w:t>96</w:t>
            </w:r>
          </w:p>
        </w:tc>
        <w:tc>
          <w:tcPr>
            <w:tcW w:w="682" w:type="dxa"/>
          </w:tcPr>
          <w:p w:rsidR="0058501F" w:rsidRPr="00574921" w:rsidRDefault="0058501F" w:rsidP="0058501F">
            <w:pPr>
              <w:rPr>
                <w:rFonts w:cs="Traditional Arabic" w:hint="cs"/>
                <w:szCs w:val="20"/>
                <w:rtl/>
              </w:rPr>
            </w:pPr>
            <w:r>
              <w:rPr>
                <w:rFonts w:cs="Traditional Arabic" w:hint="cs"/>
                <w:szCs w:val="20"/>
                <w:rtl/>
              </w:rPr>
              <w:t>101</w:t>
            </w:r>
          </w:p>
        </w:tc>
        <w:tc>
          <w:tcPr>
            <w:tcW w:w="682" w:type="dxa"/>
          </w:tcPr>
          <w:p w:rsidR="0058501F" w:rsidRPr="00574921" w:rsidRDefault="0058501F" w:rsidP="0058501F">
            <w:pPr>
              <w:rPr>
                <w:rFonts w:cs="Traditional Arabic" w:hint="cs"/>
                <w:szCs w:val="20"/>
                <w:rtl/>
              </w:rPr>
            </w:pPr>
            <w:r>
              <w:rPr>
                <w:rFonts w:cs="Traditional Arabic" w:hint="cs"/>
                <w:szCs w:val="20"/>
                <w:rtl/>
              </w:rPr>
              <w:t>197</w:t>
            </w:r>
          </w:p>
        </w:tc>
      </w:tr>
      <w:tr w:rsidR="0058501F" w:rsidRPr="00574921">
        <w:trPr>
          <w:jc w:val="center"/>
        </w:trPr>
        <w:tc>
          <w:tcPr>
            <w:tcW w:w="681" w:type="dxa"/>
          </w:tcPr>
          <w:p w:rsidR="0058501F" w:rsidRPr="00574921" w:rsidRDefault="0058501F" w:rsidP="0058501F">
            <w:pPr>
              <w:rPr>
                <w:rFonts w:cs="Traditional Arabic" w:hint="cs"/>
                <w:szCs w:val="20"/>
                <w:rtl/>
              </w:rPr>
            </w:pPr>
            <w:r>
              <w:rPr>
                <w:rFonts w:cs="Traditional Arabic" w:hint="cs"/>
                <w:szCs w:val="20"/>
                <w:rtl/>
              </w:rPr>
              <w:t>2005</w:t>
            </w:r>
          </w:p>
        </w:tc>
        <w:tc>
          <w:tcPr>
            <w:tcW w:w="681" w:type="dxa"/>
          </w:tcPr>
          <w:p w:rsidR="0058501F" w:rsidRPr="00574921" w:rsidRDefault="0058501F" w:rsidP="0058501F">
            <w:pPr>
              <w:rPr>
                <w:rFonts w:cs="Traditional Arabic" w:hint="cs"/>
                <w:szCs w:val="20"/>
                <w:rtl/>
              </w:rPr>
            </w:pPr>
            <w:r>
              <w:rPr>
                <w:rFonts w:cs="Traditional Arabic" w:hint="cs"/>
                <w:szCs w:val="20"/>
                <w:rtl/>
              </w:rPr>
              <w:t>21</w:t>
            </w:r>
          </w:p>
        </w:tc>
        <w:tc>
          <w:tcPr>
            <w:tcW w:w="681" w:type="dxa"/>
          </w:tcPr>
          <w:p w:rsidR="0058501F" w:rsidRPr="00574921" w:rsidRDefault="0058501F" w:rsidP="0058501F">
            <w:pPr>
              <w:rPr>
                <w:rFonts w:cs="Traditional Arabic" w:hint="cs"/>
                <w:szCs w:val="20"/>
                <w:rtl/>
              </w:rPr>
            </w:pPr>
            <w:r>
              <w:rPr>
                <w:rFonts w:cs="Traditional Arabic" w:hint="cs"/>
                <w:szCs w:val="20"/>
                <w:rtl/>
              </w:rPr>
              <w:t>14</w:t>
            </w:r>
          </w:p>
        </w:tc>
        <w:tc>
          <w:tcPr>
            <w:tcW w:w="681" w:type="dxa"/>
          </w:tcPr>
          <w:p w:rsidR="0058501F" w:rsidRPr="00574921" w:rsidRDefault="0058501F" w:rsidP="0058501F">
            <w:pPr>
              <w:rPr>
                <w:rFonts w:cs="Traditional Arabic" w:hint="cs"/>
                <w:szCs w:val="20"/>
                <w:rtl/>
              </w:rPr>
            </w:pPr>
            <w:r>
              <w:rPr>
                <w:rFonts w:cs="Traditional Arabic" w:hint="cs"/>
                <w:szCs w:val="20"/>
                <w:rtl/>
              </w:rPr>
              <w:t>35</w:t>
            </w:r>
          </w:p>
        </w:tc>
        <w:tc>
          <w:tcPr>
            <w:tcW w:w="681" w:type="dxa"/>
          </w:tcPr>
          <w:p w:rsidR="0058501F" w:rsidRPr="00574921" w:rsidRDefault="0058501F" w:rsidP="0058501F">
            <w:pPr>
              <w:rPr>
                <w:rFonts w:cs="Traditional Arabic" w:hint="cs"/>
                <w:szCs w:val="20"/>
                <w:rtl/>
              </w:rPr>
            </w:pPr>
            <w:r>
              <w:rPr>
                <w:rFonts w:cs="Traditional Arabic" w:hint="cs"/>
                <w:szCs w:val="20"/>
                <w:rtl/>
              </w:rPr>
              <w:t>54</w:t>
            </w:r>
          </w:p>
        </w:tc>
        <w:tc>
          <w:tcPr>
            <w:tcW w:w="681" w:type="dxa"/>
          </w:tcPr>
          <w:p w:rsidR="0058501F" w:rsidRPr="00574921" w:rsidRDefault="0058501F" w:rsidP="0058501F">
            <w:pPr>
              <w:rPr>
                <w:rFonts w:cs="Traditional Arabic" w:hint="cs"/>
                <w:szCs w:val="20"/>
                <w:rtl/>
              </w:rPr>
            </w:pPr>
            <w:r>
              <w:rPr>
                <w:rFonts w:cs="Traditional Arabic" w:hint="cs"/>
                <w:szCs w:val="20"/>
                <w:rtl/>
              </w:rPr>
              <w:t>52</w:t>
            </w:r>
          </w:p>
        </w:tc>
        <w:tc>
          <w:tcPr>
            <w:tcW w:w="681" w:type="dxa"/>
          </w:tcPr>
          <w:p w:rsidR="0058501F" w:rsidRPr="00574921" w:rsidRDefault="0058501F" w:rsidP="0058501F">
            <w:pPr>
              <w:rPr>
                <w:rFonts w:cs="Traditional Arabic" w:hint="cs"/>
                <w:szCs w:val="20"/>
                <w:rtl/>
              </w:rPr>
            </w:pPr>
            <w:r>
              <w:rPr>
                <w:rFonts w:cs="Traditional Arabic" w:hint="cs"/>
                <w:szCs w:val="20"/>
                <w:rtl/>
              </w:rPr>
              <w:t>106</w:t>
            </w:r>
          </w:p>
        </w:tc>
        <w:tc>
          <w:tcPr>
            <w:tcW w:w="681" w:type="dxa"/>
          </w:tcPr>
          <w:p w:rsidR="0058501F" w:rsidRPr="00574921" w:rsidRDefault="0058501F" w:rsidP="0058501F">
            <w:pPr>
              <w:rPr>
                <w:rFonts w:cs="Traditional Arabic" w:hint="cs"/>
                <w:szCs w:val="20"/>
                <w:rtl/>
              </w:rPr>
            </w:pPr>
            <w:r>
              <w:rPr>
                <w:rFonts w:cs="Traditional Arabic" w:hint="cs"/>
                <w:szCs w:val="20"/>
                <w:rtl/>
              </w:rPr>
              <w:t>17</w:t>
            </w:r>
          </w:p>
        </w:tc>
        <w:tc>
          <w:tcPr>
            <w:tcW w:w="681" w:type="dxa"/>
          </w:tcPr>
          <w:p w:rsidR="0058501F" w:rsidRPr="00574921" w:rsidRDefault="0058501F" w:rsidP="0058501F">
            <w:pPr>
              <w:rPr>
                <w:rFonts w:cs="Traditional Arabic" w:hint="cs"/>
                <w:szCs w:val="20"/>
                <w:rtl/>
              </w:rPr>
            </w:pPr>
            <w:r>
              <w:rPr>
                <w:rFonts w:cs="Traditional Arabic" w:hint="cs"/>
                <w:szCs w:val="20"/>
                <w:rtl/>
              </w:rPr>
              <w:t>20</w:t>
            </w:r>
          </w:p>
        </w:tc>
        <w:tc>
          <w:tcPr>
            <w:tcW w:w="681" w:type="dxa"/>
          </w:tcPr>
          <w:p w:rsidR="0058501F" w:rsidRPr="00574921" w:rsidRDefault="0058501F" w:rsidP="0058501F">
            <w:pPr>
              <w:rPr>
                <w:rFonts w:cs="Traditional Arabic" w:hint="cs"/>
                <w:szCs w:val="20"/>
                <w:rtl/>
              </w:rPr>
            </w:pPr>
            <w:r>
              <w:rPr>
                <w:rFonts w:cs="Traditional Arabic" w:hint="cs"/>
                <w:szCs w:val="20"/>
                <w:rtl/>
              </w:rPr>
              <w:t>37</w:t>
            </w:r>
          </w:p>
        </w:tc>
        <w:tc>
          <w:tcPr>
            <w:tcW w:w="682" w:type="dxa"/>
          </w:tcPr>
          <w:p w:rsidR="0058501F" w:rsidRPr="00574921" w:rsidRDefault="0058501F" w:rsidP="0058501F">
            <w:pPr>
              <w:rPr>
                <w:rFonts w:cs="Traditional Arabic" w:hint="cs"/>
                <w:szCs w:val="20"/>
                <w:rtl/>
              </w:rPr>
            </w:pPr>
            <w:r>
              <w:rPr>
                <w:rFonts w:cs="Traditional Arabic" w:hint="cs"/>
                <w:szCs w:val="20"/>
                <w:rtl/>
              </w:rPr>
              <w:t>92</w:t>
            </w:r>
          </w:p>
        </w:tc>
        <w:tc>
          <w:tcPr>
            <w:tcW w:w="682" w:type="dxa"/>
          </w:tcPr>
          <w:p w:rsidR="0058501F" w:rsidRPr="00574921" w:rsidRDefault="0058501F" w:rsidP="0058501F">
            <w:pPr>
              <w:rPr>
                <w:rFonts w:cs="Traditional Arabic" w:hint="cs"/>
                <w:szCs w:val="20"/>
                <w:rtl/>
              </w:rPr>
            </w:pPr>
            <w:r>
              <w:rPr>
                <w:rFonts w:cs="Traditional Arabic" w:hint="cs"/>
                <w:szCs w:val="20"/>
                <w:rtl/>
              </w:rPr>
              <w:t>86</w:t>
            </w:r>
          </w:p>
        </w:tc>
        <w:tc>
          <w:tcPr>
            <w:tcW w:w="682" w:type="dxa"/>
          </w:tcPr>
          <w:p w:rsidR="0058501F" w:rsidRPr="00574921" w:rsidRDefault="0058501F" w:rsidP="0058501F">
            <w:pPr>
              <w:rPr>
                <w:rFonts w:cs="Traditional Arabic" w:hint="cs"/>
                <w:szCs w:val="20"/>
                <w:rtl/>
              </w:rPr>
            </w:pPr>
            <w:r>
              <w:rPr>
                <w:rFonts w:cs="Traditional Arabic" w:hint="cs"/>
                <w:szCs w:val="20"/>
                <w:rtl/>
              </w:rPr>
              <w:t>178</w:t>
            </w:r>
          </w:p>
        </w:tc>
      </w:tr>
      <w:tr w:rsidR="0058501F" w:rsidRPr="00574921">
        <w:trPr>
          <w:jc w:val="center"/>
        </w:trPr>
        <w:tc>
          <w:tcPr>
            <w:tcW w:w="681" w:type="dxa"/>
          </w:tcPr>
          <w:p w:rsidR="0058501F" w:rsidRPr="00574921" w:rsidRDefault="0058501F" w:rsidP="0058501F">
            <w:pPr>
              <w:rPr>
                <w:rFonts w:cs="Traditional Arabic" w:hint="cs"/>
                <w:szCs w:val="20"/>
                <w:rtl/>
              </w:rPr>
            </w:pPr>
            <w:r>
              <w:rPr>
                <w:rFonts w:cs="Traditional Arabic" w:hint="cs"/>
                <w:szCs w:val="20"/>
                <w:rtl/>
              </w:rPr>
              <w:t>2006</w:t>
            </w: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1" w:type="dxa"/>
          </w:tcPr>
          <w:p w:rsidR="0058501F" w:rsidRPr="00574921" w:rsidRDefault="0058501F" w:rsidP="0058501F">
            <w:pPr>
              <w:rPr>
                <w:rFonts w:cs="Traditional Arabic" w:hint="cs"/>
                <w:szCs w:val="20"/>
                <w:rtl/>
              </w:rPr>
            </w:pPr>
          </w:p>
        </w:tc>
        <w:tc>
          <w:tcPr>
            <w:tcW w:w="682" w:type="dxa"/>
          </w:tcPr>
          <w:p w:rsidR="0058501F" w:rsidRPr="00574921" w:rsidRDefault="0058501F" w:rsidP="0058501F">
            <w:pPr>
              <w:rPr>
                <w:rFonts w:cs="Traditional Arabic" w:hint="cs"/>
                <w:szCs w:val="20"/>
                <w:rtl/>
              </w:rPr>
            </w:pPr>
          </w:p>
        </w:tc>
        <w:tc>
          <w:tcPr>
            <w:tcW w:w="682" w:type="dxa"/>
          </w:tcPr>
          <w:p w:rsidR="0058501F" w:rsidRPr="00574921" w:rsidRDefault="0058501F" w:rsidP="0058501F">
            <w:pPr>
              <w:rPr>
                <w:rFonts w:cs="Traditional Arabic" w:hint="cs"/>
                <w:szCs w:val="20"/>
                <w:rtl/>
              </w:rPr>
            </w:pPr>
          </w:p>
        </w:tc>
        <w:tc>
          <w:tcPr>
            <w:tcW w:w="682" w:type="dxa"/>
          </w:tcPr>
          <w:p w:rsidR="0058501F" w:rsidRPr="00574921" w:rsidRDefault="0058501F" w:rsidP="0058501F">
            <w:pPr>
              <w:rPr>
                <w:rFonts w:cs="Traditional Arabic" w:hint="cs"/>
                <w:szCs w:val="20"/>
                <w:rtl/>
              </w:rPr>
            </w:pPr>
          </w:p>
        </w:tc>
      </w:tr>
    </w:tbl>
    <w:p w:rsidR="0058501F" w:rsidRPr="006D5033" w:rsidRDefault="006D5033" w:rsidP="0058501F">
      <w:pPr>
        <w:rPr>
          <w:rFonts w:hint="cs"/>
          <w:sz w:val="26"/>
          <w:szCs w:val="26"/>
          <w:rtl/>
        </w:rPr>
      </w:pPr>
      <w:r>
        <w:rPr>
          <w:rFonts w:hint="cs"/>
          <w:sz w:val="28"/>
          <w:szCs w:val="28"/>
          <w:rtl/>
        </w:rPr>
        <w:tab/>
      </w:r>
      <w:r w:rsidR="0058501F" w:rsidRPr="006D5033">
        <w:rPr>
          <w:rFonts w:hint="cs"/>
          <w:sz w:val="26"/>
          <w:szCs w:val="26"/>
          <w:rtl/>
        </w:rPr>
        <w:t>المصدر: مدرسة فيتوفالو الثانوية (بيانات لم تنشر)</w:t>
      </w:r>
      <w:r w:rsidR="00402408">
        <w:rPr>
          <w:rFonts w:hint="cs"/>
          <w:sz w:val="26"/>
          <w:szCs w:val="26"/>
          <w:rtl/>
        </w:rPr>
        <w:t>.</w:t>
      </w:r>
    </w:p>
    <w:p w:rsidR="0058501F" w:rsidRDefault="0058501F" w:rsidP="0058501F">
      <w:pPr>
        <w:rPr>
          <w:rFonts w:hint="cs"/>
          <w:sz w:val="32"/>
          <w:szCs w:val="32"/>
          <w:rtl/>
        </w:rPr>
      </w:pPr>
    </w:p>
    <w:p w:rsidR="0058501F" w:rsidRDefault="006D5033" w:rsidP="006D5033">
      <w:pPr>
        <w:pStyle w:val="SingleTxt"/>
        <w:rPr>
          <w:rFonts w:hint="cs"/>
          <w:rtl/>
        </w:rPr>
      </w:pPr>
      <w:r>
        <w:rPr>
          <w:rFonts w:hint="cs"/>
          <w:rtl/>
        </w:rPr>
        <w:t xml:space="preserve">10-12  </w:t>
      </w:r>
      <w:r w:rsidR="0058501F">
        <w:rPr>
          <w:rFonts w:hint="cs"/>
          <w:rtl/>
        </w:rPr>
        <w:t>منذ عام 2003، يتوقف قبول الطلاب في مدرسة موتوفوا الثانوية على قدرتهم على اجتياز امتحان القبول للمرحلة الثانوية في نهاية مرحلة الدراسة الابتدائية. من جهة أخرى فإن مدرسة فيتوفالو الثانوية أكثر مرونة. فهي تقبل الطلاب الذين يجتازون امتحان القبول للمرحلة الثانوية وكذلك الذين تكون درجاتهم قريبة من درجات النجاح.</w:t>
      </w:r>
    </w:p>
    <w:p w:rsidR="0058501F" w:rsidRDefault="006D5033" w:rsidP="006D5033">
      <w:pPr>
        <w:pStyle w:val="SingleTxt"/>
        <w:rPr>
          <w:rFonts w:hint="cs"/>
          <w:rtl/>
        </w:rPr>
      </w:pPr>
      <w:r>
        <w:rPr>
          <w:rFonts w:hint="cs"/>
          <w:rtl/>
        </w:rPr>
        <w:t xml:space="preserve">10-13  </w:t>
      </w:r>
      <w:r w:rsidR="0058501F">
        <w:rPr>
          <w:rFonts w:hint="cs"/>
          <w:rtl/>
        </w:rPr>
        <w:t>يبين الجدول 19 (أ) أن عدد الذكور أكثر من عدد الإناث في الصفين الثالث والرابع. إلا أن عدد الذكور يتناقص مع انتقالهم إلى الصف الخامس والسادس. وفي مدرسة موتوفوا لا ينتقل إلى الصف الخامس إلا الذين يجتازون امتحان شهادة فيجي للمرحلة الثانوية الدنيا. وتجري مدرسة فيتوفالو تصفيتها للطلاب في الصف الخامس. ولا ينتقل إلى الصفين السادس والسابع إلا الطلاب الذين يجتازون امتحان الدراسة الثانوية العامة الدولية. وتسمح كلتا المدرستين للطلاب بأن يعيدوا الصفوف بموجب شروط خاصة.</w:t>
      </w:r>
    </w:p>
    <w:p w:rsidR="0058501F" w:rsidRDefault="006D5033" w:rsidP="006D5033">
      <w:pPr>
        <w:pStyle w:val="SingleTxt"/>
        <w:rPr>
          <w:rFonts w:hint="cs"/>
          <w:rtl/>
        </w:rPr>
      </w:pPr>
      <w:r>
        <w:rPr>
          <w:rFonts w:hint="cs"/>
          <w:rtl/>
        </w:rPr>
        <w:t xml:space="preserve">10-14  </w:t>
      </w:r>
      <w:r w:rsidR="0058501F">
        <w:rPr>
          <w:rFonts w:hint="cs"/>
          <w:rtl/>
        </w:rPr>
        <w:t xml:space="preserve">عدم وجود أية أحكام تستند إلى نوع جنس الطالب أو أية معايير أخرى يدل بوضوح على أن التعليم الثانوي مفتوح للجميع. ولذلك، فإن عدم المساواة بين الجنسين في المدارس الثانوية ليست قضية. وفرص التعليم في توفالو، على المستويين الابتدائي والثانوي، تتوقف إلى حد كبير على الجدارة. والطلاب المتفوقون، بغض النظر عن نوع جنسهم، تتاح لهم فرصة الالتحاق بمدرسة موتوفوا الثانوية بناءً على نتائجهم في امتحان القبول. </w:t>
      </w:r>
    </w:p>
    <w:p w:rsidR="006D5033" w:rsidRPr="006D5033" w:rsidRDefault="006D5033" w:rsidP="006D5033">
      <w:pPr>
        <w:spacing w:line="120" w:lineRule="exact"/>
        <w:rPr>
          <w:rFonts w:hint="cs"/>
          <w:sz w:val="10"/>
          <w:szCs w:val="32"/>
          <w:rtl/>
        </w:rPr>
      </w:pPr>
    </w:p>
    <w:p w:rsidR="0058501F" w:rsidRPr="00574921" w:rsidRDefault="006D5033" w:rsidP="006D503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8501F" w:rsidRPr="00574921">
        <w:rPr>
          <w:rFonts w:hint="cs"/>
          <w:rtl/>
        </w:rPr>
        <w:t>التعليم بعد المرحلة الثانوية</w:t>
      </w:r>
    </w:p>
    <w:p w:rsidR="0058501F" w:rsidRDefault="0058501F" w:rsidP="006D5033">
      <w:pPr>
        <w:pStyle w:val="SingleTxt"/>
        <w:rPr>
          <w:rFonts w:hint="cs"/>
          <w:rtl/>
        </w:rPr>
      </w:pPr>
      <w:r>
        <w:rPr>
          <w:rFonts w:hint="cs"/>
          <w:rtl/>
        </w:rPr>
        <w:t>10-15</w:t>
      </w:r>
      <w:r w:rsidR="006D5033">
        <w:rPr>
          <w:rFonts w:hint="cs"/>
          <w:rtl/>
        </w:rPr>
        <w:t xml:space="preserve">  </w:t>
      </w:r>
      <w:r>
        <w:rPr>
          <w:rFonts w:hint="cs"/>
          <w:rtl/>
        </w:rPr>
        <w:t>التدريب في توفالو بعد المرحلة الثانوية محدود جداً، وتنحصر الخيارات في المواضيع التي يقدمها مركز التعليم عن بعد والتعليم المرن التابع لجامعة جنوب الهادئ ومعهد توفالو للتدريب البحري ومدارس الطباعة الخاصة. وبهذه المحدودية، فإن الذين يريدون السعي لتعلم حرفة يفضلونها يتعين عليهم الحصول على تمويل للدراسة في مؤسسات في الخارج. ويمول معظم التدريب بعد المرحلة الثانوية من الحكومة أو من خلال منح من مانحين أجانب.</w:t>
      </w:r>
    </w:p>
    <w:p w:rsidR="003E7CC2" w:rsidRPr="003E7CC2" w:rsidRDefault="003E7CC2" w:rsidP="003E7CC2">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58501F" w:rsidRPr="006D5033" w:rsidRDefault="006D5033" w:rsidP="006D5033">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sidRPr="006D5033">
        <w:rPr>
          <w:rFonts w:hint="cs"/>
          <w:rtl/>
        </w:rPr>
        <w:t>’1‘</w:t>
      </w:r>
      <w:r w:rsidRPr="006D5033">
        <w:rPr>
          <w:rFonts w:hint="cs"/>
          <w:rtl/>
        </w:rPr>
        <w:tab/>
      </w:r>
      <w:r w:rsidR="0058501F" w:rsidRPr="006D5033">
        <w:rPr>
          <w:rFonts w:hint="cs"/>
          <w:rtl/>
        </w:rPr>
        <w:t xml:space="preserve">الصف السابع أو التأسيس المعزز </w:t>
      </w:r>
    </w:p>
    <w:p w:rsidR="0058501F" w:rsidRDefault="006D5033" w:rsidP="006D5033">
      <w:pPr>
        <w:pStyle w:val="SingleTxt"/>
        <w:rPr>
          <w:rFonts w:hint="cs"/>
          <w:rtl/>
        </w:rPr>
      </w:pPr>
      <w:r>
        <w:rPr>
          <w:rFonts w:hint="cs"/>
          <w:rtl/>
        </w:rPr>
        <w:t xml:space="preserve">10-16  </w:t>
      </w:r>
      <w:r w:rsidR="0058501F">
        <w:rPr>
          <w:rFonts w:hint="cs"/>
          <w:rtl/>
        </w:rPr>
        <w:t>قبل عام 2004، كانت تقدم للطلاب الذين يجتازون امتحان الشهادة المدرسية العليا في منطقة الهادئ منحاً للدراسة في الخارج. وفي عام 2004، أدخل برنامج الصف السابع أو التأسيس المعزز في مركز جامعة جنوب الهادئ الموجود في جزيرة فونافوتي. وهذا مكن مزيداً من الطلاب من دخول البرنامج ومواصلة الدراسة في توفالو. مما أدى إلى إحداث تخفيض كبير في التكاليف التي تتحملها الحكومة والتكاليف التي يتحملها الطلاب الذين يدرسون على حسابهم الخاص أيضاً. وفي عام 2004، كان مجموع عدد الملتحقين 62 طالباً وازداد في عام 2005 إلى 142 طالباً. ويبين الشكل 5 أن عدد الطالبات الملتحقات بالمركز في عامي 2004 و 2005 أكثر من عدد الطلاب.</w:t>
      </w:r>
    </w:p>
    <w:p w:rsidR="0058501F" w:rsidRDefault="006D5033" w:rsidP="006D503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Pr>
          <w:rFonts w:hint="cs"/>
          <w:rtl/>
        </w:rPr>
        <w:tab/>
      </w:r>
      <w:r>
        <w:rPr>
          <w:rFonts w:hint="cs"/>
          <w:rtl/>
        </w:rPr>
        <w:tab/>
      </w:r>
      <w:r w:rsidRPr="006D5033">
        <w:rPr>
          <w:rFonts w:hint="cs"/>
          <w:rtl/>
        </w:rPr>
        <w:t>الشكل 5: عدد طلاب الصف السابع موزعين حسب السنة</w:t>
      </w:r>
      <w:r>
        <w:rPr>
          <w:rFonts w:hint="cs"/>
          <w:rtl/>
        </w:rPr>
        <w:t xml:space="preserve"> </w:t>
      </w:r>
      <w:r w:rsidRPr="006D5033">
        <w:rPr>
          <w:rFonts w:hint="cs"/>
          <w:rtl/>
        </w:rPr>
        <w:t xml:space="preserve">ونوع الجنس،  2004 </w:t>
      </w:r>
      <w:r w:rsidR="00084D51">
        <w:rPr>
          <w:rtl/>
        </w:rPr>
        <w:t>-</w:t>
      </w:r>
      <w:r w:rsidRPr="006D5033">
        <w:rPr>
          <w:rFonts w:hint="cs"/>
          <w:rtl/>
        </w:rPr>
        <w:t xml:space="preserve"> 2005</w:t>
      </w:r>
    </w:p>
    <w:p w:rsidR="006D5033" w:rsidRDefault="00EB3202" w:rsidP="0058501F">
      <w:pPr>
        <w:jc w:val="center"/>
        <w:rPr>
          <w:rFonts w:hint="cs"/>
          <w:b/>
          <w:bCs/>
          <w:sz w:val="28"/>
          <w:szCs w:val="28"/>
          <w:rtl/>
        </w:rPr>
      </w:pPr>
      <w:r>
        <w:rPr>
          <w:rFonts w:hint="cs"/>
          <w:b/>
          <w:bCs/>
          <w:noProof/>
          <w:w w:val="100"/>
          <w:sz w:val="28"/>
          <w:szCs w:val="28"/>
          <w:rtl/>
        </w:rPr>
        <w:pict>
          <v:shape id="_x0000_s2563" type="#_x0000_t202" style="position:absolute;left:0;text-align:left;margin-left:149.05pt;margin-top:13.25pt;width:228pt;height:18pt;z-index:18" strokecolor="white">
            <v:textbox inset="0,0,0,0">
              <w:txbxContent>
                <w:p w:rsidR="00F93B21" w:rsidRPr="00EB3202" w:rsidRDefault="00F93B21" w:rsidP="00EB3202">
                  <w:pPr>
                    <w:spacing w:line="260" w:lineRule="exact"/>
                    <w:jc w:val="center"/>
                    <w:rPr>
                      <w:rFonts w:hint="cs"/>
                      <w:sz w:val="16"/>
                      <w:szCs w:val="26"/>
                      <w:lang w:bidi="ar-EG"/>
                    </w:rPr>
                  </w:pPr>
                  <w:r>
                    <w:rPr>
                      <w:rFonts w:hint="cs"/>
                      <w:sz w:val="16"/>
                      <w:szCs w:val="26"/>
                      <w:rtl/>
                      <w:lang w:bidi="ar-EG"/>
                    </w:rPr>
                    <w:t>عدد طلاب الصف السابع في جامعة جنوب الهادئ</w:t>
                  </w:r>
                </w:p>
              </w:txbxContent>
            </v:textbox>
          </v:shape>
        </w:pict>
      </w:r>
      <w:r w:rsidR="006D5033">
        <w:rPr>
          <w:noProof/>
        </w:rPr>
        <w:pict>
          <v:shape id="_x0000_s2560" type="#_x0000_t75" style="position:absolute;left:0;text-align:left;margin-left:93.3pt;margin-top:4.4pt;width:305.85pt;height:212.55pt;z-index:17">
            <v:imagedata r:id="rId18" o:title=""/>
          </v:shape>
        </w:pict>
      </w:r>
    </w:p>
    <w:p w:rsidR="006D5033" w:rsidRDefault="006D5033" w:rsidP="0058501F">
      <w:pPr>
        <w:jc w:val="center"/>
        <w:rPr>
          <w:rFonts w:hint="cs"/>
          <w:b/>
          <w:bCs/>
          <w:sz w:val="28"/>
          <w:szCs w:val="28"/>
          <w:rtl/>
        </w:rPr>
      </w:pPr>
    </w:p>
    <w:p w:rsidR="006D5033" w:rsidRDefault="00EB3202" w:rsidP="0058501F">
      <w:pPr>
        <w:jc w:val="center"/>
        <w:rPr>
          <w:rFonts w:hint="cs"/>
          <w:b/>
          <w:bCs/>
          <w:sz w:val="28"/>
          <w:szCs w:val="28"/>
          <w:rtl/>
        </w:rPr>
      </w:pPr>
      <w:r>
        <w:rPr>
          <w:rFonts w:hint="cs"/>
          <w:b/>
          <w:bCs/>
          <w:noProof/>
          <w:w w:val="100"/>
          <w:sz w:val="28"/>
          <w:szCs w:val="28"/>
          <w:rtl/>
        </w:rPr>
        <w:pict>
          <v:shape id="_x0000_s2567" type="#_x0000_t202" style="position:absolute;left:0;text-align:left;margin-left:104pt;margin-top:18.4pt;width:16pt;height:81pt;z-index:19" strokecolor="white">
            <v:textbox style="layout-flow:vertical;mso-layout-flow-alt:bottom-to-top" inset="0,0,0,0">
              <w:txbxContent>
                <w:p w:rsidR="00F93B21" w:rsidRPr="00EB3202" w:rsidRDefault="00F93B21" w:rsidP="00EB3202">
                  <w:pPr>
                    <w:spacing w:line="260" w:lineRule="exact"/>
                    <w:jc w:val="center"/>
                    <w:rPr>
                      <w:rFonts w:hint="cs"/>
                      <w:sz w:val="16"/>
                      <w:szCs w:val="26"/>
                      <w:lang w:bidi="ar-EG"/>
                    </w:rPr>
                  </w:pPr>
                  <w:r>
                    <w:rPr>
                      <w:rFonts w:hint="cs"/>
                      <w:sz w:val="16"/>
                      <w:szCs w:val="26"/>
                      <w:rtl/>
                      <w:lang w:bidi="ar-EG"/>
                    </w:rPr>
                    <w:t>عدد الطلاب</w:t>
                  </w:r>
                </w:p>
              </w:txbxContent>
            </v:textbox>
          </v:shape>
        </w:pict>
      </w:r>
    </w:p>
    <w:p w:rsidR="006D5033" w:rsidRDefault="006D5033" w:rsidP="0058501F">
      <w:pPr>
        <w:jc w:val="center"/>
        <w:rPr>
          <w:rFonts w:hint="cs"/>
          <w:b/>
          <w:bCs/>
          <w:sz w:val="28"/>
          <w:szCs w:val="28"/>
          <w:rtl/>
        </w:rPr>
      </w:pPr>
    </w:p>
    <w:p w:rsidR="006D5033" w:rsidRDefault="006D5033" w:rsidP="0058501F">
      <w:pPr>
        <w:jc w:val="center"/>
        <w:rPr>
          <w:rFonts w:hint="cs"/>
          <w:b/>
          <w:bCs/>
          <w:sz w:val="28"/>
          <w:szCs w:val="28"/>
          <w:rtl/>
        </w:rPr>
      </w:pPr>
    </w:p>
    <w:p w:rsidR="006D5033" w:rsidRDefault="006D5033" w:rsidP="0058501F">
      <w:pPr>
        <w:jc w:val="center"/>
        <w:rPr>
          <w:rFonts w:hint="cs"/>
          <w:b/>
          <w:bCs/>
          <w:sz w:val="28"/>
          <w:szCs w:val="28"/>
          <w:rtl/>
        </w:rPr>
      </w:pPr>
    </w:p>
    <w:p w:rsidR="006D5033" w:rsidRDefault="006D5033" w:rsidP="0058501F">
      <w:pPr>
        <w:jc w:val="center"/>
        <w:rPr>
          <w:rFonts w:hint="cs"/>
          <w:b/>
          <w:bCs/>
          <w:sz w:val="28"/>
          <w:szCs w:val="28"/>
          <w:rtl/>
        </w:rPr>
      </w:pPr>
    </w:p>
    <w:p w:rsidR="006D5033" w:rsidRDefault="006D5033" w:rsidP="0058501F">
      <w:pPr>
        <w:jc w:val="center"/>
        <w:rPr>
          <w:rFonts w:hint="cs"/>
          <w:b/>
          <w:bCs/>
          <w:sz w:val="28"/>
          <w:szCs w:val="28"/>
          <w:rtl/>
        </w:rPr>
      </w:pPr>
    </w:p>
    <w:p w:rsidR="006D5033" w:rsidRDefault="006D5033" w:rsidP="0058501F">
      <w:pPr>
        <w:jc w:val="center"/>
        <w:rPr>
          <w:rFonts w:hint="cs"/>
          <w:b/>
          <w:bCs/>
          <w:sz w:val="28"/>
          <w:szCs w:val="28"/>
          <w:rtl/>
        </w:rPr>
      </w:pPr>
    </w:p>
    <w:p w:rsidR="006D5033" w:rsidRDefault="00EB3202" w:rsidP="0058501F">
      <w:pPr>
        <w:jc w:val="center"/>
        <w:rPr>
          <w:rFonts w:hint="cs"/>
          <w:b/>
          <w:bCs/>
          <w:sz w:val="28"/>
          <w:szCs w:val="28"/>
          <w:rtl/>
        </w:rPr>
      </w:pPr>
      <w:r>
        <w:rPr>
          <w:rFonts w:hint="cs"/>
          <w:b/>
          <w:bCs/>
          <w:noProof/>
          <w:w w:val="100"/>
          <w:sz w:val="28"/>
          <w:szCs w:val="28"/>
          <w:rtl/>
        </w:rPr>
        <w:pict>
          <v:shape id="_x0000_s2569" type="#_x0000_t202" style="position:absolute;left:0;text-align:left;margin-left:122.8pt;margin-top:12.8pt;width:24pt;height:9pt;z-index:21" strokecolor="white">
            <v:textbox inset="0,0,0,0">
              <w:txbxContent>
                <w:p w:rsidR="00F93B21" w:rsidRPr="00EB3202" w:rsidRDefault="00F93B21" w:rsidP="00EB3202">
                  <w:pPr>
                    <w:spacing w:line="140" w:lineRule="exact"/>
                    <w:rPr>
                      <w:rFonts w:hint="cs"/>
                      <w:sz w:val="6"/>
                      <w:szCs w:val="16"/>
                      <w:lang w:bidi="ar-EG"/>
                    </w:rPr>
                  </w:pPr>
                  <w:r>
                    <w:rPr>
                      <w:rFonts w:hint="cs"/>
                      <w:sz w:val="6"/>
                      <w:szCs w:val="16"/>
                      <w:rtl/>
                      <w:lang w:bidi="ar-EG"/>
                    </w:rPr>
                    <w:t>إناث</w:t>
                  </w:r>
                </w:p>
              </w:txbxContent>
            </v:textbox>
          </v:shape>
        </w:pict>
      </w:r>
      <w:r>
        <w:rPr>
          <w:rFonts w:hint="cs"/>
          <w:b/>
          <w:bCs/>
          <w:noProof/>
          <w:w w:val="100"/>
          <w:sz w:val="28"/>
          <w:szCs w:val="28"/>
          <w:rtl/>
        </w:rPr>
        <w:pict>
          <v:shape id="_x0000_s2568" type="#_x0000_t202" style="position:absolute;left:0;text-align:left;margin-left:124pt;margin-top:.8pt;width:24pt;height:9pt;z-index:20" strokecolor="white">
            <v:textbox inset="0,0,0,0">
              <w:txbxContent>
                <w:p w:rsidR="00F93B21" w:rsidRPr="00EB3202" w:rsidRDefault="00F93B21" w:rsidP="00EB3202">
                  <w:pPr>
                    <w:spacing w:line="140" w:lineRule="exact"/>
                    <w:rPr>
                      <w:rFonts w:hint="cs"/>
                      <w:sz w:val="6"/>
                      <w:szCs w:val="16"/>
                      <w:lang w:bidi="ar-EG"/>
                    </w:rPr>
                  </w:pPr>
                  <w:r>
                    <w:rPr>
                      <w:rFonts w:hint="cs"/>
                      <w:sz w:val="6"/>
                      <w:szCs w:val="16"/>
                      <w:rtl/>
                      <w:lang w:bidi="ar-EG"/>
                    </w:rPr>
                    <w:t>ذكور</w:t>
                  </w:r>
                </w:p>
              </w:txbxContent>
            </v:textbox>
          </v:shape>
        </w:pict>
      </w:r>
    </w:p>
    <w:p w:rsidR="006D5033" w:rsidRDefault="00EB3202" w:rsidP="0058501F">
      <w:pPr>
        <w:jc w:val="center"/>
        <w:rPr>
          <w:rFonts w:hint="cs"/>
          <w:b/>
          <w:bCs/>
          <w:sz w:val="28"/>
          <w:szCs w:val="28"/>
          <w:rtl/>
        </w:rPr>
      </w:pPr>
      <w:r>
        <w:rPr>
          <w:rFonts w:hint="cs"/>
          <w:b/>
          <w:bCs/>
          <w:noProof/>
          <w:w w:val="100"/>
          <w:sz w:val="28"/>
          <w:szCs w:val="28"/>
          <w:rtl/>
        </w:rPr>
        <w:pict>
          <v:shape id="_x0000_s2570" type="#_x0000_t202" style="position:absolute;left:0;text-align:left;margin-left:252pt;margin-top:3pt;width:24pt;height:9pt;z-index:22" strokecolor="white">
            <v:textbox inset="0,0,0,0">
              <w:txbxContent>
                <w:p w:rsidR="00F93B21" w:rsidRPr="00EB3202" w:rsidRDefault="00F93B21" w:rsidP="00EB3202">
                  <w:pPr>
                    <w:spacing w:line="140" w:lineRule="exact"/>
                    <w:jc w:val="center"/>
                    <w:rPr>
                      <w:rFonts w:hint="cs"/>
                      <w:sz w:val="6"/>
                      <w:szCs w:val="16"/>
                      <w:lang w:bidi="ar-EG"/>
                    </w:rPr>
                  </w:pPr>
                  <w:r>
                    <w:rPr>
                      <w:rFonts w:hint="cs"/>
                      <w:sz w:val="6"/>
                      <w:szCs w:val="16"/>
                      <w:rtl/>
                      <w:lang w:bidi="ar-EG"/>
                    </w:rPr>
                    <w:t>السنة</w:t>
                  </w:r>
                </w:p>
              </w:txbxContent>
            </v:textbox>
          </v:shape>
        </w:pict>
      </w:r>
    </w:p>
    <w:p w:rsidR="0058501F" w:rsidRPr="00D10937" w:rsidRDefault="0058501F" w:rsidP="0058501F">
      <w:pPr>
        <w:jc w:val="center"/>
        <w:rPr>
          <w:rFonts w:hint="cs"/>
          <w:sz w:val="28"/>
          <w:szCs w:val="28"/>
          <w:rtl/>
        </w:rPr>
      </w:pPr>
      <w:r w:rsidRPr="00D10937">
        <w:rPr>
          <w:rFonts w:hint="cs"/>
          <w:sz w:val="28"/>
          <w:szCs w:val="28"/>
          <w:rtl/>
        </w:rPr>
        <w:t xml:space="preserve">المصدر: مركز جامعة جنوب الهادئ (توفالو) </w:t>
      </w:r>
      <w:r w:rsidR="003E7CC2">
        <w:rPr>
          <w:rFonts w:hint="cs"/>
          <w:sz w:val="28"/>
          <w:szCs w:val="28"/>
          <w:rtl/>
        </w:rPr>
        <w:t>-</w:t>
      </w:r>
      <w:r w:rsidRPr="00D10937">
        <w:rPr>
          <w:rFonts w:hint="cs"/>
          <w:sz w:val="28"/>
          <w:szCs w:val="28"/>
          <w:rtl/>
        </w:rPr>
        <w:t xml:space="preserve"> بيانات لم تنشر.</w:t>
      </w:r>
    </w:p>
    <w:p w:rsidR="0058501F" w:rsidRDefault="0058501F" w:rsidP="0058501F">
      <w:pPr>
        <w:rPr>
          <w:rFonts w:hint="cs"/>
          <w:sz w:val="32"/>
          <w:szCs w:val="32"/>
          <w:rtl/>
        </w:rPr>
      </w:pPr>
    </w:p>
    <w:p w:rsidR="0058501F" w:rsidRDefault="0058501F" w:rsidP="00402408">
      <w:pPr>
        <w:pStyle w:val="SingleTxt"/>
        <w:rPr>
          <w:rFonts w:hint="cs"/>
          <w:rtl/>
        </w:rPr>
      </w:pPr>
      <w:r>
        <w:rPr>
          <w:rFonts w:hint="cs"/>
          <w:rtl/>
        </w:rPr>
        <w:t>10-17</w:t>
      </w:r>
      <w:r w:rsidR="00402408">
        <w:rPr>
          <w:rFonts w:hint="cs"/>
          <w:rtl/>
        </w:rPr>
        <w:t xml:space="preserve"> </w:t>
      </w:r>
      <w:r>
        <w:rPr>
          <w:rFonts w:hint="cs"/>
          <w:rtl/>
        </w:rPr>
        <w:t xml:space="preserve"> تقدم الحكومة منحاً دراسية للطلاب المؤهلين لدخول الصف السابع. وفي السابق، كان يمنح أعلى ثلاثة طلاب في المدارس الثانوية المتوسطة منحاً دراسية لمواصلة الدراسة في نيوزيلندا، في حين كان يقبل الطلاب المؤهلون الآخرون مباشرة في مؤسسات تدريب ومدارس ثانوية في الخارج. ولكن، اعتباراً من عام 2007، يدخل جميع الطلاب المؤهلين برنامج التأسيس المعزز في مركز التعليم عن بعد والتعليم المرن التابع لجامعة جنوب الهادئ.</w:t>
      </w:r>
    </w:p>
    <w:p w:rsidR="00084D51" w:rsidRPr="00084D51" w:rsidRDefault="00084D51" w:rsidP="00084D51">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58501F" w:rsidRPr="00CA35DE" w:rsidRDefault="00DB35DE" w:rsidP="00DB35D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B35DE">
        <w:rPr>
          <w:rFonts w:hint="cs"/>
          <w:rtl/>
        </w:rPr>
        <w:tab/>
      </w:r>
      <w:r>
        <w:rPr>
          <w:rFonts w:hint="cs"/>
          <w:rtl/>
        </w:rPr>
        <w:t>’2‘</w:t>
      </w:r>
      <w:r>
        <w:rPr>
          <w:rFonts w:hint="cs"/>
          <w:rtl/>
        </w:rPr>
        <w:tab/>
        <w:t>ا</w:t>
      </w:r>
      <w:r w:rsidR="0058501F" w:rsidRPr="00CA35DE">
        <w:rPr>
          <w:rFonts w:hint="cs"/>
          <w:rtl/>
        </w:rPr>
        <w:t>لمدارس المهنية في توفالو</w:t>
      </w:r>
    </w:p>
    <w:p w:rsidR="0058501F" w:rsidRDefault="00DB35DE" w:rsidP="00DB35DE">
      <w:pPr>
        <w:pStyle w:val="SingleTxt"/>
        <w:rPr>
          <w:rFonts w:hint="cs"/>
          <w:rtl/>
        </w:rPr>
      </w:pPr>
      <w:r>
        <w:rPr>
          <w:rFonts w:hint="cs"/>
          <w:rtl/>
        </w:rPr>
        <w:t xml:space="preserve">10-18 </w:t>
      </w:r>
      <w:r w:rsidR="0058501F">
        <w:rPr>
          <w:rFonts w:hint="cs"/>
          <w:rtl/>
        </w:rPr>
        <w:t xml:space="preserve"> يسهم التعليم المهني إسهاماً كبيراً في تدريب المواطنين التوفاليين على المهارات العملية المتخصصة من أجل الاستخدام. وفي توفالو، باستثناء معهد توفالو للتدريب البحري الذي تملكه الحكومة، تدار المدارس المهنية الأخرى من القطاع الخاص وجميعها موجودة في جزيرة فونافوتي. ومؤسسات التدريب المهنية:</w:t>
      </w:r>
    </w:p>
    <w:p w:rsidR="00402408" w:rsidRPr="00402408" w:rsidRDefault="00402408" w:rsidP="0040240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58501F" w:rsidRDefault="00DB35DE" w:rsidP="003E7CC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8501F">
        <w:rPr>
          <w:rFonts w:hint="cs"/>
          <w:rtl/>
        </w:rPr>
        <w:t>معهد توفالو للتدريب البحري</w:t>
      </w:r>
    </w:p>
    <w:p w:rsidR="0058501F" w:rsidRDefault="0058501F" w:rsidP="00DB35DE">
      <w:pPr>
        <w:pStyle w:val="SingleTxt"/>
        <w:rPr>
          <w:rFonts w:hint="cs"/>
          <w:rtl/>
        </w:rPr>
      </w:pPr>
      <w:r>
        <w:rPr>
          <w:rFonts w:hint="cs"/>
          <w:rtl/>
        </w:rPr>
        <w:t>10-19</w:t>
      </w:r>
      <w:r w:rsidR="00DB35DE">
        <w:rPr>
          <w:rFonts w:hint="cs"/>
          <w:rtl/>
        </w:rPr>
        <w:t xml:space="preserve">  </w:t>
      </w:r>
      <w:r>
        <w:rPr>
          <w:rFonts w:hint="cs"/>
          <w:rtl/>
        </w:rPr>
        <w:t>هذا المعهد مفتوح لمن يريد أن يتخذ من الملاحة مهنة له، سواءً كان ذكراً أم أنثى. إلا أن هذا المعهد لم يدرب منذ إنشائه سوى الشباب الذكور. ولم تنجح محاولات تشجيع الإناث على التدرب فيه. وبصورة أساسية، نظراً لمفاهيم الآباء والأمهات النمطية، الذين يعتبرون الملاحة البحرية مهنة وضيعة لبناتهم، فإنهم يشجعون بناتهم على عدم الالتحاق بهذا المعهد. ولكن فرصة الالتحاق بالمعهد لا تزال متوفرة للنساء، ولذلك يجري تشجيعهن على قبول هذا التحدي.</w:t>
      </w:r>
    </w:p>
    <w:p w:rsidR="0058501F" w:rsidRDefault="0058501F" w:rsidP="001B064B">
      <w:pPr>
        <w:pStyle w:val="H23"/>
        <w:tabs>
          <w:tab w:val="left" w:pos="1325"/>
          <w:tab w:val="left" w:pos="1987"/>
          <w:tab w:val="left" w:pos="2650"/>
          <w:tab w:val="left" w:pos="3312"/>
          <w:tab w:val="left" w:pos="3974"/>
          <w:tab w:val="left" w:pos="4637"/>
          <w:tab w:val="left" w:pos="5299"/>
          <w:tab w:val="left" w:pos="5962"/>
          <w:tab w:val="left" w:pos="6624"/>
          <w:tab w:val="left" w:pos="7286"/>
        </w:tabs>
        <w:ind w:left="10"/>
        <w:jc w:val="lowKashida"/>
        <w:rPr>
          <w:rFonts w:hint="cs"/>
          <w:sz w:val="28"/>
          <w:szCs w:val="28"/>
          <w:rtl/>
        </w:rPr>
      </w:pPr>
      <w:r w:rsidRPr="00446AEC">
        <w:rPr>
          <w:rFonts w:hint="cs"/>
          <w:rtl/>
        </w:rPr>
        <w:t xml:space="preserve">الشكل 6: رسم بياني للطلاب الذين </w:t>
      </w:r>
      <w:r>
        <w:rPr>
          <w:rFonts w:hint="cs"/>
          <w:rtl/>
        </w:rPr>
        <w:t>التحقوا</w:t>
      </w:r>
      <w:r w:rsidRPr="00446AEC">
        <w:rPr>
          <w:rFonts w:hint="cs"/>
          <w:rtl/>
        </w:rPr>
        <w:t xml:space="preserve"> </w:t>
      </w:r>
      <w:r>
        <w:rPr>
          <w:rFonts w:hint="cs"/>
          <w:rtl/>
        </w:rPr>
        <w:t>ب</w:t>
      </w:r>
      <w:r w:rsidRPr="00446AEC">
        <w:rPr>
          <w:rFonts w:hint="cs"/>
          <w:rtl/>
        </w:rPr>
        <w:t>معهد توفالو للتدريب البحري وتخرجوا منه،</w:t>
      </w:r>
      <w:r w:rsidR="001B064B">
        <w:rPr>
          <w:rFonts w:hint="cs"/>
          <w:rtl/>
        </w:rPr>
        <w:t xml:space="preserve"> </w:t>
      </w:r>
      <w:r w:rsidRPr="00446AEC">
        <w:rPr>
          <w:rFonts w:hint="cs"/>
          <w:sz w:val="28"/>
          <w:szCs w:val="28"/>
          <w:rtl/>
        </w:rPr>
        <w:t>موزعين حسب السنة</w:t>
      </w:r>
      <w:r>
        <w:rPr>
          <w:rFonts w:hint="cs"/>
          <w:sz w:val="28"/>
          <w:szCs w:val="28"/>
          <w:rtl/>
        </w:rPr>
        <w:t>،</w:t>
      </w:r>
      <w:r w:rsidR="001B064B">
        <w:rPr>
          <w:rFonts w:hint="cs"/>
          <w:sz w:val="28"/>
          <w:szCs w:val="28"/>
          <w:rtl/>
        </w:rPr>
        <w:t xml:space="preserve"> -1979-</w:t>
      </w:r>
      <w:r w:rsidRPr="00446AEC">
        <w:rPr>
          <w:rFonts w:hint="cs"/>
          <w:sz w:val="28"/>
          <w:szCs w:val="28"/>
          <w:rtl/>
        </w:rPr>
        <w:t>2003</w:t>
      </w:r>
    </w:p>
    <w:p w:rsidR="001B064B" w:rsidRDefault="001B064B" w:rsidP="0058501F">
      <w:pPr>
        <w:jc w:val="center"/>
        <w:rPr>
          <w:rFonts w:hint="cs"/>
          <w:b/>
          <w:bCs/>
          <w:sz w:val="28"/>
          <w:szCs w:val="28"/>
          <w:rtl/>
        </w:rPr>
      </w:pPr>
      <w:r>
        <w:rPr>
          <w:noProof/>
        </w:rPr>
        <w:pict>
          <v:shape id="_x0000_s2571" type="#_x0000_t75" style="position:absolute;left:0;text-align:left;margin-left:8pt;margin-top:17.4pt;width:476.95pt;height:283.95pt;z-index:23">
            <v:imagedata r:id="rId19" o:title=""/>
          </v:shape>
        </w:pict>
      </w:r>
    </w:p>
    <w:p w:rsidR="001B064B" w:rsidRDefault="00745752" w:rsidP="0058501F">
      <w:pPr>
        <w:jc w:val="center"/>
        <w:rPr>
          <w:rFonts w:hint="cs"/>
          <w:b/>
          <w:bCs/>
          <w:sz w:val="28"/>
          <w:szCs w:val="28"/>
          <w:rtl/>
        </w:rPr>
      </w:pPr>
      <w:r>
        <w:rPr>
          <w:rFonts w:hint="cs"/>
          <w:noProof/>
          <w:w w:val="100"/>
          <w:rtl/>
        </w:rPr>
        <w:pict>
          <v:shape id="_x0000_s2574" type="#_x0000_t202" style="position:absolute;left:0;text-align:left;margin-left:68pt;margin-top:6.4pt;width:5in;height:18pt;z-index:24" strokecolor="white">
            <v:textbox inset="0,0,0,0">
              <w:txbxContent>
                <w:p w:rsidR="00F93B21" w:rsidRPr="00745752" w:rsidRDefault="00F93B21" w:rsidP="00745752">
                  <w:pPr>
                    <w:spacing w:line="260" w:lineRule="exact"/>
                    <w:jc w:val="center"/>
                    <w:rPr>
                      <w:sz w:val="24"/>
                      <w:szCs w:val="24"/>
                    </w:rPr>
                  </w:pPr>
                  <w:r>
                    <w:rPr>
                      <w:rFonts w:hint="cs"/>
                      <w:b/>
                      <w:bCs/>
                      <w:sz w:val="24"/>
                      <w:szCs w:val="24"/>
                      <w:rtl/>
                    </w:rPr>
                    <w:t>ا</w:t>
                  </w:r>
                  <w:r w:rsidRPr="00745752">
                    <w:rPr>
                      <w:rFonts w:hint="cs"/>
                      <w:b/>
                      <w:bCs/>
                      <w:sz w:val="24"/>
                      <w:szCs w:val="24"/>
                      <w:rtl/>
                    </w:rPr>
                    <w:t>لطلاب الذين التحقوا بمعهد توفالو للتدريب البحري وتخرجوا منه،</w:t>
                  </w:r>
                  <w:r w:rsidRPr="00745752">
                    <w:rPr>
                      <w:rFonts w:hint="cs"/>
                      <w:sz w:val="24"/>
                      <w:szCs w:val="24"/>
                      <w:rtl/>
                    </w:rPr>
                    <w:t xml:space="preserve"> </w:t>
                  </w:r>
                  <w:r w:rsidRPr="00745752">
                    <w:rPr>
                      <w:rFonts w:hint="cs"/>
                      <w:b/>
                      <w:bCs/>
                      <w:sz w:val="24"/>
                      <w:szCs w:val="24"/>
                      <w:rtl/>
                    </w:rPr>
                    <w:t>موزع</w:t>
                  </w:r>
                  <w:r>
                    <w:rPr>
                      <w:rFonts w:hint="cs"/>
                      <w:b/>
                      <w:bCs/>
                      <w:sz w:val="24"/>
                      <w:szCs w:val="24"/>
                      <w:rtl/>
                    </w:rPr>
                    <w:t>و</w:t>
                  </w:r>
                  <w:r w:rsidRPr="00745752">
                    <w:rPr>
                      <w:rFonts w:hint="cs"/>
                      <w:b/>
                      <w:bCs/>
                      <w:sz w:val="24"/>
                      <w:szCs w:val="24"/>
                      <w:rtl/>
                    </w:rPr>
                    <w:t>ن حسب السنة</w:t>
                  </w:r>
                </w:p>
              </w:txbxContent>
            </v:textbox>
          </v:shape>
        </w:pict>
      </w:r>
    </w:p>
    <w:p w:rsidR="001B064B" w:rsidRDefault="001B064B" w:rsidP="0058501F">
      <w:pPr>
        <w:jc w:val="center"/>
        <w:rPr>
          <w:rFonts w:hint="cs"/>
          <w:b/>
          <w:bCs/>
          <w:sz w:val="28"/>
          <w:szCs w:val="28"/>
          <w:rtl/>
        </w:rPr>
      </w:pPr>
    </w:p>
    <w:p w:rsidR="0058501F" w:rsidRDefault="0058501F" w:rsidP="0058501F">
      <w:pPr>
        <w:jc w:val="center"/>
        <w:rPr>
          <w:rFonts w:hint="cs"/>
          <w:b/>
          <w:bCs/>
          <w:sz w:val="28"/>
          <w:szCs w:val="28"/>
          <w:rtl/>
        </w:rPr>
      </w:pPr>
    </w:p>
    <w:p w:rsidR="0058501F" w:rsidRPr="00D10937" w:rsidRDefault="00401260" w:rsidP="0058501F">
      <w:pPr>
        <w:jc w:val="center"/>
        <w:rPr>
          <w:rFonts w:hint="cs"/>
          <w:sz w:val="28"/>
          <w:szCs w:val="28"/>
          <w:rtl/>
        </w:rPr>
      </w:pPr>
      <w:r>
        <w:rPr>
          <w:rFonts w:hint="cs"/>
          <w:noProof/>
          <w:w w:val="100"/>
          <w:sz w:val="28"/>
          <w:szCs w:val="28"/>
          <w:rtl/>
        </w:rPr>
        <w:pict>
          <v:shape id="_x0000_s2575" type="#_x0000_t202" style="position:absolute;left:0;text-align:left;margin-left:14.2pt;margin-top:18.4pt;width:16pt;height:90pt;z-index:25" strokecolor="white">
            <v:textbox style="layout-flow:vertical;mso-layout-flow-alt:bottom-to-top;mso-next-textbox:#_x0000_s2575" inset="0,0,0,0">
              <w:txbxContent>
                <w:p w:rsidR="00F93B21" w:rsidRPr="00401260" w:rsidRDefault="00F93B21" w:rsidP="00401260">
                  <w:pPr>
                    <w:spacing w:line="220" w:lineRule="exact"/>
                    <w:jc w:val="center"/>
                    <w:rPr>
                      <w:rFonts w:hint="cs"/>
                      <w:sz w:val="24"/>
                      <w:szCs w:val="24"/>
                      <w:lang w:bidi="ar-EG"/>
                    </w:rPr>
                  </w:pPr>
                  <w:r w:rsidRPr="00401260">
                    <w:rPr>
                      <w:rFonts w:hint="cs"/>
                      <w:sz w:val="24"/>
                      <w:szCs w:val="24"/>
                      <w:rtl/>
                      <w:lang w:bidi="ar-EG"/>
                    </w:rPr>
                    <w:t>عدد الطلاب الملحتقون</w:t>
                  </w:r>
                </w:p>
              </w:txbxContent>
            </v:textbox>
          </v:shape>
        </w:pict>
      </w:r>
    </w:p>
    <w:p w:rsidR="0058501F" w:rsidRPr="001F659A" w:rsidRDefault="0058501F" w:rsidP="0058501F">
      <w:pPr>
        <w:jc w:val="center"/>
        <w:rPr>
          <w:rFonts w:hint="cs"/>
          <w:b/>
          <w:bCs/>
          <w:sz w:val="32"/>
          <w:szCs w:val="32"/>
          <w:rtl/>
        </w:rPr>
      </w:pPr>
    </w:p>
    <w:p w:rsidR="0058501F" w:rsidRDefault="0058501F" w:rsidP="0058501F">
      <w:pPr>
        <w:jc w:val="center"/>
        <w:rPr>
          <w:rFonts w:hint="cs"/>
          <w:sz w:val="32"/>
          <w:szCs w:val="32"/>
          <w:rtl/>
        </w:rPr>
      </w:pPr>
    </w:p>
    <w:p w:rsidR="001B064B" w:rsidRDefault="001B064B" w:rsidP="0058501F">
      <w:pPr>
        <w:jc w:val="center"/>
        <w:rPr>
          <w:rFonts w:hint="cs"/>
          <w:sz w:val="28"/>
          <w:szCs w:val="28"/>
          <w:rtl/>
        </w:rPr>
      </w:pPr>
    </w:p>
    <w:p w:rsidR="001B064B" w:rsidRDefault="001B064B" w:rsidP="0058501F">
      <w:pPr>
        <w:jc w:val="center"/>
        <w:rPr>
          <w:rFonts w:hint="cs"/>
          <w:sz w:val="28"/>
          <w:szCs w:val="28"/>
          <w:rtl/>
        </w:rPr>
      </w:pPr>
    </w:p>
    <w:p w:rsidR="001B064B" w:rsidRDefault="001B064B" w:rsidP="0058501F">
      <w:pPr>
        <w:jc w:val="center"/>
        <w:rPr>
          <w:rFonts w:hint="cs"/>
          <w:sz w:val="28"/>
          <w:szCs w:val="28"/>
          <w:rtl/>
        </w:rPr>
      </w:pPr>
    </w:p>
    <w:p w:rsidR="001B064B" w:rsidRDefault="001B064B" w:rsidP="0058501F">
      <w:pPr>
        <w:jc w:val="center"/>
        <w:rPr>
          <w:rFonts w:hint="cs"/>
          <w:sz w:val="28"/>
          <w:szCs w:val="28"/>
          <w:rtl/>
        </w:rPr>
      </w:pPr>
    </w:p>
    <w:p w:rsidR="001B064B" w:rsidRDefault="001B064B" w:rsidP="0058501F">
      <w:pPr>
        <w:jc w:val="center"/>
        <w:rPr>
          <w:rFonts w:hint="cs"/>
          <w:sz w:val="28"/>
          <w:szCs w:val="28"/>
          <w:rtl/>
        </w:rPr>
      </w:pPr>
    </w:p>
    <w:p w:rsidR="001B064B" w:rsidRDefault="00401260" w:rsidP="0058501F">
      <w:pPr>
        <w:jc w:val="center"/>
        <w:rPr>
          <w:rFonts w:hint="cs"/>
          <w:sz w:val="28"/>
          <w:szCs w:val="28"/>
          <w:rtl/>
        </w:rPr>
      </w:pPr>
      <w:r>
        <w:rPr>
          <w:rFonts w:hint="cs"/>
          <w:noProof/>
          <w:w w:val="100"/>
          <w:sz w:val="32"/>
          <w:szCs w:val="32"/>
          <w:rtl/>
        </w:rPr>
        <w:pict>
          <v:shape id="_x0000_s2576" type="#_x0000_t202" style="position:absolute;left:0;text-align:left;margin-left:20pt;margin-top:11.4pt;width:24pt;height:9pt;z-index:26" strokecolor="white">
            <v:textbox inset="0,0,0,0">
              <w:txbxContent>
                <w:p w:rsidR="00F93B21" w:rsidRPr="00EB3202" w:rsidRDefault="00F93B21" w:rsidP="00401260">
                  <w:pPr>
                    <w:spacing w:line="140" w:lineRule="exact"/>
                    <w:rPr>
                      <w:rFonts w:hint="cs"/>
                      <w:sz w:val="6"/>
                      <w:szCs w:val="16"/>
                      <w:lang w:bidi="ar-EG"/>
                    </w:rPr>
                  </w:pPr>
                  <w:r>
                    <w:rPr>
                      <w:rFonts w:hint="cs"/>
                      <w:sz w:val="6"/>
                      <w:szCs w:val="16"/>
                      <w:rtl/>
                      <w:lang w:bidi="ar-EG"/>
                    </w:rPr>
                    <w:t>الملتحقون</w:t>
                  </w:r>
                </w:p>
              </w:txbxContent>
            </v:textbox>
          </v:shape>
        </w:pict>
      </w:r>
    </w:p>
    <w:p w:rsidR="001B064B" w:rsidRDefault="00401260" w:rsidP="0058501F">
      <w:pPr>
        <w:jc w:val="center"/>
        <w:rPr>
          <w:rFonts w:hint="cs"/>
          <w:sz w:val="28"/>
          <w:szCs w:val="28"/>
          <w:rtl/>
        </w:rPr>
      </w:pPr>
      <w:r>
        <w:rPr>
          <w:rFonts w:hint="cs"/>
          <w:noProof/>
          <w:w w:val="100"/>
          <w:sz w:val="28"/>
          <w:szCs w:val="28"/>
          <w:rtl/>
        </w:rPr>
        <w:pict>
          <v:shape id="_x0000_s2578" type="#_x0000_t202" style="position:absolute;left:0;text-align:left;margin-left:252pt;margin-top:18.4pt;width:24pt;height:9pt;z-index:28" strokecolor="white">
            <v:textbox inset="0,0,0,0">
              <w:txbxContent>
                <w:p w:rsidR="00F93B21" w:rsidRPr="00EB3202" w:rsidRDefault="00F93B21" w:rsidP="00401260">
                  <w:pPr>
                    <w:spacing w:line="140" w:lineRule="exact"/>
                    <w:jc w:val="center"/>
                    <w:rPr>
                      <w:rFonts w:hint="cs"/>
                      <w:sz w:val="6"/>
                      <w:szCs w:val="16"/>
                      <w:lang w:bidi="ar-EG"/>
                    </w:rPr>
                  </w:pPr>
                  <w:r>
                    <w:rPr>
                      <w:rFonts w:hint="cs"/>
                      <w:sz w:val="6"/>
                      <w:szCs w:val="16"/>
                      <w:rtl/>
                      <w:lang w:bidi="ar-EG"/>
                    </w:rPr>
                    <w:t>السنة</w:t>
                  </w:r>
                </w:p>
              </w:txbxContent>
            </v:textbox>
          </v:shape>
        </w:pict>
      </w:r>
      <w:r>
        <w:rPr>
          <w:rFonts w:hint="cs"/>
          <w:noProof/>
          <w:w w:val="100"/>
          <w:sz w:val="28"/>
          <w:szCs w:val="28"/>
          <w:rtl/>
        </w:rPr>
        <w:pict>
          <v:shape id="_x0000_s2577" type="#_x0000_t202" style="position:absolute;left:0;text-align:left;margin-left:20.2pt;margin-top:3.4pt;width:30.95pt;height:9pt;z-index:27" strokecolor="white">
            <v:textbox inset="0,0,0,0">
              <w:txbxContent>
                <w:p w:rsidR="00F93B21" w:rsidRPr="00EB3202" w:rsidRDefault="00F93B21" w:rsidP="00401260">
                  <w:pPr>
                    <w:spacing w:line="140" w:lineRule="exact"/>
                    <w:rPr>
                      <w:rFonts w:hint="cs"/>
                      <w:sz w:val="6"/>
                      <w:szCs w:val="16"/>
                      <w:lang w:bidi="ar-EG"/>
                    </w:rPr>
                  </w:pPr>
                  <w:r>
                    <w:rPr>
                      <w:rFonts w:hint="cs"/>
                      <w:sz w:val="6"/>
                      <w:szCs w:val="16"/>
                      <w:rtl/>
                      <w:lang w:bidi="ar-EG"/>
                    </w:rPr>
                    <w:t>المتخرجون</w:t>
                  </w:r>
                </w:p>
              </w:txbxContent>
            </v:textbox>
          </v:shape>
        </w:pict>
      </w:r>
    </w:p>
    <w:p w:rsidR="001B064B" w:rsidRDefault="001B064B" w:rsidP="0058501F">
      <w:pPr>
        <w:jc w:val="center"/>
        <w:rPr>
          <w:rFonts w:hint="cs"/>
          <w:sz w:val="28"/>
          <w:szCs w:val="28"/>
          <w:rtl/>
        </w:rPr>
      </w:pPr>
    </w:p>
    <w:p w:rsidR="0058501F" w:rsidRPr="00EA6E3A" w:rsidRDefault="00401260" w:rsidP="00401260">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t>المصدر:</w:t>
      </w:r>
      <w:r>
        <w:rPr>
          <w:rFonts w:hint="cs"/>
          <w:rtl/>
        </w:rPr>
        <w:tab/>
      </w:r>
      <w:r w:rsidR="0058501F" w:rsidRPr="00EA6E3A">
        <w:rPr>
          <w:rFonts w:hint="cs"/>
          <w:rtl/>
        </w:rPr>
        <w:t>معهد توفالو للتدريب البحري</w:t>
      </w:r>
      <w:r w:rsidR="003E7CC2">
        <w:rPr>
          <w:rFonts w:hint="cs"/>
          <w:rtl/>
        </w:rPr>
        <w:t>.</w:t>
      </w:r>
    </w:p>
    <w:p w:rsidR="00401260" w:rsidRPr="00401260" w:rsidRDefault="00401260" w:rsidP="00401260">
      <w:pPr>
        <w:spacing w:line="120" w:lineRule="exact"/>
        <w:rPr>
          <w:rFonts w:hint="cs"/>
          <w:sz w:val="10"/>
          <w:szCs w:val="32"/>
          <w:rtl/>
        </w:rPr>
      </w:pPr>
    </w:p>
    <w:p w:rsidR="0058501F" w:rsidRDefault="0058501F" w:rsidP="00401260">
      <w:pPr>
        <w:pStyle w:val="SingleTxt"/>
        <w:rPr>
          <w:rFonts w:hint="cs"/>
          <w:rtl/>
        </w:rPr>
      </w:pPr>
      <w:r>
        <w:rPr>
          <w:rFonts w:hint="cs"/>
          <w:rtl/>
        </w:rPr>
        <w:tab/>
        <w:t>بيين الشكل 6 عدد الشباب الذكور الذين أكملوا بنجاح المقررات الدراسية وتخرجوا من معهد توفالو للتدريب البحري. وكان بوسع الشابات أيضاً الاستفادة منه لو أنهن قبلن التحدي والتحقق به.</w:t>
      </w:r>
    </w:p>
    <w:p w:rsidR="0058501F" w:rsidRPr="001F659A" w:rsidRDefault="00401260" w:rsidP="00C725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8501F" w:rsidRPr="001F659A">
        <w:rPr>
          <w:rFonts w:hint="cs"/>
          <w:rtl/>
        </w:rPr>
        <w:t xml:space="preserve">مدرسة </w:t>
      </w:r>
      <w:r w:rsidR="0058501F">
        <w:rPr>
          <w:rFonts w:hint="cs"/>
          <w:rtl/>
        </w:rPr>
        <w:t>أكاديمية اليوم</w:t>
      </w:r>
    </w:p>
    <w:p w:rsidR="0058501F" w:rsidRDefault="0058501F" w:rsidP="00401260">
      <w:pPr>
        <w:pStyle w:val="SingleTxt"/>
        <w:rPr>
          <w:rFonts w:hint="cs"/>
          <w:rtl/>
        </w:rPr>
      </w:pPr>
      <w:r>
        <w:rPr>
          <w:rFonts w:hint="cs"/>
          <w:rtl/>
        </w:rPr>
        <w:t>10-20</w:t>
      </w:r>
      <w:r w:rsidR="00401260">
        <w:rPr>
          <w:rFonts w:hint="cs"/>
          <w:rtl/>
        </w:rPr>
        <w:t xml:space="preserve">  </w:t>
      </w:r>
      <w:r>
        <w:rPr>
          <w:rFonts w:hint="cs"/>
          <w:rtl/>
        </w:rPr>
        <w:t>أنشئت مدرسة أكاديمية اليوم الجديد في عام 2003، وهي مملوكة ملكية خاصة. وتعلم المهارات الأساسية لطلاب المرحلة الابتدائية والثانوية الذين يحتاجون إلى مساعدة في مختلف المواضيع. ويبين الشكل 6 أعلاه مجموع عدد الطلاب الملتحقين. وفي عام 2004 و 2005، انخفض عدد الطلاب لأنه كان لا يوجد سوى شخص واحد يُدرِّس مختلف المواضيع. وعدد الأولاد الملتحقين أكثر من عدد البنات، ويعزى هذا إلى وجود أولاد أكثر بحاجة للمساعدة في مهاراتهم في التعلم.</w:t>
      </w:r>
    </w:p>
    <w:p w:rsidR="0058501F" w:rsidRDefault="0058501F" w:rsidP="0058501F">
      <w:pPr>
        <w:jc w:val="center"/>
        <w:rPr>
          <w:rFonts w:hint="cs"/>
          <w:b/>
          <w:bCs/>
          <w:sz w:val="28"/>
          <w:szCs w:val="28"/>
          <w:rtl/>
        </w:rPr>
      </w:pPr>
      <w:r w:rsidRPr="00EA6E3A">
        <w:rPr>
          <w:rFonts w:hint="cs"/>
          <w:b/>
          <w:bCs/>
          <w:sz w:val="28"/>
          <w:szCs w:val="28"/>
          <w:rtl/>
        </w:rPr>
        <w:t xml:space="preserve">الشكل 7: رسم بياني </w:t>
      </w:r>
      <w:r>
        <w:rPr>
          <w:rFonts w:hint="cs"/>
          <w:b/>
          <w:bCs/>
          <w:sz w:val="28"/>
          <w:szCs w:val="28"/>
          <w:rtl/>
        </w:rPr>
        <w:t>يبين عدد الطلاب الملتحقون</w:t>
      </w:r>
      <w:r w:rsidRPr="00EA6E3A">
        <w:rPr>
          <w:rFonts w:hint="cs"/>
          <w:b/>
          <w:bCs/>
          <w:sz w:val="28"/>
          <w:szCs w:val="28"/>
          <w:rtl/>
        </w:rPr>
        <w:t xml:space="preserve"> بمدرسة أكاديمية اليوم الجديد </w:t>
      </w:r>
    </w:p>
    <w:p w:rsidR="0058501F" w:rsidRDefault="0058501F" w:rsidP="00C72525">
      <w:pPr>
        <w:jc w:val="center"/>
        <w:rPr>
          <w:rFonts w:hint="cs"/>
          <w:b/>
          <w:bCs/>
          <w:sz w:val="28"/>
          <w:szCs w:val="28"/>
          <w:rtl/>
        </w:rPr>
      </w:pPr>
      <w:r w:rsidRPr="00EA6E3A">
        <w:rPr>
          <w:rFonts w:hint="cs"/>
          <w:b/>
          <w:bCs/>
          <w:sz w:val="28"/>
          <w:szCs w:val="28"/>
          <w:rtl/>
        </w:rPr>
        <w:t>موزعين حسب السنة</w:t>
      </w:r>
      <w:r>
        <w:rPr>
          <w:rFonts w:hint="cs"/>
          <w:b/>
          <w:bCs/>
          <w:sz w:val="28"/>
          <w:szCs w:val="28"/>
          <w:rtl/>
        </w:rPr>
        <w:t>،</w:t>
      </w:r>
      <w:r w:rsidRPr="00EA6E3A">
        <w:rPr>
          <w:rFonts w:hint="cs"/>
          <w:b/>
          <w:bCs/>
          <w:sz w:val="28"/>
          <w:szCs w:val="28"/>
          <w:rtl/>
        </w:rPr>
        <w:t xml:space="preserve"> 2003 </w:t>
      </w:r>
      <w:r w:rsidR="00C72525">
        <w:rPr>
          <w:rFonts w:hint="cs"/>
          <w:b/>
          <w:bCs/>
          <w:sz w:val="28"/>
          <w:szCs w:val="28"/>
          <w:rtl/>
        </w:rPr>
        <w:t>-</w:t>
      </w:r>
      <w:r w:rsidRPr="00EA6E3A">
        <w:rPr>
          <w:rFonts w:hint="cs"/>
          <w:b/>
          <w:bCs/>
          <w:sz w:val="28"/>
          <w:szCs w:val="28"/>
          <w:rtl/>
        </w:rPr>
        <w:t xml:space="preserve"> 2005</w:t>
      </w:r>
    </w:p>
    <w:p w:rsidR="00401260" w:rsidRDefault="00C72525" w:rsidP="0058501F">
      <w:pPr>
        <w:jc w:val="center"/>
        <w:rPr>
          <w:rFonts w:hint="cs"/>
          <w:b/>
          <w:bCs/>
          <w:sz w:val="28"/>
          <w:szCs w:val="28"/>
          <w:rtl/>
        </w:rPr>
      </w:pPr>
      <w:r>
        <w:rPr>
          <w:rFonts w:hint="cs"/>
          <w:b/>
          <w:bCs/>
          <w:noProof/>
          <w:w w:val="100"/>
          <w:sz w:val="28"/>
          <w:szCs w:val="28"/>
          <w:rtl/>
        </w:rPr>
        <w:pict>
          <v:shape id="_x0000_s2583" type="#_x0000_t202" style="position:absolute;left:0;text-align:left;margin-left:200pt;margin-top:10.4pt;width:120pt;height:18pt;z-index:31" strokecolor="white">
            <v:textbox inset="0,0,0,0">
              <w:txbxContent>
                <w:p w:rsidR="00F93B21" w:rsidRPr="00C72525" w:rsidRDefault="00F93B21" w:rsidP="00C72525">
                  <w:pPr>
                    <w:spacing w:line="200" w:lineRule="exact"/>
                    <w:jc w:val="center"/>
                    <w:rPr>
                      <w:rFonts w:hint="cs"/>
                      <w:sz w:val="16"/>
                      <w:szCs w:val="26"/>
                      <w:lang w:bidi="ar-EG"/>
                    </w:rPr>
                  </w:pPr>
                  <w:r>
                    <w:rPr>
                      <w:rFonts w:hint="cs"/>
                      <w:sz w:val="16"/>
                      <w:szCs w:val="26"/>
                      <w:rtl/>
                      <w:lang w:bidi="ar-EG"/>
                    </w:rPr>
                    <w:t>مدرسة أكاديمية اليوم الجديد</w:t>
                  </w:r>
                </w:p>
              </w:txbxContent>
            </v:textbox>
          </v:shape>
        </w:pict>
      </w:r>
      <w:r w:rsidR="00401260">
        <w:rPr>
          <w:noProof/>
        </w:rPr>
        <w:pict>
          <v:shape id="_x0000_s2579" type="#_x0000_t75" style="position:absolute;left:0;text-align:left;margin-left:96pt;margin-top:1.4pt;width:315.05pt;height:202.75pt;z-index:29">
            <v:imagedata r:id="rId20" o:title=""/>
          </v:shape>
        </w:pict>
      </w:r>
    </w:p>
    <w:p w:rsidR="00401260" w:rsidRDefault="00C72525" w:rsidP="0058501F">
      <w:pPr>
        <w:jc w:val="center"/>
        <w:rPr>
          <w:rFonts w:hint="cs"/>
          <w:b/>
          <w:bCs/>
          <w:sz w:val="28"/>
          <w:szCs w:val="28"/>
          <w:rtl/>
        </w:rPr>
      </w:pPr>
      <w:r>
        <w:rPr>
          <w:rFonts w:hint="cs"/>
          <w:noProof/>
          <w:w w:val="100"/>
          <w:rtl/>
        </w:rPr>
        <w:pict>
          <v:shape id="_x0000_s2584" type="#_x0000_t202" style="position:absolute;left:0;text-align:left;margin-left:104pt;margin-top:17.4pt;width:16pt;height:90pt;z-index:32" strokecolor="white">
            <v:textbox style="layout-flow:vertical;mso-layout-flow-alt:bottom-to-top;mso-next-textbox:#_x0000_s2584" inset="0,0,0,0">
              <w:txbxContent>
                <w:p w:rsidR="00F93B21" w:rsidRPr="00401260" w:rsidRDefault="00F93B21" w:rsidP="00C72525">
                  <w:pPr>
                    <w:spacing w:line="220" w:lineRule="exact"/>
                    <w:jc w:val="center"/>
                    <w:rPr>
                      <w:rFonts w:hint="cs"/>
                      <w:sz w:val="24"/>
                      <w:szCs w:val="24"/>
                      <w:lang w:bidi="ar-EG"/>
                    </w:rPr>
                  </w:pPr>
                  <w:r w:rsidRPr="00401260">
                    <w:rPr>
                      <w:rFonts w:hint="cs"/>
                      <w:sz w:val="24"/>
                      <w:szCs w:val="24"/>
                      <w:rtl/>
                      <w:lang w:bidi="ar-EG"/>
                    </w:rPr>
                    <w:t xml:space="preserve">عدد </w:t>
                  </w:r>
                  <w:r>
                    <w:rPr>
                      <w:rFonts w:hint="cs"/>
                      <w:sz w:val="24"/>
                      <w:szCs w:val="24"/>
                      <w:rtl/>
                      <w:lang w:bidi="ar-EG"/>
                    </w:rPr>
                    <w:t>الطلاب</w:t>
                  </w:r>
                </w:p>
              </w:txbxContent>
            </v:textbox>
          </v:shape>
        </w:pict>
      </w:r>
    </w:p>
    <w:p w:rsidR="00401260" w:rsidRDefault="00401260" w:rsidP="0058501F">
      <w:pPr>
        <w:jc w:val="center"/>
        <w:rPr>
          <w:rFonts w:hint="cs"/>
          <w:b/>
          <w:bCs/>
          <w:sz w:val="28"/>
          <w:szCs w:val="28"/>
          <w:rtl/>
        </w:rPr>
      </w:pPr>
    </w:p>
    <w:p w:rsidR="00401260" w:rsidRDefault="00401260" w:rsidP="0058501F">
      <w:pPr>
        <w:jc w:val="center"/>
        <w:rPr>
          <w:rFonts w:hint="cs"/>
          <w:b/>
          <w:bCs/>
          <w:sz w:val="28"/>
          <w:szCs w:val="28"/>
          <w:rtl/>
        </w:rPr>
      </w:pPr>
    </w:p>
    <w:p w:rsidR="00401260" w:rsidRPr="00EA6E3A" w:rsidRDefault="00C72525" w:rsidP="0058501F">
      <w:pPr>
        <w:jc w:val="center"/>
        <w:rPr>
          <w:rFonts w:hint="cs"/>
          <w:b/>
          <w:bCs/>
          <w:sz w:val="28"/>
          <w:szCs w:val="28"/>
          <w:rtl/>
        </w:rPr>
      </w:pPr>
      <w:r>
        <w:rPr>
          <w:rFonts w:hint="cs"/>
          <w:noProof/>
          <w:w w:val="100"/>
          <w:sz w:val="16"/>
          <w:szCs w:val="26"/>
          <w:rtl/>
        </w:rPr>
        <w:pict>
          <v:shape id="_x0000_s2589" type="#_x0000_t202" style="position:absolute;left:0;text-align:left;margin-left:379.4pt;margin-top:13.8pt;width:24pt;height:9pt;z-index:37" strokecolor="white">
            <v:textbox style="mso-next-textbox:#_x0000_s2589" inset="0,0,0,0">
              <w:txbxContent>
                <w:p w:rsidR="00F93B21" w:rsidRPr="00EB3202" w:rsidRDefault="00F93B21" w:rsidP="00C72525">
                  <w:pPr>
                    <w:spacing w:line="140" w:lineRule="exact"/>
                    <w:rPr>
                      <w:rFonts w:hint="cs"/>
                      <w:sz w:val="6"/>
                      <w:szCs w:val="16"/>
                      <w:lang w:bidi="ar-EG"/>
                    </w:rPr>
                  </w:pPr>
                  <w:r>
                    <w:rPr>
                      <w:rFonts w:hint="cs"/>
                      <w:sz w:val="6"/>
                      <w:szCs w:val="16"/>
                      <w:rtl/>
                      <w:lang w:bidi="ar-EG"/>
                    </w:rPr>
                    <w:t>إناث</w:t>
                  </w:r>
                </w:p>
              </w:txbxContent>
            </v:textbox>
          </v:shape>
        </w:pict>
      </w:r>
      <w:r>
        <w:rPr>
          <w:rFonts w:hint="cs"/>
          <w:noProof/>
          <w:w w:val="100"/>
          <w:sz w:val="16"/>
          <w:szCs w:val="26"/>
          <w:rtl/>
        </w:rPr>
        <w:pict>
          <v:shape id="_x0000_s2588" type="#_x0000_t202" style="position:absolute;left:0;text-align:left;margin-left:381.8pt;margin-top:4.8pt;width:24pt;height:9pt;z-index:36" strokecolor="white">
            <v:textbox style="mso-next-textbox:#_x0000_s2588" inset="0,0,0,0">
              <w:txbxContent>
                <w:p w:rsidR="00F93B21" w:rsidRPr="00EB3202" w:rsidRDefault="00F93B21" w:rsidP="00C72525">
                  <w:pPr>
                    <w:spacing w:line="140" w:lineRule="exact"/>
                    <w:rPr>
                      <w:rFonts w:hint="cs"/>
                      <w:sz w:val="6"/>
                      <w:szCs w:val="16"/>
                      <w:lang w:bidi="ar-EG"/>
                    </w:rPr>
                  </w:pPr>
                  <w:r>
                    <w:rPr>
                      <w:rFonts w:hint="cs"/>
                      <w:sz w:val="6"/>
                      <w:szCs w:val="16"/>
                      <w:rtl/>
                      <w:lang w:bidi="ar-EG"/>
                    </w:rPr>
                    <w:t>ذكور</w:t>
                  </w:r>
                </w:p>
              </w:txbxContent>
            </v:textbox>
          </v:shape>
        </w:pict>
      </w:r>
    </w:p>
    <w:p w:rsidR="0058501F" w:rsidRDefault="0058501F" w:rsidP="0058501F">
      <w:pPr>
        <w:jc w:val="center"/>
        <w:rPr>
          <w:rFonts w:hint="cs"/>
          <w:sz w:val="32"/>
          <w:szCs w:val="32"/>
          <w:rtl/>
        </w:rPr>
      </w:pPr>
    </w:p>
    <w:p w:rsidR="0058501F" w:rsidRPr="00EA6E3A" w:rsidRDefault="0058501F" w:rsidP="0058501F">
      <w:pPr>
        <w:jc w:val="center"/>
        <w:rPr>
          <w:rFonts w:hint="cs"/>
          <w:sz w:val="28"/>
          <w:szCs w:val="28"/>
          <w:rtl/>
        </w:rPr>
      </w:pPr>
      <w:r w:rsidRPr="00EA6E3A">
        <w:rPr>
          <w:rFonts w:hint="cs"/>
          <w:sz w:val="28"/>
          <w:szCs w:val="28"/>
          <w:rtl/>
        </w:rPr>
        <w:t>المصدر: مدرسة أكاديمية اليوم الجديد (بيانات لم تنشر)</w:t>
      </w:r>
    </w:p>
    <w:p w:rsidR="0058501F" w:rsidRDefault="0058501F" w:rsidP="0058501F">
      <w:pPr>
        <w:rPr>
          <w:rFonts w:hint="cs"/>
          <w:sz w:val="32"/>
          <w:szCs w:val="32"/>
          <w:rtl/>
        </w:rPr>
      </w:pPr>
    </w:p>
    <w:p w:rsidR="00401260" w:rsidRDefault="00C72525" w:rsidP="0058501F">
      <w:pPr>
        <w:rPr>
          <w:rFonts w:hint="cs"/>
          <w:sz w:val="32"/>
          <w:szCs w:val="32"/>
          <w:rtl/>
        </w:rPr>
      </w:pPr>
      <w:r>
        <w:rPr>
          <w:rFonts w:hint="cs"/>
          <w:noProof/>
          <w:w w:val="100"/>
          <w:rtl/>
        </w:rPr>
        <w:pict>
          <v:shape id="_x0000_s2586" type="#_x0000_t202" style="position:absolute;left:0;text-align:left;margin-left:121.6pt;margin-top:15.4pt;width:24pt;height:9pt;z-index:34" strokecolor="white">
            <v:textbox style="mso-next-textbox:#_x0000_s2586" inset="0,0,0,0">
              <w:txbxContent>
                <w:p w:rsidR="00F93B21" w:rsidRPr="00EB3202" w:rsidRDefault="00F93B21" w:rsidP="00C72525">
                  <w:pPr>
                    <w:spacing w:line="140" w:lineRule="exact"/>
                    <w:rPr>
                      <w:rFonts w:hint="cs"/>
                      <w:sz w:val="6"/>
                      <w:szCs w:val="16"/>
                      <w:lang w:bidi="ar-EG"/>
                    </w:rPr>
                  </w:pPr>
                  <w:r>
                    <w:rPr>
                      <w:rFonts w:hint="cs"/>
                      <w:sz w:val="6"/>
                      <w:szCs w:val="16"/>
                      <w:rtl/>
                      <w:lang w:bidi="ar-EG"/>
                    </w:rPr>
                    <w:t>إناث</w:t>
                  </w:r>
                </w:p>
              </w:txbxContent>
            </v:textbox>
          </v:shape>
        </w:pict>
      </w:r>
      <w:r>
        <w:rPr>
          <w:rFonts w:hint="cs"/>
          <w:noProof/>
          <w:w w:val="100"/>
          <w:sz w:val="16"/>
          <w:szCs w:val="26"/>
          <w:rtl/>
        </w:rPr>
        <w:pict>
          <v:shape id="_x0000_s2585" type="#_x0000_t202" style="position:absolute;left:0;text-align:left;margin-left:124pt;margin-top:4.6pt;width:24pt;height:9pt;z-index:33" strokecolor="white">
            <v:textbox style="mso-next-textbox:#_x0000_s2585" inset="0,0,0,0">
              <w:txbxContent>
                <w:p w:rsidR="00F93B21" w:rsidRPr="00EB3202" w:rsidRDefault="00F93B21" w:rsidP="00C72525">
                  <w:pPr>
                    <w:spacing w:line="140" w:lineRule="exact"/>
                    <w:rPr>
                      <w:rFonts w:hint="cs"/>
                      <w:sz w:val="6"/>
                      <w:szCs w:val="16"/>
                      <w:lang w:bidi="ar-EG"/>
                    </w:rPr>
                  </w:pPr>
                  <w:r>
                    <w:rPr>
                      <w:rFonts w:hint="cs"/>
                      <w:sz w:val="6"/>
                      <w:szCs w:val="16"/>
                      <w:rtl/>
                      <w:lang w:bidi="ar-EG"/>
                    </w:rPr>
                    <w:t>ذكور</w:t>
                  </w:r>
                </w:p>
              </w:txbxContent>
            </v:textbox>
          </v:shape>
        </w:pict>
      </w:r>
    </w:p>
    <w:p w:rsidR="00401260" w:rsidRDefault="00C72525" w:rsidP="0058501F">
      <w:pPr>
        <w:rPr>
          <w:rFonts w:hint="cs"/>
          <w:sz w:val="32"/>
          <w:szCs w:val="32"/>
          <w:rtl/>
        </w:rPr>
      </w:pPr>
      <w:r>
        <w:rPr>
          <w:rFonts w:hint="cs"/>
          <w:noProof/>
          <w:w w:val="100"/>
          <w:sz w:val="16"/>
          <w:szCs w:val="26"/>
          <w:rtl/>
        </w:rPr>
        <w:pict>
          <v:shape id="_x0000_s2587" type="#_x0000_t202" style="position:absolute;left:0;text-align:left;margin-left:244pt;margin-top:8pt;width:24pt;height:9pt;z-index:35" strokecolor="white">
            <v:textbox inset="0,0,0,0">
              <w:txbxContent>
                <w:p w:rsidR="00F93B21" w:rsidRPr="00EB3202" w:rsidRDefault="00F93B21" w:rsidP="003E7CC2">
                  <w:pPr>
                    <w:spacing w:line="140" w:lineRule="exact"/>
                    <w:jc w:val="center"/>
                    <w:rPr>
                      <w:rFonts w:hint="cs"/>
                      <w:sz w:val="6"/>
                      <w:szCs w:val="16"/>
                      <w:lang w:bidi="ar-EG"/>
                    </w:rPr>
                  </w:pPr>
                  <w:r>
                    <w:rPr>
                      <w:rFonts w:hint="cs"/>
                      <w:sz w:val="6"/>
                      <w:szCs w:val="16"/>
                      <w:rtl/>
                      <w:lang w:bidi="ar-EG"/>
                    </w:rPr>
                    <w:t>السنة</w:t>
                  </w:r>
                </w:p>
              </w:txbxContent>
            </v:textbox>
          </v:shape>
        </w:pict>
      </w:r>
    </w:p>
    <w:p w:rsidR="00C72525" w:rsidRPr="00C72525" w:rsidRDefault="00C72525" w:rsidP="00C7252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sz w:val="16"/>
          <w:szCs w:val="26"/>
          <w:rtl/>
        </w:rPr>
      </w:pPr>
      <w:r w:rsidRPr="00C72525">
        <w:rPr>
          <w:rFonts w:hint="cs"/>
          <w:sz w:val="16"/>
          <w:szCs w:val="26"/>
          <w:rtl/>
        </w:rPr>
        <w:tab/>
        <w:t>المصدر:</w:t>
      </w:r>
      <w:r w:rsidRPr="00C72525">
        <w:rPr>
          <w:rFonts w:hint="cs"/>
          <w:sz w:val="16"/>
          <w:szCs w:val="26"/>
          <w:rtl/>
        </w:rPr>
        <w:tab/>
        <w:t>مدرسة أكاديمية اليوم الجديد (بيانات لم تنشر).</w:t>
      </w:r>
    </w:p>
    <w:p w:rsidR="0058501F" w:rsidRPr="001F659A" w:rsidRDefault="00401260" w:rsidP="004012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58501F" w:rsidRPr="001F659A">
        <w:rPr>
          <w:rFonts w:hint="cs"/>
          <w:rtl/>
        </w:rPr>
        <w:t>مدرسة ماريتا كابان هالو للطباعة</w:t>
      </w:r>
    </w:p>
    <w:p w:rsidR="00401260" w:rsidRPr="00401260" w:rsidRDefault="00401260" w:rsidP="00401260">
      <w:pPr>
        <w:spacing w:line="120" w:lineRule="exact"/>
        <w:rPr>
          <w:rFonts w:hint="cs"/>
          <w:sz w:val="10"/>
          <w:szCs w:val="32"/>
          <w:rtl/>
        </w:rPr>
      </w:pPr>
    </w:p>
    <w:p w:rsidR="0058501F" w:rsidRDefault="0058501F" w:rsidP="00401260">
      <w:pPr>
        <w:pStyle w:val="SingleTxt"/>
        <w:rPr>
          <w:rFonts w:hint="cs"/>
          <w:rtl/>
        </w:rPr>
      </w:pPr>
      <w:r>
        <w:rPr>
          <w:rFonts w:hint="cs"/>
          <w:rtl/>
        </w:rPr>
        <w:t>10-2</w:t>
      </w:r>
      <w:r w:rsidR="00401260">
        <w:rPr>
          <w:rFonts w:hint="cs"/>
          <w:rtl/>
        </w:rPr>
        <w:t xml:space="preserve">1  </w:t>
      </w:r>
      <w:r>
        <w:rPr>
          <w:rFonts w:hint="cs"/>
          <w:rtl/>
        </w:rPr>
        <w:t>هذه أول مدرسة تجارية مملوكة ملكية خاصة في توفالو. وقد أنشئت في عام 1996، وتسمى مدرسة ماريتا كابان هالو للطباعة. وتركز على المهارات الأساسية للعمل في المكاتب، لا سيما الطباعة والاختزال واستخدام الحاسوب، مما يوفر للطالب المهارات الفنية الأساسية اللازمة والمعرفة بأعمال السكرتارية. ومنذ إنشاء المدرسة في عام 1996 وحتى عام 2004، لم يلتحق بها من الذكور سوى خمسة أشخاص وبقية الملتحقين بها من الإناث. ويعمل الطلاب المتخرجون منها الآن إما موظفين حكوميين أو في القطاع الخاص في جزيرة فونافوتي والجزر الخارجية.</w:t>
      </w:r>
    </w:p>
    <w:p w:rsidR="00C72525" w:rsidRPr="00C72525" w:rsidRDefault="00C72525" w:rsidP="00C72525">
      <w:pPr>
        <w:pStyle w:val="SingleTxt"/>
        <w:rPr>
          <w:rFonts w:hint="cs"/>
          <w:b/>
          <w:bCs/>
          <w:rtl/>
        </w:rPr>
      </w:pPr>
      <w:r>
        <w:rPr>
          <w:rtl/>
        </w:rPr>
        <w:br w:type="page"/>
      </w:r>
      <w:r w:rsidRPr="00C72525">
        <w:rPr>
          <w:rFonts w:hint="cs"/>
          <w:b/>
          <w:bCs/>
          <w:rtl/>
        </w:rPr>
        <w:t>الشكل 8: رسم بياني يبين عدد الطلاب الملتحقين بمدرسة ماريتا كابان هالو للطباعة، والذين تخرجو منها والذين لم يتخرجوا بعد، 1996</w:t>
      </w:r>
      <w:r>
        <w:rPr>
          <w:rFonts w:hint="cs"/>
          <w:b/>
          <w:bCs/>
          <w:rtl/>
        </w:rPr>
        <w:t>-</w:t>
      </w:r>
      <w:r w:rsidRPr="00C72525">
        <w:rPr>
          <w:rFonts w:hint="cs"/>
          <w:b/>
          <w:bCs/>
          <w:rtl/>
        </w:rPr>
        <w:t>2004</w:t>
      </w:r>
    </w:p>
    <w:p w:rsidR="00C72525" w:rsidRDefault="00B270A8" w:rsidP="00C72525">
      <w:pPr>
        <w:rPr>
          <w:rFonts w:hint="cs"/>
          <w:sz w:val="32"/>
          <w:szCs w:val="32"/>
          <w:rtl/>
        </w:rPr>
      </w:pPr>
      <w:r>
        <w:rPr>
          <w:rFonts w:hint="cs"/>
          <w:b/>
          <w:bCs/>
          <w:noProof/>
          <w:w w:val="100"/>
          <w:rtl/>
        </w:rPr>
        <w:pict>
          <v:shape id="_x0000_s2592" type="#_x0000_t202" style="position:absolute;left:0;text-align:left;margin-left:190.4pt;margin-top:9pt;width:120pt;height:18pt;z-index:38" strokecolor="white">
            <v:textbox inset="0,0,0,0">
              <w:txbxContent>
                <w:p w:rsidR="00F93B21" w:rsidRPr="00C72525" w:rsidRDefault="00F93B21" w:rsidP="00B270A8">
                  <w:pPr>
                    <w:spacing w:line="200" w:lineRule="exact"/>
                    <w:jc w:val="center"/>
                    <w:rPr>
                      <w:rFonts w:hint="cs"/>
                      <w:sz w:val="16"/>
                      <w:szCs w:val="26"/>
                      <w:lang w:bidi="ar-EG"/>
                    </w:rPr>
                  </w:pPr>
                  <w:r>
                    <w:rPr>
                      <w:rFonts w:hint="cs"/>
                      <w:sz w:val="16"/>
                      <w:szCs w:val="26"/>
                      <w:rtl/>
                      <w:lang w:bidi="ar-EG"/>
                    </w:rPr>
                    <w:t>مدرسة ماريتا كابان هالو للطباعة</w:t>
                  </w:r>
                </w:p>
              </w:txbxContent>
            </v:textbox>
          </v:shape>
        </w:pict>
      </w:r>
    </w:p>
    <w:p w:rsidR="00C72525" w:rsidRDefault="00C72525" w:rsidP="00C72525">
      <w:pPr>
        <w:rPr>
          <w:rFonts w:hint="cs"/>
          <w:sz w:val="32"/>
          <w:szCs w:val="32"/>
          <w:rtl/>
        </w:rPr>
      </w:pPr>
    </w:p>
    <w:p w:rsidR="00C72525" w:rsidRDefault="00B270A8" w:rsidP="00C72525">
      <w:pPr>
        <w:rPr>
          <w:rFonts w:hint="cs"/>
          <w:sz w:val="32"/>
          <w:szCs w:val="32"/>
          <w:rtl/>
        </w:rPr>
      </w:pPr>
      <w:r>
        <w:rPr>
          <w:rFonts w:hint="cs"/>
          <w:b/>
          <w:bCs/>
          <w:noProof/>
          <w:w w:val="100"/>
          <w:rtl/>
        </w:rPr>
        <w:pict>
          <v:shape id="_x0000_s2593" type="#_x0000_t202" style="position:absolute;left:0;text-align:left;margin-left:80pt;margin-top:10.4pt;width:16pt;height:90pt;z-index:39" strokecolor="white">
            <v:textbox style="layout-flow:vertical;mso-layout-flow-alt:bottom-to-top;mso-next-textbox:#_x0000_s2593" inset="0,0,0,0">
              <w:txbxContent>
                <w:p w:rsidR="00F93B21" w:rsidRPr="00401260" w:rsidRDefault="00F93B21" w:rsidP="00B270A8">
                  <w:pPr>
                    <w:spacing w:line="220" w:lineRule="exact"/>
                    <w:jc w:val="center"/>
                    <w:rPr>
                      <w:rFonts w:hint="cs"/>
                      <w:sz w:val="24"/>
                      <w:szCs w:val="24"/>
                      <w:lang w:bidi="ar-EG"/>
                    </w:rPr>
                  </w:pPr>
                  <w:r w:rsidRPr="00401260">
                    <w:rPr>
                      <w:rFonts w:hint="cs"/>
                      <w:sz w:val="24"/>
                      <w:szCs w:val="24"/>
                      <w:rtl/>
                      <w:lang w:bidi="ar-EG"/>
                    </w:rPr>
                    <w:t xml:space="preserve">عدد </w:t>
                  </w:r>
                  <w:r>
                    <w:rPr>
                      <w:rFonts w:hint="cs"/>
                      <w:sz w:val="24"/>
                      <w:szCs w:val="24"/>
                      <w:rtl/>
                      <w:lang w:bidi="ar-EG"/>
                    </w:rPr>
                    <w:t>الطلاب</w:t>
                  </w:r>
                </w:p>
              </w:txbxContent>
            </v:textbox>
          </v:shape>
        </w:pict>
      </w:r>
    </w:p>
    <w:p w:rsidR="00C72525" w:rsidRDefault="00C72525" w:rsidP="00C72525">
      <w:pPr>
        <w:rPr>
          <w:rFonts w:hint="cs"/>
          <w:sz w:val="32"/>
          <w:szCs w:val="32"/>
          <w:rtl/>
        </w:rPr>
      </w:pPr>
    </w:p>
    <w:p w:rsidR="00C72525" w:rsidRDefault="00C72525" w:rsidP="00C72525">
      <w:pPr>
        <w:rPr>
          <w:rFonts w:hint="cs"/>
          <w:sz w:val="32"/>
          <w:szCs w:val="32"/>
          <w:rtl/>
        </w:rPr>
      </w:pPr>
    </w:p>
    <w:p w:rsidR="00C72525" w:rsidRDefault="00C72525" w:rsidP="00C72525">
      <w:pPr>
        <w:rPr>
          <w:rFonts w:hint="cs"/>
          <w:sz w:val="32"/>
          <w:szCs w:val="32"/>
          <w:rtl/>
        </w:rPr>
      </w:pPr>
    </w:p>
    <w:p w:rsidR="00C72525" w:rsidRDefault="00C72525" w:rsidP="00C72525">
      <w:pPr>
        <w:rPr>
          <w:rFonts w:hint="cs"/>
          <w:sz w:val="32"/>
          <w:szCs w:val="32"/>
          <w:rtl/>
        </w:rPr>
      </w:pPr>
    </w:p>
    <w:p w:rsidR="00C72525" w:rsidRDefault="00C72525" w:rsidP="00C72525">
      <w:pPr>
        <w:rPr>
          <w:rFonts w:hint="cs"/>
          <w:sz w:val="32"/>
          <w:szCs w:val="32"/>
          <w:rtl/>
        </w:rPr>
      </w:pPr>
    </w:p>
    <w:p w:rsidR="00C72525" w:rsidRDefault="00C72525" w:rsidP="00C72525">
      <w:pPr>
        <w:rPr>
          <w:rFonts w:hint="cs"/>
          <w:sz w:val="32"/>
          <w:szCs w:val="32"/>
          <w:rtl/>
        </w:rPr>
      </w:pPr>
    </w:p>
    <w:p w:rsidR="00C72525" w:rsidRDefault="00B270A8" w:rsidP="00C72525">
      <w:pPr>
        <w:rPr>
          <w:rFonts w:hint="cs"/>
          <w:sz w:val="32"/>
          <w:szCs w:val="32"/>
          <w:rtl/>
        </w:rPr>
      </w:pPr>
      <w:r>
        <w:rPr>
          <w:rFonts w:hint="cs"/>
          <w:noProof/>
          <w:w w:val="100"/>
          <w:rtl/>
        </w:rPr>
        <w:pict>
          <v:shape id="_x0000_s2597" type="#_x0000_t202" style="position:absolute;left:0;text-align:left;margin-left:264pt;margin-top:17.4pt;width:88.55pt;height:7.9pt;z-index:43" strokecolor="white">
            <v:textbox inset="0,0,0,0">
              <w:txbxContent>
                <w:p w:rsidR="00F93B21" w:rsidRPr="00EB3202" w:rsidRDefault="00F93B21" w:rsidP="00B270A8">
                  <w:pPr>
                    <w:spacing w:line="140" w:lineRule="exact"/>
                    <w:jc w:val="center"/>
                    <w:rPr>
                      <w:rFonts w:hint="cs"/>
                      <w:sz w:val="6"/>
                      <w:szCs w:val="16"/>
                      <w:lang w:bidi="ar-EG"/>
                    </w:rPr>
                  </w:pPr>
                  <w:r>
                    <w:rPr>
                      <w:rFonts w:hint="cs"/>
                      <w:sz w:val="6"/>
                      <w:szCs w:val="16"/>
                      <w:rtl/>
                      <w:lang w:bidi="ar-EG"/>
                    </w:rPr>
                    <w:t>الخريجون</w:t>
                  </w:r>
                </w:p>
              </w:txbxContent>
            </v:textbox>
          </v:shape>
        </w:pict>
      </w:r>
      <w:r>
        <w:rPr>
          <w:rFonts w:hint="cs"/>
          <w:noProof/>
          <w:w w:val="100"/>
          <w:rtl/>
        </w:rPr>
        <w:pict>
          <v:shape id="_x0000_s2595" type="#_x0000_t202" style="position:absolute;left:0;text-align:left;margin-left:160pt;margin-top:17.4pt;width:74.15pt;height:7.9pt;z-index:41" strokecolor="white">
            <v:textbox style="mso-next-textbox:#_x0000_s2595" inset="0,0,0,0">
              <w:txbxContent>
                <w:p w:rsidR="00F93B21" w:rsidRPr="00EB3202" w:rsidRDefault="00F93B21" w:rsidP="00B270A8">
                  <w:pPr>
                    <w:spacing w:line="140" w:lineRule="exact"/>
                    <w:jc w:val="center"/>
                    <w:rPr>
                      <w:rFonts w:hint="cs"/>
                      <w:sz w:val="6"/>
                      <w:szCs w:val="16"/>
                      <w:lang w:bidi="ar-EG"/>
                    </w:rPr>
                  </w:pPr>
                  <w:r>
                    <w:rPr>
                      <w:rFonts w:hint="cs"/>
                      <w:sz w:val="6"/>
                      <w:szCs w:val="16"/>
                      <w:rtl/>
                      <w:lang w:bidi="ar-EG"/>
                    </w:rPr>
                    <w:t>لم يتخرجوا</w:t>
                  </w:r>
                </w:p>
              </w:txbxContent>
            </v:textbox>
          </v:shape>
        </w:pict>
      </w:r>
      <w:r>
        <w:rPr>
          <w:rFonts w:hint="cs"/>
          <w:noProof/>
          <w:w w:val="100"/>
          <w:sz w:val="32"/>
          <w:szCs w:val="32"/>
          <w:rtl/>
        </w:rPr>
        <w:pict>
          <v:shape id="_x0000_s2596" type="#_x0000_t202" style="position:absolute;left:0;text-align:left;margin-left:109pt;margin-top:17.4pt;width:24pt;height:7.9pt;z-index:42" strokecolor="white">
            <v:textbox style="mso-next-textbox:#_x0000_s2596" inset="0,0,0,0">
              <w:txbxContent>
                <w:p w:rsidR="00F93B21" w:rsidRPr="00EB3202" w:rsidRDefault="00F93B21" w:rsidP="00B270A8">
                  <w:pPr>
                    <w:spacing w:line="140" w:lineRule="exact"/>
                    <w:rPr>
                      <w:rFonts w:hint="cs"/>
                      <w:sz w:val="6"/>
                      <w:szCs w:val="16"/>
                      <w:lang w:bidi="ar-EG"/>
                    </w:rPr>
                  </w:pPr>
                  <w:r>
                    <w:rPr>
                      <w:rFonts w:hint="cs"/>
                      <w:sz w:val="6"/>
                      <w:szCs w:val="16"/>
                      <w:rtl/>
                      <w:lang w:bidi="ar-EG"/>
                    </w:rPr>
                    <w:t>المجموع</w:t>
                  </w:r>
                </w:p>
              </w:txbxContent>
            </v:textbox>
          </v:shape>
        </w:pict>
      </w:r>
      <w:r>
        <w:rPr>
          <w:rFonts w:hint="cs"/>
          <w:noProof/>
          <w:w w:val="100"/>
          <w:sz w:val="28"/>
          <w:szCs w:val="28"/>
          <w:rtl/>
        </w:rPr>
        <w:pict>
          <v:shape id="_x0000_s2594" type="#_x0000_t202" style="position:absolute;left:0;text-align:left;margin-left:283.8pt;margin-top:5.4pt;width:24pt;height:9pt;z-index:40" strokecolor="white">
            <v:textbox style="mso-next-textbox:#_x0000_s2594" inset="0,0,0,0">
              <w:txbxContent>
                <w:p w:rsidR="00F93B21" w:rsidRPr="00EB3202" w:rsidRDefault="00F93B21" w:rsidP="00B270A8">
                  <w:pPr>
                    <w:spacing w:line="140" w:lineRule="exact"/>
                    <w:rPr>
                      <w:rFonts w:hint="cs"/>
                      <w:sz w:val="6"/>
                      <w:szCs w:val="16"/>
                      <w:lang w:bidi="ar-EG"/>
                    </w:rPr>
                  </w:pPr>
                  <w:r>
                    <w:rPr>
                      <w:rFonts w:hint="cs"/>
                      <w:sz w:val="6"/>
                      <w:szCs w:val="16"/>
                      <w:rtl/>
                      <w:lang w:bidi="ar-EG"/>
                    </w:rPr>
                    <w:t>السنة</w:t>
                  </w:r>
                </w:p>
              </w:txbxContent>
            </v:textbox>
          </v:shape>
        </w:pict>
      </w:r>
    </w:p>
    <w:p w:rsidR="00C72525" w:rsidRDefault="00C72525" w:rsidP="00C72525">
      <w:pPr>
        <w:rPr>
          <w:rFonts w:hint="cs"/>
          <w:sz w:val="32"/>
          <w:szCs w:val="32"/>
          <w:rtl/>
        </w:rPr>
      </w:pPr>
      <w:r>
        <w:rPr>
          <w:noProof/>
        </w:rPr>
        <w:pict>
          <v:shape id="_x0000_s2580" type="#_x0000_t75" style="position:absolute;left:0;text-align:left;margin-left:0;margin-top:-196.55pt;width:6in;height:213.1pt;z-index:30;mso-position-horizontal:center">
            <v:imagedata r:id="rId21" o:title=""/>
          </v:shape>
        </w:pict>
      </w:r>
    </w:p>
    <w:p w:rsidR="00C72525" w:rsidRPr="00EA6E3A" w:rsidRDefault="005E6F3C" w:rsidP="005E6F3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Pr>
          <w:rFonts w:hint="cs"/>
          <w:rtl/>
        </w:rPr>
        <w:tab/>
      </w:r>
      <w:r w:rsidR="00C72525" w:rsidRPr="00EA6E3A">
        <w:rPr>
          <w:rFonts w:hint="cs"/>
          <w:rtl/>
        </w:rPr>
        <w:t>المصدر:</w:t>
      </w:r>
      <w:r>
        <w:rPr>
          <w:rFonts w:hint="cs"/>
          <w:rtl/>
        </w:rPr>
        <w:t xml:space="preserve">  </w:t>
      </w:r>
      <w:r w:rsidR="00C72525" w:rsidRPr="00EA6E3A">
        <w:rPr>
          <w:rFonts w:hint="cs"/>
          <w:rtl/>
        </w:rPr>
        <w:t>مدرسة ماريتا كابان هالو للطباعة (بيانات لم تنشر)</w:t>
      </w:r>
      <w:r w:rsidR="00D37E76">
        <w:rPr>
          <w:rFonts w:hint="cs"/>
          <w:rtl/>
        </w:rPr>
        <w:t>.</w:t>
      </w:r>
    </w:p>
    <w:p w:rsidR="005E6F3C" w:rsidRPr="005E6F3C" w:rsidRDefault="005E6F3C" w:rsidP="005E6F3C">
      <w:pPr>
        <w:pStyle w:val="SingleTxt"/>
        <w:spacing w:after="0" w:line="120" w:lineRule="exact"/>
        <w:rPr>
          <w:rFonts w:hint="cs"/>
          <w:sz w:val="10"/>
          <w:rtl/>
        </w:rPr>
      </w:pPr>
    </w:p>
    <w:p w:rsidR="005E6F3C" w:rsidRPr="001F659A" w:rsidRDefault="005E6F3C" w:rsidP="005E6F3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1F659A">
        <w:rPr>
          <w:rFonts w:hint="cs"/>
          <w:rtl/>
        </w:rPr>
        <w:t>مرحلة الدراسة الجامعية ومجالات الدراسة</w:t>
      </w:r>
    </w:p>
    <w:p w:rsidR="003E7CC2" w:rsidRPr="003E7CC2" w:rsidRDefault="003E7CC2" w:rsidP="003E7CC2">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rtl/>
        </w:rPr>
      </w:pPr>
    </w:p>
    <w:p w:rsidR="005E6F3C" w:rsidRPr="005E6F3C" w:rsidRDefault="005E6F3C" w:rsidP="005E6F3C">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5E6F3C">
        <w:rPr>
          <w:rFonts w:hint="cs"/>
          <w:rtl/>
        </w:rPr>
        <w:tab/>
      </w:r>
      <w:r>
        <w:rPr>
          <w:rFonts w:hint="cs"/>
          <w:rtl/>
        </w:rPr>
        <w:t>’1‘</w:t>
      </w:r>
      <w:r>
        <w:rPr>
          <w:rFonts w:hint="cs"/>
          <w:rtl/>
        </w:rPr>
        <w:tab/>
      </w:r>
      <w:r w:rsidRPr="005E6F3C">
        <w:rPr>
          <w:rFonts w:hint="cs"/>
          <w:rtl/>
        </w:rPr>
        <w:t>ميادين الدراسة ومستويات المساقات الدراسية</w:t>
      </w:r>
    </w:p>
    <w:p w:rsidR="005E6F3C" w:rsidRDefault="005E6F3C" w:rsidP="005E6F3C">
      <w:pPr>
        <w:pStyle w:val="SingleTxt"/>
        <w:rPr>
          <w:rFonts w:hint="cs"/>
          <w:rtl/>
        </w:rPr>
      </w:pPr>
      <w:r>
        <w:rPr>
          <w:rFonts w:hint="cs"/>
          <w:rtl/>
        </w:rPr>
        <w:t>10-22  ميدان الدراسة الأكثر شيوعاً في المرحلة الجامعية هو التربية. فالتخصص في التربية فيه انتقائية تقوم على أساس نوع الجنس، ففي الفترة من عام 2000 إلى عام 2004، كان عدد الإناث المتخصصات في التربية أكثر من عدد الذكور. ويأتي بعد ذلك ميدان الصحة/ الطب، وعلى وجه التحديد الأطباء والممرضون والمهن الأخرى والمهارات الفنية. وعدد الخريجات في توفالو أكبر من عدد الخريجين الذكور المتخصصين في دراسات تتعلق بميادين العمل.</w:t>
      </w:r>
    </w:p>
    <w:p w:rsidR="005E6F3C" w:rsidRDefault="005E6F3C" w:rsidP="005E6F3C">
      <w:pPr>
        <w:rPr>
          <w:rFonts w:hint="cs"/>
          <w:b/>
          <w:bCs/>
          <w:sz w:val="28"/>
          <w:szCs w:val="28"/>
          <w:rtl/>
        </w:rPr>
      </w:pPr>
      <w:r>
        <w:rPr>
          <w:sz w:val="32"/>
          <w:szCs w:val="32"/>
          <w:rtl/>
        </w:rPr>
        <w:br w:type="page"/>
      </w:r>
      <w:r w:rsidRPr="00A67CEB">
        <w:rPr>
          <w:rFonts w:hint="cs"/>
          <w:b/>
          <w:bCs/>
          <w:sz w:val="32"/>
          <w:szCs w:val="32"/>
          <w:rtl/>
        </w:rPr>
        <w:t>ا</w:t>
      </w:r>
      <w:r w:rsidRPr="00B36E6D">
        <w:rPr>
          <w:rFonts w:hint="cs"/>
          <w:b/>
          <w:bCs/>
          <w:sz w:val="28"/>
          <w:szCs w:val="28"/>
          <w:rtl/>
        </w:rPr>
        <w:t xml:space="preserve">لجدول 20: عدد الطلاب والطالبات في كل ميدان من ميادين الدراسة، موزعين حسب نوع الجنس </w:t>
      </w:r>
      <w:r>
        <w:rPr>
          <w:rFonts w:hint="cs"/>
          <w:b/>
          <w:bCs/>
          <w:sz w:val="28"/>
          <w:szCs w:val="28"/>
          <w:rtl/>
        </w:rPr>
        <w:t>2000 - 2004</w:t>
      </w:r>
    </w:p>
    <w:p w:rsidR="005E6F3C" w:rsidRPr="00A67CEB" w:rsidRDefault="005E6F3C" w:rsidP="005E6F3C">
      <w:pPr>
        <w:rPr>
          <w:rFonts w:hint="cs"/>
          <w:b/>
          <w:bCs/>
          <w:sz w:val="32"/>
          <w:szCs w:val="32"/>
          <w:rtl/>
        </w:rPr>
      </w:pPr>
    </w:p>
    <w:tbl>
      <w:tblPr>
        <w:tblStyle w:val="TableGrid"/>
        <w:bidiVisual/>
        <w:tblW w:w="9850" w:type="dxa"/>
        <w:jc w:val="center"/>
        <w:tblLayout w:type="fixed"/>
        <w:tblLook w:val="01E0" w:firstRow="1" w:lastRow="1" w:firstColumn="1" w:lastColumn="1" w:noHBand="0" w:noVBand="0"/>
      </w:tblPr>
      <w:tblGrid>
        <w:gridCol w:w="1457"/>
        <w:gridCol w:w="559"/>
        <w:gridCol w:w="559"/>
        <w:gridCol w:w="559"/>
        <w:gridCol w:w="559"/>
        <w:gridCol w:w="559"/>
        <w:gridCol w:w="559"/>
        <w:gridCol w:w="559"/>
        <w:gridCol w:w="560"/>
        <w:gridCol w:w="560"/>
        <w:gridCol w:w="560"/>
        <w:gridCol w:w="560"/>
        <w:gridCol w:w="560"/>
        <w:gridCol w:w="560"/>
        <w:gridCol w:w="560"/>
        <w:gridCol w:w="560"/>
      </w:tblGrid>
      <w:tr w:rsidR="005E6F3C" w:rsidRPr="00A67CEB">
        <w:trPr>
          <w:jc w:val="center"/>
        </w:trPr>
        <w:tc>
          <w:tcPr>
            <w:tcW w:w="1440" w:type="dxa"/>
            <w:vMerge w:val="restart"/>
          </w:tcPr>
          <w:p w:rsidR="00732182" w:rsidRDefault="00732182" w:rsidP="00780CDB">
            <w:pPr>
              <w:jc w:val="center"/>
              <w:rPr>
                <w:rFonts w:cs="Traditional Arabic" w:hint="cs"/>
                <w:szCs w:val="20"/>
                <w:rtl/>
              </w:rPr>
            </w:pPr>
          </w:p>
          <w:p w:rsidR="005E6F3C" w:rsidRPr="00A67CEB" w:rsidRDefault="005E6F3C" w:rsidP="00780CDB">
            <w:pPr>
              <w:jc w:val="center"/>
              <w:rPr>
                <w:rFonts w:cs="Traditional Arabic" w:hint="cs"/>
                <w:szCs w:val="20"/>
                <w:rtl/>
              </w:rPr>
            </w:pPr>
            <w:r>
              <w:rPr>
                <w:rFonts w:cs="Traditional Arabic" w:hint="cs"/>
                <w:szCs w:val="20"/>
                <w:rtl/>
              </w:rPr>
              <w:t>ميدان</w:t>
            </w:r>
            <w:r w:rsidR="00732182">
              <w:rPr>
                <w:rFonts w:cs="Traditional Arabic" w:hint="cs"/>
                <w:szCs w:val="20"/>
                <w:rtl/>
              </w:rPr>
              <w:t xml:space="preserve"> </w:t>
            </w:r>
            <w:r w:rsidRPr="00131B28">
              <w:rPr>
                <w:rFonts w:cs="Traditional Arabic" w:hint="cs"/>
                <w:sz w:val="16"/>
                <w:szCs w:val="16"/>
                <w:rtl/>
              </w:rPr>
              <w:t>الدراسة</w:t>
            </w:r>
          </w:p>
        </w:tc>
        <w:tc>
          <w:tcPr>
            <w:tcW w:w="1659" w:type="dxa"/>
            <w:gridSpan w:val="3"/>
          </w:tcPr>
          <w:p w:rsidR="005E6F3C" w:rsidRPr="00A67CEB" w:rsidRDefault="005E6F3C" w:rsidP="00780CDB">
            <w:pPr>
              <w:jc w:val="center"/>
              <w:rPr>
                <w:rFonts w:cs="Traditional Arabic" w:hint="cs"/>
                <w:szCs w:val="20"/>
                <w:rtl/>
              </w:rPr>
            </w:pPr>
            <w:r>
              <w:rPr>
                <w:rFonts w:cs="Traditional Arabic" w:hint="cs"/>
                <w:szCs w:val="20"/>
                <w:rtl/>
              </w:rPr>
              <w:t>2000</w:t>
            </w:r>
          </w:p>
        </w:tc>
        <w:tc>
          <w:tcPr>
            <w:tcW w:w="1659" w:type="dxa"/>
            <w:gridSpan w:val="3"/>
          </w:tcPr>
          <w:p w:rsidR="005E6F3C" w:rsidRPr="00A67CEB" w:rsidRDefault="005E6F3C" w:rsidP="00780CDB">
            <w:pPr>
              <w:jc w:val="center"/>
              <w:rPr>
                <w:rFonts w:cs="Traditional Arabic" w:hint="cs"/>
                <w:szCs w:val="20"/>
                <w:rtl/>
              </w:rPr>
            </w:pPr>
            <w:r>
              <w:rPr>
                <w:rFonts w:cs="Traditional Arabic" w:hint="cs"/>
                <w:szCs w:val="20"/>
                <w:rtl/>
              </w:rPr>
              <w:t>2001</w:t>
            </w:r>
          </w:p>
        </w:tc>
        <w:tc>
          <w:tcPr>
            <w:tcW w:w="1661" w:type="dxa"/>
            <w:gridSpan w:val="3"/>
          </w:tcPr>
          <w:p w:rsidR="005E6F3C" w:rsidRPr="00A67CEB" w:rsidRDefault="005E6F3C" w:rsidP="00780CDB">
            <w:pPr>
              <w:jc w:val="center"/>
              <w:rPr>
                <w:rFonts w:cs="Traditional Arabic" w:hint="cs"/>
                <w:szCs w:val="20"/>
                <w:rtl/>
              </w:rPr>
            </w:pPr>
            <w:r>
              <w:rPr>
                <w:rFonts w:cs="Traditional Arabic" w:hint="cs"/>
                <w:szCs w:val="20"/>
                <w:rtl/>
              </w:rPr>
              <w:t>2002</w:t>
            </w:r>
          </w:p>
        </w:tc>
        <w:tc>
          <w:tcPr>
            <w:tcW w:w="1662" w:type="dxa"/>
            <w:gridSpan w:val="3"/>
          </w:tcPr>
          <w:p w:rsidR="005E6F3C" w:rsidRPr="00A67CEB" w:rsidRDefault="005E6F3C" w:rsidP="00780CDB">
            <w:pPr>
              <w:jc w:val="center"/>
              <w:rPr>
                <w:rFonts w:cs="Traditional Arabic" w:hint="cs"/>
                <w:szCs w:val="20"/>
                <w:rtl/>
              </w:rPr>
            </w:pPr>
            <w:r>
              <w:rPr>
                <w:rFonts w:cs="Traditional Arabic" w:hint="cs"/>
                <w:szCs w:val="20"/>
                <w:rtl/>
              </w:rPr>
              <w:t>2003</w:t>
            </w:r>
          </w:p>
        </w:tc>
        <w:tc>
          <w:tcPr>
            <w:tcW w:w="1662" w:type="dxa"/>
            <w:gridSpan w:val="3"/>
          </w:tcPr>
          <w:p w:rsidR="005E6F3C" w:rsidRPr="00A67CEB" w:rsidRDefault="005E6F3C" w:rsidP="00780CDB">
            <w:pPr>
              <w:jc w:val="center"/>
              <w:rPr>
                <w:rFonts w:cs="Traditional Arabic" w:hint="cs"/>
                <w:szCs w:val="20"/>
                <w:rtl/>
              </w:rPr>
            </w:pPr>
            <w:r>
              <w:rPr>
                <w:rFonts w:cs="Traditional Arabic" w:hint="cs"/>
                <w:szCs w:val="20"/>
                <w:rtl/>
              </w:rPr>
              <w:t>2004</w:t>
            </w:r>
          </w:p>
        </w:tc>
      </w:tr>
      <w:tr w:rsidR="005E6F3C" w:rsidRPr="00A67CEB">
        <w:trPr>
          <w:jc w:val="center"/>
        </w:trPr>
        <w:tc>
          <w:tcPr>
            <w:tcW w:w="1440" w:type="dxa"/>
            <w:vMerge/>
          </w:tcPr>
          <w:p w:rsidR="005E6F3C" w:rsidRPr="00131B28" w:rsidRDefault="005E6F3C" w:rsidP="00780CDB">
            <w:pPr>
              <w:rPr>
                <w:rFonts w:cs="Traditional Arabic" w:hint="cs"/>
                <w:sz w:val="16"/>
                <w:szCs w:val="16"/>
                <w:rtl/>
              </w:rPr>
            </w:pP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ذكر</w:t>
            </w: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أنثى</w:t>
            </w: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المجموع</w:t>
            </w: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ذكر</w:t>
            </w: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أنثى</w:t>
            </w: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المجموع</w:t>
            </w:r>
          </w:p>
        </w:tc>
        <w:tc>
          <w:tcPr>
            <w:tcW w:w="553"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ذكر</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أنثى</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المجموع</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ذكر</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أنثى</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المجموع</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ذكر</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أنثى</w:t>
            </w:r>
          </w:p>
        </w:tc>
        <w:tc>
          <w:tcPr>
            <w:tcW w:w="554" w:type="dxa"/>
          </w:tcPr>
          <w:p w:rsidR="005E6F3C" w:rsidRPr="00131B28" w:rsidRDefault="005E6F3C" w:rsidP="00780CDB">
            <w:pPr>
              <w:jc w:val="center"/>
              <w:rPr>
                <w:rFonts w:cs="Traditional Arabic" w:hint="cs"/>
                <w:sz w:val="16"/>
                <w:szCs w:val="16"/>
                <w:rtl/>
              </w:rPr>
            </w:pPr>
            <w:r w:rsidRPr="00131B28">
              <w:rPr>
                <w:rFonts w:cs="Traditional Arabic" w:hint="cs"/>
                <w:sz w:val="16"/>
                <w:szCs w:val="16"/>
                <w:rtl/>
              </w:rPr>
              <w:t>المجموع</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زراعة</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بيئة</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فنون</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20</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7</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20</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27</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6</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9</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12</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 xml:space="preserve"> </w:t>
            </w:r>
            <w:r>
              <w:rPr>
                <w:rFonts w:cs="Traditional Arabic" w:hint="cs"/>
                <w:sz w:val="16"/>
                <w:szCs w:val="16"/>
                <w:rtl/>
              </w:rPr>
              <w:t>معلومات</w:t>
            </w:r>
            <w:r w:rsidR="00732182">
              <w:rPr>
                <w:rFonts w:cs="Traditional Arabic" w:hint="cs"/>
                <w:sz w:val="16"/>
                <w:szCs w:val="16"/>
                <w:rtl/>
              </w:rPr>
              <w:t xml:space="preserve"> </w:t>
            </w:r>
            <w:r>
              <w:rPr>
                <w:rFonts w:cs="Traditional Arabic" w:hint="cs"/>
                <w:sz w:val="16"/>
                <w:szCs w:val="16"/>
                <w:rtl/>
              </w:rPr>
              <w:t>تكنولوجيا</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7</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9</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تربية</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58</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87</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46</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65</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49</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6</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13</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تمويل</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6</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صحة</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10</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28</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40</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20</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قانون</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6</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6</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علوم بحرية</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19</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14</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علوم</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8</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10</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6</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أشغ</w:t>
            </w:r>
            <w:r>
              <w:rPr>
                <w:rFonts w:cs="Traditional Arabic" w:hint="cs"/>
                <w:sz w:val="16"/>
                <w:szCs w:val="16"/>
                <w:rtl/>
              </w:rPr>
              <w:t>ا</w:t>
            </w:r>
            <w:r w:rsidRPr="00131B28">
              <w:rPr>
                <w:rFonts w:cs="Traditional Arabic" w:hint="cs"/>
                <w:sz w:val="16"/>
                <w:szCs w:val="16"/>
                <w:rtl/>
              </w:rPr>
              <w:t>ل</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35</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34</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36</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صفر</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13</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 xml:space="preserve">دراسات </w:t>
            </w:r>
            <w:r>
              <w:rPr>
                <w:rFonts w:cs="Traditional Arabic" w:hint="cs"/>
                <w:sz w:val="16"/>
                <w:szCs w:val="16"/>
                <w:rtl/>
              </w:rPr>
              <w:t>عليا</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17</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18</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18</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20</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4</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12</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30</w:t>
            </w:r>
          </w:p>
        </w:tc>
      </w:tr>
      <w:tr w:rsidR="005E6F3C" w:rsidRPr="00A67CEB">
        <w:trPr>
          <w:jc w:val="center"/>
        </w:trPr>
        <w:tc>
          <w:tcPr>
            <w:tcW w:w="1440" w:type="dxa"/>
          </w:tcPr>
          <w:p w:rsidR="005E6F3C" w:rsidRPr="00131B28" w:rsidRDefault="005E6F3C" w:rsidP="00780CDB">
            <w:pPr>
              <w:rPr>
                <w:rFonts w:cs="Traditional Arabic" w:hint="cs"/>
                <w:sz w:val="16"/>
                <w:szCs w:val="16"/>
                <w:rtl/>
              </w:rPr>
            </w:pPr>
            <w:r w:rsidRPr="00131B28">
              <w:rPr>
                <w:rFonts w:cs="Traditional Arabic" w:hint="cs"/>
                <w:sz w:val="16"/>
                <w:szCs w:val="16"/>
                <w:rtl/>
              </w:rPr>
              <w:t>المجموع</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116</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132</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248</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124</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115</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239</w:t>
            </w:r>
          </w:p>
        </w:tc>
        <w:tc>
          <w:tcPr>
            <w:tcW w:w="553" w:type="dxa"/>
          </w:tcPr>
          <w:p w:rsidR="005E6F3C" w:rsidRPr="00A67CEB" w:rsidRDefault="005E6F3C" w:rsidP="00780CDB">
            <w:pPr>
              <w:jc w:val="center"/>
              <w:rPr>
                <w:rFonts w:cs="Traditional Arabic" w:hint="cs"/>
                <w:szCs w:val="20"/>
                <w:rtl/>
              </w:rPr>
            </w:pPr>
            <w:r>
              <w:rPr>
                <w:rFonts w:cs="Traditional Arabic" w:hint="cs"/>
                <w:szCs w:val="20"/>
                <w:rtl/>
              </w:rPr>
              <w:t>77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100</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177</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58</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65</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123</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59</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60</w:t>
            </w:r>
          </w:p>
        </w:tc>
        <w:tc>
          <w:tcPr>
            <w:tcW w:w="554" w:type="dxa"/>
          </w:tcPr>
          <w:p w:rsidR="005E6F3C" w:rsidRPr="00A67CEB" w:rsidRDefault="005E6F3C" w:rsidP="00780CDB">
            <w:pPr>
              <w:jc w:val="center"/>
              <w:rPr>
                <w:rFonts w:cs="Traditional Arabic" w:hint="cs"/>
                <w:szCs w:val="20"/>
                <w:rtl/>
              </w:rPr>
            </w:pPr>
            <w:r>
              <w:rPr>
                <w:rFonts w:cs="Traditional Arabic" w:hint="cs"/>
                <w:szCs w:val="20"/>
                <w:rtl/>
              </w:rPr>
              <w:t>119</w:t>
            </w:r>
          </w:p>
        </w:tc>
      </w:tr>
    </w:tbl>
    <w:p w:rsidR="005E6F3C" w:rsidRPr="005E6F3C" w:rsidRDefault="005E6F3C" w:rsidP="005E6F3C">
      <w:pPr>
        <w:rPr>
          <w:rFonts w:hint="cs"/>
          <w:sz w:val="24"/>
          <w:szCs w:val="24"/>
          <w:rtl/>
        </w:rPr>
      </w:pPr>
      <w:r>
        <w:rPr>
          <w:rFonts w:hint="cs"/>
          <w:sz w:val="28"/>
          <w:szCs w:val="28"/>
          <w:rtl/>
        </w:rPr>
        <w:tab/>
      </w:r>
      <w:r w:rsidRPr="005E6F3C">
        <w:rPr>
          <w:rFonts w:hint="cs"/>
          <w:sz w:val="24"/>
          <w:szCs w:val="24"/>
          <w:rtl/>
        </w:rPr>
        <w:t>المصدر: شعبة الإحصاءات المركزية (بيانات لم تنشر)</w:t>
      </w:r>
      <w:r>
        <w:rPr>
          <w:rFonts w:hint="cs"/>
          <w:sz w:val="24"/>
          <w:szCs w:val="24"/>
          <w:rtl/>
        </w:rPr>
        <w:t>.</w:t>
      </w:r>
    </w:p>
    <w:p w:rsidR="005E6F3C" w:rsidRPr="005E6F3C" w:rsidRDefault="005E6F3C" w:rsidP="005E6F3C">
      <w:pPr>
        <w:pStyle w:val="SingleTxt"/>
        <w:spacing w:after="0" w:line="120" w:lineRule="exact"/>
        <w:rPr>
          <w:rFonts w:hint="cs"/>
          <w:sz w:val="10"/>
          <w:rtl/>
        </w:rPr>
      </w:pPr>
    </w:p>
    <w:p w:rsidR="005E6F3C" w:rsidRDefault="005E6F3C" w:rsidP="005E6F3C">
      <w:pPr>
        <w:pStyle w:val="SingleTxt"/>
        <w:rPr>
          <w:rFonts w:hint="cs"/>
          <w:rtl/>
        </w:rPr>
      </w:pPr>
      <w:r>
        <w:rPr>
          <w:rFonts w:hint="cs"/>
          <w:rtl/>
        </w:rPr>
        <w:t>10-23  في حين أن توفالو حققت تعميم التعليم الابتدائي والثانوي، فإن الأرقام تبين أن عدد الذين يواصلون الدراسات العليا متدنٍ جداً. والغرض من المنح الدراسية التي يقدمها الشركاء في التنمية والوكالات المانحة أو بمبادرات إقليمية زيادة هذا العدد. وانطلاقاً من وعي الحكومة بضرورة توفير تعليم جيد النوعية، ستواصل تشجيع موظفيها المحترفين على مواصلة الدراسات العليا.</w:t>
      </w:r>
    </w:p>
    <w:p w:rsidR="005E6F3C" w:rsidRPr="00EA6E3A" w:rsidRDefault="005E6F3C" w:rsidP="005E6F3C">
      <w:pPr>
        <w:rPr>
          <w:rFonts w:hint="cs"/>
          <w:sz w:val="28"/>
          <w:szCs w:val="28"/>
          <w:rtl/>
        </w:rPr>
      </w:pPr>
      <w:r>
        <w:rPr>
          <w:sz w:val="32"/>
          <w:szCs w:val="32"/>
          <w:rtl/>
        </w:rPr>
        <w:br w:type="page"/>
      </w:r>
      <w:r w:rsidRPr="00EA6E3A">
        <w:rPr>
          <w:rFonts w:hint="cs"/>
          <w:b/>
          <w:bCs/>
          <w:sz w:val="28"/>
          <w:szCs w:val="28"/>
          <w:rtl/>
        </w:rPr>
        <w:t xml:space="preserve">الجدول 21: عدد الطلاب موزعين حسب المساق الدراسي ونوع الجنس والسنة،  2000 </w:t>
      </w:r>
      <w:r w:rsidR="00084D51">
        <w:rPr>
          <w:b/>
          <w:bCs/>
          <w:sz w:val="28"/>
          <w:szCs w:val="28"/>
          <w:rtl/>
        </w:rPr>
        <w:t>-</w:t>
      </w:r>
      <w:r w:rsidRPr="00EA6E3A">
        <w:rPr>
          <w:rFonts w:hint="cs"/>
          <w:b/>
          <w:bCs/>
          <w:sz w:val="28"/>
          <w:szCs w:val="28"/>
          <w:rtl/>
        </w:rPr>
        <w:t xml:space="preserve"> 2004</w:t>
      </w:r>
      <w:r w:rsidRPr="00EA6E3A">
        <w:rPr>
          <w:rFonts w:hint="cs"/>
          <w:sz w:val="28"/>
          <w:szCs w:val="28"/>
          <w:rtl/>
        </w:rPr>
        <w:t xml:space="preserve"> </w:t>
      </w:r>
    </w:p>
    <w:p w:rsidR="005E6F3C" w:rsidRPr="005E6F3C" w:rsidRDefault="005E6F3C" w:rsidP="005E6F3C">
      <w:pPr>
        <w:spacing w:line="120" w:lineRule="exact"/>
        <w:rPr>
          <w:sz w:val="10"/>
          <w:rtl/>
        </w:rPr>
      </w:pPr>
    </w:p>
    <w:tbl>
      <w:tblPr>
        <w:tblStyle w:val="TableGrid"/>
        <w:bidiVisual/>
        <w:tblW w:w="9835" w:type="dxa"/>
        <w:jc w:val="center"/>
        <w:tblLayout w:type="fixed"/>
        <w:tblLook w:val="01E0" w:firstRow="1" w:lastRow="1" w:firstColumn="1" w:lastColumn="1" w:noHBand="0" w:noVBand="0"/>
      </w:tblPr>
      <w:tblGrid>
        <w:gridCol w:w="2794"/>
        <w:gridCol w:w="705"/>
        <w:gridCol w:w="704"/>
        <w:gridCol w:w="704"/>
        <w:gridCol w:w="704"/>
        <w:gridCol w:w="704"/>
        <w:gridCol w:w="704"/>
        <w:gridCol w:w="704"/>
        <w:gridCol w:w="704"/>
        <w:gridCol w:w="704"/>
        <w:gridCol w:w="704"/>
      </w:tblGrid>
      <w:tr w:rsidR="005E6F3C" w:rsidRPr="003E7CC2">
        <w:trPr>
          <w:jc w:val="center"/>
        </w:trPr>
        <w:tc>
          <w:tcPr>
            <w:tcW w:w="2880" w:type="dxa"/>
            <w:vMerge w:val="restart"/>
          </w:tcPr>
          <w:p w:rsidR="005E6F3C" w:rsidRPr="003E7CC2" w:rsidRDefault="005E6F3C" w:rsidP="00780CDB">
            <w:pPr>
              <w:jc w:val="center"/>
              <w:rPr>
                <w:rFonts w:cs="Traditional Arabic" w:hint="cs"/>
                <w:i/>
                <w:iCs/>
                <w:sz w:val="26"/>
                <w:szCs w:val="26"/>
                <w:rtl/>
              </w:rPr>
            </w:pPr>
          </w:p>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المساق الدراسي</w:t>
            </w:r>
          </w:p>
        </w:tc>
        <w:tc>
          <w:tcPr>
            <w:tcW w:w="1440" w:type="dxa"/>
            <w:gridSpan w:val="2"/>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2000</w:t>
            </w:r>
          </w:p>
        </w:tc>
        <w:tc>
          <w:tcPr>
            <w:tcW w:w="1440" w:type="dxa"/>
            <w:gridSpan w:val="2"/>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2001</w:t>
            </w:r>
          </w:p>
        </w:tc>
        <w:tc>
          <w:tcPr>
            <w:tcW w:w="1440" w:type="dxa"/>
            <w:gridSpan w:val="2"/>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2002</w:t>
            </w:r>
          </w:p>
        </w:tc>
        <w:tc>
          <w:tcPr>
            <w:tcW w:w="1440" w:type="dxa"/>
            <w:gridSpan w:val="2"/>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2003</w:t>
            </w:r>
          </w:p>
        </w:tc>
        <w:tc>
          <w:tcPr>
            <w:tcW w:w="1440" w:type="dxa"/>
            <w:gridSpan w:val="2"/>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2004</w:t>
            </w:r>
          </w:p>
        </w:tc>
      </w:tr>
      <w:tr w:rsidR="005E6F3C" w:rsidRPr="003E7CC2">
        <w:trPr>
          <w:jc w:val="center"/>
        </w:trPr>
        <w:tc>
          <w:tcPr>
            <w:tcW w:w="2880" w:type="dxa"/>
            <w:vMerge/>
          </w:tcPr>
          <w:p w:rsidR="005E6F3C" w:rsidRPr="003E7CC2" w:rsidRDefault="005E6F3C" w:rsidP="00780CDB">
            <w:pPr>
              <w:jc w:val="center"/>
              <w:rPr>
                <w:rFonts w:cs="Traditional Arabic" w:hint="cs"/>
                <w:i/>
                <w:iCs/>
                <w:sz w:val="26"/>
                <w:szCs w:val="26"/>
                <w:rtl/>
              </w:rPr>
            </w:pP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ذكر</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أنثى</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ذكر</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أنثى</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ذكر</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أنثى</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ذكر</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أنثى</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ذكر</w:t>
            </w:r>
          </w:p>
        </w:tc>
        <w:tc>
          <w:tcPr>
            <w:tcW w:w="720" w:type="dxa"/>
          </w:tcPr>
          <w:p w:rsidR="005E6F3C" w:rsidRPr="003E7CC2" w:rsidRDefault="005E6F3C" w:rsidP="00780CDB">
            <w:pPr>
              <w:jc w:val="center"/>
              <w:rPr>
                <w:rFonts w:cs="Traditional Arabic" w:hint="cs"/>
                <w:i/>
                <w:iCs/>
                <w:sz w:val="26"/>
                <w:szCs w:val="26"/>
                <w:rtl/>
              </w:rPr>
            </w:pPr>
            <w:r w:rsidRPr="003E7CC2">
              <w:rPr>
                <w:rFonts w:cs="Traditional Arabic" w:hint="cs"/>
                <w:i/>
                <w:iCs/>
                <w:sz w:val="26"/>
                <w:szCs w:val="26"/>
                <w:rtl/>
              </w:rPr>
              <w:t>أنثى</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دراسات عليا</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14</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6</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16</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طلاب عسكريون</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4</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شهادة</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4</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دبلوم</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28</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18</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4</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5</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11</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شهادة جامعية</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22</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16</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13</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16</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10</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5</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شهادة تخصص بعد البكالوريوس</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دبلوم تخصص بعد البكالوريوس</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ماجستير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3</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4</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صفر</w:t>
            </w: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دكتوراه</w:t>
            </w: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1</w:t>
            </w:r>
          </w:p>
        </w:tc>
        <w:tc>
          <w:tcPr>
            <w:tcW w:w="720" w:type="dxa"/>
          </w:tcPr>
          <w:p w:rsidR="005E6F3C" w:rsidRPr="003E7CC2" w:rsidRDefault="005E6F3C" w:rsidP="00780CDB">
            <w:pPr>
              <w:rPr>
                <w:rFonts w:cs="Traditional Arabic" w:hint="cs"/>
                <w:sz w:val="28"/>
                <w:szCs w:val="28"/>
                <w:rtl/>
              </w:rPr>
            </w:pPr>
          </w:p>
        </w:tc>
      </w:tr>
      <w:tr w:rsidR="005E6F3C" w:rsidRPr="003E7CC2">
        <w:trPr>
          <w:jc w:val="center"/>
        </w:trPr>
        <w:tc>
          <w:tcPr>
            <w:tcW w:w="2880" w:type="dxa"/>
          </w:tcPr>
          <w:p w:rsidR="005E6F3C" w:rsidRPr="003E7CC2" w:rsidRDefault="005E6F3C" w:rsidP="003E7CC2">
            <w:pPr>
              <w:jc w:val="lowKashida"/>
              <w:rPr>
                <w:rFonts w:cs="Traditional Arabic" w:hint="cs"/>
                <w:sz w:val="28"/>
                <w:szCs w:val="28"/>
                <w:rtl/>
              </w:rPr>
            </w:pPr>
            <w:r w:rsidRPr="003E7CC2">
              <w:rPr>
                <w:rFonts w:cs="Traditional Arabic" w:hint="cs"/>
                <w:sz w:val="28"/>
                <w:szCs w:val="28"/>
                <w:rtl/>
              </w:rPr>
              <w:t>المجموع</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52</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57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57</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49</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26</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24</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24</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26</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29</w:t>
            </w:r>
          </w:p>
        </w:tc>
        <w:tc>
          <w:tcPr>
            <w:tcW w:w="720" w:type="dxa"/>
          </w:tcPr>
          <w:p w:rsidR="005E6F3C" w:rsidRPr="003E7CC2" w:rsidRDefault="005E6F3C" w:rsidP="00780CDB">
            <w:pPr>
              <w:rPr>
                <w:rFonts w:cs="Traditional Arabic" w:hint="cs"/>
                <w:sz w:val="28"/>
                <w:szCs w:val="28"/>
                <w:rtl/>
              </w:rPr>
            </w:pPr>
            <w:r w:rsidRPr="003E7CC2">
              <w:rPr>
                <w:rFonts w:cs="Traditional Arabic" w:hint="cs"/>
                <w:sz w:val="28"/>
                <w:szCs w:val="28"/>
                <w:rtl/>
              </w:rPr>
              <w:t>33</w:t>
            </w:r>
          </w:p>
        </w:tc>
      </w:tr>
    </w:tbl>
    <w:p w:rsidR="005E6F3C" w:rsidRPr="005E6F3C" w:rsidRDefault="005E6F3C" w:rsidP="005E6F3C">
      <w:pPr>
        <w:rPr>
          <w:rFonts w:hint="cs"/>
          <w:sz w:val="24"/>
          <w:szCs w:val="24"/>
          <w:rtl/>
        </w:rPr>
      </w:pPr>
      <w:r>
        <w:rPr>
          <w:rFonts w:hint="cs"/>
          <w:sz w:val="28"/>
          <w:szCs w:val="28"/>
          <w:rtl/>
        </w:rPr>
        <w:tab/>
      </w:r>
      <w:r w:rsidRPr="005E6F3C">
        <w:rPr>
          <w:rFonts w:hint="cs"/>
          <w:sz w:val="24"/>
          <w:szCs w:val="24"/>
          <w:rtl/>
        </w:rPr>
        <w:t>المصدر:</w:t>
      </w:r>
      <w:r w:rsidRPr="005E6F3C">
        <w:rPr>
          <w:rFonts w:hint="cs"/>
          <w:sz w:val="24"/>
          <w:szCs w:val="24"/>
          <w:rtl/>
        </w:rPr>
        <w:tab/>
        <w:t>شعبة الإحصاءات المركزية (بيانات لم تنشر)</w:t>
      </w:r>
      <w:r>
        <w:rPr>
          <w:rFonts w:hint="cs"/>
          <w:sz w:val="24"/>
          <w:szCs w:val="24"/>
          <w:rtl/>
        </w:rPr>
        <w:t>.</w:t>
      </w:r>
    </w:p>
    <w:p w:rsidR="005E6F3C" w:rsidRPr="005E6F3C" w:rsidRDefault="005E6F3C" w:rsidP="005E6F3C">
      <w:pPr>
        <w:spacing w:line="120" w:lineRule="exact"/>
        <w:rPr>
          <w:rFonts w:hint="cs"/>
          <w:sz w:val="10"/>
          <w:szCs w:val="32"/>
          <w:rtl/>
        </w:rPr>
      </w:pPr>
    </w:p>
    <w:p w:rsidR="005E6F3C" w:rsidRDefault="005E6F3C" w:rsidP="005E6F3C">
      <w:pPr>
        <w:pStyle w:val="SingleTxt"/>
        <w:rPr>
          <w:rFonts w:hint="cs"/>
          <w:rtl/>
        </w:rPr>
      </w:pPr>
      <w:r>
        <w:rPr>
          <w:rFonts w:hint="cs"/>
          <w:rtl/>
        </w:rPr>
        <w:t>10-24  يبين الجدول 21 أعلاه والشكل 9 أدناه عدد الطلاب موزعين حسب المستوى الدراسي. وأثناء الفترة من عام 2000 إلى عام 2004، لم يلتحق ببرنامج الحصول على الدكتوراه سوى طالب واحد، وكان عدد قليل من الطلاب يدرسون دراسات بعد البكالوريوس. ويشكل الذكور 2.7 في المائة وتشكل الإناث 0.8 في العشرة في المائة من الذين كانوا ملتحقين بدراسات بعد البكالوريوس. إلا أن  الإناث كانت تشكل 48 في المائة من الطلاب الملتحقين بدراسات تؤدي إلى درجة البكالوريوس بفارق 2 في المائة عن عدد الذكور. وهذا يبين أن عدد النساء اللواتي يتعلمن أكثر من عدد الرجال مما قد يؤدي إلى تحسين مستوى حياة الأسر. فالمرأة المتعلمة في الأسرة تضمن أن تعيش أسرتها في بيئة أفضل لأنها تعرف كيف تلبي الاحتياجات المالية للأسرة.</w:t>
      </w:r>
    </w:p>
    <w:p w:rsidR="005E6F3C" w:rsidRDefault="005E6F3C" w:rsidP="003E7CC2">
      <w:pPr>
        <w:rPr>
          <w:rFonts w:hint="cs"/>
          <w:b/>
          <w:bCs/>
          <w:sz w:val="28"/>
          <w:szCs w:val="28"/>
          <w:rtl/>
        </w:rPr>
      </w:pPr>
      <w:r>
        <w:rPr>
          <w:sz w:val="32"/>
          <w:szCs w:val="32"/>
          <w:rtl/>
        </w:rPr>
        <w:br w:type="page"/>
      </w:r>
      <w:r w:rsidR="003E7CC2">
        <w:rPr>
          <w:rFonts w:hint="cs"/>
          <w:sz w:val="32"/>
          <w:szCs w:val="32"/>
          <w:rtl/>
        </w:rPr>
        <w:tab/>
      </w:r>
      <w:r w:rsidRPr="00B36E6D">
        <w:rPr>
          <w:rFonts w:hint="cs"/>
          <w:b/>
          <w:bCs/>
          <w:sz w:val="28"/>
          <w:szCs w:val="28"/>
          <w:rtl/>
        </w:rPr>
        <w:t>الشكل 9: المساقات الدراسية التي التحق بها الطلاب أثناء الفترة 2000</w:t>
      </w:r>
      <w:r w:rsidR="003E7CC2">
        <w:rPr>
          <w:rFonts w:hint="cs"/>
          <w:b/>
          <w:bCs/>
          <w:sz w:val="28"/>
          <w:szCs w:val="28"/>
          <w:rtl/>
        </w:rPr>
        <w:t>-</w:t>
      </w:r>
      <w:r w:rsidRPr="00B36E6D">
        <w:rPr>
          <w:rFonts w:hint="cs"/>
          <w:b/>
          <w:bCs/>
          <w:sz w:val="28"/>
          <w:szCs w:val="28"/>
          <w:rtl/>
        </w:rPr>
        <w:t xml:space="preserve">2004 </w:t>
      </w:r>
    </w:p>
    <w:p w:rsidR="005E6F3C" w:rsidRPr="00B36E6D" w:rsidRDefault="00022331" w:rsidP="005E6F3C">
      <w:pPr>
        <w:jc w:val="center"/>
        <w:rPr>
          <w:rFonts w:hint="cs"/>
          <w:b/>
          <w:bCs/>
          <w:sz w:val="28"/>
          <w:szCs w:val="28"/>
          <w:rtl/>
        </w:rPr>
      </w:pPr>
      <w:r>
        <w:rPr>
          <w:rFonts w:hint="cs"/>
          <w:noProof/>
          <w:w w:val="100"/>
          <w:rtl/>
        </w:rPr>
        <w:pict>
          <v:shape id="_x0000_s2607" type="#_x0000_t202" style="position:absolute;left:0;text-align:left;margin-left:1in;margin-top:13.4pt;width:380pt;height:27pt;z-index:45" strokecolor="white">
            <v:textbox inset="0,0,0,0">
              <w:txbxContent>
                <w:p w:rsidR="00F93B21" w:rsidRPr="00022331" w:rsidRDefault="00F93B21" w:rsidP="00022331">
                  <w:pPr>
                    <w:spacing w:line="220" w:lineRule="exact"/>
                    <w:rPr>
                      <w:rFonts w:hint="cs"/>
                      <w:w w:val="100"/>
                      <w:sz w:val="14"/>
                      <w:szCs w:val="24"/>
                      <w:lang w:bidi="ar-EG"/>
                    </w:rPr>
                  </w:pPr>
                  <w:r w:rsidRPr="00022331">
                    <w:rPr>
                      <w:rFonts w:hint="cs"/>
                      <w:w w:val="100"/>
                      <w:sz w:val="14"/>
                      <w:szCs w:val="24"/>
                      <w:rtl/>
                      <w:lang w:bidi="ar-EG"/>
                    </w:rPr>
                    <w:t>مجموع عدد الطلاب الذين يدرسون في الخارج موزعين حسب المساق الدراسي والسنة ونوع الجنس (2000-2004)</w:t>
                  </w:r>
                </w:p>
              </w:txbxContent>
            </v:textbox>
          </v:shape>
        </w:pict>
      </w:r>
      <w:r w:rsidR="005E6F3C">
        <w:rPr>
          <w:noProof/>
        </w:rPr>
        <w:pict>
          <v:shape id="_x0000_s2598" type="#_x0000_t75" style="position:absolute;left:0;text-align:left;margin-left:32pt;margin-top:5.6pt;width:6in;height:239.05pt;z-index:44">
            <v:imagedata r:id="rId22" o:title=""/>
          </v:shape>
        </w:pict>
      </w:r>
    </w:p>
    <w:p w:rsidR="005E6F3C" w:rsidRDefault="005E6F3C" w:rsidP="005E6F3C">
      <w:pPr>
        <w:jc w:val="center"/>
        <w:rPr>
          <w:rFonts w:hint="cs"/>
          <w:sz w:val="32"/>
          <w:szCs w:val="32"/>
          <w:rtl/>
        </w:rPr>
      </w:pPr>
    </w:p>
    <w:p w:rsidR="005E6F3C" w:rsidRDefault="00EF1205" w:rsidP="005E6F3C">
      <w:pPr>
        <w:jc w:val="center"/>
        <w:rPr>
          <w:rFonts w:hint="cs"/>
          <w:sz w:val="28"/>
          <w:szCs w:val="28"/>
          <w:rtl/>
        </w:rPr>
      </w:pPr>
      <w:r>
        <w:rPr>
          <w:rFonts w:hint="cs"/>
          <w:noProof/>
          <w:w w:val="100"/>
          <w:sz w:val="24"/>
          <w:szCs w:val="24"/>
          <w:rtl/>
        </w:rPr>
        <w:pict>
          <v:shape id="_x0000_s2610" type="#_x0000_t202" style="position:absolute;left:0;text-align:left;margin-left:44pt;margin-top:18.4pt;width:20pt;height:90pt;z-index:48" strokecolor="white">
            <v:textbox style="layout-flow:vertical;mso-layout-flow-alt:bottom-to-top;mso-next-textbox:#_x0000_s2610" inset="0,0,0,0">
              <w:txbxContent>
                <w:p w:rsidR="00F93B21" w:rsidRPr="00EF1205" w:rsidRDefault="00F93B21" w:rsidP="00EF1205">
                  <w:pPr>
                    <w:spacing w:line="300" w:lineRule="exact"/>
                    <w:jc w:val="center"/>
                    <w:rPr>
                      <w:rFonts w:hint="cs"/>
                      <w:sz w:val="26"/>
                      <w:szCs w:val="22"/>
                      <w:lang w:bidi="ar-EG"/>
                    </w:rPr>
                  </w:pPr>
                  <w:r>
                    <w:rPr>
                      <w:rFonts w:hint="cs"/>
                      <w:sz w:val="26"/>
                      <w:szCs w:val="22"/>
                      <w:rtl/>
                      <w:lang w:bidi="ar-EG"/>
                    </w:rPr>
                    <w:t>عدد الطلاب</w:t>
                  </w:r>
                </w:p>
              </w:txbxContent>
            </v:textbox>
          </v:shape>
        </w:pict>
      </w:r>
    </w:p>
    <w:p w:rsidR="005E6F3C" w:rsidRDefault="005E6F3C" w:rsidP="005E6F3C">
      <w:pPr>
        <w:jc w:val="center"/>
        <w:rPr>
          <w:rFonts w:hint="cs"/>
          <w:sz w:val="28"/>
          <w:szCs w:val="28"/>
          <w:rtl/>
        </w:rPr>
      </w:pPr>
    </w:p>
    <w:p w:rsidR="005E6F3C" w:rsidRDefault="00EF1205" w:rsidP="005E6F3C">
      <w:pPr>
        <w:jc w:val="center"/>
        <w:rPr>
          <w:rFonts w:hint="cs"/>
          <w:sz w:val="28"/>
          <w:szCs w:val="28"/>
          <w:rtl/>
        </w:rPr>
      </w:pPr>
      <w:r>
        <w:rPr>
          <w:rFonts w:hint="cs"/>
          <w:noProof/>
          <w:w w:val="100"/>
          <w:rtl/>
        </w:rPr>
        <w:pict>
          <v:shape id="_x0000_s2608" type="#_x0000_t202" style="position:absolute;left:0;text-align:left;margin-left:424pt;margin-top:17.9pt;width:32pt;height:22.3pt;z-index:46" strokecolor="white">
            <v:textbox style="mso-next-textbox:#_x0000_s2608" inset="0,0,0,0">
              <w:txbxContent>
                <w:p w:rsidR="00F93B21" w:rsidRDefault="00F93B21" w:rsidP="00EF1205">
                  <w:pPr>
                    <w:spacing w:line="140" w:lineRule="exact"/>
                    <w:rPr>
                      <w:rFonts w:hint="cs"/>
                      <w:sz w:val="6"/>
                      <w:szCs w:val="16"/>
                      <w:rtl/>
                      <w:lang w:bidi="ar-EG"/>
                    </w:rPr>
                  </w:pPr>
                  <w:r>
                    <w:rPr>
                      <w:rFonts w:hint="cs"/>
                      <w:sz w:val="6"/>
                      <w:szCs w:val="16"/>
                      <w:rtl/>
                      <w:lang w:bidi="ar-EG"/>
                    </w:rPr>
                    <w:t>ذكور</w:t>
                  </w:r>
                </w:p>
                <w:p w:rsidR="00F93B21" w:rsidRDefault="00F93B21" w:rsidP="00EF1205">
                  <w:pPr>
                    <w:spacing w:line="140" w:lineRule="exact"/>
                    <w:rPr>
                      <w:rFonts w:hint="cs"/>
                      <w:sz w:val="6"/>
                      <w:szCs w:val="16"/>
                      <w:rtl/>
                      <w:lang w:bidi="ar-EG"/>
                    </w:rPr>
                  </w:pPr>
                </w:p>
                <w:p w:rsidR="00F93B21" w:rsidRPr="00EB3202" w:rsidRDefault="00F93B21" w:rsidP="00EF1205">
                  <w:pPr>
                    <w:spacing w:line="140" w:lineRule="exact"/>
                    <w:rPr>
                      <w:rFonts w:hint="cs"/>
                      <w:sz w:val="6"/>
                      <w:szCs w:val="16"/>
                      <w:lang w:bidi="ar-EG"/>
                    </w:rPr>
                  </w:pPr>
                  <w:r>
                    <w:rPr>
                      <w:rFonts w:hint="cs"/>
                      <w:sz w:val="6"/>
                      <w:szCs w:val="16"/>
                      <w:rtl/>
                      <w:lang w:bidi="ar-EG"/>
                    </w:rPr>
                    <w:t>إناث</w:t>
                  </w:r>
                </w:p>
              </w:txbxContent>
            </v:textbox>
          </v:shape>
        </w:pict>
      </w:r>
    </w:p>
    <w:p w:rsidR="005E6F3C" w:rsidRDefault="005E6F3C" w:rsidP="005E6F3C">
      <w:pPr>
        <w:jc w:val="center"/>
        <w:rPr>
          <w:rFonts w:hint="cs"/>
          <w:sz w:val="28"/>
          <w:szCs w:val="28"/>
          <w:rtl/>
        </w:rPr>
      </w:pPr>
    </w:p>
    <w:p w:rsidR="005E6F3C" w:rsidRDefault="005E6F3C" w:rsidP="005E6F3C">
      <w:pPr>
        <w:jc w:val="center"/>
        <w:rPr>
          <w:rFonts w:hint="cs"/>
          <w:sz w:val="28"/>
          <w:szCs w:val="28"/>
          <w:rtl/>
        </w:rPr>
      </w:pPr>
    </w:p>
    <w:p w:rsidR="005E6F3C" w:rsidRDefault="005E6F3C" w:rsidP="005E6F3C">
      <w:pPr>
        <w:jc w:val="center"/>
        <w:rPr>
          <w:rFonts w:hint="cs"/>
          <w:sz w:val="28"/>
          <w:szCs w:val="28"/>
          <w:rtl/>
        </w:rPr>
      </w:pPr>
    </w:p>
    <w:p w:rsidR="005E6F3C" w:rsidRDefault="003A52BE" w:rsidP="005E6F3C">
      <w:pPr>
        <w:jc w:val="center"/>
        <w:rPr>
          <w:rFonts w:hint="cs"/>
          <w:sz w:val="28"/>
          <w:szCs w:val="28"/>
          <w:rtl/>
        </w:rPr>
      </w:pPr>
      <w:r>
        <w:rPr>
          <w:rFonts w:hint="cs"/>
          <w:noProof/>
          <w:w w:val="100"/>
          <w:rtl/>
        </w:rPr>
        <w:pict>
          <v:shape id="_x0000_s2633" type="#_x0000_t202" style="position:absolute;left:0;text-align:left;margin-left:3in;margin-top:15.4pt;width:32pt;height:45pt;z-index:67" strokecolor="white">
            <v:textbox style="layout-flow:vertical;mso-layout-flow-alt:bottom-to-top;mso-next-textbox:#_x0000_s2633" inset="0,0,0,0">
              <w:txbxContent>
                <w:p w:rsidR="00F93B21" w:rsidRPr="003A52BE" w:rsidRDefault="00F93B21" w:rsidP="003A52BE">
                  <w:pPr>
                    <w:spacing w:line="300" w:lineRule="exact"/>
                    <w:jc w:val="left"/>
                    <w:rPr>
                      <w:rFonts w:hint="cs"/>
                      <w:w w:val="90"/>
                      <w:szCs w:val="20"/>
                      <w:lang w:bidi="ar-EG"/>
                    </w:rPr>
                  </w:pPr>
                  <w:r w:rsidRPr="003A52BE">
                    <w:rPr>
                      <w:rFonts w:hint="cs"/>
                      <w:szCs w:val="20"/>
                      <w:rtl/>
                      <w:lang w:bidi="ar-EG"/>
                    </w:rPr>
                    <w:t>بكالوريوس</w:t>
                  </w:r>
                </w:p>
              </w:txbxContent>
            </v:textbox>
          </v:shape>
        </w:pict>
      </w:r>
      <w:r>
        <w:rPr>
          <w:rFonts w:hint="cs"/>
          <w:noProof/>
          <w:w w:val="100"/>
          <w:rtl/>
        </w:rPr>
        <w:pict>
          <v:shape id="_x0000_s2630" type="#_x0000_t202" style="position:absolute;left:0;text-align:left;margin-left:104pt;margin-top:15.4pt;width:32pt;height:63pt;z-index:64" strokecolor="white">
            <v:textbox style="layout-flow:vertical;mso-layout-flow-alt:bottom-to-top;mso-next-textbox:#_x0000_s2630" inset="0,0,0,0">
              <w:txbxContent>
                <w:p w:rsidR="00F93B21" w:rsidRPr="00EF1205" w:rsidRDefault="00F93B21" w:rsidP="003A52BE">
                  <w:pPr>
                    <w:spacing w:line="300" w:lineRule="exact"/>
                    <w:jc w:val="left"/>
                    <w:rPr>
                      <w:rFonts w:hint="cs"/>
                      <w:sz w:val="26"/>
                      <w:szCs w:val="22"/>
                      <w:lang w:bidi="ar-EG"/>
                    </w:rPr>
                  </w:pPr>
                  <w:r w:rsidRPr="003A52BE">
                    <w:rPr>
                      <w:rFonts w:hint="cs"/>
                      <w:szCs w:val="20"/>
                      <w:rtl/>
                      <w:lang w:bidi="ar-EG"/>
                    </w:rPr>
                    <w:t>طالب في كلية عسكرية</w:t>
                  </w:r>
                </w:p>
              </w:txbxContent>
            </v:textbox>
          </v:shape>
        </w:pict>
      </w:r>
      <w:r>
        <w:rPr>
          <w:rFonts w:hint="cs"/>
          <w:noProof/>
          <w:w w:val="100"/>
          <w:rtl/>
        </w:rPr>
        <w:pict>
          <v:shape id="_x0000_s2629" type="#_x0000_t202" style="position:absolute;left:0;text-align:left;margin-left:60pt;margin-top:15.4pt;width:37.8pt;height:54pt;z-index:63" strokecolor="white">
            <v:textbox style="layout-flow:vertical;mso-layout-flow-alt:bottom-to-top;mso-next-textbox:#_x0000_s2629" inset="0,0,0,0">
              <w:txbxContent>
                <w:p w:rsidR="00F93B21" w:rsidRDefault="00F93B21" w:rsidP="003A52BE">
                  <w:pPr>
                    <w:spacing w:line="300" w:lineRule="exact"/>
                    <w:jc w:val="left"/>
                    <w:rPr>
                      <w:rFonts w:hint="cs"/>
                      <w:szCs w:val="20"/>
                      <w:rtl/>
                      <w:lang w:bidi="ar-EG"/>
                    </w:rPr>
                  </w:pPr>
                </w:p>
                <w:p w:rsidR="00F93B21" w:rsidRPr="00EF1205" w:rsidRDefault="00F93B21" w:rsidP="003A52BE">
                  <w:pPr>
                    <w:spacing w:line="300" w:lineRule="exact"/>
                    <w:jc w:val="left"/>
                    <w:rPr>
                      <w:rFonts w:hint="cs"/>
                      <w:sz w:val="26"/>
                      <w:szCs w:val="22"/>
                      <w:lang w:bidi="ar-EG"/>
                    </w:rPr>
                  </w:pPr>
                  <w:r w:rsidRPr="003A52BE">
                    <w:rPr>
                      <w:rFonts w:hint="cs"/>
                      <w:szCs w:val="20"/>
                      <w:rtl/>
                      <w:lang w:bidi="ar-EG"/>
                    </w:rPr>
                    <w:t>دراسات</w:t>
                  </w:r>
                  <w:r>
                    <w:rPr>
                      <w:rFonts w:hint="cs"/>
                      <w:sz w:val="26"/>
                      <w:szCs w:val="22"/>
                      <w:rtl/>
                      <w:lang w:bidi="ar-EG"/>
                    </w:rPr>
                    <w:t xml:space="preserve"> </w:t>
                  </w:r>
                  <w:r w:rsidRPr="003A52BE">
                    <w:rPr>
                      <w:rFonts w:hint="cs"/>
                      <w:szCs w:val="20"/>
                      <w:rtl/>
                      <w:lang w:bidi="ar-EG"/>
                    </w:rPr>
                    <w:t>عليا</w:t>
                  </w:r>
                </w:p>
              </w:txbxContent>
            </v:textbox>
          </v:shape>
        </w:pict>
      </w:r>
      <w:r>
        <w:rPr>
          <w:rFonts w:hint="cs"/>
          <w:noProof/>
          <w:w w:val="100"/>
          <w:sz w:val="24"/>
          <w:szCs w:val="24"/>
          <w:rtl/>
        </w:rPr>
        <w:pict>
          <v:shape id="_x0000_s2637" type="#_x0000_t202" style="position:absolute;left:0;text-align:left;margin-left:356pt;margin-top:15.4pt;width:36pt;height:63pt;z-index:71" strokecolor="white">
            <v:textbox style="layout-flow:vertical;mso-layout-flow-alt:bottom-to-top;mso-next-textbox:#_x0000_s2637" inset="0,0,0,0">
              <w:txbxContent>
                <w:p w:rsidR="00F93B21" w:rsidRPr="003A52BE" w:rsidRDefault="00F93B21" w:rsidP="003A52BE">
                  <w:pPr>
                    <w:spacing w:line="300" w:lineRule="exact"/>
                    <w:rPr>
                      <w:rFonts w:hint="cs"/>
                      <w:w w:val="90"/>
                      <w:szCs w:val="20"/>
                      <w:lang w:bidi="ar-EG"/>
                    </w:rPr>
                  </w:pPr>
                  <w:r>
                    <w:rPr>
                      <w:rFonts w:hint="cs"/>
                      <w:w w:val="90"/>
                      <w:szCs w:val="20"/>
                      <w:rtl/>
                      <w:lang w:bidi="ar-EG"/>
                    </w:rPr>
                    <w:t>دكتوراه</w:t>
                  </w:r>
                </w:p>
              </w:txbxContent>
            </v:textbox>
          </v:shape>
        </w:pict>
      </w:r>
      <w:r>
        <w:rPr>
          <w:rFonts w:hint="cs"/>
          <w:i/>
          <w:iCs/>
          <w:noProof/>
          <w:w w:val="100"/>
          <w:sz w:val="10"/>
          <w:szCs w:val="32"/>
          <w:rtl/>
        </w:rPr>
        <w:pict>
          <v:shape id="_x0000_s2636" type="#_x0000_t202" style="position:absolute;left:0;text-align:left;margin-left:320pt;margin-top:14.2pt;width:36pt;height:63pt;z-index:70" strokecolor="white">
            <v:textbox style="layout-flow:vertical;mso-layout-flow-alt:bottom-to-top;mso-next-textbox:#_x0000_s2636" inset="0,0,0,0">
              <w:txbxContent>
                <w:p w:rsidR="00F93B21" w:rsidRPr="003A52BE" w:rsidRDefault="00F93B21" w:rsidP="003A52BE">
                  <w:pPr>
                    <w:spacing w:line="300" w:lineRule="exact"/>
                    <w:rPr>
                      <w:rFonts w:hint="cs"/>
                      <w:w w:val="90"/>
                      <w:szCs w:val="20"/>
                      <w:lang w:bidi="ar-EG"/>
                    </w:rPr>
                  </w:pPr>
                  <w:r>
                    <w:rPr>
                      <w:rFonts w:hint="cs"/>
                      <w:w w:val="90"/>
                      <w:szCs w:val="20"/>
                      <w:rtl/>
                      <w:lang w:bidi="ar-EG"/>
                    </w:rPr>
                    <w:t>ماجستير</w:t>
                  </w:r>
                </w:p>
              </w:txbxContent>
            </v:textbox>
          </v:shape>
        </w:pict>
      </w:r>
      <w:r>
        <w:rPr>
          <w:rFonts w:hint="cs"/>
          <w:noProof/>
          <w:w w:val="100"/>
          <w:rtl/>
        </w:rPr>
        <w:pict>
          <v:shape id="_x0000_s2635" type="#_x0000_t202" style="position:absolute;left:0;text-align:left;margin-left:284pt;margin-top:14.2pt;width:36pt;height:63pt;z-index:69" strokecolor="white">
            <v:textbox style="layout-flow:vertical;mso-layout-flow-alt:bottom-to-top;mso-next-textbox:#_x0000_s2635" inset="0,0,0,0">
              <w:txbxContent>
                <w:p w:rsidR="00F93B21" w:rsidRPr="003A52BE" w:rsidRDefault="00F93B21" w:rsidP="003A52BE">
                  <w:pPr>
                    <w:spacing w:line="300" w:lineRule="exact"/>
                    <w:rPr>
                      <w:rFonts w:hint="cs"/>
                      <w:w w:val="90"/>
                      <w:szCs w:val="20"/>
                      <w:lang w:bidi="ar-EG"/>
                    </w:rPr>
                  </w:pPr>
                  <w:r>
                    <w:rPr>
                      <w:rFonts w:hint="cs"/>
                      <w:w w:val="90"/>
                      <w:szCs w:val="20"/>
                      <w:rtl/>
                      <w:lang w:bidi="ar-EG"/>
                    </w:rPr>
                    <w:t>دبلوم بعد البكالوريوس</w:t>
                  </w:r>
                </w:p>
              </w:txbxContent>
            </v:textbox>
          </v:shape>
        </w:pict>
      </w:r>
      <w:r>
        <w:rPr>
          <w:rFonts w:hint="cs"/>
          <w:noProof/>
          <w:w w:val="100"/>
          <w:rtl/>
        </w:rPr>
        <w:pict>
          <v:shape id="_x0000_s2634" type="#_x0000_t202" style="position:absolute;left:0;text-align:left;margin-left:248pt;margin-top:15.4pt;width:36pt;height:63pt;z-index:68" strokecolor="white">
            <v:textbox style="layout-flow:vertical;mso-layout-flow-alt:bottom-to-top;mso-next-textbox:#_x0000_s2634" inset="0,0,0,0">
              <w:txbxContent>
                <w:p w:rsidR="00F93B21" w:rsidRPr="003A52BE" w:rsidRDefault="00F93B21" w:rsidP="003A52BE">
                  <w:pPr>
                    <w:spacing w:line="300" w:lineRule="exact"/>
                    <w:rPr>
                      <w:rFonts w:hint="cs"/>
                      <w:w w:val="90"/>
                      <w:szCs w:val="20"/>
                      <w:lang w:bidi="ar-EG"/>
                    </w:rPr>
                  </w:pPr>
                  <w:r>
                    <w:rPr>
                      <w:rFonts w:hint="cs"/>
                      <w:w w:val="90"/>
                      <w:szCs w:val="20"/>
                      <w:rtl/>
                      <w:lang w:bidi="ar-EG"/>
                    </w:rPr>
                    <w:t>شهادة بعد البكالوريوس</w:t>
                  </w:r>
                </w:p>
              </w:txbxContent>
            </v:textbox>
          </v:shape>
        </w:pict>
      </w:r>
      <w:r>
        <w:rPr>
          <w:rFonts w:hint="cs"/>
          <w:noProof/>
          <w:w w:val="100"/>
          <w:sz w:val="24"/>
          <w:szCs w:val="24"/>
          <w:rtl/>
        </w:rPr>
        <w:pict>
          <v:shape id="_x0000_s2632" type="#_x0000_t202" style="position:absolute;left:0;text-align:left;margin-left:172pt;margin-top:15.4pt;width:48pt;height:45pt;z-index:66" strokecolor="white">
            <v:textbox style="layout-flow:vertical;mso-layout-flow-alt:bottom-to-top;mso-next-textbox:#_x0000_s2632" inset="0,0,0,0">
              <w:txbxContent>
                <w:p w:rsidR="00F93B21" w:rsidRPr="003A52BE" w:rsidRDefault="00F93B21" w:rsidP="003A52BE">
                  <w:pPr>
                    <w:spacing w:line="120" w:lineRule="exact"/>
                    <w:jc w:val="left"/>
                    <w:rPr>
                      <w:rFonts w:hint="cs"/>
                      <w:sz w:val="10"/>
                      <w:szCs w:val="20"/>
                      <w:rtl/>
                      <w:lang w:bidi="ar-EG"/>
                    </w:rPr>
                  </w:pPr>
                </w:p>
                <w:p w:rsidR="00F93B21" w:rsidRPr="00EF1205" w:rsidRDefault="00F93B21" w:rsidP="003A52BE">
                  <w:pPr>
                    <w:spacing w:line="360" w:lineRule="exact"/>
                    <w:jc w:val="left"/>
                    <w:rPr>
                      <w:rFonts w:hint="cs"/>
                      <w:sz w:val="26"/>
                      <w:szCs w:val="22"/>
                      <w:lang w:bidi="ar-EG"/>
                    </w:rPr>
                  </w:pPr>
                  <w:r w:rsidRPr="003A52BE">
                    <w:rPr>
                      <w:rFonts w:hint="cs"/>
                      <w:szCs w:val="20"/>
                      <w:rtl/>
                      <w:lang w:bidi="ar-EG"/>
                    </w:rPr>
                    <w:t>دبلوم</w:t>
                  </w:r>
                </w:p>
              </w:txbxContent>
            </v:textbox>
          </v:shape>
        </w:pict>
      </w:r>
      <w:r>
        <w:rPr>
          <w:rFonts w:hint="cs"/>
          <w:noProof/>
          <w:w w:val="100"/>
          <w:rtl/>
        </w:rPr>
        <w:pict>
          <v:shape id="_x0000_s2631" type="#_x0000_t202" style="position:absolute;left:0;text-align:left;margin-left:140pt;margin-top:15.4pt;width:32pt;height:45pt;z-index:65" strokecolor="white">
            <v:textbox style="layout-flow:vertical;mso-layout-flow-alt:bottom-to-top;mso-next-textbox:#_x0000_s2631" inset="0,0,0,0">
              <w:txbxContent>
                <w:p w:rsidR="00F93B21" w:rsidRPr="00EF1205" w:rsidRDefault="00F93B21" w:rsidP="003A52BE">
                  <w:pPr>
                    <w:spacing w:line="240" w:lineRule="exact"/>
                    <w:jc w:val="left"/>
                    <w:rPr>
                      <w:rFonts w:hint="cs"/>
                      <w:sz w:val="26"/>
                      <w:szCs w:val="22"/>
                      <w:lang w:bidi="ar-EG"/>
                    </w:rPr>
                  </w:pPr>
                  <w:r w:rsidRPr="003A52BE">
                    <w:rPr>
                      <w:rFonts w:hint="cs"/>
                      <w:szCs w:val="20"/>
                      <w:rtl/>
                      <w:lang w:bidi="ar-EG"/>
                    </w:rPr>
                    <w:t>شهادة دون البكالوريوس</w:t>
                  </w:r>
                </w:p>
              </w:txbxContent>
            </v:textbox>
          </v:shape>
        </w:pict>
      </w:r>
    </w:p>
    <w:p w:rsidR="005E6F3C" w:rsidRDefault="005E6F3C" w:rsidP="005E6F3C">
      <w:pPr>
        <w:jc w:val="center"/>
        <w:rPr>
          <w:rFonts w:hint="cs"/>
          <w:sz w:val="28"/>
          <w:szCs w:val="28"/>
          <w:rtl/>
        </w:rPr>
      </w:pPr>
    </w:p>
    <w:p w:rsidR="005E6F3C" w:rsidRDefault="00EF1205" w:rsidP="005E6F3C">
      <w:pPr>
        <w:jc w:val="center"/>
        <w:rPr>
          <w:rFonts w:hint="cs"/>
          <w:sz w:val="28"/>
          <w:szCs w:val="28"/>
          <w:rtl/>
        </w:rPr>
      </w:pPr>
      <w:r>
        <w:rPr>
          <w:rFonts w:hint="cs"/>
          <w:noProof/>
          <w:w w:val="100"/>
          <w:rtl/>
        </w:rPr>
        <w:pict>
          <v:shape id="_x0000_s2609" type="#_x0000_t202" style="position:absolute;left:0;text-align:left;margin-left:160pt;margin-top:17.3pt;width:76pt;height:22.3pt;z-index:47" strokecolor="white">
            <v:textbox style="mso-next-textbox:#_x0000_s2609" inset="0,0,0,0">
              <w:txbxContent>
                <w:p w:rsidR="00F93B21" w:rsidRPr="00EF1205" w:rsidRDefault="00F93B21" w:rsidP="00EF1205">
                  <w:pPr>
                    <w:spacing w:line="300" w:lineRule="exact"/>
                    <w:jc w:val="center"/>
                    <w:rPr>
                      <w:rFonts w:hint="cs"/>
                      <w:sz w:val="26"/>
                      <w:szCs w:val="22"/>
                      <w:lang w:bidi="ar-EG"/>
                    </w:rPr>
                  </w:pPr>
                  <w:r w:rsidRPr="00EF1205">
                    <w:rPr>
                      <w:rFonts w:hint="cs"/>
                      <w:sz w:val="26"/>
                      <w:szCs w:val="22"/>
                      <w:rtl/>
                      <w:lang w:bidi="ar-EG"/>
                    </w:rPr>
                    <w:t>المساقات الدراسية</w:t>
                  </w:r>
                </w:p>
              </w:txbxContent>
            </v:textbox>
          </v:shape>
        </w:pict>
      </w:r>
    </w:p>
    <w:p w:rsidR="005E6F3C" w:rsidRDefault="005E6F3C" w:rsidP="005E6F3C">
      <w:pPr>
        <w:jc w:val="center"/>
        <w:rPr>
          <w:rFonts w:hint="cs"/>
          <w:sz w:val="28"/>
          <w:szCs w:val="28"/>
          <w:rtl/>
        </w:rPr>
      </w:pPr>
    </w:p>
    <w:p w:rsidR="005E6F3C" w:rsidRPr="005E6F3C" w:rsidRDefault="005E6F3C" w:rsidP="00022331">
      <w:pPr>
        <w:jc w:val="center"/>
        <w:rPr>
          <w:rFonts w:hint="cs"/>
          <w:sz w:val="24"/>
          <w:szCs w:val="24"/>
          <w:rtl/>
        </w:rPr>
      </w:pPr>
      <w:r w:rsidRPr="005E6F3C">
        <w:rPr>
          <w:rFonts w:hint="cs"/>
          <w:sz w:val="24"/>
          <w:szCs w:val="24"/>
          <w:rtl/>
        </w:rPr>
        <w:t xml:space="preserve">البيانات مأخوذة من الجدول 18 </w:t>
      </w:r>
      <w:r w:rsidR="00022331">
        <w:rPr>
          <w:rFonts w:hint="cs"/>
          <w:sz w:val="24"/>
          <w:szCs w:val="24"/>
          <w:rtl/>
        </w:rPr>
        <w:t>-</w:t>
      </w:r>
      <w:r w:rsidRPr="005E6F3C">
        <w:rPr>
          <w:rFonts w:hint="cs"/>
          <w:sz w:val="24"/>
          <w:szCs w:val="24"/>
          <w:rtl/>
        </w:rPr>
        <w:t xml:space="preserve"> عدد الطلاب موزعين حسب المساق الدراسي ونوع الجنس والسنة.</w:t>
      </w:r>
    </w:p>
    <w:p w:rsidR="005E6F3C" w:rsidRPr="005E6F3C" w:rsidRDefault="005E6F3C" w:rsidP="005E6F3C">
      <w:pPr>
        <w:spacing w:line="120" w:lineRule="exact"/>
        <w:ind w:left="1080"/>
        <w:rPr>
          <w:rFonts w:hint="cs"/>
          <w:i/>
          <w:iCs/>
          <w:sz w:val="10"/>
          <w:szCs w:val="32"/>
          <w:rtl/>
        </w:rPr>
      </w:pPr>
    </w:p>
    <w:p w:rsidR="005E6F3C" w:rsidRPr="005E6F3C" w:rsidRDefault="005E6F3C" w:rsidP="005E6F3C">
      <w:pPr>
        <w:pStyle w:val="H4"/>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’2‘</w:t>
      </w:r>
      <w:r>
        <w:rPr>
          <w:rFonts w:hint="cs"/>
          <w:rtl/>
        </w:rPr>
        <w:tab/>
      </w:r>
      <w:r w:rsidRPr="005E6F3C">
        <w:rPr>
          <w:rFonts w:hint="cs"/>
          <w:rtl/>
        </w:rPr>
        <w:t>بلد التدريب</w:t>
      </w:r>
    </w:p>
    <w:p w:rsidR="005E6F3C" w:rsidRDefault="005E6F3C" w:rsidP="005E6F3C">
      <w:pPr>
        <w:pStyle w:val="SingleTxt"/>
        <w:rPr>
          <w:rFonts w:hint="cs"/>
          <w:rtl/>
        </w:rPr>
      </w:pPr>
      <w:r>
        <w:rPr>
          <w:rFonts w:hint="cs"/>
          <w:rtl/>
        </w:rPr>
        <w:t>10-25 باستثناء مركز التعليم عن بعد والتعليم المرن التابع لجامعة جنوب الهادئ ومعهد توفالو للتدريب البحري ومدارس الطباعة المملوكة ملكية خاصة، لا توجد في توفالو أية مؤسسات أخرى للتعليم الجامعي؛ ولذلك، فإن الدراسة في الخارج ضرورية لتنمية الموارد البشرية في هذه الدولة. وفيجي البلد الرئيسي الذي يقصده الطلاب للدراسات الجامعية بسبب قربها وانخفاض تكاليفها مقارنة بأستراليا ونيوزيلندا. ومن بين المؤسسات الدراسية في فيجي: جامعة جنوب الهادئ ومؤسسات التدريب التربوي للمعلمين في المدارس الابتدائية والثانوية والمؤسسات التقنية وكلية الطب ومؤسسات تدريب متخصصة أخرى.</w:t>
      </w:r>
    </w:p>
    <w:p w:rsidR="005E6F3C" w:rsidRDefault="005E6F3C" w:rsidP="005E6F3C">
      <w:pPr>
        <w:pStyle w:val="SingleTxt"/>
        <w:rPr>
          <w:rFonts w:hint="cs"/>
          <w:rtl/>
        </w:rPr>
      </w:pPr>
      <w:r>
        <w:rPr>
          <w:rFonts w:hint="cs"/>
          <w:rtl/>
        </w:rPr>
        <w:t>10-26  يبين الجدول 22 أدناه أن عدد الذين يدرسون في الخارج انخفض أثناء الفترة 2000-2004. وأحد العوامل الرئيسية التي أسهمت في انخفاض هذا العدد محدودية التمويل المتاح. ويمكن أن يعزى هذا الانخفاض إلى إنشاء مركز الدراسات عن بعد والدراسات المرنة التابع لجامعة جنوب الهادئ، الذي وفر أيضاً فرصة للتوفاليين لمواصلة الدراسات الجامعية من خلال المعهد. ومثَّل هذا فرصة كبيرة للتوفير في التكاليف بالنسبة للبلد كما وفر حافزاً لتيسير وتعزيز التدريب لليد العاملة الموجودة والمستقبلية.</w:t>
      </w:r>
    </w:p>
    <w:p w:rsidR="005E6F3C" w:rsidRDefault="005E6F3C" w:rsidP="00EF1205">
      <w:pPr>
        <w:rPr>
          <w:rFonts w:hint="cs"/>
          <w:b/>
          <w:bCs/>
          <w:sz w:val="32"/>
          <w:szCs w:val="32"/>
          <w:rtl/>
        </w:rPr>
      </w:pPr>
      <w:r>
        <w:rPr>
          <w:sz w:val="32"/>
          <w:szCs w:val="32"/>
          <w:rtl/>
        </w:rPr>
        <w:br w:type="page"/>
      </w:r>
      <w:r w:rsidR="00EF1205">
        <w:rPr>
          <w:rFonts w:hint="cs"/>
          <w:sz w:val="32"/>
          <w:szCs w:val="32"/>
          <w:rtl/>
        </w:rPr>
        <w:tab/>
      </w:r>
      <w:r w:rsidRPr="00EA6E3A">
        <w:rPr>
          <w:rFonts w:hint="cs"/>
          <w:b/>
          <w:bCs/>
          <w:sz w:val="28"/>
          <w:szCs w:val="28"/>
          <w:rtl/>
        </w:rPr>
        <w:t>الجدول 22: عدد التوفاليين المدربين موزعين بحسب البلد</w:t>
      </w:r>
      <w:r>
        <w:rPr>
          <w:rFonts w:hint="cs"/>
          <w:b/>
          <w:bCs/>
          <w:sz w:val="28"/>
          <w:szCs w:val="28"/>
          <w:rtl/>
        </w:rPr>
        <w:t xml:space="preserve"> </w:t>
      </w:r>
      <w:r w:rsidRPr="00EA6E3A">
        <w:rPr>
          <w:rFonts w:hint="cs"/>
          <w:b/>
          <w:bCs/>
          <w:sz w:val="28"/>
          <w:szCs w:val="28"/>
          <w:rtl/>
        </w:rPr>
        <w:t>الذي تدربوا فيه،  2000</w:t>
      </w:r>
      <w:r w:rsidR="00EF1205">
        <w:rPr>
          <w:rFonts w:hint="cs"/>
          <w:b/>
          <w:bCs/>
          <w:sz w:val="28"/>
          <w:szCs w:val="28"/>
          <w:rtl/>
        </w:rPr>
        <w:t>-</w:t>
      </w:r>
      <w:r w:rsidRPr="00EA6E3A">
        <w:rPr>
          <w:rFonts w:hint="cs"/>
          <w:b/>
          <w:bCs/>
          <w:sz w:val="28"/>
          <w:szCs w:val="28"/>
          <w:rtl/>
        </w:rPr>
        <w:t>2004</w:t>
      </w:r>
      <w:r w:rsidRPr="00BC5CB8">
        <w:rPr>
          <w:rFonts w:hint="cs"/>
          <w:b/>
          <w:bCs/>
          <w:sz w:val="32"/>
          <w:szCs w:val="32"/>
          <w:rtl/>
        </w:rPr>
        <w:t xml:space="preserve"> </w:t>
      </w:r>
    </w:p>
    <w:p w:rsidR="005E6F3C" w:rsidRPr="005E6F3C" w:rsidRDefault="005E6F3C" w:rsidP="005E6F3C">
      <w:pPr>
        <w:spacing w:line="120" w:lineRule="exact"/>
        <w:rPr>
          <w:rFonts w:hint="cs"/>
          <w:b/>
          <w:bCs/>
          <w:sz w:val="10"/>
          <w:szCs w:val="32"/>
          <w:rtl/>
        </w:rPr>
      </w:pPr>
    </w:p>
    <w:tbl>
      <w:tblPr>
        <w:tblStyle w:val="TableGrid"/>
        <w:bidiVisual/>
        <w:tblW w:w="0" w:type="auto"/>
        <w:jc w:val="center"/>
        <w:tblLayout w:type="fixed"/>
        <w:tblLook w:val="01E0" w:firstRow="1" w:lastRow="1" w:firstColumn="1" w:lastColumn="1" w:noHBand="0" w:noVBand="0"/>
      </w:tblPr>
      <w:tblGrid>
        <w:gridCol w:w="1440"/>
        <w:gridCol w:w="720"/>
        <w:gridCol w:w="720"/>
        <w:gridCol w:w="720"/>
        <w:gridCol w:w="720"/>
        <w:gridCol w:w="720"/>
        <w:gridCol w:w="720"/>
        <w:gridCol w:w="720"/>
        <w:gridCol w:w="720"/>
        <w:gridCol w:w="720"/>
        <w:gridCol w:w="720"/>
      </w:tblGrid>
      <w:tr w:rsidR="005E6F3C" w:rsidRPr="001D5C89">
        <w:trPr>
          <w:jc w:val="center"/>
        </w:trPr>
        <w:tc>
          <w:tcPr>
            <w:tcW w:w="1440" w:type="dxa"/>
          </w:tcPr>
          <w:p w:rsidR="005E6F3C" w:rsidRPr="001D5C89" w:rsidRDefault="005E6F3C" w:rsidP="00780CDB">
            <w:pPr>
              <w:jc w:val="center"/>
              <w:rPr>
                <w:rFonts w:cs="Traditional Arabic" w:hint="cs"/>
                <w:b/>
                <w:bCs/>
                <w:rtl/>
              </w:rPr>
            </w:pPr>
          </w:p>
        </w:tc>
        <w:tc>
          <w:tcPr>
            <w:tcW w:w="1440" w:type="dxa"/>
            <w:gridSpan w:val="2"/>
          </w:tcPr>
          <w:p w:rsidR="005E6F3C" w:rsidRPr="001D5C89" w:rsidRDefault="005E6F3C" w:rsidP="00780CDB">
            <w:pPr>
              <w:jc w:val="center"/>
              <w:rPr>
                <w:rFonts w:cs="Traditional Arabic" w:hint="cs"/>
                <w:b/>
                <w:bCs/>
                <w:rtl/>
              </w:rPr>
            </w:pPr>
            <w:r w:rsidRPr="001D5C89">
              <w:rPr>
                <w:rFonts w:cs="Traditional Arabic" w:hint="cs"/>
                <w:b/>
                <w:bCs/>
                <w:rtl/>
              </w:rPr>
              <w:t>2000</w:t>
            </w:r>
          </w:p>
        </w:tc>
        <w:tc>
          <w:tcPr>
            <w:tcW w:w="1440" w:type="dxa"/>
            <w:gridSpan w:val="2"/>
          </w:tcPr>
          <w:p w:rsidR="005E6F3C" w:rsidRPr="001D5C89" w:rsidRDefault="005E6F3C" w:rsidP="00780CDB">
            <w:pPr>
              <w:jc w:val="center"/>
              <w:rPr>
                <w:rFonts w:cs="Traditional Arabic" w:hint="cs"/>
                <w:b/>
                <w:bCs/>
                <w:rtl/>
              </w:rPr>
            </w:pPr>
            <w:r w:rsidRPr="001D5C89">
              <w:rPr>
                <w:rFonts w:cs="Traditional Arabic" w:hint="cs"/>
                <w:b/>
                <w:bCs/>
                <w:rtl/>
              </w:rPr>
              <w:t>2001</w:t>
            </w:r>
          </w:p>
        </w:tc>
        <w:tc>
          <w:tcPr>
            <w:tcW w:w="1440" w:type="dxa"/>
            <w:gridSpan w:val="2"/>
          </w:tcPr>
          <w:p w:rsidR="005E6F3C" w:rsidRPr="001D5C89" w:rsidRDefault="005E6F3C" w:rsidP="00780CDB">
            <w:pPr>
              <w:jc w:val="center"/>
              <w:rPr>
                <w:rFonts w:cs="Traditional Arabic" w:hint="cs"/>
                <w:b/>
                <w:bCs/>
                <w:rtl/>
              </w:rPr>
            </w:pPr>
            <w:r w:rsidRPr="001D5C89">
              <w:rPr>
                <w:rFonts w:cs="Traditional Arabic" w:hint="cs"/>
                <w:b/>
                <w:bCs/>
                <w:rtl/>
              </w:rPr>
              <w:t>2002</w:t>
            </w:r>
          </w:p>
        </w:tc>
        <w:tc>
          <w:tcPr>
            <w:tcW w:w="1440" w:type="dxa"/>
            <w:gridSpan w:val="2"/>
          </w:tcPr>
          <w:p w:rsidR="005E6F3C" w:rsidRPr="001D5C89" w:rsidRDefault="005E6F3C" w:rsidP="00780CDB">
            <w:pPr>
              <w:jc w:val="center"/>
              <w:rPr>
                <w:rFonts w:cs="Traditional Arabic" w:hint="cs"/>
                <w:b/>
                <w:bCs/>
                <w:rtl/>
              </w:rPr>
            </w:pPr>
            <w:r w:rsidRPr="001D5C89">
              <w:rPr>
                <w:rFonts w:cs="Traditional Arabic" w:hint="cs"/>
                <w:b/>
                <w:bCs/>
                <w:rtl/>
              </w:rPr>
              <w:t>2003</w:t>
            </w:r>
          </w:p>
        </w:tc>
        <w:tc>
          <w:tcPr>
            <w:tcW w:w="1440" w:type="dxa"/>
            <w:gridSpan w:val="2"/>
          </w:tcPr>
          <w:p w:rsidR="005E6F3C" w:rsidRPr="001D5C89" w:rsidRDefault="005E6F3C" w:rsidP="00780CDB">
            <w:pPr>
              <w:jc w:val="center"/>
              <w:rPr>
                <w:rFonts w:cs="Traditional Arabic" w:hint="cs"/>
                <w:b/>
                <w:bCs/>
                <w:rtl/>
              </w:rPr>
            </w:pPr>
            <w:r w:rsidRPr="001D5C89">
              <w:rPr>
                <w:rFonts w:cs="Traditional Arabic" w:hint="cs"/>
                <w:b/>
                <w:bCs/>
                <w:rtl/>
              </w:rPr>
              <w:t>2004</w:t>
            </w:r>
          </w:p>
        </w:tc>
      </w:tr>
      <w:tr w:rsidR="005E6F3C" w:rsidRPr="001D5C89">
        <w:trPr>
          <w:jc w:val="center"/>
        </w:trPr>
        <w:tc>
          <w:tcPr>
            <w:tcW w:w="1440" w:type="dxa"/>
          </w:tcPr>
          <w:p w:rsidR="005E6F3C" w:rsidRPr="001D5C89" w:rsidRDefault="005E6F3C" w:rsidP="00780CDB">
            <w:pPr>
              <w:jc w:val="center"/>
              <w:rPr>
                <w:rFonts w:cs="Traditional Arabic" w:hint="cs"/>
                <w:b/>
                <w:bCs/>
                <w:rtl/>
              </w:rPr>
            </w:pPr>
            <w:r w:rsidRPr="001D5C89">
              <w:rPr>
                <w:rFonts w:cs="Traditional Arabic" w:hint="cs"/>
                <w:b/>
                <w:bCs/>
                <w:rtl/>
              </w:rPr>
              <w:t>البلد</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أنثى</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ذكر</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أنثى</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ذكر</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أنثى</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ذكر</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أنثى</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ذكر</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أنثى</w:t>
            </w:r>
          </w:p>
        </w:tc>
        <w:tc>
          <w:tcPr>
            <w:tcW w:w="720" w:type="dxa"/>
          </w:tcPr>
          <w:p w:rsidR="005E6F3C" w:rsidRPr="001D5C89" w:rsidRDefault="005E6F3C" w:rsidP="00780CDB">
            <w:pPr>
              <w:jc w:val="center"/>
              <w:rPr>
                <w:rFonts w:cs="Traditional Arabic" w:hint="cs"/>
                <w:b/>
                <w:bCs/>
                <w:rtl/>
              </w:rPr>
            </w:pPr>
            <w:r w:rsidRPr="001D5C89">
              <w:rPr>
                <w:rFonts w:cs="Traditional Arabic" w:hint="cs"/>
                <w:b/>
                <w:bCs/>
                <w:rtl/>
              </w:rPr>
              <w:t>ذكر</w:t>
            </w: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أستراليا</w:t>
            </w: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r>
              <w:rPr>
                <w:rFonts w:cs="Traditional Arabic" w:hint="cs"/>
                <w:rtl/>
              </w:rPr>
              <w:t>13</w:t>
            </w:r>
          </w:p>
        </w:tc>
        <w:tc>
          <w:tcPr>
            <w:tcW w:w="720" w:type="dxa"/>
          </w:tcPr>
          <w:p w:rsidR="005E6F3C" w:rsidRPr="001D5C89" w:rsidRDefault="005E6F3C" w:rsidP="00780CDB">
            <w:pPr>
              <w:rPr>
                <w:rFonts w:cs="Traditional Arabic" w:hint="cs"/>
                <w:rtl/>
              </w:rPr>
            </w:pPr>
            <w:r>
              <w:rPr>
                <w:rFonts w:cs="Traditional Arabic" w:hint="cs"/>
                <w:rtl/>
              </w:rPr>
              <w:t>2</w:t>
            </w:r>
          </w:p>
        </w:tc>
        <w:tc>
          <w:tcPr>
            <w:tcW w:w="720" w:type="dxa"/>
          </w:tcPr>
          <w:p w:rsidR="005E6F3C" w:rsidRPr="001D5C89" w:rsidRDefault="005E6F3C" w:rsidP="00780CDB">
            <w:pPr>
              <w:rPr>
                <w:rFonts w:cs="Traditional Arabic" w:hint="cs"/>
                <w:rtl/>
              </w:rPr>
            </w:pPr>
            <w:r>
              <w:rPr>
                <w:rFonts w:cs="Traditional Arabic" w:hint="cs"/>
                <w:rtl/>
              </w:rPr>
              <w:t>7</w:t>
            </w:r>
          </w:p>
        </w:tc>
        <w:tc>
          <w:tcPr>
            <w:tcW w:w="720" w:type="dxa"/>
          </w:tcPr>
          <w:p w:rsidR="005E6F3C" w:rsidRPr="001D5C89" w:rsidRDefault="005E6F3C" w:rsidP="00780CDB">
            <w:pPr>
              <w:rPr>
                <w:rFonts w:cs="Traditional Arabic" w:hint="cs"/>
                <w:rtl/>
              </w:rPr>
            </w:pPr>
            <w:r>
              <w:rPr>
                <w:rFonts w:cs="Traditional Arabic" w:hint="cs"/>
                <w:rtl/>
              </w:rPr>
              <w:t>2</w:t>
            </w:r>
          </w:p>
        </w:tc>
        <w:tc>
          <w:tcPr>
            <w:tcW w:w="720" w:type="dxa"/>
          </w:tcPr>
          <w:p w:rsidR="005E6F3C" w:rsidRPr="001D5C89" w:rsidRDefault="005E6F3C" w:rsidP="00780CDB">
            <w:pPr>
              <w:rPr>
                <w:rFonts w:cs="Traditional Arabic" w:hint="cs"/>
                <w:rtl/>
              </w:rPr>
            </w:pPr>
            <w:r>
              <w:rPr>
                <w:rFonts w:cs="Traditional Arabic" w:hint="cs"/>
                <w:rtl/>
              </w:rPr>
              <w:t>3</w:t>
            </w: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r>
              <w:rPr>
                <w:rFonts w:cs="Traditional Arabic" w:hint="cs"/>
                <w:rtl/>
              </w:rPr>
              <w:t>صفر</w:t>
            </w: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r>
              <w:rPr>
                <w:rFonts w:cs="Traditional Arabic" w:hint="cs"/>
                <w:rtl/>
              </w:rPr>
              <w:t>2</w:t>
            </w: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كندا</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ف</w:t>
            </w:r>
            <w:r>
              <w:rPr>
                <w:rFonts w:cs="Traditional Arabic" w:hint="cs"/>
                <w:rtl/>
              </w:rPr>
              <w:t>ي</w:t>
            </w:r>
            <w:r w:rsidRPr="001D5C89">
              <w:rPr>
                <w:rFonts w:cs="Traditional Arabic" w:hint="cs"/>
                <w:rtl/>
              </w:rPr>
              <w:t>جي</w:t>
            </w:r>
          </w:p>
        </w:tc>
        <w:tc>
          <w:tcPr>
            <w:tcW w:w="720" w:type="dxa"/>
          </w:tcPr>
          <w:p w:rsidR="005E6F3C" w:rsidRPr="001D5C89" w:rsidRDefault="005E6F3C" w:rsidP="00780CDB">
            <w:pPr>
              <w:rPr>
                <w:rFonts w:cs="Traditional Arabic" w:hint="cs"/>
                <w:rtl/>
              </w:rPr>
            </w:pPr>
            <w:r>
              <w:rPr>
                <w:rFonts w:cs="Traditional Arabic" w:hint="cs"/>
                <w:rtl/>
              </w:rPr>
              <w:t>13</w:t>
            </w:r>
          </w:p>
        </w:tc>
        <w:tc>
          <w:tcPr>
            <w:tcW w:w="720" w:type="dxa"/>
          </w:tcPr>
          <w:p w:rsidR="005E6F3C" w:rsidRPr="001D5C89" w:rsidRDefault="005E6F3C" w:rsidP="00780CDB">
            <w:pPr>
              <w:rPr>
                <w:rFonts w:cs="Traditional Arabic" w:hint="cs"/>
                <w:rtl/>
              </w:rPr>
            </w:pPr>
            <w:r>
              <w:rPr>
                <w:rFonts w:cs="Traditional Arabic" w:hint="cs"/>
                <w:rtl/>
              </w:rPr>
              <w:t>19</w:t>
            </w:r>
          </w:p>
        </w:tc>
        <w:tc>
          <w:tcPr>
            <w:tcW w:w="720" w:type="dxa"/>
          </w:tcPr>
          <w:p w:rsidR="005E6F3C" w:rsidRPr="001D5C89" w:rsidRDefault="005E6F3C" w:rsidP="00780CDB">
            <w:pPr>
              <w:rPr>
                <w:rFonts w:cs="Traditional Arabic" w:hint="cs"/>
                <w:rtl/>
              </w:rPr>
            </w:pPr>
            <w:r>
              <w:rPr>
                <w:rFonts w:cs="Traditional Arabic" w:hint="cs"/>
                <w:rtl/>
              </w:rPr>
              <w:t>23</w:t>
            </w:r>
          </w:p>
        </w:tc>
        <w:tc>
          <w:tcPr>
            <w:tcW w:w="720" w:type="dxa"/>
          </w:tcPr>
          <w:p w:rsidR="005E6F3C" w:rsidRPr="001D5C89" w:rsidRDefault="005E6F3C" w:rsidP="00780CDB">
            <w:pPr>
              <w:rPr>
                <w:rFonts w:cs="Traditional Arabic" w:hint="cs"/>
                <w:rtl/>
              </w:rPr>
            </w:pPr>
            <w:r>
              <w:rPr>
                <w:rFonts w:cs="Traditional Arabic" w:hint="cs"/>
                <w:rtl/>
              </w:rPr>
              <w:t>35</w:t>
            </w:r>
          </w:p>
        </w:tc>
        <w:tc>
          <w:tcPr>
            <w:tcW w:w="720" w:type="dxa"/>
          </w:tcPr>
          <w:p w:rsidR="005E6F3C" w:rsidRPr="001D5C89" w:rsidRDefault="005E6F3C" w:rsidP="00780CDB">
            <w:pPr>
              <w:rPr>
                <w:rFonts w:cs="Traditional Arabic" w:hint="cs"/>
                <w:rtl/>
              </w:rPr>
            </w:pPr>
            <w:r>
              <w:rPr>
                <w:rFonts w:cs="Traditional Arabic" w:hint="cs"/>
                <w:rtl/>
              </w:rPr>
              <w:t>13</w:t>
            </w:r>
          </w:p>
        </w:tc>
        <w:tc>
          <w:tcPr>
            <w:tcW w:w="720" w:type="dxa"/>
          </w:tcPr>
          <w:p w:rsidR="005E6F3C" w:rsidRPr="001D5C89" w:rsidRDefault="005E6F3C" w:rsidP="00780CDB">
            <w:pPr>
              <w:rPr>
                <w:rFonts w:cs="Traditional Arabic" w:hint="cs"/>
                <w:rtl/>
              </w:rPr>
            </w:pPr>
            <w:r>
              <w:rPr>
                <w:rFonts w:cs="Traditional Arabic" w:hint="cs"/>
                <w:rtl/>
              </w:rPr>
              <w:t>17</w:t>
            </w:r>
          </w:p>
        </w:tc>
        <w:tc>
          <w:tcPr>
            <w:tcW w:w="720" w:type="dxa"/>
          </w:tcPr>
          <w:p w:rsidR="005E6F3C" w:rsidRPr="001D5C89" w:rsidRDefault="005E6F3C" w:rsidP="00780CDB">
            <w:pPr>
              <w:rPr>
                <w:rFonts w:cs="Traditional Arabic" w:hint="cs"/>
                <w:rtl/>
              </w:rPr>
            </w:pPr>
            <w:r>
              <w:rPr>
                <w:rFonts w:cs="Traditional Arabic" w:hint="cs"/>
                <w:rtl/>
              </w:rPr>
              <w:t>19</w:t>
            </w:r>
          </w:p>
        </w:tc>
        <w:tc>
          <w:tcPr>
            <w:tcW w:w="720" w:type="dxa"/>
          </w:tcPr>
          <w:p w:rsidR="005E6F3C" w:rsidRPr="001D5C89" w:rsidRDefault="005E6F3C" w:rsidP="00780CDB">
            <w:pPr>
              <w:rPr>
                <w:rFonts w:cs="Traditional Arabic" w:hint="cs"/>
                <w:rtl/>
              </w:rPr>
            </w:pPr>
            <w:r>
              <w:rPr>
                <w:rFonts w:cs="Traditional Arabic" w:hint="cs"/>
                <w:rtl/>
              </w:rPr>
              <w:t>17</w:t>
            </w:r>
          </w:p>
        </w:tc>
        <w:tc>
          <w:tcPr>
            <w:tcW w:w="720" w:type="dxa"/>
          </w:tcPr>
          <w:p w:rsidR="005E6F3C" w:rsidRPr="001D5C89" w:rsidRDefault="005E6F3C" w:rsidP="00780CDB">
            <w:pPr>
              <w:rPr>
                <w:rFonts w:cs="Traditional Arabic" w:hint="cs"/>
                <w:rtl/>
              </w:rPr>
            </w:pPr>
            <w:r>
              <w:rPr>
                <w:rFonts w:cs="Traditional Arabic" w:hint="cs"/>
                <w:rtl/>
              </w:rPr>
              <w:t>16</w:t>
            </w:r>
          </w:p>
        </w:tc>
        <w:tc>
          <w:tcPr>
            <w:tcW w:w="720" w:type="dxa"/>
          </w:tcPr>
          <w:p w:rsidR="005E6F3C" w:rsidRPr="001D5C89" w:rsidRDefault="005E6F3C" w:rsidP="00780CDB">
            <w:pPr>
              <w:rPr>
                <w:rFonts w:cs="Traditional Arabic" w:hint="cs"/>
                <w:rtl/>
              </w:rPr>
            </w:pPr>
            <w:r>
              <w:rPr>
                <w:rFonts w:cs="Traditional Arabic" w:hint="cs"/>
                <w:rtl/>
              </w:rPr>
              <w:t>12</w:t>
            </w: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كيرباتي</w:t>
            </w:r>
          </w:p>
        </w:tc>
        <w:tc>
          <w:tcPr>
            <w:tcW w:w="720" w:type="dxa"/>
          </w:tcPr>
          <w:p w:rsidR="005E6F3C" w:rsidRPr="001D5C89" w:rsidRDefault="005E6F3C" w:rsidP="00780CDB">
            <w:pPr>
              <w:rPr>
                <w:rFonts w:cs="Traditional Arabic" w:hint="cs"/>
                <w:rtl/>
              </w:rPr>
            </w:pPr>
            <w:r>
              <w:rPr>
                <w:rFonts w:cs="Traditional Arabic" w:hint="cs"/>
                <w:rtl/>
              </w:rPr>
              <w:t>9</w:t>
            </w:r>
          </w:p>
        </w:tc>
        <w:tc>
          <w:tcPr>
            <w:tcW w:w="720" w:type="dxa"/>
          </w:tcPr>
          <w:p w:rsidR="005E6F3C" w:rsidRPr="001D5C89" w:rsidRDefault="005E6F3C" w:rsidP="00780CDB">
            <w:pPr>
              <w:rPr>
                <w:rFonts w:cs="Traditional Arabic" w:hint="cs"/>
                <w:rtl/>
              </w:rPr>
            </w:pPr>
            <w:r>
              <w:rPr>
                <w:rFonts w:cs="Traditional Arabic" w:hint="cs"/>
                <w:rtl/>
              </w:rPr>
              <w:t>3</w:t>
            </w:r>
          </w:p>
        </w:tc>
        <w:tc>
          <w:tcPr>
            <w:tcW w:w="720" w:type="dxa"/>
          </w:tcPr>
          <w:p w:rsidR="005E6F3C" w:rsidRPr="001D5C89" w:rsidRDefault="005E6F3C" w:rsidP="00780CDB">
            <w:pPr>
              <w:rPr>
                <w:rFonts w:cs="Traditional Arabic" w:hint="cs"/>
                <w:rtl/>
              </w:rPr>
            </w:pPr>
            <w:r>
              <w:rPr>
                <w:rFonts w:cs="Traditional Arabic" w:hint="cs"/>
                <w:rtl/>
              </w:rPr>
              <w:t>5</w:t>
            </w:r>
          </w:p>
        </w:tc>
        <w:tc>
          <w:tcPr>
            <w:tcW w:w="720" w:type="dxa"/>
          </w:tcPr>
          <w:p w:rsidR="005E6F3C" w:rsidRPr="001D5C89" w:rsidRDefault="005E6F3C" w:rsidP="00780CDB">
            <w:pPr>
              <w:rPr>
                <w:rFonts w:cs="Traditional Arabic" w:hint="cs"/>
                <w:rtl/>
              </w:rPr>
            </w:pPr>
            <w:r>
              <w:rPr>
                <w:rFonts w:cs="Traditional Arabic" w:hint="cs"/>
                <w:rtl/>
              </w:rPr>
              <w:t>2</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نيوزيلندا</w:t>
            </w:r>
          </w:p>
        </w:tc>
        <w:tc>
          <w:tcPr>
            <w:tcW w:w="720" w:type="dxa"/>
          </w:tcPr>
          <w:p w:rsidR="005E6F3C" w:rsidRPr="001D5C89" w:rsidRDefault="005E6F3C" w:rsidP="00780CDB">
            <w:pPr>
              <w:rPr>
                <w:rFonts w:cs="Traditional Arabic" w:hint="cs"/>
                <w:rtl/>
              </w:rPr>
            </w:pPr>
            <w:r>
              <w:rPr>
                <w:rFonts w:cs="Traditional Arabic" w:hint="cs"/>
                <w:rtl/>
              </w:rPr>
              <w:t>21</w:t>
            </w:r>
          </w:p>
        </w:tc>
        <w:tc>
          <w:tcPr>
            <w:tcW w:w="720" w:type="dxa"/>
          </w:tcPr>
          <w:p w:rsidR="005E6F3C" w:rsidRPr="001D5C89" w:rsidRDefault="005E6F3C" w:rsidP="00780CDB">
            <w:pPr>
              <w:rPr>
                <w:rFonts w:cs="Traditional Arabic" w:hint="cs"/>
                <w:rtl/>
              </w:rPr>
            </w:pPr>
            <w:r>
              <w:rPr>
                <w:rFonts w:cs="Traditional Arabic" w:hint="cs"/>
                <w:rtl/>
              </w:rPr>
              <w:t>13</w:t>
            </w:r>
          </w:p>
        </w:tc>
        <w:tc>
          <w:tcPr>
            <w:tcW w:w="720" w:type="dxa"/>
          </w:tcPr>
          <w:p w:rsidR="005E6F3C" w:rsidRPr="001D5C89" w:rsidRDefault="005E6F3C" w:rsidP="00780CDB">
            <w:pPr>
              <w:rPr>
                <w:rFonts w:cs="Traditional Arabic" w:hint="cs"/>
                <w:rtl/>
              </w:rPr>
            </w:pPr>
            <w:r>
              <w:rPr>
                <w:rFonts w:cs="Traditional Arabic" w:hint="cs"/>
                <w:rtl/>
              </w:rPr>
              <w:t>12</w:t>
            </w:r>
          </w:p>
        </w:tc>
        <w:tc>
          <w:tcPr>
            <w:tcW w:w="720" w:type="dxa"/>
          </w:tcPr>
          <w:p w:rsidR="005E6F3C" w:rsidRPr="001D5C89" w:rsidRDefault="005E6F3C" w:rsidP="00780CDB">
            <w:pPr>
              <w:rPr>
                <w:rFonts w:cs="Traditional Arabic" w:hint="cs"/>
                <w:rtl/>
              </w:rPr>
            </w:pPr>
            <w:r>
              <w:rPr>
                <w:rFonts w:cs="Traditional Arabic" w:hint="cs"/>
                <w:rtl/>
              </w:rPr>
              <w:t>10</w:t>
            </w:r>
          </w:p>
        </w:tc>
        <w:tc>
          <w:tcPr>
            <w:tcW w:w="720" w:type="dxa"/>
          </w:tcPr>
          <w:p w:rsidR="005E6F3C" w:rsidRPr="001D5C89" w:rsidRDefault="005E6F3C" w:rsidP="00780CDB">
            <w:pPr>
              <w:rPr>
                <w:rFonts w:cs="Traditional Arabic" w:hint="cs"/>
                <w:rtl/>
              </w:rPr>
            </w:pPr>
            <w:r>
              <w:rPr>
                <w:rFonts w:cs="Traditional Arabic" w:hint="cs"/>
                <w:rtl/>
              </w:rPr>
              <w:t>9</w:t>
            </w:r>
          </w:p>
        </w:tc>
        <w:tc>
          <w:tcPr>
            <w:tcW w:w="720" w:type="dxa"/>
          </w:tcPr>
          <w:p w:rsidR="005E6F3C" w:rsidRPr="001D5C89" w:rsidRDefault="005E6F3C" w:rsidP="00780CDB">
            <w:pPr>
              <w:rPr>
                <w:rFonts w:cs="Traditional Arabic" w:hint="cs"/>
                <w:rtl/>
              </w:rPr>
            </w:pPr>
            <w:r>
              <w:rPr>
                <w:rFonts w:cs="Traditional Arabic" w:hint="cs"/>
                <w:rtl/>
              </w:rPr>
              <w:t>5</w:t>
            </w:r>
          </w:p>
        </w:tc>
        <w:tc>
          <w:tcPr>
            <w:tcW w:w="720" w:type="dxa"/>
          </w:tcPr>
          <w:p w:rsidR="005E6F3C" w:rsidRPr="001D5C89" w:rsidRDefault="005E6F3C" w:rsidP="00780CDB">
            <w:pPr>
              <w:rPr>
                <w:rFonts w:cs="Traditional Arabic" w:hint="cs"/>
                <w:rtl/>
              </w:rPr>
            </w:pPr>
            <w:r>
              <w:rPr>
                <w:rFonts w:cs="Traditional Arabic" w:hint="cs"/>
                <w:rtl/>
              </w:rPr>
              <w:t>5</w:t>
            </w:r>
          </w:p>
        </w:tc>
        <w:tc>
          <w:tcPr>
            <w:tcW w:w="720" w:type="dxa"/>
          </w:tcPr>
          <w:p w:rsidR="005E6F3C" w:rsidRPr="001D5C89" w:rsidRDefault="005E6F3C" w:rsidP="00780CDB">
            <w:pPr>
              <w:rPr>
                <w:rFonts w:cs="Traditional Arabic" w:hint="cs"/>
                <w:rtl/>
              </w:rPr>
            </w:pPr>
            <w:r>
              <w:rPr>
                <w:rFonts w:cs="Traditional Arabic" w:hint="cs"/>
                <w:rtl/>
              </w:rPr>
              <w:t>7</w:t>
            </w: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r>
              <w:rPr>
                <w:rFonts w:cs="Traditional Arabic" w:hint="cs"/>
                <w:rtl/>
              </w:rPr>
              <w:t>5</w:t>
            </w: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ساموا</w:t>
            </w:r>
          </w:p>
        </w:tc>
        <w:tc>
          <w:tcPr>
            <w:tcW w:w="720" w:type="dxa"/>
          </w:tcPr>
          <w:p w:rsidR="005E6F3C" w:rsidRPr="001D5C89" w:rsidRDefault="005E6F3C" w:rsidP="00780CDB">
            <w:pPr>
              <w:rPr>
                <w:rFonts w:cs="Traditional Arabic" w:hint="cs"/>
                <w:rtl/>
              </w:rPr>
            </w:pPr>
            <w:r>
              <w:rPr>
                <w:rFonts w:cs="Traditional Arabic" w:hint="cs"/>
                <w:rtl/>
              </w:rPr>
              <w:t>7</w:t>
            </w:r>
          </w:p>
        </w:tc>
        <w:tc>
          <w:tcPr>
            <w:tcW w:w="720" w:type="dxa"/>
          </w:tcPr>
          <w:p w:rsidR="005E6F3C" w:rsidRPr="001D5C89" w:rsidRDefault="005E6F3C" w:rsidP="00780CDB">
            <w:pPr>
              <w:rPr>
                <w:rFonts w:cs="Traditional Arabic" w:hint="cs"/>
                <w:rtl/>
              </w:rPr>
            </w:pPr>
            <w:r>
              <w:rPr>
                <w:rFonts w:cs="Traditional Arabic" w:hint="cs"/>
                <w:rtl/>
              </w:rPr>
              <w:t>2</w:t>
            </w:r>
          </w:p>
        </w:tc>
        <w:tc>
          <w:tcPr>
            <w:tcW w:w="720" w:type="dxa"/>
          </w:tcPr>
          <w:p w:rsidR="005E6F3C" w:rsidRPr="001D5C89" w:rsidRDefault="005E6F3C" w:rsidP="00780CDB">
            <w:pPr>
              <w:rPr>
                <w:rFonts w:cs="Traditional Arabic" w:hint="cs"/>
                <w:rtl/>
              </w:rPr>
            </w:pPr>
            <w:r>
              <w:rPr>
                <w:rFonts w:cs="Traditional Arabic" w:hint="cs"/>
                <w:rtl/>
              </w:rPr>
              <w:t>7</w:t>
            </w:r>
          </w:p>
        </w:tc>
        <w:tc>
          <w:tcPr>
            <w:tcW w:w="720" w:type="dxa"/>
          </w:tcPr>
          <w:p w:rsidR="005E6F3C" w:rsidRPr="001D5C89" w:rsidRDefault="005E6F3C" w:rsidP="00780CDB">
            <w:pPr>
              <w:rPr>
                <w:rFonts w:cs="Traditional Arabic" w:hint="cs"/>
                <w:rtl/>
              </w:rPr>
            </w:pPr>
            <w:r>
              <w:rPr>
                <w:rFonts w:cs="Traditional Arabic" w:hint="cs"/>
                <w:rtl/>
              </w:rPr>
              <w:t>3</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r>
              <w:rPr>
                <w:rFonts w:cs="Traditional Arabic" w:hint="cs"/>
                <w:rtl/>
              </w:rPr>
              <w:t>1</w:t>
            </w: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جزر سليمان</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r>
      <w:tr w:rsidR="005E6F3C" w:rsidRPr="001D5C89">
        <w:trPr>
          <w:jc w:val="center"/>
        </w:trPr>
        <w:tc>
          <w:tcPr>
            <w:tcW w:w="1440" w:type="dxa"/>
          </w:tcPr>
          <w:p w:rsidR="005E6F3C" w:rsidRPr="001D5C89" w:rsidRDefault="005E6F3C" w:rsidP="00780CDB">
            <w:pPr>
              <w:rPr>
                <w:rFonts w:cs="Traditional Arabic" w:hint="cs"/>
                <w:rtl/>
              </w:rPr>
            </w:pPr>
            <w:r>
              <w:rPr>
                <w:rFonts w:cs="Traditional Arabic" w:hint="cs"/>
                <w:rtl/>
              </w:rPr>
              <w:t>ت</w:t>
            </w:r>
            <w:r w:rsidRPr="001D5C89">
              <w:rPr>
                <w:rFonts w:cs="Traditional Arabic" w:hint="cs"/>
                <w:rtl/>
              </w:rPr>
              <w:t>ونغا</w:t>
            </w:r>
          </w:p>
        </w:tc>
        <w:tc>
          <w:tcPr>
            <w:tcW w:w="720" w:type="dxa"/>
          </w:tcPr>
          <w:p w:rsidR="005E6F3C" w:rsidRPr="001D5C89" w:rsidRDefault="005E6F3C" w:rsidP="00780CDB">
            <w:pPr>
              <w:rPr>
                <w:rFonts w:cs="Traditional Arabic" w:hint="cs"/>
                <w:rtl/>
              </w:rPr>
            </w:pPr>
            <w:r>
              <w:rPr>
                <w:rFonts w:cs="Traditional Arabic" w:hint="cs"/>
                <w:rtl/>
              </w:rPr>
              <w:t>5</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المملكة المتحدة</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فانواتو</w:t>
            </w: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r>
      <w:tr w:rsidR="005E6F3C" w:rsidRPr="001D5C89">
        <w:trPr>
          <w:jc w:val="center"/>
        </w:trPr>
        <w:tc>
          <w:tcPr>
            <w:tcW w:w="1440" w:type="dxa"/>
          </w:tcPr>
          <w:p w:rsidR="005E6F3C" w:rsidRPr="001D5C89" w:rsidRDefault="005E6F3C" w:rsidP="00780CDB">
            <w:pPr>
              <w:rPr>
                <w:rFonts w:cs="Traditional Arabic" w:hint="cs"/>
                <w:rtl/>
              </w:rPr>
            </w:pPr>
            <w:r w:rsidRPr="001D5C89">
              <w:rPr>
                <w:rFonts w:cs="Traditional Arabic" w:hint="cs"/>
                <w:rtl/>
              </w:rPr>
              <w:t>توفالو</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r>
              <w:rPr>
                <w:rFonts w:cs="Traditional Arabic" w:hint="cs"/>
                <w:rtl/>
              </w:rPr>
              <w:t>1</w:t>
            </w:r>
          </w:p>
        </w:tc>
        <w:tc>
          <w:tcPr>
            <w:tcW w:w="720" w:type="dxa"/>
          </w:tcPr>
          <w:p w:rsidR="005E6F3C" w:rsidRPr="001D5C89" w:rsidRDefault="005E6F3C" w:rsidP="00780CDB">
            <w:pPr>
              <w:rPr>
                <w:rFonts w:cs="Traditional Arabic" w:hint="cs"/>
                <w:rtl/>
              </w:rPr>
            </w:pPr>
          </w:p>
        </w:tc>
        <w:tc>
          <w:tcPr>
            <w:tcW w:w="720" w:type="dxa"/>
          </w:tcPr>
          <w:p w:rsidR="005E6F3C" w:rsidRPr="001D5C89" w:rsidRDefault="005E6F3C" w:rsidP="00780CDB">
            <w:pPr>
              <w:rPr>
                <w:rFonts w:cs="Traditional Arabic" w:hint="cs"/>
                <w:rtl/>
              </w:rPr>
            </w:pPr>
            <w:r>
              <w:rPr>
                <w:rFonts w:cs="Traditional Arabic" w:hint="cs"/>
                <w:rtl/>
              </w:rPr>
              <w:t>15</w:t>
            </w:r>
          </w:p>
        </w:tc>
        <w:tc>
          <w:tcPr>
            <w:tcW w:w="720" w:type="dxa"/>
          </w:tcPr>
          <w:p w:rsidR="005E6F3C" w:rsidRPr="001D5C89" w:rsidRDefault="005E6F3C" w:rsidP="00780CDB">
            <w:pPr>
              <w:rPr>
                <w:rFonts w:cs="Traditional Arabic" w:hint="cs"/>
                <w:rtl/>
              </w:rPr>
            </w:pPr>
            <w:r>
              <w:rPr>
                <w:rFonts w:cs="Traditional Arabic" w:hint="cs"/>
                <w:rtl/>
              </w:rPr>
              <w:t>8</w:t>
            </w:r>
          </w:p>
        </w:tc>
      </w:tr>
    </w:tbl>
    <w:p w:rsidR="005E6F3C" w:rsidRPr="005E6F3C" w:rsidRDefault="005E6F3C" w:rsidP="005E6F3C">
      <w:pPr>
        <w:rPr>
          <w:rFonts w:hint="cs"/>
          <w:sz w:val="26"/>
          <w:szCs w:val="26"/>
          <w:rtl/>
        </w:rPr>
      </w:pPr>
      <w:r>
        <w:rPr>
          <w:rFonts w:hint="cs"/>
          <w:sz w:val="28"/>
          <w:szCs w:val="28"/>
          <w:rtl/>
        </w:rPr>
        <w:tab/>
      </w:r>
      <w:r w:rsidRPr="005E6F3C">
        <w:rPr>
          <w:rFonts w:hint="cs"/>
          <w:sz w:val="26"/>
          <w:szCs w:val="26"/>
          <w:rtl/>
        </w:rPr>
        <w:t>المصدر: إدارة الإحصاءات (بيانات لم تنشر)</w:t>
      </w:r>
      <w:r>
        <w:rPr>
          <w:rFonts w:hint="cs"/>
          <w:sz w:val="26"/>
          <w:szCs w:val="26"/>
          <w:rtl/>
        </w:rPr>
        <w:t>.</w:t>
      </w:r>
    </w:p>
    <w:p w:rsidR="005E6F3C" w:rsidRPr="005E6F3C" w:rsidRDefault="005E6F3C" w:rsidP="005E6F3C">
      <w:pPr>
        <w:spacing w:line="120" w:lineRule="exact"/>
        <w:rPr>
          <w:rFonts w:hint="cs"/>
          <w:sz w:val="10"/>
          <w:szCs w:val="32"/>
          <w:rtl/>
        </w:rPr>
      </w:pPr>
    </w:p>
    <w:p w:rsidR="005E6F3C" w:rsidRDefault="005E6F3C" w:rsidP="005E6F3C">
      <w:pPr>
        <w:pStyle w:val="SingleTxt"/>
        <w:rPr>
          <w:rFonts w:hint="cs"/>
          <w:rtl/>
        </w:rPr>
      </w:pPr>
      <w:r>
        <w:rPr>
          <w:rFonts w:hint="cs"/>
          <w:rtl/>
        </w:rPr>
        <w:tab/>
        <w:t>يبين الجدول 22 أيضاً بعض التباين في عدد الطلاب الذين درسوا في الخارج. فمنذ عام 2000، كان عدد النساء والرجال الذين يدرسون في الخارج متساوياً تقريباً، وكانت فيجي البلد الرئيسي للتدريب تلتها نيوزيلندا.</w:t>
      </w:r>
    </w:p>
    <w:p w:rsidR="005E6F3C" w:rsidRPr="005E6F3C" w:rsidRDefault="005E6F3C" w:rsidP="005E6F3C">
      <w:pPr>
        <w:spacing w:line="120" w:lineRule="exact"/>
        <w:rPr>
          <w:rFonts w:hint="cs"/>
          <w:b/>
          <w:bCs/>
          <w:sz w:val="10"/>
          <w:szCs w:val="32"/>
          <w:rtl/>
        </w:rPr>
      </w:pPr>
    </w:p>
    <w:p w:rsidR="005E6F3C" w:rsidRPr="002C6A5F" w:rsidRDefault="005E6F3C" w:rsidP="00555702">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t>المتسربون</w:t>
      </w:r>
      <w:r w:rsidRPr="002C6A5F">
        <w:rPr>
          <w:rFonts w:hint="cs"/>
          <w:rtl/>
        </w:rPr>
        <w:t xml:space="preserve"> من المدارس/ </w:t>
      </w:r>
      <w:r w:rsidR="00555702">
        <w:rPr>
          <w:rFonts w:hint="eastAsia"/>
          <w:rtl/>
        </w:rPr>
        <w:t>”</w:t>
      </w:r>
      <w:r w:rsidRPr="002C6A5F">
        <w:rPr>
          <w:rFonts w:hint="cs"/>
          <w:rtl/>
        </w:rPr>
        <w:t>المفصولون</w:t>
      </w:r>
      <w:r w:rsidR="00555702">
        <w:rPr>
          <w:rFonts w:hint="eastAsia"/>
          <w:rtl/>
        </w:rPr>
        <w:t>“</w:t>
      </w:r>
      <w:r w:rsidRPr="002C6A5F">
        <w:rPr>
          <w:rFonts w:hint="cs"/>
          <w:rtl/>
        </w:rPr>
        <w:t xml:space="preserve"> </w:t>
      </w:r>
    </w:p>
    <w:p w:rsidR="005E6F3C" w:rsidRDefault="005E6F3C" w:rsidP="005E6F3C">
      <w:pPr>
        <w:pStyle w:val="SingleTxt"/>
        <w:rPr>
          <w:rFonts w:hint="cs"/>
          <w:rtl/>
        </w:rPr>
      </w:pPr>
      <w:r>
        <w:rPr>
          <w:rFonts w:hint="cs"/>
          <w:rtl/>
        </w:rPr>
        <w:t>10-27  ينح النظام المدرسي منحىً أكاديمياً ولا يوفر أشكالاً بديلة من التعليم موجهة للتدريب المهني التقني. ويعني القرب الجغرافي من فيجي أن الطلاب سيتدربون، عندما تنشأ حاجة، في سوفا قبل أن يعودوا إلى توفالو.</w:t>
      </w:r>
    </w:p>
    <w:p w:rsidR="005E6F3C" w:rsidRDefault="005E6F3C" w:rsidP="00E84403">
      <w:pPr>
        <w:pStyle w:val="SingleTxt"/>
        <w:rPr>
          <w:rFonts w:hint="cs"/>
          <w:rtl/>
        </w:rPr>
      </w:pPr>
      <w:r>
        <w:rPr>
          <w:rFonts w:hint="cs"/>
          <w:rtl/>
        </w:rPr>
        <w:t xml:space="preserve">10-28  لا يوجد في توفالو طلاب متسربون، ولكن يوجد فقط </w:t>
      </w:r>
      <w:r w:rsidR="00E84403">
        <w:rPr>
          <w:rFonts w:hint="eastAsia"/>
          <w:rtl/>
        </w:rPr>
        <w:t>”</w:t>
      </w:r>
      <w:r>
        <w:rPr>
          <w:rFonts w:hint="cs"/>
          <w:rtl/>
        </w:rPr>
        <w:t>طلاب مفصولون</w:t>
      </w:r>
      <w:r w:rsidR="00E84403">
        <w:rPr>
          <w:rFonts w:hint="eastAsia"/>
          <w:rtl/>
        </w:rPr>
        <w:t>“</w:t>
      </w:r>
      <w:r>
        <w:rPr>
          <w:rFonts w:hint="cs"/>
          <w:rtl/>
        </w:rPr>
        <w:t>. وهؤلاء طلاب لا يستطيعون استيفاء شروط نظام التعليم، وبالتالي يفصلون من المدرسة. ويتضح هذا بصورة خاصة على مستوى المدارس الثانوية، إلا أنه لا تتوفر بيانات عن الطلاب المفصولين نظراً لعدم وجود نظام رصد مناسبين.</w:t>
      </w:r>
    </w:p>
    <w:p w:rsidR="005E6F3C" w:rsidRPr="005E6F3C" w:rsidRDefault="005E6F3C" w:rsidP="005E6F3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jc w:val="lowKashida"/>
        <w:rPr>
          <w:rFonts w:hint="cs"/>
          <w:sz w:val="10"/>
          <w:rtl/>
        </w:rPr>
      </w:pPr>
    </w:p>
    <w:p w:rsidR="005E6F3C" w:rsidRPr="002C6A5F" w:rsidRDefault="005E6F3C" w:rsidP="005E6F3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2C6A5F">
        <w:rPr>
          <w:rFonts w:hint="cs"/>
          <w:rtl/>
        </w:rPr>
        <w:t>المنهاج المدرسي</w:t>
      </w:r>
    </w:p>
    <w:p w:rsidR="005E6F3C" w:rsidRDefault="005E6F3C" w:rsidP="005E6F3C">
      <w:pPr>
        <w:pStyle w:val="SingleTxt"/>
        <w:rPr>
          <w:rFonts w:hint="cs"/>
          <w:rtl/>
        </w:rPr>
      </w:pPr>
      <w:r>
        <w:rPr>
          <w:rFonts w:hint="cs"/>
          <w:rtl/>
        </w:rPr>
        <w:t>10-29  يعطي الفرع 18 من قانون التعليم (القانون رقم 38) مزيداً من الصلاحيات للوزير، الذي يجوز له، بعد التشاور مع لجنة التعليم الاستشارية، أن يحدد أو يقر المنهاج الأساسي الذي يتعين أن تتبعه المدارس في جميع أنحاء توفالو. ويقوم المنهاج الدراسي الحالي على أساس سياسة التعليم للجميع ويطبق من خلال خطته الاستراتيجية. مادتا العلوم والتكنولوجيا ليستا من ميادين الدراسة التي تشجع كثيراً من الطالبات على مواصلة الدراسة في المرحلة الثانوية. وهذه مسألة تكرس إدارة التعليم نفسها لمواصلة دراستها واستكشاف كيف يمكن تشجيع الطالبات على دراسة هذه المواضيع.</w:t>
      </w:r>
    </w:p>
    <w:p w:rsidR="005E6F3C" w:rsidRDefault="005E6F3C" w:rsidP="005E6F3C">
      <w:pPr>
        <w:pStyle w:val="SingleTxt"/>
        <w:rPr>
          <w:rFonts w:hint="cs"/>
          <w:rtl/>
        </w:rPr>
      </w:pPr>
      <w:r>
        <w:rPr>
          <w:rFonts w:hint="cs"/>
          <w:rtl/>
        </w:rPr>
        <w:t>10-30  من المهم أن يطلع الطلاب والطالبات على التدريب المهني في سن مبكر. ويترتب على ذلك ضرورة إعادة النظر في المنهاج المدرسي. وتعكف إدارة التعليم، كما جاء في خطتها الاستراتيجية، على مراجعة المنهاج المدرسي، بما في ذلك المواد والمساقات الدراسية المعمول بها لتجنب الأدوار النمطية لكل من الجنسين. فعلى سبيل المثال، النصوص التي توضح أدواراً نمطية تقتصر على مهن تهيمن عليها الإناث/ الذكور سيستعاض عنها بمساقات دراسية لا تبرز أدواراً نمطية.</w:t>
      </w:r>
    </w:p>
    <w:p w:rsidR="005E6F3C" w:rsidRPr="005E6F3C" w:rsidRDefault="005E6F3C" w:rsidP="005E6F3C">
      <w:pPr>
        <w:spacing w:line="120" w:lineRule="exact"/>
        <w:rPr>
          <w:rFonts w:hint="cs"/>
          <w:sz w:val="10"/>
          <w:szCs w:val="32"/>
          <w:rtl/>
        </w:rPr>
      </w:pPr>
    </w:p>
    <w:p w:rsidR="005E6F3C" w:rsidRPr="002C6A5F" w:rsidRDefault="005E6F3C" w:rsidP="005E6F3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2C6A5F">
        <w:rPr>
          <w:rFonts w:hint="cs"/>
          <w:rtl/>
        </w:rPr>
        <w:t>الرياضة</w:t>
      </w:r>
    </w:p>
    <w:p w:rsidR="005E6F3C" w:rsidRDefault="00035A88" w:rsidP="00035A88">
      <w:pPr>
        <w:pStyle w:val="SingleTxt"/>
        <w:rPr>
          <w:rFonts w:hint="cs"/>
          <w:rtl/>
        </w:rPr>
      </w:pPr>
      <w:r>
        <w:rPr>
          <w:rFonts w:hint="cs"/>
          <w:rtl/>
        </w:rPr>
        <w:t xml:space="preserve">10-31  </w:t>
      </w:r>
      <w:r w:rsidR="005E6F3C">
        <w:rPr>
          <w:rFonts w:hint="cs"/>
          <w:rtl/>
        </w:rPr>
        <w:t>الرياضة جزء من المنهاج المدرسي وشاركت فيها الفتيات والأولاد الملتحقين بجامعة جنوب الهادئ في سوفا في عام 2003.</w:t>
      </w:r>
    </w:p>
    <w:p w:rsidR="00035A88" w:rsidRPr="00035A88" w:rsidRDefault="00035A88" w:rsidP="00035A88">
      <w:pPr>
        <w:spacing w:line="120" w:lineRule="exact"/>
        <w:rPr>
          <w:rFonts w:hint="cs"/>
          <w:b/>
          <w:bCs/>
          <w:sz w:val="10"/>
          <w:szCs w:val="32"/>
          <w:rtl/>
        </w:rPr>
      </w:pPr>
    </w:p>
    <w:p w:rsidR="005E6F3C" w:rsidRPr="002C6A5F" w:rsidRDefault="00035A88" w:rsidP="00035A8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5E6F3C" w:rsidRPr="002C6A5F">
        <w:rPr>
          <w:rFonts w:hint="cs"/>
          <w:rtl/>
        </w:rPr>
        <w:t>الحصول على المعلومات الصحية ومعلومات تنظيم الأسرة</w:t>
      </w:r>
    </w:p>
    <w:p w:rsidR="005E6F3C" w:rsidRDefault="00035A88" w:rsidP="00035A88">
      <w:pPr>
        <w:pStyle w:val="SingleTxt"/>
        <w:rPr>
          <w:rFonts w:hint="cs"/>
          <w:rtl/>
        </w:rPr>
      </w:pPr>
      <w:r>
        <w:rPr>
          <w:rFonts w:hint="cs"/>
          <w:rtl/>
        </w:rPr>
        <w:t xml:space="preserve">10-32  </w:t>
      </w:r>
      <w:r w:rsidR="005E6F3C">
        <w:rPr>
          <w:rFonts w:hint="cs"/>
          <w:rtl/>
        </w:rPr>
        <w:t>يحصل الشباب والشابات الملتحقين بمؤسسات التعليم الجامعي على المعلومات الصحية من  مستوصف الشباب، وتتوفر المعلومات عن تنظيم الأسرة أيضاً في جميع أنحاء البلاد، حيث بوسع المرأة الحصول على هذه الخدمات من المراكز الصحية. وتجدر ملاحظة حدوث زيادة في عدد الرجال، لا سيما الشباب، الذين يحضرون حلقات العمل الخاصة بتنظيم الأسرة.</w:t>
      </w:r>
    </w:p>
    <w:p w:rsidR="005E6F3C" w:rsidRDefault="00035A88" w:rsidP="00035A8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tl/>
        </w:rPr>
        <w:br w:type="page"/>
      </w:r>
      <w:r>
        <w:rPr>
          <w:rFonts w:hint="cs"/>
          <w:rtl/>
        </w:rPr>
        <w:tab/>
      </w:r>
      <w:r>
        <w:rPr>
          <w:rFonts w:hint="cs"/>
          <w:rtl/>
        </w:rPr>
        <w:tab/>
      </w:r>
      <w:r w:rsidR="005E6F3C" w:rsidRPr="003110D8">
        <w:rPr>
          <w:rFonts w:hint="cs"/>
          <w:rtl/>
        </w:rPr>
        <w:t xml:space="preserve">المادة 11 </w:t>
      </w:r>
    </w:p>
    <w:p w:rsidR="005E6F3C" w:rsidRDefault="005E6F3C" w:rsidP="005E6F3C">
      <w:pPr>
        <w:rPr>
          <w:rFonts w:hint="cs"/>
          <w:sz w:val="32"/>
          <w:szCs w:val="32"/>
          <w:rtl/>
        </w:rPr>
      </w:pPr>
    </w:p>
    <w:tbl>
      <w:tblPr>
        <w:tblStyle w:val="TableGrid"/>
        <w:bidiVisual/>
        <w:tblW w:w="9504" w:type="dxa"/>
        <w:jc w:val="center"/>
        <w:tblLook w:val="01E0" w:firstRow="1" w:lastRow="1" w:firstColumn="1" w:lastColumn="1" w:noHBand="0" w:noVBand="0"/>
      </w:tblPr>
      <w:tblGrid>
        <w:gridCol w:w="9504"/>
      </w:tblGrid>
      <w:tr w:rsidR="005E6F3C" w:rsidRPr="006D0C5D">
        <w:trPr>
          <w:jc w:val="center"/>
        </w:trPr>
        <w:tc>
          <w:tcPr>
            <w:tcW w:w="9504" w:type="dxa"/>
          </w:tcPr>
          <w:p w:rsidR="005E6F3C" w:rsidRPr="006D0C5D" w:rsidRDefault="005E6F3C" w:rsidP="006D0C5D">
            <w:pPr>
              <w:pStyle w:val="SingleTxt"/>
              <w:rPr>
                <w:rFonts w:cs="Traditional Arabic" w:hint="cs"/>
                <w:rtl/>
              </w:rPr>
            </w:pPr>
            <w:r w:rsidRPr="006D0C5D">
              <w:rPr>
                <w:rFonts w:cs="Traditional Arabic" w:hint="cs"/>
                <w:rtl/>
              </w:rPr>
              <w:t>1</w:t>
            </w:r>
            <w:r w:rsidR="006D0C5D">
              <w:rPr>
                <w:rFonts w:cs="Traditional Arabic" w:hint="cs"/>
                <w:rtl/>
              </w:rPr>
              <w:t xml:space="preserve"> </w:t>
            </w:r>
            <w:r w:rsidRPr="006D0C5D">
              <w:rPr>
                <w:rFonts w:cs="Traditional Arabic" w:hint="cs"/>
                <w:rtl/>
              </w:rPr>
              <w:t>-</w:t>
            </w:r>
            <w:r w:rsidRPr="006D0C5D">
              <w:rPr>
                <w:rFonts w:cs="Traditional Arabic" w:hint="cs"/>
                <w:rtl/>
              </w:rPr>
              <w:tab/>
              <w:t>تتخذ الدول الأطراف جميع ما يقتضي الحال اتخاذه من تدابير للقضاء على التمييز ضد المرأة في ميدان العمل لكي تكفل لها، على أساس تساوي الرجل والمرأة، نفس الحقوق ولا سيما:</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(أ)</w:t>
            </w:r>
            <w:r w:rsidR="005E6F3C" w:rsidRPr="006D0C5D">
              <w:rPr>
                <w:rFonts w:cs="Traditional Arabic" w:hint="cs"/>
                <w:rtl/>
              </w:rPr>
              <w:tab/>
              <w:t>الحق في العمل بوصفه حقاً غير قابل للتصرف لكل البشر؛</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(ب)</w:t>
            </w:r>
            <w:r w:rsidR="005E6F3C" w:rsidRPr="006D0C5D">
              <w:rPr>
                <w:rFonts w:cs="Traditional Arabic" w:hint="cs"/>
                <w:rtl/>
              </w:rPr>
              <w:tab/>
              <w:t>الحق في التمتع بنفس فرص التوظيف، بما في ذلك تطبيق معايير  الاختيار نفسها في شؤون التوظيف؛</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(ج)</w:t>
            </w:r>
            <w:r w:rsidR="005E6F3C" w:rsidRPr="006D0C5D">
              <w:rPr>
                <w:rFonts w:cs="Traditional Arabic" w:hint="cs"/>
                <w:rtl/>
              </w:rPr>
              <w:tab/>
              <w:t>الحق في حرية اختيار المهنة والعمل، والحق في الترقي والأمن الوظيفي، وفي جميع مزايا وشروط الخدمة، والحق في تلقي التدريب وإعادة التدريب المهني، بما في ذلك التلميذة الصناعية والتدريب المهني المتقدم والتدريب المتكرر؛</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(د)</w:t>
            </w:r>
            <w:r w:rsidR="005E6F3C" w:rsidRPr="006D0C5D">
              <w:rPr>
                <w:rFonts w:cs="Traditional Arabic" w:hint="cs"/>
                <w:rtl/>
              </w:rPr>
              <w:tab/>
              <w:t>الحق في المساواة في الأجر، بما في ذلك الاستحقاقات، والحق في المساواة فيا لمعاملة فيما يتعلق بالعمل المتعادل القيمة، وكذلك المساواة في المعاملة في تقييم نوعية العمل؛</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(هـ)</w:t>
            </w:r>
            <w:r w:rsidR="005E6F3C" w:rsidRPr="006D0C5D">
              <w:rPr>
                <w:rFonts w:cs="Traditional Arabic" w:hint="cs"/>
                <w:rtl/>
              </w:rPr>
              <w:tab/>
              <w:t>الحق في الضمان الاجتماعي، ولا سيما في حالات التقاعد، والبطالة، والمرض، والعجز، والشيخوخة، وأي شكل آخر من أشكال عدم القدرة على العمل، وكذلك الحق في إجازة مدفوعة الأجر؛</w:t>
            </w:r>
          </w:p>
          <w:p w:rsidR="005E6F3C" w:rsidRPr="006D0C5D" w:rsidRDefault="006D0C5D" w:rsidP="006D0C5D">
            <w:pPr>
              <w:pStyle w:val="SingleTxt"/>
              <w:rPr>
                <w:rFonts w:cs="Traditional Arabic" w:hint="cs"/>
                <w:rtl/>
              </w:rPr>
            </w:pPr>
            <w:r>
              <w:rPr>
                <w:rFonts w:cs="Traditional Arabic"/>
                <w:rtl/>
              </w:rPr>
              <w:tab/>
            </w:r>
            <w:r w:rsidR="005E6F3C" w:rsidRPr="006D0C5D">
              <w:rPr>
                <w:rFonts w:cs="Traditional Arabic" w:hint="cs"/>
                <w:rtl/>
              </w:rPr>
              <w:t>(و)</w:t>
            </w:r>
            <w:r w:rsidR="005E6F3C" w:rsidRPr="006D0C5D">
              <w:rPr>
                <w:rFonts w:cs="Traditional Arabic" w:hint="cs"/>
                <w:rtl/>
              </w:rPr>
              <w:tab/>
              <w:t>الحق في الوقاية الصحية وسلامة ظروف العمل، بما في ذلك حماية وظيفة الإنجاب.</w:t>
            </w:r>
          </w:p>
          <w:p w:rsidR="005E6F3C" w:rsidRPr="006D0C5D" w:rsidRDefault="005E6F3C" w:rsidP="006D0C5D">
            <w:pPr>
              <w:pStyle w:val="SingleTxt"/>
              <w:rPr>
                <w:rFonts w:cs="Traditional Arabic" w:hint="cs"/>
                <w:rtl/>
              </w:rPr>
            </w:pPr>
            <w:r w:rsidRPr="006D0C5D">
              <w:rPr>
                <w:rFonts w:cs="Traditional Arabic" w:hint="cs"/>
                <w:rtl/>
              </w:rPr>
              <w:t>2</w:t>
            </w:r>
            <w:r w:rsidR="006D0C5D">
              <w:rPr>
                <w:rFonts w:cs="Traditional Arabic" w:hint="cs"/>
                <w:rtl/>
              </w:rPr>
              <w:t xml:space="preserve"> </w:t>
            </w:r>
            <w:r w:rsidRPr="006D0C5D">
              <w:rPr>
                <w:rFonts w:cs="Traditional Arabic" w:hint="cs"/>
                <w:rtl/>
              </w:rPr>
              <w:t>-</w:t>
            </w:r>
            <w:r w:rsidRPr="006D0C5D">
              <w:rPr>
                <w:rFonts w:cs="Traditional Arabic" w:hint="cs"/>
                <w:rtl/>
              </w:rPr>
              <w:tab/>
              <w:t>توخياً لمنع التمييز ضد المرأة بسبب الزواج أو الأمومة، ولضمان حقها الفعلي في العمل، تتخذ الدول الأطراف التدابير المناسبة:</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(أ)</w:t>
            </w:r>
            <w:r w:rsidR="005E6F3C" w:rsidRPr="006D0C5D">
              <w:rPr>
                <w:rFonts w:cs="Traditional Arabic" w:hint="cs"/>
                <w:rtl/>
              </w:rPr>
              <w:tab/>
              <w:t>لحظر الفصل من الخدمة بسبب الحمل أو إجازة الأمومة والتمييز في الفصل من العمل على أساس الحالة الزوجية، مع فرض جزاءات على المخالفين؛</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(ب)</w:t>
            </w:r>
            <w:r w:rsidR="005E6F3C" w:rsidRPr="006D0C5D">
              <w:rPr>
                <w:rFonts w:cs="Traditional Arabic" w:hint="cs"/>
                <w:rtl/>
              </w:rPr>
              <w:tab/>
              <w:t>لإدخال نظام إجازة الأمومة المدفوعة الأجر أو مع التمتع بمزايا اجتماعية مماثلة دون أن تفقد المرأة الوظيفة التي تشغلها أو أقدميتها أو العلاوات الاجتماعية؛</w:t>
            </w:r>
          </w:p>
          <w:p w:rsidR="005E6F3C" w:rsidRPr="006D0C5D" w:rsidRDefault="006D0C5D" w:rsidP="00EF1205">
            <w:pPr>
              <w:pStyle w:val="SingleTxt"/>
              <w:spacing w:line="360" w:lineRule="exact"/>
              <w:rPr>
                <w:rFonts w:cs="Traditional Arabic" w:hint="cs"/>
                <w:rtl/>
              </w:rPr>
            </w:pPr>
            <w:r>
              <w:rPr>
                <w:rFonts w:cs="Traditional Arabic"/>
                <w:rtl/>
              </w:rPr>
              <w:tab/>
            </w:r>
            <w:r w:rsidR="005E6F3C" w:rsidRPr="006D0C5D">
              <w:rPr>
                <w:rFonts w:cs="Traditional Arabic" w:hint="cs"/>
                <w:rtl/>
              </w:rPr>
              <w:t>(ج)</w:t>
            </w:r>
            <w:r w:rsidR="005E6F3C" w:rsidRPr="006D0C5D">
              <w:rPr>
                <w:rFonts w:cs="Traditional Arabic" w:hint="cs"/>
                <w:rtl/>
              </w:rPr>
              <w:tab/>
              <w:t>لتشجيع توفير ما يلزم من الخدمات الاجتماعية المساندة لتمكين الوالدين من الجمع بين التزاماتهما الأسرية وبين مسؤوليات العمل والمشاركة في الحياة العامة، ولا سيما عن طريق تشجيع إنشاء وتنمية شبكة من مرافق رعاية الأطفال؛</w:t>
            </w:r>
          </w:p>
          <w:p w:rsidR="005E6F3C" w:rsidRPr="006D0C5D" w:rsidRDefault="006D0C5D" w:rsidP="006D0C5D">
            <w:pPr>
              <w:pStyle w:val="SingleTxt"/>
              <w:rPr>
                <w:rFonts w:cs="Traditional Arabic" w:hint="cs"/>
                <w:rtl/>
              </w:rPr>
            </w:pPr>
            <w:r>
              <w:rPr>
                <w:rFonts w:cs="Traditional Arabic"/>
                <w:rtl/>
              </w:rPr>
              <w:tab/>
            </w:r>
            <w:r w:rsidR="005E6F3C" w:rsidRPr="006D0C5D">
              <w:rPr>
                <w:rFonts w:cs="Traditional Arabic" w:hint="cs"/>
                <w:rtl/>
              </w:rPr>
              <w:t>(د)</w:t>
            </w:r>
            <w:r w:rsidR="005E6F3C" w:rsidRPr="006D0C5D">
              <w:rPr>
                <w:rFonts w:cs="Traditional Arabic" w:hint="cs"/>
                <w:rtl/>
              </w:rPr>
              <w:tab/>
              <w:t>لتوفير حماية خاصة للمرأة أثناء فترة الحمل في الأعمال التي يثبت أنها مؤذية لها.</w:t>
            </w:r>
          </w:p>
          <w:p w:rsidR="005E6F3C" w:rsidRPr="006D0C5D" w:rsidRDefault="005E6F3C" w:rsidP="006D0C5D">
            <w:pPr>
              <w:pStyle w:val="SingleTxt"/>
              <w:rPr>
                <w:rFonts w:cs="Traditional Arabic" w:hint="cs"/>
                <w:rtl/>
              </w:rPr>
            </w:pPr>
            <w:r w:rsidRPr="006D0C5D">
              <w:rPr>
                <w:rFonts w:cs="Traditional Arabic" w:hint="cs"/>
                <w:rtl/>
              </w:rPr>
              <w:t>3 -</w:t>
            </w:r>
            <w:r w:rsidRPr="006D0C5D">
              <w:rPr>
                <w:rFonts w:cs="Traditional Arabic" w:hint="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tc>
      </w:tr>
    </w:tbl>
    <w:p w:rsidR="006D0C5D" w:rsidRPr="006D0C5D" w:rsidRDefault="006D0C5D" w:rsidP="006D0C5D">
      <w:pPr>
        <w:spacing w:line="120" w:lineRule="exact"/>
        <w:rPr>
          <w:rFonts w:hint="cs"/>
          <w:sz w:val="10"/>
          <w:szCs w:val="32"/>
          <w:rtl/>
        </w:rPr>
      </w:pPr>
    </w:p>
    <w:p w:rsidR="005E6F3C" w:rsidRDefault="006D0C5D" w:rsidP="00EF1205">
      <w:pPr>
        <w:pStyle w:val="SingleTxt"/>
        <w:rPr>
          <w:rFonts w:hint="cs"/>
          <w:rtl/>
        </w:rPr>
      </w:pPr>
      <w:r>
        <w:rPr>
          <w:rFonts w:hint="cs"/>
          <w:rtl/>
        </w:rPr>
        <w:t xml:space="preserve">11-1  </w:t>
      </w:r>
      <w:r w:rsidR="005E6F3C">
        <w:rPr>
          <w:rFonts w:hint="cs"/>
          <w:rtl/>
        </w:rPr>
        <w:t>قانون العمالة لعام 1966، الذي ظل ساري المفعول بعد الاستقلال في عام 1978، يوفر الإطار التنظيمي للعمالة في توفالو. إلا أن القانون لا ينطبق على خدم المنازل أو الذين يؤدون أعمالاً كتابية عندما يتم التعاقد معهم لأداء وظيفة معينة تتجاوز الأجور المدفوعة نظير أدائها مبلغ 400 دولار أسترالي سنوياً</w:t>
      </w:r>
      <w:r w:rsidR="00EF1205" w:rsidRPr="00EF1205">
        <w:rPr>
          <w:vertAlign w:val="superscript"/>
          <w:rtl/>
        </w:rPr>
        <w:t>(</w:t>
      </w:r>
      <w:r w:rsidR="00EF1205">
        <w:rPr>
          <w:rStyle w:val="FootnoteReference"/>
          <w:rtl/>
        </w:rPr>
        <w:footnoteReference w:id="90"/>
      </w:r>
      <w:r w:rsidR="00EF1205" w:rsidRPr="00EF1205">
        <w:rPr>
          <w:vertAlign w:val="superscript"/>
          <w:rtl/>
        </w:rPr>
        <w:t>)</w:t>
      </w:r>
      <w:r w:rsidR="005E6F3C">
        <w:rPr>
          <w:rFonts w:hint="cs"/>
          <w:rtl/>
        </w:rPr>
        <w:t>.</w:t>
      </w:r>
    </w:p>
    <w:p w:rsidR="005E6F3C" w:rsidRDefault="006D0C5D" w:rsidP="006D0C5D">
      <w:pPr>
        <w:pStyle w:val="SingleTxt"/>
        <w:rPr>
          <w:rFonts w:hint="cs"/>
          <w:rtl/>
        </w:rPr>
      </w:pPr>
      <w:r>
        <w:rPr>
          <w:rFonts w:hint="cs"/>
          <w:rtl/>
        </w:rPr>
        <w:t xml:space="preserve">11-2  </w:t>
      </w:r>
      <w:r w:rsidR="005E6F3C">
        <w:rPr>
          <w:rFonts w:hint="cs"/>
          <w:rtl/>
        </w:rPr>
        <w:t>ويتضمن القانون أحكاماً خاصة بمعاملة المرأة والطفل في ظل ظروف معينة. فالفرع 77 من القانون ينص على عدم استخدام المرأة أثناء الليل في أي عمل، إلا إذا كان العمل الليلي:</w:t>
      </w:r>
    </w:p>
    <w:p w:rsidR="005E6F3C" w:rsidRDefault="006D0C5D" w:rsidP="006D0C5D">
      <w:pPr>
        <w:pStyle w:val="SingleTxt"/>
        <w:rPr>
          <w:rFonts w:hint="cs"/>
          <w:rtl/>
        </w:rPr>
      </w:pPr>
      <w:r>
        <w:rPr>
          <w:rFonts w:hint="cs"/>
          <w:rtl/>
        </w:rPr>
        <w:tab/>
        <w:t>(أ)</w:t>
      </w:r>
      <w:r>
        <w:rPr>
          <w:rFonts w:hint="cs"/>
          <w:rtl/>
        </w:rPr>
        <w:tab/>
      </w:r>
      <w:r w:rsidR="005E6F3C">
        <w:rPr>
          <w:rFonts w:hint="cs"/>
          <w:rtl/>
        </w:rPr>
        <w:t>يتعلق بمواد خام أو مواد تستخدم في المعالجة ومعرضة للتلف بسرعة؛ أو</w:t>
      </w:r>
    </w:p>
    <w:p w:rsidR="005E6F3C" w:rsidRDefault="006D0C5D" w:rsidP="006D0C5D">
      <w:pPr>
        <w:pStyle w:val="SingleTxt"/>
        <w:rPr>
          <w:rFonts w:hint="cs"/>
          <w:rtl/>
        </w:rPr>
      </w:pPr>
      <w:r>
        <w:rPr>
          <w:rFonts w:hint="cs"/>
          <w:rtl/>
        </w:rPr>
        <w:tab/>
        <w:t>(ب)</w:t>
      </w:r>
      <w:r>
        <w:rPr>
          <w:rFonts w:hint="cs"/>
          <w:rtl/>
        </w:rPr>
        <w:tab/>
      </w:r>
      <w:r w:rsidR="005E6F3C">
        <w:rPr>
          <w:rFonts w:hint="cs"/>
          <w:rtl/>
        </w:rPr>
        <w:t>تقتضيه حالة طارئة كان من المتعذر توقعها وليس لها طابع التكرار؛ أو</w:t>
      </w:r>
    </w:p>
    <w:p w:rsidR="005E6F3C" w:rsidRDefault="006D0C5D" w:rsidP="006D0C5D">
      <w:pPr>
        <w:pStyle w:val="SingleTxt"/>
        <w:rPr>
          <w:rFonts w:hint="cs"/>
          <w:rtl/>
        </w:rPr>
      </w:pPr>
      <w:r>
        <w:rPr>
          <w:rFonts w:hint="cs"/>
          <w:rtl/>
        </w:rPr>
        <w:tab/>
        <w:t>(ج)</w:t>
      </w:r>
      <w:r>
        <w:rPr>
          <w:rFonts w:hint="cs"/>
          <w:rtl/>
        </w:rPr>
        <w:tab/>
      </w:r>
      <w:r w:rsidR="005E6F3C">
        <w:rPr>
          <w:rFonts w:hint="cs"/>
          <w:rtl/>
        </w:rPr>
        <w:t>يتعلق بوظيفة إدارية مسؤولة تؤديها امرأة لا تشارك في العادة بعمل يدوي؛ أو</w:t>
      </w:r>
    </w:p>
    <w:p w:rsidR="005E6F3C" w:rsidRDefault="006D0C5D" w:rsidP="006D0C5D">
      <w:pPr>
        <w:pStyle w:val="SingleTxt"/>
        <w:rPr>
          <w:rFonts w:hint="cs"/>
          <w:rtl/>
        </w:rPr>
      </w:pPr>
      <w:r>
        <w:rPr>
          <w:rFonts w:hint="cs"/>
          <w:rtl/>
        </w:rPr>
        <w:tab/>
        <w:t>(د)</w:t>
      </w:r>
      <w:r>
        <w:rPr>
          <w:rFonts w:hint="cs"/>
          <w:rtl/>
        </w:rPr>
        <w:tab/>
      </w:r>
      <w:r w:rsidR="005E6F3C">
        <w:rPr>
          <w:rFonts w:hint="cs"/>
          <w:rtl/>
        </w:rPr>
        <w:t>يتعلق بالتمريض أو العناية بالمرضى، أو يتعلق بجوانب صحية أخرى أو رفاهية؛ أو</w:t>
      </w:r>
    </w:p>
    <w:p w:rsidR="005E6F3C" w:rsidRDefault="006D0C5D" w:rsidP="006D0C5D">
      <w:pPr>
        <w:pStyle w:val="SingleTxt"/>
        <w:rPr>
          <w:rFonts w:hint="cs"/>
          <w:rtl/>
        </w:rPr>
      </w:pPr>
      <w:r>
        <w:rPr>
          <w:rFonts w:hint="cs"/>
          <w:rtl/>
        </w:rPr>
        <w:tab/>
        <w:t>(هـ)</w:t>
      </w:r>
      <w:r>
        <w:rPr>
          <w:rFonts w:hint="cs"/>
          <w:rtl/>
        </w:rPr>
        <w:tab/>
      </w:r>
      <w:r w:rsidR="005E6F3C">
        <w:rPr>
          <w:rFonts w:hint="cs"/>
          <w:rtl/>
        </w:rPr>
        <w:t>أو يؤدى في سينما أو مسرح آخر في وقت يكون فيه المسرح مفتوحاً للجمهور؛ أو</w:t>
      </w:r>
    </w:p>
    <w:p w:rsidR="005E6F3C" w:rsidRDefault="006D0C5D" w:rsidP="006D0C5D">
      <w:pPr>
        <w:pStyle w:val="SingleTxt"/>
        <w:rPr>
          <w:rFonts w:hint="cs"/>
          <w:rtl/>
        </w:rPr>
      </w:pPr>
      <w:r>
        <w:rPr>
          <w:rFonts w:hint="cs"/>
          <w:rtl/>
        </w:rPr>
        <w:tab/>
        <w:t>(و)</w:t>
      </w:r>
      <w:r>
        <w:rPr>
          <w:rFonts w:hint="cs"/>
          <w:rtl/>
        </w:rPr>
        <w:tab/>
      </w:r>
      <w:r w:rsidR="005E6F3C">
        <w:rPr>
          <w:rFonts w:hint="cs"/>
          <w:rtl/>
        </w:rPr>
        <w:t>يرتبط بفندق أو بيت ضيافة أو حانة أو مطعم أو نادٍ؛ أو</w:t>
      </w:r>
    </w:p>
    <w:p w:rsidR="005E6F3C" w:rsidRDefault="006D0C5D" w:rsidP="006D0C5D">
      <w:pPr>
        <w:pStyle w:val="SingleTxt"/>
        <w:rPr>
          <w:rFonts w:hint="cs"/>
          <w:rtl/>
        </w:rPr>
      </w:pPr>
      <w:r>
        <w:rPr>
          <w:rFonts w:hint="cs"/>
          <w:rtl/>
        </w:rPr>
        <w:tab/>
        <w:t>(ز)</w:t>
      </w:r>
      <w:r>
        <w:rPr>
          <w:rFonts w:hint="cs"/>
          <w:rtl/>
        </w:rPr>
        <w:tab/>
      </w:r>
      <w:r w:rsidR="005E6F3C">
        <w:rPr>
          <w:rFonts w:hint="cs"/>
          <w:rtl/>
        </w:rPr>
        <w:t>تقوم به صيدلانية مرخصة؛ أو</w:t>
      </w:r>
    </w:p>
    <w:p w:rsidR="005E6F3C" w:rsidRDefault="006D0C5D" w:rsidP="006D0C5D">
      <w:pPr>
        <w:pStyle w:val="SingleTxt"/>
        <w:rPr>
          <w:rFonts w:hint="cs"/>
          <w:rtl/>
        </w:rPr>
      </w:pPr>
      <w:r>
        <w:rPr>
          <w:rFonts w:hint="cs"/>
          <w:rtl/>
        </w:rPr>
        <w:tab/>
        <w:t>(ح)</w:t>
      </w:r>
      <w:r>
        <w:rPr>
          <w:rFonts w:hint="cs"/>
          <w:rtl/>
        </w:rPr>
        <w:tab/>
      </w:r>
      <w:r w:rsidR="005E6F3C">
        <w:rPr>
          <w:rFonts w:hint="cs"/>
          <w:rtl/>
        </w:rPr>
        <w:t>لا تحظره اتفاقية دولية تطبق في توفالو ومحدد ببيان من الوزير يأمر فيه القيام بعمل يمكن استخدام المرأة فيه.</w:t>
      </w:r>
    </w:p>
    <w:p w:rsidR="005E6F3C" w:rsidRDefault="006D0C5D" w:rsidP="006D0C5D">
      <w:pPr>
        <w:pStyle w:val="SingleTxt"/>
        <w:rPr>
          <w:rFonts w:hint="cs"/>
          <w:rtl/>
        </w:rPr>
      </w:pPr>
      <w:r>
        <w:rPr>
          <w:rFonts w:hint="cs"/>
          <w:rtl/>
        </w:rPr>
        <w:tab/>
      </w:r>
      <w:r w:rsidR="005E6F3C">
        <w:rPr>
          <w:rFonts w:hint="cs"/>
          <w:rtl/>
        </w:rPr>
        <w:t>ويجوز للوزير أن يحدد مزيداً من الاستثناءات. وينص الفرع 78 على أنه يجوز للوزير أن يأمر من وقت لآخر بوقف الحظر على استخدام المرأة أثناء الليل إذا كانت مصلحة الجمهور تتطلب ذلك في حالة طارئة خطيرة.</w:t>
      </w:r>
    </w:p>
    <w:p w:rsidR="005E6F3C" w:rsidRDefault="006D0C5D" w:rsidP="00084D51">
      <w:pPr>
        <w:pStyle w:val="SingleTxt"/>
        <w:rPr>
          <w:rFonts w:hint="cs"/>
          <w:rtl/>
        </w:rPr>
      </w:pPr>
      <w:r>
        <w:rPr>
          <w:rFonts w:hint="cs"/>
          <w:rtl/>
        </w:rPr>
        <w:t>11-3</w:t>
      </w:r>
      <w:r>
        <w:rPr>
          <w:rFonts w:hint="cs"/>
          <w:rtl/>
        </w:rPr>
        <w:tab/>
      </w:r>
      <w:r w:rsidR="005E6F3C">
        <w:rPr>
          <w:rFonts w:hint="cs"/>
          <w:rtl/>
        </w:rPr>
        <w:t xml:space="preserve">ومع أن كلمة </w:t>
      </w:r>
      <w:r w:rsidR="00084D51">
        <w:rPr>
          <w:rFonts w:hint="eastAsia"/>
          <w:rtl/>
        </w:rPr>
        <w:t>”</w:t>
      </w:r>
      <w:r w:rsidR="005E6F3C">
        <w:rPr>
          <w:rFonts w:hint="cs"/>
          <w:rtl/>
        </w:rPr>
        <w:t>أسرة</w:t>
      </w:r>
      <w:r w:rsidR="00084D51">
        <w:rPr>
          <w:rFonts w:hint="eastAsia"/>
          <w:rtl/>
        </w:rPr>
        <w:t>“</w:t>
      </w:r>
      <w:r w:rsidR="005E6F3C">
        <w:rPr>
          <w:rFonts w:hint="cs"/>
          <w:rtl/>
        </w:rPr>
        <w:t xml:space="preserve"> معرفة بحيث تعني أن الإشارة إلى العمال لأغراض هذا القانون لا تشير إلا إلى الذكور، فإن قانون التفسير والأحكام العامة لعام 1988 يوضح أن أية كلمات أو مصطلحات ف</w:t>
      </w:r>
      <w:r w:rsidR="00084D51">
        <w:rPr>
          <w:rFonts w:hint="cs"/>
          <w:rtl/>
        </w:rPr>
        <w:t xml:space="preserve">ي أي قانون مكتوب </w:t>
      </w:r>
      <w:r w:rsidR="00084D51">
        <w:rPr>
          <w:rFonts w:hint="eastAsia"/>
          <w:rtl/>
        </w:rPr>
        <w:t>”</w:t>
      </w:r>
      <w:r w:rsidR="005E6F3C">
        <w:rPr>
          <w:rFonts w:hint="cs"/>
          <w:rtl/>
        </w:rPr>
        <w:t>تعني الذكور فإنها تشتمل أيضاً على الإناث</w:t>
      </w:r>
      <w:r w:rsidR="00084D51">
        <w:rPr>
          <w:rFonts w:hint="eastAsia"/>
          <w:rtl/>
        </w:rPr>
        <w:t>“</w:t>
      </w:r>
      <w:r w:rsidR="005E6F3C">
        <w:rPr>
          <w:rFonts w:hint="cs"/>
          <w:rtl/>
        </w:rPr>
        <w:t xml:space="preserve"> والعكس بالعكس</w:t>
      </w:r>
      <w:r w:rsidR="00EF1205" w:rsidRPr="00EF1205">
        <w:rPr>
          <w:vertAlign w:val="superscript"/>
          <w:rtl/>
        </w:rPr>
        <w:t>(</w:t>
      </w:r>
      <w:r w:rsidR="00EF1205">
        <w:rPr>
          <w:rStyle w:val="FootnoteReference"/>
          <w:rtl/>
        </w:rPr>
        <w:footnoteReference w:id="91"/>
      </w:r>
      <w:r w:rsidR="00EF1205" w:rsidRPr="00EF1205">
        <w:rPr>
          <w:vertAlign w:val="superscript"/>
          <w:rtl/>
        </w:rPr>
        <w:t>)</w:t>
      </w:r>
      <w:r w:rsidR="005E6F3C">
        <w:rPr>
          <w:rFonts w:hint="cs"/>
          <w:rtl/>
        </w:rPr>
        <w:t>.</w:t>
      </w:r>
    </w:p>
    <w:p w:rsidR="00084D51" w:rsidRPr="00084D51" w:rsidRDefault="00084D51" w:rsidP="00084D51">
      <w:pPr>
        <w:pStyle w:val="SingleTxt"/>
        <w:spacing w:after="0" w:line="120" w:lineRule="exact"/>
        <w:rPr>
          <w:rFonts w:hint="cs"/>
          <w:b/>
          <w:bCs/>
          <w:sz w:val="10"/>
          <w:rtl/>
        </w:rPr>
      </w:pPr>
    </w:p>
    <w:p w:rsidR="005E6F3C" w:rsidRDefault="006D0C5D" w:rsidP="006D0C5D">
      <w:pPr>
        <w:pStyle w:val="SingleTxt"/>
        <w:rPr>
          <w:rFonts w:hint="cs"/>
          <w:b/>
          <w:bCs/>
          <w:rtl/>
        </w:rPr>
      </w:pPr>
      <w:r w:rsidRPr="006D0C5D">
        <w:rPr>
          <w:rFonts w:hint="cs"/>
          <w:b/>
          <w:bCs/>
          <w:rtl/>
        </w:rPr>
        <w:t>مشاركة اليد العاملة</w:t>
      </w:r>
    </w:p>
    <w:p w:rsidR="005E6F3C" w:rsidRDefault="006D0C5D" w:rsidP="006D0C5D">
      <w:pPr>
        <w:pStyle w:val="SingleTxt"/>
        <w:rPr>
          <w:rFonts w:hint="cs"/>
          <w:rtl/>
        </w:rPr>
      </w:pPr>
      <w:r>
        <w:rPr>
          <w:rFonts w:hint="cs"/>
          <w:rtl/>
        </w:rPr>
        <w:t>11-4</w:t>
      </w:r>
      <w:r>
        <w:rPr>
          <w:rFonts w:hint="cs"/>
          <w:rtl/>
        </w:rPr>
        <w:tab/>
      </w:r>
      <w:r w:rsidR="005E6F3C">
        <w:rPr>
          <w:rFonts w:hint="cs"/>
          <w:rtl/>
        </w:rPr>
        <w:t>في عام 2002، بلغت مشاركة اليد العاملة في توفالو 58.2 في المائة، وكانت مؤشرات اليد العاملة للذكور أكثر إيجابية إلى حد كبير من مؤشرات الإناث، وذلك كما يتضح من الجدول أدناه.</w:t>
      </w:r>
    </w:p>
    <w:p w:rsidR="005E6F3C" w:rsidRDefault="005E6F3C" w:rsidP="005E6F3C">
      <w:pPr>
        <w:rPr>
          <w:rFonts w:hint="cs"/>
          <w:sz w:val="32"/>
          <w:szCs w:val="32"/>
          <w:rtl/>
        </w:rPr>
      </w:pPr>
    </w:p>
    <w:p w:rsidR="005E6F3C" w:rsidRDefault="005E6F3C" w:rsidP="006D0C5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sz w:val="28"/>
          <w:szCs w:val="28"/>
          <w:rtl/>
        </w:rPr>
      </w:pPr>
      <w:r w:rsidRPr="00EB1F13">
        <w:rPr>
          <w:rFonts w:hint="cs"/>
          <w:rtl/>
        </w:rPr>
        <w:t>الجدول 23: السكان المقيمون الذين يبلغون 15 عاماً من العمر فما فوق</w:t>
      </w:r>
      <w:r>
        <w:rPr>
          <w:rFonts w:hint="cs"/>
          <w:rtl/>
        </w:rPr>
        <w:t>،</w:t>
      </w:r>
      <w:r w:rsidRPr="00EB1F13">
        <w:rPr>
          <w:rFonts w:hint="cs"/>
          <w:rtl/>
        </w:rPr>
        <w:t xml:space="preserve"> موزع</w:t>
      </w:r>
      <w:r>
        <w:rPr>
          <w:rFonts w:hint="cs"/>
          <w:rtl/>
        </w:rPr>
        <w:t>و</w:t>
      </w:r>
      <w:r w:rsidRPr="00EB1F13">
        <w:rPr>
          <w:rFonts w:hint="cs"/>
          <w:rtl/>
        </w:rPr>
        <w:t>ن</w:t>
      </w:r>
      <w:r w:rsidR="006D0C5D">
        <w:rPr>
          <w:rFonts w:hint="cs"/>
          <w:rtl/>
        </w:rPr>
        <w:t xml:space="preserve"> </w:t>
      </w:r>
      <w:r>
        <w:rPr>
          <w:rFonts w:hint="cs"/>
          <w:sz w:val="28"/>
          <w:szCs w:val="28"/>
          <w:rtl/>
        </w:rPr>
        <w:t>حسب نوع الجنس</w:t>
      </w:r>
      <w:r w:rsidRPr="00EB1F13">
        <w:rPr>
          <w:rFonts w:hint="cs"/>
          <w:sz w:val="28"/>
          <w:szCs w:val="28"/>
          <w:rtl/>
        </w:rPr>
        <w:t xml:space="preserve"> </w:t>
      </w:r>
      <w:r>
        <w:rPr>
          <w:rFonts w:hint="cs"/>
          <w:sz w:val="28"/>
          <w:szCs w:val="28"/>
          <w:rtl/>
        </w:rPr>
        <w:t>و</w:t>
      </w:r>
      <w:r w:rsidRPr="00EB1F13">
        <w:rPr>
          <w:rFonts w:hint="cs"/>
          <w:sz w:val="28"/>
          <w:szCs w:val="28"/>
          <w:rtl/>
        </w:rPr>
        <w:t>الجزيرة/ المنطقة ومؤشرات اليد العاملة</w:t>
      </w:r>
    </w:p>
    <w:p w:rsidR="005E6F3C" w:rsidRPr="001E273B" w:rsidRDefault="005E6F3C" w:rsidP="005E6F3C">
      <w:pPr>
        <w:jc w:val="center"/>
        <w:rPr>
          <w:rFonts w:hint="cs"/>
          <w:b/>
          <w:bCs/>
          <w:sz w:val="32"/>
          <w:szCs w:val="32"/>
          <w:rtl/>
        </w:rPr>
      </w:pPr>
    </w:p>
    <w:tbl>
      <w:tblPr>
        <w:tblStyle w:val="TableGrid"/>
        <w:bidiVisual/>
        <w:tblW w:w="8640" w:type="dxa"/>
        <w:jc w:val="center"/>
        <w:tblLayout w:type="fixed"/>
        <w:tblLook w:val="01E0" w:firstRow="1" w:lastRow="1" w:firstColumn="1" w:lastColumn="1" w:noHBand="0" w:noVBand="0"/>
      </w:tblPr>
      <w:tblGrid>
        <w:gridCol w:w="1330"/>
        <w:gridCol w:w="813"/>
        <w:gridCol w:w="813"/>
        <w:gridCol w:w="812"/>
        <w:gridCol w:w="812"/>
        <w:gridCol w:w="812"/>
        <w:gridCol w:w="812"/>
        <w:gridCol w:w="812"/>
        <w:gridCol w:w="812"/>
        <w:gridCol w:w="812"/>
      </w:tblGrid>
      <w:tr w:rsidR="005E6F3C" w:rsidRPr="006D0C5D">
        <w:trPr>
          <w:jc w:val="center"/>
        </w:trPr>
        <w:tc>
          <w:tcPr>
            <w:tcW w:w="1296" w:type="dxa"/>
            <w:vMerge w:val="restart"/>
          </w:tcPr>
          <w:p w:rsidR="005E6F3C" w:rsidRPr="006D0C5D" w:rsidRDefault="005E6F3C" w:rsidP="00780CDB">
            <w:pPr>
              <w:jc w:val="center"/>
              <w:rPr>
                <w:rFonts w:cs="Traditional Arabic" w:hint="cs"/>
                <w:i/>
                <w:iCs/>
                <w:sz w:val="28"/>
                <w:szCs w:val="28"/>
                <w:rtl/>
              </w:rPr>
            </w:pPr>
          </w:p>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الجزيرة/المنطقة</w:t>
            </w:r>
          </w:p>
        </w:tc>
        <w:tc>
          <w:tcPr>
            <w:tcW w:w="2376" w:type="dxa"/>
            <w:gridSpan w:val="3"/>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معدل مشاركة اليد العاملة</w:t>
            </w:r>
          </w:p>
        </w:tc>
        <w:tc>
          <w:tcPr>
            <w:tcW w:w="2376" w:type="dxa"/>
            <w:gridSpan w:val="3"/>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نسبة العمالة/السكان</w:t>
            </w:r>
          </w:p>
        </w:tc>
        <w:tc>
          <w:tcPr>
            <w:tcW w:w="2376" w:type="dxa"/>
            <w:gridSpan w:val="3"/>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معدل البطالة</w:t>
            </w:r>
          </w:p>
        </w:tc>
      </w:tr>
      <w:tr w:rsidR="005E6F3C" w:rsidRPr="006D0C5D">
        <w:trPr>
          <w:jc w:val="center"/>
        </w:trPr>
        <w:tc>
          <w:tcPr>
            <w:tcW w:w="1296" w:type="dxa"/>
            <w:vMerge/>
          </w:tcPr>
          <w:p w:rsidR="005E6F3C" w:rsidRPr="006D0C5D" w:rsidRDefault="005E6F3C" w:rsidP="00780CDB">
            <w:pPr>
              <w:jc w:val="center"/>
              <w:rPr>
                <w:rFonts w:cs="Traditional Arabic" w:hint="cs"/>
                <w:i/>
                <w:iCs/>
                <w:sz w:val="28"/>
                <w:szCs w:val="28"/>
                <w:rtl/>
              </w:rPr>
            </w:pP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المجموع</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ذكر</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أنثى</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المجموع</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ذكر</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أنثى</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المجموع</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ذكر</w:t>
            </w:r>
          </w:p>
        </w:tc>
        <w:tc>
          <w:tcPr>
            <w:tcW w:w="792" w:type="dxa"/>
          </w:tcPr>
          <w:p w:rsidR="005E6F3C" w:rsidRPr="006D0C5D" w:rsidRDefault="005E6F3C" w:rsidP="00780CDB">
            <w:pPr>
              <w:jc w:val="center"/>
              <w:rPr>
                <w:rFonts w:cs="Traditional Arabic" w:hint="cs"/>
                <w:i/>
                <w:iCs/>
                <w:sz w:val="28"/>
                <w:szCs w:val="28"/>
                <w:rtl/>
              </w:rPr>
            </w:pPr>
            <w:r w:rsidRPr="006D0C5D">
              <w:rPr>
                <w:rFonts w:cs="Traditional Arabic" w:hint="cs"/>
                <w:i/>
                <w:iCs/>
                <w:sz w:val="28"/>
                <w:szCs w:val="28"/>
                <w:rtl/>
              </w:rPr>
              <w:t>أنثى</w:t>
            </w:r>
          </w:p>
        </w:tc>
      </w:tr>
      <w:tr w:rsidR="005E6F3C" w:rsidRPr="001E273B">
        <w:trPr>
          <w:jc w:val="center"/>
        </w:trPr>
        <w:tc>
          <w:tcPr>
            <w:tcW w:w="1296" w:type="dxa"/>
          </w:tcPr>
          <w:p w:rsidR="005E6F3C" w:rsidRPr="00114306" w:rsidRDefault="005E6F3C" w:rsidP="00780CDB">
            <w:pPr>
              <w:rPr>
                <w:rFonts w:cs="Traditional Arabic" w:hint="cs"/>
                <w:sz w:val="28"/>
                <w:szCs w:val="28"/>
                <w:rtl/>
              </w:rPr>
            </w:pPr>
            <w:r w:rsidRPr="00114306">
              <w:rPr>
                <w:rFonts w:cs="Traditional Arabic" w:hint="cs"/>
                <w:sz w:val="28"/>
                <w:szCs w:val="28"/>
                <w:rtl/>
              </w:rPr>
              <w:t>فونافوتي</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61.0</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70.4</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51.8</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49.6</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61.0</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38.4</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8.9</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6.6</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12.0</w:t>
            </w:r>
          </w:p>
        </w:tc>
      </w:tr>
      <w:tr w:rsidR="005E6F3C" w:rsidRPr="001E273B">
        <w:trPr>
          <w:jc w:val="center"/>
        </w:trPr>
        <w:tc>
          <w:tcPr>
            <w:tcW w:w="1296" w:type="dxa"/>
          </w:tcPr>
          <w:p w:rsidR="005E6F3C" w:rsidRPr="00114306" w:rsidRDefault="005E6F3C" w:rsidP="00780CDB">
            <w:pPr>
              <w:rPr>
                <w:rFonts w:cs="Traditional Arabic" w:hint="cs"/>
                <w:sz w:val="28"/>
                <w:szCs w:val="28"/>
                <w:rtl/>
              </w:rPr>
            </w:pPr>
            <w:r w:rsidRPr="00114306">
              <w:rPr>
                <w:rFonts w:cs="Traditional Arabic" w:hint="cs"/>
                <w:sz w:val="28"/>
                <w:szCs w:val="28"/>
                <w:rtl/>
              </w:rPr>
              <w:t>الجزر الخارجية</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56.0</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68.9</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45.2</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20.9</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31.7</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11.8</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4.6</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3.6</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5.9</w:t>
            </w:r>
          </w:p>
        </w:tc>
      </w:tr>
      <w:tr w:rsidR="005E6F3C" w:rsidRPr="001E273B">
        <w:trPr>
          <w:jc w:val="center"/>
        </w:trPr>
        <w:tc>
          <w:tcPr>
            <w:tcW w:w="1296" w:type="dxa"/>
          </w:tcPr>
          <w:p w:rsidR="005E6F3C" w:rsidRPr="00114306" w:rsidRDefault="005E6F3C" w:rsidP="00780CDB">
            <w:pPr>
              <w:rPr>
                <w:rFonts w:cs="Traditional Arabic" w:hint="cs"/>
                <w:sz w:val="28"/>
                <w:szCs w:val="28"/>
                <w:rtl/>
              </w:rPr>
            </w:pPr>
            <w:r w:rsidRPr="00114306">
              <w:rPr>
                <w:rFonts w:cs="Traditional Arabic" w:hint="cs"/>
                <w:sz w:val="28"/>
                <w:szCs w:val="28"/>
                <w:rtl/>
              </w:rPr>
              <w:t>توفالو</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58.2</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69.6</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47.9</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33.2</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44.9</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22.7</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6.5</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4.9</w:t>
            </w:r>
          </w:p>
        </w:tc>
        <w:tc>
          <w:tcPr>
            <w:tcW w:w="792" w:type="dxa"/>
          </w:tcPr>
          <w:p w:rsidR="005E6F3C" w:rsidRPr="00114306" w:rsidRDefault="005E6F3C" w:rsidP="00780CDB">
            <w:pPr>
              <w:rPr>
                <w:rFonts w:cs="Traditional Arabic" w:hint="cs"/>
                <w:sz w:val="28"/>
                <w:szCs w:val="28"/>
                <w:rtl/>
              </w:rPr>
            </w:pPr>
            <w:r w:rsidRPr="00114306">
              <w:rPr>
                <w:rFonts w:cs="Traditional Arabic" w:hint="cs"/>
                <w:sz w:val="28"/>
                <w:szCs w:val="28"/>
                <w:rtl/>
              </w:rPr>
              <w:t>8.6</w:t>
            </w:r>
          </w:p>
        </w:tc>
      </w:tr>
    </w:tbl>
    <w:p w:rsidR="005E6F3C" w:rsidRPr="006D0C5D" w:rsidRDefault="006D0C5D" w:rsidP="005E6F3C">
      <w:pPr>
        <w:rPr>
          <w:rFonts w:hint="cs"/>
          <w:sz w:val="26"/>
          <w:szCs w:val="26"/>
          <w:rtl/>
        </w:rPr>
      </w:pPr>
      <w:r>
        <w:rPr>
          <w:rFonts w:hint="cs"/>
          <w:sz w:val="28"/>
          <w:szCs w:val="28"/>
          <w:rtl/>
        </w:rPr>
        <w:tab/>
      </w:r>
      <w:r w:rsidR="005E6F3C" w:rsidRPr="006D0C5D">
        <w:rPr>
          <w:rFonts w:hint="cs"/>
          <w:sz w:val="26"/>
          <w:szCs w:val="26"/>
          <w:rtl/>
        </w:rPr>
        <w:t xml:space="preserve">المصدر: </w:t>
      </w:r>
      <w:r>
        <w:rPr>
          <w:rFonts w:hint="cs"/>
          <w:sz w:val="26"/>
          <w:szCs w:val="26"/>
          <w:rtl/>
        </w:rPr>
        <w:t>تقرير توفالو الإحصائي لعام 2002.</w:t>
      </w:r>
    </w:p>
    <w:p w:rsidR="006D0C5D" w:rsidRPr="006D0C5D" w:rsidRDefault="006D0C5D" w:rsidP="006D0C5D">
      <w:pPr>
        <w:spacing w:line="120" w:lineRule="exact"/>
        <w:rPr>
          <w:rFonts w:hint="cs"/>
          <w:sz w:val="10"/>
          <w:szCs w:val="32"/>
          <w:rtl/>
        </w:rPr>
      </w:pPr>
    </w:p>
    <w:p w:rsidR="005E6F3C" w:rsidRDefault="006D0C5D" w:rsidP="006D0C5D">
      <w:pPr>
        <w:pStyle w:val="SingleTxt"/>
        <w:rPr>
          <w:rFonts w:hint="cs"/>
          <w:rtl/>
        </w:rPr>
      </w:pPr>
      <w:r>
        <w:rPr>
          <w:rFonts w:hint="cs"/>
          <w:rtl/>
        </w:rPr>
        <w:tab/>
      </w:r>
      <w:r w:rsidR="005E6F3C">
        <w:rPr>
          <w:rFonts w:hint="cs"/>
          <w:rtl/>
        </w:rPr>
        <w:t>كان معدل المشاركة ونسبة العمالة/ السكان، كليهما بالنسبة للذكور أعلى منهما بالنسبة للإناث، بينما كان معدل البطالة بالنسبة للإناث أعلى منه للذكور.</w:t>
      </w:r>
    </w:p>
    <w:p w:rsidR="005E6F3C" w:rsidRDefault="006D0C5D" w:rsidP="00EF1205">
      <w:pPr>
        <w:pStyle w:val="SingleTxt"/>
        <w:rPr>
          <w:rFonts w:hint="cs"/>
          <w:rtl/>
        </w:rPr>
      </w:pPr>
      <w:r>
        <w:rPr>
          <w:rFonts w:hint="cs"/>
          <w:rtl/>
        </w:rPr>
        <w:t>11-5</w:t>
      </w:r>
      <w:r>
        <w:rPr>
          <w:rFonts w:hint="cs"/>
          <w:rtl/>
        </w:rPr>
        <w:tab/>
      </w:r>
      <w:r w:rsidR="005E6F3C">
        <w:rPr>
          <w:rFonts w:hint="cs"/>
          <w:rtl/>
        </w:rPr>
        <w:t>في ضوء حجم ومحدودية النشاط الصناعي، فإن العمالة مقتصرة على الوظائف الحكومية والشركات العامة التي توفر 69 في المائة من مجموع أجور ورواتب المستخدمين. وفي اقتصاد جزيرة صغيرة مثل توفالو، وقطاع خاص صغير نسبياً، تهيمن الحكومة على الاقتصاد. ويعمل في القطاع الخاص 28 في المائة فقط من المستخدمين، يليه المنظمات غير الهادفة للربح (منظمات المجتمع المدني والمنظمات غير الحكومية) حيث يعمل فيها 3 في المائة من المستخدمين</w:t>
      </w:r>
      <w:r w:rsidR="00EF1205" w:rsidRPr="00EF1205">
        <w:rPr>
          <w:vertAlign w:val="superscript"/>
          <w:rtl/>
        </w:rPr>
        <w:t>(</w:t>
      </w:r>
      <w:r w:rsidR="00EF1205">
        <w:rPr>
          <w:rStyle w:val="FootnoteReference"/>
          <w:rtl/>
        </w:rPr>
        <w:footnoteReference w:id="92"/>
      </w:r>
      <w:r w:rsidR="00EF1205" w:rsidRPr="00EF1205">
        <w:rPr>
          <w:vertAlign w:val="superscript"/>
          <w:rtl/>
        </w:rPr>
        <w:t>)</w:t>
      </w:r>
      <w:r w:rsidR="005E6F3C">
        <w:rPr>
          <w:rFonts w:hint="cs"/>
          <w:rtl/>
        </w:rPr>
        <w:t>.</w:t>
      </w:r>
    </w:p>
    <w:p w:rsidR="005E6F3C" w:rsidRDefault="006D0C5D" w:rsidP="006D0C5D">
      <w:pPr>
        <w:pStyle w:val="SingleTxt"/>
        <w:rPr>
          <w:rFonts w:hint="cs"/>
          <w:rtl/>
        </w:rPr>
      </w:pPr>
      <w:r>
        <w:rPr>
          <w:rFonts w:hint="cs"/>
          <w:rtl/>
        </w:rPr>
        <w:t>11-6</w:t>
      </w:r>
      <w:r>
        <w:rPr>
          <w:rFonts w:hint="cs"/>
          <w:rtl/>
        </w:rPr>
        <w:tab/>
      </w:r>
      <w:r w:rsidR="005E6F3C">
        <w:rPr>
          <w:rFonts w:hint="cs"/>
          <w:rtl/>
        </w:rPr>
        <w:t>يُبيّن توزيع المستخدمين حسب نوع الجنس أن جزءاً مهماً من اليد العاملة في توفالو، التي معظمها من الذكور، مستخدم في القطاع الرئيسي وقطاع الإنتاج، وقطاع الوظائف التنظيمية والإدارية وعمال الخدمات. وتهيمن الإناث على الأعمال الكتابية والأعمال المتصلة بها والمبيعات والأعمال المهنية والتقنية. وتوزيع المستخدمين حسب نوع الجنس في الصناعات المختلفة يتبع نفس النمط السائد في التوزيع المهني في القطاع الأخير.</w:t>
      </w:r>
    </w:p>
    <w:p w:rsidR="00E41740" w:rsidRPr="00E41740" w:rsidRDefault="00E41740" w:rsidP="00E41740">
      <w:pPr>
        <w:spacing w:line="120" w:lineRule="exact"/>
        <w:rPr>
          <w:rFonts w:hint="cs"/>
          <w:sz w:val="10"/>
          <w:szCs w:val="32"/>
          <w:rtl/>
        </w:rPr>
      </w:pPr>
    </w:p>
    <w:p w:rsidR="00E41740" w:rsidRDefault="00E41740" w:rsidP="00E4174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sidRPr="00EA6E3A">
        <w:rPr>
          <w:rFonts w:hint="cs"/>
          <w:rtl/>
        </w:rPr>
        <w:t xml:space="preserve">الشكل </w:t>
      </w:r>
      <w:r>
        <w:rPr>
          <w:rFonts w:hint="cs"/>
          <w:rtl/>
        </w:rPr>
        <w:t>10</w:t>
      </w:r>
      <w:r w:rsidRPr="00EA6E3A">
        <w:rPr>
          <w:rFonts w:hint="cs"/>
          <w:rtl/>
        </w:rPr>
        <w:t>: الوظائف موزعة حسب نوع الجنس</w:t>
      </w:r>
      <w:r>
        <w:rPr>
          <w:rFonts w:hint="cs"/>
          <w:rtl/>
        </w:rPr>
        <w:t>،</w:t>
      </w:r>
      <w:r w:rsidRPr="00EA6E3A">
        <w:rPr>
          <w:rFonts w:hint="cs"/>
          <w:rtl/>
        </w:rPr>
        <w:t xml:space="preserve"> عام 2002 </w:t>
      </w:r>
    </w:p>
    <w:p w:rsidR="00E41740" w:rsidRPr="00EA6E3A" w:rsidRDefault="00E41740" w:rsidP="00E41740">
      <w:pPr>
        <w:jc w:val="center"/>
        <w:rPr>
          <w:rFonts w:hint="cs"/>
          <w:b/>
          <w:bCs/>
          <w:sz w:val="28"/>
          <w:szCs w:val="28"/>
          <w:rtl/>
        </w:rPr>
      </w:pPr>
      <w:r>
        <w:rPr>
          <w:noProof/>
        </w:rPr>
        <w:pict>
          <v:shape id="_x0000_s2611" type="#_x0000_t75" style="position:absolute;left:0;text-align:left;margin-left:31.7pt;margin-top:17.45pt;width:429.1pt;height:264.95pt;z-index:49">
            <v:imagedata r:id="rId23" o:title=""/>
          </v:shape>
        </w:pict>
      </w:r>
    </w:p>
    <w:p w:rsidR="00E41740" w:rsidRDefault="00E41740" w:rsidP="00E41740">
      <w:pPr>
        <w:jc w:val="cente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r>
        <w:rPr>
          <w:rFonts w:hint="cs"/>
          <w:noProof/>
          <w:w w:val="100"/>
          <w:rtl/>
        </w:rPr>
        <w:pict>
          <v:shape id="_x0000_s2612" type="#_x0000_t202" style="position:absolute;left:0;text-align:left;margin-left:47pt;margin-top:16.1pt;width:148pt;height:130.3pt;z-index:50" strokecolor="white">
            <v:textbox style="mso-next-textbox:#_x0000_s2612" inset="0,0,0,0">
              <w:txbxContent>
                <w:p w:rsidR="00F93B21" w:rsidRDefault="00F93B21" w:rsidP="00E41740">
                  <w:pPr>
                    <w:spacing w:line="300" w:lineRule="exact"/>
                    <w:jc w:val="left"/>
                    <w:rPr>
                      <w:rFonts w:hint="cs"/>
                      <w:sz w:val="26"/>
                      <w:szCs w:val="22"/>
                      <w:rtl/>
                      <w:lang w:bidi="ar-EG"/>
                    </w:rPr>
                  </w:pPr>
                  <w:r>
                    <w:rPr>
                      <w:rFonts w:hint="cs"/>
                      <w:sz w:val="26"/>
                      <w:szCs w:val="22"/>
                      <w:rtl/>
                      <w:lang w:bidi="ar-EG"/>
                    </w:rPr>
                    <w:t>العاملون في القطاع الأولي وقطاع الإنتاج</w:t>
                  </w:r>
                </w:p>
                <w:p w:rsidR="00F93B21" w:rsidRDefault="00F93B21" w:rsidP="00E41740">
                  <w:pPr>
                    <w:spacing w:line="300" w:lineRule="exact"/>
                    <w:jc w:val="left"/>
                    <w:rPr>
                      <w:rFonts w:hint="cs"/>
                      <w:sz w:val="26"/>
                      <w:szCs w:val="22"/>
                      <w:rtl/>
                      <w:lang w:bidi="ar-EG"/>
                    </w:rPr>
                  </w:pPr>
                  <w:r>
                    <w:rPr>
                      <w:rFonts w:hint="cs"/>
                      <w:sz w:val="26"/>
                      <w:szCs w:val="22"/>
                      <w:rtl/>
                      <w:lang w:bidi="ar-EG"/>
                    </w:rPr>
                    <w:t>العاملون في المبيعات</w:t>
                  </w:r>
                </w:p>
                <w:p w:rsidR="00F93B21" w:rsidRDefault="00F93B21" w:rsidP="00E41740">
                  <w:pPr>
                    <w:spacing w:line="300" w:lineRule="exact"/>
                    <w:jc w:val="left"/>
                    <w:rPr>
                      <w:rFonts w:hint="cs"/>
                      <w:sz w:val="26"/>
                      <w:szCs w:val="22"/>
                      <w:rtl/>
                      <w:lang w:bidi="ar-EG"/>
                    </w:rPr>
                  </w:pPr>
                  <w:r>
                    <w:rPr>
                      <w:rFonts w:hint="cs"/>
                      <w:sz w:val="26"/>
                      <w:szCs w:val="22"/>
                      <w:rtl/>
                      <w:lang w:bidi="ar-EG"/>
                    </w:rPr>
                    <w:t>الزراعة ومصائد الأسماك</w:t>
                  </w:r>
                </w:p>
                <w:p w:rsidR="00F93B21" w:rsidRPr="00E41740" w:rsidRDefault="00F93B21" w:rsidP="00E41740">
                  <w:pPr>
                    <w:spacing w:line="120" w:lineRule="exact"/>
                    <w:jc w:val="left"/>
                    <w:rPr>
                      <w:rFonts w:hint="cs"/>
                      <w:sz w:val="10"/>
                      <w:szCs w:val="22"/>
                      <w:rtl/>
                      <w:lang w:bidi="ar-EG"/>
                    </w:rPr>
                  </w:pPr>
                </w:p>
                <w:p w:rsidR="00F93B21" w:rsidRDefault="00F93B21" w:rsidP="00E41740">
                  <w:pPr>
                    <w:spacing w:line="300" w:lineRule="exact"/>
                    <w:jc w:val="left"/>
                    <w:rPr>
                      <w:rFonts w:hint="cs"/>
                      <w:sz w:val="26"/>
                      <w:szCs w:val="22"/>
                      <w:rtl/>
                      <w:lang w:bidi="ar-EG"/>
                    </w:rPr>
                  </w:pPr>
                  <w:r>
                    <w:rPr>
                      <w:rFonts w:hint="cs"/>
                      <w:sz w:val="26"/>
                      <w:szCs w:val="22"/>
                      <w:rtl/>
                      <w:lang w:bidi="ar-EG"/>
                    </w:rPr>
                    <w:t>عمال الخدمات</w:t>
                  </w:r>
                </w:p>
                <w:p w:rsidR="00F93B21" w:rsidRDefault="00F93B21" w:rsidP="00E41740">
                  <w:pPr>
                    <w:spacing w:line="300" w:lineRule="exact"/>
                    <w:jc w:val="left"/>
                    <w:rPr>
                      <w:rFonts w:hint="cs"/>
                      <w:sz w:val="26"/>
                      <w:szCs w:val="22"/>
                      <w:rtl/>
                      <w:lang w:bidi="ar-EG"/>
                    </w:rPr>
                  </w:pPr>
                  <w:r>
                    <w:rPr>
                      <w:rFonts w:hint="cs"/>
                      <w:sz w:val="26"/>
                      <w:szCs w:val="22"/>
                      <w:rtl/>
                      <w:lang w:bidi="ar-EG"/>
                    </w:rPr>
                    <w:t>العاملون في الأعمال الكتابية والأعمال المتصلة بها</w:t>
                  </w:r>
                </w:p>
                <w:p w:rsidR="00F93B21" w:rsidRDefault="00F93B21" w:rsidP="00E41740">
                  <w:pPr>
                    <w:spacing w:line="300" w:lineRule="exact"/>
                    <w:jc w:val="left"/>
                    <w:rPr>
                      <w:rFonts w:hint="cs"/>
                      <w:sz w:val="26"/>
                      <w:szCs w:val="22"/>
                      <w:rtl/>
                      <w:lang w:bidi="ar-EG"/>
                    </w:rPr>
                  </w:pPr>
                  <w:r>
                    <w:rPr>
                      <w:rFonts w:hint="cs"/>
                      <w:sz w:val="26"/>
                      <w:szCs w:val="22"/>
                      <w:rtl/>
                      <w:lang w:bidi="ar-EG"/>
                    </w:rPr>
                    <w:t>الفئة الفنية والتقنية</w:t>
                  </w:r>
                </w:p>
                <w:p w:rsidR="00F93B21" w:rsidRPr="00402408" w:rsidRDefault="00F93B21" w:rsidP="00402408">
                  <w:pPr>
                    <w:spacing w:line="120" w:lineRule="exact"/>
                    <w:jc w:val="left"/>
                    <w:rPr>
                      <w:rFonts w:hint="cs"/>
                      <w:sz w:val="10"/>
                      <w:szCs w:val="22"/>
                      <w:rtl/>
                      <w:lang w:bidi="ar-EG"/>
                    </w:rPr>
                  </w:pPr>
                </w:p>
                <w:p w:rsidR="00F93B21" w:rsidRPr="00EF1205" w:rsidRDefault="00F93B21" w:rsidP="00E41740">
                  <w:pPr>
                    <w:spacing w:line="300" w:lineRule="exact"/>
                    <w:jc w:val="left"/>
                    <w:rPr>
                      <w:rFonts w:hint="cs"/>
                      <w:sz w:val="26"/>
                      <w:szCs w:val="22"/>
                      <w:lang w:bidi="ar-EG"/>
                    </w:rPr>
                  </w:pPr>
                  <w:r>
                    <w:rPr>
                      <w:rFonts w:hint="cs"/>
                      <w:sz w:val="26"/>
                      <w:szCs w:val="22"/>
                      <w:rtl/>
                      <w:lang w:bidi="ar-EG"/>
                    </w:rPr>
                    <w:t>الأعمال الإدارية</w:t>
                  </w:r>
                </w:p>
              </w:txbxContent>
            </v:textbox>
          </v:shape>
        </w:pict>
      </w: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r>
        <w:rPr>
          <w:rFonts w:hint="cs"/>
          <w:noProof/>
          <w:w w:val="100"/>
          <w:rtl/>
        </w:rPr>
        <w:pict>
          <v:shape id="_x0000_s2613" type="#_x0000_t202" style="position:absolute;left:0;text-align:left;margin-left:413.6pt;margin-top:19.1pt;width:36pt;height:22.3pt;z-index:51" strokecolor="white">
            <v:textbox style="mso-next-textbox:#_x0000_s2613" inset="0,0,0,0">
              <w:txbxContent>
                <w:p w:rsidR="00F93B21" w:rsidRPr="00EF1205" w:rsidRDefault="00F93B21" w:rsidP="00E41740">
                  <w:pPr>
                    <w:spacing w:line="220" w:lineRule="exact"/>
                    <w:jc w:val="left"/>
                    <w:rPr>
                      <w:rFonts w:hint="cs"/>
                      <w:sz w:val="26"/>
                      <w:szCs w:val="22"/>
                      <w:lang w:bidi="ar-EG"/>
                    </w:rPr>
                  </w:pPr>
                  <w:r>
                    <w:rPr>
                      <w:rFonts w:hint="cs"/>
                      <w:sz w:val="26"/>
                      <w:szCs w:val="22"/>
                      <w:rtl/>
                      <w:lang w:bidi="ar-EG"/>
                    </w:rPr>
                    <w:t>ذكور</w:t>
                  </w:r>
                  <w:r>
                    <w:rPr>
                      <w:sz w:val="26"/>
                      <w:szCs w:val="22"/>
                      <w:rtl/>
                      <w:lang w:bidi="ar-EG"/>
                    </w:rPr>
                    <w:br/>
                  </w:r>
                  <w:r>
                    <w:rPr>
                      <w:rFonts w:hint="cs"/>
                      <w:sz w:val="26"/>
                      <w:szCs w:val="22"/>
                      <w:rtl/>
                      <w:lang w:bidi="ar-EG"/>
                    </w:rPr>
                    <w:t>إناث</w:t>
                  </w:r>
                </w:p>
              </w:txbxContent>
            </v:textbox>
          </v:shape>
        </w:pict>
      </w: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rPr>
          <w:rFonts w:hint="cs"/>
          <w:sz w:val="32"/>
          <w:szCs w:val="32"/>
          <w:rtl/>
        </w:rPr>
      </w:pPr>
    </w:p>
    <w:p w:rsidR="00E41740" w:rsidRDefault="00E41740" w:rsidP="00E41740">
      <w:pPr>
        <w:pStyle w:val="SingleTxt"/>
        <w:rPr>
          <w:rFonts w:hint="cs"/>
          <w:rtl/>
        </w:rPr>
      </w:pPr>
      <w:r>
        <w:rPr>
          <w:rFonts w:hint="cs"/>
          <w:rtl/>
        </w:rPr>
        <w:tab/>
        <w:t>كما يتبين من الشكل أعلاه، هيمنة الإناث في عام 2000 على الأعمال الكتابية والأعمال المتصلة بها والفئة الفنية والتقنية، في حين هيمن الذكور على جميع الفئات المهنية الأخرى.</w:t>
      </w:r>
    </w:p>
    <w:p w:rsidR="00E41740" w:rsidRDefault="00E41740" w:rsidP="00E41740">
      <w:pPr>
        <w:rPr>
          <w:rFonts w:hint="cs"/>
          <w:sz w:val="32"/>
          <w:szCs w:val="32"/>
          <w:rtl/>
        </w:rPr>
      </w:pPr>
    </w:p>
    <w:p w:rsidR="00E41740" w:rsidRDefault="00E41740" w:rsidP="00E41740">
      <w:pPr>
        <w:pStyle w:val="SingleTxt"/>
        <w:rPr>
          <w:rFonts w:hint="cs"/>
          <w:rtl/>
        </w:rPr>
      </w:pPr>
      <w:r>
        <w:rPr>
          <w:rFonts w:hint="cs"/>
          <w:rtl/>
        </w:rPr>
        <w:t>11-7</w:t>
      </w:r>
      <w:r>
        <w:rPr>
          <w:rFonts w:hint="cs"/>
          <w:rtl/>
        </w:rPr>
        <w:tab/>
        <w:t>في عام 2002، كانت أكثر الصناعات التوفالية استخداماً للناس قطاع الإدارة العامة والخدمات العامة (36 في المائة)، يليها صناعات الكهرباء والغاز والمياه والإعمار (22 في المائة)، والخدمات العقارية وخدمات الأعمال التجارية (20 في المائة)، والبيع بالجملة والبيع بالمفرق والفنادق والمطاعم (10 في المائة)، وخدمات النقل والتخزين والاتصالات والتأمين (9 في المائة). ويشكل العاملون في الزراعة وصيد الأسماك والطباعة والنشر الثلاثة في المائة المتبقية.</w:t>
      </w:r>
    </w:p>
    <w:p w:rsidR="00E41740" w:rsidRDefault="00E41740" w:rsidP="00E41740">
      <w:pPr>
        <w:rPr>
          <w:rFonts w:hint="cs"/>
          <w:sz w:val="32"/>
          <w:szCs w:val="32"/>
          <w:rtl/>
        </w:rPr>
      </w:pPr>
    </w:p>
    <w:p w:rsidR="00E41740" w:rsidRDefault="00E41740" w:rsidP="00E41740">
      <w:pPr>
        <w:jc w:val="center"/>
        <w:rPr>
          <w:b/>
          <w:bCs/>
        </w:rPr>
      </w:pPr>
      <w:r w:rsidRPr="00CF41C7">
        <w:rPr>
          <w:rFonts w:hint="cs"/>
          <w:b/>
          <w:bCs/>
          <w:rtl/>
        </w:rPr>
        <w:t>الجدول 24: النسبة المئوية للذكور والإناث المستخدمين والعاملين في الصناعة</w:t>
      </w:r>
      <w:r w:rsidR="00BE671B">
        <w:rPr>
          <w:rFonts w:hint="cs"/>
          <w:b/>
          <w:bCs/>
          <w:rtl/>
        </w:rPr>
        <w:t xml:space="preserve"> عام 2002</w:t>
      </w:r>
    </w:p>
    <w:p w:rsidR="00E41740" w:rsidRPr="00CF41C7" w:rsidRDefault="00E41740" w:rsidP="00E41740">
      <w:pPr>
        <w:jc w:val="center"/>
        <w:rPr>
          <w:b/>
          <w:bCs/>
          <w:rtl/>
        </w:rPr>
      </w:pPr>
    </w:p>
    <w:tbl>
      <w:tblPr>
        <w:tblStyle w:val="TableGrid"/>
        <w:bidiVisual/>
        <w:tblW w:w="9504" w:type="dxa"/>
        <w:jc w:val="center"/>
        <w:tblLook w:val="01E0" w:firstRow="1" w:lastRow="1" w:firstColumn="1" w:lastColumn="1" w:noHBand="0" w:noVBand="0"/>
      </w:tblPr>
      <w:tblGrid>
        <w:gridCol w:w="949"/>
        <w:gridCol w:w="1425"/>
        <w:gridCol w:w="1426"/>
        <w:gridCol w:w="1426"/>
        <w:gridCol w:w="1426"/>
        <w:gridCol w:w="1426"/>
        <w:gridCol w:w="1426"/>
      </w:tblGrid>
      <w:tr w:rsidR="00E41740" w:rsidRPr="00B8361A">
        <w:trPr>
          <w:jc w:val="center"/>
        </w:trPr>
        <w:tc>
          <w:tcPr>
            <w:tcW w:w="864" w:type="dxa"/>
          </w:tcPr>
          <w:p w:rsidR="00E41740" w:rsidRPr="00B8361A" w:rsidRDefault="00E41740" w:rsidP="00E41740">
            <w:pPr>
              <w:rPr>
                <w:rFonts w:cs="Traditional Arabic" w:hint="cs"/>
                <w:szCs w:val="20"/>
                <w:rtl/>
              </w:rPr>
            </w:pPr>
          </w:p>
        </w:tc>
        <w:tc>
          <w:tcPr>
            <w:tcW w:w="7776" w:type="dxa"/>
            <w:gridSpan w:val="6"/>
          </w:tcPr>
          <w:p w:rsidR="00E41740" w:rsidRPr="00B8361A" w:rsidRDefault="00E41740" w:rsidP="00E41740">
            <w:pPr>
              <w:jc w:val="center"/>
              <w:rPr>
                <w:rFonts w:cs="Traditional Arabic" w:hint="cs"/>
                <w:szCs w:val="20"/>
                <w:rtl/>
              </w:rPr>
            </w:pPr>
            <w:r>
              <w:rPr>
                <w:rFonts w:cs="Traditional Arabic" w:hint="cs"/>
                <w:szCs w:val="20"/>
                <w:rtl/>
              </w:rPr>
              <w:t>الصناعة المستخدمة</w:t>
            </w:r>
          </w:p>
        </w:tc>
      </w:tr>
      <w:tr w:rsidR="00E41740" w:rsidRPr="00E41740">
        <w:trPr>
          <w:jc w:val="center"/>
        </w:trPr>
        <w:tc>
          <w:tcPr>
            <w:tcW w:w="864" w:type="dxa"/>
            <w:vAlign w:val="center"/>
          </w:tcPr>
          <w:p w:rsidR="00E41740" w:rsidRPr="00E41740" w:rsidRDefault="00E41740" w:rsidP="00E41740">
            <w:pPr>
              <w:spacing w:line="280" w:lineRule="exact"/>
              <w:jc w:val="left"/>
              <w:rPr>
                <w:rFonts w:cs="Traditional Arabic" w:hint="cs"/>
                <w:i/>
                <w:iCs/>
                <w:szCs w:val="20"/>
                <w:rtl/>
              </w:rPr>
            </w:pPr>
          </w:p>
        </w:tc>
        <w:tc>
          <w:tcPr>
            <w:tcW w:w="1296" w:type="dxa"/>
            <w:vAlign w:val="center"/>
          </w:tcPr>
          <w:p w:rsidR="00E41740" w:rsidRPr="00E41740" w:rsidRDefault="00E41740" w:rsidP="00E41740">
            <w:pPr>
              <w:spacing w:line="280" w:lineRule="exact"/>
              <w:jc w:val="left"/>
              <w:rPr>
                <w:rFonts w:cs="Traditional Arabic" w:hint="cs"/>
                <w:i/>
                <w:iCs/>
                <w:szCs w:val="20"/>
                <w:rtl/>
              </w:rPr>
            </w:pPr>
          </w:p>
          <w:p w:rsidR="00E41740" w:rsidRPr="00E41740" w:rsidRDefault="00E41740" w:rsidP="00E41740">
            <w:pPr>
              <w:spacing w:line="280" w:lineRule="exact"/>
              <w:jc w:val="left"/>
              <w:rPr>
                <w:rFonts w:cs="Traditional Arabic" w:hint="cs"/>
                <w:i/>
                <w:iCs/>
                <w:szCs w:val="20"/>
                <w:rtl/>
              </w:rPr>
            </w:pPr>
            <w:r w:rsidRPr="00E41740">
              <w:rPr>
                <w:rFonts w:cs="Traditional Arabic" w:hint="cs"/>
                <w:i/>
                <w:iCs/>
                <w:szCs w:val="20"/>
                <w:rtl/>
              </w:rPr>
              <w:t>الإدارة العامة والخدمات العامة</w:t>
            </w:r>
          </w:p>
        </w:tc>
        <w:tc>
          <w:tcPr>
            <w:tcW w:w="1296" w:type="dxa"/>
            <w:vAlign w:val="center"/>
          </w:tcPr>
          <w:p w:rsidR="00E41740" w:rsidRPr="00E41740" w:rsidRDefault="00E41740" w:rsidP="00E41740">
            <w:pPr>
              <w:spacing w:line="280" w:lineRule="exact"/>
              <w:jc w:val="left"/>
              <w:rPr>
                <w:rFonts w:cs="Traditional Arabic" w:hint="cs"/>
                <w:i/>
                <w:iCs/>
                <w:szCs w:val="20"/>
                <w:rtl/>
              </w:rPr>
            </w:pPr>
            <w:r w:rsidRPr="00E41740">
              <w:rPr>
                <w:rFonts w:cs="Traditional Arabic" w:hint="cs"/>
                <w:i/>
                <w:iCs/>
                <w:szCs w:val="20"/>
                <w:rtl/>
              </w:rPr>
              <w:t>الخدمات العقارية وخدمات الأعمال التجارية</w:t>
            </w:r>
          </w:p>
        </w:tc>
        <w:tc>
          <w:tcPr>
            <w:tcW w:w="1296" w:type="dxa"/>
            <w:vAlign w:val="center"/>
          </w:tcPr>
          <w:p w:rsidR="00E41740" w:rsidRPr="00E41740" w:rsidRDefault="00E41740" w:rsidP="00E41740">
            <w:pPr>
              <w:spacing w:line="280" w:lineRule="exact"/>
              <w:jc w:val="left"/>
              <w:rPr>
                <w:rFonts w:cs="Traditional Arabic" w:hint="cs"/>
                <w:i/>
                <w:iCs/>
                <w:szCs w:val="20"/>
                <w:rtl/>
              </w:rPr>
            </w:pPr>
            <w:r w:rsidRPr="00E41740">
              <w:rPr>
                <w:rFonts w:cs="Traditional Arabic" w:hint="cs"/>
                <w:i/>
                <w:iCs/>
                <w:szCs w:val="20"/>
                <w:rtl/>
              </w:rPr>
              <w:t>النقل والتخزين والاتصالات والتأمين</w:t>
            </w:r>
          </w:p>
        </w:tc>
        <w:tc>
          <w:tcPr>
            <w:tcW w:w="1296" w:type="dxa"/>
            <w:vAlign w:val="center"/>
          </w:tcPr>
          <w:p w:rsidR="00E41740" w:rsidRPr="00E41740" w:rsidRDefault="00E41740" w:rsidP="00E41740">
            <w:pPr>
              <w:spacing w:line="280" w:lineRule="exact"/>
              <w:jc w:val="left"/>
              <w:rPr>
                <w:rFonts w:cs="Traditional Arabic" w:hint="cs"/>
                <w:i/>
                <w:iCs/>
                <w:szCs w:val="20"/>
                <w:rtl/>
              </w:rPr>
            </w:pPr>
            <w:r w:rsidRPr="00E41740">
              <w:rPr>
                <w:rFonts w:cs="Traditional Arabic" w:hint="cs"/>
                <w:i/>
                <w:iCs/>
                <w:szCs w:val="20"/>
                <w:rtl/>
              </w:rPr>
              <w:t>المبيعات بالجملة والمفرق والفنادق والمطاعم</w:t>
            </w:r>
          </w:p>
        </w:tc>
        <w:tc>
          <w:tcPr>
            <w:tcW w:w="1296" w:type="dxa"/>
            <w:vAlign w:val="center"/>
          </w:tcPr>
          <w:p w:rsidR="00E41740" w:rsidRPr="00E41740" w:rsidRDefault="00E41740" w:rsidP="00E41740">
            <w:pPr>
              <w:spacing w:line="280" w:lineRule="exact"/>
              <w:jc w:val="left"/>
              <w:rPr>
                <w:rFonts w:cs="Traditional Arabic" w:hint="cs"/>
                <w:i/>
                <w:iCs/>
                <w:szCs w:val="20"/>
                <w:rtl/>
              </w:rPr>
            </w:pPr>
            <w:r w:rsidRPr="00E41740">
              <w:rPr>
                <w:rFonts w:cs="Traditional Arabic" w:hint="cs"/>
                <w:i/>
                <w:iCs/>
                <w:szCs w:val="20"/>
                <w:rtl/>
              </w:rPr>
              <w:t>خدمات الكهرباء والغاز والماء والإعمار</w:t>
            </w:r>
          </w:p>
        </w:tc>
        <w:tc>
          <w:tcPr>
            <w:tcW w:w="1296" w:type="dxa"/>
            <w:vAlign w:val="center"/>
          </w:tcPr>
          <w:p w:rsidR="00E41740" w:rsidRPr="00E41740" w:rsidRDefault="00E41740" w:rsidP="00E41740">
            <w:pPr>
              <w:spacing w:line="280" w:lineRule="exact"/>
              <w:jc w:val="left"/>
              <w:rPr>
                <w:rFonts w:cs="Traditional Arabic" w:hint="cs"/>
                <w:i/>
                <w:iCs/>
                <w:szCs w:val="20"/>
                <w:rtl/>
              </w:rPr>
            </w:pPr>
          </w:p>
          <w:p w:rsidR="00E41740" w:rsidRPr="00E41740" w:rsidRDefault="00E41740" w:rsidP="00E41740">
            <w:pPr>
              <w:spacing w:line="280" w:lineRule="exact"/>
              <w:jc w:val="left"/>
              <w:rPr>
                <w:rFonts w:cs="Traditional Arabic" w:hint="cs"/>
                <w:i/>
                <w:iCs/>
                <w:szCs w:val="20"/>
                <w:rtl/>
              </w:rPr>
            </w:pPr>
            <w:r w:rsidRPr="00E41740">
              <w:rPr>
                <w:rFonts w:cs="Traditional Arabic" w:hint="cs"/>
                <w:i/>
                <w:iCs/>
                <w:szCs w:val="20"/>
                <w:rtl/>
              </w:rPr>
              <w:t>خدمات أخرى</w:t>
            </w:r>
          </w:p>
        </w:tc>
      </w:tr>
      <w:tr w:rsidR="00E41740" w:rsidRPr="00B8361A">
        <w:trPr>
          <w:jc w:val="center"/>
        </w:trPr>
        <w:tc>
          <w:tcPr>
            <w:tcW w:w="864" w:type="dxa"/>
          </w:tcPr>
          <w:p w:rsidR="00E41740" w:rsidRPr="00B8361A" w:rsidRDefault="00E41740" w:rsidP="00E41740">
            <w:pPr>
              <w:rPr>
                <w:rFonts w:cs="Traditional Arabic" w:hint="cs"/>
                <w:szCs w:val="20"/>
                <w:rtl/>
              </w:rPr>
            </w:pPr>
            <w:r>
              <w:rPr>
                <w:rFonts w:cs="Traditional Arabic" w:hint="cs"/>
                <w:szCs w:val="20"/>
                <w:rtl/>
              </w:rPr>
              <w:t>ذكور</w:t>
            </w:r>
          </w:p>
        </w:tc>
        <w:tc>
          <w:tcPr>
            <w:tcW w:w="1296" w:type="dxa"/>
          </w:tcPr>
          <w:p w:rsidR="00E41740" w:rsidRPr="00B8361A" w:rsidRDefault="00E41740" w:rsidP="00E41740">
            <w:pPr>
              <w:rPr>
                <w:rFonts w:cs="Traditional Arabic" w:hint="cs"/>
                <w:szCs w:val="20"/>
                <w:rtl/>
              </w:rPr>
            </w:pPr>
            <w:r>
              <w:rPr>
                <w:rFonts w:cs="Traditional Arabic" w:hint="cs"/>
                <w:szCs w:val="20"/>
                <w:rtl/>
              </w:rPr>
              <w:t>29%</w:t>
            </w:r>
          </w:p>
        </w:tc>
        <w:tc>
          <w:tcPr>
            <w:tcW w:w="1296" w:type="dxa"/>
          </w:tcPr>
          <w:p w:rsidR="00E41740" w:rsidRPr="00B8361A" w:rsidRDefault="00E41740" w:rsidP="00E41740">
            <w:pPr>
              <w:rPr>
                <w:rFonts w:cs="Traditional Arabic" w:hint="cs"/>
                <w:szCs w:val="20"/>
                <w:rtl/>
              </w:rPr>
            </w:pPr>
            <w:r>
              <w:rPr>
                <w:rFonts w:cs="Traditional Arabic" w:hint="cs"/>
                <w:szCs w:val="20"/>
                <w:rtl/>
              </w:rPr>
              <w:t>16%</w:t>
            </w:r>
          </w:p>
        </w:tc>
        <w:tc>
          <w:tcPr>
            <w:tcW w:w="1296" w:type="dxa"/>
          </w:tcPr>
          <w:p w:rsidR="00E41740" w:rsidRPr="00B8361A" w:rsidRDefault="00E41740" w:rsidP="00E41740">
            <w:pPr>
              <w:rPr>
                <w:rFonts w:cs="Traditional Arabic" w:hint="cs"/>
                <w:szCs w:val="20"/>
                <w:rtl/>
              </w:rPr>
            </w:pPr>
            <w:r>
              <w:rPr>
                <w:rFonts w:cs="Traditional Arabic" w:hint="cs"/>
                <w:szCs w:val="20"/>
                <w:rtl/>
              </w:rPr>
              <w:t>11%</w:t>
            </w:r>
          </w:p>
        </w:tc>
        <w:tc>
          <w:tcPr>
            <w:tcW w:w="1296" w:type="dxa"/>
          </w:tcPr>
          <w:p w:rsidR="00E41740" w:rsidRPr="00B8361A" w:rsidRDefault="00E41740" w:rsidP="00E41740">
            <w:pPr>
              <w:rPr>
                <w:rFonts w:cs="Traditional Arabic" w:hint="cs"/>
                <w:szCs w:val="20"/>
                <w:rtl/>
              </w:rPr>
            </w:pPr>
            <w:r>
              <w:rPr>
                <w:rFonts w:cs="Traditional Arabic" w:hint="cs"/>
                <w:szCs w:val="20"/>
                <w:rtl/>
              </w:rPr>
              <w:t>7%</w:t>
            </w:r>
          </w:p>
        </w:tc>
        <w:tc>
          <w:tcPr>
            <w:tcW w:w="1296" w:type="dxa"/>
          </w:tcPr>
          <w:p w:rsidR="00E41740" w:rsidRPr="00B8361A" w:rsidRDefault="00E41740" w:rsidP="00E41740">
            <w:pPr>
              <w:rPr>
                <w:rFonts w:cs="Traditional Arabic" w:hint="cs"/>
                <w:szCs w:val="20"/>
                <w:rtl/>
              </w:rPr>
            </w:pPr>
            <w:r>
              <w:rPr>
                <w:rFonts w:cs="Traditional Arabic" w:hint="cs"/>
                <w:szCs w:val="20"/>
                <w:rtl/>
              </w:rPr>
              <w:t>34%</w:t>
            </w:r>
          </w:p>
        </w:tc>
        <w:tc>
          <w:tcPr>
            <w:tcW w:w="1296" w:type="dxa"/>
          </w:tcPr>
          <w:p w:rsidR="00E41740" w:rsidRPr="00B8361A" w:rsidRDefault="00E41740" w:rsidP="00E41740">
            <w:pPr>
              <w:rPr>
                <w:rFonts w:cs="Traditional Arabic" w:hint="cs"/>
                <w:szCs w:val="20"/>
                <w:rtl/>
              </w:rPr>
            </w:pPr>
            <w:r>
              <w:rPr>
                <w:rFonts w:cs="Traditional Arabic" w:hint="cs"/>
                <w:szCs w:val="20"/>
                <w:rtl/>
              </w:rPr>
              <w:t>3%</w:t>
            </w:r>
          </w:p>
        </w:tc>
      </w:tr>
      <w:tr w:rsidR="00E41740" w:rsidRPr="00B8361A">
        <w:trPr>
          <w:jc w:val="center"/>
        </w:trPr>
        <w:tc>
          <w:tcPr>
            <w:tcW w:w="864" w:type="dxa"/>
          </w:tcPr>
          <w:p w:rsidR="00E41740" w:rsidRPr="00B8361A" w:rsidRDefault="00E41740" w:rsidP="00E41740">
            <w:pPr>
              <w:rPr>
                <w:rFonts w:cs="Traditional Arabic" w:hint="cs"/>
                <w:szCs w:val="20"/>
                <w:rtl/>
              </w:rPr>
            </w:pPr>
            <w:r>
              <w:rPr>
                <w:rFonts w:cs="Traditional Arabic" w:hint="cs"/>
                <w:szCs w:val="20"/>
                <w:rtl/>
              </w:rPr>
              <w:t>إناث</w:t>
            </w:r>
          </w:p>
        </w:tc>
        <w:tc>
          <w:tcPr>
            <w:tcW w:w="1296" w:type="dxa"/>
          </w:tcPr>
          <w:p w:rsidR="00E41740" w:rsidRPr="00B8361A" w:rsidRDefault="00E41740" w:rsidP="00E41740">
            <w:pPr>
              <w:rPr>
                <w:rFonts w:cs="Traditional Arabic" w:hint="cs"/>
                <w:szCs w:val="20"/>
                <w:rtl/>
              </w:rPr>
            </w:pPr>
            <w:r>
              <w:rPr>
                <w:rFonts w:cs="Traditional Arabic" w:hint="cs"/>
                <w:szCs w:val="20"/>
                <w:rtl/>
              </w:rPr>
              <w:t>51%</w:t>
            </w:r>
          </w:p>
        </w:tc>
        <w:tc>
          <w:tcPr>
            <w:tcW w:w="1296" w:type="dxa"/>
          </w:tcPr>
          <w:p w:rsidR="00E41740" w:rsidRPr="00B8361A" w:rsidRDefault="00E41740" w:rsidP="00E41740">
            <w:pPr>
              <w:rPr>
                <w:rFonts w:cs="Traditional Arabic" w:hint="cs"/>
                <w:szCs w:val="20"/>
                <w:rtl/>
              </w:rPr>
            </w:pPr>
            <w:r>
              <w:rPr>
                <w:rFonts w:cs="Traditional Arabic" w:hint="cs"/>
                <w:szCs w:val="20"/>
                <w:rtl/>
              </w:rPr>
              <w:t>27%</w:t>
            </w:r>
          </w:p>
        </w:tc>
        <w:tc>
          <w:tcPr>
            <w:tcW w:w="1296" w:type="dxa"/>
          </w:tcPr>
          <w:p w:rsidR="00E41740" w:rsidRPr="00B8361A" w:rsidRDefault="00E41740" w:rsidP="00E41740">
            <w:pPr>
              <w:rPr>
                <w:rFonts w:cs="Traditional Arabic" w:hint="cs"/>
                <w:szCs w:val="20"/>
                <w:rtl/>
              </w:rPr>
            </w:pPr>
            <w:r>
              <w:rPr>
                <w:rFonts w:cs="Traditional Arabic" w:hint="cs"/>
                <w:szCs w:val="20"/>
                <w:rtl/>
              </w:rPr>
              <w:t>4%</w:t>
            </w:r>
          </w:p>
        </w:tc>
        <w:tc>
          <w:tcPr>
            <w:tcW w:w="1296" w:type="dxa"/>
          </w:tcPr>
          <w:p w:rsidR="00E41740" w:rsidRPr="00B8361A" w:rsidRDefault="00E41740" w:rsidP="00E41740">
            <w:pPr>
              <w:rPr>
                <w:rFonts w:cs="Traditional Arabic" w:hint="cs"/>
                <w:szCs w:val="20"/>
                <w:rtl/>
              </w:rPr>
            </w:pPr>
            <w:r>
              <w:rPr>
                <w:rFonts w:cs="Traditional Arabic" w:hint="cs"/>
                <w:szCs w:val="20"/>
                <w:rtl/>
              </w:rPr>
              <w:t>14%</w:t>
            </w:r>
          </w:p>
        </w:tc>
        <w:tc>
          <w:tcPr>
            <w:tcW w:w="1296" w:type="dxa"/>
          </w:tcPr>
          <w:p w:rsidR="00E41740" w:rsidRPr="00B8361A" w:rsidRDefault="00E41740" w:rsidP="00E41740">
            <w:pPr>
              <w:rPr>
                <w:rFonts w:cs="Traditional Arabic" w:hint="cs"/>
                <w:szCs w:val="20"/>
                <w:rtl/>
              </w:rPr>
            </w:pPr>
            <w:r>
              <w:rPr>
                <w:rFonts w:cs="Traditional Arabic" w:hint="cs"/>
                <w:szCs w:val="20"/>
                <w:rtl/>
              </w:rPr>
              <w:t>2%</w:t>
            </w:r>
          </w:p>
        </w:tc>
        <w:tc>
          <w:tcPr>
            <w:tcW w:w="1296" w:type="dxa"/>
          </w:tcPr>
          <w:p w:rsidR="00E41740" w:rsidRPr="00B8361A" w:rsidRDefault="00E41740" w:rsidP="00E41740">
            <w:pPr>
              <w:rPr>
                <w:rFonts w:cs="Traditional Arabic" w:hint="cs"/>
                <w:szCs w:val="20"/>
                <w:rtl/>
              </w:rPr>
            </w:pPr>
            <w:r>
              <w:rPr>
                <w:rFonts w:cs="Traditional Arabic" w:hint="cs"/>
                <w:szCs w:val="20"/>
                <w:rtl/>
              </w:rPr>
              <w:t>2%</w:t>
            </w:r>
          </w:p>
        </w:tc>
      </w:tr>
      <w:tr w:rsidR="00E41740" w:rsidRPr="00B8361A">
        <w:trPr>
          <w:jc w:val="center"/>
        </w:trPr>
        <w:tc>
          <w:tcPr>
            <w:tcW w:w="864" w:type="dxa"/>
          </w:tcPr>
          <w:p w:rsidR="00E41740" w:rsidRPr="00B8361A" w:rsidRDefault="00E41740" w:rsidP="00E41740">
            <w:pPr>
              <w:rPr>
                <w:rFonts w:cs="Traditional Arabic" w:hint="cs"/>
                <w:szCs w:val="20"/>
                <w:rtl/>
              </w:rPr>
            </w:pPr>
            <w:r>
              <w:rPr>
                <w:rFonts w:cs="Traditional Arabic" w:hint="cs"/>
                <w:szCs w:val="20"/>
                <w:rtl/>
              </w:rPr>
              <w:t>المجموع</w:t>
            </w:r>
          </w:p>
        </w:tc>
        <w:tc>
          <w:tcPr>
            <w:tcW w:w="1296" w:type="dxa"/>
          </w:tcPr>
          <w:p w:rsidR="00E41740" w:rsidRPr="00B8361A" w:rsidRDefault="00E41740" w:rsidP="00E41740">
            <w:pPr>
              <w:rPr>
                <w:rFonts w:cs="Traditional Arabic" w:hint="cs"/>
                <w:szCs w:val="20"/>
                <w:rtl/>
              </w:rPr>
            </w:pPr>
            <w:r>
              <w:rPr>
                <w:rFonts w:cs="Traditional Arabic" w:hint="cs"/>
                <w:szCs w:val="20"/>
                <w:rtl/>
              </w:rPr>
              <w:t>36%</w:t>
            </w:r>
          </w:p>
        </w:tc>
        <w:tc>
          <w:tcPr>
            <w:tcW w:w="1296" w:type="dxa"/>
          </w:tcPr>
          <w:p w:rsidR="00E41740" w:rsidRPr="00B8361A" w:rsidRDefault="00E41740" w:rsidP="00E41740">
            <w:pPr>
              <w:rPr>
                <w:rFonts w:cs="Traditional Arabic" w:hint="cs"/>
                <w:szCs w:val="20"/>
                <w:rtl/>
              </w:rPr>
            </w:pPr>
            <w:r>
              <w:rPr>
                <w:rFonts w:cs="Traditional Arabic" w:hint="cs"/>
                <w:szCs w:val="20"/>
                <w:rtl/>
              </w:rPr>
              <w:t>20%</w:t>
            </w:r>
          </w:p>
        </w:tc>
        <w:tc>
          <w:tcPr>
            <w:tcW w:w="1296" w:type="dxa"/>
          </w:tcPr>
          <w:p w:rsidR="00E41740" w:rsidRPr="00B8361A" w:rsidRDefault="00E41740" w:rsidP="00E41740">
            <w:pPr>
              <w:rPr>
                <w:rFonts w:cs="Traditional Arabic" w:hint="cs"/>
                <w:szCs w:val="20"/>
                <w:rtl/>
              </w:rPr>
            </w:pPr>
            <w:r>
              <w:rPr>
                <w:rFonts w:cs="Traditional Arabic" w:hint="cs"/>
                <w:szCs w:val="20"/>
                <w:rtl/>
              </w:rPr>
              <w:t>9%</w:t>
            </w:r>
          </w:p>
        </w:tc>
        <w:tc>
          <w:tcPr>
            <w:tcW w:w="1296" w:type="dxa"/>
          </w:tcPr>
          <w:p w:rsidR="00E41740" w:rsidRPr="00B8361A" w:rsidRDefault="00E41740" w:rsidP="00E41740">
            <w:pPr>
              <w:rPr>
                <w:rFonts w:cs="Traditional Arabic" w:hint="cs"/>
                <w:szCs w:val="20"/>
                <w:rtl/>
              </w:rPr>
            </w:pPr>
            <w:r>
              <w:rPr>
                <w:rFonts w:cs="Traditional Arabic" w:hint="cs"/>
                <w:szCs w:val="20"/>
                <w:rtl/>
              </w:rPr>
              <w:t>10%</w:t>
            </w:r>
          </w:p>
        </w:tc>
        <w:tc>
          <w:tcPr>
            <w:tcW w:w="1296" w:type="dxa"/>
          </w:tcPr>
          <w:p w:rsidR="00E41740" w:rsidRPr="00B8361A" w:rsidRDefault="00E41740" w:rsidP="00E41740">
            <w:pPr>
              <w:rPr>
                <w:rFonts w:cs="Traditional Arabic" w:hint="cs"/>
                <w:szCs w:val="20"/>
                <w:rtl/>
              </w:rPr>
            </w:pPr>
            <w:r>
              <w:rPr>
                <w:rFonts w:cs="Traditional Arabic" w:hint="cs"/>
                <w:szCs w:val="20"/>
                <w:rtl/>
              </w:rPr>
              <w:t>22%</w:t>
            </w:r>
          </w:p>
        </w:tc>
        <w:tc>
          <w:tcPr>
            <w:tcW w:w="1296" w:type="dxa"/>
          </w:tcPr>
          <w:p w:rsidR="00E41740" w:rsidRPr="00B8361A" w:rsidRDefault="00E41740" w:rsidP="00E41740">
            <w:pPr>
              <w:rPr>
                <w:rFonts w:cs="Traditional Arabic" w:hint="cs"/>
                <w:szCs w:val="20"/>
                <w:rtl/>
              </w:rPr>
            </w:pPr>
            <w:r>
              <w:rPr>
                <w:rFonts w:cs="Traditional Arabic" w:hint="cs"/>
                <w:szCs w:val="20"/>
                <w:rtl/>
              </w:rPr>
              <w:t>3%</w:t>
            </w:r>
          </w:p>
        </w:tc>
      </w:tr>
    </w:tbl>
    <w:p w:rsidR="00E41740" w:rsidRPr="00E41740" w:rsidRDefault="00E41740" w:rsidP="00E41740">
      <w:pPr>
        <w:rPr>
          <w:rFonts w:hint="cs"/>
          <w:sz w:val="26"/>
          <w:szCs w:val="26"/>
          <w:rtl/>
        </w:rPr>
      </w:pPr>
      <w:r>
        <w:rPr>
          <w:rFonts w:hint="cs"/>
          <w:sz w:val="28"/>
          <w:szCs w:val="28"/>
          <w:rtl/>
        </w:rPr>
        <w:tab/>
      </w:r>
      <w:r w:rsidRPr="00E41740">
        <w:rPr>
          <w:rFonts w:hint="cs"/>
          <w:sz w:val="26"/>
          <w:szCs w:val="26"/>
          <w:rtl/>
        </w:rPr>
        <w:t>المصدر: تقرير توفالو عن التعداد السكاني لعام 2002.</w:t>
      </w:r>
    </w:p>
    <w:p w:rsidR="00E41740" w:rsidRPr="00E41740" w:rsidRDefault="00E41740" w:rsidP="00E41740">
      <w:pPr>
        <w:pStyle w:val="SingleTxt"/>
        <w:spacing w:after="0" w:line="120" w:lineRule="exact"/>
        <w:rPr>
          <w:rFonts w:hint="cs"/>
          <w:sz w:val="10"/>
          <w:rtl/>
        </w:rPr>
      </w:pPr>
    </w:p>
    <w:p w:rsidR="00E41740" w:rsidRDefault="00E41740" w:rsidP="00E41740">
      <w:pPr>
        <w:pStyle w:val="SingleTxt"/>
        <w:rPr>
          <w:rFonts w:hint="cs"/>
          <w:rtl/>
        </w:rPr>
      </w:pPr>
      <w:r>
        <w:rPr>
          <w:rFonts w:hint="cs"/>
          <w:rtl/>
        </w:rPr>
        <w:tab/>
        <w:t>هيمنت الإناث على خدمات الإدارة العامة والخدمات العامة والخدمات العقارية وخدمات الأعمال التجارية والمبيعات بالجملة والمفرق والمطاعم، في حين هيمن الرجال على جميع الصناعات الأخرى.</w:t>
      </w:r>
    </w:p>
    <w:p w:rsidR="00E41740" w:rsidRDefault="00E41740" w:rsidP="00E41740">
      <w:pPr>
        <w:pStyle w:val="SingleTxt"/>
        <w:rPr>
          <w:rFonts w:hint="cs"/>
          <w:rtl/>
        </w:rPr>
      </w:pPr>
      <w:r>
        <w:rPr>
          <w:rFonts w:hint="cs"/>
          <w:rtl/>
        </w:rPr>
        <w:t>11-8</w:t>
      </w:r>
      <w:r>
        <w:rPr>
          <w:rFonts w:hint="cs"/>
          <w:rtl/>
        </w:rPr>
        <w:tab/>
        <w:t>مع أن عدد النساء في الخدمة المدنية أكثر من عدد الرجال، فإن النساء يتركزن في الجزء السفلي من هرم الاستخدام. إلا أن عدد النساء اللواتي يشغلن مراكز عليا في الحكومة ازداد من أربع نساء في عام 2003 إلى ثماني نساء في عام 2005</w:t>
      </w:r>
      <w:r w:rsidRPr="00E41740">
        <w:rPr>
          <w:vertAlign w:val="superscript"/>
          <w:rtl/>
        </w:rPr>
        <w:t>(</w:t>
      </w:r>
      <w:r>
        <w:rPr>
          <w:rStyle w:val="FootnoteReference"/>
          <w:rtl/>
        </w:rPr>
        <w:footnoteReference w:id="93"/>
      </w:r>
      <w:r w:rsidRPr="00E41740">
        <w:rPr>
          <w:vertAlign w:val="superscript"/>
          <w:rtl/>
        </w:rPr>
        <w:t>)</w:t>
      </w:r>
      <w:r>
        <w:rPr>
          <w:rFonts w:hint="cs"/>
          <w:rtl/>
        </w:rPr>
        <w:t>. ويمكن أن تعزى هذه الزيادة إلى الزيادة الطفيفة في نسبة الخريجات المؤهلات للعمل في القطاع الحكومي في توفالو (ازدادت النسبة من 16.6 في المائة في عام 2003 إلى 22 في المائة في عام 2005).</w:t>
      </w:r>
    </w:p>
    <w:p w:rsidR="00E41740" w:rsidRDefault="00E41740" w:rsidP="00E41740">
      <w:pPr>
        <w:pStyle w:val="SingleTxt"/>
        <w:rPr>
          <w:rFonts w:hint="cs"/>
          <w:rtl/>
        </w:rPr>
      </w:pPr>
      <w:r>
        <w:rPr>
          <w:rFonts w:hint="cs"/>
          <w:rtl/>
        </w:rPr>
        <w:t>11-9</w:t>
      </w:r>
      <w:r>
        <w:rPr>
          <w:rFonts w:hint="cs"/>
          <w:rtl/>
        </w:rPr>
        <w:tab/>
        <w:t>يشكل نشاط الكفاف جزءاً كبيراً من اقتصاد توفالو، لا سيما في الجزر الخارجية. ومن بين الأنشطة الكفافية تربية الماشية (مثل الخنازير والطيور) والحرف اليدوية وصيد الأسماك وزراعة المحاصيل. وأكثر أنواع الأنشطة الكفافية انتشاراً تربية الماشية، وهو النشاط الذي يشارك فيه 7 في المائة من مجموع السكان، يليه الحرف اليدوية وصيد الأسماك حيث يعمل 6 في المائة والزراعة حيث يعمل  3 في المائة. ويشارك في الأنشطة الكفافية نحو 21 في المائة من مجموع السكان. ويبين الجدول 24 أن أكثر الأنشطة الكفافية تمارس في الجزر الخارجية ولا يمارس في جزيرة فونافوتي سوى قدر قليل جداً من النشاط. والأراضي الموجودة في فونافوتي غير كافية للزراعة، وبالتالي فإن الناس يعملون بصورة أساسية في أنشطة اقتصادية. ويبين هذا أن بوسع الناس الموجودين في الجزر الخارجية العيش بدون وسائل اقتصادية، ولكن الحياة في جزيرة فونافوتي ستكون أكثر صعوبة، فبدون عمالة سيعاني سكانها، إذ لا توجد أية وسيلة تمكنهم من إعالة أنفسهم.</w:t>
      </w:r>
    </w:p>
    <w:p w:rsidR="00E41740" w:rsidRDefault="00E41740" w:rsidP="00E41740">
      <w:pPr>
        <w:rPr>
          <w:rFonts w:hint="cs"/>
          <w:sz w:val="32"/>
          <w:szCs w:val="32"/>
          <w:rtl/>
        </w:rPr>
      </w:pPr>
    </w:p>
    <w:p w:rsidR="00E41740" w:rsidRPr="00B36E6D" w:rsidRDefault="00E41740" w:rsidP="00E41740">
      <w:pPr>
        <w:jc w:val="center"/>
        <w:rPr>
          <w:rFonts w:hint="cs"/>
          <w:b/>
          <w:bCs/>
          <w:sz w:val="28"/>
          <w:szCs w:val="28"/>
          <w:rtl/>
        </w:rPr>
      </w:pPr>
      <w:r w:rsidRPr="00B36E6D">
        <w:rPr>
          <w:rFonts w:hint="cs"/>
          <w:b/>
          <w:bCs/>
          <w:sz w:val="28"/>
          <w:szCs w:val="28"/>
          <w:rtl/>
        </w:rPr>
        <w:t>الجدول 25: نسبة الذين يعملون في أنشطة كفافية حسب التعداد السكاني لعام 2002</w:t>
      </w:r>
      <w:r>
        <w:rPr>
          <w:rFonts w:hint="cs"/>
          <w:b/>
          <w:bCs/>
          <w:sz w:val="28"/>
          <w:szCs w:val="28"/>
          <w:rtl/>
        </w:rPr>
        <w:t>،</w:t>
      </w:r>
      <w:r w:rsidRPr="00B36E6D">
        <w:rPr>
          <w:rFonts w:hint="cs"/>
          <w:b/>
          <w:bCs/>
          <w:sz w:val="28"/>
          <w:szCs w:val="28"/>
          <w:rtl/>
        </w:rPr>
        <w:t xml:space="preserve"> </w:t>
      </w:r>
    </w:p>
    <w:p w:rsidR="00E41740" w:rsidRDefault="00E41740" w:rsidP="00E41740">
      <w:pPr>
        <w:jc w:val="center"/>
        <w:rPr>
          <w:rFonts w:hint="cs"/>
          <w:sz w:val="32"/>
          <w:szCs w:val="32"/>
          <w:rtl/>
        </w:rPr>
      </w:pPr>
      <w:r w:rsidRPr="00B36E6D">
        <w:rPr>
          <w:rFonts w:hint="cs"/>
          <w:b/>
          <w:bCs/>
          <w:sz w:val="28"/>
          <w:szCs w:val="28"/>
          <w:rtl/>
        </w:rPr>
        <w:t>موزعين حسب نوع النشاط ونوع الجنس</w:t>
      </w:r>
    </w:p>
    <w:tbl>
      <w:tblPr>
        <w:tblStyle w:val="TableGrid"/>
        <w:bidiVisual/>
        <w:tblW w:w="0" w:type="auto"/>
        <w:jc w:val="center"/>
        <w:tblLayout w:type="fixed"/>
        <w:tblLook w:val="01E0" w:firstRow="1" w:lastRow="1" w:firstColumn="1" w:lastColumn="1" w:noHBand="0" w:noVBand="0"/>
      </w:tblPr>
      <w:tblGrid>
        <w:gridCol w:w="1440"/>
        <w:gridCol w:w="792"/>
        <w:gridCol w:w="792"/>
        <w:gridCol w:w="792"/>
        <w:gridCol w:w="792"/>
        <w:gridCol w:w="792"/>
        <w:gridCol w:w="792"/>
        <w:gridCol w:w="792"/>
        <w:gridCol w:w="792"/>
        <w:gridCol w:w="792"/>
      </w:tblGrid>
      <w:tr w:rsidR="00E41740" w:rsidRPr="00257756">
        <w:trPr>
          <w:jc w:val="center"/>
        </w:trPr>
        <w:tc>
          <w:tcPr>
            <w:tcW w:w="1440" w:type="dxa"/>
          </w:tcPr>
          <w:p w:rsidR="00E41740" w:rsidRPr="00257756" w:rsidRDefault="00E41740" w:rsidP="00E41740">
            <w:pPr>
              <w:jc w:val="center"/>
              <w:rPr>
                <w:rFonts w:cs="Traditional Arabic" w:hint="cs"/>
                <w:sz w:val="28"/>
                <w:szCs w:val="28"/>
                <w:rtl/>
              </w:rPr>
            </w:pPr>
          </w:p>
        </w:tc>
        <w:tc>
          <w:tcPr>
            <w:tcW w:w="2376" w:type="dxa"/>
            <w:gridSpan w:val="3"/>
          </w:tcPr>
          <w:p w:rsidR="00E41740" w:rsidRPr="00285BFD" w:rsidRDefault="00E41740" w:rsidP="00E41740">
            <w:pPr>
              <w:jc w:val="center"/>
              <w:rPr>
                <w:rFonts w:cs="Traditional Arabic" w:hint="cs"/>
                <w:b/>
                <w:bCs/>
                <w:sz w:val="28"/>
                <w:szCs w:val="28"/>
                <w:rtl/>
              </w:rPr>
            </w:pPr>
            <w:r w:rsidRPr="00285BFD">
              <w:rPr>
                <w:rFonts w:cs="Traditional Arabic" w:hint="cs"/>
                <w:b/>
                <w:bCs/>
                <w:sz w:val="28"/>
                <w:szCs w:val="28"/>
                <w:rtl/>
              </w:rPr>
              <w:t>السكان (%)</w:t>
            </w:r>
          </w:p>
        </w:tc>
        <w:tc>
          <w:tcPr>
            <w:tcW w:w="2376" w:type="dxa"/>
            <w:gridSpan w:val="3"/>
          </w:tcPr>
          <w:p w:rsidR="00E41740" w:rsidRPr="00285BFD" w:rsidRDefault="00E41740" w:rsidP="00E41740">
            <w:pPr>
              <w:jc w:val="center"/>
              <w:rPr>
                <w:rFonts w:cs="Traditional Arabic" w:hint="cs"/>
                <w:b/>
                <w:bCs/>
                <w:sz w:val="28"/>
                <w:szCs w:val="28"/>
                <w:rtl/>
              </w:rPr>
            </w:pPr>
            <w:r w:rsidRPr="00285BFD">
              <w:rPr>
                <w:rFonts w:cs="Traditional Arabic" w:hint="cs"/>
                <w:b/>
                <w:bCs/>
                <w:sz w:val="28"/>
                <w:szCs w:val="28"/>
                <w:rtl/>
              </w:rPr>
              <w:t>محاصيل (%)</w:t>
            </w:r>
          </w:p>
        </w:tc>
        <w:tc>
          <w:tcPr>
            <w:tcW w:w="2376" w:type="dxa"/>
            <w:gridSpan w:val="3"/>
          </w:tcPr>
          <w:p w:rsidR="00E41740" w:rsidRPr="00285BFD" w:rsidRDefault="00E41740" w:rsidP="00E41740">
            <w:pPr>
              <w:jc w:val="center"/>
              <w:rPr>
                <w:rFonts w:cs="Traditional Arabic" w:hint="cs"/>
                <w:b/>
                <w:bCs/>
                <w:sz w:val="28"/>
                <w:szCs w:val="28"/>
                <w:rtl/>
              </w:rPr>
            </w:pPr>
            <w:r w:rsidRPr="00285BFD">
              <w:rPr>
                <w:rFonts w:cs="Traditional Arabic" w:hint="cs"/>
                <w:b/>
                <w:bCs/>
                <w:sz w:val="28"/>
                <w:szCs w:val="28"/>
                <w:rtl/>
              </w:rPr>
              <w:t>ماشية (%)</w:t>
            </w:r>
          </w:p>
        </w:tc>
      </w:tr>
      <w:tr w:rsidR="00E41740" w:rsidRPr="00257756">
        <w:trPr>
          <w:jc w:val="center"/>
        </w:trPr>
        <w:tc>
          <w:tcPr>
            <w:tcW w:w="1440"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الجزيرة</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مجموع</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ذكر</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مجموع</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ذكر</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مجموع</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ذكر</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أنثى</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فونافوتي</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41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الجزر الخارجية</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56</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27</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29</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3</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6</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4</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بلدان أخرى</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توفالو</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100</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49</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51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3</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7</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4</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3</w:t>
            </w:r>
          </w:p>
        </w:tc>
      </w:tr>
    </w:tbl>
    <w:p w:rsidR="00E41740" w:rsidRDefault="00E41740" w:rsidP="00E41740">
      <w:pPr>
        <w:rPr>
          <w:rFonts w:hint="cs"/>
          <w:sz w:val="32"/>
          <w:szCs w:val="32"/>
          <w:rtl/>
        </w:rPr>
      </w:pPr>
    </w:p>
    <w:p w:rsidR="00E41740" w:rsidRDefault="00E41740" w:rsidP="00E41740">
      <w:pPr>
        <w:jc w:val="center"/>
        <w:rPr>
          <w:rFonts w:hint="cs"/>
          <w:b/>
          <w:bCs/>
          <w:sz w:val="28"/>
          <w:szCs w:val="28"/>
          <w:rtl/>
        </w:rPr>
      </w:pPr>
    </w:p>
    <w:p w:rsidR="00E41740" w:rsidRDefault="00E41740" w:rsidP="00E41740">
      <w:pPr>
        <w:jc w:val="center"/>
        <w:rPr>
          <w:rFonts w:hint="cs"/>
          <w:b/>
          <w:bCs/>
          <w:sz w:val="28"/>
          <w:szCs w:val="28"/>
          <w:rtl/>
        </w:rPr>
      </w:pPr>
    </w:p>
    <w:p w:rsidR="00E41740" w:rsidRPr="00B36E6D" w:rsidRDefault="00E41740" w:rsidP="00E41740">
      <w:pPr>
        <w:jc w:val="center"/>
        <w:rPr>
          <w:rFonts w:hint="cs"/>
          <w:b/>
          <w:bCs/>
          <w:sz w:val="28"/>
          <w:szCs w:val="28"/>
          <w:rtl/>
        </w:rPr>
      </w:pPr>
      <w:r w:rsidRPr="00B36E6D">
        <w:rPr>
          <w:rFonts w:hint="cs"/>
          <w:b/>
          <w:bCs/>
          <w:sz w:val="28"/>
          <w:szCs w:val="28"/>
          <w:rtl/>
        </w:rPr>
        <w:t xml:space="preserve">الجدول 25: نسبة الذين يعملون في أنشطة كفافية حسب التعداد السكاني لعام 2002 </w:t>
      </w:r>
    </w:p>
    <w:p w:rsidR="00E41740" w:rsidRDefault="00E41740" w:rsidP="00E41740">
      <w:pPr>
        <w:jc w:val="center"/>
        <w:rPr>
          <w:rFonts w:hint="cs"/>
          <w:sz w:val="32"/>
          <w:szCs w:val="32"/>
          <w:rtl/>
        </w:rPr>
      </w:pPr>
      <w:r w:rsidRPr="00B36E6D">
        <w:rPr>
          <w:rFonts w:hint="cs"/>
          <w:b/>
          <w:bCs/>
          <w:sz w:val="28"/>
          <w:szCs w:val="28"/>
          <w:rtl/>
        </w:rPr>
        <w:t>موزعين حسب نوع النشاط ونوع الجنس</w:t>
      </w:r>
      <w:r>
        <w:rPr>
          <w:rFonts w:hint="cs"/>
          <w:b/>
          <w:bCs/>
          <w:sz w:val="28"/>
          <w:szCs w:val="28"/>
          <w:rtl/>
        </w:rPr>
        <w:t xml:space="preserve"> (تابع)</w:t>
      </w:r>
    </w:p>
    <w:tbl>
      <w:tblPr>
        <w:tblStyle w:val="TableGrid"/>
        <w:bidiVisual/>
        <w:tblW w:w="0" w:type="auto"/>
        <w:jc w:val="center"/>
        <w:tblLayout w:type="fixed"/>
        <w:tblLook w:val="01E0" w:firstRow="1" w:lastRow="1" w:firstColumn="1" w:lastColumn="1" w:noHBand="0" w:noVBand="0"/>
      </w:tblPr>
      <w:tblGrid>
        <w:gridCol w:w="1440"/>
        <w:gridCol w:w="792"/>
        <w:gridCol w:w="792"/>
        <w:gridCol w:w="792"/>
        <w:gridCol w:w="792"/>
        <w:gridCol w:w="792"/>
        <w:gridCol w:w="792"/>
        <w:gridCol w:w="792"/>
        <w:gridCol w:w="792"/>
        <w:gridCol w:w="792"/>
      </w:tblGrid>
      <w:tr w:rsidR="00E41740" w:rsidRPr="00257756">
        <w:trPr>
          <w:jc w:val="center"/>
        </w:trPr>
        <w:tc>
          <w:tcPr>
            <w:tcW w:w="1440" w:type="dxa"/>
          </w:tcPr>
          <w:p w:rsidR="00E41740" w:rsidRPr="00257756" w:rsidRDefault="00E41740" w:rsidP="00E41740">
            <w:pPr>
              <w:jc w:val="center"/>
              <w:rPr>
                <w:rFonts w:cs="Traditional Arabic" w:hint="cs"/>
                <w:sz w:val="28"/>
                <w:szCs w:val="28"/>
                <w:rtl/>
              </w:rPr>
            </w:pPr>
          </w:p>
        </w:tc>
        <w:tc>
          <w:tcPr>
            <w:tcW w:w="2376" w:type="dxa"/>
            <w:gridSpan w:val="3"/>
          </w:tcPr>
          <w:p w:rsidR="00E41740" w:rsidRPr="00285BFD" w:rsidRDefault="00E41740" w:rsidP="00E41740">
            <w:pPr>
              <w:jc w:val="center"/>
              <w:rPr>
                <w:rFonts w:cs="Traditional Arabic" w:hint="cs"/>
                <w:b/>
                <w:bCs/>
                <w:sz w:val="28"/>
                <w:szCs w:val="28"/>
                <w:rtl/>
              </w:rPr>
            </w:pPr>
            <w:r w:rsidRPr="00285BFD">
              <w:rPr>
                <w:rFonts w:cs="Traditional Arabic" w:hint="cs"/>
                <w:b/>
                <w:bCs/>
                <w:sz w:val="28"/>
                <w:szCs w:val="28"/>
                <w:rtl/>
              </w:rPr>
              <w:t>حرف يدوية (%)</w:t>
            </w:r>
          </w:p>
        </w:tc>
        <w:tc>
          <w:tcPr>
            <w:tcW w:w="2376" w:type="dxa"/>
            <w:gridSpan w:val="3"/>
          </w:tcPr>
          <w:p w:rsidR="00E41740" w:rsidRPr="00285BFD" w:rsidRDefault="00E41740" w:rsidP="00E41740">
            <w:pPr>
              <w:jc w:val="center"/>
              <w:rPr>
                <w:rFonts w:cs="Traditional Arabic" w:hint="cs"/>
                <w:b/>
                <w:bCs/>
                <w:sz w:val="28"/>
                <w:szCs w:val="28"/>
                <w:rtl/>
              </w:rPr>
            </w:pPr>
            <w:r w:rsidRPr="00285BFD">
              <w:rPr>
                <w:rFonts w:cs="Traditional Arabic" w:hint="cs"/>
                <w:b/>
                <w:bCs/>
                <w:sz w:val="28"/>
                <w:szCs w:val="28"/>
                <w:rtl/>
              </w:rPr>
              <w:t>صيد الأسماك (%)</w:t>
            </w:r>
          </w:p>
        </w:tc>
        <w:tc>
          <w:tcPr>
            <w:tcW w:w="2376" w:type="dxa"/>
            <w:gridSpan w:val="3"/>
          </w:tcPr>
          <w:p w:rsidR="00E41740" w:rsidRPr="00285BFD" w:rsidRDefault="00E41740" w:rsidP="00E41740">
            <w:pPr>
              <w:jc w:val="center"/>
              <w:rPr>
                <w:rFonts w:cs="Traditional Arabic" w:hint="cs"/>
                <w:b/>
                <w:bCs/>
                <w:sz w:val="28"/>
                <w:szCs w:val="28"/>
                <w:rtl/>
              </w:rPr>
            </w:pPr>
            <w:r w:rsidRPr="00285BFD">
              <w:rPr>
                <w:rFonts w:cs="Traditional Arabic" w:hint="cs"/>
                <w:b/>
                <w:bCs/>
                <w:sz w:val="28"/>
                <w:szCs w:val="28"/>
                <w:rtl/>
              </w:rPr>
              <w:t>المجموع (%)</w:t>
            </w:r>
          </w:p>
        </w:tc>
      </w:tr>
      <w:tr w:rsidR="00E41740" w:rsidRPr="00257756">
        <w:trPr>
          <w:jc w:val="center"/>
        </w:trPr>
        <w:tc>
          <w:tcPr>
            <w:tcW w:w="1440"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الجزيرة</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مجموع</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ذكر</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مجموع</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ذكر</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أنثى</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مجموع</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ذكر</w:t>
            </w:r>
          </w:p>
        </w:tc>
        <w:tc>
          <w:tcPr>
            <w:tcW w:w="792" w:type="dxa"/>
          </w:tcPr>
          <w:p w:rsidR="00E41740" w:rsidRPr="00257756" w:rsidRDefault="00E41740" w:rsidP="00E41740">
            <w:pPr>
              <w:jc w:val="center"/>
              <w:rPr>
                <w:rFonts w:cs="Traditional Arabic" w:hint="cs"/>
                <w:b/>
                <w:bCs/>
                <w:sz w:val="28"/>
                <w:szCs w:val="28"/>
                <w:rtl/>
              </w:rPr>
            </w:pPr>
            <w:r w:rsidRPr="00257756">
              <w:rPr>
                <w:rFonts w:cs="Traditional Arabic" w:hint="cs"/>
                <w:b/>
                <w:bCs/>
                <w:sz w:val="28"/>
                <w:szCs w:val="28"/>
                <w:rtl/>
              </w:rPr>
              <w:t>أنثى</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فونافوتي</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الجزر الخارجية</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5</w:t>
            </w:r>
          </w:p>
        </w:tc>
        <w:tc>
          <w:tcPr>
            <w:tcW w:w="792" w:type="dxa"/>
          </w:tcPr>
          <w:p w:rsidR="00E41740" w:rsidRPr="00257756" w:rsidRDefault="00E41740" w:rsidP="00E41740">
            <w:pPr>
              <w:jc w:val="center"/>
              <w:rPr>
                <w:rFonts w:cs="Traditional Arabic" w:hint="cs"/>
                <w:sz w:val="28"/>
                <w:szCs w:val="28"/>
                <w:rtl/>
              </w:rPr>
            </w:pP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4</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5</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4</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19</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10</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9</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بلدان أخرى</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 xml:space="preserve">صفر </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صفر</w:t>
            </w:r>
          </w:p>
        </w:tc>
      </w:tr>
      <w:tr w:rsidR="00E41740" w:rsidRPr="00257756">
        <w:trPr>
          <w:jc w:val="center"/>
        </w:trPr>
        <w:tc>
          <w:tcPr>
            <w:tcW w:w="1440" w:type="dxa"/>
          </w:tcPr>
          <w:p w:rsidR="00E41740" w:rsidRPr="00257756" w:rsidRDefault="00E41740" w:rsidP="00E41740">
            <w:pPr>
              <w:rPr>
                <w:rFonts w:cs="Traditional Arabic" w:hint="cs"/>
                <w:sz w:val="28"/>
                <w:szCs w:val="28"/>
                <w:rtl/>
              </w:rPr>
            </w:pPr>
            <w:r>
              <w:rPr>
                <w:rFonts w:cs="Traditional Arabic" w:hint="cs"/>
                <w:sz w:val="28"/>
                <w:szCs w:val="28"/>
                <w:rtl/>
              </w:rPr>
              <w:t>توفالو</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6</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5</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6</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5</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21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11</w:t>
            </w:r>
          </w:p>
        </w:tc>
        <w:tc>
          <w:tcPr>
            <w:tcW w:w="792" w:type="dxa"/>
          </w:tcPr>
          <w:p w:rsidR="00E41740" w:rsidRPr="00257756" w:rsidRDefault="00E41740" w:rsidP="00E41740">
            <w:pPr>
              <w:jc w:val="center"/>
              <w:rPr>
                <w:rFonts w:cs="Traditional Arabic" w:hint="cs"/>
                <w:sz w:val="28"/>
                <w:szCs w:val="28"/>
                <w:rtl/>
              </w:rPr>
            </w:pPr>
            <w:r>
              <w:rPr>
                <w:rFonts w:cs="Traditional Arabic" w:hint="cs"/>
                <w:sz w:val="28"/>
                <w:szCs w:val="28"/>
                <w:rtl/>
              </w:rPr>
              <w:t>10</w:t>
            </w:r>
          </w:p>
        </w:tc>
      </w:tr>
    </w:tbl>
    <w:p w:rsidR="00E41740" w:rsidRDefault="00E41740" w:rsidP="00E41740">
      <w:pPr>
        <w:rPr>
          <w:rFonts w:hint="cs"/>
          <w:sz w:val="32"/>
          <w:szCs w:val="32"/>
          <w:rtl/>
        </w:rPr>
      </w:pPr>
    </w:p>
    <w:p w:rsidR="00E41740" w:rsidRDefault="00E41740" w:rsidP="00E41740">
      <w:pPr>
        <w:pStyle w:val="SingleTxt"/>
        <w:rPr>
          <w:rFonts w:hint="cs"/>
          <w:rtl/>
        </w:rPr>
      </w:pPr>
      <w:r>
        <w:rPr>
          <w:rFonts w:hint="cs"/>
          <w:rtl/>
        </w:rPr>
        <w:t>11-10  في الشكل 11، يبين الرسم البياني أكثر ميادين عمل الكفاف خضوعاً لهيمنة الرجل وأكثرها خضوعاً لهيمنة المرأة. فالمرأة، بالإضافة إلى عملها المنزلي، تشارك أيضاً في الحرف اليدوية، بينما يعمل الذكور في الصيد وزراعة المحاصيل. بينما تقاسم الذكور والإناث مسؤولية تربية الماشية. وهذا يدل على أن لكل من الرجل والمرأة نوعاً من العمل الخاص به أو بها في أنشطة الكفاف أو القطاع غير الرسمي، إلا أن الرجال يميلون إلى الهيمنة على معظم الأعمال التي يتشاطرها الرجل والمرأة. ويعزى هذا بصورة رئيسية إلى حقيقة أن من المألوف أن يعتني الرجل بالماشية وزراعة المحاصيل.</w:t>
      </w:r>
    </w:p>
    <w:p w:rsidR="00E41740" w:rsidRDefault="00E41740" w:rsidP="00E41740">
      <w:pPr>
        <w:jc w:val="center"/>
        <w:rPr>
          <w:rFonts w:hint="cs"/>
          <w:b/>
          <w:bCs/>
          <w:sz w:val="28"/>
          <w:szCs w:val="28"/>
          <w:rtl/>
        </w:rPr>
      </w:pPr>
      <w:r w:rsidRPr="00B36E6D">
        <w:rPr>
          <w:rFonts w:hint="cs"/>
          <w:b/>
          <w:bCs/>
          <w:sz w:val="28"/>
          <w:szCs w:val="28"/>
          <w:rtl/>
        </w:rPr>
        <w:t>الشكل 11: أنواع عمل الكفاف موزعة حسب نوع الجنس</w:t>
      </w:r>
      <w:r w:rsidR="00402408">
        <w:rPr>
          <w:rFonts w:hint="cs"/>
          <w:b/>
          <w:bCs/>
          <w:sz w:val="28"/>
          <w:szCs w:val="28"/>
          <w:rtl/>
        </w:rPr>
        <w:t xml:space="preserve"> عام 2002</w:t>
      </w:r>
    </w:p>
    <w:p w:rsidR="00E41740" w:rsidRDefault="00E41740" w:rsidP="00E41740">
      <w:pPr>
        <w:jc w:val="center"/>
        <w:rPr>
          <w:rFonts w:hint="cs"/>
          <w:b/>
          <w:bCs/>
          <w:sz w:val="28"/>
          <w:szCs w:val="28"/>
          <w:rtl/>
        </w:rPr>
      </w:pPr>
      <w:r>
        <w:rPr>
          <w:noProof/>
        </w:rPr>
        <w:pict>
          <v:shape id="_x0000_s2614" type="#_x0000_t75" style="position:absolute;left:0;text-align:left;margin-left:30.25pt;margin-top:11.4pt;width:6in;height:248.25pt;z-index:52">
            <v:imagedata r:id="rId24" o:title=""/>
          </v:shape>
        </w:pict>
      </w:r>
    </w:p>
    <w:p w:rsidR="00E41740" w:rsidRPr="00B36E6D" w:rsidRDefault="0012430C" w:rsidP="00E41740">
      <w:pPr>
        <w:jc w:val="center"/>
        <w:rPr>
          <w:rFonts w:hint="cs"/>
          <w:b/>
          <w:bCs/>
          <w:sz w:val="28"/>
          <w:szCs w:val="28"/>
          <w:rtl/>
        </w:rPr>
      </w:pPr>
      <w:r>
        <w:rPr>
          <w:rFonts w:hint="cs"/>
          <w:noProof/>
          <w:w w:val="100"/>
          <w:rtl/>
        </w:rPr>
        <w:pict>
          <v:shape id="_x0000_s2617" type="#_x0000_t202" style="position:absolute;left:0;text-align:left;margin-left:73.05pt;margin-top:.4pt;width:354.95pt;height:27pt;z-index:53" strokecolor="white">
            <v:textbox inset="0,0,0,0">
              <w:txbxContent>
                <w:p w:rsidR="00F93B21" w:rsidRPr="0012430C" w:rsidRDefault="00F93B21">
                  <w:pPr>
                    <w:rPr>
                      <w:rFonts w:hint="cs"/>
                      <w:sz w:val="18"/>
                      <w:szCs w:val="28"/>
                      <w:lang w:bidi="ar-EG"/>
                    </w:rPr>
                  </w:pPr>
                  <w:r w:rsidRPr="0012430C">
                    <w:rPr>
                      <w:rFonts w:hint="cs"/>
                      <w:sz w:val="18"/>
                      <w:szCs w:val="28"/>
                      <w:rtl/>
                      <w:lang w:bidi="ar-EG"/>
                    </w:rPr>
                    <w:t>أنواع العمل في قطاع الكفاف أو القطاع غير الرسمي في عام 2002 موزعة حسب نوع الجنس</w:t>
                  </w:r>
                </w:p>
              </w:txbxContent>
            </v:textbox>
          </v:shape>
        </w:pict>
      </w:r>
    </w:p>
    <w:p w:rsidR="00E41740" w:rsidRDefault="00E41740" w:rsidP="00E41740">
      <w:pPr>
        <w:jc w:val="center"/>
        <w:rPr>
          <w:rFonts w:hint="cs"/>
          <w:sz w:val="32"/>
          <w:szCs w:val="32"/>
          <w:rtl/>
        </w:rPr>
      </w:pPr>
    </w:p>
    <w:p w:rsidR="00E41740" w:rsidRDefault="0012430C" w:rsidP="00E41740">
      <w:pPr>
        <w:jc w:val="center"/>
        <w:rPr>
          <w:rFonts w:hint="cs"/>
          <w:sz w:val="32"/>
          <w:szCs w:val="32"/>
          <w:rtl/>
        </w:rPr>
      </w:pPr>
      <w:r>
        <w:rPr>
          <w:rFonts w:hint="cs"/>
          <w:noProof/>
          <w:w w:val="100"/>
          <w:rtl/>
        </w:rPr>
        <w:pict>
          <v:shape id="_x0000_s2618" type="#_x0000_t202" style="position:absolute;left:0;text-align:left;margin-left:40pt;margin-top:14.4pt;width:24pt;height:108pt;z-index:54" strokecolor="white">
            <v:textbox style="layout-flow:vertical;mso-layout-flow-alt:bottom-to-top;mso-next-textbox:#_x0000_s2618" inset="0,0,0,0">
              <w:txbxContent>
                <w:p w:rsidR="00F93B21" w:rsidRPr="0012430C" w:rsidRDefault="00F93B21" w:rsidP="0012430C">
                  <w:pPr>
                    <w:jc w:val="center"/>
                    <w:rPr>
                      <w:rFonts w:hint="cs"/>
                      <w:sz w:val="16"/>
                      <w:szCs w:val="26"/>
                      <w:lang w:bidi="ar-EG"/>
                    </w:rPr>
                  </w:pPr>
                  <w:r w:rsidRPr="0012430C">
                    <w:rPr>
                      <w:rFonts w:hint="cs"/>
                      <w:sz w:val="16"/>
                      <w:szCs w:val="26"/>
                      <w:rtl/>
                      <w:lang w:bidi="ar-EG"/>
                    </w:rPr>
                    <w:t>نسبة السكان</w:t>
                  </w:r>
                </w:p>
              </w:txbxContent>
            </v:textbox>
          </v:shape>
        </w:pict>
      </w:r>
    </w:p>
    <w:p w:rsidR="00E41740" w:rsidRDefault="00E41740" w:rsidP="00E41740">
      <w:pPr>
        <w:jc w:val="center"/>
        <w:rPr>
          <w:rFonts w:hint="cs"/>
          <w:sz w:val="32"/>
          <w:szCs w:val="32"/>
          <w:rtl/>
        </w:rPr>
      </w:pPr>
    </w:p>
    <w:p w:rsidR="00E41740" w:rsidRDefault="00E41740" w:rsidP="00E41740">
      <w:pPr>
        <w:jc w:val="center"/>
        <w:rPr>
          <w:rFonts w:hint="cs"/>
          <w:sz w:val="32"/>
          <w:szCs w:val="32"/>
          <w:rtl/>
        </w:rPr>
      </w:pPr>
    </w:p>
    <w:p w:rsidR="00E41740" w:rsidRDefault="00E41740" w:rsidP="00E41740">
      <w:pPr>
        <w:jc w:val="center"/>
        <w:rPr>
          <w:rFonts w:hint="cs"/>
          <w:sz w:val="32"/>
          <w:szCs w:val="32"/>
          <w:rtl/>
        </w:rPr>
      </w:pPr>
    </w:p>
    <w:p w:rsidR="00E41740" w:rsidRDefault="00E41740" w:rsidP="00E41740">
      <w:pPr>
        <w:jc w:val="center"/>
        <w:rPr>
          <w:rFonts w:hint="cs"/>
          <w:sz w:val="32"/>
          <w:szCs w:val="32"/>
          <w:rtl/>
        </w:rPr>
      </w:pPr>
    </w:p>
    <w:p w:rsidR="00E41740" w:rsidRDefault="00E41740" w:rsidP="00E41740">
      <w:pPr>
        <w:jc w:val="center"/>
        <w:rPr>
          <w:rFonts w:hint="cs"/>
          <w:sz w:val="32"/>
          <w:szCs w:val="32"/>
          <w:rtl/>
        </w:rPr>
      </w:pPr>
    </w:p>
    <w:p w:rsidR="00E41740" w:rsidRDefault="00E41740" w:rsidP="00E41740">
      <w:pPr>
        <w:jc w:val="center"/>
        <w:rPr>
          <w:rFonts w:hint="cs"/>
          <w:sz w:val="32"/>
          <w:szCs w:val="32"/>
          <w:rtl/>
        </w:rPr>
      </w:pPr>
    </w:p>
    <w:p w:rsidR="00E41740" w:rsidRDefault="0012430C" w:rsidP="00E41740">
      <w:pPr>
        <w:jc w:val="center"/>
        <w:rPr>
          <w:rFonts w:hint="cs"/>
          <w:sz w:val="32"/>
          <w:szCs w:val="32"/>
          <w:rtl/>
        </w:rPr>
      </w:pPr>
      <w:r>
        <w:rPr>
          <w:rFonts w:hint="cs"/>
          <w:noProof/>
          <w:w w:val="100"/>
          <w:rtl/>
        </w:rPr>
        <w:pict>
          <v:shape id="_x0000_s2620" type="#_x0000_t202" style="position:absolute;left:0;text-align:left;margin-left:68.1pt;margin-top:11.2pt;width:20.9pt;height:10.8pt;z-index:56" strokecolor="white">
            <v:textbox inset="0,0,0,0">
              <w:txbxContent>
                <w:p w:rsidR="00F93B21" w:rsidRPr="0012430C" w:rsidRDefault="00F93B21" w:rsidP="0012430C">
                  <w:pPr>
                    <w:spacing w:line="200" w:lineRule="exact"/>
                    <w:jc w:val="center"/>
                    <w:rPr>
                      <w:rFonts w:hint="cs"/>
                      <w:sz w:val="14"/>
                      <w:szCs w:val="24"/>
                      <w:lang w:bidi="ar-EG"/>
                    </w:rPr>
                  </w:pPr>
                  <w:r w:rsidRPr="0012430C">
                    <w:rPr>
                      <w:rFonts w:hint="cs"/>
                      <w:sz w:val="14"/>
                      <w:szCs w:val="24"/>
                      <w:rtl/>
                      <w:lang w:bidi="ar-EG"/>
                    </w:rPr>
                    <w:t>ذكور</w:t>
                  </w:r>
                </w:p>
              </w:txbxContent>
            </v:textbox>
          </v:shape>
        </w:pict>
      </w:r>
    </w:p>
    <w:p w:rsidR="00E41740" w:rsidRDefault="0012430C" w:rsidP="00E41740">
      <w:pPr>
        <w:jc w:val="center"/>
        <w:rPr>
          <w:rFonts w:hint="cs"/>
          <w:sz w:val="32"/>
          <w:szCs w:val="32"/>
          <w:rtl/>
        </w:rPr>
      </w:pPr>
      <w:r>
        <w:rPr>
          <w:rFonts w:hint="cs"/>
          <w:noProof/>
          <w:w w:val="100"/>
          <w:rtl/>
        </w:rPr>
        <w:pict>
          <v:shape id="_x0000_s2621" type="#_x0000_t202" style="position:absolute;left:0;text-align:left;margin-left:68.6pt;margin-top:4.4pt;width:28.1pt;height:10.8pt;z-index:57" strokecolor="white">
            <v:textbox inset="0,0,0,0">
              <w:txbxContent>
                <w:p w:rsidR="00F93B21" w:rsidRPr="0012430C" w:rsidRDefault="00F93B21" w:rsidP="0012430C">
                  <w:pPr>
                    <w:spacing w:line="200" w:lineRule="exact"/>
                    <w:jc w:val="center"/>
                    <w:rPr>
                      <w:rFonts w:hint="cs"/>
                      <w:sz w:val="14"/>
                      <w:szCs w:val="24"/>
                      <w:lang w:bidi="ar-EG"/>
                    </w:rPr>
                  </w:pPr>
                  <w:r>
                    <w:rPr>
                      <w:rFonts w:hint="cs"/>
                      <w:sz w:val="14"/>
                      <w:szCs w:val="24"/>
                      <w:rtl/>
                      <w:lang w:bidi="ar-EG"/>
                    </w:rPr>
                    <w:t>إناث</w:t>
                  </w:r>
                </w:p>
              </w:txbxContent>
            </v:textbox>
          </v:shape>
        </w:pict>
      </w:r>
      <w:r>
        <w:rPr>
          <w:rFonts w:hint="cs"/>
          <w:noProof/>
          <w:w w:val="100"/>
          <w:rtl/>
        </w:rPr>
        <w:pict>
          <v:shape id="_x0000_s2619" type="#_x0000_t202" style="position:absolute;left:0;text-align:left;margin-left:224pt;margin-top:16.4pt;width:100pt;height:18pt;z-index:55" strokecolor="white">
            <v:textbox inset="0,0,0,0">
              <w:txbxContent>
                <w:p w:rsidR="00F93B21" w:rsidRPr="0012430C" w:rsidRDefault="00F93B21" w:rsidP="0012430C">
                  <w:pPr>
                    <w:spacing w:line="300" w:lineRule="exact"/>
                    <w:jc w:val="center"/>
                    <w:rPr>
                      <w:rFonts w:hint="cs"/>
                      <w:sz w:val="16"/>
                      <w:szCs w:val="26"/>
                      <w:lang w:bidi="ar-EG"/>
                    </w:rPr>
                  </w:pPr>
                  <w:r>
                    <w:rPr>
                      <w:rFonts w:hint="cs"/>
                      <w:sz w:val="16"/>
                      <w:szCs w:val="26"/>
                      <w:rtl/>
                      <w:lang w:bidi="ar-EG"/>
                    </w:rPr>
                    <w:t>نوع العمل</w:t>
                  </w:r>
                </w:p>
              </w:txbxContent>
            </v:textbox>
          </v:shape>
        </w:pict>
      </w:r>
    </w:p>
    <w:p w:rsidR="00E41740" w:rsidRDefault="00E41740" w:rsidP="00E41740">
      <w:pPr>
        <w:jc w:val="center"/>
        <w:rPr>
          <w:rFonts w:hint="cs"/>
          <w:sz w:val="32"/>
          <w:szCs w:val="32"/>
          <w:rtl/>
        </w:rPr>
      </w:pPr>
    </w:p>
    <w:p w:rsidR="00E41740" w:rsidRDefault="00E41740" w:rsidP="00E41740">
      <w:pPr>
        <w:pStyle w:val="SingleTxt"/>
        <w:rPr>
          <w:rFonts w:hint="cs"/>
          <w:rtl/>
        </w:rPr>
      </w:pPr>
      <w:r>
        <w:rPr>
          <w:rFonts w:hint="cs"/>
          <w:rtl/>
        </w:rPr>
        <w:tab/>
        <w:t>تبيع نساء عديدات المصنوعات اليدوية بواسطة مركز المرأة التوفالية للحرف اليدوية، وأصبحت هذه الأنشطة مصادر مهمة للدخل.</w:t>
      </w:r>
    </w:p>
    <w:p w:rsidR="00C46682" w:rsidRPr="00C46682" w:rsidRDefault="00C46682" w:rsidP="00C4668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41740" w:rsidRDefault="0012430C" w:rsidP="001243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E02804">
        <w:rPr>
          <w:rFonts w:hint="cs"/>
          <w:rtl/>
        </w:rPr>
        <w:t>تدريب البالغين</w:t>
      </w:r>
    </w:p>
    <w:p w:rsidR="00E41740" w:rsidRDefault="0012430C" w:rsidP="0012430C">
      <w:pPr>
        <w:pStyle w:val="SingleTxt"/>
        <w:rPr>
          <w:rFonts w:hint="cs"/>
          <w:rtl/>
        </w:rPr>
      </w:pPr>
      <w:r>
        <w:rPr>
          <w:rFonts w:hint="cs"/>
          <w:rtl/>
        </w:rPr>
        <w:t xml:space="preserve">11-11  </w:t>
      </w:r>
      <w:r w:rsidR="00E41740">
        <w:rPr>
          <w:rFonts w:hint="cs"/>
          <w:rtl/>
        </w:rPr>
        <w:t>توفر الحكومة التدريب في الخدمة للمؤهلين لمواصلة الدراسة بعد المرحلة الثانوية. إضافة إلى ذلك، توجد برامج تدريب منتظمة لبناء قدرة الذين يعملون في الخدمة العامة والمنظمات المسجلة أيضاً. والتدريب المهني مستمر، لا سيما للعاملات في المجتمع المحلي. حيث ينخرط المشاركون في دورة إقليمية مدتها سبعة شهور تعقد في مركز المجتمع للتعليم والتدريب التابع لأمانة جماعة المحيط الهادئ، الموجود في سوفا، فيجي. وحتى الآن تخرجت من هذا المركز 30 امرأة توفالية، ومعظمهن مستخدمات على أساس التفرغ.</w:t>
      </w:r>
    </w:p>
    <w:p w:rsidR="00C46682" w:rsidRPr="00C46682" w:rsidRDefault="00C46682" w:rsidP="00C4668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rPr>
      </w:pPr>
    </w:p>
    <w:p w:rsidR="00E41740" w:rsidRDefault="00C46682" w:rsidP="00C466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E02804">
        <w:rPr>
          <w:rFonts w:hint="cs"/>
          <w:rtl/>
        </w:rPr>
        <w:t>أجر متساوٍ للعمل المتساوي</w:t>
      </w:r>
    </w:p>
    <w:p w:rsidR="00E41740" w:rsidRDefault="00C46682" w:rsidP="00C46682">
      <w:pPr>
        <w:pStyle w:val="SingleTxt"/>
        <w:rPr>
          <w:rFonts w:hint="cs"/>
          <w:rtl/>
        </w:rPr>
      </w:pPr>
      <w:r>
        <w:rPr>
          <w:rFonts w:hint="cs"/>
          <w:rtl/>
        </w:rPr>
        <w:t xml:space="preserve">11-12  </w:t>
      </w:r>
      <w:r w:rsidR="00E41740">
        <w:rPr>
          <w:rFonts w:hint="cs"/>
          <w:rtl/>
        </w:rPr>
        <w:t>يعطي الفرع 27 من قانون العمالة الوزير صلاحية تحديد الحد الأدنى لأجور العاملين في أية مهنة، إما بصورة عامة أو في أية منطقة أو مقاطعة محددة، وفي أية حالة يقتنع فيها أن الحد الأدنى للأجور التي يجري دفعها لأي مستخدم يعمل في أية مهنة متدنٍ إلى حد غير معقول. بيد أنه يتعين على الوزير أن يتشاور، قبل إصدار الأمر، مع ممثلي أرباب العمل الذين يعمل لديهم العمال المعنيون ومع ممثلي العمال. وبالنسبة للذين يعملون في الخدمة المدنية، الرجال والنساء الموجودون في نفس سلم الرواتب يتلقون نفس الراتب.</w:t>
      </w:r>
    </w:p>
    <w:p w:rsidR="00C46682" w:rsidRPr="00C46682" w:rsidRDefault="00C46682" w:rsidP="00C46682">
      <w:pPr>
        <w:pStyle w:val="SingleTxt"/>
        <w:spacing w:after="0" w:line="120" w:lineRule="exact"/>
        <w:rPr>
          <w:rFonts w:hint="cs"/>
          <w:sz w:val="10"/>
          <w:rtl/>
        </w:rPr>
      </w:pPr>
    </w:p>
    <w:p w:rsidR="00E41740" w:rsidRDefault="00C46682" w:rsidP="00C466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E02804">
        <w:rPr>
          <w:rFonts w:hint="cs"/>
          <w:rtl/>
        </w:rPr>
        <w:t>الإجازة المرضية</w:t>
      </w:r>
    </w:p>
    <w:p w:rsidR="00E41740" w:rsidRDefault="00C46682" w:rsidP="00C46682">
      <w:pPr>
        <w:pStyle w:val="SingleTxt"/>
        <w:rPr>
          <w:rFonts w:hint="cs"/>
          <w:rtl/>
        </w:rPr>
      </w:pPr>
      <w:r>
        <w:rPr>
          <w:rFonts w:hint="cs"/>
          <w:rtl/>
        </w:rPr>
        <w:t xml:space="preserve">11-13  </w:t>
      </w:r>
      <w:r w:rsidR="00E41740">
        <w:rPr>
          <w:rFonts w:hint="cs"/>
          <w:rtl/>
        </w:rPr>
        <w:t>يحق لجميع العاملين أخذ إجازة مرضية بإبراز شهادة مرضية صحيحة. وبالنسبة للمستخدمين في الخدمة العامة، توجد أحكام أخرى بالنسبة لهم في الأوامر الإدارية العامة لعام 2000. وتنطبق هذه الأوامر على المستخدمين في الفالي كابيول أو مجلس الجزيرة إن لم تكن توجد أحكام في المبادئ التوجيهية الخاصة بوظائفهم.</w:t>
      </w:r>
    </w:p>
    <w:p w:rsidR="00C46682" w:rsidRPr="00C46682" w:rsidRDefault="00C46682" w:rsidP="00C46682">
      <w:pPr>
        <w:pStyle w:val="SingleTxt"/>
        <w:spacing w:after="0" w:line="120" w:lineRule="exact"/>
        <w:rPr>
          <w:rFonts w:hint="cs"/>
          <w:sz w:val="10"/>
          <w:rtl/>
        </w:rPr>
      </w:pPr>
    </w:p>
    <w:p w:rsidR="00E41740" w:rsidRDefault="00C46682" w:rsidP="00C466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Pr>
          <w:rFonts w:hint="cs"/>
          <w:rtl/>
        </w:rPr>
        <w:t>صندوق توفالو</w:t>
      </w:r>
      <w:r w:rsidR="00E41740" w:rsidRPr="00E02804">
        <w:rPr>
          <w:rFonts w:hint="cs"/>
          <w:rtl/>
        </w:rPr>
        <w:t xml:space="preserve"> الوطني</w:t>
      </w:r>
      <w:r w:rsidR="00E41740">
        <w:rPr>
          <w:rFonts w:hint="cs"/>
          <w:rtl/>
        </w:rPr>
        <w:t xml:space="preserve"> للادخار</w:t>
      </w:r>
    </w:p>
    <w:p w:rsidR="00E41740" w:rsidRDefault="00C46682" w:rsidP="002F3208">
      <w:pPr>
        <w:pStyle w:val="SingleTxt"/>
        <w:rPr>
          <w:rFonts w:hint="cs"/>
          <w:rtl/>
        </w:rPr>
      </w:pPr>
      <w:r>
        <w:rPr>
          <w:rFonts w:hint="cs"/>
          <w:rtl/>
        </w:rPr>
        <w:t xml:space="preserve">11-14  </w:t>
      </w:r>
      <w:r w:rsidR="00E41740">
        <w:rPr>
          <w:rFonts w:hint="cs"/>
          <w:rtl/>
        </w:rPr>
        <w:t>ينص قانون الصندوق الوطني للادخار لعام 1984 على إنشاء صندوق توفالو الوطني للادخار. وقبل عام 1984، كان يوجد لدى الحكومة نظام تقاعد، يقتصر فقط على العاملين في الخدمة المدنية</w:t>
      </w:r>
      <w:r w:rsidR="00084D51" w:rsidRPr="00084D51">
        <w:rPr>
          <w:vertAlign w:val="superscript"/>
          <w:rtl/>
        </w:rPr>
        <w:t>(</w:t>
      </w:r>
      <w:r w:rsidR="00084D51">
        <w:rPr>
          <w:rStyle w:val="FootnoteReference"/>
          <w:rtl/>
        </w:rPr>
        <w:footnoteReference w:id="94"/>
      </w:r>
      <w:r w:rsidR="00084D51" w:rsidRPr="00084D51">
        <w:rPr>
          <w:vertAlign w:val="superscript"/>
          <w:rtl/>
        </w:rPr>
        <w:t>)</w:t>
      </w:r>
      <w:r w:rsidR="00E41740">
        <w:rPr>
          <w:rFonts w:hint="cs"/>
          <w:rtl/>
        </w:rPr>
        <w:t>.</w:t>
      </w:r>
      <w:r w:rsidR="002F3208">
        <w:rPr>
          <w:rFonts w:hint="cs"/>
          <w:rtl/>
        </w:rPr>
        <w:t xml:space="preserve"> </w:t>
      </w:r>
      <w:r w:rsidR="00E41740">
        <w:rPr>
          <w:rFonts w:hint="cs"/>
          <w:rtl/>
        </w:rPr>
        <w:t>ووفر إنشاء صندوق توفالو الوطني للادخار مكاناً للمستخدمين في القطاع العام والمستخدمين في القطاع الخاص على حد سواء للتوفير من أجل تقاعدهم ومن أجل مزايا أخرى أيضاً. والأهداف الرئيسية لنصدوق التوفير التوفالي الوطني هي:</w:t>
      </w:r>
    </w:p>
    <w:p w:rsidR="00E41740" w:rsidRDefault="00C46682" w:rsidP="00402408">
      <w:pPr>
        <w:pStyle w:val="SingleTxt"/>
        <w:ind w:left="2592" w:hanging="1325"/>
        <w:rPr>
          <w:rFonts w:hint="cs"/>
          <w:rtl/>
        </w:rPr>
      </w:pPr>
      <w:r>
        <w:rPr>
          <w:rFonts w:hint="cs"/>
          <w:rtl/>
        </w:rPr>
        <w:tab/>
      </w:r>
      <w:r w:rsidR="00402408">
        <w:rPr>
          <w:rFonts w:hint="cs"/>
          <w:rtl/>
        </w:rPr>
        <w:t>’</w:t>
      </w:r>
      <w:r>
        <w:rPr>
          <w:rFonts w:hint="cs"/>
          <w:rtl/>
        </w:rPr>
        <w:t>1</w:t>
      </w:r>
      <w:r w:rsidR="00402408">
        <w:rPr>
          <w:rFonts w:hint="cs"/>
          <w:rtl/>
        </w:rPr>
        <w:t>‘</w:t>
      </w:r>
      <w:r>
        <w:rPr>
          <w:rFonts w:hint="cs"/>
          <w:rtl/>
        </w:rPr>
        <w:tab/>
      </w:r>
      <w:r w:rsidR="00E41740">
        <w:rPr>
          <w:rFonts w:hint="cs"/>
          <w:rtl/>
        </w:rPr>
        <w:t>استلام جميع أموال الإدخار الوطني من المستخدمين (10 في المائة من المستخدم تقابلها 10 في المائة من رب العمل، منذ عام 2000)؛ و</w:t>
      </w:r>
    </w:p>
    <w:p w:rsidR="00E41740" w:rsidRDefault="00C46682" w:rsidP="00402408">
      <w:pPr>
        <w:pStyle w:val="SingleTxt"/>
        <w:ind w:left="2592" w:hanging="1325"/>
        <w:rPr>
          <w:rFonts w:hint="cs"/>
          <w:rtl/>
        </w:rPr>
      </w:pPr>
      <w:r>
        <w:rPr>
          <w:rFonts w:hint="cs"/>
          <w:rtl/>
        </w:rPr>
        <w:tab/>
      </w:r>
      <w:r w:rsidR="00402408">
        <w:rPr>
          <w:rFonts w:hint="cs"/>
          <w:rtl/>
        </w:rPr>
        <w:t>’</w:t>
      </w:r>
      <w:r>
        <w:rPr>
          <w:rFonts w:hint="cs"/>
          <w:rtl/>
        </w:rPr>
        <w:t>2</w:t>
      </w:r>
      <w:r w:rsidR="00402408">
        <w:rPr>
          <w:rFonts w:hint="cs"/>
          <w:rtl/>
        </w:rPr>
        <w:t>‘</w:t>
      </w:r>
      <w:r>
        <w:rPr>
          <w:rFonts w:hint="cs"/>
          <w:rtl/>
        </w:rPr>
        <w:tab/>
        <w:t>ا</w:t>
      </w:r>
      <w:r w:rsidR="00E41740">
        <w:rPr>
          <w:rFonts w:hint="cs"/>
          <w:rtl/>
        </w:rPr>
        <w:t>لتأكد من استثمار هذه الأموال في استثمارات مأمونة لضمان عائدات معقولة على هذه الأموال؛ و</w:t>
      </w:r>
    </w:p>
    <w:p w:rsidR="00E41740" w:rsidRDefault="00C46682" w:rsidP="00402408">
      <w:pPr>
        <w:pStyle w:val="SingleTxt"/>
        <w:ind w:left="2592" w:hanging="1325"/>
        <w:rPr>
          <w:rFonts w:hint="cs"/>
          <w:rtl/>
        </w:rPr>
      </w:pPr>
      <w:r>
        <w:rPr>
          <w:rFonts w:hint="cs"/>
          <w:rtl/>
        </w:rPr>
        <w:tab/>
      </w:r>
      <w:r w:rsidR="00402408">
        <w:rPr>
          <w:rFonts w:hint="cs"/>
          <w:rtl/>
        </w:rPr>
        <w:t>’</w:t>
      </w:r>
      <w:r>
        <w:rPr>
          <w:rFonts w:hint="cs"/>
          <w:rtl/>
        </w:rPr>
        <w:t>3</w:t>
      </w:r>
      <w:r w:rsidR="00402408">
        <w:rPr>
          <w:rFonts w:hint="cs"/>
          <w:rtl/>
        </w:rPr>
        <w:t>‘</w:t>
      </w:r>
      <w:r>
        <w:rPr>
          <w:rFonts w:hint="cs"/>
          <w:rtl/>
        </w:rPr>
        <w:tab/>
      </w:r>
      <w:r w:rsidR="00E41740">
        <w:rPr>
          <w:rFonts w:hint="cs"/>
          <w:rtl/>
        </w:rPr>
        <w:t>توفير تقاعد للمتقاعدين طوعاً لدى بلوغهم 45 عاماً من العمر أو المتقاعدين إجبارياً لدى بلوغهم 55 عاماً من العمر.</w:t>
      </w:r>
    </w:p>
    <w:p w:rsidR="00E41740" w:rsidRDefault="00C46682" w:rsidP="00C46682">
      <w:pPr>
        <w:pStyle w:val="SingleTxt"/>
        <w:rPr>
          <w:rFonts w:hint="cs"/>
          <w:rtl/>
        </w:rPr>
      </w:pPr>
      <w:r>
        <w:rPr>
          <w:rFonts w:hint="cs"/>
          <w:rtl/>
        </w:rPr>
        <w:tab/>
      </w:r>
      <w:r w:rsidR="00E41740">
        <w:rPr>
          <w:rFonts w:hint="cs"/>
          <w:rtl/>
        </w:rPr>
        <w:t xml:space="preserve">وباستثناء خدم المنازل وغير المواطنين الذين يكسبون أقل من 400 دولار أمريكي سنوياً، العضوية في هذا الصندوق إلزامية لجميع المستخدمين الآخرين. وتوجد للصندوق أيضاً أحكام تنظم العضوية الطوعية. ومن المزايا التي يقدمها الصندوق: </w:t>
      </w:r>
    </w:p>
    <w:p w:rsidR="00E41740" w:rsidRDefault="00C46682" w:rsidP="00C466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 xml:space="preserve">برنامج إسكان </w:t>
      </w:r>
      <w:r>
        <w:rPr>
          <w:rFonts w:hint="cs"/>
          <w:rtl/>
        </w:rPr>
        <w:t>-</w:t>
      </w:r>
      <w:r w:rsidR="00E41740">
        <w:rPr>
          <w:rFonts w:hint="cs"/>
          <w:rtl/>
        </w:rPr>
        <w:t xml:space="preserve"> يسمح هذا البرنامج لأي عضو بلغ 45 عاماً من العمر ويوجد في حسابه 000 20 دولار أمريكي أو أكثر أن يسحب أموالاً لبناء أو شراء بيت.</w:t>
      </w:r>
    </w:p>
    <w:p w:rsidR="00E41740" w:rsidRDefault="00C46682" w:rsidP="00C466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منفعة البيت للمرأة تسمح للمرأة فقط أن تسحب جميع مدخراتها بدعوى الاستقالة من العمل للتفرغ للعناية بزوجها المريض أو أطفالها. ولا يسمح بسحب الرصيد بالكامل إلا بإخطار رسمي من رب العمل بأنها استقالت من وظيفتها. ولا تستفيد الأعضاء الإناث من هذا الحكم لأنه من المرجح أن يشجع المرأة على الاستقالة من عملها لاستخدام مدخراتها لتلبية احتياجات أسرة أخرى وربما احتياجات المجتمع المحلي أيضاً. ويطيل هذا الحكم الدور النمطي للمرأة بوصفها مقدمة رعاية. وفي بعض الحالات، استقالت نساء لسحب مدخراتهن. وتعني هذه الممارسة أن مدخرات المرأة تستخدم لتلبية الاحتياجات المالية الملحة للأسرة على حساب وظيفة المرأة أو مزاياها التقاعدية على الأجل البعيد.</w:t>
      </w:r>
    </w:p>
    <w:p w:rsidR="00E41740" w:rsidRDefault="00C46682" w:rsidP="00C466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ب</w:t>
      </w:r>
      <w:r w:rsidR="00E41740">
        <w:rPr>
          <w:rFonts w:hint="cs"/>
          <w:rtl/>
        </w:rPr>
        <w:t>رنامج تقديم قروض للأعضاء مبادرة استثمارية لصندوق توفالو الوطني للادخار تسمح للأعضاء اقتراض 30 في المائة من مدخراتهم كحد أعلى من مخصصات خاصة في الصندوق، ولا يسحب العضو من مدخراته/ مدخراتها والسداد إلزامي. وعدم وجود برامج ائتمان تعاونية تجعل نظام القروض مسألة حيوية.</w:t>
      </w:r>
    </w:p>
    <w:p w:rsidR="00E41740" w:rsidRDefault="00C46682" w:rsidP="00C4668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المنافع التي تستحق بسبب الوفاة تدفع للورثة بعد وفاة العضو. وإذا لم تذكر أسماء بوصية فإن الأموال تحال إلى المدير العام لتوزيعها على الأقارب.</w:t>
      </w:r>
    </w:p>
    <w:p w:rsidR="00C46682" w:rsidRPr="00C46682" w:rsidRDefault="00C46682" w:rsidP="00C46682">
      <w:pPr>
        <w:pStyle w:val="SingleTxt"/>
        <w:spacing w:after="0" w:line="120" w:lineRule="exact"/>
        <w:rPr>
          <w:rFonts w:hint="cs"/>
          <w:sz w:val="10"/>
          <w:rtl/>
        </w:rPr>
      </w:pPr>
    </w:p>
    <w:p w:rsidR="00E41740" w:rsidRDefault="00C46682" w:rsidP="00C4668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E1175F">
        <w:rPr>
          <w:rFonts w:hint="cs"/>
          <w:rtl/>
        </w:rPr>
        <w:t>أحكام إجازة الأمومة</w:t>
      </w:r>
    </w:p>
    <w:p w:rsidR="00E41740" w:rsidRDefault="00C46682" w:rsidP="00C46682">
      <w:pPr>
        <w:pStyle w:val="SingleTxt"/>
        <w:rPr>
          <w:rFonts w:hint="cs"/>
          <w:rtl/>
        </w:rPr>
      </w:pPr>
      <w:r>
        <w:rPr>
          <w:rFonts w:hint="cs"/>
          <w:rtl/>
        </w:rPr>
        <w:t xml:space="preserve">11-15  </w:t>
      </w:r>
      <w:r w:rsidR="00E41740">
        <w:rPr>
          <w:rFonts w:hint="cs"/>
          <w:rtl/>
        </w:rPr>
        <w:t>تتلقى المرأة أجراً كاملاً أثناء إجازة الأمومة وتتشاطر أسر عديدة أدوار الجنسين. وبموجب الفرع 20 من قانون العمالة (القانون رقم 84)، تمنح جميع العاملات، بغض النظر عن حالتهن الاجتماعية، إجازة ولادة مقدارها 60 يوم عمل. ومع أن القانون ينص على إجازة أمومة مقدارها 12 أسبوعاً بأجر لا يقل عن 25 في المائة من أجور الأم المعنية، فإن المرأة في الممارسة العملية تتسلم أجراً كاملاً أثناء إجازة الأمومة. وينطبق هذا على القطاعين العام والخاص.</w:t>
      </w:r>
    </w:p>
    <w:p w:rsidR="00E41740" w:rsidRDefault="00BD2507" w:rsidP="00BD2507">
      <w:pPr>
        <w:pStyle w:val="SingleTxt"/>
        <w:rPr>
          <w:rFonts w:hint="cs"/>
          <w:rtl/>
        </w:rPr>
      </w:pPr>
      <w:r>
        <w:rPr>
          <w:rFonts w:hint="cs"/>
          <w:rtl/>
        </w:rPr>
        <w:tab/>
        <w:t xml:space="preserve">11-16  </w:t>
      </w:r>
      <w:r w:rsidR="00E41740">
        <w:rPr>
          <w:rFonts w:hint="cs"/>
          <w:rtl/>
        </w:rPr>
        <w:t>فضلاً عن ذلك، العاملات في الخدمة المدنية، اللواتي يخضعن للقوانين الإدارية العامة، يجب أن يتوقفن عن العمل قبل الشهر التاسع من الحمل ويمنحن إجازة لا تقل عن 50 يوماً ولا تتجاوز 60 يوماً. ويمكن تمديد هذه الإجازة بإبراز شهادة طبيه، إلا أن التمديد يمنح بدون أجر. وهذه مسألة خيار للمرأة التي تريد البقاء لمدة أطول مع أطفالها. ويحظر الفرع 80 (3) من قانون العمالة فصل المرأة أثناء إجازة الأمومة الموافق علهيا. وينص القانون أيضاً على إعطاء الأمهات اللواتي يرضعن أطفالهن من أثدائهن ساعة مرتين يومين أثناء أيام العمل بالقيام بذلك</w:t>
      </w:r>
      <w:r w:rsidRPr="00BD2507">
        <w:rPr>
          <w:vertAlign w:val="superscript"/>
          <w:rtl/>
        </w:rPr>
        <w:t>(</w:t>
      </w:r>
      <w:r>
        <w:rPr>
          <w:rStyle w:val="FootnoteReference"/>
          <w:rtl/>
        </w:rPr>
        <w:footnoteReference w:id="95"/>
      </w:r>
      <w:r w:rsidRPr="00BD2507">
        <w:rPr>
          <w:vertAlign w:val="superscript"/>
          <w:rtl/>
        </w:rPr>
        <w:t>)</w:t>
      </w:r>
      <w:r w:rsidR="00E41740">
        <w:rPr>
          <w:rFonts w:hint="cs"/>
          <w:rtl/>
        </w:rPr>
        <w:t>.</w:t>
      </w:r>
    </w:p>
    <w:p w:rsidR="00BD2507" w:rsidRPr="00BD2507" w:rsidRDefault="00BD2507" w:rsidP="00BD2507">
      <w:pPr>
        <w:pStyle w:val="SingleTxt"/>
        <w:spacing w:after="0" w:line="120" w:lineRule="exact"/>
        <w:rPr>
          <w:rFonts w:hint="cs"/>
          <w:sz w:val="10"/>
          <w:rtl/>
        </w:rPr>
      </w:pPr>
    </w:p>
    <w:p w:rsidR="00E41740" w:rsidRDefault="00BD2507" w:rsidP="00BD250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E41740" w:rsidRPr="00E1175F">
        <w:rPr>
          <w:rFonts w:hint="cs"/>
          <w:rtl/>
        </w:rPr>
        <w:t xml:space="preserve">المادة 12 </w:t>
      </w:r>
    </w:p>
    <w:p w:rsidR="00E41740" w:rsidRDefault="00E41740" w:rsidP="00E41740">
      <w:pPr>
        <w:rPr>
          <w:rFonts w:hint="cs"/>
          <w:b/>
          <w:bCs/>
          <w:sz w:val="32"/>
          <w:szCs w:val="32"/>
          <w:rtl/>
        </w:rPr>
      </w:pPr>
    </w:p>
    <w:tbl>
      <w:tblPr>
        <w:tblStyle w:val="TableGrid"/>
        <w:bidiVisual/>
        <w:tblW w:w="9504" w:type="dxa"/>
        <w:jc w:val="center"/>
        <w:tblLook w:val="01E0" w:firstRow="1" w:lastRow="1" w:firstColumn="1" w:lastColumn="1" w:noHBand="0" w:noVBand="0"/>
      </w:tblPr>
      <w:tblGrid>
        <w:gridCol w:w="9504"/>
      </w:tblGrid>
      <w:tr w:rsidR="00E41740">
        <w:trPr>
          <w:jc w:val="center"/>
        </w:trPr>
        <w:tc>
          <w:tcPr>
            <w:tcW w:w="9504" w:type="dxa"/>
          </w:tcPr>
          <w:p w:rsidR="00E41740" w:rsidRPr="00BD2507" w:rsidRDefault="00BD2507" w:rsidP="00BD2507">
            <w:pPr>
              <w:pStyle w:val="SingleTxt"/>
              <w:rPr>
                <w:rFonts w:cs="Traditional Arabic" w:hint="cs"/>
                <w:rtl/>
              </w:rPr>
            </w:pPr>
            <w:r w:rsidRPr="00BD2507">
              <w:rPr>
                <w:rFonts w:cs="Traditional Arabic"/>
                <w:rtl/>
              </w:rPr>
              <w:tab/>
            </w:r>
            <w:r w:rsidRPr="00BD2507">
              <w:rPr>
                <w:rFonts w:cs="Traditional Arabic" w:hint="cs"/>
                <w:rtl/>
              </w:rPr>
              <w:t>1 -</w:t>
            </w:r>
            <w:r w:rsidRPr="00BD2507">
              <w:rPr>
                <w:rFonts w:cs="Traditional Arabic"/>
                <w:rtl/>
              </w:rPr>
              <w:tab/>
            </w:r>
            <w:r w:rsidR="00E41740" w:rsidRPr="00BD2507">
              <w:rPr>
                <w:rFonts w:cs="Traditional Arabic" w:hint="cs"/>
                <w:rtl/>
              </w:rPr>
              <w:t>تتخذ الدول الأطراف جميع التدابير المناسبة للقضاء على التمييز ضد المرأة في ميدان الرعاية الصحية من أجل أن تضمن لها، على أساس تساوي الرجل والمرأة، الحصول على خدمات الرعاية الصحية، بما في ذلك الخدمات المتعلقة بتنظيم الأسرة.</w:t>
            </w:r>
          </w:p>
          <w:p w:rsidR="00E41740" w:rsidRDefault="00BD2507" w:rsidP="00BD2507">
            <w:pPr>
              <w:pStyle w:val="SingleTxt"/>
              <w:rPr>
                <w:rFonts w:hint="cs"/>
                <w:b/>
                <w:bCs/>
                <w:rtl/>
              </w:rPr>
            </w:pPr>
            <w:r w:rsidRPr="00BD2507">
              <w:rPr>
                <w:rFonts w:cs="Traditional Arabic"/>
                <w:rtl/>
              </w:rPr>
              <w:tab/>
            </w:r>
            <w:r w:rsidRPr="00BD2507">
              <w:rPr>
                <w:rFonts w:cs="Traditional Arabic" w:hint="cs"/>
                <w:rtl/>
              </w:rPr>
              <w:t>2 -</w:t>
            </w:r>
            <w:r w:rsidRPr="00BD2507">
              <w:rPr>
                <w:rFonts w:cs="Traditional Arabic"/>
                <w:rtl/>
              </w:rPr>
              <w:tab/>
            </w:r>
            <w:r w:rsidR="00E41740" w:rsidRPr="00BD2507">
              <w:rPr>
                <w:rFonts w:cs="Traditional Arabic" w:hint="cs"/>
                <w:rtl/>
              </w:rPr>
              <w:t>بغض النظر عن أحكام الفقرة 1 من هذه المادة، تكفل الدول الأطراف للمرأة الخدمات المناسبة فيما يتعلق بالحمل والولادة وفترة ما بعد الولادة، وتوفر لها الخدمات المجانية عند الاقتضاء، وكذلك التغذية الكافية أثناء الحمل والإرضاع.</w:t>
            </w:r>
          </w:p>
        </w:tc>
      </w:tr>
    </w:tbl>
    <w:p w:rsidR="00E41740" w:rsidRPr="00A33A0C" w:rsidRDefault="00E41740" w:rsidP="00E41740">
      <w:pPr>
        <w:rPr>
          <w:rFonts w:hint="cs"/>
          <w:sz w:val="32"/>
          <w:szCs w:val="32"/>
          <w:rtl/>
        </w:rPr>
      </w:pPr>
    </w:p>
    <w:p w:rsidR="00E41740" w:rsidRDefault="00BD2507" w:rsidP="00BD250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E41740" w:rsidRPr="00A048F0">
        <w:rPr>
          <w:rFonts w:hint="cs"/>
          <w:rtl/>
        </w:rPr>
        <w:t>إطار السياسة العامة</w:t>
      </w:r>
    </w:p>
    <w:p w:rsidR="00E41740" w:rsidRDefault="00BD2507" w:rsidP="00BD2507">
      <w:pPr>
        <w:pStyle w:val="SingleTxt"/>
        <w:rPr>
          <w:rFonts w:hint="cs"/>
          <w:rtl/>
        </w:rPr>
      </w:pPr>
      <w:r>
        <w:rPr>
          <w:rFonts w:hint="cs"/>
          <w:rtl/>
        </w:rPr>
        <w:t>12-1</w:t>
      </w:r>
      <w:r>
        <w:rPr>
          <w:rFonts w:hint="cs"/>
          <w:rtl/>
        </w:rPr>
        <w:tab/>
      </w:r>
      <w:r w:rsidR="00E41740">
        <w:rPr>
          <w:rFonts w:hint="cs"/>
          <w:rtl/>
        </w:rPr>
        <w:t>الحالة الصحية الكلية في توفالو جيدة جداً بالمقارنة مع أقل البلدان نمواً في المنطقة. ففي عام 2003، بلغ إنفاق توفالو على الصحة 6.1 في المائة من الناتج المحلي الإجمالي</w:t>
      </w:r>
      <w:r w:rsidRPr="00BD2507">
        <w:rPr>
          <w:vertAlign w:val="superscript"/>
          <w:rtl/>
        </w:rPr>
        <w:t>(</w:t>
      </w:r>
      <w:r>
        <w:rPr>
          <w:rStyle w:val="FootnoteReference"/>
          <w:rtl/>
        </w:rPr>
        <w:footnoteReference w:id="96"/>
      </w:r>
      <w:r w:rsidRPr="00BD2507">
        <w:rPr>
          <w:vertAlign w:val="superscript"/>
          <w:rtl/>
        </w:rPr>
        <w:t>)</w:t>
      </w:r>
      <w:r w:rsidR="00E41740">
        <w:rPr>
          <w:rFonts w:hint="cs"/>
          <w:rtl/>
        </w:rPr>
        <w:t>.</w:t>
      </w:r>
      <w:r>
        <w:rPr>
          <w:rFonts w:hint="cs"/>
          <w:rtl/>
        </w:rPr>
        <w:t xml:space="preserve"> </w:t>
      </w:r>
      <w:r w:rsidR="00E41740">
        <w:rPr>
          <w:rFonts w:hint="cs"/>
          <w:rtl/>
        </w:rPr>
        <w:t>ولا تميز السياسات الموجودة ضد الرجل والمرأة.</w:t>
      </w:r>
    </w:p>
    <w:p w:rsidR="00E41740" w:rsidRDefault="00BD2507" w:rsidP="00BD2507">
      <w:pPr>
        <w:pStyle w:val="SingleTxt"/>
        <w:rPr>
          <w:rFonts w:hint="cs"/>
          <w:rtl/>
        </w:rPr>
      </w:pPr>
      <w:r>
        <w:rPr>
          <w:rFonts w:hint="cs"/>
          <w:rtl/>
        </w:rPr>
        <w:t>12-2</w:t>
      </w:r>
      <w:r>
        <w:rPr>
          <w:rFonts w:hint="cs"/>
          <w:rtl/>
        </w:rPr>
        <w:tab/>
      </w:r>
      <w:r w:rsidR="00E41740" w:rsidRPr="00195B6C">
        <w:rPr>
          <w:rFonts w:hint="cs"/>
          <w:rtl/>
        </w:rPr>
        <w:t>خطة الصحة الوطنية (1999- 2003) الوثيقة الرئيسية التي تبين بالتفصيل أهداف وغايات وزارة الصحة. بيد أن الخطة يجري استعراضها حالياً، ولكنها عملياً تشكل الأساس لعمل الوزارة بأسرها. ومن المجالات ذات الأولوية والقضايا الكلاسيكية الأخرى التي تعالجها هذه الوثيقة:</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w:t>
      </w:r>
      <w:r w:rsidR="00E41740" w:rsidRPr="00195B6C">
        <w:rPr>
          <w:rFonts w:hint="cs"/>
          <w:rtl/>
        </w:rPr>
        <w:t>حة الأم والطفل (بما في ذلك برنامج التحصين الموسع ومكافحة التهابات الجهاز التنفسي الحادة وبرنامج مكافحة أمراض الإسهال؛</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السل (نظر إليه على أنه ذو أولوية</w:t>
      </w:r>
      <w:r w:rsidR="00E41740">
        <w:rPr>
          <w:rFonts w:hint="cs"/>
          <w:rtl/>
        </w:rPr>
        <w:t>،</w:t>
      </w:r>
      <w:r w:rsidR="00E41740" w:rsidRPr="00195B6C">
        <w:rPr>
          <w:rFonts w:hint="cs"/>
          <w:rtl/>
        </w:rPr>
        <w:t xml:space="preserve"> </w:t>
      </w:r>
      <w:r w:rsidR="00E41740">
        <w:rPr>
          <w:rFonts w:hint="cs"/>
          <w:rtl/>
        </w:rPr>
        <w:t xml:space="preserve">ونفذّت </w:t>
      </w:r>
      <w:r w:rsidR="00E41740" w:rsidRPr="00195B6C">
        <w:rPr>
          <w:rFonts w:hint="cs"/>
          <w:rtl/>
        </w:rPr>
        <w:t xml:space="preserve">استراتيجية </w:t>
      </w:r>
      <w:r w:rsidR="00E41740">
        <w:rPr>
          <w:rFonts w:hint="cs"/>
          <w:rtl/>
        </w:rPr>
        <w:t>العلاج القصير الدورة الخاضع للإشراف المباشر</w:t>
      </w:r>
      <w:r w:rsidR="00E41740" w:rsidRPr="00195B6C">
        <w:rPr>
          <w:rFonts w:hint="cs"/>
          <w:rtl/>
        </w:rPr>
        <w:t>)</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الأمراض غير المعدية (لها خطة عمل منفصلة)</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الإصابات المنقولة بالاتصال الجنسي (بما فيها فيروس نقص المناعة البشرية/ متلازمة نقص المناعة المكتسب (الإيدز)، لا سيما بين البحارة)؛</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الخيطيات (وأمراض طفيلية أخرى)؛</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فحص الكشف عن سرطان عنق الرحم؛</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توفير المياه المأمونة</w:t>
      </w:r>
      <w:r w:rsidR="00E41740">
        <w:rPr>
          <w:rFonts w:hint="cs"/>
          <w:rtl/>
        </w:rPr>
        <w:t>؛</w:t>
      </w:r>
    </w:p>
    <w:p w:rsidR="00E41740" w:rsidRDefault="00BD2507"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sidRPr="00195B6C">
        <w:rPr>
          <w:rFonts w:hint="cs"/>
          <w:rtl/>
        </w:rPr>
        <w:t>النظافة البيئية والنظافة الصحية.</w:t>
      </w:r>
    </w:p>
    <w:p w:rsidR="00E41740" w:rsidRDefault="00BD2507" w:rsidP="00AE3753">
      <w:pPr>
        <w:pStyle w:val="SingleTxt"/>
        <w:rPr>
          <w:rFonts w:hint="cs"/>
          <w:rtl/>
        </w:rPr>
      </w:pPr>
      <w:r>
        <w:rPr>
          <w:rFonts w:hint="cs"/>
          <w:rtl/>
        </w:rPr>
        <w:tab/>
      </w:r>
      <w:r w:rsidR="00E41740">
        <w:rPr>
          <w:rFonts w:hint="cs"/>
          <w:rtl/>
        </w:rPr>
        <w:t xml:space="preserve">هذه الميادين ذات الأولوية من ميادين الصحة حُدّدت أيضاً بوصفها أهدافاً رئيسية للسياسة العامة في خطة التنمية الوطنية لتوفالو (تي كاكيغا الثانية) أثناء الفترة 2005 </w:t>
      </w:r>
      <w:r w:rsidR="00084D51">
        <w:rPr>
          <w:rtl/>
        </w:rPr>
        <w:t>-</w:t>
      </w:r>
      <w:r w:rsidR="00E41740">
        <w:rPr>
          <w:rFonts w:hint="cs"/>
          <w:rtl/>
        </w:rPr>
        <w:t xml:space="preserve"> 2015</w:t>
      </w:r>
      <w:r w:rsidRPr="00BD2507">
        <w:rPr>
          <w:vertAlign w:val="superscript"/>
          <w:rtl/>
        </w:rPr>
        <w:t>(</w:t>
      </w:r>
      <w:r>
        <w:rPr>
          <w:rStyle w:val="FootnoteReference"/>
          <w:rtl/>
        </w:rPr>
        <w:footnoteReference w:id="97"/>
      </w:r>
      <w:r w:rsidRPr="00BD2507">
        <w:rPr>
          <w:vertAlign w:val="superscript"/>
          <w:rtl/>
        </w:rPr>
        <w:t>)</w:t>
      </w:r>
      <w:r w:rsidR="00E41740">
        <w:rPr>
          <w:rFonts w:hint="cs"/>
          <w:rtl/>
        </w:rPr>
        <w:t>:</w:t>
      </w:r>
    </w:p>
    <w:p w:rsidR="00E41740" w:rsidRDefault="00AE3753"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توفير رعاية صحية عالية المستوى على صعيد البلد بأسره؛</w:t>
      </w:r>
    </w:p>
    <w:p w:rsidR="00E41740" w:rsidRDefault="00AE3753"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تشجيع التعليم الصحي والوعي التغذوي من أجل حياة صحية؛</w:t>
      </w:r>
    </w:p>
    <w:p w:rsidR="00E41740" w:rsidRDefault="00AE3753"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تحسين نوعية الخدمات الصحية في مستشفى الأميرة مارجريت؛</w:t>
      </w:r>
    </w:p>
    <w:p w:rsidR="00E41740" w:rsidRDefault="00AE3753" w:rsidP="00AE375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E41740">
        <w:rPr>
          <w:rFonts w:hint="cs"/>
          <w:rtl/>
        </w:rPr>
        <w:t>تحسين تقديم الخدمات الصحية، لا سيما الرعاية الصحية الأولية.</w:t>
      </w:r>
    </w:p>
    <w:p w:rsidR="00AE3753" w:rsidRPr="00AE3753" w:rsidRDefault="00AE3753" w:rsidP="00AE3753">
      <w:pPr>
        <w:pStyle w:val="SingleTxt"/>
        <w:spacing w:after="0" w:line="120" w:lineRule="exact"/>
        <w:rPr>
          <w:rFonts w:hint="cs"/>
          <w:sz w:val="10"/>
          <w:rtl/>
        </w:rPr>
      </w:pPr>
    </w:p>
    <w:p w:rsidR="00E41740" w:rsidRDefault="00AE3753" w:rsidP="00AE3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F34A6D">
        <w:rPr>
          <w:rFonts w:hint="cs"/>
          <w:rtl/>
        </w:rPr>
        <w:t>الحصول على الخدمات الصحية</w:t>
      </w:r>
    </w:p>
    <w:p w:rsidR="00E41740" w:rsidRDefault="00AE3753" w:rsidP="00AE3753">
      <w:pPr>
        <w:pStyle w:val="SingleTxt"/>
        <w:rPr>
          <w:rFonts w:hint="cs"/>
          <w:rtl/>
        </w:rPr>
      </w:pPr>
      <w:r>
        <w:rPr>
          <w:rFonts w:hint="cs"/>
          <w:rtl/>
        </w:rPr>
        <w:t>12-3</w:t>
      </w:r>
      <w:r>
        <w:rPr>
          <w:rFonts w:hint="cs"/>
          <w:rtl/>
        </w:rPr>
        <w:tab/>
      </w:r>
      <w:r w:rsidR="00E41740">
        <w:rPr>
          <w:rFonts w:hint="cs"/>
          <w:rtl/>
        </w:rPr>
        <w:t>تقدم الحكومة في توفالو خدمات الرعاية الصحية مجاناً. ومستشفى الأميرة مارجريت هو المستشفى الأم وموجود في العاصمة، بينما توجد في الجزر الخارجية مراكز صحية تديرها كبيرة ممرضات (قابلة) وممرضيْن آخريْن/ ممرضتيْن أخريين. ووفقاً للمؤتمر الدولي للسكان والتنمية + 10 المعني بالتقدم في منطقة المحيط الهادئ، توفالو إحدى بلدان جزر المحيط الهادئ التسع التي توجد فيها أعلى نسبة للمواليد بحضور شخص مدرب، حيث تتجاوز هذه النسبة 95 في المائة</w:t>
      </w:r>
      <w:r w:rsidRPr="00AE3753">
        <w:rPr>
          <w:vertAlign w:val="superscript"/>
          <w:rtl/>
        </w:rPr>
        <w:t>(</w:t>
      </w:r>
      <w:r>
        <w:rPr>
          <w:rStyle w:val="FootnoteReference"/>
          <w:rtl/>
        </w:rPr>
        <w:footnoteReference w:id="98"/>
      </w:r>
      <w:r w:rsidRPr="00AE3753">
        <w:rPr>
          <w:vertAlign w:val="superscript"/>
          <w:rtl/>
        </w:rPr>
        <w:t>)</w:t>
      </w:r>
      <w:r w:rsidR="00E41740">
        <w:rPr>
          <w:rFonts w:hint="cs"/>
          <w:rtl/>
        </w:rPr>
        <w:t>.</w:t>
      </w:r>
      <w:r>
        <w:rPr>
          <w:rFonts w:hint="cs"/>
          <w:rtl/>
        </w:rPr>
        <w:t xml:space="preserve"> </w:t>
      </w:r>
      <w:r w:rsidR="00E41740">
        <w:rPr>
          <w:rFonts w:hint="cs"/>
          <w:rtl/>
        </w:rPr>
        <w:t>ويتاح للمرأة الآن الحصول على الخدمات الصحية الكاملة في جميع أنحاء توفالو.</w:t>
      </w:r>
    </w:p>
    <w:p w:rsidR="00E41740" w:rsidRDefault="00AE3753" w:rsidP="00AE3753">
      <w:pPr>
        <w:pStyle w:val="SingleTxt"/>
        <w:rPr>
          <w:rFonts w:hint="cs"/>
          <w:rtl/>
        </w:rPr>
      </w:pPr>
      <w:r>
        <w:rPr>
          <w:rFonts w:hint="cs"/>
          <w:rtl/>
        </w:rPr>
        <w:t>12-4</w:t>
      </w:r>
      <w:r>
        <w:rPr>
          <w:rFonts w:hint="cs"/>
          <w:rtl/>
        </w:rPr>
        <w:tab/>
      </w:r>
      <w:r w:rsidR="00E41740">
        <w:rPr>
          <w:rFonts w:hint="cs"/>
          <w:rtl/>
        </w:rPr>
        <w:t>يتاح للمرضى في الجزر الخارجية الحصول على العلاج في مستشفى الأميرة مارجريت، إما على حسابهم الخاص أو من خلال نظم الإحالة الحكومية. وإذا كانت الحالات معقدة ولا يستطيع مستشفى الأميرة مارجريت علاجها، فإنها تحال إلى الخارج من خلال برنامج العلاج الطبي في توفال.</w:t>
      </w:r>
    </w:p>
    <w:p w:rsidR="00E41740" w:rsidRDefault="00AE3753" w:rsidP="00AE3753">
      <w:pPr>
        <w:pStyle w:val="SingleTxt"/>
        <w:rPr>
          <w:rFonts w:hint="cs"/>
          <w:rtl/>
        </w:rPr>
      </w:pPr>
      <w:r>
        <w:rPr>
          <w:rFonts w:hint="cs"/>
          <w:rtl/>
        </w:rPr>
        <w:t>12-5</w:t>
      </w:r>
      <w:r>
        <w:rPr>
          <w:rFonts w:hint="cs"/>
          <w:rtl/>
        </w:rPr>
        <w:tab/>
      </w:r>
      <w:r w:rsidR="00E41740">
        <w:rPr>
          <w:rFonts w:hint="cs"/>
          <w:rtl/>
        </w:rPr>
        <w:t>وكما جاء في التقرير عن الأهداف الإنمائية للألفية، فإن أحد التحديات الرئيسية التي تواجه صحة الأم تقديم رعاية التوليد في الحالات الطارئة عندما تحدث تعقيدات في الولادة. والمراكز الصحية في الجزر الخارجية غير مجهزة لاكتشاف المشاكل المحتملة في وقت مبكر من الحمل لإحالتها إلى العاصمة أو حتى إلى الخارج. وبالنسبة للأدوية والعقاقير، يواجه سكان الجزر الصغيرة، الذين يعيشون في جزر مرجانية/ جزر متباعدة جداً، صعوبات لوجستية وتكاليف عالية، كما أن عدم وجود نقل متواتر أدى في بعض الأحيان إلى عدم كفاية الإمدادات المتوفرة في بعض المراكز، وإلى زيادة المخزون من سلع أوشكت صلاحيتها على الانتهاء في هذه المراكز الصحية.</w:t>
      </w:r>
    </w:p>
    <w:p w:rsidR="00AE3753" w:rsidRPr="00AE3753" w:rsidRDefault="00AE3753" w:rsidP="00AE3753">
      <w:pPr>
        <w:pStyle w:val="SingleTxt"/>
        <w:spacing w:after="0" w:line="120" w:lineRule="exact"/>
        <w:rPr>
          <w:rFonts w:hint="cs"/>
          <w:sz w:val="10"/>
          <w:rtl/>
        </w:rPr>
      </w:pPr>
    </w:p>
    <w:p w:rsidR="00E41740" w:rsidRDefault="00AE3753" w:rsidP="00AE3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C0781D">
        <w:rPr>
          <w:rFonts w:hint="cs"/>
          <w:rtl/>
        </w:rPr>
        <w:t>المرض</w:t>
      </w:r>
    </w:p>
    <w:p w:rsidR="00E41740" w:rsidRDefault="00AE3753" w:rsidP="00AE3753">
      <w:pPr>
        <w:pStyle w:val="SingleTxt"/>
        <w:rPr>
          <w:rFonts w:hint="cs"/>
          <w:rtl/>
        </w:rPr>
      </w:pPr>
      <w:r>
        <w:rPr>
          <w:rFonts w:hint="cs"/>
          <w:rtl/>
        </w:rPr>
        <w:t>12-6</w:t>
      </w:r>
      <w:r>
        <w:rPr>
          <w:rFonts w:hint="cs"/>
          <w:rtl/>
        </w:rPr>
        <w:tab/>
      </w:r>
      <w:r w:rsidR="00E41740">
        <w:rPr>
          <w:rFonts w:hint="cs"/>
          <w:rtl/>
        </w:rPr>
        <w:t>الأسباب الرئيسية للمرض هي الأمراض المعدية، وإصابة عدد كبير بالتهابات جلدية والتهابات الجهاز التنفسي الحادة والتهابات العين والخيطيات والسل. وقد جرى في الآونة الأخيرة تعزيز برنامج مكافحة السل بعد زيادة انتشاره، ويوجد أيضاً برنامج ضخم لمعالجة الخيطيات. كما أن الأمراض الناتجة عن أسلوب الحياة آخذة في الازدياد، مع وجود عناصر مخاطرة لانتشار أمراض معينة غير معدية، مثل السمنة المفرطة واستخدام التبغ. وأسباب المرض الرئيسية الخمسة مبينة في الجدول أدناه:</w:t>
      </w:r>
    </w:p>
    <w:p w:rsidR="00E41740" w:rsidRDefault="00AE3753" w:rsidP="00AE3753">
      <w:pPr>
        <w:rPr>
          <w:rFonts w:hint="cs"/>
          <w:b/>
          <w:bCs/>
          <w:sz w:val="18"/>
          <w:szCs w:val="28"/>
          <w:rtl/>
        </w:rPr>
      </w:pPr>
      <w:r>
        <w:rPr>
          <w:sz w:val="32"/>
          <w:szCs w:val="32"/>
          <w:rtl/>
        </w:rPr>
        <w:br w:type="page"/>
      </w:r>
      <w:r>
        <w:rPr>
          <w:rFonts w:hint="cs"/>
          <w:sz w:val="32"/>
          <w:szCs w:val="32"/>
          <w:rtl/>
        </w:rPr>
        <w:tab/>
      </w:r>
      <w:r w:rsidR="00E41740" w:rsidRPr="00AE3753">
        <w:rPr>
          <w:rFonts w:hint="cs"/>
          <w:b/>
          <w:bCs/>
          <w:sz w:val="18"/>
          <w:szCs w:val="28"/>
          <w:rtl/>
        </w:rPr>
        <w:t xml:space="preserve">الجدول 26: أسباب المرض الرئيسية الخمسة، عام 2003 </w:t>
      </w:r>
    </w:p>
    <w:p w:rsidR="00AE3753" w:rsidRPr="00AE3753" w:rsidRDefault="00AE3753" w:rsidP="00AE3753">
      <w:pPr>
        <w:spacing w:line="120" w:lineRule="exact"/>
        <w:rPr>
          <w:rFonts w:hint="cs"/>
          <w:b/>
          <w:bCs/>
          <w:sz w:val="10"/>
          <w:szCs w:val="28"/>
          <w:rtl/>
        </w:rPr>
      </w:pPr>
    </w:p>
    <w:tbl>
      <w:tblPr>
        <w:tblStyle w:val="TableGrid"/>
        <w:bidiVisual/>
        <w:tblW w:w="0" w:type="auto"/>
        <w:jc w:val="center"/>
        <w:tblLook w:val="01E0" w:firstRow="1" w:lastRow="1" w:firstColumn="1" w:lastColumn="1" w:noHBand="0" w:noVBand="0"/>
      </w:tblPr>
      <w:tblGrid>
        <w:gridCol w:w="612"/>
        <w:gridCol w:w="2304"/>
        <w:gridCol w:w="884"/>
        <w:gridCol w:w="720"/>
        <w:gridCol w:w="720"/>
        <w:gridCol w:w="1300"/>
        <w:gridCol w:w="720"/>
        <w:gridCol w:w="720"/>
        <w:gridCol w:w="786"/>
        <w:gridCol w:w="720"/>
      </w:tblGrid>
      <w:tr w:rsidR="00E41740" w:rsidRPr="00AE3753">
        <w:trPr>
          <w:jc w:val="center"/>
        </w:trPr>
        <w:tc>
          <w:tcPr>
            <w:tcW w:w="2916" w:type="dxa"/>
            <w:gridSpan w:val="2"/>
          </w:tcPr>
          <w:p w:rsidR="00E41740" w:rsidRPr="00AE3753" w:rsidRDefault="00E41740" w:rsidP="00E41740">
            <w:pPr>
              <w:jc w:val="center"/>
              <w:rPr>
                <w:rFonts w:cs="Traditional Arabic" w:hint="cs"/>
                <w:sz w:val="28"/>
                <w:szCs w:val="28"/>
                <w:rtl/>
              </w:rPr>
            </w:pPr>
          </w:p>
        </w:tc>
        <w:tc>
          <w:tcPr>
            <w:tcW w:w="884"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المجمنوع</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ذكر</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أنثى</w:t>
            </w:r>
          </w:p>
        </w:tc>
        <w:tc>
          <w:tcPr>
            <w:tcW w:w="130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المجموع</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ذكر</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أنثى</w:t>
            </w:r>
          </w:p>
        </w:tc>
        <w:tc>
          <w:tcPr>
            <w:tcW w:w="786" w:type="dxa"/>
          </w:tcPr>
          <w:p w:rsidR="00E41740" w:rsidRPr="00AE3753" w:rsidRDefault="00E41740" w:rsidP="00E41740">
            <w:pPr>
              <w:jc w:val="center"/>
              <w:rPr>
                <w:rFonts w:cs="Traditional Arabic" w:hint="cs"/>
                <w:sz w:val="28"/>
                <w:szCs w:val="28"/>
                <w:rtl/>
              </w:rPr>
            </w:pPr>
          </w:p>
        </w:tc>
        <w:tc>
          <w:tcPr>
            <w:tcW w:w="720" w:type="dxa"/>
          </w:tcPr>
          <w:p w:rsidR="00E41740" w:rsidRPr="00AE3753" w:rsidRDefault="00E41740" w:rsidP="00E41740">
            <w:pPr>
              <w:jc w:val="center"/>
              <w:rPr>
                <w:rFonts w:cs="Traditional Arabic" w:hint="cs"/>
                <w:sz w:val="28"/>
                <w:szCs w:val="28"/>
                <w:rtl/>
              </w:rPr>
            </w:pPr>
          </w:p>
        </w:tc>
      </w:tr>
      <w:tr w:rsidR="00E41740" w:rsidRPr="00AE3753">
        <w:trPr>
          <w:jc w:val="center"/>
        </w:trPr>
        <w:tc>
          <w:tcPr>
            <w:tcW w:w="2916" w:type="dxa"/>
            <w:gridSpan w:val="2"/>
          </w:tcPr>
          <w:p w:rsidR="00E41740" w:rsidRPr="00AE3753" w:rsidRDefault="00E41740" w:rsidP="00E41740">
            <w:pPr>
              <w:jc w:val="center"/>
              <w:rPr>
                <w:rFonts w:cs="Traditional Arabic" w:hint="cs"/>
                <w:sz w:val="28"/>
                <w:szCs w:val="28"/>
                <w:rtl/>
              </w:rPr>
            </w:pPr>
          </w:p>
          <w:p w:rsidR="00E41740" w:rsidRPr="00AE3753" w:rsidRDefault="00E41740" w:rsidP="00E41740">
            <w:pPr>
              <w:jc w:val="center"/>
              <w:rPr>
                <w:rFonts w:cs="Traditional Arabic" w:hint="cs"/>
                <w:sz w:val="28"/>
                <w:szCs w:val="28"/>
                <w:rtl/>
              </w:rPr>
            </w:pPr>
            <w:r w:rsidRPr="00AE3753">
              <w:rPr>
                <w:rFonts w:cs="Traditional Arabic" w:hint="cs"/>
                <w:sz w:val="28"/>
                <w:szCs w:val="28"/>
                <w:rtl/>
              </w:rPr>
              <w:t>أسباب المرض الرئيسية الخمسة</w:t>
            </w:r>
          </w:p>
        </w:tc>
        <w:tc>
          <w:tcPr>
            <w:tcW w:w="2324" w:type="dxa"/>
            <w:gridSpan w:val="3"/>
          </w:tcPr>
          <w:p w:rsidR="00E41740" w:rsidRPr="00AE3753" w:rsidRDefault="00E41740" w:rsidP="00E41740">
            <w:pPr>
              <w:jc w:val="center"/>
              <w:rPr>
                <w:rFonts w:cs="Traditional Arabic" w:hint="cs"/>
                <w:sz w:val="28"/>
                <w:szCs w:val="28"/>
                <w:rtl/>
              </w:rPr>
            </w:pPr>
          </w:p>
          <w:p w:rsidR="00E41740" w:rsidRPr="00AE3753" w:rsidRDefault="00E41740" w:rsidP="00E41740">
            <w:pPr>
              <w:jc w:val="center"/>
              <w:rPr>
                <w:rFonts w:cs="Traditional Arabic" w:hint="cs"/>
                <w:sz w:val="28"/>
                <w:szCs w:val="28"/>
                <w:rtl/>
              </w:rPr>
            </w:pPr>
            <w:r w:rsidRPr="00AE3753">
              <w:rPr>
                <w:rFonts w:cs="Traditional Arabic" w:hint="cs"/>
                <w:sz w:val="28"/>
                <w:szCs w:val="28"/>
                <w:rtl/>
              </w:rPr>
              <w:t>العدد</w:t>
            </w:r>
          </w:p>
        </w:tc>
        <w:tc>
          <w:tcPr>
            <w:tcW w:w="2740" w:type="dxa"/>
            <w:gridSpan w:val="3"/>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معدل الإصابة لكل</w:t>
            </w:r>
          </w:p>
          <w:p w:rsidR="00E41740" w:rsidRPr="00AE3753" w:rsidRDefault="00E41740" w:rsidP="00E41740">
            <w:pPr>
              <w:jc w:val="center"/>
              <w:rPr>
                <w:rFonts w:cs="Traditional Arabic" w:hint="cs"/>
                <w:sz w:val="28"/>
                <w:szCs w:val="28"/>
                <w:rtl/>
              </w:rPr>
            </w:pPr>
            <w:r w:rsidRPr="00AE3753">
              <w:rPr>
                <w:rFonts w:cs="Traditional Arabic" w:hint="cs"/>
                <w:sz w:val="28"/>
                <w:szCs w:val="28"/>
                <w:rtl/>
              </w:rPr>
              <w:t xml:space="preserve"> 100 ألف من السكان *</w:t>
            </w:r>
          </w:p>
        </w:tc>
        <w:tc>
          <w:tcPr>
            <w:tcW w:w="786" w:type="dxa"/>
          </w:tcPr>
          <w:p w:rsidR="00E41740" w:rsidRPr="00AE3753" w:rsidRDefault="00E41740" w:rsidP="00E41740">
            <w:pPr>
              <w:jc w:val="center"/>
              <w:rPr>
                <w:rFonts w:cs="Traditional Arabic" w:hint="cs"/>
                <w:sz w:val="28"/>
                <w:szCs w:val="28"/>
                <w:rtl/>
              </w:rPr>
            </w:pPr>
          </w:p>
        </w:tc>
        <w:tc>
          <w:tcPr>
            <w:tcW w:w="720" w:type="dxa"/>
          </w:tcPr>
          <w:p w:rsidR="00E41740" w:rsidRPr="00AE3753" w:rsidRDefault="00E41740" w:rsidP="00E41740">
            <w:pPr>
              <w:jc w:val="center"/>
              <w:rPr>
                <w:rFonts w:cs="Traditional Arabic" w:hint="cs"/>
                <w:sz w:val="28"/>
                <w:szCs w:val="28"/>
                <w:rtl/>
              </w:rPr>
            </w:pPr>
          </w:p>
        </w:tc>
      </w:tr>
      <w:tr w:rsidR="00E41740" w:rsidRPr="00AE3753">
        <w:trPr>
          <w:jc w:val="center"/>
        </w:trPr>
        <w:tc>
          <w:tcPr>
            <w:tcW w:w="612"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w:t>
            </w:r>
          </w:p>
        </w:tc>
        <w:tc>
          <w:tcPr>
            <w:tcW w:w="2304" w:type="dxa"/>
          </w:tcPr>
          <w:p w:rsidR="00E41740" w:rsidRPr="00AE3753" w:rsidRDefault="00E41740" w:rsidP="00E41740">
            <w:pPr>
              <w:rPr>
                <w:rFonts w:cs="Traditional Arabic" w:hint="cs"/>
                <w:sz w:val="28"/>
                <w:szCs w:val="28"/>
                <w:rtl/>
              </w:rPr>
            </w:pPr>
            <w:r w:rsidRPr="00AE3753">
              <w:rPr>
                <w:rFonts w:cs="Traditional Arabic" w:hint="cs"/>
                <w:sz w:val="28"/>
                <w:szCs w:val="28"/>
                <w:rtl/>
              </w:rPr>
              <w:t>قروح/جروح متعفنة</w:t>
            </w:r>
          </w:p>
        </w:tc>
        <w:tc>
          <w:tcPr>
            <w:tcW w:w="884"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4758</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130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49764.67</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86"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2003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12</w:t>
            </w:r>
          </w:p>
        </w:tc>
      </w:tr>
      <w:tr w:rsidR="00E41740" w:rsidRPr="00AE3753">
        <w:trPr>
          <w:jc w:val="center"/>
        </w:trPr>
        <w:tc>
          <w:tcPr>
            <w:tcW w:w="612"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w:t>
            </w:r>
          </w:p>
        </w:tc>
        <w:tc>
          <w:tcPr>
            <w:tcW w:w="2304" w:type="dxa"/>
          </w:tcPr>
          <w:p w:rsidR="00E41740" w:rsidRPr="00AE3753" w:rsidRDefault="00E41740" w:rsidP="00E41740">
            <w:pPr>
              <w:rPr>
                <w:rFonts w:cs="Traditional Arabic" w:hint="cs"/>
                <w:sz w:val="28"/>
                <w:szCs w:val="28"/>
                <w:rtl/>
              </w:rPr>
            </w:pPr>
            <w:r w:rsidRPr="00AE3753">
              <w:rPr>
                <w:rFonts w:cs="Traditional Arabic" w:hint="cs"/>
                <w:sz w:val="28"/>
                <w:szCs w:val="28"/>
                <w:rtl/>
              </w:rPr>
              <w:t>إنفلونزا</w:t>
            </w:r>
          </w:p>
        </w:tc>
        <w:tc>
          <w:tcPr>
            <w:tcW w:w="884"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3663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130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38311.89</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86"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2003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12</w:t>
            </w:r>
          </w:p>
        </w:tc>
      </w:tr>
      <w:tr w:rsidR="00E41740" w:rsidRPr="00AE3753">
        <w:trPr>
          <w:jc w:val="center"/>
        </w:trPr>
        <w:tc>
          <w:tcPr>
            <w:tcW w:w="612"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3-</w:t>
            </w:r>
          </w:p>
        </w:tc>
        <w:tc>
          <w:tcPr>
            <w:tcW w:w="2304" w:type="dxa"/>
          </w:tcPr>
          <w:p w:rsidR="00E41740" w:rsidRPr="00AE3753" w:rsidRDefault="00E41740" w:rsidP="00AE3753">
            <w:pPr>
              <w:jc w:val="lowKashida"/>
              <w:rPr>
                <w:rFonts w:cs="Traditional Arabic" w:hint="cs"/>
                <w:sz w:val="28"/>
                <w:szCs w:val="28"/>
                <w:rtl/>
              </w:rPr>
            </w:pPr>
            <w:r w:rsidRPr="00AE3753">
              <w:rPr>
                <w:rFonts w:cs="Traditional Arabic" w:hint="cs"/>
                <w:sz w:val="28"/>
                <w:szCs w:val="28"/>
                <w:rtl/>
              </w:rPr>
              <w:t>التهابات الجهاز الرئوي الحادة</w:t>
            </w:r>
          </w:p>
        </w:tc>
        <w:tc>
          <w:tcPr>
            <w:tcW w:w="884"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2950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130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30854.51</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86"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2003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12</w:t>
            </w:r>
          </w:p>
        </w:tc>
      </w:tr>
      <w:tr w:rsidR="00E41740" w:rsidRPr="00AE3753">
        <w:trPr>
          <w:jc w:val="center"/>
        </w:trPr>
        <w:tc>
          <w:tcPr>
            <w:tcW w:w="612"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4-</w:t>
            </w:r>
          </w:p>
        </w:tc>
        <w:tc>
          <w:tcPr>
            <w:tcW w:w="2304" w:type="dxa"/>
          </w:tcPr>
          <w:p w:rsidR="00E41740" w:rsidRPr="00AE3753" w:rsidRDefault="00E41740" w:rsidP="00E41740">
            <w:pPr>
              <w:rPr>
                <w:rFonts w:cs="Traditional Arabic" w:hint="cs"/>
                <w:sz w:val="28"/>
                <w:szCs w:val="28"/>
                <w:rtl/>
              </w:rPr>
            </w:pPr>
            <w:r w:rsidRPr="00AE3753">
              <w:rPr>
                <w:rFonts w:cs="Traditional Arabic" w:hint="cs"/>
                <w:sz w:val="28"/>
                <w:szCs w:val="28"/>
                <w:rtl/>
              </w:rPr>
              <w:t>الصداع</w:t>
            </w:r>
          </w:p>
        </w:tc>
        <w:tc>
          <w:tcPr>
            <w:tcW w:w="884"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2303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130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24087.44</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86"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2003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12</w:t>
            </w:r>
          </w:p>
        </w:tc>
      </w:tr>
      <w:tr w:rsidR="00E41740" w:rsidRPr="00AE3753">
        <w:trPr>
          <w:jc w:val="center"/>
        </w:trPr>
        <w:tc>
          <w:tcPr>
            <w:tcW w:w="612"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5-</w:t>
            </w:r>
          </w:p>
        </w:tc>
        <w:tc>
          <w:tcPr>
            <w:tcW w:w="2304" w:type="dxa"/>
          </w:tcPr>
          <w:p w:rsidR="00E41740" w:rsidRPr="00AE3753" w:rsidRDefault="00E41740" w:rsidP="00E41740">
            <w:pPr>
              <w:rPr>
                <w:rFonts w:cs="Traditional Arabic" w:hint="cs"/>
                <w:sz w:val="28"/>
                <w:szCs w:val="28"/>
                <w:rtl/>
              </w:rPr>
            </w:pPr>
            <w:r w:rsidRPr="00AE3753">
              <w:rPr>
                <w:rFonts w:cs="Traditional Arabic" w:hint="cs"/>
                <w:sz w:val="28"/>
                <w:szCs w:val="28"/>
                <w:rtl/>
              </w:rPr>
              <w:t>القحة</w:t>
            </w:r>
          </w:p>
        </w:tc>
        <w:tc>
          <w:tcPr>
            <w:tcW w:w="884"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1890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130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19767.80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000</w:t>
            </w:r>
          </w:p>
        </w:tc>
        <w:tc>
          <w:tcPr>
            <w:tcW w:w="786"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2003</w:t>
            </w:r>
          </w:p>
        </w:tc>
        <w:tc>
          <w:tcPr>
            <w:tcW w:w="720" w:type="dxa"/>
          </w:tcPr>
          <w:p w:rsidR="00E41740" w:rsidRPr="00AE3753" w:rsidRDefault="00E41740" w:rsidP="00E41740">
            <w:pPr>
              <w:jc w:val="center"/>
              <w:rPr>
                <w:rFonts w:cs="Traditional Arabic" w:hint="cs"/>
                <w:sz w:val="28"/>
                <w:szCs w:val="28"/>
                <w:rtl/>
              </w:rPr>
            </w:pPr>
            <w:r w:rsidRPr="00AE3753">
              <w:rPr>
                <w:rFonts w:cs="Traditional Arabic" w:hint="cs"/>
                <w:sz w:val="28"/>
                <w:szCs w:val="28"/>
                <w:rtl/>
              </w:rPr>
              <w:t>12</w:t>
            </w:r>
          </w:p>
        </w:tc>
      </w:tr>
    </w:tbl>
    <w:p w:rsidR="00E41740" w:rsidRPr="00AE3753" w:rsidRDefault="00AE3753" w:rsidP="00E41740">
      <w:pPr>
        <w:rPr>
          <w:rFonts w:hint="cs"/>
          <w:sz w:val="24"/>
          <w:szCs w:val="24"/>
          <w:rtl/>
        </w:rPr>
      </w:pPr>
      <w:r>
        <w:rPr>
          <w:rFonts w:hint="cs"/>
          <w:sz w:val="28"/>
          <w:szCs w:val="28"/>
          <w:rtl/>
        </w:rPr>
        <w:tab/>
      </w:r>
      <w:r w:rsidR="00E41740" w:rsidRPr="00AE3753">
        <w:rPr>
          <w:rFonts w:hint="cs"/>
          <w:sz w:val="24"/>
          <w:szCs w:val="24"/>
          <w:rtl/>
        </w:rPr>
        <w:t>استخلصت من تقرير منظمة الصحة العالمية: بنك البيانات الصحية الإقليمية لمنطقة غرب المحيط الهادئ، عام 2005.</w:t>
      </w:r>
    </w:p>
    <w:p w:rsidR="00AE3753" w:rsidRPr="00AE3753" w:rsidRDefault="00AE3753" w:rsidP="00AE3753">
      <w:pPr>
        <w:spacing w:line="120" w:lineRule="exact"/>
        <w:rPr>
          <w:rFonts w:hint="cs"/>
          <w:sz w:val="10"/>
          <w:szCs w:val="32"/>
          <w:rtl/>
        </w:rPr>
      </w:pPr>
    </w:p>
    <w:p w:rsidR="00E41740" w:rsidRDefault="00E41740" w:rsidP="00AE3753">
      <w:pPr>
        <w:pStyle w:val="SingleTxt"/>
        <w:rPr>
          <w:rFonts w:hint="cs"/>
          <w:rtl/>
        </w:rPr>
      </w:pPr>
      <w:r>
        <w:rPr>
          <w:rFonts w:hint="cs"/>
          <w:rtl/>
        </w:rPr>
        <w:tab/>
        <w:t>منذ عام 1990، أُحرز تقدم كبير في تخفيض الإصابة بالأمراض وفي تخفيض الوفيات في توفالو. وتعمل الخدمات الصحية على تلبية المطالب الناشئة الناتجة عن تغيير السكان أساليب حياتهم (لا</w:t>
      </w:r>
      <w:r w:rsidR="00AE3753">
        <w:rPr>
          <w:rFonts w:hint="cs"/>
          <w:rtl/>
        </w:rPr>
        <w:t xml:space="preserve"> </w:t>
      </w:r>
      <w:r>
        <w:rPr>
          <w:rFonts w:hint="cs"/>
          <w:rtl/>
        </w:rPr>
        <w:t>سيما الغذاء).</w:t>
      </w:r>
    </w:p>
    <w:p w:rsidR="00AE3753" w:rsidRPr="00AE3753" w:rsidRDefault="00AE3753" w:rsidP="00AE3753">
      <w:pPr>
        <w:pStyle w:val="SingleTxt"/>
        <w:spacing w:after="0" w:line="120" w:lineRule="exact"/>
        <w:rPr>
          <w:rFonts w:hint="cs"/>
          <w:sz w:val="10"/>
          <w:rtl/>
        </w:rPr>
      </w:pPr>
    </w:p>
    <w:p w:rsidR="00E41740" w:rsidRDefault="00AE3753" w:rsidP="00AE375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87197E">
        <w:rPr>
          <w:rFonts w:hint="cs"/>
          <w:rtl/>
        </w:rPr>
        <w:t>خدمات صحة الأم</w:t>
      </w:r>
    </w:p>
    <w:p w:rsidR="00E41740" w:rsidRDefault="00AE3753" w:rsidP="00084D51">
      <w:pPr>
        <w:pStyle w:val="SingleTxt"/>
        <w:rPr>
          <w:rFonts w:hint="cs"/>
          <w:rtl/>
        </w:rPr>
      </w:pPr>
      <w:r>
        <w:rPr>
          <w:rFonts w:hint="cs"/>
          <w:rtl/>
        </w:rPr>
        <w:t>12-7</w:t>
      </w:r>
      <w:r>
        <w:rPr>
          <w:rFonts w:hint="cs"/>
          <w:rtl/>
        </w:rPr>
        <w:tab/>
      </w:r>
      <w:r w:rsidR="00E41740">
        <w:rPr>
          <w:rFonts w:hint="cs"/>
          <w:rtl/>
        </w:rPr>
        <w:t xml:space="preserve">تشكل الإناث 50.6 في المائة من مجموع سكان توفالو، منهن 47.3 في المائة في سن الإنجاب. وتضم فئة النساء اللواتي في سن الإنجاب الإناث اللواتي تتراوح أعمارهن بين 15 و 49 عاماً، وتعرف هذه الفترة من العمر أيضاً </w:t>
      </w:r>
      <w:r w:rsidR="00084D51">
        <w:rPr>
          <w:rFonts w:hint="eastAsia"/>
          <w:rtl/>
        </w:rPr>
        <w:t>”</w:t>
      </w:r>
      <w:r w:rsidR="00E41740">
        <w:rPr>
          <w:rFonts w:hint="cs"/>
          <w:rtl/>
        </w:rPr>
        <w:t>بالأمومة المأمونة</w:t>
      </w:r>
      <w:r w:rsidR="00084D51">
        <w:rPr>
          <w:rFonts w:hint="eastAsia"/>
          <w:rtl/>
        </w:rPr>
        <w:t>“</w:t>
      </w:r>
      <w:r w:rsidR="00E41740">
        <w:rPr>
          <w:rFonts w:hint="cs"/>
          <w:rtl/>
        </w:rPr>
        <w:t>، وهي في أكثر جزء حيوي من الصحة الإنجابية.</w:t>
      </w:r>
    </w:p>
    <w:p w:rsidR="00E41740" w:rsidRDefault="00AE3753" w:rsidP="00AE3753">
      <w:pPr>
        <w:pStyle w:val="SingleTxt"/>
        <w:rPr>
          <w:rFonts w:hint="cs"/>
          <w:rtl/>
        </w:rPr>
      </w:pPr>
      <w:r>
        <w:rPr>
          <w:rFonts w:hint="cs"/>
          <w:rtl/>
        </w:rPr>
        <w:t>12-8</w:t>
      </w:r>
      <w:r>
        <w:rPr>
          <w:rFonts w:hint="cs"/>
          <w:rtl/>
        </w:rPr>
        <w:tab/>
      </w:r>
      <w:r w:rsidR="00E41740">
        <w:rPr>
          <w:rFonts w:hint="cs"/>
          <w:rtl/>
        </w:rPr>
        <w:t>يتوفر لجميع الحوامل في توفالو الآن الحصول على خدمات قابلة محترفة. ويقدم مستوصف الصحة الإنجابية وجناح الولادة في مستشفى الأميرة مارجريت جميع الخدمات المحددة لدعم المرأة من بداية الحمل حتى الولادة والخروج من المستشفى عندما تصبح الأم والمولود في صحة جيدة. وتقدم للأمهات اللواتي يواجهن تعقيدات أثناء الحمل والولادة رعاية خاصة من طاقم طبي وممرضين/ممرضات.</w:t>
      </w:r>
    </w:p>
    <w:p w:rsidR="00E41740" w:rsidRDefault="00AE3753" w:rsidP="00AE3753">
      <w:pPr>
        <w:pStyle w:val="SingleTxt"/>
        <w:rPr>
          <w:rFonts w:hint="cs"/>
          <w:rtl/>
        </w:rPr>
      </w:pPr>
      <w:r>
        <w:rPr>
          <w:rFonts w:hint="cs"/>
          <w:rtl/>
        </w:rPr>
        <w:t>12-9</w:t>
      </w:r>
      <w:r>
        <w:rPr>
          <w:rFonts w:hint="cs"/>
          <w:rtl/>
        </w:rPr>
        <w:tab/>
      </w:r>
      <w:r w:rsidR="00E41740">
        <w:rPr>
          <w:rFonts w:hint="cs"/>
          <w:rtl/>
        </w:rPr>
        <w:t>ويشترط بصورة روتينية أن تلد جميع النساء الحوامل لأول مرة أول طفل في مستشفى الأميرة مارجريت. والنساء اللواتي واجهن مشاكل في السابق أثناء الولادة أو الحمل يشترط أيضاً أن يلدن في مستشفى الأميرة مارجريت وتجري إحالتهن إلى هذا المستشفى. والمراكز الصحية في الجزر الخارجية مجهزة للعناية بحالات الولادة الطبيعية فقط.</w:t>
      </w:r>
    </w:p>
    <w:p w:rsidR="00E41740" w:rsidRDefault="00AE3753" w:rsidP="00AE3753">
      <w:pPr>
        <w:pStyle w:val="SingleTxt"/>
        <w:rPr>
          <w:rFonts w:hint="cs"/>
          <w:rtl/>
        </w:rPr>
      </w:pPr>
      <w:r>
        <w:rPr>
          <w:rFonts w:hint="cs"/>
          <w:rtl/>
        </w:rPr>
        <w:t xml:space="preserve">12-10  </w:t>
      </w:r>
      <w:r w:rsidR="00E41740">
        <w:rPr>
          <w:rFonts w:hint="cs"/>
          <w:rtl/>
        </w:rPr>
        <w:t>ازداد عدد المراهقات الحوامل على مدى السنوات الثماني الماضية. وحوالي 12 في المائة من حالات الولادة السنوية لأمهات مراهقات تتراوح أعمارهن بين 15 و 19 عاماً. وتعزى هذه الزيادة إلى زيادة النشاط الجنسي بين الشباب، وإلى تأثير الكحول والتحرك الاجتماعي. كما أن ضغط الأقران والمشاكل الأسرية تدفع هؤلاء الشباب أحياناً إلى ممارسة هذا السلوك المستهتر.</w:t>
      </w:r>
    </w:p>
    <w:p w:rsidR="00444F0D" w:rsidRPr="00444F0D" w:rsidRDefault="00444F0D" w:rsidP="00444F0D">
      <w:pPr>
        <w:pStyle w:val="SingleTxt"/>
        <w:spacing w:after="0" w:line="120" w:lineRule="exact"/>
        <w:rPr>
          <w:rFonts w:hint="cs"/>
          <w:sz w:val="10"/>
          <w:rtl/>
        </w:rPr>
      </w:pPr>
    </w:p>
    <w:p w:rsidR="00E41740" w:rsidRDefault="00444F0D" w:rsidP="00444F0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87197E">
        <w:rPr>
          <w:rFonts w:hint="cs"/>
          <w:rtl/>
        </w:rPr>
        <w:t>تنظيم الأسرة</w:t>
      </w:r>
    </w:p>
    <w:p w:rsidR="00E41740" w:rsidRDefault="00444F0D" w:rsidP="00444F0D">
      <w:pPr>
        <w:pStyle w:val="SingleTxt"/>
        <w:rPr>
          <w:rFonts w:hint="cs"/>
          <w:rtl/>
        </w:rPr>
      </w:pPr>
      <w:r>
        <w:rPr>
          <w:rFonts w:hint="cs"/>
          <w:rtl/>
        </w:rPr>
        <w:t xml:space="preserve">12-11  </w:t>
      </w:r>
      <w:r w:rsidR="00E41740">
        <w:rPr>
          <w:rFonts w:hint="cs"/>
          <w:rtl/>
        </w:rPr>
        <w:t>يتوفر للمرأة الحصول على مشورة تتعلق بتنظيم الأسرة وبخدمات صحة الأسرة الأخرى من خلال وزارة الصحة. وقد تناقص استخدام موانع الحمل في توفالو في السنوات االثلاث الأخيرة. ويبين الجدول 27 أدناه برنامج تنظيم الأسرة الذي استخدم أثناء الفترة 2002-2004. ويلاحظ أن هذا هو الاستخدام الذي أبلغت عنه من وزارة الصحة. ويوجد مقدمو خدمات أو موزعو موانع حمل آخرون، بمن فيهم جمعية صحة الأسرة في توفالو.</w:t>
      </w:r>
    </w:p>
    <w:p w:rsidR="00E41740" w:rsidRDefault="00E41740" w:rsidP="00E41740">
      <w:pPr>
        <w:rPr>
          <w:rFonts w:hint="cs"/>
          <w:sz w:val="32"/>
          <w:szCs w:val="32"/>
          <w:rtl/>
        </w:rPr>
      </w:pPr>
    </w:p>
    <w:p w:rsidR="00E41740" w:rsidRPr="00F76EB2" w:rsidRDefault="00E41740" w:rsidP="00E41740">
      <w:pPr>
        <w:jc w:val="center"/>
        <w:rPr>
          <w:rFonts w:hint="cs"/>
          <w:b/>
          <w:bCs/>
          <w:sz w:val="28"/>
          <w:szCs w:val="28"/>
          <w:rtl/>
        </w:rPr>
      </w:pPr>
      <w:r w:rsidRPr="00F76EB2">
        <w:rPr>
          <w:rFonts w:hint="cs"/>
          <w:b/>
          <w:bCs/>
          <w:sz w:val="28"/>
          <w:szCs w:val="28"/>
          <w:rtl/>
        </w:rPr>
        <w:t xml:space="preserve">الجدول 27: برنامج تنظيم الأسرة، الفترة 2002 </w:t>
      </w:r>
      <w:r w:rsidR="00084D51">
        <w:rPr>
          <w:b/>
          <w:bCs/>
          <w:sz w:val="28"/>
          <w:szCs w:val="28"/>
          <w:rtl/>
        </w:rPr>
        <w:t>-</w:t>
      </w:r>
      <w:r w:rsidRPr="00F76EB2">
        <w:rPr>
          <w:rFonts w:hint="cs"/>
          <w:b/>
          <w:bCs/>
          <w:sz w:val="28"/>
          <w:szCs w:val="28"/>
          <w:rtl/>
        </w:rPr>
        <w:t xml:space="preserve"> 2004 </w:t>
      </w:r>
    </w:p>
    <w:tbl>
      <w:tblPr>
        <w:tblStyle w:val="TableGrid"/>
        <w:bidiVisual/>
        <w:tblW w:w="98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30"/>
        <w:gridCol w:w="880"/>
        <w:gridCol w:w="1040"/>
        <w:gridCol w:w="876"/>
        <w:gridCol w:w="884"/>
        <w:gridCol w:w="720"/>
        <w:gridCol w:w="800"/>
        <w:gridCol w:w="692"/>
        <w:gridCol w:w="908"/>
        <w:gridCol w:w="720"/>
        <w:gridCol w:w="720"/>
        <w:gridCol w:w="880"/>
      </w:tblGrid>
      <w:tr w:rsidR="00B729A3" w:rsidRPr="00B729A3">
        <w:trPr>
          <w:cantSplit/>
          <w:tblHeader/>
          <w:jc w:val="center"/>
        </w:trPr>
        <w:tc>
          <w:tcPr>
            <w:tcW w:w="73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rPr>
                <w:rFonts w:cs="Traditional Arabic" w:hint="cs"/>
                <w:i/>
                <w:iCs/>
                <w:sz w:val="22"/>
                <w:szCs w:val="22"/>
                <w:rtl/>
              </w:rPr>
            </w:pPr>
            <w:r w:rsidRPr="00B729A3">
              <w:rPr>
                <w:rFonts w:cs="Traditional Arabic" w:hint="cs"/>
                <w:i/>
                <w:iCs/>
                <w:sz w:val="22"/>
                <w:szCs w:val="22"/>
                <w:rtl/>
              </w:rPr>
              <w:t>السنة</w:t>
            </w:r>
          </w:p>
        </w:tc>
        <w:tc>
          <w:tcPr>
            <w:tcW w:w="88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w w:val="90"/>
                <w:szCs w:val="20"/>
              </w:rPr>
            </w:pPr>
            <w:r w:rsidRPr="00B729A3">
              <w:rPr>
                <w:rFonts w:cs="Traditional Arabic"/>
                <w:i/>
                <w:iCs/>
                <w:w w:val="90"/>
                <w:szCs w:val="20"/>
              </w:rPr>
              <w:t>Eugy</w:t>
            </w:r>
          </w:p>
        </w:tc>
        <w:tc>
          <w:tcPr>
            <w:tcW w:w="104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ميكرولوت</w:t>
            </w:r>
          </w:p>
        </w:tc>
        <w:tc>
          <w:tcPr>
            <w:tcW w:w="876"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w w:val="90"/>
                <w:szCs w:val="20"/>
                <w:rtl/>
              </w:rPr>
            </w:pPr>
            <w:r w:rsidRPr="00B729A3">
              <w:rPr>
                <w:rFonts w:cs="Traditional Arabic"/>
                <w:i/>
                <w:iCs/>
                <w:w w:val="90"/>
                <w:szCs w:val="20"/>
              </w:rPr>
              <w:t>M/lut</w:t>
            </w:r>
          </w:p>
        </w:tc>
        <w:tc>
          <w:tcPr>
            <w:tcW w:w="884"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w w:val="90"/>
                <w:szCs w:val="20"/>
                <w:rtl/>
              </w:rPr>
            </w:pPr>
            <w:r w:rsidRPr="00B729A3">
              <w:rPr>
                <w:rFonts w:cs="Traditional Arabic"/>
                <w:i/>
                <w:iCs/>
                <w:w w:val="90"/>
                <w:szCs w:val="20"/>
              </w:rPr>
              <w:t>Copert</w:t>
            </w:r>
          </w:p>
        </w:tc>
        <w:tc>
          <w:tcPr>
            <w:tcW w:w="72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لولب</w:t>
            </w:r>
          </w:p>
        </w:tc>
        <w:tc>
          <w:tcPr>
            <w:tcW w:w="80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ديبو بروفير</w:t>
            </w:r>
          </w:p>
        </w:tc>
        <w:tc>
          <w:tcPr>
            <w:tcW w:w="692"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رفال</w:t>
            </w:r>
          </w:p>
        </w:tc>
        <w:tc>
          <w:tcPr>
            <w:tcW w:w="908"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انطلاق البويضة</w:t>
            </w:r>
          </w:p>
        </w:tc>
        <w:tc>
          <w:tcPr>
            <w:tcW w:w="72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نور بلانت</w:t>
            </w:r>
          </w:p>
        </w:tc>
        <w:tc>
          <w:tcPr>
            <w:tcW w:w="72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تعقيم</w:t>
            </w:r>
          </w:p>
        </w:tc>
        <w:tc>
          <w:tcPr>
            <w:tcW w:w="880" w:type="dxa"/>
            <w:tcBorders>
              <w:top w:val="single" w:sz="4" w:space="0" w:color="auto"/>
              <w:bottom w:val="single" w:sz="12" w:space="0" w:color="auto"/>
            </w:tcBorders>
            <w:shd w:val="clear" w:color="auto" w:fill="auto"/>
            <w:vAlign w:val="bottom"/>
          </w:tcPr>
          <w:p w:rsidR="00E41740" w:rsidRPr="00B729A3" w:rsidRDefault="00E41740" w:rsidP="00B729A3">
            <w:pPr>
              <w:spacing w:before="80" w:after="80" w:line="240" w:lineRule="exact"/>
              <w:ind w:right="144"/>
              <w:jc w:val="lowKashida"/>
              <w:rPr>
                <w:rFonts w:cs="Traditional Arabic" w:hint="cs"/>
                <w:i/>
                <w:iCs/>
                <w:sz w:val="22"/>
                <w:szCs w:val="22"/>
                <w:rtl/>
              </w:rPr>
            </w:pPr>
            <w:r w:rsidRPr="00B729A3">
              <w:rPr>
                <w:rFonts w:cs="Traditional Arabic" w:hint="cs"/>
                <w:i/>
                <w:iCs/>
                <w:sz w:val="22"/>
                <w:szCs w:val="22"/>
                <w:rtl/>
              </w:rPr>
              <w:t>المجموع</w:t>
            </w:r>
          </w:p>
        </w:tc>
      </w:tr>
      <w:tr w:rsidR="00B729A3" w:rsidRPr="00B729A3">
        <w:trPr>
          <w:cantSplit/>
          <w:trHeight w:hRule="exact" w:val="115"/>
          <w:tblHeader/>
          <w:jc w:val="center"/>
        </w:trPr>
        <w:tc>
          <w:tcPr>
            <w:tcW w:w="730" w:type="dxa"/>
            <w:tcBorders>
              <w:top w:val="single" w:sz="12" w:space="0" w:color="auto"/>
            </w:tcBorders>
            <w:shd w:val="clear" w:color="auto" w:fill="auto"/>
            <w:vAlign w:val="bottom"/>
          </w:tcPr>
          <w:p w:rsidR="00B729A3" w:rsidRPr="00B729A3" w:rsidRDefault="00B729A3" w:rsidP="00B729A3">
            <w:pPr>
              <w:spacing w:before="40" w:after="80" w:line="240" w:lineRule="exact"/>
              <w:rPr>
                <w:rFonts w:hint="cs"/>
                <w:sz w:val="16"/>
                <w:szCs w:val="24"/>
                <w:rtl/>
              </w:rPr>
            </w:pPr>
          </w:p>
        </w:tc>
        <w:tc>
          <w:tcPr>
            <w:tcW w:w="88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104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876"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884"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80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692"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908"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72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c>
          <w:tcPr>
            <w:tcW w:w="880" w:type="dxa"/>
            <w:tcBorders>
              <w:top w:val="single" w:sz="12" w:space="0" w:color="auto"/>
            </w:tcBorders>
            <w:shd w:val="clear" w:color="auto" w:fill="auto"/>
            <w:vAlign w:val="bottom"/>
          </w:tcPr>
          <w:p w:rsidR="00B729A3" w:rsidRPr="00B729A3" w:rsidRDefault="00B729A3" w:rsidP="00B729A3">
            <w:pPr>
              <w:spacing w:before="40" w:after="80" w:line="240" w:lineRule="exact"/>
              <w:ind w:right="144"/>
              <w:jc w:val="lowKashida"/>
              <w:rPr>
                <w:rFonts w:hint="cs"/>
                <w:sz w:val="16"/>
                <w:szCs w:val="24"/>
                <w:rtl/>
              </w:rPr>
            </w:pPr>
          </w:p>
        </w:tc>
      </w:tr>
      <w:tr w:rsidR="00B729A3" w:rsidRPr="00B729A3">
        <w:trPr>
          <w:cantSplit/>
          <w:jc w:val="center"/>
        </w:trPr>
        <w:tc>
          <w:tcPr>
            <w:tcW w:w="730" w:type="dxa"/>
            <w:shd w:val="clear" w:color="auto" w:fill="auto"/>
            <w:vAlign w:val="bottom"/>
          </w:tcPr>
          <w:p w:rsidR="00E41740" w:rsidRPr="00B729A3" w:rsidRDefault="00E41740" w:rsidP="00B729A3">
            <w:pPr>
              <w:spacing w:before="40" w:after="80" w:line="240" w:lineRule="exact"/>
              <w:rPr>
                <w:rFonts w:cs="Traditional Arabic" w:hint="cs"/>
                <w:sz w:val="16"/>
                <w:szCs w:val="24"/>
                <w:rtl/>
              </w:rPr>
            </w:pPr>
            <w:r w:rsidRPr="00B729A3">
              <w:rPr>
                <w:rFonts w:cs="Traditional Arabic" w:hint="cs"/>
                <w:sz w:val="16"/>
                <w:szCs w:val="24"/>
                <w:rtl/>
              </w:rPr>
              <w:t>2002</w:t>
            </w:r>
          </w:p>
        </w:tc>
        <w:tc>
          <w:tcPr>
            <w:tcW w:w="88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687</w:t>
            </w:r>
          </w:p>
        </w:tc>
        <w:tc>
          <w:tcPr>
            <w:tcW w:w="104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2140</w:t>
            </w:r>
          </w:p>
        </w:tc>
        <w:tc>
          <w:tcPr>
            <w:tcW w:w="876"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284</w:t>
            </w:r>
          </w:p>
        </w:tc>
        <w:tc>
          <w:tcPr>
            <w:tcW w:w="884"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270</w:t>
            </w:r>
          </w:p>
        </w:tc>
        <w:tc>
          <w:tcPr>
            <w:tcW w:w="72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649</w:t>
            </w:r>
          </w:p>
        </w:tc>
        <w:tc>
          <w:tcPr>
            <w:tcW w:w="80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3863</w:t>
            </w:r>
          </w:p>
        </w:tc>
        <w:tc>
          <w:tcPr>
            <w:tcW w:w="692"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444</w:t>
            </w:r>
          </w:p>
        </w:tc>
        <w:tc>
          <w:tcPr>
            <w:tcW w:w="908"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845</w:t>
            </w:r>
          </w:p>
        </w:tc>
        <w:tc>
          <w:tcPr>
            <w:tcW w:w="72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408</w:t>
            </w:r>
          </w:p>
        </w:tc>
        <w:tc>
          <w:tcPr>
            <w:tcW w:w="72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2236</w:t>
            </w:r>
          </w:p>
        </w:tc>
        <w:tc>
          <w:tcPr>
            <w:tcW w:w="88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11826</w:t>
            </w:r>
          </w:p>
        </w:tc>
      </w:tr>
      <w:tr w:rsidR="00B729A3" w:rsidRPr="00B729A3">
        <w:trPr>
          <w:cantSplit/>
          <w:jc w:val="center"/>
        </w:trPr>
        <w:tc>
          <w:tcPr>
            <w:tcW w:w="730" w:type="dxa"/>
            <w:shd w:val="clear" w:color="auto" w:fill="auto"/>
            <w:vAlign w:val="bottom"/>
          </w:tcPr>
          <w:p w:rsidR="00E41740" w:rsidRPr="00B729A3" w:rsidRDefault="00E41740" w:rsidP="00B729A3">
            <w:pPr>
              <w:spacing w:before="40" w:after="80" w:line="240" w:lineRule="exact"/>
              <w:rPr>
                <w:rFonts w:cs="Traditional Arabic" w:hint="cs"/>
                <w:sz w:val="16"/>
                <w:szCs w:val="24"/>
                <w:rtl/>
              </w:rPr>
            </w:pPr>
            <w:r w:rsidRPr="00B729A3">
              <w:rPr>
                <w:rFonts w:cs="Traditional Arabic" w:hint="cs"/>
                <w:sz w:val="16"/>
                <w:szCs w:val="24"/>
                <w:rtl/>
              </w:rPr>
              <w:t>2003</w:t>
            </w:r>
          </w:p>
        </w:tc>
        <w:tc>
          <w:tcPr>
            <w:tcW w:w="88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46</w:t>
            </w:r>
          </w:p>
        </w:tc>
        <w:tc>
          <w:tcPr>
            <w:tcW w:w="104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156</w:t>
            </w:r>
          </w:p>
        </w:tc>
        <w:tc>
          <w:tcPr>
            <w:tcW w:w="876"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69</w:t>
            </w:r>
          </w:p>
        </w:tc>
        <w:tc>
          <w:tcPr>
            <w:tcW w:w="884"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12</w:t>
            </w:r>
          </w:p>
        </w:tc>
        <w:tc>
          <w:tcPr>
            <w:tcW w:w="72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26</w:t>
            </w:r>
          </w:p>
        </w:tc>
        <w:tc>
          <w:tcPr>
            <w:tcW w:w="80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302</w:t>
            </w:r>
          </w:p>
        </w:tc>
        <w:tc>
          <w:tcPr>
            <w:tcW w:w="692"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71</w:t>
            </w:r>
          </w:p>
        </w:tc>
        <w:tc>
          <w:tcPr>
            <w:tcW w:w="908"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94</w:t>
            </w:r>
          </w:p>
        </w:tc>
        <w:tc>
          <w:tcPr>
            <w:tcW w:w="72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49</w:t>
            </w:r>
          </w:p>
        </w:tc>
        <w:tc>
          <w:tcPr>
            <w:tcW w:w="72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179</w:t>
            </w:r>
          </w:p>
        </w:tc>
        <w:tc>
          <w:tcPr>
            <w:tcW w:w="880" w:type="dxa"/>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1004</w:t>
            </w:r>
          </w:p>
        </w:tc>
      </w:tr>
      <w:tr w:rsidR="00B729A3" w:rsidRPr="00B729A3">
        <w:trPr>
          <w:cantSplit/>
          <w:jc w:val="center"/>
        </w:trPr>
        <w:tc>
          <w:tcPr>
            <w:tcW w:w="730" w:type="dxa"/>
            <w:tcBorders>
              <w:bottom w:val="single" w:sz="12" w:space="0" w:color="auto"/>
            </w:tcBorders>
            <w:shd w:val="clear" w:color="auto" w:fill="auto"/>
            <w:vAlign w:val="bottom"/>
          </w:tcPr>
          <w:p w:rsidR="00E41740" w:rsidRPr="00B729A3" w:rsidRDefault="00E41740" w:rsidP="00B729A3">
            <w:pPr>
              <w:spacing w:before="40" w:after="80" w:line="240" w:lineRule="exact"/>
              <w:rPr>
                <w:rFonts w:cs="Traditional Arabic" w:hint="cs"/>
                <w:sz w:val="16"/>
                <w:szCs w:val="24"/>
                <w:rtl/>
              </w:rPr>
            </w:pPr>
            <w:r w:rsidRPr="00B729A3">
              <w:rPr>
                <w:rFonts w:cs="Traditional Arabic" w:hint="cs"/>
                <w:sz w:val="16"/>
                <w:szCs w:val="24"/>
                <w:rtl/>
              </w:rPr>
              <w:t>2004</w:t>
            </w:r>
          </w:p>
        </w:tc>
        <w:tc>
          <w:tcPr>
            <w:tcW w:w="88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40</w:t>
            </w:r>
          </w:p>
        </w:tc>
        <w:tc>
          <w:tcPr>
            <w:tcW w:w="104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153</w:t>
            </w:r>
          </w:p>
        </w:tc>
        <w:tc>
          <w:tcPr>
            <w:tcW w:w="876"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80</w:t>
            </w:r>
          </w:p>
        </w:tc>
        <w:tc>
          <w:tcPr>
            <w:tcW w:w="884"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15</w:t>
            </w:r>
          </w:p>
        </w:tc>
        <w:tc>
          <w:tcPr>
            <w:tcW w:w="72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19</w:t>
            </w:r>
          </w:p>
        </w:tc>
        <w:tc>
          <w:tcPr>
            <w:tcW w:w="80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344</w:t>
            </w:r>
          </w:p>
        </w:tc>
        <w:tc>
          <w:tcPr>
            <w:tcW w:w="692"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112</w:t>
            </w:r>
          </w:p>
        </w:tc>
        <w:tc>
          <w:tcPr>
            <w:tcW w:w="908"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122</w:t>
            </w:r>
          </w:p>
        </w:tc>
        <w:tc>
          <w:tcPr>
            <w:tcW w:w="72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49</w:t>
            </w:r>
          </w:p>
        </w:tc>
        <w:tc>
          <w:tcPr>
            <w:tcW w:w="72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169</w:t>
            </w:r>
          </w:p>
        </w:tc>
        <w:tc>
          <w:tcPr>
            <w:tcW w:w="880" w:type="dxa"/>
            <w:tcBorders>
              <w:bottom w:val="single" w:sz="12" w:space="0" w:color="auto"/>
            </w:tcBorders>
            <w:shd w:val="clear" w:color="auto" w:fill="auto"/>
            <w:vAlign w:val="bottom"/>
          </w:tcPr>
          <w:p w:rsidR="00E41740" w:rsidRPr="00B729A3" w:rsidRDefault="00E41740" w:rsidP="00B729A3">
            <w:pPr>
              <w:spacing w:before="40" w:after="80" w:line="240" w:lineRule="exact"/>
              <w:ind w:right="144"/>
              <w:jc w:val="lowKashida"/>
              <w:rPr>
                <w:rFonts w:cs="Traditional Arabic" w:hint="cs"/>
                <w:sz w:val="16"/>
                <w:szCs w:val="24"/>
                <w:rtl/>
              </w:rPr>
            </w:pPr>
            <w:r w:rsidRPr="00B729A3">
              <w:rPr>
                <w:rFonts w:cs="Traditional Arabic" w:hint="cs"/>
                <w:sz w:val="16"/>
                <w:szCs w:val="24"/>
                <w:rtl/>
              </w:rPr>
              <w:t>1103</w:t>
            </w:r>
          </w:p>
        </w:tc>
      </w:tr>
    </w:tbl>
    <w:p w:rsidR="00E41740" w:rsidRPr="00B729A3" w:rsidRDefault="00B729A3" w:rsidP="00E41740">
      <w:pPr>
        <w:rPr>
          <w:rFonts w:hint="cs"/>
          <w:sz w:val="26"/>
          <w:szCs w:val="26"/>
          <w:rtl/>
        </w:rPr>
      </w:pPr>
      <w:r>
        <w:rPr>
          <w:rFonts w:hint="cs"/>
          <w:sz w:val="28"/>
          <w:szCs w:val="28"/>
          <w:rtl/>
        </w:rPr>
        <w:tab/>
      </w:r>
      <w:r w:rsidR="00E41740" w:rsidRPr="00B729A3">
        <w:rPr>
          <w:rFonts w:hint="cs"/>
          <w:sz w:val="26"/>
          <w:szCs w:val="26"/>
          <w:rtl/>
        </w:rPr>
        <w:t>المصدر: دائرة الصحة (بيانات لم تنشر)</w:t>
      </w:r>
      <w:r>
        <w:rPr>
          <w:rFonts w:hint="cs"/>
          <w:sz w:val="26"/>
          <w:szCs w:val="26"/>
          <w:rtl/>
        </w:rPr>
        <w:t>.</w:t>
      </w:r>
    </w:p>
    <w:p w:rsidR="00B729A3" w:rsidRPr="00B729A3" w:rsidRDefault="00B729A3" w:rsidP="00B729A3">
      <w:pPr>
        <w:spacing w:line="120" w:lineRule="exact"/>
        <w:rPr>
          <w:rFonts w:hint="cs"/>
          <w:sz w:val="10"/>
          <w:szCs w:val="32"/>
          <w:rtl/>
        </w:rPr>
      </w:pPr>
    </w:p>
    <w:p w:rsidR="00E41740" w:rsidRDefault="00E41740" w:rsidP="00B729A3">
      <w:pPr>
        <w:pStyle w:val="SingleTxt"/>
        <w:rPr>
          <w:rFonts w:hint="cs"/>
          <w:rtl/>
        </w:rPr>
      </w:pPr>
      <w:r>
        <w:rPr>
          <w:rFonts w:hint="cs"/>
          <w:rtl/>
        </w:rPr>
        <w:tab/>
        <w:t>أكثر أنواع موانع الحمل استخداماً ديبو بروفيرا يليه التعقيم. وقد انخفض في عام 2003 عدد الذين يستخدمون تنظيم الأسرة ولكنه ارتفع قليلاً في عام 2004</w:t>
      </w:r>
      <w:r w:rsidR="00B729A3" w:rsidRPr="00B729A3">
        <w:rPr>
          <w:vertAlign w:val="superscript"/>
          <w:rtl/>
        </w:rPr>
        <w:t>(</w:t>
      </w:r>
      <w:r w:rsidR="00B729A3">
        <w:rPr>
          <w:rStyle w:val="FootnoteReference"/>
          <w:rtl/>
        </w:rPr>
        <w:footnoteReference w:id="99"/>
      </w:r>
      <w:r w:rsidR="00B729A3" w:rsidRPr="00B729A3">
        <w:rPr>
          <w:vertAlign w:val="superscript"/>
          <w:rtl/>
        </w:rPr>
        <w:t>)</w:t>
      </w:r>
      <w:r>
        <w:rPr>
          <w:rFonts w:hint="cs"/>
          <w:rtl/>
        </w:rPr>
        <w:t>.</w:t>
      </w:r>
      <w:r w:rsidR="00B729A3">
        <w:rPr>
          <w:rFonts w:hint="cs"/>
          <w:rtl/>
        </w:rPr>
        <w:t xml:space="preserve"> </w:t>
      </w:r>
      <w:r>
        <w:rPr>
          <w:rFonts w:hint="cs"/>
          <w:rtl/>
        </w:rPr>
        <w:t>ولكن، مع ارتفاع معدل الخصوبة الكلي في عام 2002 إلى 3.8، فإن توفالو ستواجه قطعاً زيادة سكانية مرتفعة في العقد القادم. وهذا سيؤدي إلى ظهور مشاكل اجتماعية واقتصادية أخرى، مثل الازدحام، نتيجة لمحدودية مساحة الأرض.</w:t>
      </w:r>
    </w:p>
    <w:p w:rsidR="00E41740" w:rsidRDefault="00B729A3" w:rsidP="00B729A3">
      <w:pPr>
        <w:pStyle w:val="SingleTxt"/>
        <w:rPr>
          <w:rFonts w:hint="cs"/>
          <w:rtl/>
        </w:rPr>
      </w:pPr>
      <w:r>
        <w:rPr>
          <w:rFonts w:hint="cs"/>
          <w:rtl/>
        </w:rPr>
        <w:t xml:space="preserve">12-12  </w:t>
      </w:r>
      <w:r w:rsidR="00E41740">
        <w:rPr>
          <w:rFonts w:hint="cs"/>
          <w:rtl/>
        </w:rPr>
        <w:t>وتواصل وزارة الصحة، بالاشتراك مع جمعية صحة الأسرة في توفالو وبدعم من وسائط الإعلام، تنظيم برامج توعية عن تأثير حالات الحمل غير المرغوب فيه وعرض أساليب منع الحمل. والإجهاض جناية في توفالو، ولكن توجد بعض الحالات التي تقبل فيها الحكومة الدفاع الملائم ضد تهمة الإجهاض (</w:t>
      </w:r>
      <w:r w:rsidR="008B1FB2">
        <w:rPr>
          <w:rFonts w:hint="cs"/>
          <w:rtl/>
        </w:rPr>
        <w:t>انظر</w:t>
      </w:r>
      <w:r w:rsidR="00E41740">
        <w:rPr>
          <w:rFonts w:hint="cs"/>
          <w:rtl/>
        </w:rPr>
        <w:t xml:space="preserve"> جلال، عام 1998). وتقول المصادر القانونية لا يكون الإجهاض مشروعاً إلا إذا كان ضرورياً للحفاظ على الصحة الجسدية للأم.</w:t>
      </w:r>
    </w:p>
    <w:p w:rsidR="00B729A3" w:rsidRPr="00B729A3" w:rsidRDefault="00B729A3" w:rsidP="00B729A3">
      <w:pPr>
        <w:pStyle w:val="SingleTxt"/>
        <w:spacing w:after="0" w:line="120" w:lineRule="exact"/>
        <w:rPr>
          <w:rFonts w:hint="cs"/>
          <w:sz w:val="10"/>
          <w:rtl/>
        </w:rPr>
      </w:pPr>
    </w:p>
    <w:p w:rsidR="00E41740" w:rsidRDefault="00B729A3" w:rsidP="00B729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3A1073">
        <w:rPr>
          <w:rFonts w:hint="cs"/>
          <w:rtl/>
        </w:rPr>
        <w:t>الوفاة أثناء الولادة ووفاة الأطفال الرضع</w:t>
      </w:r>
    </w:p>
    <w:p w:rsidR="00E41740" w:rsidRDefault="00B729A3" w:rsidP="00B729A3">
      <w:pPr>
        <w:pStyle w:val="SingleTxt"/>
        <w:rPr>
          <w:rFonts w:hint="cs"/>
          <w:rtl/>
        </w:rPr>
      </w:pPr>
      <w:r>
        <w:rPr>
          <w:rFonts w:hint="cs"/>
          <w:rtl/>
        </w:rPr>
        <w:t xml:space="preserve">12-13  </w:t>
      </w:r>
      <w:r w:rsidR="00E41740">
        <w:rPr>
          <w:rFonts w:hint="cs"/>
          <w:rtl/>
        </w:rPr>
        <w:t>وفقاً للتعداد السكاني لعام 2002، انخفض متوسط عدد</w:t>
      </w:r>
      <w:r w:rsidR="00E41740">
        <w:t xml:space="preserve"> </w:t>
      </w:r>
      <w:r w:rsidR="00E41740">
        <w:rPr>
          <w:rFonts w:hint="cs"/>
          <w:rtl/>
        </w:rPr>
        <w:t>الولادات قليلاً، حيث انخفض من 251 حالة ولادة سنوياً أثناء الفترة من عام 1992 إلى عام 1997، وإلى 241 حالة أثناء الفترة من عام 1997 إلى الفترة 2002. بيد أن معدل الخصوبة الإجمالي ازداد من 3.6 إلى 3.8 على التوالي. وبغض النظر عن انخفاض مجموع حالات الولادة، فإن سبب الزيادة الطفيفة في الخصوبة يعزى إلى نقص كبير في عدد النساء اللواتي في سن الإنجاب. فلكل امرأة من هؤلاء النسوة  عدد من الأطفال أكبر مما كان عليه عدد الأطفال لكل امرأة في أواخر التسعينيات.</w:t>
      </w:r>
    </w:p>
    <w:p w:rsidR="00E41740" w:rsidRDefault="00B729A3" w:rsidP="00B729A3">
      <w:pPr>
        <w:pStyle w:val="SingleTxt"/>
        <w:rPr>
          <w:rFonts w:hint="cs"/>
          <w:rtl/>
        </w:rPr>
      </w:pPr>
      <w:r>
        <w:rPr>
          <w:rFonts w:hint="cs"/>
          <w:rtl/>
        </w:rPr>
        <w:t xml:space="preserve">12-14  </w:t>
      </w:r>
      <w:r w:rsidR="00E41740">
        <w:rPr>
          <w:rFonts w:hint="cs"/>
          <w:rtl/>
        </w:rPr>
        <w:t xml:space="preserve">وأثناء الفترة 1997 </w:t>
      </w:r>
      <w:r w:rsidR="00084D51">
        <w:rPr>
          <w:rtl/>
        </w:rPr>
        <w:t>-</w:t>
      </w:r>
      <w:r w:rsidR="00E41740">
        <w:rPr>
          <w:rFonts w:hint="cs"/>
          <w:rtl/>
        </w:rPr>
        <w:t xml:space="preserve"> 2002، قدر معدل وفيات الأطفال الرضع في توفالو بـ 35 وفاة لكل 000 1 ولادة حية. ويمثل هذا انخفاضاً كبيراً مقارنة بالحالة في النصف الأول من التسعينيات، حيث كان معدل وفيات الأطفال الرضع 51 وفاة لكل 1000 ولادة حية. وأثناء الفترة من عام 2003 إلى عام 2005، انخفض معدل وفيات الأطفال إلى 32.6 وفاة لكل 000 1 ولادة حية.</w:t>
      </w:r>
    </w:p>
    <w:p w:rsidR="00E41740" w:rsidRDefault="00B729A3" w:rsidP="00B729A3">
      <w:pPr>
        <w:pStyle w:val="SingleTxt"/>
        <w:rPr>
          <w:rFonts w:hint="cs"/>
          <w:rtl/>
        </w:rPr>
      </w:pPr>
      <w:r>
        <w:rPr>
          <w:rFonts w:hint="cs"/>
          <w:rtl/>
        </w:rPr>
        <w:t xml:space="preserve">12-15  </w:t>
      </w:r>
      <w:r w:rsidR="00E41740">
        <w:rPr>
          <w:rFonts w:hint="cs"/>
          <w:rtl/>
        </w:rPr>
        <w:t>يكون الأطفال منذ الولادة حتى سن الخامسة معرضين دائماً لقدر أكبر من خطر الإصابة بأمراض يمكن الوقاية منها، مثل الحصبة والسعال الديكي والتيتانوس والتهابات الجهاز التنفسي الحادة وأمراض أخرى عديدة.</w:t>
      </w:r>
    </w:p>
    <w:p w:rsidR="00B729A3" w:rsidRPr="00B729A3" w:rsidRDefault="00B729A3" w:rsidP="00B729A3">
      <w:pPr>
        <w:pStyle w:val="SingleTxt"/>
        <w:spacing w:after="0" w:line="120" w:lineRule="exact"/>
        <w:rPr>
          <w:rFonts w:hint="cs"/>
          <w:sz w:val="10"/>
          <w:rtl/>
        </w:rPr>
      </w:pPr>
    </w:p>
    <w:p w:rsidR="00E41740" w:rsidRDefault="00B729A3" w:rsidP="00B729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362AC7">
        <w:rPr>
          <w:rFonts w:hint="cs"/>
          <w:rtl/>
        </w:rPr>
        <w:t>العمر المتوقع</w:t>
      </w:r>
    </w:p>
    <w:p w:rsidR="00E41740" w:rsidRDefault="00B729A3" w:rsidP="00B729A3">
      <w:pPr>
        <w:pStyle w:val="SingleTxt"/>
        <w:rPr>
          <w:rFonts w:hint="cs"/>
          <w:rtl/>
        </w:rPr>
      </w:pPr>
      <w:r>
        <w:rPr>
          <w:rFonts w:hint="cs"/>
          <w:rtl/>
        </w:rPr>
        <w:t xml:space="preserve">12-16  </w:t>
      </w:r>
      <w:r w:rsidR="00E41740">
        <w:rPr>
          <w:rFonts w:hint="cs"/>
          <w:rtl/>
        </w:rPr>
        <w:t xml:space="preserve">أثناء الفترة 1997 </w:t>
      </w:r>
      <w:r w:rsidR="00084D51">
        <w:rPr>
          <w:rtl/>
        </w:rPr>
        <w:t>-</w:t>
      </w:r>
      <w:r w:rsidR="00E41740">
        <w:rPr>
          <w:rFonts w:hint="cs"/>
          <w:rtl/>
        </w:rPr>
        <w:t xml:space="preserve"> 2002، قدر العمر المتوقع عند الولادة بـ 61.7 عاماً بالنسبة للذكور و 65.1 عاماً بالنسبة للإناث. وأثناء الفترة 1992</w:t>
      </w:r>
      <w:r>
        <w:rPr>
          <w:rFonts w:hint="cs"/>
          <w:rtl/>
        </w:rPr>
        <w:t>-</w:t>
      </w:r>
      <w:r w:rsidR="00E41740">
        <w:rPr>
          <w:rFonts w:hint="cs"/>
          <w:rtl/>
        </w:rPr>
        <w:t>1997، كان العمر المتوقع 60.7 عاماً بالنسبة للذكور و 65.1 عاماً بالنسبة للإناث، مما يدل على حدوث زيادة طفيفة بالنسبة للذكور وعدم حدوث تغيير بالنسبة للإناث.</w:t>
      </w:r>
    </w:p>
    <w:p w:rsidR="00E41740" w:rsidRDefault="00B729A3" w:rsidP="00B729A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Pr>
          <w:rFonts w:hint="cs"/>
          <w:rtl/>
        </w:rPr>
        <w:t>الصحة الجنسية والصحة الإنجابية</w:t>
      </w:r>
    </w:p>
    <w:p w:rsidR="00E41740" w:rsidRDefault="00B729A3" w:rsidP="00B729A3">
      <w:pPr>
        <w:pStyle w:val="SingleTxt"/>
        <w:rPr>
          <w:rFonts w:hint="cs"/>
          <w:rtl/>
        </w:rPr>
      </w:pPr>
      <w:r>
        <w:rPr>
          <w:rFonts w:hint="cs"/>
          <w:rtl/>
        </w:rPr>
        <w:t xml:space="preserve">12-17  </w:t>
      </w:r>
      <w:r w:rsidR="00E41740">
        <w:rPr>
          <w:rFonts w:hint="cs"/>
          <w:rtl/>
        </w:rPr>
        <w:t xml:space="preserve">يوجد في فونافوتي مستوصف صحي للصحة الإنجابية تابع لإدارة الصحة، يعنى بصورة رئيسية بصحة النساء والأطفال دون سن الخامسة من العمر. ومن الخدمات التي تقدم في إطار الصحة الإنجابية سلامة الأمومة </w:t>
      </w:r>
      <w:r w:rsidR="00084D51">
        <w:rPr>
          <w:rtl/>
        </w:rPr>
        <w:t>-</w:t>
      </w:r>
      <w:r w:rsidR="00E41740">
        <w:rPr>
          <w:rFonts w:hint="cs"/>
          <w:rtl/>
        </w:rPr>
        <w:t xml:space="preserve"> الرعاية الصحية قبل الولادة وبعدها والرعاية الصحية للأم والطفل وتنظيم الأسرة وقضايا المساواة بين الجنسين وحمل المراهقات ومعالجة حالات أخرى ذات صلة. بشراكة وتعاون وثيق مع المنظمات غير الحكومية، مثل جمعية صحة الأسرة في توفالو والصليب الأحمر ورابطة المنظمات غير الحكومية في توفالو والمدربون المتميزون الذين يدربون على مهارات الحياة، تعمل إدارة الصحة على توفير جميع خدمات الصحة الإنجابية التي تحتاجها الشابات والنساء.</w:t>
      </w:r>
    </w:p>
    <w:p w:rsidR="00E41740" w:rsidRDefault="00B729A3" w:rsidP="00B729A3">
      <w:pPr>
        <w:pStyle w:val="SingleTxt"/>
        <w:rPr>
          <w:rFonts w:hint="cs"/>
          <w:rtl/>
        </w:rPr>
      </w:pPr>
      <w:r>
        <w:rPr>
          <w:rFonts w:hint="cs"/>
          <w:rtl/>
        </w:rPr>
        <w:t xml:space="preserve">12-18  </w:t>
      </w:r>
      <w:r w:rsidR="00E41740">
        <w:rPr>
          <w:rFonts w:hint="cs"/>
          <w:rtl/>
        </w:rPr>
        <w:t>يشير آخر تقرير عن الصحة إلى زيادة الإصابات التي تنتقل عن طريق الاتصال الجنسي. ففي عام 2004، أبلغ عن 119 إصابة بفيروس الكبد المعدي باء و 67 إصابة بالزهري و أربع إصابات بالسيلان.</w:t>
      </w:r>
    </w:p>
    <w:p w:rsidR="00E41740" w:rsidRDefault="00E41740" w:rsidP="00E41740">
      <w:pPr>
        <w:rPr>
          <w:rFonts w:hint="cs"/>
          <w:sz w:val="32"/>
          <w:szCs w:val="32"/>
          <w:rtl/>
        </w:rPr>
      </w:pPr>
    </w:p>
    <w:p w:rsidR="00E41740" w:rsidRPr="00EB3CF6" w:rsidRDefault="00E41740" w:rsidP="000F646B">
      <w:pPr>
        <w:jc w:val="center"/>
        <w:rPr>
          <w:rFonts w:hint="cs"/>
          <w:b/>
          <w:bCs/>
          <w:sz w:val="28"/>
          <w:szCs w:val="28"/>
          <w:rtl/>
        </w:rPr>
      </w:pPr>
      <w:r w:rsidRPr="00EB3CF6">
        <w:rPr>
          <w:rFonts w:hint="cs"/>
          <w:b/>
          <w:bCs/>
          <w:sz w:val="28"/>
          <w:szCs w:val="28"/>
          <w:rtl/>
        </w:rPr>
        <w:t>الشكل 12: الإصابات التي تنتقل عن طريق الاتصال الجنسي، 2001</w:t>
      </w:r>
      <w:r w:rsidR="00084D51">
        <w:rPr>
          <w:b/>
          <w:bCs/>
          <w:sz w:val="28"/>
          <w:szCs w:val="28"/>
          <w:rtl/>
        </w:rPr>
        <w:t>-</w:t>
      </w:r>
      <w:r w:rsidRPr="00EB3CF6">
        <w:rPr>
          <w:rFonts w:hint="cs"/>
          <w:b/>
          <w:bCs/>
          <w:sz w:val="28"/>
          <w:szCs w:val="28"/>
          <w:rtl/>
        </w:rPr>
        <w:t xml:space="preserve">2004 </w:t>
      </w:r>
    </w:p>
    <w:p w:rsidR="00E41740" w:rsidRDefault="00426065" w:rsidP="00E41740">
      <w:pPr>
        <w:jc w:val="center"/>
        <w:rPr>
          <w:rFonts w:hint="cs"/>
          <w:sz w:val="32"/>
          <w:szCs w:val="32"/>
          <w:rtl/>
        </w:rPr>
      </w:pPr>
      <w:r>
        <w:rPr>
          <w:rFonts w:hint="cs"/>
          <w:b/>
          <w:bCs/>
          <w:noProof/>
          <w:w w:val="100"/>
          <w:sz w:val="28"/>
          <w:szCs w:val="28"/>
          <w:rtl/>
        </w:rPr>
        <w:pict>
          <v:shape id="_x0000_s2627" type="#_x0000_t202" style="position:absolute;left:0;text-align:left;margin-left:307.1pt;margin-top:12.6pt;width:35.3pt;height:11.35pt;z-index:61" strokecolor="white">
            <v:textbox inset="0,0,0,0">
              <w:txbxContent>
                <w:p w:rsidR="00F93B21" w:rsidRPr="00B729A3" w:rsidRDefault="00F93B21" w:rsidP="00426065">
                  <w:pPr>
                    <w:spacing w:line="180" w:lineRule="exact"/>
                    <w:jc w:val="center"/>
                    <w:rPr>
                      <w:rFonts w:hint="cs"/>
                      <w:w w:val="90"/>
                      <w:sz w:val="10"/>
                      <w:szCs w:val="20"/>
                      <w:lang w:bidi="ar-EG"/>
                    </w:rPr>
                  </w:pPr>
                  <w:r>
                    <w:rPr>
                      <w:rFonts w:hint="cs"/>
                      <w:w w:val="90"/>
                      <w:sz w:val="10"/>
                      <w:szCs w:val="20"/>
                      <w:rtl/>
                      <w:lang w:bidi="ar-EG"/>
                    </w:rPr>
                    <w:t>السيلان</w:t>
                  </w:r>
                </w:p>
              </w:txbxContent>
            </v:textbox>
          </v:shape>
        </w:pict>
      </w:r>
      <w:r w:rsidR="00B729A3">
        <w:rPr>
          <w:rFonts w:hint="cs"/>
          <w:b/>
          <w:bCs/>
          <w:noProof/>
          <w:w w:val="100"/>
          <w:sz w:val="28"/>
          <w:szCs w:val="28"/>
          <w:rtl/>
        </w:rPr>
        <w:pict>
          <v:shape id="_x0000_s2626" type="#_x0000_t202" style="position:absolute;left:0;text-align:left;margin-left:255.6pt;margin-top:12pt;width:28.1pt;height:11.35pt;z-index:60" strokecolor="white">
            <v:textbox inset="0,0,0,0">
              <w:txbxContent>
                <w:p w:rsidR="00F93B21" w:rsidRPr="00B729A3" w:rsidRDefault="00F93B21" w:rsidP="00B729A3">
                  <w:pPr>
                    <w:spacing w:line="180" w:lineRule="exact"/>
                    <w:rPr>
                      <w:rFonts w:hint="cs"/>
                      <w:w w:val="90"/>
                      <w:sz w:val="10"/>
                      <w:szCs w:val="20"/>
                      <w:lang w:bidi="ar-EG"/>
                    </w:rPr>
                  </w:pPr>
                  <w:r>
                    <w:rPr>
                      <w:rFonts w:hint="cs"/>
                      <w:w w:val="90"/>
                      <w:sz w:val="10"/>
                      <w:szCs w:val="20"/>
                      <w:rtl/>
                      <w:lang w:bidi="ar-EG"/>
                    </w:rPr>
                    <w:t>الزهري</w:t>
                  </w:r>
                </w:p>
              </w:txbxContent>
            </v:textbox>
          </v:shape>
        </w:pict>
      </w:r>
      <w:r w:rsidR="00B729A3">
        <w:rPr>
          <w:rFonts w:hint="cs"/>
          <w:noProof/>
          <w:w w:val="100"/>
          <w:sz w:val="32"/>
          <w:szCs w:val="32"/>
          <w:rtl/>
        </w:rPr>
        <w:pict>
          <v:shape id="_x0000_s2625" type="#_x0000_t202" style="position:absolute;left:0;text-align:left;margin-left:172pt;margin-top:12.6pt;width:71.3pt;height:11.35pt;z-index:59" strokecolor="white">
            <v:textbox inset="0,0,0,0">
              <w:txbxContent>
                <w:p w:rsidR="00F93B21" w:rsidRPr="00B729A3" w:rsidRDefault="00F93B21" w:rsidP="00B729A3">
                  <w:pPr>
                    <w:spacing w:line="180" w:lineRule="exact"/>
                    <w:rPr>
                      <w:rFonts w:hint="cs"/>
                      <w:w w:val="90"/>
                      <w:sz w:val="10"/>
                      <w:szCs w:val="20"/>
                      <w:lang w:bidi="ar-EG"/>
                    </w:rPr>
                  </w:pPr>
                  <w:r w:rsidRPr="00B729A3">
                    <w:rPr>
                      <w:rFonts w:hint="cs"/>
                      <w:w w:val="90"/>
                      <w:sz w:val="10"/>
                      <w:szCs w:val="20"/>
                      <w:rtl/>
                      <w:lang w:bidi="ar-EG"/>
                    </w:rPr>
                    <w:t>فيروس التهاب الكبد المُعدي</w:t>
                  </w:r>
                </w:p>
              </w:txbxContent>
            </v:textbox>
          </v:shape>
        </w:pict>
      </w:r>
      <w:r w:rsidR="00B729A3">
        <w:rPr>
          <w:noProof/>
        </w:rPr>
        <w:pict>
          <v:shape id="_x0000_s2622" type="#_x0000_t75" style="position:absolute;left:0;text-align:left;margin-left:30.55pt;margin-top:5.4pt;width:416.9pt;height:256.65pt;z-index:58">
            <v:imagedata r:id="rId25" o:title=""/>
          </v:shape>
        </w:pict>
      </w: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B729A3" w:rsidRDefault="00B729A3" w:rsidP="00E41740">
      <w:pPr>
        <w:rPr>
          <w:rFonts w:hint="cs"/>
          <w:sz w:val="32"/>
          <w:szCs w:val="32"/>
          <w:rtl/>
        </w:rPr>
      </w:pPr>
    </w:p>
    <w:p w:rsidR="00E41740" w:rsidRPr="00B729A3" w:rsidRDefault="00E41740" w:rsidP="00B729A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B729A3">
        <w:rPr>
          <w:rFonts w:hint="cs"/>
          <w:rtl/>
        </w:rPr>
        <w:tab/>
      </w:r>
      <w:r w:rsidR="00B729A3">
        <w:rPr>
          <w:rFonts w:hint="cs"/>
          <w:rtl/>
        </w:rPr>
        <w:tab/>
      </w:r>
      <w:r w:rsidRPr="00B729A3">
        <w:rPr>
          <w:rFonts w:hint="cs"/>
          <w:rtl/>
        </w:rPr>
        <w:t>تبين الأرقام أعلاه حدوث زيادة في الإصابات التي تنتقل عن طريق الاتصال الجنسي المبلغ عنها وهذا قد يؤدي إلى زيادة عدد الإصابات بفيروس نقص المناعة البشرية.</w:t>
      </w:r>
    </w:p>
    <w:p w:rsidR="00E41740" w:rsidRDefault="00FC4820" w:rsidP="00FC4820">
      <w:pPr>
        <w:pStyle w:val="SingleTxt"/>
        <w:rPr>
          <w:rFonts w:hint="cs"/>
          <w:rtl/>
        </w:rPr>
      </w:pPr>
      <w:r>
        <w:rPr>
          <w:rFonts w:hint="cs"/>
          <w:rtl/>
        </w:rPr>
        <w:t xml:space="preserve">12-19  </w:t>
      </w:r>
      <w:r w:rsidR="00E41740">
        <w:rPr>
          <w:rFonts w:hint="cs"/>
          <w:rtl/>
        </w:rPr>
        <w:t xml:space="preserve">بوسع المختبر في مستشفى الأميرة مارجريت أن يجري الفحوص للكشف عن مرض الزهري وفيروس التهاب الكبد المعدي باء وفيروس </w:t>
      </w:r>
      <w:r w:rsidR="00402408">
        <w:rPr>
          <w:rFonts w:hint="cs"/>
          <w:rtl/>
        </w:rPr>
        <w:t>نقص المناعة البشرية. إلا أنه لا</w:t>
      </w:r>
      <w:r w:rsidR="00402408">
        <w:rPr>
          <w:rFonts w:hint="eastAsia"/>
          <w:rtl/>
        </w:rPr>
        <w:t> </w:t>
      </w:r>
      <w:r w:rsidR="00E41740">
        <w:rPr>
          <w:rFonts w:hint="cs"/>
          <w:rtl/>
        </w:rPr>
        <w:t>يستطيع حالياً الكشف عن مرض الكلاميديا ومرض السيلان. حالياً، في حالة الكشف على البحارة والأمهات قبل الولادة، ترسل عينات البول إلى ملبورن للكشف عن مرض السيلان ومرض الكلاميديا. وتعالج حالات الزهري، التي تكتشف في مستشفى الأميرة مارجريت وفقاً لبروتوكول معايير منظمة الصحة العالمية.</w:t>
      </w:r>
    </w:p>
    <w:p w:rsidR="00FC4820" w:rsidRPr="00FC4820" w:rsidRDefault="00FC4820" w:rsidP="00FC4820">
      <w:pPr>
        <w:pStyle w:val="SingleTxt"/>
        <w:spacing w:after="0" w:line="120" w:lineRule="exact"/>
        <w:rPr>
          <w:rFonts w:hint="cs"/>
          <w:sz w:val="10"/>
          <w:rtl/>
        </w:rPr>
      </w:pPr>
    </w:p>
    <w:p w:rsidR="00E41740" w:rsidRDefault="00FC4820" w:rsidP="00FC48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E41740" w:rsidRPr="008B3D6A">
        <w:rPr>
          <w:rFonts w:hint="cs"/>
          <w:rtl/>
        </w:rPr>
        <w:t>فيرو</w:t>
      </w:r>
      <w:r w:rsidR="00E41740">
        <w:rPr>
          <w:rFonts w:hint="cs"/>
          <w:rtl/>
        </w:rPr>
        <w:t>س</w:t>
      </w:r>
      <w:r w:rsidR="00E41740" w:rsidRPr="008B3D6A">
        <w:rPr>
          <w:rFonts w:hint="cs"/>
          <w:rtl/>
        </w:rPr>
        <w:t xml:space="preserve"> نقص المناعة البشرية ومتلاز</w:t>
      </w:r>
      <w:r>
        <w:rPr>
          <w:rFonts w:hint="cs"/>
          <w:rtl/>
        </w:rPr>
        <w:t>مة نقص المناعة المكتسب (الإيدز)</w:t>
      </w:r>
    </w:p>
    <w:p w:rsidR="00E41740" w:rsidRDefault="00FC4820" w:rsidP="00FC4820">
      <w:pPr>
        <w:pStyle w:val="SingleTxt"/>
        <w:rPr>
          <w:rFonts w:hint="cs"/>
          <w:rtl/>
        </w:rPr>
      </w:pPr>
      <w:r>
        <w:rPr>
          <w:rFonts w:hint="cs"/>
          <w:rtl/>
        </w:rPr>
        <w:t xml:space="preserve">12-20  </w:t>
      </w:r>
      <w:r w:rsidR="00E41740">
        <w:rPr>
          <w:rFonts w:hint="cs"/>
          <w:rtl/>
        </w:rPr>
        <w:t>أبلغ عن أول إصابة في عام 1995، وحتى الآن يوجد تسعة أشخاص أحياء من المؤكد أنهم مصابون بفيروس نقص المناعة البشرية والإيدز، وأبلغ عن آخر حالة في عام 2002. ولا توجد معلومات عن الطريقة التي أصيبوا بها بالفيروس، ولا توجد بيانات موزعة على أساس نوع الجنس. ولذلك، يفترض بصورة عامة أن معظم الضحايا بحارة وطلاب أمضوا معظم وقتهم خارج البلد. وتدل زيادة معدلات الإصابة بفيروس نقص المناعة البشرية والإيدز على أن السكان ناشطين جنسياً. وتشير أيضاً إلى وجود حاجة ملحة للتركيز على الأبعاد الجنسانية لانتشار هذا الوباء في توفالو وضرورة زيادة الوعي بقبول الأحياء المصابين بفيروس نقص المناعة البشرية والإيدز. وقد ابتدأت عملية مراقبة فيروس نقص المناعة البشرية والفحص للكشف عنه في مطلع عام 2006 كجزء من الدعم الإقليمي الذي يقدمه الصندوق العالمي</w:t>
      </w:r>
      <w:r w:rsidRPr="00FC4820">
        <w:rPr>
          <w:vertAlign w:val="superscript"/>
          <w:rtl/>
        </w:rPr>
        <w:t>(</w:t>
      </w:r>
      <w:r>
        <w:rPr>
          <w:rStyle w:val="FootnoteReference"/>
          <w:rtl/>
        </w:rPr>
        <w:footnoteReference w:id="100"/>
      </w:r>
      <w:r w:rsidRPr="00FC4820">
        <w:rPr>
          <w:vertAlign w:val="superscript"/>
          <w:rtl/>
        </w:rPr>
        <w:t>)</w:t>
      </w:r>
      <w:r w:rsidR="00E41740">
        <w:rPr>
          <w:rFonts w:hint="cs"/>
          <w:rtl/>
        </w:rPr>
        <w:t>.</w:t>
      </w:r>
    </w:p>
    <w:p w:rsidR="00E41740" w:rsidRDefault="00FC4820" w:rsidP="002F3208">
      <w:pPr>
        <w:pStyle w:val="SingleTxt"/>
        <w:rPr>
          <w:rFonts w:hint="cs"/>
          <w:rtl/>
        </w:rPr>
      </w:pPr>
      <w:r>
        <w:rPr>
          <w:rFonts w:hint="cs"/>
          <w:rtl/>
        </w:rPr>
        <w:t xml:space="preserve">12-21  </w:t>
      </w:r>
      <w:r w:rsidR="00E41740">
        <w:rPr>
          <w:rFonts w:hint="cs"/>
          <w:rtl/>
        </w:rPr>
        <w:t xml:space="preserve">أنشئ في مستشفى الأميرة مارجريت في فونافوتي فريق طبي معني بفيروس نقص المناعة البشرية للعناية بالأحياء الحاملين لفيروس نقص المناعة البشرية والمصابون بالإيدز. ويتكون هذا الفريق الطبي من ثلاثة مسؤولين طبيين (مدير الصحة/ طبيب أمراض نسائية/ منسق فيروس نقص المناعة البشرية)، وممرضين أو ممرضتين  وممرضة سريرية من جمعية صحة الأسرة في توفالو وصيدلاني أو صيدلانية. ويعكف الفريق حالياً على إعداد نظام رعاية ودعم للأحياء المصابين بفيروس نقص المناعة البشرية/الإيدز. وتلقى أحد المسؤولين الطبيين والممرضين أو الممرضتين والممرضة السريرية من جمعية صحة الأسرة في توفالو تدريباً في هذا المجال في فيجي ونيوزلندا في مطلع عام 2006. وتوجد خطة لإرسال بقية الفريق، وعلى وجه التحديد المسؤولان الطبيان للتدرب على معالجة المرضى المصابين بفيروس نقص المناعة البشرية والإيدز. وقد اكتملت الدراسة الاستقصائية للجيل الثاني من فيروس نقص المناعة البشرية في حزيران/ يونيه 2006 ويجري حالياً تحليل البيانات. وأرسلت عينات من المصابين بفيروس نقص المناعة البشرية ومن المصابين بالإيدز للمختبر المرجع في ملبون للتأكد من ذلك. ويتخذ الفريق من العاصمة فونافوتي مقراً له. </w:t>
      </w:r>
    </w:p>
    <w:p w:rsidR="00867838" w:rsidRDefault="00867838" w:rsidP="00867838">
      <w:pPr>
        <w:pStyle w:val="SingleTxt"/>
        <w:rPr>
          <w:rFonts w:hint="cs"/>
          <w:rtl/>
        </w:rPr>
      </w:pPr>
      <w:r>
        <w:rPr>
          <w:rFonts w:hint="cs"/>
          <w:rtl/>
        </w:rPr>
        <w:t>12-22  تؤثر التغيرات الاجتماعية كثيراً على الشباب. ويوجد خطر متزايد على الشباب الذين يعيشون في ضواحي فونافوتي، ويفاقم من هذه المشكلة مشكلة إساءة استخدام الكحول. وتجتذب الحانات والنوادي التي تقدم الكحول والتي أنشئت حديثاً في فونافاتي مزيداً من الشباب لاستهلاك الخمور في أي وقت. للأسف، لا تتوفر الرفالات في هذه الأماكن. ولا يزال الشباب لا ينظرون نظرة جدية لفيروس نقص المناعة البشرية/ الإيدز/ الإصابات التي تنتقل عن طريق الاتصال الجنسي. ولا يتوفر للشباب الذين يعيشون في الجزر الخارجية سوى قدر محدود من المعلومات التي تتوفر في فونافوتي، كما أن الرفالات لا تتوفر لهم بيسر. وتوجد حاجة لمعالجة هذه القضايا في الخطة الجديدة لوزارة الصحة.</w:t>
      </w:r>
    </w:p>
    <w:p w:rsidR="00867838" w:rsidRDefault="00867838" w:rsidP="002F3208">
      <w:pPr>
        <w:pStyle w:val="SingleTxt"/>
        <w:rPr>
          <w:rFonts w:hint="cs"/>
          <w:rtl/>
        </w:rPr>
      </w:pPr>
      <w:r>
        <w:rPr>
          <w:rFonts w:hint="cs"/>
          <w:rtl/>
        </w:rPr>
        <w:t>12-23  حالات الإصابة بفيروس نقص المناعة البشرية/ الإيدز في توفالو خطرة على دولة جزرية صغيرة مثل توفالو. ويؤثر هذا المرضان، اللذان ينتقلان بالاتصال الجنسي، اجتماعياً على مركز الشخص في المجتمع. ومع زيادة التحرك وزيادة العمال المتعاقدين للعمل في الخارج، يمكن أن تكون إصابة البحارة بالأمراض التي تنتقل عن طريق الاتصال الجنسي وبفيروس نقص المناعة البشرية/ الإيدز قضية صحية كبيرة في بلد صغير مثل توفالو. ويجب التوعية بمخاطر هذه الأمراض وتعبئة تدابير وقائية للحفاظ على الحالة الصحية للمجتمع</w:t>
      </w:r>
      <w:r w:rsidR="002F3208" w:rsidRPr="002F3208">
        <w:rPr>
          <w:vertAlign w:val="superscript"/>
          <w:rtl/>
        </w:rPr>
        <w:t>(</w:t>
      </w:r>
      <w:r w:rsidR="002F3208">
        <w:rPr>
          <w:rStyle w:val="FootnoteReference"/>
          <w:rtl/>
        </w:rPr>
        <w:footnoteReference w:id="101"/>
      </w:r>
      <w:r w:rsidR="002F3208" w:rsidRPr="002F3208">
        <w:rPr>
          <w:vertAlign w:val="superscript"/>
          <w:rtl/>
        </w:rPr>
        <w:t>)</w:t>
      </w:r>
      <w:r>
        <w:rPr>
          <w:rFonts w:hint="cs"/>
          <w:rtl/>
        </w:rPr>
        <w:t>.</w:t>
      </w:r>
      <w:r w:rsidR="002F3208">
        <w:rPr>
          <w:rFonts w:hint="cs"/>
          <w:rtl/>
        </w:rPr>
        <w:t xml:space="preserve"> </w:t>
      </w:r>
      <w:r>
        <w:rPr>
          <w:rFonts w:hint="cs"/>
          <w:rtl/>
        </w:rPr>
        <w:t>ولذلك، فإن وزارة الصحة وجمعية صحة المرأة في توفالو ومجلس توفالو الوطني للمرأة وإدارة شؤون المرأة ومنظمات غير حكومية أخرى ووزارات الحكومة تقوم جميعها بدور رائد في توفير نطاق من خدمات الصحة الجنسية والصحة الإنجابية، بما في ذلك إنشاء مستوصفات للصحة الجنسية. وْيقدَّم أيضاً تثقيف الأقران ودعمهم بشأن مجموعة مسائل تتعلق بصحة وسلامة ورفاه المجموعات الضعيفة، بما فيها الشباب والنساء. وستواصل دائرة الصحة، والجهات الحكومية الأخرى المعنية، بالتعاون مع المنظمات غير الحكومية، توفير البرامج التثقيفية للشباب والشابات المعرضين للبغاء غير الرسمي أو المنخرطين فيه.</w:t>
      </w:r>
    </w:p>
    <w:p w:rsidR="00867838" w:rsidRPr="00867838" w:rsidRDefault="00867838" w:rsidP="00867838">
      <w:pPr>
        <w:pStyle w:val="SingleTxt"/>
        <w:spacing w:after="0" w:line="120" w:lineRule="exact"/>
        <w:rPr>
          <w:rFonts w:hint="cs"/>
          <w:sz w:val="10"/>
          <w:rtl/>
        </w:rPr>
      </w:pPr>
    </w:p>
    <w:p w:rsidR="00867838" w:rsidRDefault="00867838" w:rsidP="0086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43521">
        <w:rPr>
          <w:rFonts w:hint="cs"/>
          <w:rtl/>
        </w:rPr>
        <w:t>الأمراض غير المعدية</w:t>
      </w:r>
    </w:p>
    <w:p w:rsidR="00867838" w:rsidRDefault="00867838" w:rsidP="00867838">
      <w:pPr>
        <w:pStyle w:val="SingleTxt"/>
        <w:rPr>
          <w:rFonts w:hint="cs"/>
          <w:rtl/>
        </w:rPr>
      </w:pPr>
      <w:r>
        <w:rPr>
          <w:rFonts w:hint="cs"/>
          <w:rtl/>
        </w:rPr>
        <w:t>12-24  حالات الإصابة بمرض البول السكري وارتفاع الضغط مستمرة في الزيادة، مما يدل على تدهور الحالة الصحية وسوء التغذية أو اتباع الناس عادات سيئة في الأكل. وينتقل الناس بصورة متزايدة من الطبخ التقليدي والعادات التقليدية في تناول الطعام إلى أسلوب يقلد الغرب بصورة متزايدة في طبخ الطعام وتناوله. والنساء المجموعة الأكثر تعرضاً للإصابة بهذه الأمراض الناتجة عن أسلوب الحياة. فبعد الزواج يقل النشاط الجسدي للمرأة وهذا يسهم في إصابتها بالسمنة المفرطة. ومن المعتاد بالنسبة للمرأة أن تكون آخر من يأكل في الأسرة الموسعة، وبالتالي فإنها تستهلك ما تتركه الأسرة من طعام، وبصورة عامة، تكون القيمة الغذائية لهذه البقايا أقل من القيمة الغذائية للوجبة.</w:t>
      </w:r>
    </w:p>
    <w:p w:rsidR="00867838" w:rsidRDefault="00867838" w:rsidP="00867838">
      <w:pPr>
        <w:rPr>
          <w:rFonts w:hint="cs"/>
          <w:sz w:val="32"/>
          <w:szCs w:val="32"/>
          <w:rtl/>
        </w:rPr>
      </w:pPr>
    </w:p>
    <w:p w:rsidR="00867838" w:rsidRDefault="00867838" w:rsidP="00867838">
      <w:pPr>
        <w:jc w:val="center"/>
        <w:rPr>
          <w:rFonts w:hint="cs"/>
          <w:sz w:val="32"/>
          <w:szCs w:val="32"/>
          <w:rtl/>
        </w:rPr>
      </w:pPr>
      <w:r w:rsidRPr="00B8353A">
        <w:rPr>
          <w:rFonts w:hint="cs"/>
          <w:sz w:val="28"/>
          <w:szCs w:val="28"/>
          <w:rtl/>
        </w:rPr>
        <w:t>ا</w:t>
      </w:r>
      <w:r w:rsidRPr="00B8353A">
        <w:rPr>
          <w:rFonts w:hint="cs"/>
          <w:b/>
          <w:bCs/>
          <w:sz w:val="28"/>
          <w:szCs w:val="28"/>
          <w:rtl/>
        </w:rPr>
        <w:t>لجدول 28: الأمراض غيرالمعدية موزعة حسب نوع الجنس ونوع</w:t>
      </w:r>
      <w:r>
        <w:rPr>
          <w:rFonts w:hint="cs"/>
          <w:b/>
          <w:bCs/>
          <w:sz w:val="28"/>
          <w:szCs w:val="28"/>
          <w:rtl/>
        </w:rPr>
        <w:t xml:space="preserve"> المرض</w:t>
      </w:r>
      <w:r w:rsidRPr="00B8353A">
        <w:rPr>
          <w:rFonts w:hint="cs"/>
          <w:b/>
          <w:bCs/>
          <w:sz w:val="28"/>
          <w:szCs w:val="28"/>
          <w:rtl/>
        </w:rPr>
        <w:t xml:space="preserve">،  2002 </w:t>
      </w:r>
      <w:r w:rsidR="00084D51">
        <w:rPr>
          <w:b/>
          <w:bCs/>
          <w:sz w:val="28"/>
          <w:szCs w:val="28"/>
          <w:rtl/>
        </w:rPr>
        <w:t>-</w:t>
      </w:r>
      <w:r w:rsidRPr="00B8353A">
        <w:rPr>
          <w:rFonts w:hint="cs"/>
          <w:b/>
          <w:bCs/>
          <w:sz w:val="28"/>
          <w:szCs w:val="28"/>
          <w:rtl/>
        </w:rPr>
        <w:t xml:space="preserve"> 2004</w:t>
      </w:r>
    </w:p>
    <w:tbl>
      <w:tblPr>
        <w:tblStyle w:val="TableGrid"/>
        <w:bidiVisual/>
        <w:tblW w:w="9850" w:type="dxa"/>
        <w:jc w:val="center"/>
        <w:tblLayout w:type="fixed"/>
        <w:tblLook w:val="01E0" w:firstRow="1" w:lastRow="1" w:firstColumn="1" w:lastColumn="1" w:noHBand="0" w:noVBand="0"/>
      </w:tblPr>
      <w:tblGrid>
        <w:gridCol w:w="2002"/>
        <w:gridCol w:w="847"/>
        <w:gridCol w:w="847"/>
        <w:gridCol w:w="847"/>
        <w:gridCol w:w="846"/>
        <w:gridCol w:w="846"/>
        <w:gridCol w:w="846"/>
        <w:gridCol w:w="846"/>
        <w:gridCol w:w="846"/>
        <w:gridCol w:w="1077"/>
      </w:tblGrid>
      <w:tr w:rsidR="00867838" w:rsidRPr="00867838">
        <w:trPr>
          <w:jc w:val="center"/>
        </w:trPr>
        <w:tc>
          <w:tcPr>
            <w:tcW w:w="1872" w:type="dxa"/>
            <w:vMerge w:val="restart"/>
          </w:tcPr>
          <w:p w:rsidR="00867838" w:rsidRPr="00867838" w:rsidRDefault="00867838" w:rsidP="00867838">
            <w:pPr>
              <w:jc w:val="center"/>
              <w:rPr>
                <w:rFonts w:cs="Traditional Arabic" w:hint="cs"/>
                <w:sz w:val="28"/>
                <w:szCs w:val="28"/>
                <w:rtl/>
              </w:rPr>
            </w:pPr>
          </w:p>
          <w:p w:rsidR="00867838" w:rsidRPr="00867838" w:rsidRDefault="00867838" w:rsidP="00867838">
            <w:pPr>
              <w:jc w:val="center"/>
              <w:rPr>
                <w:rFonts w:cs="Traditional Arabic" w:hint="cs"/>
                <w:sz w:val="28"/>
                <w:szCs w:val="28"/>
                <w:rtl/>
              </w:rPr>
            </w:pPr>
            <w:r w:rsidRPr="00867838">
              <w:rPr>
                <w:rFonts w:cs="Traditional Arabic" w:hint="cs"/>
                <w:sz w:val="28"/>
                <w:szCs w:val="28"/>
                <w:rtl/>
              </w:rPr>
              <w:t>نوع المرض</w:t>
            </w:r>
          </w:p>
        </w:tc>
        <w:tc>
          <w:tcPr>
            <w:tcW w:w="2376" w:type="dxa"/>
            <w:gridSpan w:val="3"/>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2002</w:t>
            </w:r>
          </w:p>
        </w:tc>
        <w:tc>
          <w:tcPr>
            <w:tcW w:w="2376" w:type="dxa"/>
            <w:gridSpan w:val="3"/>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2003</w:t>
            </w:r>
          </w:p>
        </w:tc>
        <w:tc>
          <w:tcPr>
            <w:tcW w:w="2592" w:type="dxa"/>
            <w:gridSpan w:val="3"/>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2004</w:t>
            </w:r>
          </w:p>
        </w:tc>
      </w:tr>
      <w:tr w:rsidR="00867838" w:rsidRPr="00A73B47">
        <w:trPr>
          <w:jc w:val="center"/>
        </w:trPr>
        <w:tc>
          <w:tcPr>
            <w:tcW w:w="1872" w:type="dxa"/>
            <w:vMerge/>
          </w:tcPr>
          <w:p w:rsidR="00867838" w:rsidRPr="00A73B47" w:rsidRDefault="00867838" w:rsidP="00867838">
            <w:pPr>
              <w:rPr>
                <w:rFonts w:cs="Traditional Arabic" w:hint="cs"/>
                <w:b/>
                <w:bCs/>
                <w:sz w:val="28"/>
                <w:szCs w:val="28"/>
                <w:rtl/>
              </w:rPr>
            </w:pP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ذكر</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أنثى</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مجموع</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ذكر</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أنثى</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مجموع</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ذكر</w:t>
            </w:r>
          </w:p>
        </w:tc>
        <w:tc>
          <w:tcPr>
            <w:tcW w:w="792"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أنثى</w:t>
            </w:r>
          </w:p>
        </w:tc>
        <w:tc>
          <w:tcPr>
            <w:tcW w:w="1008"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مجموع</w:t>
            </w:r>
          </w:p>
        </w:tc>
      </w:tr>
      <w:tr w:rsidR="00867838" w:rsidRPr="00A73B47">
        <w:trPr>
          <w:jc w:val="center"/>
        </w:trPr>
        <w:tc>
          <w:tcPr>
            <w:tcW w:w="1872" w:type="dxa"/>
          </w:tcPr>
          <w:p w:rsidR="00867838" w:rsidRPr="00A73B47" w:rsidRDefault="00867838" w:rsidP="00867838">
            <w:pPr>
              <w:rPr>
                <w:rFonts w:cs="Traditional Arabic" w:hint="cs"/>
                <w:sz w:val="28"/>
                <w:szCs w:val="28"/>
                <w:rtl/>
              </w:rPr>
            </w:pPr>
            <w:r w:rsidRPr="00A73B47">
              <w:rPr>
                <w:rFonts w:cs="Traditional Arabic" w:hint="cs"/>
                <w:sz w:val="28"/>
                <w:szCs w:val="28"/>
                <w:rtl/>
              </w:rPr>
              <w:t>مرض البول السكري</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107</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155</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262</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195</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273</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468</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538</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881</w:t>
            </w:r>
          </w:p>
        </w:tc>
        <w:tc>
          <w:tcPr>
            <w:tcW w:w="1008"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1419</w:t>
            </w:r>
          </w:p>
        </w:tc>
      </w:tr>
      <w:tr w:rsidR="00867838" w:rsidRPr="00A73B47">
        <w:trPr>
          <w:jc w:val="center"/>
        </w:trPr>
        <w:tc>
          <w:tcPr>
            <w:tcW w:w="1872" w:type="dxa"/>
          </w:tcPr>
          <w:p w:rsidR="00867838" w:rsidRPr="00A73B47" w:rsidRDefault="00867838" w:rsidP="00867838">
            <w:pPr>
              <w:rPr>
                <w:rFonts w:cs="Traditional Arabic" w:hint="cs"/>
                <w:sz w:val="28"/>
                <w:szCs w:val="28"/>
                <w:rtl/>
              </w:rPr>
            </w:pPr>
            <w:r w:rsidRPr="00A73B47">
              <w:rPr>
                <w:rFonts w:cs="Traditional Arabic" w:hint="cs"/>
                <w:sz w:val="28"/>
                <w:szCs w:val="28"/>
                <w:rtl/>
              </w:rPr>
              <w:t>أمراض القلب</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24</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10</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34</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13</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36</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49</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13</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15</w:t>
            </w:r>
          </w:p>
        </w:tc>
        <w:tc>
          <w:tcPr>
            <w:tcW w:w="1008"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28</w:t>
            </w:r>
          </w:p>
        </w:tc>
      </w:tr>
      <w:tr w:rsidR="00867838" w:rsidRPr="00A73B47">
        <w:trPr>
          <w:jc w:val="center"/>
        </w:trPr>
        <w:tc>
          <w:tcPr>
            <w:tcW w:w="1872" w:type="dxa"/>
          </w:tcPr>
          <w:p w:rsidR="00867838" w:rsidRPr="00A73B47" w:rsidRDefault="00867838" w:rsidP="00867838">
            <w:pPr>
              <w:rPr>
                <w:rFonts w:cs="Traditional Arabic" w:hint="cs"/>
                <w:sz w:val="28"/>
                <w:szCs w:val="28"/>
                <w:rtl/>
              </w:rPr>
            </w:pPr>
            <w:r w:rsidRPr="00A73B47">
              <w:rPr>
                <w:rFonts w:cs="Traditional Arabic" w:hint="cs"/>
                <w:sz w:val="28"/>
                <w:szCs w:val="28"/>
                <w:rtl/>
              </w:rPr>
              <w:t>ارتفاع ضغط الدم</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111</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206</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317</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201</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341</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542</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549</w:t>
            </w:r>
          </w:p>
        </w:tc>
        <w:tc>
          <w:tcPr>
            <w:tcW w:w="792"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1255</w:t>
            </w:r>
          </w:p>
        </w:tc>
        <w:tc>
          <w:tcPr>
            <w:tcW w:w="1008" w:type="dxa"/>
          </w:tcPr>
          <w:p w:rsidR="00867838" w:rsidRPr="00A73B47" w:rsidRDefault="00867838" w:rsidP="00867838">
            <w:pPr>
              <w:jc w:val="center"/>
              <w:rPr>
                <w:rFonts w:cs="Traditional Arabic" w:hint="cs"/>
                <w:sz w:val="28"/>
                <w:szCs w:val="28"/>
                <w:rtl/>
              </w:rPr>
            </w:pPr>
            <w:r w:rsidRPr="00A73B47">
              <w:rPr>
                <w:rFonts w:cs="Traditional Arabic" w:hint="cs"/>
                <w:sz w:val="28"/>
                <w:szCs w:val="28"/>
                <w:rtl/>
              </w:rPr>
              <w:t>1804</w:t>
            </w:r>
          </w:p>
        </w:tc>
      </w:tr>
      <w:tr w:rsidR="00867838" w:rsidRPr="00A73B47">
        <w:trPr>
          <w:jc w:val="center"/>
        </w:trPr>
        <w:tc>
          <w:tcPr>
            <w:tcW w:w="1872" w:type="dxa"/>
          </w:tcPr>
          <w:p w:rsidR="00867838" w:rsidRPr="00A73B47" w:rsidRDefault="00867838" w:rsidP="00867838">
            <w:pPr>
              <w:rPr>
                <w:rFonts w:cs="Traditional Arabic" w:hint="cs"/>
                <w:sz w:val="28"/>
                <w:szCs w:val="28"/>
                <w:rtl/>
              </w:rPr>
            </w:pPr>
            <w:r w:rsidRPr="00A73B47">
              <w:rPr>
                <w:rFonts w:cs="Traditional Arabic" w:hint="cs"/>
                <w:sz w:val="28"/>
                <w:szCs w:val="28"/>
                <w:rtl/>
              </w:rPr>
              <w:t>السمنة المفرطة</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1</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1</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3</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5</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22</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26</w:t>
            </w:r>
          </w:p>
        </w:tc>
        <w:tc>
          <w:tcPr>
            <w:tcW w:w="1008" w:type="dxa"/>
          </w:tcPr>
          <w:p w:rsidR="00867838" w:rsidRPr="00A73B47" w:rsidRDefault="00867838" w:rsidP="00867838">
            <w:pPr>
              <w:jc w:val="center"/>
              <w:rPr>
                <w:rFonts w:cs="Traditional Arabic" w:hint="cs"/>
                <w:sz w:val="28"/>
                <w:szCs w:val="28"/>
                <w:rtl/>
              </w:rPr>
            </w:pPr>
            <w:r>
              <w:rPr>
                <w:rFonts w:cs="Traditional Arabic" w:hint="cs"/>
                <w:sz w:val="28"/>
                <w:szCs w:val="28"/>
                <w:rtl/>
              </w:rPr>
              <w:t>48</w:t>
            </w:r>
          </w:p>
        </w:tc>
      </w:tr>
      <w:tr w:rsidR="00867838" w:rsidRPr="00A73B47">
        <w:trPr>
          <w:jc w:val="center"/>
        </w:trPr>
        <w:tc>
          <w:tcPr>
            <w:tcW w:w="1872" w:type="dxa"/>
          </w:tcPr>
          <w:p w:rsidR="00867838" w:rsidRPr="00A73B47" w:rsidRDefault="00867838" w:rsidP="00867838">
            <w:pPr>
              <w:rPr>
                <w:rFonts w:cs="Traditional Arabic" w:hint="cs"/>
                <w:sz w:val="28"/>
                <w:szCs w:val="28"/>
                <w:rtl/>
              </w:rPr>
            </w:pPr>
            <w:r w:rsidRPr="00A73B47">
              <w:rPr>
                <w:rFonts w:cs="Traditional Arabic" w:hint="cs"/>
                <w:sz w:val="28"/>
                <w:szCs w:val="28"/>
                <w:rtl/>
              </w:rPr>
              <w:t>التهاب المفاصل/ النقرس</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296</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240</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536</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339</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285</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624</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396</w:t>
            </w:r>
          </w:p>
        </w:tc>
        <w:tc>
          <w:tcPr>
            <w:tcW w:w="792" w:type="dxa"/>
          </w:tcPr>
          <w:p w:rsidR="00867838" w:rsidRPr="00A73B47" w:rsidRDefault="00867838" w:rsidP="00867838">
            <w:pPr>
              <w:jc w:val="center"/>
              <w:rPr>
                <w:rFonts w:cs="Traditional Arabic" w:hint="cs"/>
                <w:sz w:val="28"/>
                <w:szCs w:val="28"/>
                <w:rtl/>
              </w:rPr>
            </w:pPr>
            <w:r>
              <w:rPr>
                <w:rFonts w:cs="Traditional Arabic" w:hint="cs"/>
                <w:sz w:val="28"/>
                <w:szCs w:val="28"/>
                <w:rtl/>
              </w:rPr>
              <w:t>249</w:t>
            </w:r>
          </w:p>
        </w:tc>
        <w:tc>
          <w:tcPr>
            <w:tcW w:w="1008" w:type="dxa"/>
          </w:tcPr>
          <w:p w:rsidR="00867838" w:rsidRPr="00A73B47" w:rsidRDefault="00867838" w:rsidP="00867838">
            <w:pPr>
              <w:jc w:val="center"/>
              <w:rPr>
                <w:rFonts w:cs="Traditional Arabic" w:hint="cs"/>
                <w:sz w:val="28"/>
                <w:szCs w:val="28"/>
                <w:rtl/>
              </w:rPr>
            </w:pPr>
            <w:r>
              <w:rPr>
                <w:rFonts w:cs="Traditional Arabic" w:hint="cs"/>
                <w:sz w:val="28"/>
                <w:szCs w:val="28"/>
                <w:rtl/>
              </w:rPr>
              <w:t>645</w:t>
            </w:r>
          </w:p>
        </w:tc>
      </w:tr>
    </w:tbl>
    <w:p w:rsidR="00867838" w:rsidRDefault="00867838" w:rsidP="00867838">
      <w:pPr>
        <w:rPr>
          <w:rFonts w:hint="cs"/>
          <w:sz w:val="32"/>
          <w:szCs w:val="32"/>
          <w:rtl/>
        </w:rPr>
      </w:pPr>
    </w:p>
    <w:p w:rsidR="00867838" w:rsidRDefault="00867838" w:rsidP="00867838">
      <w:pPr>
        <w:jc w:val="center"/>
        <w:rPr>
          <w:rFonts w:hint="cs"/>
          <w:b/>
          <w:bCs/>
          <w:sz w:val="28"/>
          <w:szCs w:val="28"/>
          <w:rtl/>
        </w:rPr>
      </w:pPr>
      <w:r w:rsidRPr="00B8353A">
        <w:rPr>
          <w:rFonts w:hint="cs"/>
          <w:sz w:val="28"/>
          <w:szCs w:val="28"/>
          <w:rtl/>
        </w:rPr>
        <w:t>ا</w:t>
      </w:r>
      <w:r w:rsidRPr="00B8353A">
        <w:rPr>
          <w:rFonts w:hint="cs"/>
          <w:b/>
          <w:bCs/>
          <w:sz w:val="28"/>
          <w:szCs w:val="28"/>
          <w:rtl/>
        </w:rPr>
        <w:t xml:space="preserve">لجدول 28: الأمراض غيرالمعدية موزعة حسب نوع الجنس والنوع،  2002 </w:t>
      </w:r>
      <w:r w:rsidR="00084D51">
        <w:rPr>
          <w:b/>
          <w:bCs/>
          <w:sz w:val="28"/>
          <w:szCs w:val="28"/>
          <w:rtl/>
        </w:rPr>
        <w:t>-</w:t>
      </w:r>
      <w:r w:rsidRPr="00B8353A">
        <w:rPr>
          <w:rFonts w:hint="cs"/>
          <w:b/>
          <w:bCs/>
          <w:sz w:val="28"/>
          <w:szCs w:val="28"/>
          <w:rtl/>
        </w:rPr>
        <w:t xml:space="preserve"> 2004</w:t>
      </w:r>
      <w:r>
        <w:rPr>
          <w:rFonts w:hint="cs"/>
          <w:b/>
          <w:bCs/>
          <w:sz w:val="28"/>
          <w:szCs w:val="28"/>
          <w:rtl/>
        </w:rPr>
        <w:t xml:space="preserve"> (تابع)</w:t>
      </w:r>
    </w:p>
    <w:p w:rsidR="00867838" w:rsidRDefault="00867838" w:rsidP="00867838">
      <w:pPr>
        <w:jc w:val="center"/>
        <w:rPr>
          <w:rFonts w:hint="cs"/>
          <w:sz w:val="32"/>
          <w:szCs w:val="32"/>
          <w:rtl/>
        </w:rPr>
      </w:pPr>
    </w:p>
    <w:tbl>
      <w:tblPr>
        <w:tblStyle w:val="TableGrid"/>
        <w:bidiVisual/>
        <w:tblW w:w="9504" w:type="dxa"/>
        <w:jc w:val="center"/>
        <w:tblLayout w:type="fixed"/>
        <w:tblLook w:val="01E0" w:firstRow="1" w:lastRow="1" w:firstColumn="1" w:lastColumn="1" w:noHBand="0" w:noVBand="0"/>
      </w:tblPr>
      <w:tblGrid>
        <w:gridCol w:w="2143"/>
        <w:gridCol w:w="1226"/>
        <w:gridCol w:w="1227"/>
        <w:gridCol w:w="1227"/>
        <w:gridCol w:w="1227"/>
        <w:gridCol w:w="1227"/>
        <w:gridCol w:w="1227"/>
      </w:tblGrid>
      <w:tr w:rsidR="00867838" w:rsidRPr="00867838">
        <w:trPr>
          <w:jc w:val="center"/>
        </w:trPr>
        <w:tc>
          <w:tcPr>
            <w:tcW w:w="1440" w:type="dxa"/>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نوع المرض</w:t>
            </w:r>
          </w:p>
        </w:tc>
        <w:tc>
          <w:tcPr>
            <w:tcW w:w="2472" w:type="dxa"/>
            <w:gridSpan w:val="3"/>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التغيرات أثناء</w:t>
            </w:r>
          </w:p>
          <w:p w:rsidR="00867838" w:rsidRPr="00867838" w:rsidRDefault="00867838" w:rsidP="00867838">
            <w:pPr>
              <w:jc w:val="center"/>
              <w:rPr>
                <w:rFonts w:cs="Traditional Arabic" w:hint="cs"/>
                <w:sz w:val="28"/>
                <w:szCs w:val="28"/>
                <w:rtl/>
              </w:rPr>
            </w:pPr>
            <w:r w:rsidRPr="00867838">
              <w:rPr>
                <w:rFonts w:cs="Traditional Arabic" w:hint="cs"/>
                <w:sz w:val="28"/>
                <w:szCs w:val="28"/>
                <w:rtl/>
              </w:rPr>
              <w:t>2003</w:t>
            </w:r>
            <w:r>
              <w:rPr>
                <w:rFonts w:cs="Traditional Arabic" w:hint="cs"/>
                <w:sz w:val="28"/>
                <w:szCs w:val="28"/>
                <w:rtl/>
              </w:rPr>
              <w:t>-</w:t>
            </w:r>
            <w:r w:rsidRPr="00867838">
              <w:rPr>
                <w:rFonts w:cs="Traditional Arabic" w:hint="cs"/>
                <w:sz w:val="28"/>
                <w:szCs w:val="28"/>
                <w:rtl/>
              </w:rPr>
              <w:t>2004</w:t>
            </w:r>
          </w:p>
        </w:tc>
        <w:tc>
          <w:tcPr>
            <w:tcW w:w="2472" w:type="dxa"/>
            <w:gridSpan w:val="3"/>
          </w:tcPr>
          <w:p w:rsidR="00867838" w:rsidRPr="00867838" w:rsidRDefault="00867838" w:rsidP="00867838">
            <w:pPr>
              <w:jc w:val="center"/>
              <w:rPr>
                <w:rFonts w:cs="Traditional Arabic" w:hint="cs"/>
                <w:sz w:val="28"/>
                <w:szCs w:val="28"/>
                <w:rtl/>
              </w:rPr>
            </w:pPr>
            <w:r w:rsidRPr="00867838">
              <w:rPr>
                <w:rFonts w:cs="Traditional Arabic" w:hint="cs"/>
                <w:sz w:val="28"/>
                <w:szCs w:val="28"/>
                <w:rtl/>
              </w:rPr>
              <w:t>التغيرات أثناء</w:t>
            </w:r>
          </w:p>
          <w:p w:rsidR="00867838" w:rsidRPr="00867838" w:rsidRDefault="00867838" w:rsidP="00867838">
            <w:pPr>
              <w:jc w:val="center"/>
              <w:rPr>
                <w:rFonts w:cs="Traditional Arabic" w:hint="cs"/>
                <w:sz w:val="28"/>
                <w:szCs w:val="28"/>
                <w:rtl/>
              </w:rPr>
            </w:pPr>
            <w:r w:rsidRPr="00867838">
              <w:rPr>
                <w:rFonts w:cs="Traditional Arabic" w:hint="cs"/>
                <w:sz w:val="28"/>
                <w:szCs w:val="28"/>
                <w:rtl/>
              </w:rPr>
              <w:t>2002</w:t>
            </w:r>
            <w:r>
              <w:rPr>
                <w:rFonts w:cs="Traditional Arabic" w:hint="cs"/>
                <w:sz w:val="28"/>
                <w:szCs w:val="28"/>
                <w:rtl/>
              </w:rPr>
              <w:t>-</w:t>
            </w:r>
            <w:r w:rsidRPr="00867838">
              <w:rPr>
                <w:rFonts w:cs="Traditional Arabic" w:hint="cs"/>
                <w:sz w:val="28"/>
                <w:szCs w:val="28"/>
                <w:rtl/>
              </w:rPr>
              <w:t>2003</w:t>
            </w:r>
          </w:p>
        </w:tc>
      </w:tr>
      <w:tr w:rsidR="00867838" w:rsidRPr="00867838">
        <w:trPr>
          <w:jc w:val="center"/>
        </w:trPr>
        <w:tc>
          <w:tcPr>
            <w:tcW w:w="1440" w:type="dxa"/>
          </w:tcPr>
          <w:p w:rsidR="00867838" w:rsidRPr="00867838" w:rsidRDefault="00867838" w:rsidP="00867838">
            <w:pPr>
              <w:rPr>
                <w:rFonts w:cs="Traditional Arabic" w:hint="cs"/>
                <w:sz w:val="28"/>
                <w:szCs w:val="28"/>
                <w:rtl/>
              </w:rPr>
            </w:pP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ذكر</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أنثى</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مجموع</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ذكر</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أنثى</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مجموع</w:t>
            </w:r>
          </w:p>
        </w:tc>
      </w:tr>
      <w:tr w:rsidR="00867838" w:rsidRPr="00867838">
        <w:trPr>
          <w:jc w:val="center"/>
        </w:trPr>
        <w:tc>
          <w:tcPr>
            <w:tcW w:w="1440" w:type="dxa"/>
          </w:tcPr>
          <w:p w:rsidR="00867838" w:rsidRPr="00867838" w:rsidRDefault="00867838" w:rsidP="00867838">
            <w:pPr>
              <w:rPr>
                <w:rFonts w:cs="Traditional Arabic" w:hint="cs"/>
                <w:sz w:val="28"/>
                <w:szCs w:val="28"/>
                <w:rtl/>
              </w:rPr>
            </w:pPr>
            <w:r w:rsidRPr="00867838">
              <w:rPr>
                <w:rFonts w:cs="Traditional Arabic" w:hint="cs"/>
                <w:sz w:val="28"/>
                <w:szCs w:val="28"/>
                <w:rtl/>
              </w:rPr>
              <w:t>مرض البول السكري</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343</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608</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951</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88</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118</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206</w:t>
            </w:r>
          </w:p>
        </w:tc>
      </w:tr>
      <w:tr w:rsidR="00867838" w:rsidRPr="00867838">
        <w:trPr>
          <w:jc w:val="center"/>
        </w:trPr>
        <w:tc>
          <w:tcPr>
            <w:tcW w:w="1440" w:type="dxa"/>
          </w:tcPr>
          <w:p w:rsidR="00867838" w:rsidRPr="00867838" w:rsidRDefault="00867838" w:rsidP="00867838">
            <w:pPr>
              <w:rPr>
                <w:rFonts w:cs="Traditional Arabic" w:hint="cs"/>
                <w:sz w:val="28"/>
                <w:szCs w:val="28"/>
                <w:rtl/>
              </w:rPr>
            </w:pPr>
            <w:r w:rsidRPr="00867838">
              <w:rPr>
                <w:rFonts w:cs="Traditional Arabic" w:hint="cs"/>
                <w:sz w:val="28"/>
                <w:szCs w:val="28"/>
                <w:rtl/>
              </w:rPr>
              <w:t>أمراض القلب</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صفر</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-21</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-21</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-11</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26</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15</w:t>
            </w:r>
          </w:p>
        </w:tc>
      </w:tr>
      <w:tr w:rsidR="00867838" w:rsidRPr="00867838">
        <w:trPr>
          <w:jc w:val="center"/>
        </w:trPr>
        <w:tc>
          <w:tcPr>
            <w:tcW w:w="1440" w:type="dxa"/>
          </w:tcPr>
          <w:p w:rsidR="00867838" w:rsidRPr="00867838" w:rsidRDefault="00867838" w:rsidP="00867838">
            <w:pPr>
              <w:rPr>
                <w:rFonts w:cs="Traditional Arabic" w:hint="cs"/>
                <w:sz w:val="28"/>
                <w:szCs w:val="28"/>
                <w:rtl/>
              </w:rPr>
            </w:pPr>
            <w:r w:rsidRPr="00867838">
              <w:rPr>
                <w:rFonts w:cs="Traditional Arabic" w:hint="cs"/>
                <w:sz w:val="28"/>
                <w:szCs w:val="28"/>
                <w:rtl/>
              </w:rPr>
              <w:t>ارتفاع ضغط الدم</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384</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914</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1262</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90</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135</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225</w:t>
            </w:r>
          </w:p>
        </w:tc>
      </w:tr>
      <w:tr w:rsidR="00867838" w:rsidRPr="00867838">
        <w:trPr>
          <w:jc w:val="center"/>
        </w:trPr>
        <w:tc>
          <w:tcPr>
            <w:tcW w:w="1440" w:type="dxa"/>
          </w:tcPr>
          <w:p w:rsidR="00867838" w:rsidRPr="00867838" w:rsidRDefault="00867838" w:rsidP="00867838">
            <w:pPr>
              <w:rPr>
                <w:rFonts w:cs="Traditional Arabic" w:hint="cs"/>
                <w:sz w:val="28"/>
                <w:szCs w:val="28"/>
                <w:rtl/>
              </w:rPr>
            </w:pPr>
            <w:r w:rsidRPr="00867838">
              <w:rPr>
                <w:rFonts w:cs="Traditional Arabic" w:hint="cs"/>
                <w:sz w:val="28"/>
                <w:szCs w:val="28"/>
                <w:rtl/>
              </w:rPr>
              <w:t>السمنة المفرطة</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19</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24</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43</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1</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3</w:t>
            </w:r>
          </w:p>
        </w:tc>
      </w:tr>
      <w:tr w:rsidR="00867838" w:rsidRPr="00867838">
        <w:trPr>
          <w:jc w:val="center"/>
        </w:trPr>
        <w:tc>
          <w:tcPr>
            <w:tcW w:w="1440" w:type="dxa"/>
          </w:tcPr>
          <w:p w:rsidR="00867838" w:rsidRPr="00867838" w:rsidRDefault="00867838" w:rsidP="00867838">
            <w:pPr>
              <w:rPr>
                <w:rFonts w:cs="Traditional Arabic" w:hint="cs"/>
                <w:sz w:val="28"/>
                <w:szCs w:val="28"/>
                <w:rtl/>
              </w:rPr>
            </w:pPr>
            <w:r w:rsidRPr="00867838">
              <w:rPr>
                <w:rFonts w:cs="Traditional Arabic" w:hint="cs"/>
                <w:sz w:val="28"/>
                <w:szCs w:val="28"/>
                <w:rtl/>
              </w:rPr>
              <w:t>التهاب المفاصل/ النقرس</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57</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-36</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21</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43</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45</w:t>
            </w:r>
          </w:p>
        </w:tc>
        <w:tc>
          <w:tcPr>
            <w:tcW w:w="824" w:type="dxa"/>
          </w:tcPr>
          <w:p w:rsidR="00867838" w:rsidRPr="00867838" w:rsidRDefault="00867838" w:rsidP="00867838">
            <w:pPr>
              <w:rPr>
                <w:rFonts w:cs="Traditional Arabic" w:hint="cs"/>
                <w:sz w:val="28"/>
                <w:szCs w:val="28"/>
                <w:rtl/>
              </w:rPr>
            </w:pPr>
            <w:r w:rsidRPr="00867838">
              <w:rPr>
                <w:rFonts w:cs="Traditional Arabic" w:hint="cs"/>
                <w:sz w:val="28"/>
                <w:szCs w:val="28"/>
                <w:rtl/>
              </w:rPr>
              <w:t>88</w:t>
            </w:r>
          </w:p>
        </w:tc>
      </w:tr>
    </w:tbl>
    <w:p w:rsidR="00867838" w:rsidRPr="00402408" w:rsidRDefault="00867838" w:rsidP="00867838">
      <w:pPr>
        <w:ind w:left="720" w:firstLine="720"/>
        <w:rPr>
          <w:rFonts w:hint="cs"/>
          <w:sz w:val="26"/>
          <w:szCs w:val="26"/>
          <w:rtl/>
        </w:rPr>
      </w:pPr>
      <w:r w:rsidRPr="00402408">
        <w:rPr>
          <w:rFonts w:hint="cs"/>
          <w:sz w:val="26"/>
          <w:szCs w:val="26"/>
          <w:rtl/>
        </w:rPr>
        <w:t>المصدر: دائرة الصحة (بيانات لم تنشر)</w:t>
      </w:r>
      <w:r w:rsidR="00402408" w:rsidRPr="00402408">
        <w:rPr>
          <w:rFonts w:hint="cs"/>
          <w:sz w:val="26"/>
          <w:szCs w:val="26"/>
          <w:rtl/>
        </w:rPr>
        <w:t>.</w:t>
      </w:r>
    </w:p>
    <w:p w:rsidR="00867838" w:rsidRPr="00867838" w:rsidRDefault="00867838" w:rsidP="00867838">
      <w:pPr>
        <w:pStyle w:val="SingleTxt"/>
        <w:spacing w:after="0" w:line="120" w:lineRule="exact"/>
        <w:rPr>
          <w:rFonts w:hint="cs"/>
          <w:sz w:val="10"/>
          <w:rtl/>
        </w:rPr>
      </w:pPr>
    </w:p>
    <w:p w:rsidR="00867838" w:rsidRDefault="00867838" w:rsidP="00084D51">
      <w:pPr>
        <w:pStyle w:val="SingleTxt"/>
        <w:rPr>
          <w:rFonts w:hint="cs"/>
          <w:rtl/>
        </w:rPr>
      </w:pPr>
      <w:r>
        <w:rPr>
          <w:rFonts w:hint="cs"/>
          <w:rtl/>
        </w:rPr>
        <w:t xml:space="preserve">12-25  يبين الجدول 28 أن أكثر ثلاثة أمراض غير معدية انتشاراً في توفالو هي مرض البول السكري وارتفاع ضغط الدم والسمنة المفرطة. والإناث أكثر عرضة للإصابة بالأمراض غير المعدية. ويبين الجدول أن عدد الإصابات ازداد في السنوات الثلاث الأخيرة. وكما هو الحال في بلدان المحيط الهادئ الجزرية الأخرى، بما فيها توفالو، الأمراض غير المعدية أو </w:t>
      </w:r>
      <w:r w:rsidR="00084D51">
        <w:rPr>
          <w:rFonts w:hint="eastAsia"/>
          <w:rtl/>
        </w:rPr>
        <w:t>”</w:t>
      </w:r>
      <w:r>
        <w:rPr>
          <w:rFonts w:hint="cs"/>
          <w:rtl/>
        </w:rPr>
        <w:t>أمراض أسلوب الحياة</w:t>
      </w:r>
      <w:r w:rsidR="00084D51">
        <w:rPr>
          <w:rFonts w:hint="eastAsia"/>
          <w:rtl/>
        </w:rPr>
        <w:t>“</w:t>
      </w:r>
      <w:r>
        <w:rPr>
          <w:rFonts w:hint="cs"/>
          <w:rtl/>
        </w:rPr>
        <w:t xml:space="preserve"> مسؤولة عن نسبة مرتفعة من الوفيات والإعاقات. وهذه الأمراض هي مرض البول السكري وأمراض القلب والسكتة الدماغية وارتفاع ضغط الدم والسرطان. وفي جميع بلدان المحيط الهادئ، يزداد عبء الأمراض غير المعدية بسرعة مخلفة عواقب اجتماعية واقتصادية وصحية وخيمة. ولوحظ أيضاً أن مرض البول السكري والأمراض غير المعدية الأخرى تشكل عبئاً صحياً متزايداً على البلد. ولمعالجة هذه المشكلة يلزم توفير معلومات أفضل، وقد قامت دائرة الصحة بإجراء دراسة استقصائية </w:t>
      </w:r>
      <w:r w:rsidR="00084D51">
        <w:rPr>
          <w:rFonts w:hint="eastAsia"/>
          <w:rtl/>
        </w:rPr>
        <w:t>”</w:t>
      </w:r>
      <w:r>
        <w:rPr>
          <w:rFonts w:hint="cs"/>
          <w:rtl/>
        </w:rPr>
        <w:t>تدريجية</w:t>
      </w:r>
      <w:r w:rsidR="00084D51">
        <w:rPr>
          <w:rFonts w:hint="eastAsia"/>
          <w:rtl/>
        </w:rPr>
        <w:t>“</w:t>
      </w:r>
      <w:r>
        <w:rPr>
          <w:rFonts w:hint="cs"/>
          <w:rtl/>
        </w:rPr>
        <w:t xml:space="preserve"> لتحديد مدى انتشار عوامل المخاطرة المشتركة بين الأمراض غير المعدية. ومن بين عوامل المخاطرة المشتركة هذه استهلاك التبغ والكحول، وعدم كفاية النشاط الجسدي، والغذاء غير الصحي. ومن بين الاستنتاجات الحالية، وجود زيادة في عدد النساء اللواتي يعانين بشكل خاص من السمنة المفرطة. واكتشفت أثناء الدراسة الاستقصائية حالات جديدة من الإصابة بمرض البول السكري وارتفاع ضغط الدم وأحيلت جميعها إلى مستوصف الأمراض غير المعدية للعلاج. ولوحظ أيضاً حدوث زيادة في استهلاك المرأة للكحول والتبغ. ومن بين بعض التدابير الجديدة التي اتخذت للمساعدة في مكافحة التأثير المتزايد للأمراض غير المعدية النجاح في إجازة قانون سلامة الغذاء وقانون التبغ. والحصول على الخدمات الصحية واستخدام المرافق الصحية مجاني باستثناء شراء الأسنان الصناعية، حيث توجد رسوم بسيطة.</w:t>
      </w:r>
    </w:p>
    <w:p w:rsidR="00867838" w:rsidRPr="00867838" w:rsidRDefault="00867838" w:rsidP="00867838">
      <w:pPr>
        <w:pStyle w:val="SingleTxt"/>
        <w:spacing w:after="0" w:line="120" w:lineRule="exact"/>
        <w:rPr>
          <w:rFonts w:hint="cs"/>
          <w:sz w:val="10"/>
          <w:rtl/>
        </w:rPr>
      </w:pPr>
    </w:p>
    <w:p w:rsidR="00867838" w:rsidRDefault="00867838" w:rsidP="008678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C42D5F">
        <w:rPr>
          <w:rFonts w:hint="cs"/>
          <w:rtl/>
        </w:rPr>
        <w:t>الصحة العقلية</w:t>
      </w:r>
    </w:p>
    <w:p w:rsidR="00867838" w:rsidRDefault="00867838" w:rsidP="00867838">
      <w:pPr>
        <w:pStyle w:val="SingleTxt"/>
        <w:rPr>
          <w:rFonts w:hint="cs"/>
          <w:rtl/>
        </w:rPr>
      </w:pPr>
      <w:r>
        <w:rPr>
          <w:rFonts w:hint="cs"/>
          <w:rtl/>
        </w:rPr>
        <w:t>12-26  الصحة العقلية والإعاقة مهمتان، ولكنهما الأكثر إهمالاً. وفي حين أن مسألة العوق تعالج حالياً من خلال سياسة إنمائية اجتماعية جديدة، توجد حاجة لعلاج مسألة الصحة العقلية أيضاً. وتنظر الحكومة بصورة أساسية فيما يلي:</w:t>
      </w:r>
    </w:p>
    <w:p w:rsidR="00867838" w:rsidRDefault="00867838" w:rsidP="00867838">
      <w:pPr>
        <w:pStyle w:val="SingleTxt"/>
        <w:rPr>
          <w:rFonts w:hint="cs"/>
          <w:rtl/>
        </w:rPr>
      </w:pPr>
      <w:r>
        <w:rPr>
          <w:rFonts w:hint="cs"/>
          <w:rtl/>
        </w:rPr>
        <w:tab/>
        <w:t>(أ)</w:t>
      </w:r>
      <w:r>
        <w:rPr>
          <w:rFonts w:hint="cs"/>
          <w:rtl/>
        </w:rPr>
        <w:tab/>
        <w:t>وضع وتنفيذ سياسة تتعلق بالصحة العقلية (النظر في إجراء دراسة استقصائية لتحديد الاحتياجات).</w:t>
      </w:r>
    </w:p>
    <w:p w:rsidR="00867838" w:rsidRDefault="00867838" w:rsidP="00867838">
      <w:pPr>
        <w:pStyle w:val="SingleTxt"/>
        <w:rPr>
          <w:rFonts w:hint="cs"/>
          <w:rtl/>
        </w:rPr>
      </w:pPr>
      <w:r>
        <w:rPr>
          <w:rFonts w:hint="cs"/>
          <w:rtl/>
        </w:rPr>
        <w:tab/>
        <w:t>(ب)</w:t>
      </w:r>
      <w:r>
        <w:rPr>
          <w:rFonts w:hint="cs"/>
          <w:rtl/>
        </w:rPr>
        <w:tab/>
        <w:t>تدريب موظفين للعناية بمرضى الصحة العقلية.</w:t>
      </w:r>
    </w:p>
    <w:p w:rsidR="00867838" w:rsidRDefault="00867838" w:rsidP="00867838">
      <w:pPr>
        <w:pStyle w:val="SingleTxt"/>
        <w:rPr>
          <w:rFonts w:hint="cs"/>
          <w:rtl/>
        </w:rPr>
      </w:pPr>
      <w:r>
        <w:rPr>
          <w:rFonts w:hint="cs"/>
          <w:rtl/>
        </w:rPr>
        <w:tab/>
        <w:t>(ج)</w:t>
      </w:r>
      <w:r>
        <w:rPr>
          <w:rFonts w:hint="cs"/>
          <w:rtl/>
        </w:rPr>
        <w:tab/>
        <w:t>توفير تغطية صحية مناسبة لمرضى الصحة العقلية.</w:t>
      </w:r>
    </w:p>
    <w:p w:rsidR="00867838" w:rsidRPr="00867838" w:rsidRDefault="00867838" w:rsidP="00867838">
      <w:pPr>
        <w:spacing w:line="120" w:lineRule="exact"/>
        <w:rPr>
          <w:rFonts w:hint="cs"/>
          <w:sz w:val="10"/>
          <w:szCs w:val="32"/>
          <w:rtl/>
        </w:rPr>
      </w:pPr>
    </w:p>
    <w:p w:rsidR="00867838" w:rsidRPr="00C42D5F" w:rsidRDefault="00867838" w:rsidP="0086783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Pr>
          <w:rFonts w:hint="cs"/>
          <w:rtl/>
        </w:rPr>
        <w:tab/>
      </w:r>
      <w:r>
        <w:rPr>
          <w:rFonts w:hint="cs"/>
          <w:rtl/>
        </w:rPr>
        <w:tab/>
      </w:r>
      <w:r w:rsidRPr="00C42D5F">
        <w:rPr>
          <w:rFonts w:hint="cs"/>
          <w:rtl/>
        </w:rPr>
        <w:t>الوفيات</w:t>
      </w:r>
    </w:p>
    <w:p w:rsidR="00867838" w:rsidRDefault="00867838" w:rsidP="00867838">
      <w:pPr>
        <w:rPr>
          <w:rFonts w:hint="cs"/>
          <w:sz w:val="32"/>
          <w:szCs w:val="32"/>
          <w:rtl/>
        </w:rPr>
      </w:pPr>
    </w:p>
    <w:p w:rsidR="00867838" w:rsidRDefault="00867838" w:rsidP="00867838">
      <w:pPr>
        <w:jc w:val="center"/>
        <w:rPr>
          <w:rFonts w:hint="cs"/>
          <w:b/>
          <w:bCs/>
          <w:sz w:val="28"/>
          <w:szCs w:val="28"/>
          <w:rtl/>
        </w:rPr>
      </w:pPr>
      <w:r w:rsidRPr="00365900">
        <w:rPr>
          <w:rFonts w:hint="cs"/>
          <w:b/>
          <w:bCs/>
          <w:sz w:val="28"/>
          <w:szCs w:val="28"/>
          <w:rtl/>
        </w:rPr>
        <w:t xml:space="preserve">الجدول 29: أسباب </w:t>
      </w:r>
      <w:r>
        <w:rPr>
          <w:rFonts w:hint="cs"/>
          <w:b/>
          <w:bCs/>
          <w:sz w:val="28"/>
          <w:szCs w:val="28"/>
          <w:rtl/>
        </w:rPr>
        <w:t>ا</w:t>
      </w:r>
      <w:r w:rsidRPr="00365900">
        <w:rPr>
          <w:rFonts w:hint="cs"/>
          <w:b/>
          <w:bCs/>
          <w:sz w:val="28"/>
          <w:szCs w:val="28"/>
          <w:rtl/>
        </w:rPr>
        <w:t xml:space="preserve">لوفاة الرئيسية الخمسة في عام 2003 </w:t>
      </w:r>
    </w:p>
    <w:p w:rsidR="00867838" w:rsidRPr="00365900" w:rsidRDefault="00867838" w:rsidP="00867838">
      <w:pPr>
        <w:jc w:val="center"/>
        <w:rPr>
          <w:rFonts w:hint="cs"/>
          <w:b/>
          <w:bCs/>
          <w:sz w:val="28"/>
          <w:szCs w:val="28"/>
          <w:rtl/>
        </w:rPr>
      </w:pPr>
    </w:p>
    <w:tbl>
      <w:tblPr>
        <w:tblStyle w:val="TableGrid"/>
        <w:bidiVisual/>
        <w:tblW w:w="9504" w:type="dxa"/>
        <w:jc w:val="center"/>
        <w:tblLook w:val="01E0" w:firstRow="1" w:lastRow="1" w:firstColumn="1" w:lastColumn="1" w:noHBand="0" w:noVBand="0"/>
      </w:tblPr>
      <w:tblGrid>
        <w:gridCol w:w="727"/>
        <w:gridCol w:w="2737"/>
        <w:gridCol w:w="915"/>
        <w:gridCol w:w="1290"/>
        <w:gridCol w:w="1281"/>
        <w:gridCol w:w="1555"/>
        <w:gridCol w:w="999"/>
      </w:tblGrid>
      <w:tr w:rsidR="00867838" w:rsidRPr="00867838">
        <w:trPr>
          <w:jc w:val="center"/>
        </w:trPr>
        <w:tc>
          <w:tcPr>
            <w:tcW w:w="2727" w:type="dxa"/>
            <w:gridSpan w:val="2"/>
            <w:tcBorders>
              <w:bottom w:val="single" w:sz="4" w:space="0" w:color="auto"/>
            </w:tcBorders>
          </w:tcPr>
          <w:p w:rsidR="00867838" w:rsidRPr="00867838" w:rsidRDefault="00867838" w:rsidP="00867838">
            <w:pPr>
              <w:jc w:val="center"/>
              <w:rPr>
                <w:rFonts w:cs="Traditional Arabic" w:hint="cs"/>
                <w:rtl/>
              </w:rPr>
            </w:pPr>
            <w:r w:rsidRPr="00867838">
              <w:rPr>
                <w:rFonts w:cs="Traditional Arabic" w:hint="cs"/>
                <w:rtl/>
              </w:rPr>
              <w:t xml:space="preserve">أسباب الوفاة الرئيسية الخمسة </w:t>
            </w:r>
          </w:p>
        </w:tc>
        <w:tc>
          <w:tcPr>
            <w:tcW w:w="720" w:type="dxa"/>
          </w:tcPr>
          <w:p w:rsidR="00867838" w:rsidRPr="00867838" w:rsidRDefault="00867838" w:rsidP="00867838">
            <w:pPr>
              <w:rPr>
                <w:rFonts w:cs="Traditional Arabic" w:hint="cs"/>
                <w:rtl/>
              </w:rPr>
            </w:pPr>
            <w:r w:rsidRPr="00867838">
              <w:rPr>
                <w:rFonts w:cs="Traditional Arabic" w:hint="cs"/>
                <w:rtl/>
              </w:rPr>
              <w:t>العدد</w:t>
            </w:r>
          </w:p>
        </w:tc>
        <w:tc>
          <w:tcPr>
            <w:tcW w:w="3240" w:type="dxa"/>
            <w:gridSpan w:val="3"/>
          </w:tcPr>
          <w:p w:rsidR="00867838" w:rsidRPr="00867838" w:rsidRDefault="00867838" w:rsidP="00867838">
            <w:pPr>
              <w:jc w:val="center"/>
              <w:rPr>
                <w:rFonts w:cs="Traditional Arabic" w:hint="cs"/>
                <w:rtl/>
              </w:rPr>
            </w:pPr>
            <w:r w:rsidRPr="00867838">
              <w:rPr>
                <w:rFonts w:cs="Traditional Arabic" w:hint="cs"/>
                <w:rtl/>
              </w:rPr>
              <w:t>معدل الوفيات لكل 000 100 من السكان</w:t>
            </w:r>
          </w:p>
        </w:tc>
        <w:tc>
          <w:tcPr>
            <w:tcW w:w="767" w:type="dxa"/>
          </w:tcPr>
          <w:p w:rsidR="00867838" w:rsidRPr="00867838" w:rsidRDefault="00867838" w:rsidP="00867838">
            <w:pPr>
              <w:jc w:val="center"/>
              <w:rPr>
                <w:rFonts w:cs="Traditional Arabic" w:hint="cs"/>
                <w:rtl/>
              </w:rPr>
            </w:pPr>
            <w:r w:rsidRPr="00867838">
              <w:rPr>
                <w:rFonts w:cs="Traditional Arabic" w:hint="cs"/>
                <w:rtl/>
              </w:rPr>
              <w:t>السنة</w:t>
            </w:r>
          </w:p>
        </w:tc>
      </w:tr>
      <w:tr w:rsidR="00867838" w:rsidRPr="00867838">
        <w:trPr>
          <w:jc w:val="center"/>
        </w:trPr>
        <w:tc>
          <w:tcPr>
            <w:tcW w:w="573" w:type="dxa"/>
            <w:tcBorders>
              <w:right w:val="nil"/>
            </w:tcBorders>
          </w:tcPr>
          <w:p w:rsidR="00867838" w:rsidRPr="00867838" w:rsidRDefault="00867838" w:rsidP="00867838">
            <w:pPr>
              <w:rPr>
                <w:rFonts w:cs="Traditional Arabic" w:hint="cs"/>
                <w:rtl/>
              </w:rPr>
            </w:pPr>
            <w:r w:rsidRPr="00867838">
              <w:rPr>
                <w:rFonts w:cs="Traditional Arabic" w:hint="cs"/>
                <w:rtl/>
              </w:rPr>
              <w:t>1-</w:t>
            </w:r>
          </w:p>
        </w:tc>
        <w:tc>
          <w:tcPr>
            <w:tcW w:w="2154" w:type="dxa"/>
            <w:tcBorders>
              <w:left w:val="nil"/>
            </w:tcBorders>
          </w:tcPr>
          <w:p w:rsidR="00867838" w:rsidRPr="00867838" w:rsidRDefault="00867838" w:rsidP="00867838">
            <w:pPr>
              <w:rPr>
                <w:rFonts w:cs="Traditional Arabic" w:hint="cs"/>
                <w:rtl/>
              </w:rPr>
            </w:pPr>
            <w:r w:rsidRPr="00867838">
              <w:rPr>
                <w:rFonts w:cs="Traditional Arabic" w:hint="cs"/>
                <w:rtl/>
              </w:rPr>
              <w:t>أمراض القلب</w:t>
            </w:r>
          </w:p>
        </w:tc>
        <w:tc>
          <w:tcPr>
            <w:tcW w:w="720" w:type="dxa"/>
          </w:tcPr>
          <w:p w:rsidR="00867838" w:rsidRPr="00867838" w:rsidRDefault="00867838" w:rsidP="00867838">
            <w:pPr>
              <w:jc w:val="center"/>
              <w:rPr>
                <w:rFonts w:cs="Traditional Arabic" w:hint="cs"/>
                <w:rtl/>
              </w:rPr>
            </w:pPr>
            <w:r w:rsidRPr="00867838">
              <w:rPr>
                <w:rFonts w:cs="Traditional Arabic" w:hint="cs"/>
                <w:rtl/>
              </w:rPr>
              <w:t>21</w:t>
            </w:r>
          </w:p>
        </w:tc>
        <w:tc>
          <w:tcPr>
            <w:tcW w:w="1008" w:type="dxa"/>
          </w:tcPr>
          <w:p w:rsidR="00867838" w:rsidRPr="00867838" w:rsidRDefault="00867838" w:rsidP="00867838">
            <w:pPr>
              <w:rPr>
                <w:rFonts w:cs="Traditional Arabic" w:hint="cs"/>
                <w:rtl/>
              </w:rPr>
            </w:pPr>
            <w:r w:rsidRPr="00867838">
              <w:rPr>
                <w:rFonts w:cs="Traditional Arabic" w:hint="cs"/>
                <w:rtl/>
              </w:rPr>
              <w:t>219.64</w:t>
            </w:r>
          </w:p>
        </w:tc>
        <w:tc>
          <w:tcPr>
            <w:tcW w:w="1008" w:type="dxa"/>
          </w:tcPr>
          <w:p w:rsidR="00867838" w:rsidRPr="00867838" w:rsidRDefault="00867838" w:rsidP="00867838">
            <w:pPr>
              <w:jc w:val="center"/>
              <w:rPr>
                <w:rFonts w:cs="Traditional Arabic" w:hint="cs"/>
                <w:rtl/>
              </w:rPr>
            </w:pPr>
            <w:r w:rsidRPr="00867838">
              <w:rPr>
                <w:rFonts w:cs="Traditional Arabic" w:hint="cs"/>
                <w:rtl/>
              </w:rPr>
              <w:t>000</w:t>
            </w:r>
          </w:p>
        </w:tc>
        <w:tc>
          <w:tcPr>
            <w:tcW w:w="1224" w:type="dxa"/>
          </w:tcPr>
          <w:p w:rsidR="00867838" w:rsidRPr="00867838" w:rsidRDefault="00867838" w:rsidP="00867838">
            <w:pPr>
              <w:jc w:val="center"/>
              <w:rPr>
                <w:rFonts w:cs="Traditional Arabic" w:hint="cs"/>
                <w:rtl/>
              </w:rPr>
            </w:pPr>
            <w:r w:rsidRPr="00867838">
              <w:rPr>
                <w:rFonts w:cs="Traditional Arabic" w:hint="cs"/>
                <w:rtl/>
              </w:rPr>
              <w:t>000</w:t>
            </w:r>
          </w:p>
        </w:tc>
        <w:tc>
          <w:tcPr>
            <w:tcW w:w="767"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573" w:type="dxa"/>
            <w:tcBorders>
              <w:right w:val="nil"/>
            </w:tcBorders>
          </w:tcPr>
          <w:p w:rsidR="00867838" w:rsidRPr="00867838" w:rsidRDefault="00867838" w:rsidP="00867838">
            <w:pPr>
              <w:rPr>
                <w:rFonts w:cs="Traditional Arabic" w:hint="cs"/>
                <w:rtl/>
              </w:rPr>
            </w:pPr>
            <w:r w:rsidRPr="00867838">
              <w:rPr>
                <w:rFonts w:cs="Traditional Arabic" w:hint="cs"/>
                <w:rtl/>
              </w:rPr>
              <w:t>2-</w:t>
            </w:r>
          </w:p>
        </w:tc>
        <w:tc>
          <w:tcPr>
            <w:tcW w:w="2154" w:type="dxa"/>
            <w:tcBorders>
              <w:left w:val="nil"/>
            </w:tcBorders>
          </w:tcPr>
          <w:p w:rsidR="00867838" w:rsidRPr="00867838" w:rsidRDefault="00867838" w:rsidP="00867838">
            <w:pPr>
              <w:rPr>
                <w:rFonts w:cs="Traditional Arabic" w:hint="cs"/>
                <w:rtl/>
              </w:rPr>
            </w:pPr>
            <w:r w:rsidRPr="00867838">
              <w:rPr>
                <w:rFonts w:cs="Traditional Arabic" w:hint="cs"/>
                <w:rtl/>
              </w:rPr>
              <w:t>خرف الشيخوخة</w:t>
            </w:r>
          </w:p>
        </w:tc>
        <w:tc>
          <w:tcPr>
            <w:tcW w:w="720" w:type="dxa"/>
          </w:tcPr>
          <w:p w:rsidR="00867838" w:rsidRPr="00867838" w:rsidRDefault="00867838" w:rsidP="00867838">
            <w:pPr>
              <w:jc w:val="center"/>
              <w:rPr>
                <w:rFonts w:cs="Traditional Arabic" w:hint="cs"/>
                <w:rtl/>
              </w:rPr>
            </w:pPr>
            <w:r w:rsidRPr="00867838">
              <w:rPr>
                <w:rFonts w:cs="Traditional Arabic" w:hint="cs"/>
                <w:rtl/>
              </w:rPr>
              <w:t>11</w:t>
            </w:r>
          </w:p>
        </w:tc>
        <w:tc>
          <w:tcPr>
            <w:tcW w:w="1008" w:type="dxa"/>
          </w:tcPr>
          <w:p w:rsidR="00867838" w:rsidRPr="00867838" w:rsidRDefault="00867838" w:rsidP="00867838">
            <w:pPr>
              <w:rPr>
                <w:rFonts w:cs="Traditional Arabic" w:hint="cs"/>
                <w:rtl/>
              </w:rPr>
            </w:pPr>
            <w:r w:rsidRPr="00867838">
              <w:rPr>
                <w:rFonts w:cs="Traditional Arabic" w:hint="cs"/>
                <w:rtl/>
              </w:rPr>
              <w:t>115.05</w:t>
            </w:r>
          </w:p>
        </w:tc>
        <w:tc>
          <w:tcPr>
            <w:tcW w:w="1008" w:type="dxa"/>
          </w:tcPr>
          <w:p w:rsidR="00867838" w:rsidRPr="00867838" w:rsidRDefault="00867838" w:rsidP="00867838">
            <w:pPr>
              <w:jc w:val="center"/>
              <w:rPr>
                <w:rFonts w:cs="Traditional Arabic" w:hint="cs"/>
                <w:rtl/>
              </w:rPr>
            </w:pPr>
            <w:r w:rsidRPr="00867838">
              <w:rPr>
                <w:rFonts w:cs="Traditional Arabic" w:hint="cs"/>
                <w:rtl/>
              </w:rPr>
              <w:t>000</w:t>
            </w:r>
          </w:p>
        </w:tc>
        <w:tc>
          <w:tcPr>
            <w:tcW w:w="1224" w:type="dxa"/>
          </w:tcPr>
          <w:p w:rsidR="00867838" w:rsidRPr="00867838" w:rsidRDefault="00867838" w:rsidP="00867838">
            <w:pPr>
              <w:jc w:val="center"/>
              <w:rPr>
                <w:rFonts w:cs="Traditional Arabic" w:hint="cs"/>
                <w:rtl/>
              </w:rPr>
            </w:pPr>
            <w:r w:rsidRPr="00867838">
              <w:rPr>
                <w:rFonts w:cs="Traditional Arabic" w:hint="cs"/>
                <w:rtl/>
              </w:rPr>
              <w:t>000</w:t>
            </w:r>
          </w:p>
        </w:tc>
        <w:tc>
          <w:tcPr>
            <w:tcW w:w="767"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573" w:type="dxa"/>
            <w:tcBorders>
              <w:right w:val="nil"/>
            </w:tcBorders>
          </w:tcPr>
          <w:p w:rsidR="00867838" w:rsidRPr="00867838" w:rsidRDefault="00867838" w:rsidP="00867838">
            <w:pPr>
              <w:rPr>
                <w:rFonts w:cs="Traditional Arabic" w:hint="cs"/>
                <w:rtl/>
              </w:rPr>
            </w:pPr>
            <w:r w:rsidRPr="00867838">
              <w:rPr>
                <w:rFonts w:cs="Traditional Arabic" w:hint="cs"/>
                <w:rtl/>
              </w:rPr>
              <w:t>3-</w:t>
            </w:r>
          </w:p>
        </w:tc>
        <w:tc>
          <w:tcPr>
            <w:tcW w:w="2154" w:type="dxa"/>
            <w:tcBorders>
              <w:left w:val="nil"/>
            </w:tcBorders>
          </w:tcPr>
          <w:p w:rsidR="00867838" w:rsidRPr="00867838" w:rsidRDefault="00867838" w:rsidP="00867838">
            <w:pPr>
              <w:rPr>
                <w:rFonts w:cs="Traditional Arabic" w:hint="cs"/>
                <w:rtl/>
              </w:rPr>
            </w:pPr>
            <w:r w:rsidRPr="00867838">
              <w:rPr>
                <w:rFonts w:cs="Traditional Arabic" w:hint="cs"/>
                <w:rtl/>
              </w:rPr>
              <w:t>أمراض غير مشخصة</w:t>
            </w:r>
          </w:p>
        </w:tc>
        <w:tc>
          <w:tcPr>
            <w:tcW w:w="720" w:type="dxa"/>
          </w:tcPr>
          <w:p w:rsidR="00867838" w:rsidRPr="00867838" w:rsidRDefault="00867838" w:rsidP="00867838">
            <w:pPr>
              <w:jc w:val="center"/>
              <w:rPr>
                <w:rFonts w:cs="Traditional Arabic" w:hint="cs"/>
                <w:rtl/>
              </w:rPr>
            </w:pPr>
            <w:r w:rsidRPr="00867838">
              <w:rPr>
                <w:rFonts w:cs="Traditional Arabic" w:hint="cs"/>
                <w:rtl/>
              </w:rPr>
              <w:t>10</w:t>
            </w:r>
          </w:p>
        </w:tc>
        <w:tc>
          <w:tcPr>
            <w:tcW w:w="1008" w:type="dxa"/>
          </w:tcPr>
          <w:p w:rsidR="00867838" w:rsidRPr="00867838" w:rsidRDefault="00867838" w:rsidP="00867838">
            <w:pPr>
              <w:rPr>
                <w:rFonts w:cs="Traditional Arabic" w:hint="cs"/>
                <w:rtl/>
              </w:rPr>
            </w:pPr>
            <w:r w:rsidRPr="00867838">
              <w:rPr>
                <w:rFonts w:cs="Traditional Arabic" w:hint="cs"/>
                <w:rtl/>
              </w:rPr>
              <w:t>104.59</w:t>
            </w:r>
          </w:p>
        </w:tc>
        <w:tc>
          <w:tcPr>
            <w:tcW w:w="1008" w:type="dxa"/>
          </w:tcPr>
          <w:p w:rsidR="00867838" w:rsidRPr="00867838" w:rsidRDefault="00867838" w:rsidP="00867838">
            <w:pPr>
              <w:jc w:val="center"/>
              <w:rPr>
                <w:rFonts w:cs="Traditional Arabic" w:hint="cs"/>
                <w:rtl/>
              </w:rPr>
            </w:pPr>
            <w:r w:rsidRPr="00867838">
              <w:rPr>
                <w:rFonts w:cs="Traditional Arabic" w:hint="cs"/>
                <w:rtl/>
              </w:rPr>
              <w:t>000</w:t>
            </w:r>
          </w:p>
        </w:tc>
        <w:tc>
          <w:tcPr>
            <w:tcW w:w="1224" w:type="dxa"/>
          </w:tcPr>
          <w:p w:rsidR="00867838" w:rsidRPr="00867838" w:rsidRDefault="00867838" w:rsidP="00867838">
            <w:pPr>
              <w:jc w:val="center"/>
              <w:rPr>
                <w:rFonts w:cs="Traditional Arabic" w:hint="cs"/>
                <w:rtl/>
              </w:rPr>
            </w:pPr>
            <w:r w:rsidRPr="00867838">
              <w:rPr>
                <w:rFonts w:cs="Traditional Arabic" w:hint="cs"/>
                <w:rtl/>
              </w:rPr>
              <w:t>000</w:t>
            </w:r>
          </w:p>
        </w:tc>
        <w:tc>
          <w:tcPr>
            <w:tcW w:w="767"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573" w:type="dxa"/>
            <w:tcBorders>
              <w:right w:val="nil"/>
            </w:tcBorders>
          </w:tcPr>
          <w:p w:rsidR="00867838" w:rsidRPr="00867838" w:rsidRDefault="00867838" w:rsidP="00867838">
            <w:pPr>
              <w:rPr>
                <w:rFonts w:cs="Traditional Arabic" w:hint="cs"/>
                <w:rtl/>
              </w:rPr>
            </w:pPr>
            <w:r w:rsidRPr="00867838">
              <w:rPr>
                <w:rFonts w:cs="Traditional Arabic" w:hint="cs"/>
                <w:rtl/>
              </w:rPr>
              <w:t>4-</w:t>
            </w:r>
          </w:p>
        </w:tc>
        <w:tc>
          <w:tcPr>
            <w:tcW w:w="2154" w:type="dxa"/>
            <w:tcBorders>
              <w:left w:val="nil"/>
            </w:tcBorders>
          </w:tcPr>
          <w:p w:rsidR="00867838" w:rsidRPr="00867838" w:rsidRDefault="00867838" w:rsidP="00867838">
            <w:pPr>
              <w:rPr>
                <w:rFonts w:cs="Traditional Arabic" w:hint="cs"/>
                <w:rtl/>
              </w:rPr>
            </w:pPr>
            <w:r w:rsidRPr="00867838">
              <w:rPr>
                <w:rFonts w:cs="Traditional Arabic" w:hint="cs"/>
                <w:rtl/>
              </w:rPr>
              <w:t>مرض البول السكري</w:t>
            </w:r>
          </w:p>
        </w:tc>
        <w:tc>
          <w:tcPr>
            <w:tcW w:w="720" w:type="dxa"/>
          </w:tcPr>
          <w:p w:rsidR="00867838" w:rsidRPr="00867838" w:rsidRDefault="00867838" w:rsidP="00867838">
            <w:pPr>
              <w:jc w:val="center"/>
              <w:rPr>
                <w:rFonts w:cs="Traditional Arabic" w:hint="cs"/>
                <w:rtl/>
              </w:rPr>
            </w:pPr>
            <w:r w:rsidRPr="00867838">
              <w:rPr>
                <w:rFonts w:cs="Traditional Arabic" w:hint="cs"/>
                <w:rtl/>
              </w:rPr>
              <w:t>5</w:t>
            </w:r>
          </w:p>
        </w:tc>
        <w:tc>
          <w:tcPr>
            <w:tcW w:w="1008" w:type="dxa"/>
          </w:tcPr>
          <w:p w:rsidR="00867838" w:rsidRPr="00867838" w:rsidRDefault="00867838" w:rsidP="00867838">
            <w:pPr>
              <w:rPr>
                <w:rFonts w:cs="Traditional Arabic" w:hint="cs"/>
                <w:rtl/>
              </w:rPr>
            </w:pPr>
            <w:r w:rsidRPr="00867838">
              <w:rPr>
                <w:rFonts w:cs="Traditional Arabic" w:hint="cs"/>
                <w:rtl/>
              </w:rPr>
              <w:t>52.30</w:t>
            </w:r>
          </w:p>
        </w:tc>
        <w:tc>
          <w:tcPr>
            <w:tcW w:w="1008" w:type="dxa"/>
          </w:tcPr>
          <w:p w:rsidR="00867838" w:rsidRPr="00867838" w:rsidRDefault="00867838" w:rsidP="00867838">
            <w:pPr>
              <w:jc w:val="center"/>
              <w:rPr>
                <w:rFonts w:cs="Traditional Arabic" w:hint="cs"/>
                <w:rtl/>
              </w:rPr>
            </w:pPr>
            <w:r w:rsidRPr="00867838">
              <w:rPr>
                <w:rFonts w:cs="Traditional Arabic" w:hint="cs"/>
                <w:rtl/>
              </w:rPr>
              <w:t>000</w:t>
            </w:r>
          </w:p>
        </w:tc>
        <w:tc>
          <w:tcPr>
            <w:tcW w:w="1224" w:type="dxa"/>
          </w:tcPr>
          <w:p w:rsidR="00867838" w:rsidRPr="00867838" w:rsidRDefault="00867838" w:rsidP="00867838">
            <w:pPr>
              <w:jc w:val="center"/>
              <w:rPr>
                <w:rFonts w:cs="Traditional Arabic" w:hint="cs"/>
                <w:rtl/>
              </w:rPr>
            </w:pPr>
            <w:r w:rsidRPr="00867838">
              <w:rPr>
                <w:rFonts w:cs="Traditional Arabic" w:hint="cs"/>
                <w:rtl/>
              </w:rPr>
              <w:t>000</w:t>
            </w:r>
          </w:p>
        </w:tc>
        <w:tc>
          <w:tcPr>
            <w:tcW w:w="767"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573" w:type="dxa"/>
            <w:tcBorders>
              <w:right w:val="nil"/>
            </w:tcBorders>
          </w:tcPr>
          <w:p w:rsidR="00867838" w:rsidRPr="00867838" w:rsidRDefault="00867838" w:rsidP="00867838">
            <w:pPr>
              <w:rPr>
                <w:rFonts w:cs="Traditional Arabic" w:hint="cs"/>
                <w:rtl/>
              </w:rPr>
            </w:pPr>
            <w:r w:rsidRPr="00867838">
              <w:rPr>
                <w:rFonts w:cs="Traditional Arabic" w:hint="cs"/>
                <w:rtl/>
              </w:rPr>
              <w:t>5-</w:t>
            </w:r>
          </w:p>
        </w:tc>
        <w:tc>
          <w:tcPr>
            <w:tcW w:w="2154" w:type="dxa"/>
            <w:tcBorders>
              <w:left w:val="nil"/>
            </w:tcBorders>
          </w:tcPr>
          <w:p w:rsidR="00867838" w:rsidRPr="00867838" w:rsidRDefault="00867838" w:rsidP="00867838">
            <w:pPr>
              <w:rPr>
                <w:rFonts w:cs="Traditional Arabic" w:hint="cs"/>
                <w:rtl/>
              </w:rPr>
            </w:pPr>
            <w:r w:rsidRPr="00867838">
              <w:rPr>
                <w:rFonts w:cs="Traditional Arabic" w:hint="cs"/>
                <w:rtl/>
              </w:rPr>
              <w:t>ارتفاع السكر في الدم</w:t>
            </w:r>
          </w:p>
        </w:tc>
        <w:tc>
          <w:tcPr>
            <w:tcW w:w="720" w:type="dxa"/>
          </w:tcPr>
          <w:p w:rsidR="00867838" w:rsidRPr="00867838" w:rsidRDefault="00867838" w:rsidP="00867838">
            <w:pPr>
              <w:jc w:val="center"/>
              <w:rPr>
                <w:rFonts w:cs="Traditional Arabic" w:hint="cs"/>
                <w:rtl/>
              </w:rPr>
            </w:pPr>
            <w:r w:rsidRPr="00867838">
              <w:rPr>
                <w:rFonts w:cs="Traditional Arabic" w:hint="cs"/>
                <w:rtl/>
              </w:rPr>
              <w:t>5</w:t>
            </w:r>
          </w:p>
        </w:tc>
        <w:tc>
          <w:tcPr>
            <w:tcW w:w="1008" w:type="dxa"/>
          </w:tcPr>
          <w:p w:rsidR="00867838" w:rsidRPr="00867838" w:rsidRDefault="00867838" w:rsidP="00867838">
            <w:pPr>
              <w:rPr>
                <w:rFonts w:cs="Traditional Arabic" w:hint="cs"/>
                <w:rtl/>
              </w:rPr>
            </w:pPr>
            <w:r w:rsidRPr="00867838">
              <w:rPr>
                <w:rFonts w:cs="Traditional Arabic" w:hint="cs"/>
                <w:rtl/>
              </w:rPr>
              <w:t>52.30</w:t>
            </w:r>
          </w:p>
        </w:tc>
        <w:tc>
          <w:tcPr>
            <w:tcW w:w="1008" w:type="dxa"/>
          </w:tcPr>
          <w:p w:rsidR="00867838" w:rsidRPr="00867838" w:rsidRDefault="00867838" w:rsidP="00867838">
            <w:pPr>
              <w:jc w:val="center"/>
              <w:rPr>
                <w:rFonts w:cs="Traditional Arabic" w:hint="cs"/>
                <w:rtl/>
              </w:rPr>
            </w:pPr>
            <w:r w:rsidRPr="00867838">
              <w:rPr>
                <w:rFonts w:cs="Traditional Arabic" w:hint="cs"/>
                <w:rtl/>
              </w:rPr>
              <w:t>000</w:t>
            </w:r>
          </w:p>
        </w:tc>
        <w:tc>
          <w:tcPr>
            <w:tcW w:w="1224" w:type="dxa"/>
          </w:tcPr>
          <w:p w:rsidR="00867838" w:rsidRPr="00867838" w:rsidRDefault="00867838" w:rsidP="00867838">
            <w:pPr>
              <w:jc w:val="center"/>
              <w:rPr>
                <w:rFonts w:cs="Traditional Arabic" w:hint="cs"/>
                <w:rtl/>
              </w:rPr>
            </w:pPr>
            <w:r w:rsidRPr="00867838">
              <w:rPr>
                <w:rFonts w:cs="Traditional Arabic" w:hint="cs"/>
                <w:rtl/>
              </w:rPr>
              <w:t>000</w:t>
            </w:r>
          </w:p>
        </w:tc>
        <w:tc>
          <w:tcPr>
            <w:tcW w:w="767" w:type="dxa"/>
          </w:tcPr>
          <w:p w:rsidR="00867838" w:rsidRPr="00867838" w:rsidRDefault="00867838" w:rsidP="00867838">
            <w:pPr>
              <w:jc w:val="center"/>
              <w:rPr>
                <w:rFonts w:cs="Traditional Arabic" w:hint="cs"/>
                <w:rtl/>
              </w:rPr>
            </w:pPr>
            <w:r w:rsidRPr="00867838">
              <w:rPr>
                <w:rFonts w:cs="Traditional Arabic" w:hint="cs"/>
                <w:rtl/>
              </w:rPr>
              <w:t>2003</w:t>
            </w:r>
          </w:p>
        </w:tc>
      </w:tr>
    </w:tbl>
    <w:p w:rsidR="00867838" w:rsidRPr="00867838" w:rsidRDefault="00867838" w:rsidP="00867838">
      <w:pPr>
        <w:jc w:val="center"/>
        <w:rPr>
          <w:rFonts w:hint="cs"/>
          <w:sz w:val="26"/>
          <w:szCs w:val="26"/>
          <w:rtl/>
        </w:rPr>
      </w:pPr>
      <w:r w:rsidRPr="00867838">
        <w:rPr>
          <w:rFonts w:hint="cs"/>
          <w:sz w:val="26"/>
          <w:szCs w:val="26"/>
          <w:rtl/>
        </w:rPr>
        <w:t>استخلصت المعلومات من تقرير منظمة الصحة العالمية: بنك البيانات الصحية الإقليمية لمنطقة غرب المحيط الهادئ.</w:t>
      </w:r>
    </w:p>
    <w:p w:rsidR="00867838" w:rsidRDefault="00867838" w:rsidP="00867838">
      <w:pPr>
        <w:pStyle w:val="SingleTxt"/>
        <w:rPr>
          <w:rFonts w:hint="cs"/>
          <w:rtl/>
        </w:rPr>
      </w:pPr>
      <w:r>
        <w:rPr>
          <w:rFonts w:hint="cs"/>
          <w:rtl/>
        </w:rPr>
        <w:tab/>
        <w:t>يبين الجدول أدناه نسبة السكان إلى مقدمي الخدمات الصحية المؤهلين المحترفين.</w:t>
      </w:r>
    </w:p>
    <w:p w:rsidR="00867838" w:rsidRDefault="00867838" w:rsidP="00867838">
      <w:pPr>
        <w:jc w:val="center"/>
        <w:rPr>
          <w:rFonts w:hint="cs"/>
          <w:b/>
          <w:bCs/>
          <w:sz w:val="28"/>
          <w:szCs w:val="28"/>
          <w:rtl/>
        </w:rPr>
      </w:pPr>
      <w:r w:rsidRPr="00365900">
        <w:rPr>
          <w:rFonts w:hint="cs"/>
          <w:b/>
          <w:bCs/>
          <w:sz w:val="28"/>
          <w:szCs w:val="28"/>
          <w:rtl/>
        </w:rPr>
        <w:t xml:space="preserve">الجدول 30: نسبة </w:t>
      </w:r>
      <w:r>
        <w:rPr>
          <w:rFonts w:hint="cs"/>
          <w:b/>
          <w:bCs/>
          <w:sz w:val="28"/>
          <w:szCs w:val="28"/>
          <w:rtl/>
        </w:rPr>
        <w:t xml:space="preserve">مقدمي </w:t>
      </w:r>
      <w:r w:rsidRPr="00365900">
        <w:rPr>
          <w:rFonts w:hint="cs"/>
          <w:b/>
          <w:bCs/>
          <w:sz w:val="28"/>
          <w:szCs w:val="28"/>
          <w:rtl/>
        </w:rPr>
        <w:t>الخدمات الصحية</w:t>
      </w:r>
      <w:r>
        <w:rPr>
          <w:rFonts w:hint="cs"/>
          <w:b/>
          <w:bCs/>
          <w:sz w:val="28"/>
          <w:szCs w:val="28"/>
          <w:rtl/>
        </w:rPr>
        <w:t xml:space="preserve"> المحترفين</w:t>
      </w:r>
      <w:r w:rsidRPr="00365900">
        <w:rPr>
          <w:rFonts w:hint="cs"/>
          <w:b/>
          <w:bCs/>
          <w:sz w:val="28"/>
          <w:szCs w:val="28"/>
          <w:rtl/>
        </w:rPr>
        <w:t xml:space="preserve"> إلى المرضى</w:t>
      </w:r>
    </w:p>
    <w:p w:rsidR="00867838" w:rsidRPr="00365900" w:rsidRDefault="00867838" w:rsidP="00867838">
      <w:pPr>
        <w:jc w:val="center"/>
        <w:rPr>
          <w:rFonts w:hint="cs"/>
          <w:b/>
          <w:bCs/>
          <w:sz w:val="28"/>
          <w:szCs w:val="28"/>
          <w:rtl/>
        </w:rPr>
      </w:pPr>
    </w:p>
    <w:tbl>
      <w:tblPr>
        <w:tblStyle w:val="TableGrid"/>
        <w:bidiVisual/>
        <w:tblW w:w="9504" w:type="dxa"/>
        <w:jc w:val="center"/>
        <w:tblLayout w:type="fixed"/>
        <w:tblLook w:val="01E0" w:firstRow="1" w:lastRow="1" w:firstColumn="1" w:lastColumn="1" w:noHBand="0" w:noVBand="0"/>
      </w:tblPr>
      <w:tblGrid>
        <w:gridCol w:w="4482"/>
        <w:gridCol w:w="897"/>
        <w:gridCol w:w="1076"/>
        <w:gridCol w:w="1076"/>
        <w:gridCol w:w="1076"/>
        <w:gridCol w:w="897"/>
      </w:tblGrid>
      <w:tr w:rsidR="00867838" w:rsidRPr="00867838">
        <w:trPr>
          <w:jc w:val="center"/>
        </w:trPr>
        <w:tc>
          <w:tcPr>
            <w:tcW w:w="3600" w:type="dxa"/>
          </w:tcPr>
          <w:p w:rsidR="00867838" w:rsidRPr="00867838" w:rsidRDefault="00867838" w:rsidP="00867838">
            <w:pPr>
              <w:jc w:val="lowKashida"/>
              <w:rPr>
                <w:rFonts w:cs="Traditional Arabic" w:hint="cs"/>
                <w:rtl/>
              </w:rPr>
            </w:pPr>
          </w:p>
        </w:tc>
        <w:tc>
          <w:tcPr>
            <w:tcW w:w="720" w:type="dxa"/>
          </w:tcPr>
          <w:p w:rsidR="00867838" w:rsidRPr="00867838" w:rsidRDefault="00867838" w:rsidP="00867838">
            <w:pPr>
              <w:jc w:val="center"/>
              <w:rPr>
                <w:rFonts w:cs="Traditional Arabic" w:hint="cs"/>
                <w:rtl/>
              </w:rPr>
            </w:pPr>
            <w:r w:rsidRPr="00867838">
              <w:rPr>
                <w:rFonts w:cs="Traditional Arabic" w:hint="cs"/>
                <w:rtl/>
              </w:rPr>
              <w:t>المجموع</w:t>
            </w:r>
          </w:p>
        </w:tc>
        <w:tc>
          <w:tcPr>
            <w:tcW w:w="864" w:type="dxa"/>
          </w:tcPr>
          <w:p w:rsidR="00867838" w:rsidRPr="00867838" w:rsidRDefault="00867838" w:rsidP="00867838">
            <w:pPr>
              <w:jc w:val="center"/>
              <w:rPr>
                <w:rFonts w:cs="Traditional Arabic" w:hint="cs"/>
                <w:rtl/>
              </w:rPr>
            </w:pPr>
            <w:r w:rsidRPr="00867838">
              <w:rPr>
                <w:rFonts w:cs="Traditional Arabic" w:hint="cs"/>
                <w:rtl/>
              </w:rPr>
              <w:t>المجموع</w:t>
            </w:r>
          </w:p>
        </w:tc>
        <w:tc>
          <w:tcPr>
            <w:tcW w:w="864" w:type="dxa"/>
          </w:tcPr>
          <w:p w:rsidR="00867838" w:rsidRPr="00867838" w:rsidRDefault="00867838" w:rsidP="00867838">
            <w:pPr>
              <w:jc w:val="center"/>
              <w:rPr>
                <w:rFonts w:cs="Traditional Arabic" w:hint="cs"/>
                <w:rtl/>
              </w:rPr>
            </w:pPr>
            <w:r w:rsidRPr="00867838">
              <w:rPr>
                <w:rFonts w:cs="Traditional Arabic" w:hint="cs"/>
                <w:rtl/>
              </w:rPr>
              <w:t>ذكور</w:t>
            </w:r>
          </w:p>
        </w:tc>
        <w:tc>
          <w:tcPr>
            <w:tcW w:w="864" w:type="dxa"/>
          </w:tcPr>
          <w:p w:rsidR="00867838" w:rsidRPr="00867838" w:rsidRDefault="00867838" w:rsidP="00867838">
            <w:pPr>
              <w:jc w:val="center"/>
              <w:rPr>
                <w:rFonts w:cs="Traditional Arabic" w:hint="cs"/>
                <w:rtl/>
              </w:rPr>
            </w:pPr>
            <w:r w:rsidRPr="00867838">
              <w:rPr>
                <w:rFonts w:cs="Traditional Arabic" w:hint="cs"/>
                <w:rtl/>
              </w:rPr>
              <w:t>إناث</w:t>
            </w:r>
          </w:p>
        </w:tc>
        <w:tc>
          <w:tcPr>
            <w:tcW w:w="720" w:type="dxa"/>
          </w:tcPr>
          <w:p w:rsidR="00867838" w:rsidRPr="00867838" w:rsidRDefault="00867838" w:rsidP="00867838">
            <w:pPr>
              <w:jc w:val="center"/>
              <w:rPr>
                <w:rFonts w:cs="Traditional Arabic" w:hint="cs"/>
                <w:rtl/>
              </w:rPr>
            </w:pPr>
          </w:p>
        </w:tc>
      </w:tr>
      <w:tr w:rsidR="00867838" w:rsidRPr="00867838">
        <w:trPr>
          <w:jc w:val="center"/>
        </w:trPr>
        <w:tc>
          <w:tcPr>
            <w:tcW w:w="3600" w:type="dxa"/>
          </w:tcPr>
          <w:p w:rsidR="00867838" w:rsidRPr="00867838" w:rsidRDefault="00867838" w:rsidP="00867838">
            <w:pPr>
              <w:jc w:val="lowKashida"/>
              <w:rPr>
                <w:rFonts w:cs="Traditional Arabic" w:hint="cs"/>
                <w:rtl/>
              </w:rPr>
            </w:pPr>
          </w:p>
        </w:tc>
        <w:tc>
          <w:tcPr>
            <w:tcW w:w="720" w:type="dxa"/>
          </w:tcPr>
          <w:p w:rsidR="00867838" w:rsidRPr="00867838" w:rsidRDefault="00867838" w:rsidP="00867838">
            <w:pPr>
              <w:jc w:val="center"/>
              <w:rPr>
                <w:rFonts w:cs="Traditional Arabic" w:hint="cs"/>
                <w:rtl/>
              </w:rPr>
            </w:pPr>
            <w:r w:rsidRPr="00867838">
              <w:rPr>
                <w:rFonts w:cs="Traditional Arabic" w:hint="cs"/>
                <w:rtl/>
              </w:rPr>
              <w:t>العدد</w:t>
            </w:r>
          </w:p>
        </w:tc>
        <w:tc>
          <w:tcPr>
            <w:tcW w:w="2592" w:type="dxa"/>
            <w:gridSpan w:val="3"/>
          </w:tcPr>
          <w:p w:rsidR="00867838" w:rsidRPr="00867838" w:rsidRDefault="00867838" w:rsidP="00867838">
            <w:pPr>
              <w:jc w:val="center"/>
              <w:rPr>
                <w:rFonts w:cs="Traditional Arabic" w:hint="cs"/>
                <w:rtl/>
              </w:rPr>
            </w:pPr>
            <w:r w:rsidRPr="00867838">
              <w:rPr>
                <w:rFonts w:cs="Traditional Arabic" w:hint="cs"/>
                <w:rtl/>
              </w:rPr>
              <w:t>المعدل لكل 000 10 من السكان</w:t>
            </w:r>
          </w:p>
        </w:tc>
        <w:tc>
          <w:tcPr>
            <w:tcW w:w="720" w:type="dxa"/>
          </w:tcPr>
          <w:p w:rsidR="00867838" w:rsidRPr="00867838" w:rsidRDefault="00867838" w:rsidP="00867838">
            <w:pPr>
              <w:jc w:val="center"/>
              <w:rPr>
                <w:rFonts w:cs="Traditional Arabic" w:hint="cs"/>
                <w:rtl/>
              </w:rPr>
            </w:pPr>
            <w:r w:rsidRPr="00867838">
              <w:rPr>
                <w:rFonts w:cs="Traditional Arabic" w:hint="cs"/>
                <w:rtl/>
              </w:rPr>
              <w:t>السنة</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العاملون في تقديم الخدمات الصحية</w:t>
            </w:r>
          </w:p>
        </w:tc>
        <w:tc>
          <w:tcPr>
            <w:tcW w:w="720" w:type="dxa"/>
          </w:tcPr>
          <w:p w:rsidR="00867838" w:rsidRPr="00867838" w:rsidRDefault="00867838" w:rsidP="00867838">
            <w:pPr>
              <w:jc w:val="center"/>
              <w:rPr>
                <w:rFonts w:cs="Traditional Arabic" w:hint="cs"/>
                <w:rtl/>
              </w:rPr>
            </w:pPr>
          </w:p>
        </w:tc>
        <w:tc>
          <w:tcPr>
            <w:tcW w:w="864" w:type="dxa"/>
          </w:tcPr>
          <w:p w:rsidR="00867838" w:rsidRPr="00867838" w:rsidRDefault="00867838" w:rsidP="00867838">
            <w:pPr>
              <w:jc w:val="center"/>
              <w:rPr>
                <w:rFonts w:cs="Traditional Arabic" w:hint="cs"/>
                <w:rtl/>
              </w:rPr>
            </w:pPr>
          </w:p>
        </w:tc>
        <w:tc>
          <w:tcPr>
            <w:tcW w:w="864" w:type="dxa"/>
          </w:tcPr>
          <w:p w:rsidR="00867838" w:rsidRPr="00867838" w:rsidRDefault="00867838" w:rsidP="00867838">
            <w:pPr>
              <w:jc w:val="center"/>
              <w:rPr>
                <w:rFonts w:cs="Traditional Arabic" w:hint="cs"/>
                <w:rtl/>
              </w:rPr>
            </w:pPr>
          </w:p>
        </w:tc>
        <w:tc>
          <w:tcPr>
            <w:tcW w:w="864" w:type="dxa"/>
          </w:tcPr>
          <w:p w:rsidR="00867838" w:rsidRPr="00867838" w:rsidRDefault="00867838" w:rsidP="00867838">
            <w:pPr>
              <w:jc w:val="center"/>
              <w:rPr>
                <w:rFonts w:cs="Traditional Arabic" w:hint="cs"/>
                <w:rtl/>
              </w:rPr>
            </w:pPr>
          </w:p>
        </w:tc>
        <w:tc>
          <w:tcPr>
            <w:tcW w:w="720" w:type="dxa"/>
          </w:tcPr>
          <w:p w:rsidR="00867838" w:rsidRPr="00867838" w:rsidRDefault="00867838" w:rsidP="00867838">
            <w:pPr>
              <w:jc w:val="center"/>
              <w:rPr>
                <w:rFonts w:cs="Traditional Arabic" w:hint="cs"/>
                <w:rtl/>
              </w:rPr>
            </w:pP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أطباء</w:t>
            </w:r>
          </w:p>
        </w:tc>
        <w:tc>
          <w:tcPr>
            <w:tcW w:w="720" w:type="dxa"/>
          </w:tcPr>
          <w:p w:rsidR="00867838" w:rsidRPr="00867838" w:rsidRDefault="00867838" w:rsidP="00867838">
            <w:pPr>
              <w:jc w:val="center"/>
              <w:rPr>
                <w:rFonts w:cs="Traditional Arabic" w:hint="cs"/>
                <w:rtl/>
              </w:rPr>
            </w:pPr>
            <w:r w:rsidRPr="00867838">
              <w:rPr>
                <w:rFonts w:cs="Traditional Arabic" w:hint="cs"/>
                <w:rtl/>
              </w:rPr>
              <w:t>4</w:t>
            </w:r>
          </w:p>
        </w:tc>
        <w:tc>
          <w:tcPr>
            <w:tcW w:w="864" w:type="dxa"/>
          </w:tcPr>
          <w:p w:rsidR="00867838" w:rsidRPr="00867838" w:rsidRDefault="00867838" w:rsidP="00867838">
            <w:pPr>
              <w:jc w:val="center"/>
              <w:rPr>
                <w:rFonts w:cs="Traditional Arabic" w:hint="cs"/>
                <w:rtl/>
              </w:rPr>
            </w:pPr>
            <w:r w:rsidRPr="00867838">
              <w:rPr>
                <w:rFonts w:cs="Traditional Arabic" w:hint="cs"/>
                <w:rtl/>
              </w:rPr>
              <w:t>4.18</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أطباء أسنان</w:t>
            </w:r>
          </w:p>
        </w:tc>
        <w:tc>
          <w:tcPr>
            <w:tcW w:w="720" w:type="dxa"/>
          </w:tcPr>
          <w:p w:rsidR="00867838" w:rsidRPr="00867838" w:rsidRDefault="00867838" w:rsidP="00867838">
            <w:pPr>
              <w:jc w:val="center"/>
              <w:rPr>
                <w:rFonts w:cs="Traditional Arabic" w:hint="cs"/>
                <w:rtl/>
              </w:rPr>
            </w:pPr>
            <w:r w:rsidRPr="00867838">
              <w:rPr>
                <w:rFonts w:cs="Traditional Arabic" w:hint="cs"/>
                <w:rtl/>
              </w:rPr>
              <w:t>2</w:t>
            </w:r>
          </w:p>
        </w:tc>
        <w:tc>
          <w:tcPr>
            <w:tcW w:w="864" w:type="dxa"/>
          </w:tcPr>
          <w:p w:rsidR="00867838" w:rsidRPr="00867838" w:rsidRDefault="00867838" w:rsidP="00867838">
            <w:pPr>
              <w:jc w:val="center"/>
              <w:rPr>
                <w:rFonts w:cs="Traditional Arabic" w:hint="cs"/>
                <w:rtl/>
              </w:rPr>
            </w:pPr>
            <w:r w:rsidRPr="00867838">
              <w:rPr>
                <w:rFonts w:cs="Traditional Arabic" w:hint="cs"/>
                <w:rtl/>
              </w:rPr>
              <w:t>2.09</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صيدلانيون</w:t>
            </w:r>
          </w:p>
        </w:tc>
        <w:tc>
          <w:tcPr>
            <w:tcW w:w="720" w:type="dxa"/>
          </w:tcPr>
          <w:p w:rsidR="00867838" w:rsidRPr="00867838" w:rsidRDefault="00867838" w:rsidP="00867838">
            <w:pPr>
              <w:jc w:val="center"/>
              <w:rPr>
                <w:rFonts w:cs="Traditional Arabic" w:hint="cs"/>
                <w:rtl/>
              </w:rPr>
            </w:pPr>
            <w:r w:rsidRPr="00867838">
              <w:rPr>
                <w:rFonts w:cs="Traditional Arabic" w:hint="cs"/>
                <w:rtl/>
              </w:rPr>
              <w:t>2</w:t>
            </w:r>
          </w:p>
        </w:tc>
        <w:tc>
          <w:tcPr>
            <w:tcW w:w="864" w:type="dxa"/>
          </w:tcPr>
          <w:p w:rsidR="00867838" w:rsidRPr="00867838" w:rsidRDefault="00867838" w:rsidP="00867838">
            <w:pPr>
              <w:jc w:val="center"/>
              <w:rPr>
                <w:rFonts w:cs="Traditional Arabic" w:hint="cs"/>
                <w:rtl/>
              </w:rPr>
            </w:pPr>
            <w:r w:rsidRPr="00867838">
              <w:rPr>
                <w:rFonts w:cs="Traditional Arabic" w:hint="cs"/>
                <w:rtl/>
              </w:rPr>
              <w:t>2.09</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ممرضون وممرضات</w:t>
            </w:r>
          </w:p>
          <w:p w:rsidR="00867838" w:rsidRPr="00867838" w:rsidRDefault="00867838" w:rsidP="00867838">
            <w:pPr>
              <w:jc w:val="lowKashida"/>
              <w:rPr>
                <w:rFonts w:cs="Traditional Arabic" w:hint="cs"/>
                <w:rtl/>
              </w:rPr>
            </w:pPr>
            <w:r w:rsidRPr="00867838">
              <w:rPr>
                <w:rFonts w:cs="Traditional Arabic" w:hint="cs"/>
                <w:rtl/>
              </w:rPr>
              <w:t xml:space="preserve">        (حاصلون على شهادة البكالوريوس ودبلوم)</w:t>
            </w:r>
          </w:p>
        </w:tc>
        <w:tc>
          <w:tcPr>
            <w:tcW w:w="720" w:type="dxa"/>
          </w:tcPr>
          <w:p w:rsidR="00867838" w:rsidRPr="00867838" w:rsidRDefault="00867838" w:rsidP="00867838">
            <w:pPr>
              <w:jc w:val="center"/>
              <w:rPr>
                <w:rFonts w:cs="Traditional Arabic" w:hint="cs"/>
                <w:rtl/>
              </w:rPr>
            </w:pPr>
            <w:r w:rsidRPr="00867838">
              <w:rPr>
                <w:rFonts w:cs="Traditional Arabic" w:hint="cs"/>
                <w:rtl/>
              </w:rPr>
              <w:t>30</w:t>
            </w:r>
          </w:p>
        </w:tc>
        <w:tc>
          <w:tcPr>
            <w:tcW w:w="864" w:type="dxa"/>
          </w:tcPr>
          <w:p w:rsidR="00867838" w:rsidRPr="00867838" w:rsidRDefault="00867838" w:rsidP="00867838">
            <w:pPr>
              <w:jc w:val="center"/>
              <w:rPr>
                <w:rFonts w:cs="Traditional Arabic" w:hint="cs"/>
                <w:rtl/>
              </w:rPr>
            </w:pPr>
            <w:r w:rsidRPr="00867838">
              <w:rPr>
                <w:rFonts w:cs="Traditional Arabic" w:hint="cs"/>
                <w:rtl/>
              </w:rPr>
              <w:t>31.38</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قابلات قانونيات</w:t>
            </w:r>
          </w:p>
        </w:tc>
        <w:tc>
          <w:tcPr>
            <w:tcW w:w="720" w:type="dxa"/>
          </w:tcPr>
          <w:p w:rsidR="00867838" w:rsidRPr="00867838" w:rsidRDefault="00867838" w:rsidP="00867838">
            <w:pPr>
              <w:jc w:val="center"/>
              <w:rPr>
                <w:rFonts w:cs="Traditional Arabic" w:hint="cs"/>
                <w:rtl/>
              </w:rPr>
            </w:pPr>
            <w:r w:rsidRPr="00867838">
              <w:rPr>
                <w:rFonts w:cs="Traditional Arabic" w:hint="cs"/>
                <w:rtl/>
              </w:rPr>
              <w:t>10</w:t>
            </w:r>
          </w:p>
        </w:tc>
        <w:tc>
          <w:tcPr>
            <w:tcW w:w="864" w:type="dxa"/>
          </w:tcPr>
          <w:p w:rsidR="00867838" w:rsidRPr="00867838" w:rsidRDefault="00867838" w:rsidP="00867838">
            <w:pPr>
              <w:jc w:val="center"/>
              <w:rPr>
                <w:rFonts w:cs="Traditional Arabic" w:hint="cs"/>
                <w:rtl/>
              </w:rPr>
            </w:pPr>
            <w:r w:rsidRPr="00867838">
              <w:rPr>
                <w:rFonts w:cs="Traditional Arabic" w:hint="cs"/>
                <w:rtl/>
              </w:rPr>
              <w:t>10.46</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ممرضون وممرضات آخرون/ موظفون مساعدون</w:t>
            </w:r>
          </w:p>
        </w:tc>
        <w:tc>
          <w:tcPr>
            <w:tcW w:w="720" w:type="dxa"/>
          </w:tcPr>
          <w:p w:rsidR="00867838" w:rsidRPr="00867838" w:rsidRDefault="00867838" w:rsidP="00867838">
            <w:pPr>
              <w:jc w:val="center"/>
              <w:rPr>
                <w:rFonts w:cs="Traditional Arabic" w:hint="cs"/>
                <w:rtl/>
              </w:rPr>
            </w:pPr>
            <w:r w:rsidRPr="00867838">
              <w:rPr>
                <w:rFonts w:cs="Traditional Arabic" w:hint="cs"/>
                <w:rtl/>
              </w:rPr>
              <w:t>12</w:t>
            </w:r>
          </w:p>
        </w:tc>
        <w:tc>
          <w:tcPr>
            <w:tcW w:w="864" w:type="dxa"/>
          </w:tcPr>
          <w:p w:rsidR="00867838" w:rsidRPr="00867838" w:rsidRDefault="00867838" w:rsidP="00867838">
            <w:pPr>
              <w:jc w:val="center"/>
              <w:rPr>
                <w:rFonts w:cs="Traditional Arabic" w:hint="cs"/>
                <w:rtl/>
              </w:rPr>
            </w:pPr>
            <w:r w:rsidRPr="00867838">
              <w:rPr>
                <w:rFonts w:cs="Traditional Arabic" w:hint="cs"/>
                <w:rtl/>
              </w:rPr>
              <w:t>12.55</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-موظفون آخرون يعملو في الميدان الطبي</w:t>
            </w:r>
          </w:p>
          <w:p w:rsidR="00867838" w:rsidRPr="00867838" w:rsidRDefault="00867838" w:rsidP="00867838">
            <w:pPr>
              <w:jc w:val="lowKashida"/>
              <w:rPr>
                <w:rFonts w:cs="Traditional Arabic" w:hint="cs"/>
                <w:rtl/>
              </w:rPr>
            </w:pPr>
            <w:r w:rsidRPr="00867838">
              <w:rPr>
                <w:rFonts w:cs="Traditional Arabic" w:hint="cs"/>
                <w:rtl/>
              </w:rPr>
              <w:t xml:space="preserve">   (مساعدون طبيون وفنيو مختبرات وفنيو أشعة سينية)</w:t>
            </w:r>
          </w:p>
        </w:tc>
        <w:tc>
          <w:tcPr>
            <w:tcW w:w="720" w:type="dxa"/>
          </w:tcPr>
          <w:p w:rsidR="00867838" w:rsidRPr="00867838" w:rsidRDefault="00867838" w:rsidP="00867838">
            <w:pPr>
              <w:jc w:val="center"/>
              <w:rPr>
                <w:rFonts w:cs="Traditional Arabic" w:hint="cs"/>
                <w:rtl/>
              </w:rPr>
            </w:pPr>
            <w:r w:rsidRPr="00867838">
              <w:rPr>
                <w:rFonts w:cs="Traditional Arabic" w:hint="cs"/>
                <w:rtl/>
              </w:rPr>
              <w:t>5</w:t>
            </w:r>
          </w:p>
        </w:tc>
        <w:tc>
          <w:tcPr>
            <w:tcW w:w="864" w:type="dxa"/>
          </w:tcPr>
          <w:p w:rsidR="00867838" w:rsidRPr="00867838" w:rsidRDefault="00867838" w:rsidP="00867838">
            <w:pPr>
              <w:jc w:val="center"/>
              <w:rPr>
                <w:rFonts w:cs="Traditional Arabic" w:hint="cs"/>
                <w:rtl/>
              </w:rPr>
            </w:pPr>
            <w:r w:rsidRPr="00867838">
              <w:rPr>
                <w:rFonts w:cs="Traditional Arabic" w:hint="cs"/>
                <w:rtl/>
              </w:rPr>
              <w:t>5.23</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r w:rsidR="00867838" w:rsidRPr="00867838">
        <w:trPr>
          <w:jc w:val="center"/>
        </w:trPr>
        <w:tc>
          <w:tcPr>
            <w:tcW w:w="3600" w:type="dxa"/>
          </w:tcPr>
          <w:p w:rsidR="00867838" w:rsidRPr="00867838" w:rsidRDefault="00867838" w:rsidP="00867838">
            <w:pPr>
              <w:jc w:val="lowKashida"/>
              <w:rPr>
                <w:rFonts w:cs="Traditional Arabic" w:hint="cs"/>
                <w:rtl/>
              </w:rPr>
            </w:pPr>
            <w:r w:rsidRPr="00867838">
              <w:rPr>
                <w:rFonts w:cs="Traditional Arabic" w:hint="cs"/>
                <w:rtl/>
              </w:rPr>
              <w:t xml:space="preserve">   - موظفو خدمات صحية آخرون (مفتشو الصحة</w:t>
            </w:r>
          </w:p>
          <w:p w:rsidR="00867838" w:rsidRPr="00867838" w:rsidRDefault="00867838" w:rsidP="00867838">
            <w:pPr>
              <w:jc w:val="lowKashida"/>
              <w:rPr>
                <w:rFonts w:cs="Traditional Arabic" w:hint="cs"/>
                <w:rtl/>
              </w:rPr>
            </w:pPr>
            <w:r w:rsidRPr="00867838">
              <w:rPr>
                <w:rFonts w:cs="Traditional Arabic" w:hint="cs"/>
                <w:rtl/>
              </w:rPr>
              <w:t xml:space="preserve">        ومساعدو النظافة والعمال التقلديون، إلخ.)</w:t>
            </w:r>
          </w:p>
        </w:tc>
        <w:tc>
          <w:tcPr>
            <w:tcW w:w="720" w:type="dxa"/>
          </w:tcPr>
          <w:p w:rsidR="00867838" w:rsidRPr="00867838" w:rsidRDefault="00867838" w:rsidP="00867838">
            <w:pPr>
              <w:jc w:val="center"/>
              <w:rPr>
                <w:rFonts w:cs="Traditional Arabic" w:hint="cs"/>
                <w:rtl/>
              </w:rPr>
            </w:pPr>
            <w:r w:rsidRPr="00867838">
              <w:rPr>
                <w:rFonts w:cs="Traditional Arabic" w:hint="cs"/>
                <w:rtl/>
              </w:rPr>
              <w:t>23</w:t>
            </w:r>
          </w:p>
        </w:tc>
        <w:tc>
          <w:tcPr>
            <w:tcW w:w="864" w:type="dxa"/>
          </w:tcPr>
          <w:p w:rsidR="00867838" w:rsidRPr="00867838" w:rsidRDefault="00867838" w:rsidP="00867838">
            <w:pPr>
              <w:jc w:val="center"/>
              <w:rPr>
                <w:rFonts w:cs="Traditional Arabic" w:hint="cs"/>
                <w:rtl/>
              </w:rPr>
            </w:pPr>
            <w:r w:rsidRPr="00867838">
              <w:rPr>
                <w:rFonts w:cs="Traditional Arabic" w:hint="cs"/>
                <w:rtl/>
              </w:rPr>
              <w:t>24.06</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864" w:type="dxa"/>
          </w:tcPr>
          <w:p w:rsidR="00867838" w:rsidRPr="00867838" w:rsidRDefault="00867838" w:rsidP="00867838">
            <w:pPr>
              <w:jc w:val="center"/>
              <w:rPr>
                <w:rFonts w:cs="Traditional Arabic" w:hint="cs"/>
                <w:rtl/>
              </w:rPr>
            </w:pPr>
            <w:r w:rsidRPr="00867838">
              <w:rPr>
                <w:rFonts w:cs="Traditional Arabic" w:hint="cs"/>
                <w:rtl/>
              </w:rPr>
              <w:t>000</w:t>
            </w:r>
          </w:p>
        </w:tc>
        <w:tc>
          <w:tcPr>
            <w:tcW w:w="720" w:type="dxa"/>
          </w:tcPr>
          <w:p w:rsidR="00867838" w:rsidRPr="00867838" w:rsidRDefault="00867838" w:rsidP="00867838">
            <w:pPr>
              <w:jc w:val="center"/>
              <w:rPr>
                <w:rFonts w:cs="Traditional Arabic" w:hint="cs"/>
                <w:rtl/>
              </w:rPr>
            </w:pPr>
            <w:r w:rsidRPr="00867838">
              <w:rPr>
                <w:rFonts w:cs="Traditional Arabic" w:hint="cs"/>
                <w:rtl/>
              </w:rPr>
              <w:t>2003</w:t>
            </w:r>
          </w:p>
        </w:tc>
      </w:tr>
    </w:tbl>
    <w:p w:rsidR="00867838" w:rsidRPr="00E60588" w:rsidRDefault="00867838" w:rsidP="00867838">
      <w:pPr>
        <w:jc w:val="center"/>
        <w:rPr>
          <w:rFonts w:hint="cs"/>
          <w:sz w:val="28"/>
          <w:szCs w:val="28"/>
          <w:rtl/>
        </w:rPr>
      </w:pPr>
      <w:r w:rsidRPr="00E60588">
        <w:rPr>
          <w:rFonts w:hint="cs"/>
          <w:sz w:val="28"/>
          <w:szCs w:val="28"/>
          <w:rtl/>
        </w:rPr>
        <w:t>استخلصت البيانات من تقرير منظمة الصحة العالمية: بنك البيانات الصحية الإقليمية لمنطقة غرب المحيط الهادئ.</w:t>
      </w:r>
    </w:p>
    <w:p w:rsidR="00867838" w:rsidRDefault="00867838" w:rsidP="0086783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Pr="008C4C6A">
        <w:rPr>
          <w:rFonts w:hint="cs"/>
          <w:rtl/>
        </w:rPr>
        <w:t>الإخلاء الطبي</w:t>
      </w:r>
    </w:p>
    <w:p w:rsidR="00867838" w:rsidRDefault="00867838" w:rsidP="00867838">
      <w:pPr>
        <w:pStyle w:val="SingleTxt"/>
        <w:rPr>
          <w:rFonts w:hint="cs"/>
          <w:rtl/>
        </w:rPr>
      </w:pPr>
      <w:r>
        <w:rPr>
          <w:rFonts w:hint="cs"/>
          <w:rtl/>
        </w:rPr>
        <w:t>12-27  مستشفى الأميرة مارجريت غير مجهز تماماً للقيام بعمليات كبيرة وإجراء جراحة وتقديم أنواع أخرى من العلاج الطبي المتقدم. ولا يوجد في الجزر الخارجية سوى مراكز صحية يديرها ممرضون وممرضات. وهذا يستدعي إحالة الحالات الخطيرة للعلاج في فونافوتي أو في الخارج. ولمعالجة هذه المشكلة، توجد لدى الحكومة خطة إخلاء طبي وضعت موضع التنفيذ منذ الاستقلال. ولا تطبق خطة العلاج الطبي إلا عندما تقتضي الحالة علاجاً خاصاً، وتنطبق على الإحالة محلياً وإلى الخارج. وتناقش هذه الخطة بتفصيل أكبر في إطار المادة 13.</w:t>
      </w:r>
    </w:p>
    <w:p w:rsidR="00867838" w:rsidRDefault="00867838" w:rsidP="00867838">
      <w:pPr>
        <w:pStyle w:val="SingleTxt"/>
        <w:rPr>
          <w:rFonts w:hint="cs"/>
          <w:rtl/>
        </w:rPr>
      </w:pPr>
      <w:r>
        <w:rPr>
          <w:rFonts w:hint="cs"/>
          <w:rtl/>
        </w:rPr>
        <w:t>12-28  وتقر الحكومة بمساهمة المنظمات غير الحكومية الفعالة في علاج القضايا الصحية. ففي عام 1989، أنشئت جمعية صحة الأسرة في توفالو لتقديم خدمات صحية للمجتمعات المحلية، لا سيما للشابات، في ميادين تنظيم الأسرة والصحة الإنجابية والصحة الجنسية والحمل وإساءة استخدام المخدرات والأمراض التي تنتقل عن طريق الاتصال الجنسي وفيروس نقص المناعة البشرية والإيدز والجنوحية (نزعة سيكولوجية إلى الجنوح وانتهاك القانون) والتدريب على مهارات الحياة. وجمعية صحة الأسرة في توفالو نشطة جداً في تنظيم حلقات عمل بشأن الصحة الجنسية والصحة الإنجابية، ونشر المعلومات من خلال البرامج الإذاعية والبرامج المسرحية الموجهة للشباب والمجتمعات المحلية في فونافوتي والجزر الخارجية أيضاً.</w:t>
      </w:r>
    </w:p>
    <w:p w:rsidR="00867838" w:rsidRPr="00867838" w:rsidRDefault="00867838" w:rsidP="00867838">
      <w:pPr>
        <w:pStyle w:val="SingleTxt"/>
        <w:spacing w:after="0" w:line="120" w:lineRule="exact"/>
        <w:rPr>
          <w:rFonts w:hint="cs"/>
          <w:sz w:val="10"/>
          <w:rtl/>
        </w:rPr>
      </w:pPr>
    </w:p>
    <w:p w:rsidR="00867838" w:rsidRDefault="00867838" w:rsidP="0086783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611369">
        <w:rPr>
          <w:rFonts w:hint="cs"/>
          <w:rtl/>
        </w:rPr>
        <w:t xml:space="preserve">المادة 13 </w:t>
      </w:r>
    </w:p>
    <w:p w:rsidR="00867838" w:rsidRDefault="00867838" w:rsidP="00867838">
      <w:pPr>
        <w:rPr>
          <w:rFonts w:hint="cs"/>
          <w:b/>
          <w:bCs/>
          <w:sz w:val="32"/>
          <w:szCs w:val="32"/>
          <w:rtl/>
        </w:rPr>
      </w:pPr>
    </w:p>
    <w:tbl>
      <w:tblPr>
        <w:tblStyle w:val="TableGrid"/>
        <w:bidiVisual/>
        <w:tblW w:w="9504" w:type="dxa"/>
        <w:jc w:val="center"/>
        <w:tblLook w:val="01E0" w:firstRow="1" w:lastRow="1" w:firstColumn="1" w:lastColumn="1" w:noHBand="0" w:noVBand="0"/>
      </w:tblPr>
      <w:tblGrid>
        <w:gridCol w:w="9504"/>
      </w:tblGrid>
      <w:tr w:rsidR="00867838">
        <w:trPr>
          <w:jc w:val="center"/>
        </w:trPr>
        <w:tc>
          <w:tcPr>
            <w:tcW w:w="8856" w:type="dxa"/>
          </w:tcPr>
          <w:p w:rsidR="00867838" w:rsidRDefault="00867838" w:rsidP="00972D0A">
            <w:pPr>
              <w:pStyle w:val="SingleTxt"/>
              <w:rPr>
                <w:rFonts w:cs="Traditional Arabic" w:hint="cs"/>
                <w:rtl/>
              </w:rPr>
            </w:pPr>
            <w:r w:rsidRPr="00972D0A">
              <w:rPr>
                <w:rFonts w:cs="Traditional Arabic" w:hint="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تساوي الرجل والمرأة، نفس الحقوق ولا سيما:</w:t>
            </w:r>
          </w:p>
          <w:p w:rsidR="00867838" w:rsidRDefault="00972D0A" w:rsidP="00972D0A">
            <w:pPr>
              <w:pStyle w:val="SingleTxt"/>
              <w:rPr>
                <w:rFonts w:cs="Traditional Arabic" w:hint="cs"/>
                <w:rtl/>
              </w:rPr>
            </w:pPr>
            <w:r>
              <w:rPr>
                <w:rFonts w:cs="Traditional Arabic"/>
                <w:rtl/>
              </w:rPr>
              <w:tab/>
            </w:r>
            <w:r>
              <w:rPr>
                <w:rFonts w:cs="Traditional Arabic" w:hint="cs"/>
                <w:rtl/>
              </w:rPr>
              <w:t>(أ)</w:t>
            </w:r>
            <w:r>
              <w:rPr>
                <w:rFonts w:cs="Traditional Arabic"/>
                <w:rtl/>
              </w:rPr>
              <w:tab/>
            </w:r>
            <w:r w:rsidR="00867838" w:rsidRPr="00972D0A">
              <w:rPr>
                <w:rFonts w:cs="Traditional Arabic" w:hint="cs"/>
                <w:rtl/>
              </w:rPr>
              <w:t>الحق في الاستحقاقات الأسرية؛</w:t>
            </w:r>
          </w:p>
          <w:p w:rsidR="00867838" w:rsidRDefault="00972D0A" w:rsidP="00972D0A">
            <w:pPr>
              <w:pStyle w:val="SingleTxt"/>
              <w:rPr>
                <w:rFonts w:cs="Traditional Arabic" w:hint="cs"/>
                <w:rtl/>
              </w:rPr>
            </w:pPr>
            <w:r>
              <w:rPr>
                <w:rFonts w:cs="Traditional Arabic"/>
                <w:rtl/>
              </w:rPr>
              <w:tab/>
            </w:r>
            <w:r w:rsidR="00867838" w:rsidRPr="00972D0A">
              <w:rPr>
                <w:rFonts w:cs="Traditional Arabic" w:hint="cs"/>
                <w:rtl/>
              </w:rPr>
              <w:t>(ب)</w:t>
            </w:r>
            <w:r w:rsidR="00867838" w:rsidRPr="00972D0A">
              <w:rPr>
                <w:rFonts w:cs="Traditional Arabic" w:hint="cs"/>
                <w:rtl/>
              </w:rPr>
              <w:tab/>
              <w:t>الحق في الحصول على القروض المصرفية، والرهون العقارية وغير ذلك من أشكال الائتمان المالي؛</w:t>
            </w:r>
          </w:p>
          <w:p w:rsidR="00867838" w:rsidRPr="00972D0A" w:rsidRDefault="00972D0A" w:rsidP="00972D0A">
            <w:pPr>
              <w:pStyle w:val="SingleTxt"/>
              <w:rPr>
                <w:rFonts w:cs="Traditional Arabic" w:hint="cs"/>
                <w:rtl/>
              </w:rPr>
            </w:pPr>
            <w:r>
              <w:rPr>
                <w:rFonts w:cs="Traditional Arabic"/>
                <w:rtl/>
              </w:rPr>
              <w:tab/>
            </w:r>
            <w:r w:rsidR="00867838" w:rsidRPr="00972D0A">
              <w:rPr>
                <w:rFonts w:cs="Traditional Arabic" w:hint="cs"/>
                <w:rtl/>
              </w:rPr>
              <w:t>(ج)</w:t>
            </w:r>
            <w:r w:rsidR="00867838" w:rsidRPr="00972D0A">
              <w:rPr>
                <w:rFonts w:cs="Traditional Arabic" w:hint="cs"/>
                <w:rtl/>
              </w:rPr>
              <w:tab/>
              <w:t>الحق في الاشتراك في الأنشطة الترويحية والألعاب الرياضية وفي جميع جوانب الحياة الثقافية.</w:t>
            </w:r>
          </w:p>
        </w:tc>
      </w:tr>
    </w:tbl>
    <w:p w:rsidR="00867838" w:rsidRDefault="00867838" w:rsidP="00867838">
      <w:pPr>
        <w:rPr>
          <w:rFonts w:hint="cs"/>
          <w:b/>
          <w:bCs/>
          <w:sz w:val="32"/>
          <w:szCs w:val="32"/>
          <w:rtl/>
        </w:rPr>
      </w:pPr>
    </w:p>
    <w:p w:rsidR="00867838" w:rsidRDefault="00972D0A" w:rsidP="00972D0A">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867838" w:rsidRPr="00611369">
        <w:rPr>
          <w:rFonts w:hint="cs"/>
          <w:rtl/>
        </w:rPr>
        <w:t>الممارسة</w:t>
      </w:r>
      <w:r w:rsidR="00867838">
        <w:rPr>
          <w:rFonts w:hint="cs"/>
          <w:rtl/>
        </w:rPr>
        <w:t xml:space="preserve"> </w:t>
      </w:r>
    </w:p>
    <w:p w:rsidR="00867838" w:rsidRDefault="00867838" w:rsidP="002F3208">
      <w:pPr>
        <w:pStyle w:val="SingleTxt"/>
        <w:rPr>
          <w:rFonts w:hint="cs"/>
          <w:rtl/>
        </w:rPr>
      </w:pPr>
      <w:r>
        <w:rPr>
          <w:rFonts w:hint="cs"/>
          <w:rtl/>
        </w:rPr>
        <w:t>13</w:t>
      </w:r>
      <w:r w:rsidR="00972D0A">
        <w:rPr>
          <w:rFonts w:hint="cs"/>
          <w:rtl/>
        </w:rPr>
        <w:t>-</w:t>
      </w:r>
      <w:r>
        <w:rPr>
          <w:rFonts w:hint="cs"/>
          <w:rtl/>
        </w:rPr>
        <w:t>1</w:t>
      </w:r>
      <w:r w:rsidR="00972D0A">
        <w:rPr>
          <w:rFonts w:hint="cs"/>
          <w:rtl/>
        </w:rPr>
        <w:tab/>
        <w:t>ت</w:t>
      </w:r>
      <w:r>
        <w:rPr>
          <w:rFonts w:hint="cs"/>
          <w:rtl/>
        </w:rPr>
        <w:t>ستفيد النساء العاملات بأجر من مزايا عضوية صندوق توفالو الوطني للادخار. وهذا الصندوق هيئة منشأة بموجب قانون الصندوق الوطني للادخار (القانون رقم 86). وهو الهيئة الوحيدة المنشأة بموجب قانون التي توفر خطة رواتب تقاعد إلزامية وطوعية للتوفاليين العاملين كوسيلة للضمان الاجتماعي أثناء التقاعد. وفي عام 2003، كان لدى صندوق توفالو الوطني للادخار نحو 100 عمل تجاري ناشط في القطاع الخاص (عدا الكنائس ومؤسسات التعليم) ويشترك فيه نحو 1200 موظف وعضو</w:t>
      </w:r>
      <w:r w:rsidR="002F3208" w:rsidRPr="002F3208">
        <w:rPr>
          <w:vertAlign w:val="superscript"/>
          <w:rtl/>
        </w:rPr>
        <w:t>(</w:t>
      </w:r>
      <w:r w:rsidR="002F3208">
        <w:rPr>
          <w:rStyle w:val="FootnoteReference"/>
          <w:rtl/>
        </w:rPr>
        <w:footnoteReference w:id="102"/>
      </w:r>
      <w:r w:rsidR="002F3208" w:rsidRPr="002F3208">
        <w:rPr>
          <w:vertAlign w:val="superscript"/>
          <w:rtl/>
        </w:rPr>
        <w:t>)</w:t>
      </w:r>
      <w:r>
        <w:rPr>
          <w:rFonts w:hint="cs"/>
          <w:rtl/>
        </w:rPr>
        <w:t>.</w:t>
      </w:r>
    </w:p>
    <w:p w:rsidR="00867838" w:rsidRDefault="00EE7831" w:rsidP="00EE7831">
      <w:pPr>
        <w:pStyle w:val="SingleTxt"/>
        <w:rPr>
          <w:rFonts w:hint="cs"/>
          <w:rtl/>
        </w:rPr>
      </w:pPr>
      <w:r>
        <w:rPr>
          <w:rFonts w:hint="cs"/>
          <w:rtl/>
        </w:rPr>
        <w:t>13-2</w:t>
      </w:r>
      <w:r>
        <w:rPr>
          <w:rFonts w:hint="cs"/>
          <w:rtl/>
        </w:rPr>
        <w:tab/>
      </w:r>
      <w:r w:rsidR="00867838">
        <w:rPr>
          <w:rFonts w:hint="cs"/>
          <w:rtl/>
        </w:rPr>
        <w:t>ومع أن مستويات مشاركة المرأة في اليد العاملة تميل إلى أن تكون أقل من مستويات مشاركة الرجل، فإن جزءاً كبيراً من عمل المرأة لا يعتر</w:t>
      </w:r>
      <w:r>
        <w:rPr>
          <w:rFonts w:hint="cs"/>
          <w:rtl/>
        </w:rPr>
        <w:t>ف به كنشاط اقتصادي، وبالتالي لا</w:t>
      </w:r>
      <w:r>
        <w:rPr>
          <w:rFonts w:hint="eastAsia"/>
          <w:rtl/>
        </w:rPr>
        <w:t> </w:t>
      </w:r>
      <w:r w:rsidR="00867838">
        <w:rPr>
          <w:rFonts w:hint="cs"/>
          <w:rtl/>
        </w:rPr>
        <w:t>يبلغ عنه ولا يقيد في المصادر الرئيسية للبيانات. وهذا يشمل أنشطة مثل رعاية الأطفال والزراعة الكفافية، إلخ. ولذلك، تدرك الحكومة الحاجة لتحسين قواعد البيانات المتعلقة بإسهام المرأة في الاقتصاد، ولكن معالجة هذه المشكلة غير ممكنة دون تغيير مفاهيم وتعريفات العمل والنشاط الاقتصادي. فإسهام المرأة في التنمية الاقتصادية مبخوس، وبالتالي فإن مصادر البيانات الرسمية تقدم أساساً غير كامل لوضع السياسات والخطط والبرامج المتعلقة بالمرأة.</w:t>
      </w:r>
    </w:p>
    <w:p w:rsidR="00867838" w:rsidRDefault="00EE7831" w:rsidP="00EE7831">
      <w:pPr>
        <w:pStyle w:val="SingleTxt"/>
        <w:rPr>
          <w:rFonts w:hint="cs"/>
          <w:rtl/>
        </w:rPr>
      </w:pPr>
      <w:r>
        <w:rPr>
          <w:rFonts w:hint="cs"/>
          <w:rtl/>
        </w:rPr>
        <w:t>13-3</w:t>
      </w:r>
      <w:r>
        <w:rPr>
          <w:rFonts w:hint="cs"/>
          <w:rtl/>
        </w:rPr>
        <w:tab/>
      </w:r>
      <w:r w:rsidR="00867838">
        <w:rPr>
          <w:rFonts w:hint="cs"/>
          <w:rtl/>
        </w:rPr>
        <w:t>لا يوجد في توفالو نظام رعاية اجتماعية مصمم خصيصاً لمساعدة المحرومين والمسنين والمجموعات الأخرى المحرومة، بمن في ذلك العاطلون عن العمل. إلا أنه يوجد نظامان فقط تديرهما الحكومة لمساعدة الجميع، وهما:</w:t>
      </w:r>
    </w:p>
    <w:p w:rsidR="00867838" w:rsidRDefault="00EE7831" w:rsidP="00EE78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67838">
        <w:rPr>
          <w:rFonts w:hint="cs"/>
          <w:rtl/>
        </w:rPr>
        <w:t>المنح الدراسية التي تقدمها الحكومة ويستفيد منها الطلاب المؤهلون قبل الخدمة وفي الخدمة للدراسة في المؤسسات الجامعية في الخارج.</w:t>
      </w:r>
    </w:p>
    <w:p w:rsidR="00867838" w:rsidRDefault="00EE7831" w:rsidP="00EE78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67838">
        <w:rPr>
          <w:rFonts w:hint="cs"/>
          <w:rtl/>
        </w:rPr>
        <w:t>برامج العلاج الطبي في توفالو لإحالة المرضى للعلاج في الخارج وللإخلاء الداخلي أيضاً، حيث تدفع الحكومة جميع التكاليف.</w:t>
      </w:r>
    </w:p>
    <w:p w:rsidR="00867838" w:rsidRDefault="00EE7831" w:rsidP="00EE7831">
      <w:pPr>
        <w:pStyle w:val="SingleTxt"/>
        <w:rPr>
          <w:rFonts w:hint="cs"/>
          <w:rtl/>
        </w:rPr>
      </w:pPr>
      <w:r>
        <w:rPr>
          <w:rFonts w:hint="cs"/>
          <w:rtl/>
        </w:rPr>
        <w:t>13-4</w:t>
      </w:r>
      <w:r>
        <w:rPr>
          <w:rFonts w:hint="cs"/>
          <w:rtl/>
        </w:rPr>
        <w:tab/>
      </w:r>
      <w:r w:rsidR="00867838">
        <w:rPr>
          <w:rFonts w:hint="cs"/>
          <w:rtl/>
        </w:rPr>
        <w:t>في حين أنه لا توجد مزايا أسرية مباشرة، فإن المرأة مؤهلة على قدم المساواة للاستفادة من المنح الدراسية والبرامج الطبية التي تمولها الحكومة. والمرأة المتزوجة لا تحصل، كحق شخصي لها بوصفها والدة، على علاوة أطفال وعلاوة إسكان. إلا أن المرأة المتزوجة مؤهلة، بموجب برنامج المنح الدراسية، على قدم المساواة مع الرجل لتلقي علاوات اصطحاب لأطفالها. وتدفع الرسوم الدراسية مباشرة إلى المعهد، بينما تدفع العلاوات، بما فيها علاوات الاصطحاب، لمتلقي المنحة كما تدفع علاوات كتب إلى الوحدة الأسرية. ويمكن أن تدفع أيضاً علاوة إسكان للمرأة المتزوجة العاملة في الخدمة المدنية إذا كانت تستأجر سكنها. ولا يوجد تمييز بين المرأة المتزوجة وغير المتزوجة.</w:t>
      </w:r>
    </w:p>
    <w:p w:rsidR="00EE7831" w:rsidRPr="00EE7831" w:rsidRDefault="00EE7831" w:rsidP="00EE7831">
      <w:pPr>
        <w:pStyle w:val="SingleTxt"/>
        <w:spacing w:after="0" w:line="120" w:lineRule="exact"/>
        <w:rPr>
          <w:rFonts w:hint="cs"/>
          <w:sz w:val="10"/>
          <w:rtl/>
        </w:rPr>
      </w:pPr>
    </w:p>
    <w:p w:rsidR="00867838" w:rsidRDefault="00EE7831" w:rsidP="00EE78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67838" w:rsidRPr="00BD0EE2">
        <w:rPr>
          <w:rFonts w:hint="cs"/>
          <w:rtl/>
        </w:rPr>
        <w:t xml:space="preserve">برنامج </w:t>
      </w:r>
      <w:r w:rsidR="00867838">
        <w:rPr>
          <w:rFonts w:hint="cs"/>
          <w:rtl/>
        </w:rPr>
        <w:t xml:space="preserve">توفالو </w:t>
      </w:r>
      <w:r>
        <w:rPr>
          <w:rFonts w:hint="cs"/>
          <w:rtl/>
        </w:rPr>
        <w:t>الطبي</w:t>
      </w:r>
    </w:p>
    <w:p w:rsidR="00867838" w:rsidRDefault="00EE7831" w:rsidP="00EE7831">
      <w:pPr>
        <w:pStyle w:val="SingleTxt"/>
        <w:rPr>
          <w:rFonts w:hint="cs"/>
          <w:rtl/>
        </w:rPr>
      </w:pPr>
      <w:r>
        <w:rPr>
          <w:rFonts w:hint="cs"/>
          <w:rtl/>
        </w:rPr>
        <w:t>13-5</w:t>
      </w:r>
      <w:r>
        <w:rPr>
          <w:rFonts w:hint="cs"/>
          <w:rtl/>
        </w:rPr>
        <w:tab/>
      </w:r>
      <w:r w:rsidR="00867838">
        <w:rPr>
          <w:rFonts w:hint="cs"/>
          <w:rtl/>
        </w:rPr>
        <w:t>تمول الحكومة، بموجب برنامج توفالو الطبي، جميع عمليات الإحالة والإخلاء الطبية. ويشمل البرنامج الإحالات من الجزر الخارجية والإحالات للعلاج في الخارج، سواءً كان ذلك إلى فيجي أو نيوزيلندا. والمزايا غير المباشرة المتلقاة من برنامج العلاج الطبي في الخارج تدفع إلى جهات مختلفة. فتكاليف العلاج تدفع مباشرة للمستشفيات، بينما تدفع علاوة الإسكان لمالك المسكن. وتدفع علاوة المعيشة مباشرة للمتلقي، بينما تدفع بقية المبالغ لمقدم الرعاية الأساسي. وجميع هذه المزايا معفاة من الضريبة.</w:t>
      </w:r>
    </w:p>
    <w:p w:rsidR="00EE7831" w:rsidRDefault="00EE7831" w:rsidP="00EE7831">
      <w:pPr>
        <w:spacing w:line="120" w:lineRule="exact"/>
        <w:rPr>
          <w:rFonts w:hint="cs"/>
          <w:sz w:val="10"/>
          <w:szCs w:val="32"/>
          <w:rtl/>
        </w:rPr>
      </w:pPr>
    </w:p>
    <w:p w:rsidR="00867838" w:rsidRDefault="00867838" w:rsidP="00867838">
      <w:pPr>
        <w:jc w:val="center"/>
        <w:rPr>
          <w:rFonts w:hint="cs"/>
          <w:b/>
          <w:bCs/>
          <w:sz w:val="28"/>
          <w:szCs w:val="28"/>
          <w:rtl/>
        </w:rPr>
      </w:pPr>
      <w:r w:rsidRPr="00CD5621">
        <w:rPr>
          <w:rFonts w:hint="cs"/>
          <w:b/>
          <w:bCs/>
          <w:sz w:val="28"/>
          <w:szCs w:val="28"/>
          <w:rtl/>
        </w:rPr>
        <w:t xml:space="preserve">الجدول 31: </w:t>
      </w:r>
      <w:r>
        <w:rPr>
          <w:rFonts w:hint="cs"/>
          <w:b/>
          <w:bCs/>
          <w:sz w:val="28"/>
          <w:szCs w:val="28"/>
          <w:rtl/>
        </w:rPr>
        <w:t>المستفيدون من</w:t>
      </w:r>
      <w:r w:rsidRPr="00CD5621">
        <w:rPr>
          <w:rFonts w:hint="cs"/>
          <w:b/>
          <w:bCs/>
          <w:sz w:val="28"/>
          <w:szCs w:val="28"/>
          <w:rtl/>
        </w:rPr>
        <w:t xml:space="preserve"> برنامج </w:t>
      </w:r>
      <w:r>
        <w:rPr>
          <w:rFonts w:hint="cs"/>
          <w:b/>
          <w:bCs/>
          <w:sz w:val="28"/>
          <w:szCs w:val="28"/>
          <w:rtl/>
        </w:rPr>
        <w:t xml:space="preserve">العلاج </w:t>
      </w:r>
      <w:r w:rsidRPr="00CD5621">
        <w:rPr>
          <w:rFonts w:hint="cs"/>
          <w:b/>
          <w:bCs/>
          <w:sz w:val="28"/>
          <w:szCs w:val="28"/>
          <w:rtl/>
        </w:rPr>
        <w:t>الطبي</w:t>
      </w:r>
      <w:r>
        <w:rPr>
          <w:rFonts w:hint="cs"/>
          <w:b/>
          <w:bCs/>
          <w:sz w:val="28"/>
          <w:szCs w:val="28"/>
          <w:rtl/>
        </w:rPr>
        <w:t xml:space="preserve">، 2004 </w:t>
      </w:r>
      <w:r w:rsidR="00084D51">
        <w:rPr>
          <w:b/>
          <w:bCs/>
          <w:sz w:val="28"/>
          <w:szCs w:val="28"/>
          <w:rtl/>
        </w:rPr>
        <w:t>-</w:t>
      </w:r>
      <w:r>
        <w:rPr>
          <w:rFonts w:hint="cs"/>
          <w:b/>
          <w:bCs/>
          <w:sz w:val="28"/>
          <w:szCs w:val="28"/>
          <w:rtl/>
        </w:rPr>
        <w:t xml:space="preserve"> 2006 </w:t>
      </w:r>
    </w:p>
    <w:p w:rsidR="00EE7831" w:rsidRPr="00CD5621" w:rsidRDefault="00EE7831" w:rsidP="00867838">
      <w:pPr>
        <w:jc w:val="center"/>
        <w:rPr>
          <w:rFonts w:hint="cs"/>
          <w:b/>
          <w:bCs/>
          <w:sz w:val="28"/>
          <w:szCs w:val="28"/>
          <w:rtl/>
        </w:rPr>
      </w:pPr>
    </w:p>
    <w:tbl>
      <w:tblPr>
        <w:tblStyle w:val="TableGrid"/>
        <w:bidiVisual/>
        <w:tblW w:w="9504" w:type="dxa"/>
        <w:jc w:val="center"/>
        <w:tblLayout w:type="fixed"/>
        <w:tblLook w:val="01E0" w:firstRow="1" w:lastRow="1" w:firstColumn="1" w:lastColumn="1" w:noHBand="0" w:noVBand="0"/>
      </w:tblPr>
      <w:tblGrid>
        <w:gridCol w:w="1793"/>
        <w:gridCol w:w="1255"/>
        <w:gridCol w:w="897"/>
        <w:gridCol w:w="897"/>
        <w:gridCol w:w="897"/>
        <w:gridCol w:w="1255"/>
        <w:gridCol w:w="1255"/>
        <w:gridCol w:w="1255"/>
      </w:tblGrid>
      <w:tr w:rsidR="00867838" w:rsidRPr="00EE7831">
        <w:trPr>
          <w:jc w:val="center"/>
        </w:trPr>
        <w:tc>
          <w:tcPr>
            <w:tcW w:w="1440"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c>
          <w:tcPr>
            <w:tcW w:w="2160" w:type="dxa"/>
            <w:gridSpan w:val="3"/>
          </w:tcPr>
          <w:p w:rsidR="00867838" w:rsidRPr="00EE7831" w:rsidRDefault="00867838" w:rsidP="00867838">
            <w:pPr>
              <w:jc w:val="center"/>
              <w:rPr>
                <w:rFonts w:cs="Traditional Arabic" w:hint="cs"/>
                <w:rtl/>
              </w:rPr>
            </w:pPr>
            <w:r w:rsidRPr="00EE7831">
              <w:rPr>
                <w:rFonts w:cs="Traditional Arabic" w:hint="cs"/>
                <w:rtl/>
              </w:rPr>
              <w:t>الإحالات إلى الخارج</w:t>
            </w:r>
          </w:p>
        </w:tc>
        <w:tc>
          <w:tcPr>
            <w:tcW w:w="3024" w:type="dxa"/>
            <w:gridSpan w:val="3"/>
          </w:tcPr>
          <w:p w:rsidR="00867838" w:rsidRPr="00EE7831" w:rsidRDefault="00867838" w:rsidP="00867838">
            <w:pPr>
              <w:jc w:val="center"/>
              <w:rPr>
                <w:rFonts w:cs="Traditional Arabic" w:hint="cs"/>
                <w:rtl/>
              </w:rPr>
            </w:pPr>
            <w:r w:rsidRPr="00EE7831">
              <w:rPr>
                <w:rFonts w:cs="Traditional Arabic" w:hint="cs"/>
                <w:rtl/>
              </w:rPr>
              <w:t>الإحالات من الجزر الخارجية إلى فونافوتي</w:t>
            </w:r>
          </w:p>
        </w:tc>
      </w:tr>
      <w:tr w:rsidR="00867838" w:rsidRPr="00EE7831">
        <w:trPr>
          <w:jc w:val="center"/>
        </w:trPr>
        <w:tc>
          <w:tcPr>
            <w:tcW w:w="1440"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c>
          <w:tcPr>
            <w:tcW w:w="720" w:type="dxa"/>
          </w:tcPr>
          <w:p w:rsidR="00867838" w:rsidRPr="00EE7831" w:rsidRDefault="00867838" w:rsidP="00867838">
            <w:pPr>
              <w:jc w:val="center"/>
              <w:rPr>
                <w:rFonts w:cs="Traditional Arabic" w:hint="cs"/>
                <w:rtl/>
              </w:rPr>
            </w:pPr>
            <w:r w:rsidRPr="00EE7831">
              <w:rPr>
                <w:rFonts w:cs="Traditional Arabic" w:hint="cs"/>
                <w:rtl/>
              </w:rPr>
              <w:t>2004</w:t>
            </w:r>
          </w:p>
        </w:tc>
        <w:tc>
          <w:tcPr>
            <w:tcW w:w="720" w:type="dxa"/>
          </w:tcPr>
          <w:p w:rsidR="00867838" w:rsidRPr="00EE7831" w:rsidRDefault="00867838" w:rsidP="00867838">
            <w:pPr>
              <w:jc w:val="center"/>
              <w:rPr>
                <w:rFonts w:cs="Traditional Arabic" w:hint="cs"/>
                <w:rtl/>
              </w:rPr>
            </w:pPr>
            <w:r w:rsidRPr="00EE7831">
              <w:rPr>
                <w:rFonts w:cs="Traditional Arabic" w:hint="cs"/>
                <w:rtl/>
              </w:rPr>
              <w:t>2005</w:t>
            </w:r>
          </w:p>
        </w:tc>
        <w:tc>
          <w:tcPr>
            <w:tcW w:w="720" w:type="dxa"/>
          </w:tcPr>
          <w:p w:rsidR="00867838" w:rsidRPr="00EE7831" w:rsidRDefault="00867838" w:rsidP="00867838">
            <w:pPr>
              <w:jc w:val="center"/>
              <w:rPr>
                <w:rFonts w:cs="Traditional Arabic" w:hint="cs"/>
                <w:rtl/>
              </w:rPr>
            </w:pPr>
            <w:r w:rsidRPr="00EE7831">
              <w:rPr>
                <w:rFonts w:cs="Traditional Arabic" w:hint="cs"/>
                <w:rtl/>
              </w:rPr>
              <w:t>2006</w:t>
            </w:r>
          </w:p>
        </w:tc>
        <w:tc>
          <w:tcPr>
            <w:tcW w:w="1008" w:type="dxa"/>
          </w:tcPr>
          <w:p w:rsidR="00867838" w:rsidRPr="00EE7831" w:rsidRDefault="00867838" w:rsidP="00867838">
            <w:pPr>
              <w:jc w:val="center"/>
              <w:rPr>
                <w:rFonts w:cs="Traditional Arabic" w:hint="cs"/>
                <w:rtl/>
              </w:rPr>
            </w:pPr>
            <w:r w:rsidRPr="00EE7831">
              <w:rPr>
                <w:rFonts w:cs="Traditional Arabic" w:hint="cs"/>
                <w:rtl/>
              </w:rPr>
              <w:t>2004</w:t>
            </w:r>
          </w:p>
        </w:tc>
        <w:tc>
          <w:tcPr>
            <w:tcW w:w="1008" w:type="dxa"/>
          </w:tcPr>
          <w:p w:rsidR="00867838" w:rsidRPr="00EE7831" w:rsidRDefault="00867838" w:rsidP="00867838">
            <w:pPr>
              <w:jc w:val="center"/>
              <w:rPr>
                <w:rFonts w:cs="Traditional Arabic" w:hint="cs"/>
                <w:rtl/>
              </w:rPr>
            </w:pPr>
            <w:r w:rsidRPr="00EE7831">
              <w:rPr>
                <w:rFonts w:cs="Traditional Arabic" w:hint="cs"/>
                <w:rtl/>
              </w:rPr>
              <w:t>2005</w:t>
            </w:r>
          </w:p>
        </w:tc>
        <w:tc>
          <w:tcPr>
            <w:tcW w:w="1008" w:type="dxa"/>
          </w:tcPr>
          <w:p w:rsidR="00867838" w:rsidRPr="00EE7831" w:rsidRDefault="00867838" w:rsidP="00867838">
            <w:pPr>
              <w:jc w:val="center"/>
              <w:rPr>
                <w:rFonts w:cs="Traditional Arabic" w:hint="cs"/>
                <w:rtl/>
              </w:rPr>
            </w:pPr>
            <w:r w:rsidRPr="00EE7831">
              <w:rPr>
                <w:rFonts w:cs="Traditional Arabic" w:hint="cs"/>
                <w:rtl/>
              </w:rPr>
              <w:t>2006</w:t>
            </w:r>
          </w:p>
        </w:tc>
      </w:tr>
      <w:tr w:rsidR="00867838" w:rsidRPr="00EE7831">
        <w:trPr>
          <w:jc w:val="center"/>
        </w:trPr>
        <w:tc>
          <w:tcPr>
            <w:tcW w:w="1440" w:type="dxa"/>
          </w:tcPr>
          <w:p w:rsidR="00867838" w:rsidRPr="00EE7831" w:rsidRDefault="00867838" w:rsidP="00867838">
            <w:pPr>
              <w:rPr>
                <w:rFonts w:cs="Traditional Arabic" w:hint="cs"/>
                <w:rtl/>
              </w:rPr>
            </w:pPr>
            <w:r w:rsidRPr="00EE7831">
              <w:rPr>
                <w:rFonts w:cs="Traditional Arabic" w:hint="cs"/>
                <w:rtl/>
              </w:rPr>
              <w:t>بالغون</w:t>
            </w:r>
          </w:p>
        </w:tc>
        <w:tc>
          <w:tcPr>
            <w:tcW w:w="1008" w:type="dxa"/>
          </w:tcPr>
          <w:p w:rsidR="00867838" w:rsidRPr="00EE7831" w:rsidRDefault="00867838" w:rsidP="00867838">
            <w:pPr>
              <w:rPr>
                <w:rFonts w:cs="Traditional Arabic" w:hint="cs"/>
                <w:rtl/>
              </w:rPr>
            </w:pPr>
            <w:r w:rsidRPr="00EE7831">
              <w:rPr>
                <w:rFonts w:cs="Traditional Arabic" w:hint="cs"/>
                <w:rtl/>
              </w:rPr>
              <w:t>إناث</w:t>
            </w:r>
          </w:p>
        </w:tc>
        <w:tc>
          <w:tcPr>
            <w:tcW w:w="720" w:type="dxa"/>
          </w:tcPr>
          <w:p w:rsidR="00867838" w:rsidRPr="00EE7831" w:rsidRDefault="00867838" w:rsidP="00867838">
            <w:pPr>
              <w:rPr>
                <w:rFonts w:cs="Traditional Arabic" w:hint="cs"/>
                <w:rtl/>
              </w:rPr>
            </w:pPr>
            <w:r w:rsidRPr="00EE7831">
              <w:rPr>
                <w:rFonts w:cs="Traditional Arabic" w:hint="cs"/>
                <w:rtl/>
              </w:rPr>
              <w:t>33</w:t>
            </w:r>
          </w:p>
        </w:tc>
        <w:tc>
          <w:tcPr>
            <w:tcW w:w="720" w:type="dxa"/>
          </w:tcPr>
          <w:p w:rsidR="00867838" w:rsidRPr="00EE7831" w:rsidRDefault="00867838" w:rsidP="00867838">
            <w:pPr>
              <w:rPr>
                <w:rFonts w:cs="Traditional Arabic" w:hint="cs"/>
                <w:rtl/>
              </w:rPr>
            </w:pPr>
            <w:r w:rsidRPr="00EE7831">
              <w:rPr>
                <w:rFonts w:cs="Traditional Arabic" w:hint="cs"/>
                <w:rtl/>
              </w:rPr>
              <w:t>13</w:t>
            </w:r>
          </w:p>
        </w:tc>
        <w:tc>
          <w:tcPr>
            <w:tcW w:w="720" w:type="dxa"/>
          </w:tcPr>
          <w:p w:rsidR="00867838" w:rsidRPr="00EE7831" w:rsidRDefault="00867838" w:rsidP="00867838">
            <w:pPr>
              <w:rPr>
                <w:rFonts w:cs="Traditional Arabic" w:hint="cs"/>
                <w:rtl/>
              </w:rPr>
            </w:pPr>
            <w:r w:rsidRPr="00EE7831">
              <w:rPr>
                <w:rFonts w:cs="Traditional Arabic" w:hint="cs"/>
                <w:rtl/>
              </w:rPr>
              <w:t>33</w:t>
            </w:r>
          </w:p>
        </w:tc>
        <w:tc>
          <w:tcPr>
            <w:tcW w:w="1008" w:type="dxa"/>
          </w:tcPr>
          <w:p w:rsidR="00867838" w:rsidRPr="00EE7831" w:rsidRDefault="00867838" w:rsidP="00867838">
            <w:pPr>
              <w:rPr>
                <w:rFonts w:cs="Traditional Arabic" w:hint="cs"/>
                <w:rtl/>
              </w:rPr>
            </w:pPr>
            <w:r w:rsidRPr="00EE7831">
              <w:rPr>
                <w:rFonts w:cs="Traditional Arabic" w:hint="cs"/>
                <w:rtl/>
              </w:rPr>
              <w:t>130</w:t>
            </w:r>
          </w:p>
        </w:tc>
        <w:tc>
          <w:tcPr>
            <w:tcW w:w="1008" w:type="dxa"/>
          </w:tcPr>
          <w:p w:rsidR="00867838" w:rsidRPr="00EE7831" w:rsidRDefault="00867838" w:rsidP="00867838">
            <w:pPr>
              <w:rPr>
                <w:rFonts w:cs="Traditional Arabic" w:hint="cs"/>
                <w:rtl/>
              </w:rPr>
            </w:pPr>
            <w:r w:rsidRPr="00EE7831">
              <w:rPr>
                <w:rFonts w:cs="Traditional Arabic" w:hint="cs"/>
                <w:rtl/>
              </w:rPr>
              <w:t>142</w:t>
            </w:r>
          </w:p>
        </w:tc>
        <w:tc>
          <w:tcPr>
            <w:tcW w:w="1008" w:type="dxa"/>
          </w:tcPr>
          <w:p w:rsidR="00867838" w:rsidRPr="00EE7831" w:rsidRDefault="00867838" w:rsidP="00867838">
            <w:pPr>
              <w:rPr>
                <w:rFonts w:cs="Traditional Arabic" w:hint="cs"/>
                <w:rtl/>
              </w:rPr>
            </w:pPr>
            <w:r w:rsidRPr="00EE7831">
              <w:rPr>
                <w:rFonts w:cs="Traditional Arabic" w:hint="cs"/>
                <w:rtl/>
              </w:rPr>
              <w:t>180</w:t>
            </w:r>
          </w:p>
        </w:tc>
      </w:tr>
      <w:tr w:rsidR="00867838" w:rsidRPr="00EE7831">
        <w:trPr>
          <w:jc w:val="center"/>
        </w:trPr>
        <w:tc>
          <w:tcPr>
            <w:tcW w:w="1440"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r w:rsidRPr="00EE7831">
              <w:rPr>
                <w:rFonts w:cs="Traditional Arabic" w:hint="cs"/>
                <w:rtl/>
              </w:rPr>
              <w:t>ذكور</w:t>
            </w:r>
          </w:p>
        </w:tc>
        <w:tc>
          <w:tcPr>
            <w:tcW w:w="720" w:type="dxa"/>
          </w:tcPr>
          <w:p w:rsidR="00867838" w:rsidRPr="00EE7831" w:rsidRDefault="00867838" w:rsidP="00867838">
            <w:pPr>
              <w:rPr>
                <w:rFonts w:cs="Traditional Arabic" w:hint="cs"/>
                <w:rtl/>
              </w:rPr>
            </w:pPr>
            <w:r w:rsidRPr="00EE7831">
              <w:rPr>
                <w:rFonts w:cs="Traditional Arabic" w:hint="cs"/>
                <w:rtl/>
              </w:rPr>
              <w:t>20</w:t>
            </w:r>
          </w:p>
        </w:tc>
        <w:tc>
          <w:tcPr>
            <w:tcW w:w="720" w:type="dxa"/>
          </w:tcPr>
          <w:p w:rsidR="00867838" w:rsidRPr="00EE7831" w:rsidRDefault="00867838" w:rsidP="00867838">
            <w:pPr>
              <w:rPr>
                <w:rFonts w:cs="Traditional Arabic" w:hint="cs"/>
                <w:rtl/>
              </w:rPr>
            </w:pPr>
            <w:r w:rsidRPr="00EE7831">
              <w:rPr>
                <w:rFonts w:cs="Traditional Arabic" w:hint="cs"/>
                <w:rtl/>
              </w:rPr>
              <w:t>12</w:t>
            </w:r>
          </w:p>
        </w:tc>
        <w:tc>
          <w:tcPr>
            <w:tcW w:w="720" w:type="dxa"/>
          </w:tcPr>
          <w:p w:rsidR="00867838" w:rsidRPr="00EE7831" w:rsidRDefault="00867838" w:rsidP="00867838">
            <w:pPr>
              <w:rPr>
                <w:rFonts w:cs="Traditional Arabic" w:hint="cs"/>
                <w:rtl/>
              </w:rPr>
            </w:pPr>
            <w:r w:rsidRPr="00EE7831">
              <w:rPr>
                <w:rFonts w:cs="Traditional Arabic" w:hint="cs"/>
                <w:rtl/>
              </w:rPr>
              <w:t>22</w:t>
            </w:r>
          </w:p>
        </w:tc>
        <w:tc>
          <w:tcPr>
            <w:tcW w:w="1008" w:type="dxa"/>
          </w:tcPr>
          <w:p w:rsidR="00867838" w:rsidRPr="00EE7831" w:rsidRDefault="00867838" w:rsidP="00867838">
            <w:pPr>
              <w:rPr>
                <w:rFonts w:cs="Traditional Arabic" w:hint="cs"/>
                <w:rtl/>
              </w:rPr>
            </w:pPr>
            <w:r w:rsidRPr="00EE7831">
              <w:rPr>
                <w:rFonts w:cs="Traditional Arabic" w:hint="cs"/>
                <w:rtl/>
              </w:rPr>
              <w:t>110</w:t>
            </w:r>
          </w:p>
        </w:tc>
        <w:tc>
          <w:tcPr>
            <w:tcW w:w="1008" w:type="dxa"/>
          </w:tcPr>
          <w:p w:rsidR="00867838" w:rsidRPr="00EE7831" w:rsidRDefault="00867838" w:rsidP="00867838">
            <w:pPr>
              <w:rPr>
                <w:rFonts w:cs="Traditional Arabic" w:hint="cs"/>
                <w:rtl/>
              </w:rPr>
            </w:pPr>
            <w:r w:rsidRPr="00EE7831">
              <w:rPr>
                <w:rFonts w:cs="Traditional Arabic" w:hint="cs"/>
                <w:rtl/>
              </w:rPr>
              <w:t>152</w:t>
            </w:r>
          </w:p>
        </w:tc>
        <w:tc>
          <w:tcPr>
            <w:tcW w:w="1008" w:type="dxa"/>
          </w:tcPr>
          <w:p w:rsidR="00867838" w:rsidRPr="00EE7831" w:rsidRDefault="00867838" w:rsidP="00867838">
            <w:pPr>
              <w:rPr>
                <w:rFonts w:cs="Traditional Arabic" w:hint="cs"/>
                <w:rtl/>
              </w:rPr>
            </w:pPr>
            <w:r w:rsidRPr="00EE7831">
              <w:rPr>
                <w:rFonts w:cs="Traditional Arabic" w:hint="cs"/>
                <w:rtl/>
              </w:rPr>
              <w:t>115</w:t>
            </w:r>
          </w:p>
        </w:tc>
      </w:tr>
      <w:tr w:rsidR="00867838" w:rsidRPr="00EE7831">
        <w:trPr>
          <w:jc w:val="center"/>
        </w:trPr>
        <w:tc>
          <w:tcPr>
            <w:tcW w:w="1440" w:type="dxa"/>
          </w:tcPr>
          <w:p w:rsidR="00867838" w:rsidRPr="00EE7831" w:rsidRDefault="00867838" w:rsidP="00867838">
            <w:pPr>
              <w:rPr>
                <w:rFonts w:cs="Traditional Arabic" w:hint="cs"/>
                <w:rtl/>
              </w:rPr>
            </w:pPr>
            <w:r w:rsidRPr="00EE7831">
              <w:rPr>
                <w:rFonts w:cs="Traditional Arabic" w:hint="cs"/>
                <w:rtl/>
              </w:rPr>
              <w:t>أطفال</w:t>
            </w:r>
          </w:p>
        </w:tc>
        <w:tc>
          <w:tcPr>
            <w:tcW w:w="1008" w:type="dxa"/>
          </w:tcPr>
          <w:p w:rsidR="00867838" w:rsidRPr="00EE7831" w:rsidRDefault="00867838" w:rsidP="00867838">
            <w:pPr>
              <w:rPr>
                <w:rFonts w:cs="Traditional Arabic" w:hint="cs"/>
                <w:rtl/>
              </w:rPr>
            </w:pPr>
            <w:r w:rsidRPr="00EE7831">
              <w:rPr>
                <w:rFonts w:cs="Traditional Arabic" w:hint="cs"/>
                <w:rtl/>
              </w:rPr>
              <w:t>إناث</w:t>
            </w:r>
          </w:p>
        </w:tc>
        <w:tc>
          <w:tcPr>
            <w:tcW w:w="720" w:type="dxa"/>
          </w:tcPr>
          <w:p w:rsidR="00867838" w:rsidRPr="00EE7831" w:rsidRDefault="00867838" w:rsidP="00867838">
            <w:pPr>
              <w:rPr>
                <w:rFonts w:cs="Traditional Arabic" w:hint="cs"/>
                <w:rtl/>
              </w:rPr>
            </w:pPr>
            <w:r w:rsidRPr="00EE7831">
              <w:rPr>
                <w:rFonts w:cs="Traditional Arabic" w:hint="cs"/>
                <w:rtl/>
              </w:rPr>
              <w:t>4</w:t>
            </w:r>
          </w:p>
        </w:tc>
        <w:tc>
          <w:tcPr>
            <w:tcW w:w="720" w:type="dxa"/>
          </w:tcPr>
          <w:p w:rsidR="00867838" w:rsidRPr="00EE7831" w:rsidRDefault="00867838" w:rsidP="00867838">
            <w:pPr>
              <w:rPr>
                <w:rFonts w:cs="Traditional Arabic" w:hint="cs"/>
                <w:rtl/>
              </w:rPr>
            </w:pPr>
            <w:r w:rsidRPr="00EE7831">
              <w:rPr>
                <w:rFonts w:cs="Traditional Arabic" w:hint="cs"/>
                <w:rtl/>
              </w:rPr>
              <w:t>5</w:t>
            </w:r>
          </w:p>
        </w:tc>
        <w:tc>
          <w:tcPr>
            <w:tcW w:w="720" w:type="dxa"/>
          </w:tcPr>
          <w:p w:rsidR="00867838" w:rsidRPr="00EE7831" w:rsidRDefault="00867838" w:rsidP="00867838">
            <w:pPr>
              <w:rPr>
                <w:rFonts w:cs="Traditional Arabic" w:hint="cs"/>
                <w:rtl/>
              </w:rPr>
            </w:pPr>
            <w:r w:rsidRPr="00EE7831">
              <w:rPr>
                <w:rFonts w:cs="Traditional Arabic" w:hint="cs"/>
                <w:rtl/>
              </w:rPr>
              <w:t>9</w:t>
            </w:r>
          </w:p>
        </w:tc>
        <w:tc>
          <w:tcPr>
            <w:tcW w:w="1008"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r>
      <w:tr w:rsidR="00867838" w:rsidRPr="00EE7831">
        <w:trPr>
          <w:jc w:val="center"/>
        </w:trPr>
        <w:tc>
          <w:tcPr>
            <w:tcW w:w="1440"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r w:rsidRPr="00EE7831">
              <w:rPr>
                <w:rFonts w:cs="Traditional Arabic" w:hint="cs"/>
                <w:rtl/>
              </w:rPr>
              <w:t>ذكور</w:t>
            </w:r>
          </w:p>
        </w:tc>
        <w:tc>
          <w:tcPr>
            <w:tcW w:w="720" w:type="dxa"/>
          </w:tcPr>
          <w:p w:rsidR="00867838" w:rsidRPr="00EE7831" w:rsidRDefault="00867838" w:rsidP="00867838">
            <w:pPr>
              <w:rPr>
                <w:rFonts w:cs="Traditional Arabic" w:hint="cs"/>
                <w:rtl/>
              </w:rPr>
            </w:pPr>
            <w:r w:rsidRPr="00EE7831">
              <w:rPr>
                <w:rFonts w:cs="Traditional Arabic" w:hint="cs"/>
                <w:rtl/>
              </w:rPr>
              <w:t>3</w:t>
            </w:r>
          </w:p>
        </w:tc>
        <w:tc>
          <w:tcPr>
            <w:tcW w:w="720" w:type="dxa"/>
          </w:tcPr>
          <w:p w:rsidR="00867838" w:rsidRPr="00EE7831" w:rsidRDefault="00867838" w:rsidP="00867838">
            <w:pPr>
              <w:rPr>
                <w:rFonts w:cs="Traditional Arabic" w:hint="cs"/>
                <w:rtl/>
              </w:rPr>
            </w:pPr>
            <w:r w:rsidRPr="00EE7831">
              <w:rPr>
                <w:rFonts w:cs="Traditional Arabic" w:hint="cs"/>
                <w:rtl/>
              </w:rPr>
              <w:t>6</w:t>
            </w:r>
          </w:p>
        </w:tc>
        <w:tc>
          <w:tcPr>
            <w:tcW w:w="720" w:type="dxa"/>
          </w:tcPr>
          <w:p w:rsidR="00867838" w:rsidRPr="00EE7831" w:rsidRDefault="00867838" w:rsidP="00867838">
            <w:pPr>
              <w:rPr>
                <w:rFonts w:cs="Traditional Arabic" w:hint="cs"/>
                <w:rtl/>
              </w:rPr>
            </w:pPr>
            <w:r w:rsidRPr="00EE7831">
              <w:rPr>
                <w:rFonts w:cs="Traditional Arabic" w:hint="cs"/>
                <w:rtl/>
              </w:rPr>
              <w:t>7</w:t>
            </w:r>
          </w:p>
        </w:tc>
        <w:tc>
          <w:tcPr>
            <w:tcW w:w="1008"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r>
      <w:tr w:rsidR="00867838" w:rsidRPr="00EE7831">
        <w:trPr>
          <w:jc w:val="center"/>
        </w:trPr>
        <w:tc>
          <w:tcPr>
            <w:tcW w:w="1440" w:type="dxa"/>
          </w:tcPr>
          <w:p w:rsidR="00867838" w:rsidRPr="00EE7831" w:rsidRDefault="00867838" w:rsidP="00867838">
            <w:pPr>
              <w:rPr>
                <w:rFonts w:cs="Traditional Arabic" w:hint="cs"/>
                <w:rtl/>
              </w:rPr>
            </w:pPr>
            <w:r w:rsidRPr="00EE7831">
              <w:rPr>
                <w:rFonts w:cs="Traditional Arabic" w:hint="cs"/>
                <w:rtl/>
              </w:rPr>
              <w:t>المجموع</w:t>
            </w:r>
          </w:p>
        </w:tc>
        <w:tc>
          <w:tcPr>
            <w:tcW w:w="1008" w:type="dxa"/>
          </w:tcPr>
          <w:p w:rsidR="00867838" w:rsidRPr="00EE7831" w:rsidRDefault="00867838" w:rsidP="00867838">
            <w:pPr>
              <w:rPr>
                <w:rFonts w:cs="Traditional Arabic" w:hint="cs"/>
                <w:rtl/>
              </w:rPr>
            </w:pPr>
          </w:p>
        </w:tc>
        <w:tc>
          <w:tcPr>
            <w:tcW w:w="720" w:type="dxa"/>
          </w:tcPr>
          <w:p w:rsidR="00867838" w:rsidRPr="00EE7831" w:rsidRDefault="00867838" w:rsidP="00867838">
            <w:pPr>
              <w:rPr>
                <w:rFonts w:cs="Traditional Arabic" w:hint="cs"/>
                <w:rtl/>
              </w:rPr>
            </w:pPr>
            <w:r w:rsidRPr="00EE7831">
              <w:rPr>
                <w:rFonts w:cs="Traditional Arabic" w:hint="cs"/>
                <w:rtl/>
              </w:rPr>
              <w:t>60</w:t>
            </w:r>
          </w:p>
        </w:tc>
        <w:tc>
          <w:tcPr>
            <w:tcW w:w="720" w:type="dxa"/>
          </w:tcPr>
          <w:p w:rsidR="00867838" w:rsidRPr="00EE7831" w:rsidRDefault="00867838" w:rsidP="00867838">
            <w:pPr>
              <w:rPr>
                <w:rFonts w:cs="Traditional Arabic" w:hint="cs"/>
                <w:rtl/>
              </w:rPr>
            </w:pPr>
            <w:r w:rsidRPr="00EE7831">
              <w:rPr>
                <w:rFonts w:cs="Traditional Arabic" w:hint="cs"/>
                <w:rtl/>
              </w:rPr>
              <w:t>36</w:t>
            </w:r>
          </w:p>
        </w:tc>
        <w:tc>
          <w:tcPr>
            <w:tcW w:w="720" w:type="dxa"/>
          </w:tcPr>
          <w:p w:rsidR="00867838" w:rsidRPr="00EE7831" w:rsidRDefault="00867838" w:rsidP="00867838">
            <w:pPr>
              <w:rPr>
                <w:rFonts w:cs="Traditional Arabic" w:hint="cs"/>
                <w:rtl/>
              </w:rPr>
            </w:pPr>
            <w:r w:rsidRPr="00EE7831">
              <w:rPr>
                <w:rFonts w:cs="Traditional Arabic" w:hint="cs"/>
                <w:rtl/>
              </w:rPr>
              <w:t>71</w:t>
            </w:r>
          </w:p>
        </w:tc>
        <w:tc>
          <w:tcPr>
            <w:tcW w:w="1008"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c>
          <w:tcPr>
            <w:tcW w:w="1008" w:type="dxa"/>
          </w:tcPr>
          <w:p w:rsidR="00867838" w:rsidRPr="00EE7831" w:rsidRDefault="00867838" w:rsidP="00867838">
            <w:pPr>
              <w:rPr>
                <w:rFonts w:cs="Traditional Arabic" w:hint="cs"/>
                <w:rtl/>
              </w:rPr>
            </w:pPr>
          </w:p>
        </w:tc>
      </w:tr>
    </w:tbl>
    <w:p w:rsidR="00867838" w:rsidRDefault="00867838" w:rsidP="00867838">
      <w:pPr>
        <w:ind w:firstLine="720"/>
        <w:rPr>
          <w:rFonts w:hint="cs"/>
          <w:sz w:val="26"/>
          <w:szCs w:val="26"/>
          <w:rtl/>
        </w:rPr>
      </w:pPr>
      <w:r w:rsidRPr="00EE7831">
        <w:rPr>
          <w:rFonts w:hint="cs"/>
          <w:sz w:val="26"/>
          <w:szCs w:val="26"/>
          <w:rtl/>
        </w:rPr>
        <w:t>المصدر: سجلات وزارة الصحة</w:t>
      </w:r>
      <w:r w:rsidR="00EE7831">
        <w:rPr>
          <w:rFonts w:hint="cs"/>
          <w:sz w:val="26"/>
          <w:szCs w:val="26"/>
          <w:rtl/>
        </w:rPr>
        <w:t>.</w:t>
      </w:r>
    </w:p>
    <w:p w:rsidR="00EE7831" w:rsidRPr="00EE7831" w:rsidRDefault="00EE7831" w:rsidP="00EE7831">
      <w:pPr>
        <w:spacing w:line="120" w:lineRule="exact"/>
        <w:ind w:firstLine="720"/>
        <w:rPr>
          <w:rFonts w:hint="cs"/>
          <w:sz w:val="10"/>
          <w:szCs w:val="26"/>
          <w:rtl/>
        </w:rPr>
      </w:pPr>
    </w:p>
    <w:p w:rsidR="00EE7831" w:rsidRPr="00EE7831" w:rsidRDefault="00EE7831" w:rsidP="00EE7831">
      <w:pPr>
        <w:spacing w:line="120" w:lineRule="exact"/>
        <w:ind w:firstLine="720"/>
        <w:rPr>
          <w:rFonts w:hint="cs"/>
          <w:sz w:val="10"/>
          <w:szCs w:val="26"/>
          <w:rtl/>
        </w:rPr>
      </w:pPr>
    </w:p>
    <w:p w:rsidR="00867838" w:rsidRDefault="00EE7831" w:rsidP="00EE7831">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867838" w:rsidRPr="00660D4F">
        <w:rPr>
          <w:rFonts w:hint="cs"/>
          <w:rtl/>
        </w:rPr>
        <w:t>الحصول على القروض والإئتمانات</w:t>
      </w:r>
    </w:p>
    <w:p w:rsidR="00867838" w:rsidRDefault="00EE7831" w:rsidP="00EE7831">
      <w:pPr>
        <w:pStyle w:val="SingleTxt"/>
        <w:rPr>
          <w:rFonts w:hint="cs"/>
          <w:rtl/>
        </w:rPr>
      </w:pPr>
      <w:r>
        <w:rPr>
          <w:rFonts w:hint="cs"/>
          <w:rtl/>
        </w:rPr>
        <w:t>13-6</w:t>
      </w:r>
      <w:r>
        <w:rPr>
          <w:rFonts w:hint="cs"/>
          <w:rtl/>
        </w:rPr>
        <w:tab/>
      </w:r>
      <w:r w:rsidR="00867838">
        <w:rPr>
          <w:rFonts w:hint="cs"/>
          <w:rtl/>
        </w:rPr>
        <w:t>يتوقف تأهل الناس للحصول على قروض من المصارف أو رهون عقارية أو على أشكال أخرى من الإئتمانات على سياسة المؤسسة المالية. وفي العادة، يجب أن تكون للشخص وظيفة أو شكل من أشكال الضمان وفقاً لسياسة الحكومة المعمول بها. ومؤسسات القطاع الخاص الوحيدة هي مؤسسات إقراض الأموال في القطاعات غير الرسمية. وبوسع أي شخص أن يحصل على قرض إذا وافق مقرض الأموال على ذلك. ويعامل جميع الذكور والإناث على قدم المساواة في نظم الإقراض في توفالو. ولا يوجد أي تمييز على الإطلاق بين الزبائن الذكور والزبائن الإناث، مما يعني أن المرأة مرحب بها لأخذ قرض شخصي في أي وقت.  بيد أنه يوجد استثناء واحد وهو قرض الإسكان حيث يتعين أن يوقع طلب القرض الزوج والزوجة كلاهما. وحيث أنه لا يوجد فصل بين الرجل والمرأة في نظام مزايا الأسر، فمن الطبيعي أنه لا توجد أيضاً آلية لشكوى المرأة إذا عوملت معاملة غير منصفة. إلا أن الحكومة دائماً جاهزة لتلقي أي شكل من أشكال الشكاوى.</w:t>
      </w:r>
    </w:p>
    <w:p w:rsidR="00867838" w:rsidRDefault="00EE7831" w:rsidP="00EE7831">
      <w:pPr>
        <w:pStyle w:val="SingleTxt"/>
        <w:rPr>
          <w:rFonts w:hint="cs"/>
          <w:rtl/>
        </w:rPr>
      </w:pPr>
      <w:r>
        <w:rPr>
          <w:rFonts w:hint="cs"/>
          <w:rtl/>
        </w:rPr>
        <w:t>13-7</w:t>
      </w:r>
      <w:r>
        <w:rPr>
          <w:rFonts w:hint="cs"/>
          <w:rtl/>
        </w:rPr>
        <w:tab/>
      </w:r>
      <w:r w:rsidR="00867838">
        <w:rPr>
          <w:rFonts w:hint="cs"/>
          <w:rtl/>
        </w:rPr>
        <w:t>يعمل المجلس الوطني التوفالي للمرأة مباشرة مع النساء في الجزر الخارجية. وأحد أهدافه الرئيسية سمسرة التمويل لمساعدة هذه المنظمات. فعلى سبيل المثال، برنامج إئتمان صندوق التنمية، الذي تديره منظمة نسائية، يعمل في كل جزيرة من الجزر الخارجية ويتعامل مع مختلف المجتمعات المحلية الجزرية في العاصمة. وقد أنشئ هذا البرنامج، بتمويل من المساعدة النيوزيلندية بغرض الإقراض أو لكي يكون جزءاً من التنمية، بما في ذلك تمويل القروض المتجددة لإنشاء أعمال تجارية صغيرة لمساعدة المرأة. وأحد القيودالرئيسية الحالية التي يواجهها المجلس الوطني للمرأة استعادة المبلغ الأصلي الذي أقرضه الصندوق لتمكينه من الانتعاش في غضون شهر واحد. ويوجد ما يدل على الفشل، ويعزى ذلك إلى عدم المعرفة بكيفية بدء عمل تجاري وعدم المعرفة بالإدارة المالية.</w:t>
      </w:r>
    </w:p>
    <w:p w:rsidR="00867838" w:rsidRDefault="00867838" w:rsidP="00867838">
      <w:pPr>
        <w:rPr>
          <w:rFonts w:hint="cs"/>
          <w:sz w:val="32"/>
          <w:szCs w:val="32"/>
          <w:rtl/>
        </w:rPr>
      </w:pPr>
    </w:p>
    <w:p w:rsidR="00867838" w:rsidRDefault="00867838" w:rsidP="00867838">
      <w:pPr>
        <w:jc w:val="center"/>
        <w:rPr>
          <w:rFonts w:hint="cs"/>
          <w:b/>
          <w:bCs/>
          <w:sz w:val="28"/>
          <w:szCs w:val="28"/>
          <w:rtl/>
        </w:rPr>
      </w:pPr>
      <w:r w:rsidRPr="00281917">
        <w:rPr>
          <w:rFonts w:hint="cs"/>
          <w:b/>
          <w:bCs/>
          <w:sz w:val="28"/>
          <w:szCs w:val="28"/>
          <w:rtl/>
        </w:rPr>
        <w:t xml:space="preserve">الجدول 32: ملخص القروض التي </w:t>
      </w:r>
      <w:r>
        <w:rPr>
          <w:rFonts w:hint="cs"/>
          <w:b/>
          <w:bCs/>
          <w:sz w:val="28"/>
          <w:szCs w:val="28"/>
          <w:rtl/>
        </w:rPr>
        <w:t>و</w:t>
      </w:r>
      <w:r w:rsidRPr="00281917">
        <w:rPr>
          <w:rFonts w:hint="cs"/>
          <w:b/>
          <w:bCs/>
          <w:sz w:val="28"/>
          <w:szCs w:val="28"/>
          <w:rtl/>
        </w:rPr>
        <w:t>وفق عليها أثناء الفترة 200</w:t>
      </w:r>
      <w:r>
        <w:rPr>
          <w:rFonts w:hint="cs"/>
          <w:b/>
          <w:bCs/>
          <w:sz w:val="28"/>
          <w:szCs w:val="28"/>
          <w:rtl/>
        </w:rPr>
        <w:t>1</w:t>
      </w:r>
      <w:r w:rsidRPr="00281917">
        <w:rPr>
          <w:rFonts w:hint="cs"/>
          <w:b/>
          <w:bCs/>
          <w:sz w:val="28"/>
          <w:szCs w:val="28"/>
          <w:rtl/>
        </w:rPr>
        <w:t xml:space="preserve"> </w:t>
      </w:r>
      <w:r w:rsidR="00084D51">
        <w:rPr>
          <w:b/>
          <w:bCs/>
          <w:sz w:val="28"/>
          <w:szCs w:val="28"/>
          <w:rtl/>
        </w:rPr>
        <w:t>-</w:t>
      </w:r>
      <w:r w:rsidRPr="00281917">
        <w:rPr>
          <w:rFonts w:hint="cs"/>
          <w:b/>
          <w:bCs/>
          <w:sz w:val="28"/>
          <w:szCs w:val="28"/>
          <w:rtl/>
        </w:rPr>
        <w:t xml:space="preserve"> 2005 </w:t>
      </w:r>
    </w:p>
    <w:p w:rsidR="00867838" w:rsidRPr="00281917" w:rsidRDefault="00867838" w:rsidP="00867838">
      <w:pPr>
        <w:jc w:val="center"/>
        <w:rPr>
          <w:rFonts w:hint="cs"/>
          <w:b/>
          <w:bCs/>
          <w:sz w:val="28"/>
          <w:szCs w:val="28"/>
          <w:rtl/>
        </w:rPr>
      </w:pPr>
    </w:p>
    <w:tbl>
      <w:tblPr>
        <w:tblStyle w:val="TableGrid"/>
        <w:bidiVisual/>
        <w:tblW w:w="9504" w:type="dxa"/>
        <w:jc w:val="center"/>
        <w:tblLayout w:type="fixed"/>
        <w:tblLook w:val="01E0" w:firstRow="1" w:lastRow="1" w:firstColumn="1" w:lastColumn="1" w:noHBand="0" w:noVBand="0"/>
      </w:tblPr>
      <w:tblGrid>
        <w:gridCol w:w="1677"/>
        <w:gridCol w:w="932"/>
        <w:gridCol w:w="1677"/>
        <w:gridCol w:w="932"/>
        <w:gridCol w:w="1677"/>
        <w:gridCol w:w="932"/>
        <w:gridCol w:w="1677"/>
      </w:tblGrid>
      <w:tr w:rsidR="00867838" w:rsidRPr="0035365E">
        <w:trPr>
          <w:jc w:val="center"/>
        </w:trPr>
        <w:tc>
          <w:tcPr>
            <w:tcW w:w="1296" w:type="dxa"/>
          </w:tcPr>
          <w:p w:rsidR="00867838" w:rsidRPr="0035365E" w:rsidRDefault="00867838" w:rsidP="00867838">
            <w:pPr>
              <w:jc w:val="center"/>
              <w:rPr>
                <w:rFonts w:cs="Traditional Arabic" w:hint="cs"/>
                <w:rtl/>
              </w:rPr>
            </w:pPr>
          </w:p>
        </w:tc>
        <w:tc>
          <w:tcPr>
            <w:tcW w:w="2016" w:type="dxa"/>
            <w:gridSpan w:val="2"/>
          </w:tcPr>
          <w:p w:rsidR="00867838" w:rsidRPr="0035365E" w:rsidRDefault="00867838" w:rsidP="00867838">
            <w:pPr>
              <w:jc w:val="center"/>
              <w:rPr>
                <w:rFonts w:cs="Traditional Arabic" w:hint="cs"/>
                <w:rtl/>
              </w:rPr>
            </w:pPr>
            <w:r w:rsidRPr="0035365E">
              <w:rPr>
                <w:rFonts w:cs="Traditional Arabic" w:hint="cs"/>
                <w:rtl/>
              </w:rPr>
              <w:t>ذكور</w:t>
            </w:r>
          </w:p>
        </w:tc>
        <w:tc>
          <w:tcPr>
            <w:tcW w:w="2016" w:type="dxa"/>
            <w:gridSpan w:val="2"/>
          </w:tcPr>
          <w:p w:rsidR="00867838" w:rsidRPr="0035365E" w:rsidRDefault="00867838" w:rsidP="00867838">
            <w:pPr>
              <w:jc w:val="center"/>
              <w:rPr>
                <w:rFonts w:cs="Traditional Arabic" w:hint="cs"/>
                <w:rtl/>
              </w:rPr>
            </w:pPr>
            <w:r w:rsidRPr="0035365E">
              <w:rPr>
                <w:rFonts w:cs="Traditional Arabic" w:hint="cs"/>
                <w:rtl/>
              </w:rPr>
              <w:t>إناث</w:t>
            </w:r>
          </w:p>
        </w:tc>
        <w:tc>
          <w:tcPr>
            <w:tcW w:w="2016" w:type="dxa"/>
            <w:gridSpan w:val="2"/>
          </w:tcPr>
          <w:p w:rsidR="00867838" w:rsidRPr="0035365E" w:rsidRDefault="00867838" w:rsidP="00867838">
            <w:pPr>
              <w:jc w:val="center"/>
              <w:rPr>
                <w:rFonts w:cs="Traditional Arabic" w:hint="cs"/>
                <w:rtl/>
              </w:rPr>
            </w:pPr>
            <w:r w:rsidRPr="0035365E">
              <w:rPr>
                <w:rFonts w:cs="Traditional Arabic" w:hint="cs"/>
                <w:rtl/>
              </w:rPr>
              <w:t>المجموع</w:t>
            </w:r>
          </w:p>
        </w:tc>
      </w:tr>
      <w:tr w:rsidR="00867838" w:rsidRPr="0035365E">
        <w:trPr>
          <w:jc w:val="center"/>
        </w:trPr>
        <w:tc>
          <w:tcPr>
            <w:tcW w:w="1296" w:type="dxa"/>
          </w:tcPr>
          <w:p w:rsidR="00867838" w:rsidRPr="0035365E" w:rsidRDefault="00867838" w:rsidP="00867838">
            <w:pPr>
              <w:jc w:val="center"/>
              <w:rPr>
                <w:rFonts w:cs="Traditional Arabic" w:hint="cs"/>
                <w:rtl/>
              </w:rPr>
            </w:pPr>
            <w:r w:rsidRPr="0035365E">
              <w:rPr>
                <w:rFonts w:cs="Traditional Arabic" w:hint="cs"/>
                <w:rtl/>
              </w:rPr>
              <w:t>السنة</w:t>
            </w:r>
          </w:p>
        </w:tc>
        <w:tc>
          <w:tcPr>
            <w:tcW w:w="720" w:type="dxa"/>
          </w:tcPr>
          <w:p w:rsidR="00867838" w:rsidRPr="0035365E" w:rsidRDefault="00867838" w:rsidP="00867838">
            <w:pPr>
              <w:jc w:val="center"/>
              <w:rPr>
                <w:rFonts w:cs="Traditional Arabic" w:hint="cs"/>
                <w:rtl/>
              </w:rPr>
            </w:pPr>
            <w:r w:rsidRPr="0035365E">
              <w:rPr>
                <w:rFonts w:cs="Traditional Arabic" w:hint="cs"/>
                <w:rtl/>
              </w:rPr>
              <w:t>العدد</w:t>
            </w:r>
          </w:p>
        </w:tc>
        <w:tc>
          <w:tcPr>
            <w:tcW w:w="1296" w:type="dxa"/>
          </w:tcPr>
          <w:p w:rsidR="00867838" w:rsidRPr="0035365E" w:rsidRDefault="00867838" w:rsidP="00867838">
            <w:pPr>
              <w:jc w:val="center"/>
              <w:rPr>
                <w:rFonts w:cs="Traditional Arabic" w:hint="cs"/>
                <w:rtl/>
              </w:rPr>
            </w:pPr>
            <w:r w:rsidRPr="0035365E">
              <w:rPr>
                <w:rFonts w:cs="Traditional Arabic" w:hint="cs"/>
                <w:rtl/>
              </w:rPr>
              <w:t>القيمة</w:t>
            </w:r>
          </w:p>
        </w:tc>
        <w:tc>
          <w:tcPr>
            <w:tcW w:w="720" w:type="dxa"/>
          </w:tcPr>
          <w:p w:rsidR="00867838" w:rsidRPr="0035365E" w:rsidRDefault="00867838" w:rsidP="00867838">
            <w:pPr>
              <w:jc w:val="center"/>
              <w:rPr>
                <w:rFonts w:cs="Traditional Arabic" w:hint="cs"/>
                <w:rtl/>
              </w:rPr>
            </w:pPr>
            <w:r w:rsidRPr="0035365E">
              <w:rPr>
                <w:rFonts w:cs="Traditional Arabic" w:hint="cs"/>
                <w:rtl/>
              </w:rPr>
              <w:t>العدد</w:t>
            </w:r>
          </w:p>
        </w:tc>
        <w:tc>
          <w:tcPr>
            <w:tcW w:w="1296" w:type="dxa"/>
          </w:tcPr>
          <w:p w:rsidR="00867838" w:rsidRPr="0035365E" w:rsidRDefault="00867838" w:rsidP="00867838">
            <w:pPr>
              <w:jc w:val="center"/>
              <w:rPr>
                <w:rFonts w:cs="Traditional Arabic" w:hint="cs"/>
                <w:rtl/>
              </w:rPr>
            </w:pPr>
            <w:r w:rsidRPr="0035365E">
              <w:rPr>
                <w:rFonts w:cs="Traditional Arabic" w:hint="cs"/>
                <w:rtl/>
              </w:rPr>
              <w:t>القيمة</w:t>
            </w:r>
          </w:p>
        </w:tc>
        <w:tc>
          <w:tcPr>
            <w:tcW w:w="720" w:type="dxa"/>
          </w:tcPr>
          <w:p w:rsidR="00867838" w:rsidRPr="0035365E" w:rsidRDefault="00867838" w:rsidP="00867838">
            <w:pPr>
              <w:jc w:val="center"/>
              <w:rPr>
                <w:rFonts w:cs="Traditional Arabic" w:hint="cs"/>
                <w:rtl/>
              </w:rPr>
            </w:pPr>
            <w:r w:rsidRPr="0035365E">
              <w:rPr>
                <w:rFonts w:cs="Traditional Arabic" w:hint="cs"/>
                <w:rtl/>
              </w:rPr>
              <w:t>العدد</w:t>
            </w:r>
          </w:p>
        </w:tc>
        <w:tc>
          <w:tcPr>
            <w:tcW w:w="1296" w:type="dxa"/>
          </w:tcPr>
          <w:p w:rsidR="00867838" w:rsidRPr="0035365E" w:rsidRDefault="00867838" w:rsidP="00867838">
            <w:pPr>
              <w:jc w:val="center"/>
              <w:rPr>
                <w:rFonts w:cs="Traditional Arabic" w:hint="cs"/>
                <w:rtl/>
              </w:rPr>
            </w:pPr>
            <w:r w:rsidRPr="0035365E">
              <w:rPr>
                <w:rFonts w:cs="Traditional Arabic" w:hint="cs"/>
                <w:rtl/>
              </w:rPr>
              <w:t>القيمة</w:t>
            </w:r>
          </w:p>
        </w:tc>
      </w:tr>
      <w:tr w:rsidR="00867838" w:rsidRPr="0035365E">
        <w:trPr>
          <w:jc w:val="center"/>
        </w:trPr>
        <w:tc>
          <w:tcPr>
            <w:tcW w:w="1296" w:type="dxa"/>
          </w:tcPr>
          <w:p w:rsidR="00867838" w:rsidRPr="0035365E" w:rsidRDefault="00867838" w:rsidP="00867838">
            <w:pPr>
              <w:rPr>
                <w:rFonts w:cs="Traditional Arabic" w:hint="cs"/>
                <w:rtl/>
              </w:rPr>
            </w:pPr>
            <w:r w:rsidRPr="0035365E">
              <w:rPr>
                <w:rFonts w:cs="Traditional Arabic" w:hint="cs"/>
                <w:rtl/>
              </w:rPr>
              <w:t>2001</w:t>
            </w:r>
          </w:p>
        </w:tc>
        <w:tc>
          <w:tcPr>
            <w:tcW w:w="720" w:type="dxa"/>
          </w:tcPr>
          <w:p w:rsidR="00867838" w:rsidRPr="0035365E" w:rsidRDefault="00867838" w:rsidP="00867838">
            <w:pPr>
              <w:rPr>
                <w:rFonts w:cs="Traditional Arabic" w:hint="cs"/>
                <w:rtl/>
              </w:rPr>
            </w:pPr>
            <w:r w:rsidRPr="0035365E">
              <w:rPr>
                <w:rFonts w:cs="Traditional Arabic" w:hint="cs"/>
                <w:rtl/>
              </w:rPr>
              <w:t>38</w:t>
            </w:r>
          </w:p>
        </w:tc>
        <w:tc>
          <w:tcPr>
            <w:tcW w:w="1296" w:type="dxa"/>
          </w:tcPr>
          <w:p w:rsidR="00867838" w:rsidRPr="0035365E" w:rsidRDefault="00867838" w:rsidP="00867838">
            <w:pPr>
              <w:rPr>
                <w:rFonts w:cs="Traditional Arabic" w:hint="cs"/>
                <w:rtl/>
              </w:rPr>
            </w:pPr>
            <w:r w:rsidRPr="0035365E">
              <w:rPr>
                <w:rFonts w:cs="Traditional Arabic" w:hint="cs"/>
                <w:rtl/>
              </w:rPr>
              <w:t>773 262</w:t>
            </w:r>
          </w:p>
        </w:tc>
        <w:tc>
          <w:tcPr>
            <w:tcW w:w="720" w:type="dxa"/>
          </w:tcPr>
          <w:p w:rsidR="00867838" w:rsidRPr="0035365E" w:rsidRDefault="00867838" w:rsidP="00867838">
            <w:pPr>
              <w:rPr>
                <w:rFonts w:cs="Traditional Arabic" w:hint="cs"/>
                <w:rtl/>
              </w:rPr>
            </w:pPr>
            <w:r w:rsidRPr="0035365E">
              <w:rPr>
                <w:rFonts w:cs="Traditional Arabic" w:hint="cs"/>
                <w:rtl/>
              </w:rPr>
              <w:t>13</w:t>
            </w:r>
          </w:p>
        </w:tc>
        <w:tc>
          <w:tcPr>
            <w:tcW w:w="1296" w:type="dxa"/>
          </w:tcPr>
          <w:p w:rsidR="00867838" w:rsidRPr="0035365E" w:rsidRDefault="00867838" w:rsidP="00867838">
            <w:pPr>
              <w:rPr>
                <w:rFonts w:cs="Traditional Arabic" w:hint="cs"/>
                <w:rtl/>
              </w:rPr>
            </w:pPr>
            <w:r w:rsidRPr="0035365E">
              <w:rPr>
                <w:rFonts w:cs="Traditional Arabic" w:hint="cs"/>
                <w:rtl/>
              </w:rPr>
              <w:t>207 66</w:t>
            </w:r>
          </w:p>
        </w:tc>
        <w:tc>
          <w:tcPr>
            <w:tcW w:w="720" w:type="dxa"/>
          </w:tcPr>
          <w:p w:rsidR="00867838" w:rsidRPr="0035365E" w:rsidRDefault="00867838" w:rsidP="00867838">
            <w:pPr>
              <w:rPr>
                <w:rFonts w:cs="Traditional Arabic" w:hint="cs"/>
                <w:rtl/>
              </w:rPr>
            </w:pPr>
            <w:r w:rsidRPr="0035365E">
              <w:rPr>
                <w:rFonts w:cs="Traditional Arabic" w:hint="cs"/>
                <w:rtl/>
              </w:rPr>
              <w:t>51</w:t>
            </w:r>
          </w:p>
        </w:tc>
        <w:tc>
          <w:tcPr>
            <w:tcW w:w="1296" w:type="dxa"/>
          </w:tcPr>
          <w:p w:rsidR="00867838" w:rsidRPr="0035365E" w:rsidRDefault="00867838" w:rsidP="00867838">
            <w:pPr>
              <w:rPr>
                <w:rFonts w:cs="Traditional Arabic" w:hint="cs"/>
                <w:rtl/>
              </w:rPr>
            </w:pPr>
            <w:r w:rsidRPr="0035365E">
              <w:rPr>
                <w:rFonts w:cs="Traditional Arabic" w:hint="cs"/>
                <w:rtl/>
              </w:rPr>
              <w:t>980 328</w:t>
            </w:r>
          </w:p>
        </w:tc>
      </w:tr>
      <w:tr w:rsidR="00867838" w:rsidRPr="0035365E">
        <w:trPr>
          <w:jc w:val="center"/>
        </w:trPr>
        <w:tc>
          <w:tcPr>
            <w:tcW w:w="1296" w:type="dxa"/>
          </w:tcPr>
          <w:p w:rsidR="00867838" w:rsidRPr="0035365E" w:rsidRDefault="00867838" w:rsidP="00867838">
            <w:pPr>
              <w:rPr>
                <w:rFonts w:cs="Traditional Arabic" w:hint="cs"/>
                <w:rtl/>
              </w:rPr>
            </w:pPr>
            <w:r w:rsidRPr="0035365E">
              <w:rPr>
                <w:rFonts w:cs="Traditional Arabic" w:hint="cs"/>
                <w:rtl/>
              </w:rPr>
              <w:t>2002</w:t>
            </w:r>
          </w:p>
        </w:tc>
        <w:tc>
          <w:tcPr>
            <w:tcW w:w="720" w:type="dxa"/>
          </w:tcPr>
          <w:p w:rsidR="00867838" w:rsidRPr="0035365E" w:rsidRDefault="00867838" w:rsidP="00867838">
            <w:pPr>
              <w:rPr>
                <w:rFonts w:cs="Traditional Arabic" w:hint="cs"/>
                <w:rtl/>
              </w:rPr>
            </w:pPr>
            <w:r w:rsidRPr="0035365E">
              <w:rPr>
                <w:rFonts w:cs="Traditional Arabic" w:hint="cs"/>
                <w:rtl/>
              </w:rPr>
              <w:t>3</w:t>
            </w:r>
          </w:p>
        </w:tc>
        <w:tc>
          <w:tcPr>
            <w:tcW w:w="1296" w:type="dxa"/>
          </w:tcPr>
          <w:p w:rsidR="00867838" w:rsidRPr="0035365E" w:rsidRDefault="00867838" w:rsidP="00867838">
            <w:pPr>
              <w:rPr>
                <w:rFonts w:cs="Traditional Arabic" w:hint="cs"/>
                <w:rtl/>
              </w:rPr>
            </w:pPr>
            <w:r w:rsidRPr="0035365E">
              <w:rPr>
                <w:rFonts w:cs="Traditional Arabic" w:hint="cs"/>
                <w:rtl/>
              </w:rPr>
              <w:t>900 9</w:t>
            </w:r>
          </w:p>
        </w:tc>
        <w:tc>
          <w:tcPr>
            <w:tcW w:w="720" w:type="dxa"/>
          </w:tcPr>
          <w:p w:rsidR="00867838" w:rsidRPr="0035365E" w:rsidRDefault="00867838" w:rsidP="00867838">
            <w:pPr>
              <w:rPr>
                <w:rFonts w:cs="Traditional Arabic" w:hint="cs"/>
                <w:rtl/>
              </w:rPr>
            </w:pPr>
            <w:r w:rsidRPr="0035365E">
              <w:rPr>
                <w:rFonts w:cs="Traditional Arabic" w:hint="cs"/>
                <w:rtl/>
              </w:rPr>
              <w:t>4</w:t>
            </w:r>
          </w:p>
        </w:tc>
        <w:tc>
          <w:tcPr>
            <w:tcW w:w="1296" w:type="dxa"/>
          </w:tcPr>
          <w:p w:rsidR="00867838" w:rsidRPr="0035365E" w:rsidRDefault="00867838" w:rsidP="00867838">
            <w:pPr>
              <w:rPr>
                <w:rFonts w:cs="Traditional Arabic" w:hint="cs"/>
                <w:rtl/>
              </w:rPr>
            </w:pPr>
            <w:r w:rsidRPr="0035365E">
              <w:rPr>
                <w:rFonts w:cs="Traditional Arabic" w:hint="cs"/>
                <w:rtl/>
              </w:rPr>
              <w:t>500 10</w:t>
            </w:r>
          </w:p>
        </w:tc>
        <w:tc>
          <w:tcPr>
            <w:tcW w:w="720" w:type="dxa"/>
          </w:tcPr>
          <w:p w:rsidR="00867838" w:rsidRPr="0035365E" w:rsidRDefault="00867838" w:rsidP="00867838">
            <w:pPr>
              <w:rPr>
                <w:rFonts w:cs="Traditional Arabic" w:hint="cs"/>
                <w:rtl/>
              </w:rPr>
            </w:pPr>
            <w:r w:rsidRPr="0035365E">
              <w:rPr>
                <w:rFonts w:cs="Traditional Arabic" w:hint="cs"/>
                <w:rtl/>
              </w:rPr>
              <w:t>7</w:t>
            </w:r>
          </w:p>
        </w:tc>
        <w:tc>
          <w:tcPr>
            <w:tcW w:w="1296" w:type="dxa"/>
          </w:tcPr>
          <w:p w:rsidR="00867838" w:rsidRPr="0035365E" w:rsidRDefault="00867838" w:rsidP="00867838">
            <w:pPr>
              <w:rPr>
                <w:rFonts w:cs="Traditional Arabic" w:hint="cs"/>
                <w:rtl/>
              </w:rPr>
            </w:pPr>
            <w:r w:rsidRPr="0035365E">
              <w:rPr>
                <w:rFonts w:cs="Traditional Arabic" w:hint="cs"/>
                <w:rtl/>
              </w:rPr>
              <w:t>400 20</w:t>
            </w:r>
          </w:p>
        </w:tc>
      </w:tr>
      <w:tr w:rsidR="00867838" w:rsidRPr="0035365E">
        <w:trPr>
          <w:jc w:val="center"/>
        </w:trPr>
        <w:tc>
          <w:tcPr>
            <w:tcW w:w="1296" w:type="dxa"/>
          </w:tcPr>
          <w:p w:rsidR="00867838" w:rsidRPr="0035365E" w:rsidRDefault="00867838" w:rsidP="00867838">
            <w:pPr>
              <w:rPr>
                <w:rFonts w:cs="Traditional Arabic" w:hint="cs"/>
                <w:rtl/>
              </w:rPr>
            </w:pPr>
            <w:r w:rsidRPr="0035365E">
              <w:rPr>
                <w:rFonts w:cs="Traditional Arabic" w:hint="cs"/>
                <w:rtl/>
              </w:rPr>
              <w:t>2003</w:t>
            </w:r>
          </w:p>
        </w:tc>
        <w:tc>
          <w:tcPr>
            <w:tcW w:w="720" w:type="dxa"/>
          </w:tcPr>
          <w:p w:rsidR="00867838" w:rsidRPr="0035365E" w:rsidRDefault="00867838" w:rsidP="00867838">
            <w:pPr>
              <w:rPr>
                <w:rFonts w:cs="Traditional Arabic" w:hint="cs"/>
                <w:rtl/>
              </w:rPr>
            </w:pPr>
            <w:r w:rsidRPr="0035365E">
              <w:rPr>
                <w:rFonts w:cs="Traditional Arabic" w:hint="cs"/>
                <w:rtl/>
              </w:rPr>
              <w:t>18</w:t>
            </w:r>
          </w:p>
        </w:tc>
        <w:tc>
          <w:tcPr>
            <w:tcW w:w="1296" w:type="dxa"/>
          </w:tcPr>
          <w:p w:rsidR="00867838" w:rsidRPr="0035365E" w:rsidRDefault="00867838" w:rsidP="00867838">
            <w:pPr>
              <w:rPr>
                <w:rFonts w:cs="Traditional Arabic" w:hint="cs"/>
                <w:rtl/>
              </w:rPr>
            </w:pPr>
            <w:r w:rsidRPr="0035365E">
              <w:rPr>
                <w:rFonts w:cs="Traditional Arabic" w:hint="cs"/>
                <w:rtl/>
              </w:rPr>
              <w:t>746 199</w:t>
            </w:r>
          </w:p>
        </w:tc>
        <w:tc>
          <w:tcPr>
            <w:tcW w:w="720" w:type="dxa"/>
          </w:tcPr>
          <w:p w:rsidR="00867838" w:rsidRPr="0035365E" w:rsidRDefault="00867838" w:rsidP="00867838">
            <w:pPr>
              <w:rPr>
                <w:rFonts w:cs="Traditional Arabic" w:hint="cs"/>
                <w:rtl/>
              </w:rPr>
            </w:pPr>
            <w:r w:rsidRPr="0035365E">
              <w:rPr>
                <w:rFonts w:cs="Traditional Arabic" w:hint="cs"/>
                <w:rtl/>
              </w:rPr>
              <w:t>14</w:t>
            </w:r>
          </w:p>
        </w:tc>
        <w:tc>
          <w:tcPr>
            <w:tcW w:w="1296" w:type="dxa"/>
          </w:tcPr>
          <w:p w:rsidR="00867838" w:rsidRPr="0035365E" w:rsidRDefault="00867838" w:rsidP="00867838">
            <w:pPr>
              <w:rPr>
                <w:rFonts w:cs="Traditional Arabic" w:hint="cs"/>
                <w:rtl/>
              </w:rPr>
            </w:pPr>
            <w:r w:rsidRPr="0035365E">
              <w:rPr>
                <w:rFonts w:cs="Traditional Arabic" w:hint="cs"/>
                <w:rtl/>
              </w:rPr>
              <w:t>000 58</w:t>
            </w:r>
          </w:p>
        </w:tc>
        <w:tc>
          <w:tcPr>
            <w:tcW w:w="720" w:type="dxa"/>
          </w:tcPr>
          <w:p w:rsidR="00867838" w:rsidRPr="0035365E" w:rsidRDefault="00867838" w:rsidP="00867838">
            <w:pPr>
              <w:rPr>
                <w:rFonts w:cs="Traditional Arabic" w:hint="cs"/>
                <w:rtl/>
              </w:rPr>
            </w:pPr>
            <w:r w:rsidRPr="0035365E">
              <w:rPr>
                <w:rFonts w:cs="Traditional Arabic" w:hint="cs"/>
                <w:rtl/>
              </w:rPr>
              <w:t>32</w:t>
            </w:r>
          </w:p>
        </w:tc>
        <w:tc>
          <w:tcPr>
            <w:tcW w:w="1296" w:type="dxa"/>
          </w:tcPr>
          <w:p w:rsidR="00867838" w:rsidRPr="0035365E" w:rsidRDefault="00867838" w:rsidP="00867838">
            <w:pPr>
              <w:rPr>
                <w:rFonts w:cs="Traditional Arabic" w:hint="cs"/>
                <w:rtl/>
              </w:rPr>
            </w:pPr>
            <w:r w:rsidRPr="0035365E">
              <w:rPr>
                <w:rFonts w:cs="Traditional Arabic" w:hint="cs"/>
                <w:rtl/>
              </w:rPr>
              <w:t>746 256</w:t>
            </w:r>
          </w:p>
        </w:tc>
      </w:tr>
      <w:tr w:rsidR="00867838" w:rsidRPr="0035365E">
        <w:trPr>
          <w:jc w:val="center"/>
        </w:trPr>
        <w:tc>
          <w:tcPr>
            <w:tcW w:w="1296" w:type="dxa"/>
          </w:tcPr>
          <w:p w:rsidR="00867838" w:rsidRPr="0035365E" w:rsidRDefault="00867838" w:rsidP="00867838">
            <w:pPr>
              <w:rPr>
                <w:rFonts w:cs="Traditional Arabic" w:hint="cs"/>
                <w:rtl/>
              </w:rPr>
            </w:pPr>
            <w:r w:rsidRPr="0035365E">
              <w:rPr>
                <w:rFonts w:cs="Traditional Arabic" w:hint="cs"/>
                <w:rtl/>
              </w:rPr>
              <w:t>2004</w:t>
            </w:r>
          </w:p>
        </w:tc>
        <w:tc>
          <w:tcPr>
            <w:tcW w:w="720" w:type="dxa"/>
          </w:tcPr>
          <w:p w:rsidR="00867838" w:rsidRPr="0035365E" w:rsidRDefault="00867838" w:rsidP="00867838">
            <w:pPr>
              <w:rPr>
                <w:rFonts w:cs="Traditional Arabic" w:hint="cs"/>
                <w:rtl/>
              </w:rPr>
            </w:pPr>
            <w:r w:rsidRPr="0035365E">
              <w:rPr>
                <w:rFonts w:cs="Traditional Arabic" w:hint="cs"/>
                <w:rtl/>
              </w:rPr>
              <w:t>31</w:t>
            </w:r>
          </w:p>
        </w:tc>
        <w:tc>
          <w:tcPr>
            <w:tcW w:w="1296" w:type="dxa"/>
          </w:tcPr>
          <w:p w:rsidR="00867838" w:rsidRPr="0035365E" w:rsidRDefault="00867838" w:rsidP="00867838">
            <w:pPr>
              <w:rPr>
                <w:rFonts w:cs="Traditional Arabic" w:hint="cs"/>
                <w:rtl/>
              </w:rPr>
            </w:pPr>
            <w:r w:rsidRPr="0035365E">
              <w:rPr>
                <w:rFonts w:cs="Traditional Arabic" w:hint="cs"/>
                <w:rtl/>
              </w:rPr>
              <w:t>350 315</w:t>
            </w:r>
          </w:p>
        </w:tc>
        <w:tc>
          <w:tcPr>
            <w:tcW w:w="720" w:type="dxa"/>
          </w:tcPr>
          <w:p w:rsidR="00867838" w:rsidRPr="0035365E" w:rsidRDefault="00867838" w:rsidP="00867838">
            <w:pPr>
              <w:rPr>
                <w:rFonts w:cs="Traditional Arabic" w:hint="cs"/>
                <w:rtl/>
              </w:rPr>
            </w:pPr>
            <w:r w:rsidRPr="0035365E">
              <w:rPr>
                <w:rFonts w:cs="Traditional Arabic" w:hint="cs"/>
                <w:rtl/>
              </w:rPr>
              <w:t>16</w:t>
            </w:r>
          </w:p>
        </w:tc>
        <w:tc>
          <w:tcPr>
            <w:tcW w:w="1296" w:type="dxa"/>
          </w:tcPr>
          <w:p w:rsidR="00867838" w:rsidRPr="0035365E" w:rsidRDefault="00867838" w:rsidP="00867838">
            <w:pPr>
              <w:rPr>
                <w:rFonts w:cs="Traditional Arabic" w:hint="cs"/>
                <w:rtl/>
              </w:rPr>
            </w:pPr>
            <w:r w:rsidRPr="0035365E">
              <w:rPr>
                <w:rFonts w:cs="Traditional Arabic" w:hint="cs"/>
                <w:rtl/>
              </w:rPr>
              <w:t>832 137</w:t>
            </w:r>
          </w:p>
        </w:tc>
        <w:tc>
          <w:tcPr>
            <w:tcW w:w="720" w:type="dxa"/>
          </w:tcPr>
          <w:p w:rsidR="00867838" w:rsidRPr="0035365E" w:rsidRDefault="00867838" w:rsidP="00867838">
            <w:pPr>
              <w:rPr>
                <w:rFonts w:cs="Traditional Arabic" w:hint="cs"/>
                <w:rtl/>
              </w:rPr>
            </w:pPr>
            <w:r w:rsidRPr="0035365E">
              <w:rPr>
                <w:rFonts w:cs="Traditional Arabic" w:hint="cs"/>
                <w:rtl/>
              </w:rPr>
              <w:t>47</w:t>
            </w:r>
          </w:p>
        </w:tc>
        <w:tc>
          <w:tcPr>
            <w:tcW w:w="1296" w:type="dxa"/>
          </w:tcPr>
          <w:p w:rsidR="00867838" w:rsidRPr="0035365E" w:rsidRDefault="00867838" w:rsidP="00867838">
            <w:pPr>
              <w:rPr>
                <w:rFonts w:cs="Traditional Arabic" w:hint="cs"/>
                <w:rtl/>
              </w:rPr>
            </w:pPr>
            <w:r w:rsidRPr="0035365E">
              <w:rPr>
                <w:rFonts w:cs="Traditional Arabic" w:hint="cs"/>
                <w:rtl/>
              </w:rPr>
              <w:t>182 453</w:t>
            </w:r>
          </w:p>
        </w:tc>
      </w:tr>
      <w:tr w:rsidR="00867838" w:rsidRPr="0035365E">
        <w:trPr>
          <w:jc w:val="center"/>
        </w:trPr>
        <w:tc>
          <w:tcPr>
            <w:tcW w:w="1296" w:type="dxa"/>
          </w:tcPr>
          <w:p w:rsidR="00867838" w:rsidRPr="0035365E" w:rsidRDefault="00867838" w:rsidP="00867838">
            <w:pPr>
              <w:rPr>
                <w:rFonts w:cs="Traditional Arabic" w:hint="cs"/>
                <w:rtl/>
              </w:rPr>
            </w:pPr>
            <w:r w:rsidRPr="0035365E">
              <w:rPr>
                <w:rFonts w:cs="Traditional Arabic" w:hint="cs"/>
                <w:rtl/>
              </w:rPr>
              <w:t>2005</w:t>
            </w:r>
          </w:p>
        </w:tc>
        <w:tc>
          <w:tcPr>
            <w:tcW w:w="720" w:type="dxa"/>
          </w:tcPr>
          <w:p w:rsidR="00867838" w:rsidRPr="0035365E" w:rsidRDefault="00867838" w:rsidP="00867838">
            <w:pPr>
              <w:rPr>
                <w:rFonts w:cs="Traditional Arabic" w:hint="cs"/>
                <w:rtl/>
              </w:rPr>
            </w:pPr>
            <w:r w:rsidRPr="0035365E">
              <w:rPr>
                <w:rFonts w:cs="Traditional Arabic" w:hint="cs"/>
                <w:rtl/>
              </w:rPr>
              <w:t>41</w:t>
            </w:r>
          </w:p>
        </w:tc>
        <w:tc>
          <w:tcPr>
            <w:tcW w:w="1296" w:type="dxa"/>
          </w:tcPr>
          <w:p w:rsidR="00867838" w:rsidRPr="0035365E" w:rsidRDefault="00867838" w:rsidP="00867838">
            <w:pPr>
              <w:rPr>
                <w:rFonts w:cs="Traditional Arabic" w:hint="cs"/>
                <w:rtl/>
              </w:rPr>
            </w:pPr>
            <w:r w:rsidRPr="0035365E">
              <w:rPr>
                <w:rFonts w:cs="Traditional Arabic" w:hint="cs"/>
                <w:rtl/>
              </w:rPr>
              <w:t>950 959</w:t>
            </w:r>
          </w:p>
        </w:tc>
        <w:tc>
          <w:tcPr>
            <w:tcW w:w="720" w:type="dxa"/>
          </w:tcPr>
          <w:p w:rsidR="00867838" w:rsidRPr="0035365E" w:rsidRDefault="00867838" w:rsidP="00867838">
            <w:pPr>
              <w:rPr>
                <w:rFonts w:cs="Traditional Arabic" w:hint="cs"/>
                <w:rtl/>
              </w:rPr>
            </w:pPr>
            <w:r w:rsidRPr="0035365E">
              <w:rPr>
                <w:rFonts w:cs="Traditional Arabic" w:hint="cs"/>
                <w:rtl/>
              </w:rPr>
              <w:t>30</w:t>
            </w:r>
          </w:p>
        </w:tc>
        <w:tc>
          <w:tcPr>
            <w:tcW w:w="1296" w:type="dxa"/>
          </w:tcPr>
          <w:p w:rsidR="00867838" w:rsidRPr="0035365E" w:rsidRDefault="00867838" w:rsidP="00867838">
            <w:pPr>
              <w:rPr>
                <w:rFonts w:cs="Traditional Arabic" w:hint="cs"/>
                <w:rtl/>
              </w:rPr>
            </w:pPr>
            <w:r w:rsidRPr="0035365E">
              <w:rPr>
                <w:rFonts w:cs="Traditional Arabic" w:hint="cs"/>
                <w:rtl/>
              </w:rPr>
              <w:t>245 373</w:t>
            </w:r>
          </w:p>
        </w:tc>
        <w:tc>
          <w:tcPr>
            <w:tcW w:w="720" w:type="dxa"/>
          </w:tcPr>
          <w:p w:rsidR="00867838" w:rsidRPr="0035365E" w:rsidRDefault="00867838" w:rsidP="00867838">
            <w:pPr>
              <w:rPr>
                <w:rFonts w:cs="Traditional Arabic" w:hint="cs"/>
                <w:rtl/>
              </w:rPr>
            </w:pPr>
            <w:r w:rsidRPr="0035365E">
              <w:rPr>
                <w:rFonts w:cs="Traditional Arabic" w:hint="cs"/>
                <w:rtl/>
              </w:rPr>
              <w:t>71</w:t>
            </w:r>
          </w:p>
        </w:tc>
        <w:tc>
          <w:tcPr>
            <w:tcW w:w="1296" w:type="dxa"/>
          </w:tcPr>
          <w:p w:rsidR="00867838" w:rsidRPr="0035365E" w:rsidRDefault="00867838" w:rsidP="00867838">
            <w:pPr>
              <w:rPr>
                <w:rFonts w:cs="Traditional Arabic" w:hint="cs"/>
                <w:rtl/>
              </w:rPr>
            </w:pPr>
            <w:r w:rsidRPr="0035365E">
              <w:rPr>
                <w:rFonts w:cs="Traditional Arabic" w:hint="cs"/>
                <w:rtl/>
              </w:rPr>
              <w:t>195 333 1</w:t>
            </w:r>
          </w:p>
        </w:tc>
      </w:tr>
      <w:tr w:rsidR="00867838" w:rsidRPr="0035365E">
        <w:trPr>
          <w:jc w:val="center"/>
        </w:trPr>
        <w:tc>
          <w:tcPr>
            <w:tcW w:w="1296" w:type="dxa"/>
          </w:tcPr>
          <w:p w:rsidR="00867838" w:rsidRPr="0035365E" w:rsidRDefault="00867838" w:rsidP="00867838">
            <w:pPr>
              <w:rPr>
                <w:rFonts w:cs="Traditional Arabic" w:hint="cs"/>
                <w:rtl/>
              </w:rPr>
            </w:pPr>
            <w:r w:rsidRPr="0035365E">
              <w:rPr>
                <w:rFonts w:cs="Traditional Arabic" w:hint="cs"/>
                <w:rtl/>
              </w:rPr>
              <w:t>المجموع</w:t>
            </w:r>
          </w:p>
        </w:tc>
        <w:tc>
          <w:tcPr>
            <w:tcW w:w="720" w:type="dxa"/>
          </w:tcPr>
          <w:p w:rsidR="00867838" w:rsidRPr="0035365E" w:rsidRDefault="00867838" w:rsidP="00867838">
            <w:pPr>
              <w:rPr>
                <w:rFonts w:cs="Traditional Arabic" w:hint="cs"/>
                <w:rtl/>
              </w:rPr>
            </w:pPr>
            <w:r w:rsidRPr="0035365E">
              <w:rPr>
                <w:rFonts w:cs="Traditional Arabic" w:hint="cs"/>
                <w:rtl/>
              </w:rPr>
              <w:t>131</w:t>
            </w:r>
          </w:p>
        </w:tc>
        <w:tc>
          <w:tcPr>
            <w:tcW w:w="1296" w:type="dxa"/>
          </w:tcPr>
          <w:p w:rsidR="00867838" w:rsidRPr="0035365E" w:rsidRDefault="00867838" w:rsidP="00867838">
            <w:pPr>
              <w:rPr>
                <w:rFonts w:cs="Traditional Arabic" w:hint="cs"/>
                <w:rtl/>
              </w:rPr>
            </w:pPr>
            <w:r w:rsidRPr="0035365E">
              <w:rPr>
                <w:rFonts w:cs="Traditional Arabic" w:hint="cs"/>
                <w:rtl/>
              </w:rPr>
              <w:t>769 787</w:t>
            </w:r>
          </w:p>
        </w:tc>
        <w:tc>
          <w:tcPr>
            <w:tcW w:w="720" w:type="dxa"/>
          </w:tcPr>
          <w:p w:rsidR="00867838" w:rsidRPr="0035365E" w:rsidRDefault="00867838" w:rsidP="00867838">
            <w:pPr>
              <w:rPr>
                <w:rFonts w:cs="Traditional Arabic" w:hint="cs"/>
                <w:rtl/>
              </w:rPr>
            </w:pPr>
            <w:r w:rsidRPr="0035365E">
              <w:rPr>
                <w:rFonts w:cs="Traditional Arabic" w:hint="cs"/>
                <w:rtl/>
              </w:rPr>
              <w:t>77</w:t>
            </w:r>
          </w:p>
        </w:tc>
        <w:tc>
          <w:tcPr>
            <w:tcW w:w="1296" w:type="dxa"/>
          </w:tcPr>
          <w:p w:rsidR="00867838" w:rsidRPr="0035365E" w:rsidRDefault="00867838" w:rsidP="00867838">
            <w:pPr>
              <w:rPr>
                <w:rFonts w:cs="Traditional Arabic" w:hint="cs"/>
                <w:rtl/>
              </w:rPr>
            </w:pPr>
            <w:r w:rsidRPr="0035365E">
              <w:rPr>
                <w:rFonts w:cs="Traditional Arabic" w:hint="cs"/>
                <w:rtl/>
              </w:rPr>
              <w:t>539 272</w:t>
            </w:r>
          </w:p>
        </w:tc>
        <w:tc>
          <w:tcPr>
            <w:tcW w:w="720" w:type="dxa"/>
          </w:tcPr>
          <w:p w:rsidR="00867838" w:rsidRPr="0035365E" w:rsidRDefault="00867838" w:rsidP="00867838">
            <w:pPr>
              <w:rPr>
                <w:rFonts w:cs="Traditional Arabic" w:hint="cs"/>
                <w:rtl/>
              </w:rPr>
            </w:pPr>
            <w:r w:rsidRPr="0035365E">
              <w:rPr>
                <w:rFonts w:cs="Traditional Arabic" w:hint="cs"/>
                <w:rtl/>
              </w:rPr>
              <w:t>208</w:t>
            </w:r>
          </w:p>
        </w:tc>
        <w:tc>
          <w:tcPr>
            <w:tcW w:w="1296" w:type="dxa"/>
          </w:tcPr>
          <w:p w:rsidR="00867838" w:rsidRPr="0035365E" w:rsidRDefault="00867838" w:rsidP="00867838">
            <w:pPr>
              <w:rPr>
                <w:rFonts w:cs="Traditional Arabic" w:hint="cs"/>
                <w:rtl/>
              </w:rPr>
            </w:pPr>
            <w:r w:rsidRPr="0035365E">
              <w:rPr>
                <w:rFonts w:cs="Traditional Arabic" w:hint="cs"/>
                <w:rtl/>
              </w:rPr>
              <w:t>308 060 1</w:t>
            </w:r>
          </w:p>
        </w:tc>
      </w:tr>
    </w:tbl>
    <w:p w:rsidR="00867838" w:rsidRPr="00EE7831" w:rsidRDefault="00867838" w:rsidP="00867838">
      <w:pPr>
        <w:ind w:firstLine="720"/>
        <w:rPr>
          <w:rFonts w:hint="cs"/>
          <w:sz w:val="26"/>
          <w:szCs w:val="26"/>
          <w:rtl/>
        </w:rPr>
      </w:pPr>
      <w:r w:rsidRPr="00EE7831">
        <w:rPr>
          <w:rFonts w:hint="cs"/>
          <w:sz w:val="26"/>
          <w:szCs w:val="26"/>
          <w:rtl/>
        </w:rPr>
        <w:t>المصدر: سجلات مصرف توفالو للتنمية، عام 2005، بيانات لم تنشر.</w:t>
      </w:r>
    </w:p>
    <w:p w:rsidR="00867838" w:rsidRDefault="00EE7831" w:rsidP="00EE7831">
      <w:pPr>
        <w:pStyle w:val="SingleTxt"/>
        <w:rPr>
          <w:rFonts w:hint="cs"/>
          <w:rtl/>
        </w:rPr>
      </w:pPr>
      <w:r>
        <w:rPr>
          <w:rFonts w:hint="cs"/>
          <w:rtl/>
        </w:rPr>
        <w:t>13-8</w:t>
      </w:r>
      <w:r>
        <w:rPr>
          <w:rFonts w:hint="cs"/>
          <w:rtl/>
        </w:rPr>
        <w:tab/>
      </w:r>
      <w:r w:rsidR="00867838">
        <w:rPr>
          <w:rFonts w:hint="cs"/>
          <w:rtl/>
        </w:rPr>
        <w:t xml:space="preserve">مصرف توفالو للتنمية مؤسسة مالية توفر فرصاً متساوية لجميع مواطني توفالو. ويقدم مساعدة مالية على هيئة قروض للزبائن المحتملين الذين قد يرغبون في إنشاء أعمال تجارية جديدة، وتمويل التوسع في أعمال تجارية قائمة أيضاً. ويبين الجدول 24 ملخصاً لمجموع القروض التي وافق عليها مصرف التنمية أثناء الفترة 2001 </w:t>
      </w:r>
      <w:r w:rsidR="00084D51">
        <w:rPr>
          <w:rtl/>
        </w:rPr>
        <w:t>-</w:t>
      </w:r>
      <w:r w:rsidR="00867838">
        <w:rPr>
          <w:rFonts w:hint="cs"/>
          <w:rtl/>
        </w:rPr>
        <w:t xml:space="preserve"> 2005.</w:t>
      </w:r>
    </w:p>
    <w:p w:rsidR="00867838" w:rsidRDefault="00EE7831" w:rsidP="00660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67838">
        <w:rPr>
          <w:rFonts w:hint="cs"/>
          <w:rtl/>
        </w:rPr>
        <w:t>يتبين من القروض الموافق عليها أعلاه أن 63 في المائة من هذه القروض قدمت لذكور و 37 في المائة قدمت لإناث. وقدم للذكور 74 في المائة وقدم للإناث</w:t>
      </w:r>
      <w:r w:rsidR="00867838">
        <w:t xml:space="preserve"> </w:t>
      </w:r>
      <w:r w:rsidR="00867838">
        <w:rPr>
          <w:rFonts w:hint="cs"/>
          <w:rtl/>
        </w:rPr>
        <w:t>26 في المائة من مجموع مبالغ القروض المقدمة. ويبين هذا بوضوح أن عدد الرجال الذين استفادوا من مساعدة المصرف أكثر من عدد النساء.</w:t>
      </w:r>
    </w:p>
    <w:p w:rsidR="00867838" w:rsidRDefault="00EE7831" w:rsidP="00660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r>
      <w:r w:rsidR="00867838">
        <w:rPr>
          <w:rFonts w:hint="cs"/>
          <w:rtl/>
        </w:rPr>
        <w:t>تباينت تبايناً كبيراً طبيعة الأعمال التجارية التي طلبت النساء من المصرف تمويلها. فقد تباينت من بدء دكان صغير لبيع البقالة بالمفرق أو بيع مجوهرات أو تطريز أو إقراض أموال أو العمل كبائعات متجولات أو في صيد الأسماك أو تمويل بيت للتأجير.</w:t>
      </w:r>
    </w:p>
    <w:p w:rsidR="00867838" w:rsidRDefault="00EE7831" w:rsidP="00EE7831">
      <w:pPr>
        <w:pStyle w:val="SingleTxt"/>
        <w:rPr>
          <w:rFonts w:hint="cs"/>
          <w:rtl/>
        </w:rPr>
      </w:pPr>
      <w:r>
        <w:rPr>
          <w:rFonts w:hint="cs"/>
          <w:rtl/>
        </w:rPr>
        <w:t>13-9</w:t>
      </w:r>
      <w:r>
        <w:rPr>
          <w:rFonts w:hint="cs"/>
          <w:rtl/>
        </w:rPr>
        <w:tab/>
        <w:t>ب</w:t>
      </w:r>
      <w:r w:rsidR="00867838">
        <w:rPr>
          <w:rFonts w:hint="cs"/>
          <w:rtl/>
        </w:rPr>
        <w:t>الإضافة إلى الإقراض، يوفر مصرف توفالو للتنمية مرفقاً للادخار حيث يجري تشجيع الناس على ادخار أموالهم الفائضة لأيام العسر. وقد أدخل نظام الادخار في بداية عام 2006، ويحصل المصرف على ردود فعل إيجابية من الجمهور. وهذه إشارة جيدة على أن المصرف يتوقع على الأجل الطويل أن يمول إقراضه من الإدخارات المحلية.</w:t>
      </w:r>
    </w:p>
    <w:p w:rsidR="00867838" w:rsidRDefault="00660631" w:rsidP="006606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Pr>
      </w:pPr>
      <w:r>
        <w:rPr>
          <w:rFonts w:hint="cs"/>
          <w:rtl/>
        </w:rPr>
        <w:tab/>
        <w:t>•</w:t>
      </w:r>
      <w:r>
        <w:rPr>
          <w:rFonts w:hint="cs"/>
          <w:rtl/>
        </w:rPr>
        <w:tab/>
      </w:r>
      <w:r w:rsidR="00867838">
        <w:rPr>
          <w:rFonts w:hint="cs"/>
          <w:rtl/>
        </w:rPr>
        <w:t>يلخص الجدول أدناه حافظة الإدخارات في المصرف.</w:t>
      </w:r>
    </w:p>
    <w:p w:rsidR="00867838" w:rsidRDefault="00867838" w:rsidP="00867838">
      <w:pPr>
        <w:rPr>
          <w:rFonts w:hint="cs"/>
          <w:sz w:val="32"/>
          <w:szCs w:val="32"/>
          <w:rtl/>
        </w:rPr>
      </w:pPr>
    </w:p>
    <w:p w:rsidR="00867838" w:rsidRPr="009A1EBB" w:rsidRDefault="00867838" w:rsidP="00867838">
      <w:pPr>
        <w:jc w:val="center"/>
        <w:rPr>
          <w:rFonts w:hint="cs"/>
          <w:b/>
          <w:bCs/>
          <w:sz w:val="32"/>
          <w:szCs w:val="32"/>
          <w:rtl/>
        </w:rPr>
      </w:pPr>
      <w:r w:rsidRPr="009A1EBB">
        <w:rPr>
          <w:rFonts w:hint="cs"/>
          <w:b/>
          <w:bCs/>
          <w:sz w:val="32"/>
          <w:szCs w:val="32"/>
          <w:rtl/>
        </w:rPr>
        <w:t>الجدول 33: ملخص حافظة الإدخارات</w:t>
      </w:r>
      <w:r>
        <w:rPr>
          <w:rFonts w:hint="cs"/>
          <w:b/>
          <w:bCs/>
          <w:sz w:val="32"/>
          <w:szCs w:val="32"/>
          <w:rtl/>
        </w:rPr>
        <w:t>، عام 2005</w:t>
      </w:r>
      <w:r w:rsidRPr="009A1EBB">
        <w:rPr>
          <w:rFonts w:hint="cs"/>
          <w:b/>
          <w:bCs/>
          <w:sz w:val="32"/>
          <w:szCs w:val="32"/>
          <w:rtl/>
        </w:rPr>
        <w:t xml:space="preserve"> </w:t>
      </w:r>
    </w:p>
    <w:tbl>
      <w:tblPr>
        <w:tblStyle w:val="TableGrid"/>
        <w:bidiVisual/>
        <w:tblW w:w="9850" w:type="dxa"/>
        <w:jc w:val="center"/>
        <w:tblLook w:val="01E0" w:firstRow="1" w:lastRow="1" w:firstColumn="1" w:lastColumn="1" w:noHBand="0" w:noVBand="0"/>
      </w:tblPr>
      <w:tblGrid>
        <w:gridCol w:w="545"/>
        <w:gridCol w:w="873"/>
        <w:gridCol w:w="939"/>
        <w:gridCol w:w="1319"/>
        <w:gridCol w:w="546"/>
        <w:gridCol w:w="969"/>
        <w:gridCol w:w="546"/>
        <w:gridCol w:w="969"/>
        <w:gridCol w:w="546"/>
        <w:gridCol w:w="969"/>
        <w:gridCol w:w="546"/>
        <w:gridCol w:w="1083"/>
      </w:tblGrid>
      <w:tr w:rsidR="00867838" w:rsidRPr="00660631">
        <w:trPr>
          <w:jc w:val="center"/>
        </w:trPr>
        <w:tc>
          <w:tcPr>
            <w:tcW w:w="1476" w:type="dxa"/>
            <w:gridSpan w:val="2"/>
          </w:tcPr>
          <w:p w:rsidR="00867838" w:rsidRPr="00660631" w:rsidRDefault="00867838" w:rsidP="00660631">
            <w:pPr>
              <w:spacing w:line="260" w:lineRule="exact"/>
              <w:jc w:val="center"/>
              <w:rPr>
                <w:rFonts w:cs="Traditional Arabic" w:hint="cs"/>
                <w:i/>
                <w:iCs/>
                <w:sz w:val="22"/>
                <w:szCs w:val="22"/>
                <w:rtl/>
              </w:rPr>
            </w:pPr>
            <w:r w:rsidRPr="00660631">
              <w:rPr>
                <w:rFonts w:cs="Traditional Arabic" w:hint="cs"/>
                <w:i/>
                <w:iCs/>
                <w:sz w:val="22"/>
                <w:szCs w:val="22"/>
                <w:rtl/>
              </w:rPr>
              <w:t>حسابات مشتركة</w:t>
            </w:r>
          </w:p>
        </w:tc>
        <w:tc>
          <w:tcPr>
            <w:tcW w:w="1872" w:type="dxa"/>
            <w:gridSpan w:val="2"/>
          </w:tcPr>
          <w:p w:rsidR="00867838" w:rsidRPr="00660631" w:rsidRDefault="00867838" w:rsidP="00660631">
            <w:pPr>
              <w:spacing w:line="260" w:lineRule="exact"/>
              <w:jc w:val="left"/>
              <w:rPr>
                <w:rFonts w:cs="Traditional Arabic" w:hint="cs"/>
                <w:i/>
                <w:iCs/>
                <w:sz w:val="22"/>
                <w:szCs w:val="22"/>
                <w:rtl/>
              </w:rPr>
            </w:pPr>
            <w:r w:rsidRPr="00660631">
              <w:rPr>
                <w:rFonts w:cs="Traditional Arabic" w:hint="cs"/>
                <w:i/>
                <w:iCs/>
                <w:sz w:val="22"/>
                <w:szCs w:val="22"/>
                <w:rtl/>
              </w:rPr>
              <w:t>حسابات الأعمال التجارية</w:t>
            </w:r>
          </w:p>
        </w:tc>
        <w:tc>
          <w:tcPr>
            <w:tcW w:w="1476" w:type="dxa"/>
            <w:gridSpan w:val="2"/>
          </w:tcPr>
          <w:p w:rsidR="00867838" w:rsidRPr="00660631" w:rsidRDefault="00867838" w:rsidP="00660631">
            <w:pPr>
              <w:spacing w:line="260" w:lineRule="exact"/>
              <w:jc w:val="center"/>
              <w:rPr>
                <w:rFonts w:cs="Traditional Arabic" w:hint="cs"/>
                <w:i/>
                <w:iCs/>
                <w:sz w:val="22"/>
                <w:szCs w:val="22"/>
                <w:rtl/>
              </w:rPr>
            </w:pPr>
            <w:r w:rsidRPr="00660631">
              <w:rPr>
                <w:rFonts w:cs="Traditional Arabic" w:hint="cs"/>
                <w:i/>
                <w:iCs/>
                <w:sz w:val="22"/>
                <w:szCs w:val="22"/>
                <w:rtl/>
              </w:rPr>
              <w:t>حسابات الذكور</w:t>
            </w:r>
          </w:p>
        </w:tc>
        <w:tc>
          <w:tcPr>
            <w:tcW w:w="1476" w:type="dxa"/>
            <w:gridSpan w:val="2"/>
          </w:tcPr>
          <w:p w:rsidR="00867838" w:rsidRPr="00660631" w:rsidRDefault="00867838" w:rsidP="00660631">
            <w:pPr>
              <w:spacing w:line="260" w:lineRule="exact"/>
              <w:jc w:val="center"/>
              <w:rPr>
                <w:rFonts w:cs="Traditional Arabic" w:hint="cs"/>
                <w:i/>
                <w:iCs/>
                <w:sz w:val="22"/>
                <w:szCs w:val="22"/>
                <w:rtl/>
              </w:rPr>
            </w:pPr>
            <w:r w:rsidRPr="00660631">
              <w:rPr>
                <w:rFonts w:cs="Traditional Arabic" w:hint="cs"/>
                <w:i/>
                <w:iCs/>
                <w:sz w:val="22"/>
                <w:szCs w:val="22"/>
                <w:rtl/>
              </w:rPr>
              <w:t>حسابات الإناث</w:t>
            </w:r>
          </w:p>
        </w:tc>
        <w:tc>
          <w:tcPr>
            <w:tcW w:w="1476" w:type="dxa"/>
            <w:gridSpan w:val="2"/>
          </w:tcPr>
          <w:p w:rsidR="00867838" w:rsidRPr="00660631" w:rsidRDefault="00867838" w:rsidP="00660631">
            <w:pPr>
              <w:spacing w:line="260" w:lineRule="exact"/>
              <w:jc w:val="center"/>
              <w:rPr>
                <w:rFonts w:cs="Traditional Arabic" w:hint="cs"/>
                <w:i/>
                <w:iCs/>
                <w:sz w:val="22"/>
                <w:szCs w:val="22"/>
                <w:rtl/>
              </w:rPr>
            </w:pPr>
            <w:r w:rsidRPr="00660631">
              <w:rPr>
                <w:rFonts w:cs="Traditional Arabic" w:hint="cs"/>
                <w:i/>
                <w:iCs/>
                <w:sz w:val="22"/>
                <w:szCs w:val="22"/>
                <w:rtl/>
              </w:rPr>
              <w:t>حسابات الاستئمان</w:t>
            </w:r>
          </w:p>
        </w:tc>
        <w:tc>
          <w:tcPr>
            <w:tcW w:w="1476" w:type="dxa"/>
            <w:gridSpan w:val="2"/>
          </w:tcPr>
          <w:p w:rsidR="00867838" w:rsidRPr="00660631" w:rsidRDefault="00867838" w:rsidP="00660631">
            <w:pPr>
              <w:spacing w:line="260" w:lineRule="exact"/>
              <w:jc w:val="center"/>
              <w:rPr>
                <w:rFonts w:cs="Traditional Arabic" w:hint="cs"/>
                <w:i/>
                <w:iCs/>
                <w:sz w:val="22"/>
                <w:szCs w:val="22"/>
                <w:rtl/>
              </w:rPr>
            </w:pPr>
            <w:r w:rsidRPr="00660631">
              <w:rPr>
                <w:rFonts w:cs="Traditional Arabic" w:hint="cs"/>
                <w:i/>
                <w:iCs/>
                <w:sz w:val="22"/>
                <w:szCs w:val="22"/>
                <w:rtl/>
              </w:rPr>
              <w:t>المجموع</w:t>
            </w:r>
          </w:p>
        </w:tc>
      </w:tr>
      <w:tr w:rsidR="00867838" w:rsidRPr="00660631">
        <w:trPr>
          <w:jc w:val="center"/>
        </w:trPr>
        <w:tc>
          <w:tcPr>
            <w:tcW w:w="559"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العدد</w:t>
            </w:r>
          </w:p>
        </w:tc>
        <w:tc>
          <w:tcPr>
            <w:tcW w:w="917"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القيمة</w:t>
            </w:r>
          </w:p>
        </w:tc>
        <w:tc>
          <w:tcPr>
            <w:tcW w:w="1872"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العدد</w:t>
            </w:r>
          </w:p>
        </w:tc>
        <w:tc>
          <w:tcPr>
            <w:tcW w:w="1872"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القيمة</w:t>
            </w:r>
          </w:p>
        </w:tc>
        <w:tc>
          <w:tcPr>
            <w:tcW w:w="559"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العدد</w:t>
            </w:r>
          </w:p>
        </w:tc>
        <w:tc>
          <w:tcPr>
            <w:tcW w:w="917"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القيمة</w:t>
            </w:r>
          </w:p>
        </w:tc>
        <w:tc>
          <w:tcPr>
            <w:tcW w:w="559"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العدد</w:t>
            </w:r>
          </w:p>
        </w:tc>
        <w:tc>
          <w:tcPr>
            <w:tcW w:w="917"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القيمة</w:t>
            </w:r>
          </w:p>
        </w:tc>
        <w:tc>
          <w:tcPr>
            <w:tcW w:w="559"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العدد</w:t>
            </w:r>
          </w:p>
        </w:tc>
        <w:tc>
          <w:tcPr>
            <w:tcW w:w="917"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القيمة</w:t>
            </w:r>
          </w:p>
        </w:tc>
        <w:tc>
          <w:tcPr>
            <w:tcW w:w="559"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العدد</w:t>
            </w:r>
          </w:p>
        </w:tc>
        <w:tc>
          <w:tcPr>
            <w:tcW w:w="917" w:type="dxa"/>
          </w:tcPr>
          <w:p w:rsidR="00867838" w:rsidRPr="00660631" w:rsidRDefault="00867838" w:rsidP="00867838">
            <w:pPr>
              <w:jc w:val="center"/>
              <w:rPr>
                <w:rFonts w:cs="Traditional Arabic" w:hint="cs"/>
                <w:i/>
                <w:iCs/>
                <w:sz w:val="24"/>
                <w:szCs w:val="24"/>
                <w:rtl/>
              </w:rPr>
            </w:pPr>
            <w:r w:rsidRPr="00660631">
              <w:rPr>
                <w:rFonts w:cs="Traditional Arabic" w:hint="cs"/>
                <w:i/>
                <w:iCs/>
                <w:sz w:val="24"/>
                <w:szCs w:val="24"/>
                <w:rtl/>
              </w:rPr>
              <w:t>القيمة</w:t>
            </w:r>
          </w:p>
        </w:tc>
      </w:tr>
      <w:tr w:rsidR="00867838" w:rsidRPr="00660631">
        <w:trPr>
          <w:jc w:val="center"/>
        </w:trPr>
        <w:tc>
          <w:tcPr>
            <w:tcW w:w="559" w:type="dxa"/>
          </w:tcPr>
          <w:p w:rsidR="00867838" w:rsidRPr="00660631" w:rsidRDefault="00867838" w:rsidP="00867838">
            <w:pPr>
              <w:rPr>
                <w:rFonts w:cs="Traditional Arabic" w:hint="cs"/>
                <w:sz w:val="24"/>
                <w:szCs w:val="24"/>
                <w:rtl/>
              </w:rPr>
            </w:pPr>
            <w:r w:rsidRPr="00660631">
              <w:rPr>
                <w:rFonts w:cs="Traditional Arabic" w:hint="cs"/>
                <w:sz w:val="24"/>
                <w:szCs w:val="24"/>
                <w:rtl/>
              </w:rPr>
              <w:t>3</w:t>
            </w:r>
          </w:p>
        </w:tc>
        <w:tc>
          <w:tcPr>
            <w:tcW w:w="917" w:type="dxa"/>
          </w:tcPr>
          <w:p w:rsidR="00867838" w:rsidRPr="00660631" w:rsidRDefault="00867838" w:rsidP="00867838">
            <w:pPr>
              <w:rPr>
                <w:rFonts w:cs="Traditional Arabic" w:hint="cs"/>
                <w:sz w:val="24"/>
                <w:szCs w:val="24"/>
                <w:rtl/>
              </w:rPr>
            </w:pPr>
            <w:r w:rsidRPr="00660631">
              <w:rPr>
                <w:rFonts w:cs="Traditional Arabic" w:hint="cs"/>
                <w:sz w:val="24"/>
                <w:szCs w:val="24"/>
                <w:rtl/>
              </w:rPr>
              <w:t>219.78</w:t>
            </w:r>
          </w:p>
        </w:tc>
        <w:tc>
          <w:tcPr>
            <w:tcW w:w="1872" w:type="dxa"/>
          </w:tcPr>
          <w:p w:rsidR="00867838" w:rsidRPr="00660631" w:rsidRDefault="00867838" w:rsidP="00867838">
            <w:pPr>
              <w:rPr>
                <w:rFonts w:cs="Traditional Arabic" w:hint="cs"/>
                <w:sz w:val="24"/>
                <w:szCs w:val="24"/>
                <w:rtl/>
              </w:rPr>
            </w:pPr>
            <w:r w:rsidRPr="00660631">
              <w:rPr>
                <w:rFonts w:cs="Traditional Arabic" w:hint="cs"/>
                <w:sz w:val="24"/>
                <w:szCs w:val="24"/>
                <w:rtl/>
              </w:rPr>
              <w:t>18</w:t>
            </w:r>
          </w:p>
        </w:tc>
        <w:tc>
          <w:tcPr>
            <w:tcW w:w="1872" w:type="dxa"/>
          </w:tcPr>
          <w:p w:rsidR="00867838" w:rsidRPr="00660631" w:rsidRDefault="00867838" w:rsidP="00867838">
            <w:pPr>
              <w:rPr>
                <w:rFonts w:cs="Traditional Arabic" w:hint="cs"/>
                <w:sz w:val="24"/>
                <w:szCs w:val="24"/>
                <w:rtl/>
              </w:rPr>
            </w:pPr>
            <w:r w:rsidRPr="00660631">
              <w:rPr>
                <w:rFonts w:cs="Traditional Arabic" w:hint="cs"/>
                <w:sz w:val="24"/>
                <w:szCs w:val="24"/>
                <w:rtl/>
              </w:rPr>
              <w:t>63571.75</w:t>
            </w:r>
          </w:p>
        </w:tc>
        <w:tc>
          <w:tcPr>
            <w:tcW w:w="559" w:type="dxa"/>
          </w:tcPr>
          <w:p w:rsidR="00867838" w:rsidRPr="00660631" w:rsidRDefault="00867838" w:rsidP="00867838">
            <w:pPr>
              <w:rPr>
                <w:rFonts w:cs="Traditional Arabic" w:hint="cs"/>
                <w:sz w:val="24"/>
                <w:szCs w:val="24"/>
                <w:rtl/>
              </w:rPr>
            </w:pPr>
            <w:r w:rsidRPr="00660631">
              <w:rPr>
                <w:rFonts w:cs="Traditional Arabic" w:hint="cs"/>
                <w:sz w:val="24"/>
                <w:szCs w:val="24"/>
                <w:rtl/>
              </w:rPr>
              <w:t>31</w:t>
            </w:r>
          </w:p>
        </w:tc>
        <w:tc>
          <w:tcPr>
            <w:tcW w:w="917" w:type="dxa"/>
          </w:tcPr>
          <w:p w:rsidR="00867838" w:rsidRPr="00660631" w:rsidRDefault="00867838" w:rsidP="00867838">
            <w:pPr>
              <w:rPr>
                <w:rFonts w:cs="Traditional Arabic" w:hint="cs"/>
                <w:sz w:val="24"/>
                <w:szCs w:val="24"/>
                <w:rtl/>
              </w:rPr>
            </w:pPr>
            <w:r w:rsidRPr="00660631">
              <w:rPr>
                <w:rFonts w:cs="Traditional Arabic" w:hint="cs"/>
                <w:sz w:val="24"/>
                <w:szCs w:val="24"/>
                <w:rtl/>
              </w:rPr>
              <w:t>8416.07</w:t>
            </w:r>
          </w:p>
        </w:tc>
        <w:tc>
          <w:tcPr>
            <w:tcW w:w="559" w:type="dxa"/>
          </w:tcPr>
          <w:p w:rsidR="00867838" w:rsidRPr="00660631" w:rsidRDefault="00867838" w:rsidP="00867838">
            <w:pPr>
              <w:rPr>
                <w:rFonts w:cs="Traditional Arabic" w:hint="cs"/>
                <w:sz w:val="24"/>
                <w:szCs w:val="24"/>
                <w:rtl/>
              </w:rPr>
            </w:pPr>
            <w:r w:rsidRPr="00660631">
              <w:rPr>
                <w:rFonts w:cs="Traditional Arabic" w:hint="cs"/>
                <w:sz w:val="24"/>
                <w:szCs w:val="24"/>
                <w:rtl/>
              </w:rPr>
              <w:t>24</w:t>
            </w:r>
          </w:p>
        </w:tc>
        <w:tc>
          <w:tcPr>
            <w:tcW w:w="917" w:type="dxa"/>
          </w:tcPr>
          <w:p w:rsidR="00867838" w:rsidRPr="00660631" w:rsidRDefault="00867838" w:rsidP="00867838">
            <w:pPr>
              <w:rPr>
                <w:rFonts w:cs="Traditional Arabic" w:hint="cs"/>
                <w:sz w:val="24"/>
                <w:szCs w:val="24"/>
                <w:rtl/>
              </w:rPr>
            </w:pPr>
            <w:r w:rsidRPr="00660631">
              <w:rPr>
                <w:rFonts w:cs="Traditional Arabic" w:hint="cs"/>
                <w:sz w:val="24"/>
                <w:szCs w:val="24"/>
                <w:rtl/>
              </w:rPr>
              <w:t>5754.19</w:t>
            </w:r>
          </w:p>
        </w:tc>
        <w:tc>
          <w:tcPr>
            <w:tcW w:w="559" w:type="dxa"/>
          </w:tcPr>
          <w:p w:rsidR="00867838" w:rsidRPr="00660631" w:rsidRDefault="00867838" w:rsidP="00867838">
            <w:pPr>
              <w:rPr>
                <w:rFonts w:cs="Traditional Arabic" w:hint="cs"/>
                <w:sz w:val="24"/>
                <w:szCs w:val="24"/>
                <w:rtl/>
              </w:rPr>
            </w:pPr>
            <w:r w:rsidRPr="00660631">
              <w:rPr>
                <w:rFonts w:cs="Traditional Arabic" w:hint="cs"/>
                <w:sz w:val="24"/>
                <w:szCs w:val="24"/>
                <w:rtl/>
              </w:rPr>
              <w:t>20</w:t>
            </w:r>
          </w:p>
        </w:tc>
        <w:tc>
          <w:tcPr>
            <w:tcW w:w="917" w:type="dxa"/>
          </w:tcPr>
          <w:p w:rsidR="00867838" w:rsidRPr="00660631" w:rsidRDefault="00867838" w:rsidP="00867838">
            <w:pPr>
              <w:rPr>
                <w:rFonts w:cs="Traditional Arabic" w:hint="cs"/>
                <w:sz w:val="24"/>
                <w:szCs w:val="24"/>
                <w:rtl/>
              </w:rPr>
            </w:pPr>
            <w:r w:rsidRPr="00660631">
              <w:rPr>
                <w:rFonts w:cs="Traditional Arabic" w:hint="cs"/>
                <w:sz w:val="24"/>
                <w:szCs w:val="24"/>
                <w:rtl/>
              </w:rPr>
              <w:t>1081.73</w:t>
            </w:r>
          </w:p>
        </w:tc>
        <w:tc>
          <w:tcPr>
            <w:tcW w:w="559" w:type="dxa"/>
          </w:tcPr>
          <w:p w:rsidR="00867838" w:rsidRPr="00660631" w:rsidRDefault="00867838" w:rsidP="00867838">
            <w:pPr>
              <w:rPr>
                <w:rFonts w:cs="Traditional Arabic" w:hint="cs"/>
                <w:sz w:val="24"/>
                <w:szCs w:val="24"/>
                <w:rtl/>
              </w:rPr>
            </w:pPr>
            <w:r w:rsidRPr="00660631">
              <w:rPr>
                <w:rFonts w:cs="Traditional Arabic" w:hint="cs"/>
                <w:sz w:val="24"/>
                <w:szCs w:val="24"/>
                <w:rtl/>
              </w:rPr>
              <w:t>96</w:t>
            </w:r>
          </w:p>
        </w:tc>
        <w:tc>
          <w:tcPr>
            <w:tcW w:w="917" w:type="dxa"/>
          </w:tcPr>
          <w:p w:rsidR="00867838" w:rsidRPr="00660631" w:rsidRDefault="00867838" w:rsidP="00867838">
            <w:pPr>
              <w:rPr>
                <w:rFonts w:cs="Traditional Arabic" w:hint="cs"/>
                <w:sz w:val="24"/>
                <w:szCs w:val="24"/>
                <w:rtl/>
              </w:rPr>
            </w:pPr>
            <w:r w:rsidRPr="00660631">
              <w:rPr>
                <w:rFonts w:cs="Traditional Arabic" w:hint="cs"/>
                <w:sz w:val="24"/>
                <w:szCs w:val="24"/>
                <w:rtl/>
              </w:rPr>
              <w:t>79043.52</w:t>
            </w:r>
          </w:p>
        </w:tc>
      </w:tr>
    </w:tbl>
    <w:p w:rsidR="00867838" w:rsidRPr="00660631" w:rsidRDefault="00660631" w:rsidP="00867838">
      <w:pPr>
        <w:rPr>
          <w:rFonts w:hint="cs"/>
          <w:sz w:val="26"/>
          <w:szCs w:val="26"/>
          <w:rtl/>
        </w:rPr>
      </w:pPr>
      <w:r>
        <w:rPr>
          <w:rFonts w:hint="cs"/>
          <w:sz w:val="28"/>
          <w:szCs w:val="28"/>
          <w:rtl/>
        </w:rPr>
        <w:tab/>
      </w:r>
      <w:r w:rsidR="00867838" w:rsidRPr="00660631">
        <w:rPr>
          <w:rFonts w:hint="cs"/>
          <w:sz w:val="26"/>
          <w:szCs w:val="26"/>
          <w:rtl/>
        </w:rPr>
        <w:t>المصدر: تقرير مصرف توفالو للتنمية، عام 2005.</w:t>
      </w:r>
    </w:p>
    <w:p w:rsidR="00660631" w:rsidRPr="00660631" w:rsidRDefault="00660631" w:rsidP="00660631">
      <w:pPr>
        <w:pStyle w:val="SingleTxt"/>
        <w:spacing w:after="0" w:line="120" w:lineRule="exact"/>
        <w:rPr>
          <w:rFonts w:hint="cs"/>
          <w:sz w:val="10"/>
          <w:rtl/>
        </w:rPr>
      </w:pPr>
    </w:p>
    <w:p w:rsidR="00660631" w:rsidRPr="00660631" w:rsidRDefault="00660631" w:rsidP="00660631">
      <w:pPr>
        <w:pStyle w:val="SingleTxt"/>
        <w:spacing w:after="0" w:line="120" w:lineRule="exact"/>
        <w:rPr>
          <w:rFonts w:hint="cs"/>
          <w:sz w:val="10"/>
          <w:rtl/>
        </w:rPr>
      </w:pPr>
    </w:p>
    <w:p w:rsidR="00867838" w:rsidRDefault="00867838" w:rsidP="00660631">
      <w:pPr>
        <w:pStyle w:val="SingleTxt"/>
        <w:rPr>
          <w:rFonts w:hint="cs"/>
          <w:rtl/>
        </w:rPr>
      </w:pPr>
      <w:r>
        <w:rPr>
          <w:rFonts w:hint="cs"/>
          <w:rtl/>
        </w:rPr>
        <w:tab/>
        <w:t>حوالي 21 في المائة من مجموع عدد حسابات الادخار حسابات استئمان. وهذه الحسابات لقصَّر تقل أعمارهم عن 12 عاماً، ومن المفاجئ أن جميع هذه الحسابات فتحتها أمهاتهم. من الواضح أن الإناث يقمن بدور حاسم في توفير الأموال من أجل حرية أطفالهم مالياً في المستقبل.</w:t>
      </w:r>
    </w:p>
    <w:p w:rsidR="00867838" w:rsidRDefault="00660631" w:rsidP="00660631">
      <w:pPr>
        <w:pStyle w:val="SingleTxt"/>
        <w:rPr>
          <w:rFonts w:hint="cs"/>
          <w:rtl/>
        </w:rPr>
      </w:pPr>
      <w:r>
        <w:rPr>
          <w:rFonts w:hint="cs"/>
          <w:rtl/>
        </w:rPr>
        <w:t>13-10  ا</w:t>
      </w:r>
      <w:r w:rsidR="00867838">
        <w:rPr>
          <w:rFonts w:hint="cs"/>
          <w:rtl/>
        </w:rPr>
        <w:t>لعائق الواضح الوحيد الذي يعوق مشاركة المرأة يتعلق بصورة رئيسية بنظام الفالي كابيول في توفالو. ففي العادة، يسمح للمرأة أن تشغل مقاعد معينة في الفالي كابيول ولكن لا يتوقع منها أن تشارك أو تسهم في اجتماعاته. إلا أنه يبدو أن هذه العادة الثقافية آخذة في التغير بعد سن قانون الفالي كابيول، الذي يمنح المرأة مزيداً من الحرية الثقافية، لا سيما في محيط الفالي كابيول. ولا توجد عوائق قانونية واجتماعية واقتصادية معروفة.</w:t>
      </w:r>
    </w:p>
    <w:p w:rsidR="00867838" w:rsidRDefault="00660631" w:rsidP="00084D51">
      <w:pPr>
        <w:pStyle w:val="SingleTxt"/>
        <w:rPr>
          <w:rFonts w:hint="cs"/>
          <w:rtl/>
        </w:rPr>
      </w:pPr>
      <w:r>
        <w:rPr>
          <w:rFonts w:hint="cs"/>
          <w:rtl/>
        </w:rPr>
        <w:t xml:space="preserve">13-11  </w:t>
      </w:r>
      <w:r w:rsidR="00867838">
        <w:rPr>
          <w:rFonts w:hint="cs"/>
          <w:rtl/>
        </w:rPr>
        <w:t xml:space="preserve">يوجد قلق من الفقر في مجتمع توفالو، مع خشية أن تكون المرأة هي الضحية بسبب أدوارها التقليدية. ولا يعترف معظم التوفاليين بما تعنيه كلمة </w:t>
      </w:r>
      <w:r w:rsidR="00084D51">
        <w:rPr>
          <w:rFonts w:hint="eastAsia"/>
          <w:rtl/>
        </w:rPr>
        <w:t>”</w:t>
      </w:r>
      <w:r w:rsidR="00867838">
        <w:rPr>
          <w:rFonts w:hint="cs"/>
          <w:rtl/>
        </w:rPr>
        <w:t>فقر</w:t>
      </w:r>
      <w:r w:rsidR="00084D51">
        <w:rPr>
          <w:rFonts w:hint="eastAsia"/>
          <w:rtl/>
        </w:rPr>
        <w:t>“</w:t>
      </w:r>
      <w:r w:rsidR="00867838">
        <w:rPr>
          <w:rFonts w:hint="cs"/>
          <w:rtl/>
        </w:rPr>
        <w:t xml:space="preserve"> لأن كل شخص في توفالو يملك أرضاً، والمفهوم التقليدي لمبدأ الرعاية والتقاسم لا يترك أي شخص يواجه الفقر المدقع. ويتعارض هذا المفهوم مع الدراسة الاستقصائية التي أجراها مصرف التنمية الآسيوي عن الفقر في توفالو في عام 2003، التي دلت على أن الفقر في توفالو بازدياد.</w:t>
      </w:r>
    </w:p>
    <w:p w:rsidR="00660631" w:rsidRPr="00660631" w:rsidRDefault="00660631" w:rsidP="00660631">
      <w:pPr>
        <w:pStyle w:val="SingleTxt"/>
        <w:spacing w:after="0" w:line="120" w:lineRule="exact"/>
        <w:rPr>
          <w:rFonts w:hint="cs"/>
          <w:sz w:val="10"/>
          <w:rtl/>
        </w:rPr>
      </w:pPr>
    </w:p>
    <w:p w:rsidR="00867838" w:rsidRDefault="00660631" w:rsidP="006606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67838" w:rsidRPr="00E20190">
        <w:rPr>
          <w:rFonts w:hint="cs"/>
          <w:rtl/>
        </w:rPr>
        <w:t>الرياضة</w:t>
      </w:r>
    </w:p>
    <w:p w:rsidR="00867838" w:rsidRDefault="00660631" w:rsidP="00660631">
      <w:pPr>
        <w:pStyle w:val="SingleTxt"/>
        <w:rPr>
          <w:rFonts w:hint="cs"/>
          <w:rtl/>
        </w:rPr>
      </w:pPr>
      <w:r>
        <w:rPr>
          <w:rFonts w:hint="cs"/>
          <w:rtl/>
        </w:rPr>
        <w:t xml:space="preserve">13-12  </w:t>
      </w:r>
      <w:r w:rsidR="00867838">
        <w:rPr>
          <w:rFonts w:hint="cs"/>
          <w:rtl/>
        </w:rPr>
        <w:t>تشجع المرأة على المشاركة في الرياضة، ولكن نظراً للطبيعة الجغرافية للجزيرة، لا تمارس  سوى أنواع مختارة من الرياضة. وقد مُثلت توفالو في الألعاب الإقليمية لمنطقة جنوب الهادئ وألعاب الكومنولث. ونائبة رئيس جمعية الرياضيين الهواة في توفالو هي السيدة آسيتا مولوتي. وقد مثلت السيدة مولوتي توفالو في اجتماع مسؤولي ألعاب الكومنولث المعقود في ملبورن، أستراليا، في عام 2005.</w:t>
      </w:r>
    </w:p>
    <w:p w:rsidR="00660631" w:rsidRPr="00660631" w:rsidRDefault="00660631" w:rsidP="00660631">
      <w:pPr>
        <w:pStyle w:val="SingleTxt"/>
        <w:spacing w:after="0" w:line="120" w:lineRule="exact"/>
        <w:rPr>
          <w:rFonts w:hint="cs"/>
          <w:sz w:val="10"/>
          <w:rtl/>
        </w:rPr>
      </w:pPr>
    </w:p>
    <w:p w:rsidR="00867838" w:rsidRDefault="00660631" w:rsidP="006606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867838" w:rsidRPr="00E20190">
        <w:rPr>
          <w:rFonts w:hint="cs"/>
          <w:rtl/>
        </w:rPr>
        <w:t>المشاركة في الحياة الثقافية</w:t>
      </w:r>
    </w:p>
    <w:p w:rsidR="00867838" w:rsidRDefault="00660631" w:rsidP="00660631">
      <w:pPr>
        <w:pStyle w:val="SingleTxt"/>
        <w:rPr>
          <w:rFonts w:hint="cs"/>
          <w:rtl/>
        </w:rPr>
      </w:pPr>
      <w:r>
        <w:rPr>
          <w:rFonts w:hint="cs"/>
          <w:rtl/>
        </w:rPr>
        <w:t xml:space="preserve">13-13  </w:t>
      </w:r>
      <w:r w:rsidR="00867838">
        <w:rPr>
          <w:rFonts w:hint="cs"/>
          <w:rtl/>
        </w:rPr>
        <w:t>يهتم التوفاليون كثيراً بثقافتهم وتقاليدهم. وتقوم المرأة بدور بارز في الحفاظ على هذه القيم والتقاليد، حيث تعتبر المرأة قيّمة على قيم وثقافة توفالو. وتملك المرأة ثروة من المعرفة التقليدية والرقصات والحرف اليدوية التي تمررها إلى بناتها وإلى الشابات والفتيات. وتشكل الحرف اليدوية، مثل عمل الحصر وتنانير الرقص التقليدية والقلادات المصنوعة من الأصداف جزءاً لا يتجزأ من الحياة الاجتماعية، لا سيما بالنسبة للفتيات والشابات. وبيع هذه المصنوعات اليدوية أصبح مصدر دخل للمرأة في الريف، وفي العاصمة. وتشارك النساء والفتيات بنشاط في الأنشطة الثقافية، على صعيد الأسرة والمجتمع المحلي وعلى صعيد الأمة بأسرها. ولا توجد قيود على مشاركة المرأة وإسهامها في الحياة الثقافية.</w:t>
      </w:r>
    </w:p>
    <w:p w:rsidR="00660631" w:rsidRPr="00660631" w:rsidRDefault="00660631" w:rsidP="00660631">
      <w:pPr>
        <w:pStyle w:val="SingleTxt"/>
        <w:spacing w:after="0" w:line="120" w:lineRule="exact"/>
        <w:rPr>
          <w:rFonts w:hint="cs"/>
          <w:sz w:val="10"/>
          <w:rtl/>
        </w:rPr>
      </w:pPr>
    </w:p>
    <w:p w:rsidR="00867838" w:rsidRDefault="00660631" w:rsidP="0066063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r>
      <w:r w:rsidR="00867838" w:rsidRPr="00AA0F12">
        <w:rPr>
          <w:rFonts w:hint="cs"/>
          <w:rtl/>
        </w:rPr>
        <w:t xml:space="preserve">المادة 14 </w:t>
      </w:r>
    </w:p>
    <w:tbl>
      <w:tblPr>
        <w:tblStyle w:val="TableGrid"/>
        <w:bidiVisual/>
        <w:tblW w:w="9835" w:type="dxa"/>
        <w:jc w:val="center"/>
        <w:tblLook w:val="01E0" w:firstRow="1" w:lastRow="1" w:firstColumn="1" w:lastColumn="1" w:noHBand="0" w:noVBand="0"/>
      </w:tblPr>
      <w:tblGrid>
        <w:gridCol w:w="9835"/>
      </w:tblGrid>
      <w:tr w:rsidR="00867838" w:rsidRPr="00660631">
        <w:trPr>
          <w:jc w:val="center"/>
        </w:trPr>
        <w:tc>
          <w:tcPr>
            <w:tcW w:w="9835" w:type="dxa"/>
          </w:tcPr>
          <w:p w:rsidR="00867838" w:rsidRPr="00660631" w:rsidRDefault="00867838" w:rsidP="00660631">
            <w:pPr>
              <w:pStyle w:val="SingleTxt"/>
              <w:rPr>
                <w:rFonts w:cs="Traditional Arabic" w:hint="cs"/>
                <w:rtl/>
              </w:rPr>
            </w:pPr>
            <w:r w:rsidRPr="00660631">
              <w:rPr>
                <w:rFonts w:cs="Traditional Arabic" w:hint="cs"/>
                <w:rtl/>
              </w:rPr>
              <w:t>1</w:t>
            </w:r>
            <w:r w:rsidR="00660631">
              <w:rPr>
                <w:rFonts w:cs="Traditional Arabic" w:hint="cs"/>
                <w:rtl/>
              </w:rPr>
              <w:t xml:space="preserve"> </w:t>
            </w:r>
            <w:r w:rsidRPr="00660631">
              <w:rPr>
                <w:rFonts w:cs="Traditional Arabic" w:hint="cs"/>
                <w:rtl/>
              </w:rPr>
              <w:t>-</w:t>
            </w:r>
            <w:r w:rsidRPr="00660631">
              <w:rPr>
                <w:rFonts w:cs="Traditional Arabic" w:hint="cs"/>
                <w:rtl/>
              </w:rPr>
              <w:tab/>
              <w:t>تضع الدول الأطراف في اعتبارها المشاكل الخاصة التي تواجهها المرأة الريفية، والأدوار الهامة التي تؤديها في تأمين أسباب البقاء اقتصادياً لأسرتها، بما في ذلك عملها في قطاعات الاقتصاد غير النقدية، وتتخذ جميع التدابير المناسبة لضمان تطبيق أحكام هذه الاتفاقية على المرأة في المناطق الريفية.</w:t>
            </w:r>
          </w:p>
          <w:p w:rsidR="00867838" w:rsidRPr="00660631" w:rsidRDefault="00867838" w:rsidP="00660631">
            <w:pPr>
              <w:pStyle w:val="SingleTxt"/>
              <w:rPr>
                <w:rFonts w:cs="Traditional Arabic" w:hint="cs"/>
                <w:rtl/>
              </w:rPr>
            </w:pPr>
            <w:r w:rsidRPr="00660631">
              <w:rPr>
                <w:rFonts w:cs="Traditional Arabic" w:hint="cs"/>
                <w:rtl/>
              </w:rPr>
              <w:t>2</w:t>
            </w:r>
            <w:r w:rsidR="00660631">
              <w:rPr>
                <w:rFonts w:cs="Traditional Arabic" w:hint="cs"/>
                <w:rtl/>
              </w:rPr>
              <w:t xml:space="preserve"> </w:t>
            </w:r>
            <w:r w:rsidRPr="00660631">
              <w:rPr>
                <w:rFonts w:cs="Traditional Arabic" w:hint="cs"/>
                <w:rtl/>
              </w:rPr>
              <w:t>-</w:t>
            </w:r>
            <w:r w:rsidRPr="00660631">
              <w:rPr>
                <w:rFonts w:cs="Traditional Arabic" w:hint="cs"/>
                <w:rtl/>
              </w:rPr>
              <w:tab/>
              <w:t>تتخذ الدول الأطراف جميع التدابير المناسبة للقضاء على التمييز ضد المرأة في المناطق الريفية لكي تكفل لها، على أساس التساوي مع الرجل، المشاركة في التنمية الريفية للاستفادة منها، وتكفل للمرأة بوجه خاص الحق في:</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(أ)</w:t>
            </w:r>
            <w:r w:rsidR="00867838" w:rsidRPr="00660631">
              <w:rPr>
                <w:rFonts w:cs="Traditional Arabic" w:hint="cs"/>
                <w:rtl/>
              </w:rPr>
              <w:tab/>
              <w:t>المشاركة في وضع وتنفيذ التخطيط الإنمائي على جميع المستويات؛</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(ب)</w:t>
            </w:r>
            <w:r w:rsidR="00867838" w:rsidRPr="00660631">
              <w:rPr>
                <w:rFonts w:cs="Traditional Arabic" w:hint="cs"/>
                <w:rtl/>
              </w:rPr>
              <w:tab/>
              <w:t>الوصول إلى مرافق العناية الصحية الملائمة، بما في ذلك المعلومات والنصح والخدمات المتعلقة بتنظيم الأسرة؛</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(ج)</w:t>
            </w:r>
            <w:r w:rsidR="00867838" w:rsidRPr="00660631">
              <w:rPr>
                <w:rFonts w:cs="Traditional Arabic" w:hint="cs"/>
                <w:rtl/>
              </w:rPr>
              <w:tab/>
              <w:t>الاستفادة بصورة مباشرة من برامج الضمان الاجتماعي؛</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(د)</w:t>
            </w:r>
            <w:r w:rsidR="00867838" w:rsidRPr="00660631">
              <w:rPr>
                <w:rFonts w:cs="Traditional Arabic" w:hint="cs"/>
                <w:rtl/>
              </w:rPr>
              <w:tab/>
              <w:t>الحصول على جميع أنواع التدريب والتعليم، الرسمي وغير الرسمي، بما في ذلك ما يتصل منه بمحو الأمية الوظيفية، والحصول كذلك، في جملة أمور، على فوائد كافة الخدمات المجتمعة والإرشادية، وذلك لتحقق، زيادة كفاءتها التقنية؛</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(هـ)</w:t>
            </w:r>
            <w:r w:rsidR="00867838" w:rsidRPr="00660631">
              <w:rPr>
                <w:rFonts w:cs="Traditional Arabic" w:hint="cs"/>
                <w:rtl/>
              </w:rPr>
              <w:tab/>
              <w:t>تنظيم جماعات المساعدة الذاتية والتعاونيات من أجل الحصول على فرص اقتصادية متكافئة عن طريق العمل لدى الغير أو العمل لحسابها الخاص؛</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(و)</w:t>
            </w:r>
            <w:r w:rsidR="00867838" w:rsidRPr="00660631">
              <w:rPr>
                <w:rFonts w:cs="Traditional Arabic" w:hint="cs"/>
                <w:rtl/>
              </w:rPr>
              <w:tab/>
              <w:t>المشاركةفي جميع الأنشطة المجتمعية؛</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(ز)</w:t>
            </w:r>
            <w:r w:rsidR="00867838" w:rsidRPr="00660631">
              <w:rPr>
                <w:rFonts w:cs="Traditional Arabic" w:hint="cs"/>
                <w:rtl/>
              </w:rPr>
              <w:tab/>
              <w:t>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867838" w:rsidRPr="00660631" w:rsidRDefault="00660631" w:rsidP="00660631">
            <w:pPr>
              <w:pStyle w:val="SingleTxt"/>
              <w:rPr>
                <w:rFonts w:cs="Traditional Arabic" w:hint="cs"/>
                <w:rtl/>
              </w:rPr>
            </w:pPr>
            <w:r>
              <w:rPr>
                <w:rFonts w:cs="Traditional Arabic"/>
                <w:rtl/>
              </w:rPr>
              <w:tab/>
            </w:r>
            <w:r w:rsidR="00867838" w:rsidRPr="00660631">
              <w:rPr>
                <w:rFonts w:cs="Traditional Arabic" w:hint="cs"/>
                <w:rtl/>
              </w:rPr>
              <w:t>(ح)</w:t>
            </w:r>
            <w:r w:rsidR="00867838" w:rsidRPr="00660631">
              <w:rPr>
                <w:rFonts w:cs="Traditional Arabic" w:hint="cs"/>
                <w:rtl/>
              </w:rPr>
              <w:tab/>
              <w:t>التمتع بظروف معيشية ملائمة، ولا سيما فيما يتعلق بالإسكان والنظافة الصحية والإمداد بالكهرباء والماء، والنقل، والاتصالات.</w:t>
            </w:r>
          </w:p>
        </w:tc>
      </w:tr>
    </w:tbl>
    <w:p w:rsidR="009C35E0" w:rsidRDefault="009C35E0" w:rsidP="00EC6374">
      <w:pPr>
        <w:pStyle w:val="SingleTxt"/>
        <w:rPr>
          <w:rtl/>
        </w:rPr>
      </w:pPr>
    </w:p>
    <w:p w:rsidR="009C35E0" w:rsidRDefault="009C35E0" w:rsidP="009C35E0">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br w:type="page"/>
      </w:r>
      <w:r>
        <w:rPr>
          <w:rFonts w:hint="cs"/>
          <w:rtl/>
        </w:rPr>
        <w:tab/>
      </w:r>
      <w:r>
        <w:rPr>
          <w:rFonts w:hint="cs"/>
          <w:rtl/>
        </w:rPr>
        <w:tab/>
      </w:r>
      <w:r w:rsidRPr="00AA0F12">
        <w:rPr>
          <w:rFonts w:hint="cs"/>
          <w:rtl/>
        </w:rPr>
        <w:t>إطار السياسة العامة</w:t>
      </w:r>
    </w:p>
    <w:p w:rsidR="009C35E0" w:rsidRDefault="009C35E0" w:rsidP="00084D51">
      <w:pPr>
        <w:pStyle w:val="SingleTxt"/>
        <w:rPr>
          <w:rFonts w:hint="cs"/>
          <w:rtl/>
        </w:rPr>
      </w:pPr>
      <w:r>
        <w:rPr>
          <w:rFonts w:hint="cs"/>
          <w:rtl/>
        </w:rPr>
        <w:t>14-1</w:t>
      </w:r>
      <w:r>
        <w:rPr>
          <w:rFonts w:hint="cs"/>
          <w:rtl/>
        </w:rPr>
        <w:tab/>
      </w:r>
      <w:r>
        <w:rPr>
          <w:rFonts w:hint="cs"/>
          <w:b/>
          <w:bCs/>
          <w:rtl/>
        </w:rPr>
        <w:t xml:space="preserve">تشير </w:t>
      </w:r>
      <w:r w:rsidRPr="00290626">
        <w:rPr>
          <w:rFonts w:hint="cs"/>
          <w:rtl/>
        </w:rPr>
        <w:t xml:space="preserve">كلمة </w:t>
      </w:r>
      <w:r w:rsidR="00084D51">
        <w:rPr>
          <w:rFonts w:hint="eastAsia"/>
          <w:rtl/>
        </w:rPr>
        <w:t>”</w:t>
      </w:r>
      <w:r w:rsidR="00084D51">
        <w:rPr>
          <w:rFonts w:hint="cs"/>
          <w:rtl/>
        </w:rPr>
        <w:t>ريف</w:t>
      </w:r>
      <w:r w:rsidR="00084D51">
        <w:rPr>
          <w:rFonts w:hint="eastAsia"/>
          <w:rtl/>
        </w:rPr>
        <w:t>“</w:t>
      </w:r>
      <w:r w:rsidRPr="00290626">
        <w:rPr>
          <w:rFonts w:hint="cs"/>
          <w:rtl/>
        </w:rPr>
        <w:t xml:space="preserve"> بين التوفاليين إلى الجزر الخارجية.</w:t>
      </w:r>
      <w:r>
        <w:rPr>
          <w:rFonts w:hint="cs"/>
          <w:b/>
          <w:bCs/>
          <w:rtl/>
        </w:rPr>
        <w:t xml:space="preserve"> </w:t>
      </w:r>
      <w:r w:rsidRPr="00AA0F12">
        <w:rPr>
          <w:rFonts w:hint="cs"/>
          <w:rtl/>
        </w:rPr>
        <w:t>ويقيم حوالي 47 في المائة من مجموع</w:t>
      </w:r>
      <w:r>
        <w:rPr>
          <w:rFonts w:hint="cs"/>
          <w:rtl/>
        </w:rPr>
        <w:t xml:space="preserve"> السكان</w:t>
      </w:r>
      <w:r w:rsidRPr="009C35E0">
        <w:rPr>
          <w:vertAlign w:val="superscript"/>
          <w:rtl/>
        </w:rPr>
        <w:t>(</w:t>
      </w:r>
      <w:r>
        <w:rPr>
          <w:rStyle w:val="FootnoteReference"/>
          <w:rtl/>
        </w:rPr>
        <w:footnoteReference w:id="103"/>
      </w:r>
      <w:r w:rsidRPr="009C35E0">
        <w:rPr>
          <w:vertAlign w:val="superscript"/>
          <w:rtl/>
        </w:rPr>
        <w:t>)</w:t>
      </w:r>
      <w:r>
        <w:rPr>
          <w:rFonts w:hint="cs"/>
          <w:vertAlign w:val="superscript"/>
          <w:rtl/>
        </w:rPr>
        <w:t xml:space="preserve"> </w:t>
      </w:r>
      <w:r>
        <w:rPr>
          <w:rFonts w:hint="cs"/>
          <w:rtl/>
        </w:rPr>
        <w:t>في المناطق الريفية. ويشمل هذا الأسر والمجتمع المحلي والأعمال التجارية وأماكن الاستخدام والسياسة. وتقوم التنمية الناجحة أيضاً على إدراك أن للمرأة الريفية احتياجات وتطلعات مختلفة تتعين تلبيتها على نحو منفصل. بيد أن إدماج شواغل المرأة وتطلعاتها ومهاراتها في التخطيط للتنمية لم يصبح واقعاً ويشكل عائقاً كبيراً أمام التنمية في توفالو. وعلى المرأة أن تقطع أطول شوط للحاق بالركب. وحتى في المجالات التي توجد فيها مساواة من الناحية النظرية في جميع القوانين الوطنية، لا تزال المرأة في وضع غير مواتٍ لأن هذه المساواة غير موجودة في الممارسة العملية بسبب العوائق المؤسسية والاجتماعية والمعتقدات الثقافية.</w:t>
      </w:r>
    </w:p>
    <w:p w:rsidR="009C35E0" w:rsidRDefault="009C35E0" w:rsidP="009C35E0">
      <w:pPr>
        <w:pStyle w:val="SingleTxt"/>
        <w:rPr>
          <w:rFonts w:hint="cs"/>
          <w:rtl/>
        </w:rPr>
      </w:pPr>
      <w:r>
        <w:rPr>
          <w:rFonts w:hint="cs"/>
          <w:rtl/>
        </w:rPr>
        <w:t>14-2</w:t>
      </w:r>
      <w:r>
        <w:rPr>
          <w:rFonts w:hint="cs"/>
          <w:rtl/>
        </w:rPr>
        <w:tab/>
        <w:t>توجد فجوة اجتماعية اقتصادية بين المرأة الريفية والمرأة الحضرية. فمن حيث التعليم، 63 في المائة من النساء الريفيات أنهين المرحلة الابتدائية و 25 في المائة أنهين المرحلة الثانوية، و ستة في المائة المرحلة الجامعية، وخمسة في المائة لم يتعلمن، وواحد في المائة مستويات أخرى. (</w:t>
      </w:r>
      <w:r w:rsidR="008B1FB2">
        <w:rPr>
          <w:rFonts w:hint="cs"/>
          <w:rtl/>
        </w:rPr>
        <w:t>انظر</w:t>
      </w:r>
      <w:r>
        <w:rPr>
          <w:rFonts w:hint="cs"/>
          <w:rtl/>
        </w:rPr>
        <w:t xml:space="preserve"> </w:t>
      </w:r>
      <w:r w:rsidRPr="00885C7C">
        <w:rPr>
          <w:szCs w:val="20"/>
        </w:rPr>
        <w:t>HI</w:t>
      </w:r>
      <w:r>
        <w:rPr>
          <w:szCs w:val="20"/>
        </w:rPr>
        <w:t>E</w:t>
      </w:r>
      <w:r w:rsidRPr="00885C7C">
        <w:rPr>
          <w:szCs w:val="20"/>
        </w:rPr>
        <w:t>S</w:t>
      </w:r>
      <w:r>
        <w:rPr>
          <w:rFonts w:hint="cs"/>
          <w:rtl/>
        </w:rPr>
        <w:t>، عام 2005). وبصورة عامة، المستوى التعليمي للمرأة الحضرية أعلى من المستوى التعليمي للمرأة في المناطق الريفية. وبهذا المستوى التعليمي، تشارك معظم النساء في المناطق الريفية في عمل المصنوعات اليدوية وفي أنشطة صغيرة بوصفها مصدر دخل، بالإضافة إلى دور المرأة في المنزل ودورها التقليدي. ونسبة النساء الريفيات اللواتي يكسبن أجوراً ورواتب حوالي خمسة في المائة فقط. وتقوم المرأة بدور هام في التنمية وتحقيق التقدم في مجتمعها المحلي وعلى صعيد الأمة بأسرها. والمرأة في مقدمة العاملين على تدبير الأموال لمختلف احتياجات المجتمع المحلي، التي تتراوح من التعليم (لأطفالها) إلى أنشطة الكنائس ومشاريع لكسب لقمة العيش.</w:t>
      </w:r>
    </w:p>
    <w:p w:rsidR="009C35E0" w:rsidRDefault="009C35E0" w:rsidP="009C35E0">
      <w:pPr>
        <w:pStyle w:val="SingleTxt"/>
        <w:rPr>
          <w:rFonts w:hint="cs"/>
          <w:rtl/>
        </w:rPr>
      </w:pPr>
      <w:r>
        <w:rPr>
          <w:rFonts w:hint="cs"/>
          <w:rtl/>
        </w:rPr>
        <w:t>14-3</w:t>
      </w:r>
      <w:r>
        <w:rPr>
          <w:rFonts w:hint="cs"/>
          <w:rtl/>
        </w:rPr>
        <w:tab/>
        <w:t>وكجزء من مشروع يموله برنامج الأمم المتحدة الإنمائي لتقوية الحكومة المحلية، تلقت النساء والرجال في الريف تدريباً على إدارة المشاريع. ويهدف هذا التدريب إلى تحسين مهاراتهم في توثيق أعمال المشاريع وتنفيذها والإشراف عليها وتقييمها. ومن بين أنواع التدريب الأخرى التدريب على مهارات الأعمال التجارية الأساسية لمساعدة المهتمين بإدارة مشاريعهم الصغيرة وأعمالهم التجارية الصغيرة. ومع أن الحكومة والمنظمات غير الحكومية تقدم التدريب، لوحظ أنه لا يحضر التدريب في معظم الجزر سوى عدد صغير من النساء. ومن الواضح أنه لم يراع في تخطيط هذا التدريب وتنفيذه سوى قدر قليل من احتياجات المرأة أو أنها لم تراع على الإطلاق. فعلى سبيل المثال، نظراً للأدوار العديدة التي تؤديها المرأة في البيت وتعليم أطفالها فإن من الصعب عليها أن تترك البيت لفترة زمنية طويلة لحضور التدريب.</w:t>
      </w:r>
    </w:p>
    <w:p w:rsidR="009C35E0" w:rsidRDefault="009C35E0" w:rsidP="009C35E0">
      <w:pPr>
        <w:pStyle w:val="SingleTxt"/>
        <w:rPr>
          <w:rFonts w:hint="cs"/>
          <w:rtl/>
        </w:rPr>
      </w:pPr>
      <w:r>
        <w:rPr>
          <w:rFonts w:hint="cs"/>
          <w:rtl/>
        </w:rPr>
        <w:t>14-4</w:t>
      </w:r>
      <w:r>
        <w:rPr>
          <w:rFonts w:hint="cs"/>
          <w:rtl/>
        </w:rPr>
        <w:tab/>
        <w:t>ومع أن المرأة تقوم بدور نشط في تنمية مجتمعها المحلي الاجتماعية والاقتصادية، يلاحظ غياب المرأة الريفية من هيئات صنع القرار الرسمية، أي الفالي كابيول، في معظم المجتمعات المحلية الجزرية. وتعوق الآراء والمواقف النمطية الجنسانية مشاركة المرأة الريفية في مؤسسات صنع القرار الرسمية. ولمعالجة هذه المشكلة، ما فتئت الحكومة تدرب في المناطق الريفية على الحساسية الجنسانية والتوعية باتفاقية القضاء على جميع أشكال التمييز ضد المرأة.</w:t>
      </w:r>
    </w:p>
    <w:p w:rsidR="009C35E0" w:rsidRPr="009C35E0" w:rsidRDefault="009C35E0" w:rsidP="009C35E0">
      <w:pPr>
        <w:pStyle w:val="SingleTxt"/>
        <w:spacing w:after="0" w:line="120" w:lineRule="exact"/>
        <w:rPr>
          <w:rFonts w:hint="cs"/>
          <w:sz w:val="10"/>
          <w:rtl/>
        </w:rPr>
      </w:pPr>
    </w:p>
    <w:p w:rsidR="009C35E0" w:rsidRDefault="009C35E0" w:rsidP="009C3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F5131">
        <w:rPr>
          <w:rFonts w:hint="cs"/>
          <w:rtl/>
        </w:rPr>
        <w:t>الحصول على الخدمات الصحية</w:t>
      </w:r>
    </w:p>
    <w:p w:rsidR="009C35E0" w:rsidRDefault="009C35E0" w:rsidP="009C35E0">
      <w:pPr>
        <w:pStyle w:val="SingleTxt"/>
        <w:rPr>
          <w:rFonts w:hint="cs"/>
          <w:rtl/>
        </w:rPr>
      </w:pPr>
      <w:r>
        <w:rPr>
          <w:rFonts w:hint="cs"/>
          <w:rtl/>
        </w:rPr>
        <w:t>14-5</w:t>
      </w:r>
      <w:r>
        <w:rPr>
          <w:rFonts w:hint="cs"/>
          <w:rtl/>
        </w:rPr>
        <w:tab/>
        <w:t>يوجد في كل جزيرة مركز للخدمات الصحية يتكون من كبيرة ممرضات، مؤهلة أيضاً كقابلة قانونية، وممرضتين أخريين أو ممرضين آخرين. وبالنسبة للصحة العقلية والولادة، يتوفر للمرأة الريفية الآن الولادة بحضور قابلة محترفة بنسبة 100 في المئة. ومراكز الخدمات الصحية هذه مجهزة تجهيزاً كاملاً لحالات الولادة العادية، بيد أن التعقيدات تشكل تحدياً حقيقاً بسبب الموقع حيث يحدث عدم توفر التجهيزات الطبية نتيجة لخدمات النقل البحري غير المنتظمة. وتقدم مراكز الخدمات الصحية في الجزر خدمات الصحة الإنجابية من خلال نشر المعلومات وتقديم معلومات عن تنظيم الأسرة وتوفير الرفالات. ومما يثير القلق أيضاً المسائل الصحية المتعلقة بالبحارة وزوجاتهم. وينبغي توفير المعلومات لهؤلاء البحارة وزوجاتهم وتثقيفهم لحماية أنفسهم من الإصابات التي تنتقل عن طريق الاتصال الجنسي ومن فيروس نقص المناعة البشرية والإيدز. ولذلك، ينبغي تشجيع هؤلاء الزوجات على استخدام الرفالات عندما يعود أزواجهن من الخارج، ومن المستصوب أن يقمن بزيارة مستوصف الخدمة الصحية بصورة منتظمة للتأكد من عدم إصابتهن بأي من هذه الأمراض أو الفيروس.</w:t>
      </w:r>
    </w:p>
    <w:p w:rsidR="009C35E0" w:rsidRPr="009C35E0" w:rsidRDefault="009C35E0" w:rsidP="009C35E0">
      <w:pPr>
        <w:pStyle w:val="SingleTxt"/>
        <w:spacing w:after="0" w:line="120" w:lineRule="exact"/>
        <w:rPr>
          <w:rFonts w:hint="cs"/>
          <w:sz w:val="10"/>
          <w:rtl/>
        </w:rPr>
      </w:pPr>
    </w:p>
    <w:p w:rsidR="009C35E0" w:rsidRDefault="009C35E0" w:rsidP="009C3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F5131">
        <w:rPr>
          <w:rFonts w:hint="cs"/>
          <w:rtl/>
        </w:rPr>
        <w:t>الحصول على الضمان الاجتماعي</w:t>
      </w:r>
    </w:p>
    <w:p w:rsidR="009C35E0" w:rsidRDefault="009C35E0" w:rsidP="009C35E0">
      <w:pPr>
        <w:pStyle w:val="SingleTxt"/>
        <w:rPr>
          <w:rFonts w:hint="cs"/>
          <w:rtl/>
        </w:rPr>
      </w:pPr>
      <w:r>
        <w:rPr>
          <w:rFonts w:hint="cs"/>
          <w:rtl/>
        </w:rPr>
        <w:t>14-6</w:t>
      </w:r>
      <w:r>
        <w:rPr>
          <w:rFonts w:hint="cs"/>
          <w:rtl/>
        </w:rPr>
        <w:tab/>
        <w:t>كما نوقش في مكان آخر في التقرير، لا يوجد في توفالو أي نظام للضمان الاجتماعي بالنسبة للمحرومين، بمن فيهم المسنون. ويوفر النظام الاجتماعي ونظام الأسرة القويان الدعم اللازم لهذه المجموعات الضعيفة.</w:t>
      </w:r>
    </w:p>
    <w:p w:rsidR="009C35E0" w:rsidRPr="009C35E0" w:rsidRDefault="009C35E0" w:rsidP="009C35E0">
      <w:pPr>
        <w:pStyle w:val="SingleTxt"/>
        <w:spacing w:after="0" w:line="120" w:lineRule="exact"/>
        <w:rPr>
          <w:rFonts w:hint="cs"/>
          <w:sz w:val="10"/>
          <w:rtl/>
        </w:rPr>
      </w:pPr>
    </w:p>
    <w:p w:rsidR="009C35E0" w:rsidRDefault="009C35E0" w:rsidP="009C3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1F5131">
        <w:rPr>
          <w:rFonts w:hint="cs"/>
          <w:rtl/>
        </w:rPr>
        <w:t>الحصول على التعليم والتدريب</w:t>
      </w:r>
    </w:p>
    <w:p w:rsidR="009C35E0" w:rsidRDefault="009C35E0" w:rsidP="009C35E0">
      <w:pPr>
        <w:pStyle w:val="SingleTxt"/>
        <w:rPr>
          <w:rFonts w:hint="cs"/>
          <w:rtl/>
        </w:rPr>
      </w:pPr>
      <w:r>
        <w:rPr>
          <w:rFonts w:hint="cs"/>
          <w:rtl/>
        </w:rPr>
        <w:t>14-7</w:t>
      </w:r>
      <w:r>
        <w:rPr>
          <w:rFonts w:hint="cs"/>
          <w:rtl/>
        </w:rPr>
        <w:tab/>
        <w:t>لا توجد في المناطق الريفية نظم تعليم رسمية للنساء والبنات عدا التعليم الابتدائي، إلا</w:t>
      </w:r>
      <w:r>
        <w:rPr>
          <w:rFonts w:hint="eastAsia"/>
          <w:rtl/>
        </w:rPr>
        <w:t> </w:t>
      </w:r>
      <w:r>
        <w:rPr>
          <w:rFonts w:hint="cs"/>
          <w:rtl/>
        </w:rPr>
        <w:t>أن المرأة ما فتئت تتلقى تدريباً غير رسمي يقدمه الكابيول وجهات حكومية وغير حكومية أخرى. وقد كانت إدارة شؤون المرأة فعالة في تنظيم تدريب على الحساسية الجنسانية ومهارات الأعمال التجارية والمهارات القيادية أيضاً. ونظمت منظمات أخرى حلقات عمل بشأن إدارة المشاريع وتخفيف حدة تأثير الكوارث والصحة الإنجابية، وبشأن نطاق من المواضيع الأخرى. بيد أنه لا تتوفر بيانات عن حلقات العمل التدريبية هذه.</w:t>
      </w:r>
    </w:p>
    <w:p w:rsidR="009C35E0" w:rsidRPr="009C35E0" w:rsidRDefault="009C35E0" w:rsidP="009C35E0">
      <w:pPr>
        <w:pStyle w:val="SingleTxt"/>
        <w:spacing w:after="0" w:line="120" w:lineRule="exact"/>
        <w:rPr>
          <w:rFonts w:hint="cs"/>
          <w:sz w:val="10"/>
          <w:rtl/>
        </w:rPr>
      </w:pPr>
    </w:p>
    <w:p w:rsidR="009C35E0" w:rsidRDefault="009C35E0" w:rsidP="009C3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B758D">
        <w:rPr>
          <w:rFonts w:hint="cs"/>
          <w:rtl/>
        </w:rPr>
        <w:t>الوصول إلى الموارد الطبيعية وإرث الأرض</w:t>
      </w:r>
    </w:p>
    <w:p w:rsidR="009C35E0" w:rsidRDefault="009C35E0" w:rsidP="00084D51">
      <w:pPr>
        <w:pStyle w:val="SingleTxt"/>
        <w:rPr>
          <w:rFonts w:hint="cs"/>
          <w:rtl/>
        </w:rPr>
      </w:pPr>
      <w:r>
        <w:rPr>
          <w:rFonts w:hint="cs"/>
          <w:rtl/>
        </w:rPr>
        <w:t>14-8</w:t>
      </w:r>
      <w:r>
        <w:rPr>
          <w:rFonts w:hint="cs"/>
          <w:rtl/>
        </w:rPr>
        <w:tab/>
        <w:t xml:space="preserve">الاعتراف بحق المرأة الريفية في الأرض مسألة مهمة جداً. ويعود ذلك، أولاً، إلى أن وصول المرأة إلى مصادر بديلة للعيش، كالاستخدام بأجر، محدود جداً. ونادراً ما تكون المرأة، خاصة المرأة العاطلة عن العمل، في وضع، من حيث الحقوق والتعليم والمهارات والتكنولوجيا ورأس المال، يمكِّنها من التحول عن المصادر الطبيعية أو إجراء تغييرات في نظم الإنتاج لكسب لقمة العيش. ولمساعدة المرأة الريفية في سعيها لتحقيق التنمية الاقتصادية، شاركت دائرة الزراعة في إعادة زراعة نبات </w:t>
      </w:r>
      <w:r w:rsidR="00084D51">
        <w:rPr>
          <w:rFonts w:hint="eastAsia"/>
          <w:rtl/>
        </w:rPr>
        <w:t>”</w:t>
      </w:r>
      <w:r>
        <w:rPr>
          <w:rFonts w:hint="cs"/>
          <w:rtl/>
        </w:rPr>
        <w:t>توغو</w:t>
      </w:r>
      <w:r w:rsidR="00084D51">
        <w:rPr>
          <w:rFonts w:hint="eastAsia"/>
          <w:rtl/>
        </w:rPr>
        <w:t>“</w:t>
      </w:r>
      <w:r>
        <w:rPr>
          <w:rFonts w:hint="cs"/>
          <w:rtl/>
        </w:rPr>
        <w:t xml:space="preserve"> لأغراض الحرف اليدوية، وكذلك لمنع تعرية الشاطئ في بعض الجزر الخارجية. ونشطت المجموعات النسائية جداً أيضاً، بدعم من دائرة الزراعة، في تنفيذ مشاريع الحدائق المنزلية، وذلك لتعزيز تناول الأغذية الصحية والوجبات المتوازنة.</w:t>
      </w:r>
    </w:p>
    <w:p w:rsidR="009C35E0" w:rsidRPr="009C35E0" w:rsidRDefault="009C35E0" w:rsidP="009C35E0">
      <w:pPr>
        <w:pStyle w:val="SingleTxt"/>
        <w:spacing w:after="0" w:line="120" w:lineRule="exact"/>
        <w:rPr>
          <w:rFonts w:hint="cs"/>
          <w:sz w:val="10"/>
          <w:rtl/>
        </w:rPr>
      </w:pPr>
    </w:p>
    <w:p w:rsidR="009C35E0" w:rsidRDefault="009C35E0" w:rsidP="009C3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FB758D">
        <w:rPr>
          <w:rFonts w:hint="cs"/>
          <w:rtl/>
        </w:rPr>
        <w:t>الوصول إلى مرافق الإئتمان والقروض</w:t>
      </w:r>
    </w:p>
    <w:p w:rsidR="009C35E0" w:rsidRDefault="009C35E0" w:rsidP="009C35E0">
      <w:pPr>
        <w:pStyle w:val="SingleTxt"/>
        <w:rPr>
          <w:rFonts w:hint="cs"/>
          <w:rtl/>
        </w:rPr>
      </w:pPr>
      <w:r>
        <w:rPr>
          <w:rFonts w:hint="cs"/>
          <w:rtl/>
        </w:rPr>
        <w:t>14-9</w:t>
      </w:r>
      <w:r>
        <w:rPr>
          <w:rFonts w:hint="cs"/>
          <w:rtl/>
        </w:rPr>
        <w:tab/>
        <w:t>توفر المبالغ الصغيرة من برامج الإئتمان التي تقدم إلى المرأة الريفية من مجلس توفالو الوطني للمرأة عامل رئيسي آخر ساعد المرأة على الإسهام في الاقتصاد وتقديم خدماتها له. وتلقت النساء تدريباً على إدارة برنامج الإئتمان الذي أدى إلى زيادة دخلهن وتحسين حياتهن وحياة أسرهن أيضاً. وساعد البرنامج مزيداً من النساء على العمل لحسابهن الشخصي حيث أصبح لهن مصدر دخل صغير أثناء عنايتهن بأطفالهن أيضاً. وتواصل إدارة التنمية الريفية تدريب النساء، لا سيما على أعمال الخياطة والطبخ والطباعة على الملابس، من خلال عامليها الذين يعملون في المجتمعات المحلية في الجزر الخارجية. وهذا في جوهره تنفيذ لتعميم المنظور الجنساني على مستوى المجتمع المحلي. كما أن تحويلات البحارة، (الأزواج والأبناء) الذين يعملون في الخارج، تساعد أيضاً على إعالة الأسرة.</w:t>
      </w:r>
    </w:p>
    <w:p w:rsidR="009C35E0" w:rsidRDefault="009C35E0" w:rsidP="009C35E0">
      <w:pPr>
        <w:pStyle w:val="SingleTxt"/>
        <w:rPr>
          <w:rFonts w:hint="cs"/>
          <w:rtl/>
        </w:rPr>
      </w:pPr>
      <w:r>
        <w:rPr>
          <w:rFonts w:hint="cs"/>
          <w:rtl/>
        </w:rPr>
        <w:t>14-10  حصلت النساء اللواتي يعشن في العاصمة، فونافوتي، على الجزء الأكبر من القروض التي قدمت للنساء</w:t>
      </w:r>
      <w:r w:rsidRPr="009C35E0">
        <w:rPr>
          <w:vertAlign w:val="superscript"/>
          <w:rtl/>
        </w:rPr>
        <w:t>(</w:t>
      </w:r>
      <w:r>
        <w:rPr>
          <w:rStyle w:val="FootnoteReference"/>
          <w:rtl/>
        </w:rPr>
        <w:footnoteReference w:id="104"/>
      </w:r>
      <w:r w:rsidRPr="009C35E0">
        <w:rPr>
          <w:vertAlign w:val="superscript"/>
          <w:rtl/>
        </w:rPr>
        <w:t>)</w:t>
      </w:r>
      <w:r>
        <w:rPr>
          <w:rFonts w:hint="cs"/>
          <w:rtl/>
        </w:rPr>
        <w:t>. والسبب الرئيسي في ذلك زيادة عدد الذين يعيشون في العاصمة، حيث يوجد فيها حوالي 50 في المائة من مجموع السكان. ثانياً، تعيش في العاصمة النساء الأكثر تعليماً والأكثر مهارة. وتبين سجلات المصارف</w:t>
      </w:r>
      <w:r w:rsidRPr="009C35E0">
        <w:rPr>
          <w:vertAlign w:val="superscript"/>
          <w:rtl/>
        </w:rPr>
        <w:t>(</w:t>
      </w:r>
      <w:r>
        <w:rPr>
          <w:rStyle w:val="FootnoteReference"/>
          <w:rtl/>
        </w:rPr>
        <w:footnoteReference w:id="105"/>
      </w:r>
      <w:r w:rsidRPr="009C35E0">
        <w:rPr>
          <w:vertAlign w:val="superscript"/>
          <w:rtl/>
        </w:rPr>
        <w:t>)</w:t>
      </w:r>
      <w:r>
        <w:rPr>
          <w:rFonts w:hint="cs"/>
          <w:vertAlign w:val="superscript"/>
          <w:rtl/>
        </w:rPr>
        <w:t xml:space="preserve"> </w:t>
      </w:r>
      <w:r>
        <w:rPr>
          <w:rFonts w:hint="cs"/>
          <w:rtl/>
        </w:rPr>
        <w:t>أن المساعدة المالية من المصرف لا توزع بصورة عادلة على جميع الجزر الخارجية. وتوجد حاجة لتشجيع وتثقيف المرأة في الجزر الخارجية بشأن كيفية الحصول على المساعدة من المصرف. ولكن، سيظل من الصعب بالنسبة للمرأة الوصول إلى هذا المرفق لعدم وجود ضمانات لديها. أضف إلى ذلك وجود حاجة لتطوير مهارات ومعرفة  النساء في الجزر الخارجية لتمكينهن من بدء أعمال تجارية صغيرة لحسابهن. وفي عام 2006، استهل مصرف توفالو الوطني عملياته في بعض الجزر الخارجية مما يسر الحصول على الخدمات المصرفية للرجال والنساء في هذه الجزر.</w:t>
      </w:r>
    </w:p>
    <w:p w:rsidR="009C35E0" w:rsidRDefault="009C35E0" w:rsidP="009C35E0">
      <w:pPr>
        <w:pStyle w:val="SingleTxt"/>
        <w:rPr>
          <w:rFonts w:hint="cs"/>
          <w:rtl/>
        </w:rPr>
      </w:pPr>
      <w:r>
        <w:rPr>
          <w:rFonts w:hint="cs"/>
          <w:rtl/>
        </w:rPr>
        <w:t>14-11  أدى غياب المرأة عن اجتماعات الفالي كابيول إلى عدم فهمها مسائل مهمة جداً، مثل صندوق الفالي كابيول الاستئماني وكيف يمكن استخدامه لتنمية المرأة. وبوسع المرأة الريفية أيضاً استخدام صندوق الفالي كابيول الاستئماني في جزيرتها، إلا أن المبلغ المتوفر غيركافٍ في معظم الحالات لسد احتياجات الجميع.</w:t>
      </w:r>
    </w:p>
    <w:p w:rsidR="009C35E0" w:rsidRPr="009C35E0" w:rsidRDefault="009C35E0" w:rsidP="009C35E0">
      <w:pPr>
        <w:pStyle w:val="SingleTxt"/>
        <w:spacing w:after="0" w:line="120" w:lineRule="exact"/>
        <w:rPr>
          <w:rFonts w:hint="cs"/>
          <w:sz w:val="10"/>
          <w:rtl/>
        </w:rPr>
      </w:pPr>
    </w:p>
    <w:p w:rsidR="009C35E0" w:rsidRDefault="009C35E0" w:rsidP="009C35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ED44DA">
        <w:rPr>
          <w:rFonts w:hint="cs"/>
          <w:rtl/>
        </w:rPr>
        <w:t>الإسكان</w:t>
      </w:r>
    </w:p>
    <w:p w:rsidR="009C35E0" w:rsidRDefault="009C35E0" w:rsidP="009C35E0">
      <w:pPr>
        <w:pStyle w:val="SingleTxt"/>
        <w:rPr>
          <w:rFonts w:hint="cs"/>
          <w:rtl/>
        </w:rPr>
      </w:pPr>
      <w:r>
        <w:rPr>
          <w:rFonts w:hint="cs"/>
          <w:rtl/>
        </w:rPr>
        <w:t>14-12  المسكن حاجة أساسية، وتبنى البيوت في توفالو على الأرض المشاع في القرية. ويبين التعداد السكاني لعام 2002 أنه يوجد 261 1 بيتاً دائماً و 269 بيتاً تقليدياً في توفالو.</w:t>
      </w:r>
    </w:p>
    <w:p w:rsidR="009C35E0" w:rsidRDefault="009C35E0" w:rsidP="009C35E0">
      <w:pPr>
        <w:rPr>
          <w:rFonts w:hint="cs"/>
          <w:b/>
          <w:bCs/>
          <w:sz w:val="28"/>
          <w:szCs w:val="28"/>
          <w:rtl/>
        </w:rPr>
      </w:pPr>
      <w:r>
        <w:rPr>
          <w:sz w:val="32"/>
          <w:szCs w:val="32"/>
          <w:rtl/>
        </w:rPr>
        <w:br w:type="page"/>
      </w:r>
      <w:r>
        <w:rPr>
          <w:rFonts w:hint="cs"/>
          <w:sz w:val="32"/>
          <w:szCs w:val="32"/>
          <w:rtl/>
        </w:rPr>
        <w:tab/>
      </w:r>
      <w:r w:rsidRPr="00135052">
        <w:rPr>
          <w:rFonts w:hint="cs"/>
          <w:b/>
          <w:bCs/>
          <w:sz w:val="28"/>
          <w:szCs w:val="28"/>
          <w:rtl/>
        </w:rPr>
        <w:t>الجدول 34: المساكن وأنواع</w:t>
      </w:r>
      <w:r>
        <w:rPr>
          <w:rFonts w:hint="cs"/>
          <w:b/>
          <w:bCs/>
          <w:sz w:val="28"/>
          <w:szCs w:val="28"/>
          <w:rtl/>
        </w:rPr>
        <w:t>ها</w:t>
      </w:r>
      <w:r w:rsidRPr="00135052">
        <w:rPr>
          <w:rFonts w:hint="cs"/>
          <w:b/>
          <w:bCs/>
          <w:sz w:val="28"/>
          <w:szCs w:val="28"/>
          <w:rtl/>
        </w:rPr>
        <w:t xml:space="preserve"> موزعة حسب الجزيرة، عام 2002 </w:t>
      </w:r>
    </w:p>
    <w:p w:rsidR="009C35E0" w:rsidRPr="00135052" w:rsidRDefault="009C35E0" w:rsidP="009C35E0">
      <w:pPr>
        <w:rPr>
          <w:rFonts w:hint="cs"/>
          <w:b/>
          <w:bCs/>
          <w:sz w:val="28"/>
          <w:szCs w:val="28"/>
          <w:rtl/>
        </w:rPr>
      </w:pPr>
    </w:p>
    <w:tbl>
      <w:tblPr>
        <w:tblStyle w:val="TableGrid"/>
        <w:bidiVisual/>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854"/>
        <w:gridCol w:w="1180"/>
        <w:gridCol w:w="1180"/>
        <w:gridCol w:w="1180"/>
        <w:gridCol w:w="1465"/>
        <w:gridCol w:w="1591"/>
        <w:gridCol w:w="1054"/>
      </w:tblGrid>
      <w:tr w:rsidR="00164AD8" w:rsidRPr="004A4039">
        <w:trPr>
          <w:cantSplit/>
          <w:tblHeader/>
          <w:jc w:val="center"/>
        </w:trPr>
        <w:tc>
          <w:tcPr>
            <w:tcW w:w="1854" w:type="dxa"/>
            <w:tcBorders>
              <w:top w:val="single" w:sz="4" w:space="0" w:color="auto"/>
            </w:tcBorders>
            <w:shd w:val="clear" w:color="auto" w:fill="auto"/>
            <w:vAlign w:val="bottom"/>
          </w:tcPr>
          <w:p w:rsidR="00164AD8" w:rsidRPr="004A4039" w:rsidRDefault="00164AD8" w:rsidP="0032356C">
            <w:pPr>
              <w:spacing w:before="80" w:after="80" w:line="240" w:lineRule="exact"/>
              <w:rPr>
                <w:rFonts w:cs="Traditional Arabic" w:hint="cs"/>
                <w:i/>
                <w:iCs/>
                <w:sz w:val="16"/>
                <w:szCs w:val="24"/>
                <w:rtl/>
              </w:rPr>
            </w:pPr>
          </w:p>
        </w:tc>
        <w:tc>
          <w:tcPr>
            <w:tcW w:w="1180" w:type="dxa"/>
            <w:tcBorders>
              <w:top w:val="single" w:sz="4" w:space="0" w:color="auto"/>
              <w:bottom w:val="single" w:sz="4" w:space="0" w:color="auto"/>
            </w:tcBorders>
            <w:shd w:val="clear" w:color="auto" w:fill="auto"/>
            <w:vAlign w:val="bottom"/>
          </w:tcPr>
          <w:p w:rsidR="00164AD8" w:rsidRPr="004A4039" w:rsidRDefault="00164AD8" w:rsidP="0032356C">
            <w:pPr>
              <w:spacing w:before="80" w:after="80" w:line="240" w:lineRule="exact"/>
              <w:ind w:right="144"/>
              <w:jc w:val="lowKashida"/>
              <w:rPr>
                <w:rFonts w:cs="Traditional Arabic" w:hint="cs"/>
                <w:i/>
                <w:iCs/>
                <w:sz w:val="16"/>
                <w:szCs w:val="24"/>
                <w:rtl/>
              </w:rPr>
            </w:pPr>
          </w:p>
        </w:tc>
        <w:tc>
          <w:tcPr>
            <w:tcW w:w="1180" w:type="dxa"/>
            <w:tcBorders>
              <w:top w:val="single" w:sz="4" w:space="0" w:color="auto"/>
              <w:bottom w:val="single" w:sz="4" w:space="0" w:color="auto"/>
            </w:tcBorders>
            <w:shd w:val="clear" w:color="auto" w:fill="auto"/>
            <w:vAlign w:val="bottom"/>
          </w:tcPr>
          <w:p w:rsidR="00164AD8" w:rsidRPr="004A4039" w:rsidRDefault="00164AD8" w:rsidP="0032356C">
            <w:pPr>
              <w:spacing w:before="80" w:after="80" w:line="240" w:lineRule="exact"/>
              <w:ind w:right="144"/>
              <w:jc w:val="lowKashida"/>
              <w:rPr>
                <w:rFonts w:cs="Traditional Arabic" w:hint="cs"/>
                <w:i/>
                <w:iCs/>
                <w:sz w:val="16"/>
                <w:szCs w:val="24"/>
                <w:rtl/>
              </w:rPr>
            </w:pPr>
          </w:p>
        </w:tc>
        <w:tc>
          <w:tcPr>
            <w:tcW w:w="1180" w:type="dxa"/>
            <w:tcBorders>
              <w:top w:val="single" w:sz="4" w:space="0" w:color="auto"/>
              <w:bottom w:val="single" w:sz="4" w:space="0" w:color="auto"/>
            </w:tcBorders>
            <w:shd w:val="clear" w:color="auto" w:fill="auto"/>
            <w:vAlign w:val="bottom"/>
          </w:tcPr>
          <w:p w:rsidR="00164AD8" w:rsidRPr="004A4039" w:rsidRDefault="00164AD8" w:rsidP="0032356C">
            <w:pPr>
              <w:spacing w:before="80" w:after="80" w:line="240" w:lineRule="exact"/>
              <w:ind w:right="144"/>
              <w:jc w:val="lowKashida"/>
              <w:rPr>
                <w:rFonts w:cs="Traditional Arabic" w:hint="cs"/>
                <w:i/>
                <w:iCs/>
                <w:sz w:val="16"/>
                <w:szCs w:val="24"/>
                <w:rtl/>
              </w:rPr>
            </w:pPr>
            <w:r>
              <w:rPr>
                <w:rFonts w:cs="Traditional Arabic" w:hint="cs"/>
                <w:i/>
                <w:iCs/>
                <w:sz w:val="16"/>
                <w:szCs w:val="24"/>
                <w:rtl/>
              </w:rPr>
              <w:t>مباني دائمة</w:t>
            </w:r>
          </w:p>
        </w:tc>
        <w:tc>
          <w:tcPr>
            <w:tcW w:w="1465" w:type="dxa"/>
            <w:tcBorders>
              <w:top w:val="single" w:sz="4" w:space="0" w:color="auto"/>
              <w:bottom w:val="single" w:sz="4" w:space="0" w:color="auto"/>
            </w:tcBorders>
            <w:shd w:val="clear" w:color="auto" w:fill="auto"/>
            <w:vAlign w:val="bottom"/>
          </w:tcPr>
          <w:p w:rsidR="00164AD8" w:rsidRPr="004A4039" w:rsidRDefault="00164AD8" w:rsidP="0032356C">
            <w:pPr>
              <w:spacing w:before="80" w:after="80" w:line="240" w:lineRule="exact"/>
              <w:ind w:right="144"/>
              <w:jc w:val="lowKashida"/>
              <w:rPr>
                <w:rFonts w:cs="Traditional Arabic" w:hint="cs"/>
                <w:i/>
                <w:iCs/>
                <w:sz w:val="16"/>
                <w:szCs w:val="24"/>
                <w:rtl/>
              </w:rPr>
            </w:pPr>
          </w:p>
        </w:tc>
        <w:tc>
          <w:tcPr>
            <w:tcW w:w="1591" w:type="dxa"/>
            <w:tcBorders>
              <w:top w:val="single" w:sz="4" w:space="0" w:color="auto"/>
              <w:bottom w:val="single" w:sz="4" w:space="0" w:color="auto"/>
            </w:tcBorders>
            <w:shd w:val="clear" w:color="auto" w:fill="auto"/>
            <w:vAlign w:val="bottom"/>
          </w:tcPr>
          <w:p w:rsidR="00164AD8" w:rsidRPr="004A4039" w:rsidRDefault="00164AD8" w:rsidP="0032356C">
            <w:pPr>
              <w:spacing w:before="80" w:after="80" w:line="240" w:lineRule="exact"/>
              <w:ind w:right="144"/>
              <w:jc w:val="lowKashida"/>
              <w:rPr>
                <w:rFonts w:cs="Traditional Arabic" w:hint="cs"/>
                <w:i/>
                <w:iCs/>
                <w:sz w:val="16"/>
                <w:szCs w:val="24"/>
                <w:rtl/>
              </w:rPr>
            </w:pPr>
          </w:p>
        </w:tc>
        <w:tc>
          <w:tcPr>
            <w:tcW w:w="1054" w:type="dxa"/>
            <w:tcBorders>
              <w:top w:val="single" w:sz="4" w:space="0" w:color="auto"/>
            </w:tcBorders>
            <w:shd w:val="clear" w:color="auto" w:fill="auto"/>
            <w:vAlign w:val="bottom"/>
          </w:tcPr>
          <w:p w:rsidR="00164AD8" w:rsidRPr="004A4039" w:rsidRDefault="00164AD8" w:rsidP="0032356C">
            <w:pPr>
              <w:spacing w:before="80" w:after="80" w:line="240" w:lineRule="exact"/>
              <w:ind w:right="144"/>
              <w:jc w:val="lowKashida"/>
              <w:rPr>
                <w:rFonts w:cs="Traditional Arabic" w:hint="cs"/>
                <w:i/>
                <w:iCs/>
                <w:sz w:val="16"/>
                <w:szCs w:val="24"/>
                <w:rtl/>
              </w:rPr>
            </w:pPr>
          </w:p>
        </w:tc>
      </w:tr>
      <w:tr w:rsidR="00164AD8" w:rsidRPr="004A4039">
        <w:trPr>
          <w:cantSplit/>
          <w:tblHeader/>
          <w:jc w:val="center"/>
        </w:trPr>
        <w:tc>
          <w:tcPr>
            <w:tcW w:w="1854" w:type="dxa"/>
            <w:shd w:val="clear" w:color="auto" w:fill="auto"/>
            <w:vAlign w:val="bottom"/>
          </w:tcPr>
          <w:p w:rsidR="00164AD8" w:rsidRPr="004A4039" w:rsidRDefault="00164AD8" w:rsidP="0032356C">
            <w:pPr>
              <w:spacing w:after="80" w:line="240" w:lineRule="exact"/>
              <w:rPr>
                <w:rFonts w:cs="Traditional Arabic" w:hint="cs"/>
                <w:i/>
                <w:iCs/>
                <w:sz w:val="16"/>
                <w:szCs w:val="24"/>
                <w:rtl/>
              </w:rPr>
            </w:pPr>
          </w:p>
        </w:tc>
        <w:tc>
          <w:tcPr>
            <w:tcW w:w="1180" w:type="dxa"/>
            <w:tcBorders>
              <w:top w:val="single" w:sz="4" w:space="0" w:color="auto"/>
              <w:bottom w:val="single" w:sz="4"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p>
        </w:tc>
        <w:tc>
          <w:tcPr>
            <w:tcW w:w="1180" w:type="dxa"/>
            <w:tcBorders>
              <w:top w:val="single" w:sz="4" w:space="0" w:color="auto"/>
              <w:bottom w:val="single" w:sz="4"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p>
        </w:tc>
        <w:tc>
          <w:tcPr>
            <w:tcW w:w="1180" w:type="dxa"/>
            <w:tcBorders>
              <w:top w:val="single" w:sz="4" w:space="0" w:color="auto"/>
              <w:bottom w:val="single" w:sz="4"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r>
              <w:rPr>
                <w:rFonts w:cs="Traditional Arabic" w:hint="cs"/>
                <w:i/>
                <w:iCs/>
                <w:sz w:val="16"/>
                <w:szCs w:val="24"/>
                <w:rtl/>
              </w:rPr>
              <w:t>نوع المسكن</w:t>
            </w:r>
          </w:p>
        </w:tc>
        <w:tc>
          <w:tcPr>
            <w:tcW w:w="1465" w:type="dxa"/>
            <w:tcBorders>
              <w:top w:val="single" w:sz="4" w:space="0" w:color="auto"/>
              <w:bottom w:val="single" w:sz="4"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p>
        </w:tc>
        <w:tc>
          <w:tcPr>
            <w:tcW w:w="1591" w:type="dxa"/>
            <w:tcBorders>
              <w:top w:val="single" w:sz="4" w:space="0" w:color="auto"/>
              <w:bottom w:val="single" w:sz="4"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p>
        </w:tc>
        <w:tc>
          <w:tcPr>
            <w:tcW w:w="1054" w:type="dxa"/>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p>
        </w:tc>
      </w:tr>
      <w:tr w:rsidR="00164AD8" w:rsidRPr="004A4039">
        <w:trPr>
          <w:cantSplit/>
          <w:tblHeader/>
          <w:jc w:val="center"/>
        </w:trPr>
        <w:tc>
          <w:tcPr>
            <w:tcW w:w="1854" w:type="dxa"/>
            <w:shd w:val="clear" w:color="auto" w:fill="auto"/>
            <w:vAlign w:val="bottom"/>
          </w:tcPr>
          <w:p w:rsidR="00164AD8" w:rsidRPr="004A4039" w:rsidRDefault="00164AD8" w:rsidP="0032356C">
            <w:pPr>
              <w:spacing w:after="80" w:line="240" w:lineRule="exact"/>
              <w:rPr>
                <w:rFonts w:cs="Traditional Arabic" w:hint="cs"/>
                <w:i/>
                <w:iCs/>
                <w:sz w:val="16"/>
                <w:szCs w:val="24"/>
                <w:rtl/>
              </w:rPr>
            </w:pPr>
          </w:p>
        </w:tc>
        <w:tc>
          <w:tcPr>
            <w:tcW w:w="3540" w:type="dxa"/>
            <w:gridSpan w:val="3"/>
            <w:tcBorders>
              <w:top w:val="single" w:sz="4" w:space="0" w:color="auto"/>
              <w:bottom w:val="single" w:sz="4" w:space="0" w:color="auto"/>
            </w:tcBorders>
            <w:shd w:val="clear" w:color="auto" w:fill="auto"/>
          </w:tcPr>
          <w:p w:rsidR="00164AD8" w:rsidRPr="00164AD8" w:rsidRDefault="00164AD8" w:rsidP="0032356C">
            <w:pPr>
              <w:spacing w:line="280" w:lineRule="exact"/>
              <w:jc w:val="center"/>
              <w:rPr>
                <w:rFonts w:cs="Traditional Arabic" w:hint="cs"/>
                <w:sz w:val="24"/>
                <w:szCs w:val="24"/>
                <w:rtl/>
              </w:rPr>
            </w:pPr>
            <w:r w:rsidRPr="00164AD8">
              <w:rPr>
                <w:rFonts w:cs="Traditional Arabic" w:hint="cs"/>
                <w:sz w:val="24"/>
                <w:szCs w:val="24"/>
                <w:rtl/>
              </w:rPr>
              <w:t>وحدات سكنية لإسكان أسرة واحدة</w:t>
            </w:r>
          </w:p>
        </w:tc>
        <w:tc>
          <w:tcPr>
            <w:tcW w:w="3056" w:type="dxa"/>
            <w:gridSpan w:val="2"/>
            <w:tcBorders>
              <w:top w:val="single" w:sz="4" w:space="0" w:color="auto"/>
              <w:bottom w:val="single" w:sz="4" w:space="0" w:color="auto"/>
            </w:tcBorders>
            <w:shd w:val="clear" w:color="auto" w:fill="auto"/>
          </w:tcPr>
          <w:p w:rsidR="00164AD8" w:rsidRPr="00164AD8" w:rsidRDefault="00164AD8" w:rsidP="0032356C">
            <w:pPr>
              <w:spacing w:after="80" w:line="240" w:lineRule="exact"/>
              <w:ind w:right="144"/>
              <w:jc w:val="center"/>
              <w:rPr>
                <w:rFonts w:cs="Traditional Arabic" w:hint="cs"/>
                <w:sz w:val="24"/>
                <w:szCs w:val="24"/>
                <w:rtl/>
              </w:rPr>
            </w:pPr>
            <w:r w:rsidRPr="00164AD8">
              <w:rPr>
                <w:rFonts w:cs="Traditional Arabic" w:hint="cs"/>
                <w:sz w:val="24"/>
                <w:szCs w:val="24"/>
                <w:rtl/>
              </w:rPr>
              <w:t xml:space="preserve">أكثر من وحدة إسكان </w:t>
            </w:r>
            <w:r w:rsidRPr="004A4039">
              <w:rPr>
                <w:rFonts w:cs="Traditional Arabic" w:hint="cs"/>
                <w:i/>
                <w:iCs/>
                <w:sz w:val="16"/>
                <w:szCs w:val="24"/>
                <w:rtl/>
              </w:rPr>
              <w:t>واحدة</w:t>
            </w:r>
          </w:p>
        </w:tc>
        <w:tc>
          <w:tcPr>
            <w:tcW w:w="1054" w:type="dxa"/>
            <w:tcBorders>
              <w:bottom w:val="single" w:sz="4"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p>
        </w:tc>
      </w:tr>
      <w:tr w:rsidR="00164AD8" w:rsidRPr="004A4039">
        <w:trPr>
          <w:cantSplit/>
          <w:tblHeader/>
          <w:jc w:val="center"/>
        </w:trPr>
        <w:tc>
          <w:tcPr>
            <w:tcW w:w="1854" w:type="dxa"/>
            <w:tcBorders>
              <w:bottom w:val="single" w:sz="12" w:space="0" w:color="auto"/>
            </w:tcBorders>
            <w:shd w:val="clear" w:color="auto" w:fill="auto"/>
            <w:vAlign w:val="bottom"/>
          </w:tcPr>
          <w:p w:rsidR="00164AD8" w:rsidRPr="004A4039" w:rsidRDefault="00164AD8" w:rsidP="0032356C">
            <w:pPr>
              <w:spacing w:after="80" w:line="240" w:lineRule="exact"/>
              <w:rPr>
                <w:rFonts w:cs="Traditional Arabic" w:hint="cs"/>
                <w:i/>
                <w:iCs/>
                <w:sz w:val="16"/>
                <w:szCs w:val="24"/>
                <w:rtl/>
              </w:rPr>
            </w:pPr>
            <w:r>
              <w:rPr>
                <w:rFonts w:cs="Traditional Arabic" w:hint="cs"/>
                <w:i/>
                <w:iCs/>
                <w:sz w:val="16"/>
                <w:szCs w:val="24"/>
                <w:rtl/>
              </w:rPr>
              <w:t>الجزيرة</w:t>
            </w:r>
          </w:p>
        </w:tc>
        <w:tc>
          <w:tcPr>
            <w:tcW w:w="1180" w:type="dxa"/>
            <w:tcBorders>
              <w:top w:val="single" w:sz="4" w:space="0" w:color="auto"/>
              <w:bottom w:val="single" w:sz="12" w:space="0" w:color="auto"/>
            </w:tcBorders>
            <w:shd w:val="clear" w:color="auto" w:fill="auto"/>
            <w:vAlign w:val="bottom"/>
          </w:tcPr>
          <w:p w:rsidR="00164AD8" w:rsidRPr="00164AD8" w:rsidRDefault="00164AD8" w:rsidP="0032356C">
            <w:pPr>
              <w:spacing w:after="80" w:line="240" w:lineRule="exact"/>
              <w:ind w:right="144"/>
              <w:jc w:val="lowKashida"/>
              <w:rPr>
                <w:rFonts w:cs="Traditional Arabic" w:hint="cs"/>
                <w:sz w:val="24"/>
                <w:szCs w:val="24"/>
                <w:rtl/>
              </w:rPr>
            </w:pPr>
            <w:r w:rsidRPr="00164AD8">
              <w:rPr>
                <w:rFonts w:cs="Traditional Arabic" w:hint="cs"/>
                <w:sz w:val="24"/>
                <w:szCs w:val="24"/>
                <w:rtl/>
              </w:rPr>
              <w:t>خشب</w:t>
            </w:r>
          </w:p>
        </w:tc>
        <w:tc>
          <w:tcPr>
            <w:tcW w:w="1180" w:type="dxa"/>
            <w:tcBorders>
              <w:top w:val="single" w:sz="4" w:space="0" w:color="auto"/>
              <w:bottom w:val="single" w:sz="12" w:space="0" w:color="auto"/>
            </w:tcBorders>
            <w:shd w:val="clear" w:color="auto" w:fill="auto"/>
            <w:vAlign w:val="bottom"/>
          </w:tcPr>
          <w:p w:rsidR="00164AD8" w:rsidRPr="00164AD8" w:rsidRDefault="00164AD8" w:rsidP="0032356C">
            <w:pPr>
              <w:spacing w:after="80" w:line="240" w:lineRule="exact"/>
              <w:ind w:right="144"/>
              <w:jc w:val="lowKashida"/>
              <w:rPr>
                <w:rFonts w:cs="Traditional Arabic" w:hint="cs"/>
                <w:sz w:val="24"/>
                <w:szCs w:val="24"/>
                <w:rtl/>
              </w:rPr>
            </w:pPr>
            <w:r w:rsidRPr="00164AD8">
              <w:rPr>
                <w:rFonts w:cs="Traditional Arabic" w:hint="cs"/>
                <w:sz w:val="24"/>
                <w:szCs w:val="24"/>
                <w:rtl/>
              </w:rPr>
              <w:t xml:space="preserve">إسمنت </w:t>
            </w:r>
            <w:r w:rsidRPr="004A4039">
              <w:rPr>
                <w:rFonts w:cs="Traditional Arabic" w:hint="cs"/>
                <w:i/>
                <w:iCs/>
                <w:sz w:val="16"/>
                <w:szCs w:val="24"/>
                <w:rtl/>
              </w:rPr>
              <w:t>مسلح</w:t>
            </w:r>
          </w:p>
        </w:tc>
        <w:tc>
          <w:tcPr>
            <w:tcW w:w="1180" w:type="dxa"/>
            <w:tcBorders>
              <w:top w:val="single" w:sz="4" w:space="0" w:color="auto"/>
              <w:bottom w:val="single" w:sz="12" w:space="0" w:color="auto"/>
            </w:tcBorders>
            <w:shd w:val="clear" w:color="auto" w:fill="auto"/>
            <w:vAlign w:val="bottom"/>
          </w:tcPr>
          <w:p w:rsidR="00164AD8" w:rsidRPr="00164AD8" w:rsidRDefault="00164AD8" w:rsidP="0032356C">
            <w:pPr>
              <w:spacing w:after="80" w:line="240" w:lineRule="exact"/>
              <w:ind w:right="144"/>
              <w:jc w:val="lowKashida"/>
              <w:rPr>
                <w:rFonts w:cs="Traditional Arabic" w:hint="cs"/>
                <w:sz w:val="24"/>
                <w:szCs w:val="24"/>
                <w:rtl/>
              </w:rPr>
            </w:pPr>
            <w:r w:rsidRPr="00164AD8">
              <w:rPr>
                <w:rFonts w:cs="Traditional Arabic" w:hint="cs"/>
                <w:sz w:val="24"/>
                <w:szCs w:val="24"/>
                <w:rtl/>
              </w:rPr>
              <w:t xml:space="preserve">خشب </w:t>
            </w:r>
            <w:r w:rsidRPr="004A4039">
              <w:rPr>
                <w:rFonts w:cs="Traditional Arabic" w:hint="cs"/>
                <w:i/>
                <w:iCs/>
                <w:sz w:val="16"/>
                <w:szCs w:val="24"/>
                <w:rtl/>
              </w:rPr>
              <w:t>وإسمنت</w:t>
            </w:r>
            <w:r w:rsidRPr="00164AD8">
              <w:rPr>
                <w:rFonts w:cs="Traditional Arabic" w:hint="cs"/>
                <w:sz w:val="24"/>
                <w:szCs w:val="24"/>
                <w:rtl/>
              </w:rPr>
              <w:t xml:space="preserve"> مسلح</w:t>
            </w:r>
          </w:p>
        </w:tc>
        <w:tc>
          <w:tcPr>
            <w:tcW w:w="1465" w:type="dxa"/>
            <w:tcBorders>
              <w:top w:val="single" w:sz="4" w:space="0" w:color="auto"/>
              <w:bottom w:val="single" w:sz="12" w:space="0" w:color="auto"/>
            </w:tcBorders>
            <w:shd w:val="clear" w:color="auto" w:fill="auto"/>
            <w:vAlign w:val="bottom"/>
          </w:tcPr>
          <w:p w:rsidR="00164AD8" w:rsidRPr="00164AD8" w:rsidRDefault="00164AD8" w:rsidP="0032356C">
            <w:pPr>
              <w:spacing w:after="80" w:line="240" w:lineRule="exact"/>
              <w:ind w:right="144"/>
              <w:jc w:val="lowKashida"/>
              <w:rPr>
                <w:rFonts w:cs="Traditional Arabic" w:hint="cs"/>
                <w:sz w:val="24"/>
                <w:szCs w:val="24"/>
                <w:rtl/>
              </w:rPr>
            </w:pPr>
            <w:r w:rsidRPr="004A4039">
              <w:rPr>
                <w:rFonts w:cs="Traditional Arabic" w:hint="cs"/>
                <w:i/>
                <w:iCs/>
                <w:sz w:val="16"/>
                <w:szCs w:val="24"/>
                <w:rtl/>
              </w:rPr>
              <w:t>خشب</w:t>
            </w:r>
          </w:p>
        </w:tc>
        <w:tc>
          <w:tcPr>
            <w:tcW w:w="1591" w:type="dxa"/>
            <w:tcBorders>
              <w:top w:val="single" w:sz="4" w:space="0" w:color="auto"/>
              <w:bottom w:val="single" w:sz="12" w:space="0" w:color="auto"/>
            </w:tcBorders>
            <w:shd w:val="clear" w:color="auto" w:fill="auto"/>
            <w:vAlign w:val="bottom"/>
          </w:tcPr>
          <w:p w:rsidR="00164AD8" w:rsidRPr="00164AD8" w:rsidRDefault="00164AD8" w:rsidP="0032356C">
            <w:pPr>
              <w:spacing w:after="80" w:line="240" w:lineRule="exact"/>
              <w:ind w:right="144"/>
              <w:jc w:val="lowKashida"/>
              <w:rPr>
                <w:rFonts w:cs="Traditional Arabic" w:hint="cs"/>
                <w:sz w:val="24"/>
                <w:szCs w:val="24"/>
                <w:rtl/>
              </w:rPr>
            </w:pPr>
            <w:r w:rsidRPr="00164AD8">
              <w:rPr>
                <w:rFonts w:cs="Traditional Arabic" w:hint="cs"/>
                <w:sz w:val="24"/>
                <w:szCs w:val="24"/>
                <w:rtl/>
              </w:rPr>
              <w:t>إسمنت مسلح</w:t>
            </w:r>
          </w:p>
        </w:tc>
        <w:tc>
          <w:tcPr>
            <w:tcW w:w="1054" w:type="dxa"/>
            <w:tcBorders>
              <w:top w:val="single" w:sz="4" w:space="0" w:color="auto"/>
              <w:bottom w:val="single" w:sz="12" w:space="0" w:color="auto"/>
            </w:tcBorders>
            <w:shd w:val="clear" w:color="auto" w:fill="auto"/>
            <w:vAlign w:val="bottom"/>
          </w:tcPr>
          <w:p w:rsidR="00164AD8" w:rsidRPr="004A4039" w:rsidRDefault="00164AD8" w:rsidP="0032356C">
            <w:pPr>
              <w:spacing w:after="80" w:line="240" w:lineRule="exact"/>
              <w:ind w:right="144"/>
              <w:jc w:val="lowKashida"/>
              <w:rPr>
                <w:rFonts w:cs="Traditional Arabic" w:hint="cs"/>
                <w:i/>
                <w:iCs/>
                <w:sz w:val="16"/>
                <w:szCs w:val="24"/>
                <w:rtl/>
              </w:rPr>
            </w:pPr>
            <w:r w:rsidRPr="004A4039">
              <w:rPr>
                <w:rFonts w:cs="Traditional Arabic" w:hint="cs"/>
                <w:i/>
                <w:iCs/>
                <w:sz w:val="16"/>
                <w:szCs w:val="24"/>
                <w:rtl/>
              </w:rPr>
              <w:t>مبان من شقتين أوأكثر</w:t>
            </w:r>
          </w:p>
        </w:tc>
      </w:tr>
      <w:tr w:rsidR="00164AD8" w:rsidRPr="004A4039">
        <w:trPr>
          <w:cantSplit/>
          <w:trHeight w:hRule="exact" w:val="115"/>
          <w:tblHeader/>
          <w:jc w:val="center"/>
        </w:trPr>
        <w:tc>
          <w:tcPr>
            <w:tcW w:w="1854" w:type="dxa"/>
            <w:tcBorders>
              <w:top w:val="single" w:sz="12" w:space="0" w:color="auto"/>
            </w:tcBorders>
            <w:shd w:val="clear" w:color="auto" w:fill="auto"/>
            <w:vAlign w:val="bottom"/>
          </w:tcPr>
          <w:p w:rsidR="00164AD8" w:rsidRPr="004A4039" w:rsidRDefault="00164AD8" w:rsidP="0032356C">
            <w:pPr>
              <w:spacing w:before="40" w:after="80" w:line="240" w:lineRule="exact"/>
              <w:rPr>
                <w:rFonts w:hint="cs"/>
                <w:sz w:val="16"/>
                <w:szCs w:val="24"/>
                <w:rtl/>
              </w:rPr>
            </w:pPr>
          </w:p>
        </w:tc>
        <w:tc>
          <w:tcPr>
            <w:tcW w:w="1180" w:type="dxa"/>
            <w:tcBorders>
              <w:top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hint="cs"/>
                <w:sz w:val="16"/>
                <w:szCs w:val="24"/>
                <w:rtl/>
              </w:rPr>
            </w:pPr>
          </w:p>
        </w:tc>
        <w:tc>
          <w:tcPr>
            <w:tcW w:w="1180" w:type="dxa"/>
            <w:tcBorders>
              <w:top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hint="cs"/>
                <w:sz w:val="16"/>
                <w:szCs w:val="24"/>
                <w:rtl/>
              </w:rPr>
            </w:pPr>
          </w:p>
        </w:tc>
        <w:tc>
          <w:tcPr>
            <w:tcW w:w="1180" w:type="dxa"/>
            <w:tcBorders>
              <w:top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hint="cs"/>
                <w:sz w:val="16"/>
                <w:szCs w:val="24"/>
                <w:rtl/>
              </w:rPr>
            </w:pPr>
          </w:p>
        </w:tc>
        <w:tc>
          <w:tcPr>
            <w:tcW w:w="1465" w:type="dxa"/>
            <w:tcBorders>
              <w:top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hint="cs"/>
                <w:sz w:val="16"/>
                <w:szCs w:val="24"/>
                <w:rtl/>
              </w:rPr>
            </w:pPr>
          </w:p>
        </w:tc>
        <w:tc>
          <w:tcPr>
            <w:tcW w:w="1591" w:type="dxa"/>
            <w:tcBorders>
              <w:top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hint="cs"/>
                <w:sz w:val="16"/>
                <w:szCs w:val="24"/>
                <w:rtl/>
              </w:rPr>
            </w:pPr>
          </w:p>
        </w:tc>
        <w:tc>
          <w:tcPr>
            <w:tcW w:w="1054" w:type="dxa"/>
            <w:tcBorders>
              <w:top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hint="cs"/>
                <w:sz w:val="16"/>
                <w:szCs w:val="24"/>
                <w:rtl/>
              </w:rPr>
            </w:pP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نانوميا</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40</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14</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5</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نانومانغا</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49</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22</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نيوتاو</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25</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27</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32</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نوي</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4</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12</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37</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فايتوبو</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63</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95</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12</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9</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43</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نوكوفيتاو</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95</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فونافوتي</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270</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243</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40</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18</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27</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6</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نوكولالا</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9</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54</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نيولاكيتا</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7</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1</w:t>
            </w:r>
          </w:p>
        </w:tc>
        <w:tc>
          <w:tcPr>
            <w:tcW w:w="1180"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465"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591"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c>
          <w:tcPr>
            <w:tcW w:w="1054" w:type="dxa"/>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صفر</w:t>
            </w:r>
          </w:p>
        </w:tc>
      </w:tr>
      <w:tr w:rsidR="00164AD8" w:rsidRPr="004A4039">
        <w:trPr>
          <w:cantSplit/>
          <w:jc w:val="center"/>
        </w:trPr>
        <w:tc>
          <w:tcPr>
            <w:tcW w:w="1854" w:type="dxa"/>
            <w:tcBorders>
              <w:bottom w:val="single" w:sz="12" w:space="0" w:color="auto"/>
            </w:tcBorders>
            <w:shd w:val="clear" w:color="auto" w:fill="auto"/>
            <w:vAlign w:val="bottom"/>
          </w:tcPr>
          <w:p w:rsidR="00164AD8" w:rsidRPr="004A4039" w:rsidRDefault="00164AD8" w:rsidP="0032356C">
            <w:pPr>
              <w:spacing w:before="40" w:after="80" w:line="240" w:lineRule="exact"/>
              <w:rPr>
                <w:rFonts w:cs="Traditional Arabic" w:hint="cs"/>
                <w:sz w:val="16"/>
                <w:szCs w:val="24"/>
                <w:rtl/>
              </w:rPr>
            </w:pPr>
            <w:r w:rsidRPr="004A4039">
              <w:rPr>
                <w:rFonts w:cs="Traditional Arabic" w:hint="cs"/>
                <w:sz w:val="16"/>
                <w:szCs w:val="24"/>
                <w:rtl/>
              </w:rPr>
              <w:t>المجموع</w:t>
            </w:r>
          </w:p>
        </w:tc>
        <w:tc>
          <w:tcPr>
            <w:tcW w:w="1180" w:type="dxa"/>
            <w:tcBorders>
              <w:bottom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414</w:t>
            </w:r>
          </w:p>
        </w:tc>
        <w:tc>
          <w:tcPr>
            <w:tcW w:w="1180" w:type="dxa"/>
            <w:tcBorders>
              <w:bottom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545</w:t>
            </w:r>
          </w:p>
        </w:tc>
        <w:tc>
          <w:tcPr>
            <w:tcW w:w="1180" w:type="dxa"/>
            <w:tcBorders>
              <w:bottom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204</w:t>
            </w:r>
          </w:p>
        </w:tc>
        <w:tc>
          <w:tcPr>
            <w:tcW w:w="1465" w:type="dxa"/>
            <w:tcBorders>
              <w:bottom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27</w:t>
            </w:r>
          </w:p>
        </w:tc>
        <w:tc>
          <w:tcPr>
            <w:tcW w:w="1591" w:type="dxa"/>
            <w:tcBorders>
              <w:bottom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71</w:t>
            </w:r>
          </w:p>
        </w:tc>
        <w:tc>
          <w:tcPr>
            <w:tcW w:w="1054" w:type="dxa"/>
            <w:tcBorders>
              <w:bottom w:val="single" w:sz="12" w:space="0" w:color="auto"/>
            </w:tcBorders>
            <w:shd w:val="clear" w:color="auto" w:fill="auto"/>
            <w:vAlign w:val="bottom"/>
          </w:tcPr>
          <w:p w:rsidR="00164AD8" w:rsidRPr="004A4039" w:rsidRDefault="00164AD8" w:rsidP="0032356C">
            <w:pPr>
              <w:spacing w:before="40" w:after="80" w:line="240" w:lineRule="exact"/>
              <w:ind w:right="144"/>
              <w:jc w:val="lowKashida"/>
              <w:rPr>
                <w:rFonts w:cs="Traditional Arabic" w:hint="cs"/>
                <w:sz w:val="16"/>
                <w:szCs w:val="24"/>
                <w:rtl/>
              </w:rPr>
            </w:pPr>
            <w:r w:rsidRPr="004A4039">
              <w:rPr>
                <w:rFonts w:cs="Traditional Arabic" w:hint="cs"/>
                <w:sz w:val="16"/>
                <w:szCs w:val="24"/>
                <w:rtl/>
              </w:rPr>
              <w:t>6</w:t>
            </w:r>
          </w:p>
        </w:tc>
      </w:tr>
    </w:tbl>
    <w:p w:rsidR="009C35E0" w:rsidRDefault="009C35E0" w:rsidP="009C35E0">
      <w:pPr>
        <w:rPr>
          <w:b/>
          <w:bCs/>
          <w:sz w:val="32"/>
          <w:szCs w:val="32"/>
          <w:rtl/>
        </w:rPr>
      </w:pPr>
    </w:p>
    <w:p w:rsidR="009C35E0" w:rsidRDefault="009C35E0" w:rsidP="009C35E0">
      <w:pPr>
        <w:jc w:val="center"/>
        <w:rPr>
          <w:rFonts w:hint="cs"/>
          <w:b/>
          <w:bCs/>
          <w:sz w:val="32"/>
          <w:szCs w:val="32"/>
          <w:rtl/>
        </w:rPr>
      </w:pPr>
      <w:r w:rsidRPr="00135052">
        <w:rPr>
          <w:rFonts w:hint="cs"/>
          <w:b/>
          <w:bCs/>
          <w:sz w:val="28"/>
          <w:szCs w:val="28"/>
          <w:rtl/>
        </w:rPr>
        <w:t>الجدول 34: المساكن وأنواع</w:t>
      </w:r>
      <w:r>
        <w:rPr>
          <w:rFonts w:hint="cs"/>
          <w:b/>
          <w:bCs/>
          <w:sz w:val="28"/>
          <w:szCs w:val="28"/>
          <w:rtl/>
        </w:rPr>
        <w:t>ها</w:t>
      </w:r>
      <w:r w:rsidRPr="00135052">
        <w:rPr>
          <w:rFonts w:hint="cs"/>
          <w:b/>
          <w:bCs/>
          <w:sz w:val="28"/>
          <w:szCs w:val="28"/>
          <w:rtl/>
        </w:rPr>
        <w:t xml:space="preserve"> موزعة حسب الجزيرة، عام 2002 (تابع</w:t>
      </w:r>
      <w:r>
        <w:rPr>
          <w:rFonts w:hint="cs"/>
          <w:b/>
          <w:bCs/>
          <w:sz w:val="32"/>
          <w:szCs w:val="32"/>
          <w:rtl/>
        </w:rPr>
        <w:t>)</w:t>
      </w:r>
    </w:p>
    <w:p w:rsidR="00653ACD" w:rsidRPr="00653ACD" w:rsidRDefault="00653ACD" w:rsidP="00653ACD">
      <w:pPr>
        <w:spacing w:line="120" w:lineRule="exact"/>
        <w:jc w:val="center"/>
        <w:rPr>
          <w:rFonts w:hint="cs"/>
          <w:b/>
          <w:bCs/>
          <w:sz w:val="10"/>
          <w:szCs w:val="32"/>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61"/>
        <w:gridCol w:w="1531"/>
        <w:gridCol w:w="1008"/>
        <w:gridCol w:w="1008"/>
        <w:gridCol w:w="1008"/>
        <w:gridCol w:w="1008"/>
        <w:gridCol w:w="1008"/>
      </w:tblGrid>
      <w:tr w:rsidR="00164AD8" w:rsidRPr="00164AD8">
        <w:trPr>
          <w:cantSplit/>
          <w:tblHeader/>
          <w:jc w:val="center"/>
        </w:trPr>
        <w:tc>
          <w:tcPr>
            <w:tcW w:w="1061" w:type="dxa"/>
            <w:tcBorders>
              <w:top w:val="single" w:sz="4" w:space="0" w:color="auto"/>
            </w:tcBorders>
            <w:shd w:val="clear" w:color="auto" w:fill="auto"/>
            <w:vAlign w:val="bottom"/>
          </w:tcPr>
          <w:p w:rsidR="00164AD8" w:rsidRPr="00164AD8" w:rsidRDefault="00164AD8" w:rsidP="00653ACD">
            <w:pPr>
              <w:spacing w:before="80" w:after="80" w:line="220" w:lineRule="exact"/>
              <w:rPr>
                <w:rFonts w:cs="Traditional Arabic" w:hint="cs"/>
                <w:i/>
                <w:iCs/>
                <w:sz w:val="16"/>
                <w:szCs w:val="24"/>
                <w:rtl/>
              </w:rPr>
            </w:pPr>
          </w:p>
        </w:tc>
        <w:tc>
          <w:tcPr>
            <w:tcW w:w="1531" w:type="dxa"/>
            <w:tcBorders>
              <w:top w:val="single" w:sz="4" w:space="0" w:color="auto"/>
              <w:bottom w:val="single" w:sz="4" w:space="0" w:color="auto"/>
            </w:tcBorders>
            <w:shd w:val="clear" w:color="auto" w:fill="auto"/>
            <w:vAlign w:val="bottom"/>
          </w:tcPr>
          <w:p w:rsidR="00164AD8" w:rsidRPr="00164AD8" w:rsidRDefault="00164AD8" w:rsidP="00653ACD">
            <w:pPr>
              <w:spacing w:before="80" w:after="80" w:line="220" w:lineRule="exact"/>
              <w:ind w:right="144"/>
              <w:jc w:val="lowKashida"/>
              <w:rPr>
                <w:rFonts w:cs="Traditional Arabic" w:hint="cs"/>
                <w:i/>
                <w:iCs/>
                <w:sz w:val="16"/>
                <w:szCs w:val="24"/>
                <w:rtl/>
              </w:rPr>
            </w:pPr>
          </w:p>
        </w:tc>
        <w:tc>
          <w:tcPr>
            <w:tcW w:w="1008" w:type="dxa"/>
            <w:tcBorders>
              <w:top w:val="single" w:sz="4" w:space="0" w:color="auto"/>
              <w:bottom w:val="single" w:sz="4" w:space="0" w:color="auto"/>
            </w:tcBorders>
            <w:shd w:val="clear" w:color="auto" w:fill="auto"/>
            <w:vAlign w:val="bottom"/>
          </w:tcPr>
          <w:p w:rsidR="00164AD8" w:rsidRPr="00164AD8" w:rsidRDefault="00164AD8" w:rsidP="00653ACD">
            <w:pPr>
              <w:spacing w:before="80" w:after="80" w:line="220" w:lineRule="exact"/>
              <w:ind w:right="144"/>
              <w:jc w:val="lowKashida"/>
              <w:rPr>
                <w:rFonts w:cs="Traditional Arabic" w:hint="cs"/>
                <w:i/>
                <w:iCs/>
                <w:sz w:val="16"/>
                <w:szCs w:val="24"/>
                <w:rtl/>
              </w:rPr>
            </w:pPr>
          </w:p>
        </w:tc>
        <w:tc>
          <w:tcPr>
            <w:tcW w:w="1008" w:type="dxa"/>
            <w:tcBorders>
              <w:top w:val="single" w:sz="4" w:space="0" w:color="auto"/>
              <w:bottom w:val="single" w:sz="4" w:space="0" w:color="auto"/>
            </w:tcBorders>
            <w:shd w:val="clear" w:color="auto" w:fill="auto"/>
            <w:vAlign w:val="bottom"/>
          </w:tcPr>
          <w:p w:rsidR="00164AD8" w:rsidRPr="00164AD8" w:rsidRDefault="00164AD8" w:rsidP="00653ACD">
            <w:pPr>
              <w:spacing w:before="80" w:after="80" w:line="220" w:lineRule="exact"/>
              <w:ind w:right="144"/>
              <w:jc w:val="lowKashida"/>
              <w:rPr>
                <w:rFonts w:cs="Traditional Arabic" w:hint="cs"/>
                <w:i/>
                <w:iCs/>
                <w:sz w:val="16"/>
                <w:szCs w:val="24"/>
                <w:rtl/>
              </w:rPr>
            </w:pPr>
            <w:r w:rsidRPr="00164AD8">
              <w:rPr>
                <w:rFonts w:cs="Traditional Arabic" w:hint="cs"/>
                <w:i/>
                <w:iCs/>
                <w:sz w:val="16"/>
                <w:szCs w:val="24"/>
                <w:rtl/>
              </w:rPr>
              <w:t>نوع المسكن</w:t>
            </w:r>
          </w:p>
        </w:tc>
        <w:tc>
          <w:tcPr>
            <w:tcW w:w="1008" w:type="dxa"/>
            <w:tcBorders>
              <w:top w:val="single" w:sz="4" w:space="0" w:color="auto"/>
              <w:bottom w:val="single" w:sz="4" w:space="0" w:color="auto"/>
            </w:tcBorders>
            <w:shd w:val="clear" w:color="auto" w:fill="auto"/>
            <w:vAlign w:val="bottom"/>
          </w:tcPr>
          <w:p w:rsidR="00164AD8" w:rsidRPr="00164AD8" w:rsidRDefault="00164AD8" w:rsidP="00653ACD">
            <w:pPr>
              <w:spacing w:before="80" w:after="80" w:line="220" w:lineRule="exact"/>
              <w:ind w:right="144"/>
              <w:jc w:val="lowKashida"/>
              <w:rPr>
                <w:rFonts w:cs="Traditional Arabic" w:hint="cs"/>
                <w:i/>
                <w:iCs/>
                <w:sz w:val="16"/>
                <w:szCs w:val="24"/>
                <w:rtl/>
              </w:rPr>
            </w:pPr>
          </w:p>
        </w:tc>
        <w:tc>
          <w:tcPr>
            <w:tcW w:w="1008" w:type="dxa"/>
            <w:tcBorders>
              <w:top w:val="single" w:sz="4" w:space="0" w:color="auto"/>
              <w:bottom w:val="single" w:sz="4" w:space="0" w:color="auto"/>
            </w:tcBorders>
            <w:shd w:val="clear" w:color="auto" w:fill="auto"/>
            <w:vAlign w:val="bottom"/>
          </w:tcPr>
          <w:p w:rsidR="00164AD8" w:rsidRPr="00164AD8" w:rsidRDefault="00164AD8" w:rsidP="00653ACD">
            <w:pPr>
              <w:spacing w:before="80" w:after="80" w:line="220" w:lineRule="exact"/>
              <w:ind w:right="144"/>
              <w:jc w:val="lowKashida"/>
              <w:rPr>
                <w:rFonts w:cs="Traditional Arabic" w:hint="cs"/>
                <w:i/>
                <w:iCs/>
                <w:sz w:val="16"/>
                <w:szCs w:val="24"/>
                <w:rtl/>
              </w:rPr>
            </w:pPr>
          </w:p>
        </w:tc>
        <w:tc>
          <w:tcPr>
            <w:tcW w:w="1008" w:type="dxa"/>
            <w:tcBorders>
              <w:top w:val="single" w:sz="4" w:space="0" w:color="auto"/>
              <w:bottom w:val="single" w:sz="4" w:space="0" w:color="auto"/>
            </w:tcBorders>
            <w:shd w:val="clear" w:color="auto" w:fill="auto"/>
            <w:vAlign w:val="bottom"/>
          </w:tcPr>
          <w:p w:rsidR="00164AD8" w:rsidRPr="00164AD8" w:rsidRDefault="00164AD8" w:rsidP="00653ACD">
            <w:pPr>
              <w:spacing w:before="80" w:after="80" w:line="220" w:lineRule="exact"/>
              <w:ind w:right="144"/>
              <w:jc w:val="lowKashida"/>
              <w:rPr>
                <w:rFonts w:cs="Traditional Arabic" w:hint="cs"/>
                <w:i/>
                <w:iCs/>
                <w:sz w:val="16"/>
                <w:szCs w:val="24"/>
                <w:rtl/>
              </w:rPr>
            </w:pPr>
          </w:p>
        </w:tc>
      </w:tr>
      <w:tr w:rsidR="00164AD8" w:rsidRPr="00164AD8">
        <w:trPr>
          <w:cantSplit/>
          <w:tblHeader/>
          <w:jc w:val="center"/>
        </w:trPr>
        <w:tc>
          <w:tcPr>
            <w:tcW w:w="1061" w:type="dxa"/>
            <w:tcBorders>
              <w:bottom w:val="single" w:sz="12" w:space="0" w:color="auto"/>
            </w:tcBorders>
            <w:shd w:val="clear" w:color="auto" w:fill="auto"/>
            <w:vAlign w:val="bottom"/>
          </w:tcPr>
          <w:p w:rsidR="00164AD8" w:rsidRPr="00164AD8" w:rsidRDefault="00164AD8" w:rsidP="00653ACD">
            <w:pPr>
              <w:spacing w:after="80" w:line="220" w:lineRule="exact"/>
              <w:rPr>
                <w:rFonts w:cs="Traditional Arabic" w:hint="cs"/>
                <w:i/>
                <w:iCs/>
                <w:sz w:val="16"/>
                <w:szCs w:val="24"/>
                <w:rtl/>
              </w:rPr>
            </w:pPr>
          </w:p>
        </w:tc>
        <w:tc>
          <w:tcPr>
            <w:tcW w:w="1531" w:type="dxa"/>
            <w:tcBorders>
              <w:top w:val="single" w:sz="4" w:space="0" w:color="auto"/>
              <w:bottom w:val="single" w:sz="12" w:space="0" w:color="auto"/>
            </w:tcBorders>
            <w:shd w:val="clear" w:color="auto" w:fill="auto"/>
            <w:vAlign w:val="bottom"/>
          </w:tcPr>
          <w:p w:rsidR="00164AD8" w:rsidRPr="00164AD8" w:rsidRDefault="00164AD8" w:rsidP="00653ACD">
            <w:pPr>
              <w:spacing w:after="80" w:line="220" w:lineRule="exact"/>
              <w:ind w:right="144"/>
              <w:jc w:val="lowKashida"/>
              <w:rPr>
                <w:rFonts w:cs="Traditional Arabic" w:hint="cs"/>
                <w:i/>
                <w:iCs/>
                <w:sz w:val="16"/>
                <w:szCs w:val="24"/>
                <w:rtl/>
              </w:rPr>
            </w:pPr>
            <w:r w:rsidRPr="00164AD8">
              <w:rPr>
                <w:rFonts w:cs="Traditional Arabic" w:hint="cs"/>
                <w:i/>
                <w:iCs/>
                <w:sz w:val="16"/>
                <w:szCs w:val="24"/>
                <w:rtl/>
              </w:rPr>
              <w:t>مبنى ملاصق لمبنى غير سكني</w:t>
            </w:r>
          </w:p>
        </w:tc>
        <w:tc>
          <w:tcPr>
            <w:tcW w:w="1008" w:type="dxa"/>
            <w:tcBorders>
              <w:top w:val="single" w:sz="4" w:space="0" w:color="auto"/>
              <w:bottom w:val="single" w:sz="12" w:space="0" w:color="auto"/>
            </w:tcBorders>
            <w:shd w:val="clear" w:color="auto" w:fill="auto"/>
            <w:vAlign w:val="bottom"/>
          </w:tcPr>
          <w:p w:rsidR="00164AD8" w:rsidRPr="00164AD8" w:rsidRDefault="00164AD8" w:rsidP="00653ACD">
            <w:pPr>
              <w:spacing w:after="80" w:line="220" w:lineRule="exact"/>
              <w:ind w:right="144"/>
              <w:jc w:val="lowKashida"/>
              <w:rPr>
                <w:rFonts w:cs="Traditional Arabic" w:hint="cs"/>
                <w:i/>
                <w:iCs/>
                <w:sz w:val="16"/>
                <w:szCs w:val="24"/>
                <w:rtl/>
              </w:rPr>
            </w:pPr>
            <w:r w:rsidRPr="00164AD8">
              <w:rPr>
                <w:rFonts w:cs="Traditional Arabic" w:hint="cs"/>
                <w:i/>
                <w:iCs/>
                <w:sz w:val="16"/>
                <w:szCs w:val="24"/>
                <w:rtl/>
              </w:rPr>
              <w:t>منزل</w:t>
            </w:r>
          </w:p>
        </w:tc>
        <w:tc>
          <w:tcPr>
            <w:tcW w:w="1008" w:type="dxa"/>
            <w:tcBorders>
              <w:top w:val="single" w:sz="4" w:space="0" w:color="auto"/>
              <w:bottom w:val="single" w:sz="12" w:space="0" w:color="auto"/>
            </w:tcBorders>
            <w:shd w:val="clear" w:color="auto" w:fill="auto"/>
            <w:vAlign w:val="bottom"/>
          </w:tcPr>
          <w:p w:rsidR="00164AD8" w:rsidRPr="00164AD8" w:rsidRDefault="00164AD8" w:rsidP="00653ACD">
            <w:pPr>
              <w:spacing w:after="80" w:line="220" w:lineRule="exact"/>
              <w:ind w:right="144"/>
              <w:jc w:val="lowKashida"/>
              <w:rPr>
                <w:rFonts w:cs="Traditional Arabic" w:hint="cs"/>
                <w:i/>
                <w:iCs/>
                <w:sz w:val="16"/>
                <w:szCs w:val="24"/>
                <w:rtl/>
              </w:rPr>
            </w:pPr>
            <w:r w:rsidRPr="00164AD8">
              <w:rPr>
                <w:rFonts w:cs="Traditional Arabic" w:hint="cs"/>
                <w:i/>
                <w:iCs/>
                <w:sz w:val="16"/>
                <w:szCs w:val="24"/>
                <w:rtl/>
              </w:rPr>
              <w:t>تقليدي</w:t>
            </w:r>
          </w:p>
        </w:tc>
        <w:tc>
          <w:tcPr>
            <w:tcW w:w="1008" w:type="dxa"/>
            <w:tcBorders>
              <w:top w:val="single" w:sz="4" w:space="0" w:color="auto"/>
              <w:bottom w:val="single" w:sz="12" w:space="0" w:color="auto"/>
            </w:tcBorders>
            <w:shd w:val="clear" w:color="auto" w:fill="auto"/>
            <w:vAlign w:val="bottom"/>
          </w:tcPr>
          <w:p w:rsidR="00164AD8" w:rsidRPr="00164AD8" w:rsidRDefault="00164AD8" w:rsidP="00653ACD">
            <w:pPr>
              <w:spacing w:after="80" w:line="220" w:lineRule="exact"/>
              <w:ind w:right="144"/>
              <w:jc w:val="lowKashida"/>
              <w:rPr>
                <w:rFonts w:cs="Traditional Arabic" w:hint="cs"/>
                <w:i/>
                <w:iCs/>
                <w:sz w:val="16"/>
                <w:szCs w:val="24"/>
                <w:rtl/>
              </w:rPr>
            </w:pPr>
            <w:r w:rsidRPr="00164AD8">
              <w:rPr>
                <w:rFonts w:cs="Traditional Arabic" w:hint="cs"/>
                <w:i/>
                <w:iCs/>
                <w:sz w:val="16"/>
                <w:szCs w:val="24"/>
                <w:rtl/>
              </w:rPr>
              <w:t>مؤسسة</w:t>
            </w:r>
          </w:p>
        </w:tc>
        <w:tc>
          <w:tcPr>
            <w:tcW w:w="1008" w:type="dxa"/>
            <w:tcBorders>
              <w:top w:val="single" w:sz="4" w:space="0" w:color="auto"/>
              <w:bottom w:val="single" w:sz="12" w:space="0" w:color="auto"/>
            </w:tcBorders>
            <w:shd w:val="clear" w:color="auto" w:fill="auto"/>
            <w:vAlign w:val="bottom"/>
          </w:tcPr>
          <w:p w:rsidR="00164AD8" w:rsidRPr="00164AD8" w:rsidRDefault="00164AD8" w:rsidP="00653ACD">
            <w:pPr>
              <w:spacing w:after="80" w:line="220" w:lineRule="exact"/>
              <w:ind w:right="144"/>
              <w:jc w:val="lowKashida"/>
              <w:rPr>
                <w:rFonts w:cs="Traditional Arabic" w:hint="cs"/>
                <w:i/>
                <w:iCs/>
                <w:sz w:val="16"/>
                <w:szCs w:val="24"/>
                <w:rtl/>
              </w:rPr>
            </w:pPr>
            <w:r w:rsidRPr="00164AD8">
              <w:rPr>
                <w:rFonts w:cs="Traditional Arabic" w:hint="cs"/>
                <w:i/>
                <w:iCs/>
                <w:sz w:val="16"/>
                <w:szCs w:val="24"/>
                <w:rtl/>
              </w:rPr>
              <w:t>أخرى</w:t>
            </w:r>
          </w:p>
        </w:tc>
        <w:tc>
          <w:tcPr>
            <w:tcW w:w="1008" w:type="dxa"/>
            <w:tcBorders>
              <w:top w:val="single" w:sz="4" w:space="0" w:color="auto"/>
              <w:bottom w:val="single" w:sz="12" w:space="0" w:color="auto"/>
            </w:tcBorders>
            <w:shd w:val="clear" w:color="auto" w:fill="auto"/>
            <w:vAlign w:val="bottom"/>
          </w:tcPr>
          <w:p w:rsidR="00164AD8" w:rsidRPr="00164AD8" w:rsidRDefault="00164AD8" w:rsidP="00653ACD">
            <w:pPr>
              <w:spacing w:after="80" w:line="220" w:lineRule="exact"/>
              <w:ind w:right="144"/>
              <w:jc w:val="lowKashida"/>
              <w:rPr>
                <w:rFonts w:cs="Traditional Arabic" w:hint="cs"/>
                <w:i/>
                <w:iCs/>
                <w:sz w:val="16"/>
                <w:szCs w:val="24"/>
                <w:rtl/>
              </w:rPr>
            </w:pPr>
            <w:r w:rsidRPr="00164AD8">
              <w:rPr>
                <w:rFonts w:cs="Traditional Arabic" w:hint="cs"/>
                <w:i/>
                <w:iCs/>
                <w:sz w:val="16"/>
                <w:szCs w:val="24"/>
                <w:rtl/>
              </w:rPr>
              <w:t>المجموع</w:t>
            </w:r>
          </w:p>
        </w:tc>
      </w:tr>
      <w:tr w:rsidR="00164AD8" w:rsidRPr="00164AD8">
        <w:trPr>
          <w:cantSplit/>
          <w:trHeight w:hRule="exact" w:val="115"/>
          <w:tblHeader/>
          <w:jc w:val="center"/>
        </w:trPr>
        <w:tc>
          <w:tcPr>
            <w:tcW w:w="1061" w:type="dxa"/>
            <w:tcBorders>
              <w:top w:val="single" w:sz="12" w:space="0" w:color="auto"/>
            </w:tcBorders>
            <w:shd w:val="clear" w:color="auto" w:fill="auto"/>
            <w:vAlign w:val="bottom"/>
          </w:tcPr>
          <w:p w:rsidR="00164AD8" w:rsidRPr="00164AD8" w:rsidRDefault="00164AD8" w:rsidP="00164AD8">
            <w:pPr>
              <w:spacing w:before="40" w:after="80" w:line="240" w:lineRule="exact"/>
              <w:rPr>
                <w:rFonts w:hint="cs"/>
                <w:sz w:val="16"/>
                <w:szCs w:val="24"/>
                <w:rtl/>
              </w:rPr>
            </w:pPr>
          </w:p>
        </w:tc>
        <w:tc>
          <w:tcPr>
            <w:tcW w:w="1531" w:type="dxa"/>
            <w:tcBorders>
              <w:top w:val="single" w:sz="12" w:space="0" w:color="auto"/>
            </w:tcBorders>
            <w:shd w:val="clear" w:color="auto" w:fill="auto"/>
            <w:vAlign w:val="bottom"/>
          </w:tcPr>
          <w:p w:rsidR="00164AD8" w:rsidRPr="00164AD8" w:rsidRDefault="00164AD8" w:rsidP="00164AD8">
            <w:pPr>
              <w:spacing w:before="40" w:after="80" w:line="240" w:lineRule="exact"/>
              <w:ind w:right="144"/>
              <w:jc w:val="lowKashida"/>
              <w:rPr>
                <w:rFonts w:hint="cs"/>
                <w:b/>
                <w:bCs/>
                <w:sz w:val="16"/>
                <w:szCs w:val="24"/>
                <w:rtl/>
              </w:rPr>
            </w:pPr>
          </w:p>
        </w:tc>
        <w:tc>
          <w:tcPr>
            <w:tcW w:w="1008" w:type="dxa"/>
            <w:tcBorders>
              <w:top w:val="single" w:sz="12" w:space="0" w:color="auto"/>
            </w:tcBorders>
            <w:shd w:val="clear" w:color="auto" w:fill="auto"/>
            <w:vAlign w:val="bottom"/>
          </w:tcPr>
          <w:p w:rsidR="00164AD8" w:rsidRPr="00164AD8" w:rsidRDefault="00164AD8" w:rsidP="00164AD8">
            <w:pPr>
              <w:spacing w:before="40" w:after="80" w:line="240" w:lineRule="exact"/>
              <w:ind w:right="144"/>
              <w:jc w:val="lowKashida"/>
              <w:rPr>
                <w:rFonts w:hint="cs"/>
                <w:b/>
                <w:bCs/>
                <w:sz w:val="16"/>
                <w:szCs w:val="24"/>
                <w:rtl/>
              </w:rPr>
            </w:pPr>
          </w:p>
        </w:tc>
        <w:tc>
          <w:tcPr>
            <w:tcW w:w="1008" w:type="dxa"/>
            <w:tcBorders>
              <w:top w:val="single" w:sz="12" w:space="0" w:color="auto"/>
            </w:tcBorders>
            <w:shd w:val="clear" w:color="auto" w:fill="auto"/>
            <w:vAlign w:val="bottom"/>
          </w:tcPr>
          <w:p w:rsidR="00164AD8" w:rsidRPr="00164AD8" w:rsidRDefault="00164AD8" w:rsidP="00164AD8">
            <w:pPr>
              <w:spacing w:before="40" w:after="80" w:line="240" w:lineRule="exact"/>
              <w:ind w:right="144"/>
              <w:jc w:val="lowKashida"/>
              <w:rPr>
                <w:rFonts w:hint="cs"/>
                <w:b/>
                <w:bCs/>
                <w:sz w:val="16"/>
                <w:szCs w:val="24"/>
                <w:rtl/>
              </w:rPr>
            </w:pPr>
          </w:p>
        </w:tc>
        <w:tc>
          <w:tcPr>
            <w:tcW w:w="1008" w:type="dxa"/>
            <w:tcBorders>
              <w:top w:val="single" w:sz="12" w:space="0" w:color="auto"/>
            </w:tcBorders>
            <w:shd w:val="clear" w:color="auto" w:fill="auto"/>
            <w:vAlign w:val="bottom"/>
          </w:tcPr>
          <w:p w:rsidR="00164AD8" w:rsidRPr="00164AD8" w:rsidRDefault="00164AD8" w:rsidP="00164AD8">
            <w:pPr>
              <w:spacing w:before="40" w:after="80" w:line="240" w:lineRule="exact"/>
              <w:ind w:right="144"/>
              <w:jc w:val="lowKashida"/>
              <w:rPr>
                <w:rFonts w:hint="cs"/>
                <w:b/>
                <w:bCs/>
                <w:sz w:val="16"/>
                <w:szCs w:val="24"/>
                <w:rtl/>
              </w:rPr>
            </w:pPr>
          </w:p>
        </w:tc>
        <w:tc>
          <w:tcPr>
            <w:tcW w:w="1008" w:type="dxa"/>
            <w:tcBorders>
              <w:top w:val="single" w:sz="12" w:space="0" w:color="auto"/>
            </w:tcBorders>
            <w:shd w:val="clear" w:color="auto" w:fill="auto"/>
            <w:vAlign w:val="bottom"/>
          </w:tcPr>
          <w:p w:rsidR="00164AD8" w:rsidRPr="00164AD8" w:rsidRDefault="00164AD8" w:rsidP="00164AD8">
            <w:pPr>
              <w:spacing w:before="40" w:after="80" w:line="240" w:lineRule="exact"/>
              <w:ind w:right="144"/>
              <w:jc w:val="lowKashida"/>
              <w:rPr>
                <w:rFonts w:hint="cs"/>
                <w:b/>
                <w:bCs/>
                <w:sz w:val="16"/>
                <w:szCs w:val="24"/>
                <w:rtl/>
              </w:rPr>
            </w:pPr>
          </w:p>
        </w:tc>
        <w:tc>
          <w:tcPr>
            <w:tcW w:w="1008" w:type="dxa"/>
            <w:tcBorders>
              <w:top w:val="single" w:sz="12" w:space="0" w:color="auto"/>
            </w:tcBorders>
            <w:shd w:val="clear" w:color="auto" w:fill="auto"/>
            <w:vAlign w:val="bottom"/>
          </w:tcPr>
          <w:p w:rsidR="00164AD8" w:rsidRPr="00164AD8" w:rsidRDefault="00164AD8" w:rsidP="00164AD8">
            <w:pPr>
              <w:spacing w:before="40" w:after="80" w:line="240" w:lineRule="exact"/>
              <w:ind w:right="144"/>
              <w:jc w:val="lowKashida"/>
              <w:rPr>
                <w:rFonts w:hint="cs"/>
                <w:b/>
                <w:bCs/>
                <w:sz w:val="16"/>
                <w:szCs w:val="24"/>
                <w:rtl/>
              </w:rPr>
            </w:pP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نانوميا</w:t>
            </w:r>
          </w:p>
        </w:tc>
        <w:tc>
          <w:tcPr>
            <w:tcW w:w="1531"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C52D7">
              <w:rPr>
                <w:rFonts w:cs="Traditional Arabic" w:hint="cs"/>
                <w:sz w:val="28"/>
                <w:szCs w:val="28"/>
                <w:rtl/>
              </w:rPr>
              <w:t>69</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C52D7">
              <w:rPr>
                <w:rFonts w:cs="Traditional Arabic" w:hint="cs"/>
                <w:sz w:val="28"/>
                <w:szCs w:val="28"/>
                <w:rtl/>
              </w:rPr>
              <w:t>128</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نانومانغا</w:t>
            </w:r>
          </w:p>
        </w:tc>
        <w:tc>
          <w:tcPr>
            <w:tcW w:w="1531"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C52D7">
              <w:rPr>
                <w:rFonts w:cs="Traditional Arabic" w:hint="cs"/>
                <w:sz w:val="28"/>
                <w:szCs w:val="28"/>
                <w:rtl/>
              </w:rPr>
              <w:t>46</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C52D7">
              <w:rPr>
                <w:rFonts w:cs="Traditional Arabic" w:hint="cs"/>
                <w:sz w:val="28"/>
                <w:szCs w:val="28"/>
                <w:rtl/>
              </w:rPr>
              <w:t>119</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نيوتاو</w:t>
            </w:r>
          </w:p>
        </w:tc>
        <w:tc>
          <w:tcPr>
            <w:tcW w:w="1531"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C52D7">
              <w:rPr>
                <w:rFonts w:cs="Traditional Arabic" w:hint="cs"/>
                <w:sz w:val="28"/>
                <w:szCs w:val="28"/>
                <w:rtl/>
              </w:rPr>
              <w:t>59</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D1B7D">
              <w:rPr>
                <w:rFonts w:cs="Traditional Arabic" w:hint="cs"/>
                <w:sz w:val="28"/>
                <w:szCs w:val="28"/>
                <w:rtl/>
              </w:rPr>
              <w:t>صفر</w:t>
            </w:r>
          </w:p>
        </w:tc>
        <w:tc>
          <w:tcPr>
            <w:tcW w:w="1008" w:type="dxa"/>
            <w:shd w:val="clear" w:color="auto" w:fill="auto"/>
          </w:tcPr>
          <w:p w:rsidR="00653ACD" w:rsidRPr="007C52D7" w:rsidRDefault="00653ACD" w:rsidP="00653ACD">
            <w:pPr>
              <w:spacing w:line="200" w:lineRule="exact"/>
              <w:rPr>
                <w:rFonts w:cs="Traditional Arabic" w:hint="cs"/>
                <w:sz w:val="28"/>
                <w:szCs w:val="28"/>
                <w:rtl/>
              </w:rPr>
            </w:pPr>
            <w:r w:rsidRPr="007C52D7">
              <w:rPr>
                <w:rFonts w:cs="Traditional Arabic" w:hint="cs"/>
                <w:sz w:val="28"/>
                <w:szCs w:val="28"/>
                <w:rtl/>
              </w:rPr>
              <w:t>143</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نوي</w:t>
            </w:r>
          </w:p>
        </w:tc>
        <w:tc>
          <w:tcPr>
            <w:tcW w:w="1531"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54</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108</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فايتوبو</w:t>
            </w:r>
          </w:p>
        </w:tc>
        <w:tc>
          <w:tcPr>
            <w:tcW w:w="1531"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14</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10</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247</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نوكوفيتاو</w:t>
            </w:r>
          </w:p>
        </w:tc>
        <w:tc>
          <w:tcPr>
            <w:tcW w:w="1531"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13</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6</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119</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فونافوتي</w:t>
            </w:r>
          </w:p>
        </w:tc>
        <w:tc>
          <w:tcPr>
            <w:tcW w:w="1531"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b/>
                <w:bCs/>
                <w:sz w:val="16"/>
                <w:szCs w:val="24"/>
                <w:rtl/>
              </w:rPr>
              <w:t>2</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12</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20</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sz w:val="16"/>
                <w:szCs w:val="24"/>
                <w:rtl/>
              </w:rPr>
            </w:pPr>
            <w:r w:rsidRPr="00164AD8">
              <w:rPr>
                <w:rFonts w:cs="Traditional Arabic" w:hint="cs"/>
                <w:sz w:val="16"/>
                <w:szCs w:val="24"/>
                <w:rtl/>
              </w:rPr>
              <w:t>639</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نوكولالا</w:t>
            </w:r>
          </w:p>
        </w:tc>
        <w:tc>
          <w:tcPr>
            <w:tcW w:w="1531"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b/>
                <w:bCs/>
                <w:sz w:val="16"/>
                <w:szCs w:val="24"/>
                <w:rtl/>
              </w:rPr>
              <w:t>2</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b/>
                <w:bCs/>
                <w:sz w:val="16"/>
                <w:szCs w:val="24"/>
                <w:rtl/>
              </w:rPr>
              <w:t>1</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b/>
                <w:bCs/>
                <w:sz w:val="16"/>
                <w:szCs w:val="24"/>
                <w:rtl/>
              </w:rPr>
              <w:t>68</w:t>
            </w:r>
          </w:p>
        </w:tc>
      </w:tr>
      <w:tr w:rsidR="00653ACD" w:rsidRPr="00164AD8">
        <w:trPr>
          <w:cantSplit/>
          <w:jc w:val="center"/>
        </w:trPr>
        <w:tc>
          <w:tcPr>
            <w:tcW w:w="1061" w:type="dxa"/>
            <w:shd w:val="clear" w:color="auto" w:fill="auto"/>
            <w:vAlign w:val="bottom"/>
          </w:tcPr>
          <w:p w:rsidR="00653ACD" w:rsidRPr="00164AD8" w:rsidRDefault="00653ACD" w:rsidP="00653ACD">
            <w:pPr>
              <w:spacing w:before="40" w:after="80" w:line="200" w:lineRule="exact"/>
              <w:rPr>
                <w:rFonts w:cs="Traditional Arabic" w:hint="cs"/>
                <w:sz w:val="16"/>
                <w:szCs w:val="24"/>
                <w:rtl/>
              </w:rPr>
            </w:pPr>
            <w:r w:rsidRPr="00164AD8">
              <w:rPr>
                <w:rFonts w:cs="Traditional Arabic" w:hint="cs"/>
                <w:sz w:val="16"/>
                <w:szCs w:val="24"/>
                <w:rtl/>
              </w:rPr>
              <w:t>نيولاكيتا</w:t>
            </w:r>
          </w:p>
        </w:tc>
        <w:tc>
          <w:tcPr>
            <w:tcW w:w="1531"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sz w:val="16"/>
                <w:szCs w:val="24"/>
                <w:rtl/>
              </w:rPr>
              <w:t>صفر</w:t>
            </w:r>
          </w:p>
        </w:tc>
        <w:tc>
          <w:tcPr>
            <w:tcW w:w="1008" w:type="dxa"/>
            <w:shd w:val="clear" w:color="auto" w:fill="auto"/>
            <w:vAlign w:val="bottom"/>
          </w:tcPr>
          <w:p w:rsidR="00653ACD" w:rsidRPr="00164AD8" w:rsidRDefault="00653ACD" w:rsidP="00653ACD">
            <w:pPr>
              <w:spacing w:before="40" w:after="80" w:line="200" w:lineRule="exact"/>
              <w:ind w:right="144"/>
              <w:jc w:val="lowKashida"/>
              <w:rPr>
                <w:rFonts w:cs="Traditional Arabic" w:hint="cs"/>
                <w:b/>
                <w:bCs/>
                <w:sz w:val="16"/>
                <w:szCs w:val="24"/>
                <w:rtl/>
              </w:rPr>
            </w:pPr>
            <w:r w:rsidRPr="00164AD8">
              <w:rPr>
                <w:rFonts w:cs="Traditional Arabic" w:hint="cs"/>
                <w:b/>
                <w:bCs/>
                <w:sz w:val="16"/>
                <w:szCs w:val="24"/>
                <w:rtl/>
              </w:rPr>
              <w:t>8</w:t>
            </w:r>
          </w:p>
        </w:tc>
      </w:tr>
      <w:tr w:rsidR="00653ACD" w:rsidRPr="00164AD8">
        <w:trPr>
          <w:cantSplit/>
          <w:jc w:val="center"/>
        </w:trPr>
        <w:tc>
          <w:tcPr>
            <w:tcW w:w="1061" w:type="dxa"/>
            <w:tcBorders>
              <w:bottom w:val="single" w:sz="12" w:space="0" w:color="auto"/>
            </w:tcBorders>
            <w:shd w:val="clear" w:color="auto" w:fill="auto"/>
            <w:vAlign w:val="bottom"/>
          </w:tcPr>
          <w:p w:rsidR="00653ACD" w:rsidRPr="00164AD8" w:rsidRDefault="00653ACD" w:rsidP="00164AD8">
            <w:pPr>
              <w:spacing w:before="40" w:after="80" w:line="240" w:lineRule="exact"/>
              <w:rPr>
                <w:rFonts w:cs="Traditional Arabic" w:hint="cs"/>
                <w:b/>
                <w:bCs/>
                <w:sz w:val="16"/>
                <w:szCs w:val="24"/>
                <w:rtl/>
              </w:rPr>
            </w:pPr>
            <w:r w:rsidRPr="00164AD8">
              <w:rPr>
                <w:rFonts w:cs="Traditional Arabic" w:hint="cs"/>
                <w:b/>
                <w:bCs/>
                <w:sz w:val="16"/>
                <w:szCs w:val="24"/>
                <w:rtl/>
              </w:rPr>
              <w:t>المجموع</w:t>
            </w:r>
          </w:p>
        </w:tc>
        <w:tc>
          <w:tcPr>
            <w:tcW w:w="1531" w:type="dxa"/>
            <w:tcBorders>
              <w:bottom w:val="single" w:sz="12" w:space="0" w:color="auto"/>
            </w:tcBorders>
            <w:shd w:val="clear" w:color="auto" w:fill="auto"/>
            <w:vAlign w:val="bottom"/>
          </w:tcPr>
          <w:p w:rsidR="00653ACD" w:rsidRPr="00164AD8" w:rsidRDefault="00653ACD" w:rsidP="00164AD8">
            <w:pPr>
              <w:spacing w:before="40" w:after="80" w:line="240" w:lineRule="exact"/>
              <w:ind w:right="144"/>
              <w:jc w:val="lowKashida"/>
              <w:rPr>
                <w:rFonts w:cs="Traditional Arabic" w:hint="cs"/>
                <w:b/>
                <w:bCs/>
                <w:sz w:val="16"/>
                <w:szCs w:val="24"/>
                <w:rtl/>
              </w:rPr>
            </w:pPr>
            <w:r w:rsidRPr="00164AD8">
              <w:rPr>
                <w:rFonts w:cs="Traditional Arabic" w:hint="cs"/>
                <w:b/>
                <w:bCs/>
                <w:sz w:val="16"/>
                <w:szCs w:val="24"/>
                <w:rtl/>
              </w:rPr>
              <w:t>2</w:t>
            </w:r>
          </w:p>
        </w:tc>
        <w:tc>
          <w:tcPr>
            <w:tcW w:w="1008" w:type="dxa"/>
            <w:tcBorders>
              <w:bottom w:val="single" w:sz="12" w:space="0" w:color="auto"/>
            </w:tcBorders>
            <w:shd w:val="clear" w:color="auto" w:fill="auto"/>
            <w:vAlign w:val="bottom"/>
          </w:tcPr>
          <w:p w:rsidR="00653ACD" w:rsidRPr="00164AD8" w:rsidRDefault="00653ACD" w:rsidP="00164AD8">
            <w:pPr>
              <w:spacing w:before="40" w:after="80" w:line="240" w:lineRule="exact"/>
              <w:ind w:right="144"/>
              <w:jc w:val="lowKashida"/>
              <w:rPr>
                <w:rFonts w:cs="Traditional Arabic" w:hint="cs"/>
                <w:b/>
                <w:bCs/>
                <w:sz w:val="16"/>
                <w:szCs w:val="24"/>
                <w:rtl/>
              </w:rPr>
            </w:pPr>
            <w:r w:rsidRPr="00164AD8">
              <w:rPr>
                <w:rFonts w:cs="Traditional Arabic" w:hint="cs"/>
                <w:b/>
                <w:bCs/>
                <w:sz w:val="16"/>
                <w:szCs w:val="24"/>
                <w:rtl/>
              </w:rPr>
              <w:t>1</w:t>
            </w:r>
          </w:p>
        </w:tc>
        <w:tc>
          <w:tcPr>
            <w:tcW w:w="1008" w:type="dxa"/>
            <w:tcBorders>
              <w:bottom w:val="single" w:sz="12" w:space="0" w:color="auto"/>
            </w:tcBorders>
            <w:shd w:val="clear" w:color="auto" w:fill="auto"/>
            <w:vAlign w:val="bottom"/>
          </w:tcPr>
          <w:p w:rsidR="00653ACD" w:rsidRPr="00164AD8" w:rsidRDefault="00653ACD" w:rsidP="00164AD8">
            <w:pPr>
              <w:spacing w:before="40" w:after="80" w:line="240" w:lineRule="exact"/>
              <w:ind w:right="144"/>
              <w:jc w:val="lowKashida"/>
              <w:rPr>
                <w:rFonts w:cs="Traditional Arabic" w:hint="cs"/>
                <w:b/>
                <w:bCs/>
                <w:sz w:val="16"/>
                <w:szCs w:val="24"/>
                <w:rtl/>
              </w:rPr>
            </w:pPr>
            <w:r w:rsidRPr="00164AD8">
              <w:rPr>
                <w:rFonts w:cs="Traditional Arabic" w:hint="cs"/>
                <w:b/>
                <w:bCs/>
                <w:sz w:val="16"/>
                <w:szCs w:val="24"/>
                <w:rtl/>
              </w:rPr>
              <w:t>269</w:t>
            </w:r>
          </w:p>
        </w:tc>
        <w:tc>
          <w:tcPr>
            <w:tcW w:w="1008" w:type="dxa"/>
            <w:tcBorders>
              <w:bottom w:val="single" w:sz="12" w:space="0" w:color="auto"/>
            </w:tcBorders>
            <w:shd w:val="clear" w:color="auto" w:fill="auto"/>
            <w:vAlign w:val="bottom"/>
          </w:tcPr>
          <w:p w:rsidR="00653ACD" w:rsidRPr="00164AD8" w:rsidRDefault="00653ACD" w:rsidP="00164AD8">
            <w:pPr>
              <w:spacing w:before="40" w:after="80" w:line="240" w:lineRule="exact"/>
              <w:ind w:right="144"/>
              <w:jc w:val="lowKashida"/>
              <w:rPr>
                <w:rFonts w:cs="Traditional Arabic" w:hint="cs"/>
                <w:b/>
                <w:bCs/>
                <w:sz w:val="16"/>
                <w:szCs w:val="24"/>
                <w:rtl/>
              </w:rPr>
            </w:pPr>
            <w:r w:rsidRPr="00164AD8">
              <w:rPr>
                <w:rFonts w:cs="Traditional Arabic" w:hint="cs"/>
                <w:b/>
                <w:bCs/>
                <w:sz w:val="16"/>
                <w:szCs w:val="24"/>
                <w:rtl/>
              </w:rPr>
              <w:t>11</w:t>
            </w:r>
          </w:p>
        </w:tc>
        <w:tc>
          <w:tcPr>
            <w:tcW w:w="1008" w:type="dxa"/>
            <w:tcBorders>
              <w:bottom w:val="single" w:sz="12" w:space="0" w:color="auto"/>
            </w:tcBorders>
            <w:shd w:val="clear" w:color="auto" w:fill="auto"/>
            <w:vAlign w:val="bottom"/>
          </w:tcPr>
          <w:p w:rsidR="00653ACD" w:rsidRPr="00164AD8" w:rsidRDefault="00653ACD" w:rsidP="00164AD8">
            <w:pPr>
              <w:spacing w:before="40" w:after="80" w:line="240" w:lineRule="exact"/>
              <w:ind w:right="144"/>
              <w:jc w:val="lowKashida"/>
              <w:rPr>
                <w:rFonts w:cs="Traditional Arabic" w:hint="cs"/>
                <w:b/>
                <w:bCs/>
                <w:sz w:val="16"/>
                <w:szCs w:val="24"/>
                <w:rtl/>
              </w:rPr>
            </w:pPr>
            <w:r w:rsidRPr="00164AD8">
              <w:rPr>
                <w:rFonts w:cs="Traditional Arabic" w:hint="cs"/>
                <w:b/>
                <w:bCs/>
                <w:sz w:val="16"/>
                <w:szCs w:val="24"/>
                <w:rtl/>
              </w:rPr>
              <w:t>29</w:t>
            </w:r>
          </w:p>
        </w:tc>
        <w:tc>
          <w:tcPr>
            <w:tcW w:w="1008" w:type="dxa"/>
            <w:tcBorders>
              <w:bottom w:val="single" w:sz="12" w:space="0" w:color="auto"/>
            </w:tcBorders>
            <w:shd w:val="clear" w:color="auto" w:fill="auto"/>
            <w:vAlign w:val="bottom"/>
          </w:tcPr>
          <w:p w:rsidR="00653ACD" w:rsidRPr="00164AD8" w:rsidRDefault="00653ACD" w:rsidP="00164AD8">
            <w:pPr>
              <w:spacing w:before="40" w:after="80" w:line="240" w:lineRule="exact"/>
              <w:ind w:right="144"/>
              <w:jc w:val="lowKashida"/>
              <w:rPr>
                <w:rFonts w:cs="Traditional Arabic" w:hint="cs"/>
                <w:b/>
                <w:bCs/>
                <w:sz w:val="16"/>
                <w:szCs w:val="24"/>
                <w:rtl/>
              </w:rPr>
            </w:pPr>
            <w:r w:rsidRPr="00164AD8">
              <w:rPr>
                <w:rFonts w:cs="Traditional Arabic" w:hint="cs"/>
                <w:b/>
                <w:bCs/>
                <w:sz w:val="16"/>
                <w:szCs w:val="24"/>
                <w:rtl/>
              </w:rPr>
              <w:t>1579</w:t>
            </w:r>
          </w:p>
        </w:tc>
      </w:tr>
    </w:tbl>
    <w:p w:rsidR="009C35E0" w:rsidRDefault="009C35E0" w:rsidP="009C35E0">
      <w:pPr>
        <w:rPr>
          <w:rFonts w:hint="cs"/>
          <w:b/>
          <w:bCs/>
          <w:sz w:val="32"/>
          <w:szCs w:val="32"/>
          <w:rtl/>
        </w:rPr>
      </w:pPr>
    </w:p>
    <w:p w:rsidR="009C35E0" w:rsidRDefault="009C35E0" w:rsidP="00653ACD">
      <w:pPr>
        <w:pStyle w:val="SingleTxt"/>
        <w:rPr>
          <w:rFonts w:hint="cs"/>
          <w:rtl/>
        </w:rPr>
      </w:pPr>
      <w:r>
        <w:rPr>
          <w:rFonts w:hint="cs"/>
          <w:b/>
          <w:bCs/>
          <w:rtl/>
        </w:rPr>
        <w:tab/>
      </w:r>
      <w:r w:rsidRPr="0098358B">
        <w:rPr>
          <w:rFonts w:hint="cs"/>
          <w:rtl/>
        </w:rPr>
        <w:t>في العادة، تبنى</w:t>
      </w:r>
      <w:r>
        <w:rPr>
          <w:rFonts w:hint="cs"/>
          <w:b/>
          <w:bCs/>
          <w:rtl/>
        </w:rPr>
        <w:t xml:space="preserve"> </w:t>
      </w:r>
      <w:r>
        <w:rPr>
          <w:rFonts w:hint="cs"/>
          <w:rtl/>
        </w:rPr>
        <w:t>معظم البيوت في توفالو من الإسمنت المسلح أو من هياكل خشبية، ويبنى بعضها من مواد بناء تقليدية. ويبين الجدول أعلاه أن القسم الأكبر من البيوت مصممة لإسكان أسرة واحدة، حيث تبلغ نسبتها 74 في المائة، وأن العدد الأكبر مبني من الإسمنت المسلح، حيث تشكل هذه البيوت 35 في المائة من مجموع البيوت المتوفرة. ومعظم البيوت الدائمة في نوكوفيتاو وفايتوبو مبنية من الإسمنت المسلح، بينما معظم البيوت في فونافوتي مبينة من الخشب. والبيوت المبنية من مواد تقليدية شائعة في الجزر الخارجية. وكما يتضح من الجدول أعلاه، الغالبية العظمى من الذين يعيشون في مناطق ريفية لهم بيوت لائقة.</w:t>
      </w:r>
    </w:p>
    <w:p w:rsidR="00653ACD" w:rsidRPr="00653ACD" w:rsidRDefault="00653ACD" w:rsidP="00653ACD">
      <w:pPr>
        <w:pStyle w:val="SingleTxt"/>
        <w:spacing w:after="0" w:line="120" w:lineRule="exact"/>
        <w:rPr>
          <w:rFonts w:hint="cs"/>
          <w:sz w:val="10"/>
          <w:rtl/>
        </w:rPr>
      </w:pPr>
    </w:p>
    <w:p w:rsidR="009C35E0" w:rsidRDefault="00653ACD" w:rsidP="00653A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F25B6D">
        <w:rPr>
          <w:rFonts w:hint="cs"/>
          <w:rtl/>
        </w:rPr>
        <w:t>إمدادات المياه والنظافة الصحية</w:t>
      </w:r>
    </w:p>
    <w:p w:rsidR="009C35E0" w:rsidRDefault="00653ACD" w:rsidP="00653ACD">
      <w:pPr>
        <w:pStyle w:val="SingleTxt"/>
        <w:rPr>
          <w:rFonts w:hint="cs"/>
          <w:rtl/>
        </w:rPr>
      </w:pPr>
      <w:r>
        <w:rPr>
          <w:rFonts w:hint="cs"/>
          <w:rtl/>
        </w:rPr>
        <w:t xml:space="preserve">14-13  </w:t>
      </w:r>
      <w:r w:rsidR="009C35E0">
        <w:rPr>
          <w:rFonts w:hint="cs"/>
          <w:rtl/>
        </w:rPr>
        <w:t xml:space="preserve">غني عن البيان أن المياه ضرورية للحياة ولعيش الناس والحيوانات أيضاً. ونظراً لأن توفالو تتكون من جزر مرجانية ولا توجد فيها أنهار أو جداول، فإنها تعتمد كلياً على الأمطار كمصدر رئيسي لإمدادات المياه. وما فتئ توفير خزانات للمياه لجمع مياه السطوح أولوية للحكومة على مدى السنين. وجميع النساء في المناطق الريفية يحصلن الآن على المياه من صهاريج تخزين المياه وخزانات مياه المجتمع المحلي المشتركة، التي مولت في معظمها من مساعدة خارجية. ولدى جميع الأسر التي لديها صهاريج مياه خاصة بها مرافق صحية أفضل ومراحيض لها خزانات ماء صغيرة متصلة بشبكة المياه وأخرى متصلة بشبكة المياه مباشرة لتنظيفها. </w:t>
      </w:r>
    </w:p>
    <w:p w:rsidR="00653ACD" w:rsidRPr="00653ACD" w:rsidRDefault="00653ACD" w:rsidP="00653ACD">
      <w:pPr>
        <w:spacing w:line="120" w:lineRule="exact"/>
        <w:rPr>
          <w:rFonts w:hint="cs"/>
          <w:sz w:val="10"/>
          <w:szCs w:val="32"/>
          <w:rtl/>
        </w:rPr>
      </w:pPr>
    </w:p>
    <w:p w:rsidR="009C35E0" w:rsidRDefault="009C35E0" w:rsidP="009C35E0">
      <w:pPr>
        <w:jc w:val="center"/>
        <w:rPr>
          <w:rFonts w:hint="cs"/>
          <w:b/>
          <w:bCs/>
          <w:sz w:val="28"/>
          <w:szCs w:val="28"/>
          <w:rtl/>
        </w:rPr>
      </w:pPr>
      <w:r w:rsidRPr="00BB5F23">
        <w:rPr>
          <w:rFonts w:hint="cs"/>
          <w:b/>
          <w:bCs/>
          <w:sz w:val="28"/>
          <w:szCs w:val="28"/>
          <w:rtl/>
        </w:rPr>
        <w:t>الجدول 35: عدد البيوت موزعة حسب الجزر ومصدر الإمداد بالمياه</w:t>
      </w:r>
      <w:r>
        <w:rPr>
          <w:rFonts w:hint="cs"/>
          <w:b/>
          <w:bCs/>
          <w:sz w:val="28"/>
          <w:szCs w:val="28"/>
          <w:rtl/>
        </w:rPr>
        <w:t>، عام 2002</w:t>
      </w:r>
    </w:p>
    <w:p w:rsidR="00653ACD" w:rsidRPr="00653ACD" w:rsidRDefault="00653ACD" w:rsidP="00653ACD">
      <w:pPr>
        <w:spacing w:line="120" w:lineRule="exact"/>
        <w:jc w:val="center"/>
        <w:rPr>
          <w:rFonts w:hint="cs"/>
          <w:b/>
          <w:bCs/>
          <w:sz w:val="10"/>
          <w:szCs w:val="28"/>
          <w:rtl/>
        </w:rPr>
      </w:pPr>
    </w:p>
    <w:tbl>
      <w:tblPr>
        <w:tblStyle w:val="TableGrid"/>
        <w:bidiVisual/>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84"/>
        <w:gridCol w:w="1056"/>
        <w:gridCol w:w="1408"/>
        <w:gridCol w:w="1760"/>
        <w:gridCol w:w="1760"/>
        <w:gridCol w:w="880"/>
        <w:gridCol w:w="1056"/>
      </w:tblGrid>
      <w:tr w:rsidR="009C35E0" w:rsidRPr="00653ACD">
        <w:trPr>
          <w:cantSplit/>
          <w:tblHeader/>
          <w:jc w:val="center"/>
        </w:trPr>
        <w:tc>
          <w:tcPr>
            <w:tcW w:w="1584"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jc w:val="center"/>
              <w:rPr>
                <w:rFonts w:cs="Traditional Arabic" w:hint="cs"/>
                <w:i/>
                <w:iCs/>
                <w:sz w:val="16"/>
                <w:szCs w:val="24"/>
                <w:rtl/>
              </w:rPr>
            </w:pPr>
            <w:r w:rsidRPr="00653ACD">
              <w:rPr>
                <w:rFonts w:cs="Traditional Arabic" w:hint="cs"/>
                <w:i/>
                <w:iCs/>
                <w:sz w:val="16"/>
                <w:szCs w:val="24"/>
                <w:rtl/>
              </w:rPr>
              <w:t>الجزيرة</w:t>
            </w:r>
          </w:p>
        </w:tc>
        <w:tc>
          <w:tcPr>
            <w:tcW w:w="1056"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ind w:right="144"/>
              <w:jc w:val="lowKashida"/>
              <w:rPr>
                <w:rFonts w:cs="Traditional Arabic" w:hint="cs"/>
                <w:i/>
                <w:iCs/>
                <w:sz w:val="16"/>
                <w:szCs w:val="24"/>
                <w:rtl/>
              </w:rPr>
            </w:pPr>
            <w:r w:rsidRPr="00653ACD">
              <w:rPr>
                <w:rFonts w:cs="Traditional Arabic" w:hint="cs"/>
                <w:i/>
                <w:iCs/>
                <w:sz w:val="16"/>
                <w:szCs w:val="24"/>
                <w:rtl/>
              </w:rPr>
              <w:t>صهريج</w:t>
            </w:r>
          </w:p>
        </w:tc>
        <w:tc>
          <w:tcPr>
            <w:tcW w:w="1408"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ind w:right="144"/>
              <w:jc w:val="lowKashida"/>
              <w:rPr>
                <w:rFonts w:cs="Traditional Arabic" w:hint="cs"/>
                <w:i/>
                <w:iCs/>
                <w:sz w:val="16"/>
                <w:szCs w:val="24"/>
                <w:rtl/>
              </w:rPr>
            </w:pPr>
            <w:r w:rsidRPr="00653ACD">
              <w:rPr>
                <w:rFonts w:cs="Traditional Arabic" w:hint="cs"/>
                <w:i/>
                <w:iCs/>
                <w:sz w:val="16"/>
                <w:szCs w:val="24"/>
                <w:rtl/>
              </w:rPr>
              <w:t>خزان عمومي</w:t>
            </w:r>
          </w:p>
        </w:tc>
        <w:tc>
          <w:tcPr>
            <w:tcW w:w="1760"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ind w:right="144"/>
              <w:jc w:val="lowKashida"/>
              <w:rPr>
                <w:rFonts w:cs="Traditional Arabic" w:hint="cs"/>
                <w:i/>
                <w:iCs/>
                <w:sz w:val="16"/>
                <w:szCs w:val="24"/>
                <w:rtl/>
              </w:rPr>
            </w:pPr>
            <w:r w:rsidRPr="00653ACD">
              <w:rPr>
                <w:rFonts w:cs="Traditional Arabic" w:hint="cs"/>
                <w:i/>
                <w:iCs/>
                <w:sz w:val="16"/>
                <w:szCs w:val="24"/>
                <w:rtl/>
              </w:rPr>
              <w:t>صهاريج وخزان عمومي</w:t>
            </w:r>
          </w:p>
        </w:tc>
        <w:tc>
          <w:tcPr>
            <w:tcW w:w="1760"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ind w:right="144"/>
              <w:jc w:val="lowKashida"/>
              <w:rPr>
                <w:rFonts w:cs="Traditional Arabic" w:hint="cs"/>
                <w:i/>
                <w:iCs/>
                <w:sz w:val="16"/>
                <w:szCs w:val="24"/>
                <w:rtl/>
              </w:rPr>
            </w:pPr>
            <w:r w:rsidRPr="00653ACD">
              <w:rPr>
                <w:rFonts w:cs="Traditional Arabic" w:hint="cs"/>
                <w:i/>
                <w:iCs/>
                <w:sz w:val="16"/>
                <w:szCs w:val="24"/>
                <w:rtl/>
              </w:rPr>
              <w:t>خزان عمومي للمجتمع المحلي</w:t>
            </w:r>
          </w:p>
        </w:tc>
        <w:tc>
          <w:tcPr>
            <w:tcW w:w="880"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ind w:right="144"/>
              <w:jc w:val="lowKashida"/>
              <w:rPr>
                <w:rFonts w:cs="Traditional Arabic" w:hint="cs"/>
                <w:i/>
                <w:iCs/>
                <w:sz w:val="16"/>
                <w:szCs w:val="24"/>
                <w:rtl/>
              </w:rPr>
            </w:pPr>
            <w:r w:rsidRPr="00653ACD">
              <w:rPr>
                <w:rFonts w:cs="Traditional Arabic" w:hint="cs"/>
                <w:i/>
                <w:iCs/>
                <w:sz w:val="16"/>
                <w:szCs w:val="24"/>
                <w:rtl/>
              </w:rPr>
              <w:t>أخرى</w:t>
            </w:r>
          </w:p>
        </w:tc>
        <w:tc>
          <w:tcPr>
            <w:tcW w:w="1056" w:type="dxa"/>
            <w:tcBorders>
              <w:top w:val="single" w:sz="4" w:space="0" w:color="auto"/>
              <w:bottom w:val="single" w:sz="12" w:space="0" w:color="auto"/>
            </w:tcBorders>
            <w:shd w:val="clear" w:color="auto" w:fill="auto"/>
            <w:vAlign w:val="bottom"/>
          </w:tcPr>
          <w:p w:rsidR="009C35E0" w:rsidRPr="00653ACD" w:rsidRDefault="009C35E0" w:rsidP="00653ACD">
            <w:pPr>
              <w:spacing w:before="80" w:after="80" w:line="240" w:lineRule="exact"/>
              <w:ind w:right="144"/>
              <w:jc w:val="lowKashida"/>
              <w:rPr>
                <w:rFonts w:cs="Traditional Arabic" w:hint="cs"/>
                <w:i/>
                <w:iCs/>
                <w:sz w:val="16"/>
                <w:szCs w:val="24"/>
                <w:rtl/>
              </w:rPr>
            </w:pPr>
            <w:r w:rsidRPr="00653ACD">
              <w:rPr>
                <w:rFonts w:cs="Traditional Arabic" w:hint="cs"/>
                <w:i/>
                <w:iCs/>
                <w:sz w:val="16"/>
                <w:szCs w:val="24"/>
                <w:rtl/>
              </w:rPr>
              <w:t>المجموع</w:t>
            </w:r>
          </w:p>
        </w:tc>
      </w:tr>
      <w:tr w:rsidR="00653ACD" w:rsidRPr="00653ACD">
        <w:trPr>
          <w:cantSplit/>
          <w:trHeight w:hRule="exact" w:val="115"/>
          <w:tblHeader/>
          <w:jc w:val="center"/>
        </w:trPr>
        <w:tc>
          <w:tcPr>
            <w:tcW w:w="1584" w:type="dxa"/>
            <w:tcBorders>
              <w:top w:val="single" w:sz="12" w:space="0" w:color="auto"/>
            </w:tcBorders>
            <w:shd w:val="clear" w:color="auto" w:fill="auto"/>
            <w:vAlign w:val="bottom"/>
          </w:tcPr>
          <w:p w:rsidR="00653ACD" w:rsidRPr="00653ACD" w:rsidRDefault="00653ACD" w:rsidP="00653ACD">
            <w:pPr>
              <w:spacing w:before="40" w:after="80" w:line="240" w:lineRule="exact"/>
              <w:rPr>
                <w:rFonts w:hint="cs"/>
                <w:sz w:val="16"/>
                <w:szCs w:val="24"/>
                <w:rtl/>
              </w:rPr>
            </w:pPr>
          </w:p>
        </w:tc>
        <w:tc>
          <w:tcPr>
            <w:tcW w:w="1056" w:type="dxa"/>
            <w:tcBorders>
              <w:top w:val="single" w:sz="12" w:space="0" w:color="auto"/>
            </w:tcBorders>
            <w:shd w:val="clear" w:color="auto" w:fill="auto"/>
            <w:vAlign w:val="bottom"/>
          </w:tcPr>
          <w:p w:rsidR="00653ACD" w:rsidRPr="00653ACD" w:rsidRDefault="00653ACD" w:rsidP="00653ACD">
            <w:pPr>
              <w:spacing w:before="40" w:after="80" w:line="240" w:lineRule="exact"/>
              <w:ind w:right="144"/>
              <w:jc w:val="lowKashida"/>
              <w:rPr>
                <w:rFonts w:hint="cs"/>
                <w:sz w:val="16"/>
                <w:szCs w:val="24"/>
                <w:rtl/>
              </w:rPr>
            </w:pPr>
          </w:p>
        </w:tc>
        <w:tc>
          <w:tcPr>
            <w:tcW w:w="1408" w:type="dxa"/>
            <w:tcBorders>
              <w:top w:val="single" w:sz="12" w:space="0" w:color="auto"/>
            </w:tcBorders>
            <w:shd w:val="clear" w:color="auto" w:fill="auto"/>
            <w:vAlign w:val="bottom"/>
          </w:tcPr>
          <w:p w:rsidR="00653ACD" w:rsidRPr="00653ACD" w:rsidRDefault="00653ACD" w:rsidP="00653ACD">
            <w:pPr>
              <w:spacing w:before="40" w:after="80" w:line="240" w:lineRule="exact"/>
              <w:ind w:right="144"/>
              <w:jc w:val="lowKashida"/>
              <w:rPr>
                <w:rFonts w:hint="cs"/>
                <w:sz w:val="16"/>
                <w:szCs w:val="24"/>
                <w:rtl/>
              </w:rPr>
            </w:pPr>
          </w:p>
        </w:tc>
        <w:tc>
          <w:tcPr>
            <w:tcW w:w="1760" w:type="dxa"/>
            <w:tcBorders>
              <w:top w:val="single" w:sz="12" w:space="0" w:color="auto"/>
            </w:tcBorders>
            <w:shd w:val="clear" w:color="auto" w:fill="auto"/>
            <w:vAlign w:val="bottom"/>
          </w:tcPr>
          <w:p w:rsidR="00653ACD" w:rsidRPr="00653ACD" w:rsidRDefault="00653ACD" w:rsidP="00653ACD">
            <w:pPr>
              <w:spacing w:before="40" w:after="80" w:line="240" w:lineRule="exact"/>
              <w:ind w:right="144"/>
              <w:jc w:val="lowKashida"/>
              <w:rPr>
                <w:rFonts w:hint="cs"/>
                <w:sz w:val="16"/>
                <w:szCs w:val="24"/>
                <w:rtl/>
              </w:rPr>
            </w:pPr>
          </w:p>
        </w:tc>
        <w:tc>
          <w:tcPr>
            <w:tcW w:w="1760" w:type="dxa"/>
            <w:tcBorders>
              <w:top w:val="single" w:sz="12" w:space="0" w:color="auto"/>
            </w:tcBorders>
            <w:shd w:val="clear" w:color="auto" w:fill="auto"/>
            <w:vAlign w:val="bottom"/>
          </w:tcPr>
          <w:p w:rsidR="00653ACD" w:rsidRPr="00653ACD" w:rsidRDefault="00653ACD" w:rsidP="00653ACD">
            <w:pPr>
              <w:spacing w:before="40" w:after="80" w:line="240" w:lineRule="exact"/>
              <w:ind w:right="144"/>
              <w:jc w:val="lowKashida"/>
              <w:rPr>
                <w:rFonts w:hint="cs"/>
                <w:sz w:val="16"/>
                <w:szCs w:val="24"/>
                <w:rtl/>
              </w:rPr>
            </w:pPr>
          </w:p>
        </w:tc>
        <w:tc>
          <w:tcPr>
            <w:tcW w:w="880" w:type="dxa"/>
            <w:tcBorders>
              <w:top w:val="single" w:sz="12" w:space="0" w:color="auto"/>
            </w:tcBorders>
            <w:shd w:val="clear" w:color="auto" w:fill="auto"/>
            <w:vAlign w:val="bottom"/>
          </w:tcPr>
          <w:p w:rsidR="00653ACD" w:rsidRPr="00653ACD" w:rsidRDefault="00653ACD" w:rsidP="00653ACD">
            <w:pPr>
              <w:spacing w:before="40" w:after="80" w:line="240" w:lineRule="exact"/>
              <w:ind w:right="144"/>
              <w:jc w:val="lowKashida"/>
              <w:rPr>
                <w:rFonts w:hint="cs"/>
                <w:sz w:val="16"/>
                <w:szCs w:val="24"/>
                <w:rtl/>
              </w:rPr>
            </w:pPr>
          </w:p>
        </w:tc>
        <w:tc>
          <w:tcPr>
            <w:tcW w:w="1056" w:type="dxa"/>
            <w:tcBorders>
              <w:top w:val="single" w:sz="12" w:space="0" w:color="auto"/>
            </w:tcBorders>
            <w:shd w:val="clear" w:color="auto" w:fill="auto"/>
            <w:vAlign w:val="bottom"/>
          </w:tcPr>
          <w:p w:rsidR="00653ACD" w:rsidRPr="00653ACD" w:rsidRDefault="00653ACD" w:rsidP="00653ACD">
            <w:pPr>
              <w:spacing w:before="40" w:after="80" w:line="240" w:lineRule="exact"/>
              <w:ind w:right="144"/>
              <w:jc w:val="lowKashida"/>
              <w:rPr>
                <w:rFonts w:hint="cs"/>
                <w:sz w:val="16"/>
                <w:szCs w:val="24"/>
                <w:rtl/>
              </w:rPr>
            </w:pP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نانوميا</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116</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4</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5</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3</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128</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نانومانغا</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104</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5</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8</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119</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نيوتاو</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111</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11</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19</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143</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نوي</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77</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6</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25</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108</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فايتوبو</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176</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24</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27</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9</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237</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نوكوفيتاو</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92</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10</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5</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4</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7</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118</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فونافوتي</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404</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134</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62</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22</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17</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639</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نوكولالا</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59</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2</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4</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3</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68</w:t>
            </w:r>
          </w:p>
        </w:tc>
      </w:tr>
      <w:tr w:rsidR="009C35E0" w:rsidRPr="00653ACD">
        <w:trPr>
          <w:cantSplit/>
          <w:jc w:val="center"/>
        </w:trPr>
        <w:tc>
          <w:tcPr>
            <w:tcW w:w="1584" w:type="dxa"/>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نيولاكيتا</w:t>
            </w: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8</w:t>
            </w:r>
          </w:p>
        </w:tc>
        <w:tc>
          <w:tcPr>
            <w:tcW w:w="1408"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176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صفر</w:t>
            </w:r>
          </w:p>
        </w:tc>
        <w:tc>
          <w:tcPr>
            <w:tcW w:w="880"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p>
        </w:tc>
        <w:tc>
          <w:tcPr>
            <w:tcW w:w="1056" w:type="dxa"/>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8</w:t>
            </w:r>
          </w:p>
        </w:tc>
      </w:tr>
      <w:tr w:rsidR="009C35E0" w:rsidRPr="00653ACD">
        <w:trPr>
          <w:cantSplit/>
          <w:jc w:val="center"/>
        </w:trPr>
        <w:tc>
          <w:tcPr>
            <w:tcW w:w="1584" w:type="dxa"/>
            <w:tcBorders>
              <w:bottom w:val="single" w:sz="12" w:space="0" w:color="auto"/>
            </w:tcBorders>
            <w:shd w:val="clear" w:color="auto" w:fill="auto"/>
            <w:vAlign w:val="bottom"/>
          </w:tcPr>
          <w:p w:rsidR="009C35E0" w:rsidRPr="00653ACD" w:rsidRDefault="009C35E0" w:rsidP="00653ACD">
            <w:pPr>
              <w:spacing w:before="40" w:after="80" w:line="240" w:lineRule="exact"/>
              <w:rPr>
                <w:rFonts w:cs="Traditional Arabic" w:hint="cs"/>
                <w:sz w:val="16"/>
                <w:szCs w:val="24"/>
                <w:rtl/>
              </w:rPr>
            </w:pPr>
            <w:r w:rsidRPr="00653ACD">
              <w:rPr>
                <w:rFonts w:cs="Traditional Arabic" w:hint="cs"/>
                <w:sz w:val="16"/>
                <w:szCs w:val="24"/>
                <w:rtl/>
              </w:rPr>
              <w:t>المجموع</w:t>
            </w:r>
          </w:p>
        </w:tc>
        <w:tc>
          <w:tcPr>
            <w:tcW w:w="1056" w:type="dxa"/>
            <w:tcBorders>
              <w:bottom w:val="single" w:sz="12" w:space="0" w:color="auto"/>
            </w:tcBorders>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1147</w:t>
            </w:r>
          </w:p>
        </w:tc>
        <w:tc>
          <w:tcPr>
            <w:tcW w:w="1408" w:type="dxa"/>
            <w:tcBorders>
              <w:bottom w:val="single" w:sz="12" w:space="0" w:color="auto"/>
            </w:tcBorders>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196</w:t>
            </w:r>
          </w:p>
        </w:tc>
        <w:tc>
          <w:tcPr>
            <w:tcW w:w="1760" w:type="dxa"/>
            <w:tcBorders>
              <w:bottom w:val="single" w:sz="12" w:space="0" w:color="auto"/>
            </w:tcBorders>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108</w:t>
            </w:r>
          </w:p>
        </w:tc>
        <w:tc>
          <w:tcPr>
            <w:tcW w:w="1760" w:type="dxa"/>
            <w:tcBorders>
              <w:bottom w:val="single" w:sz="12" w:space="0" w:color="auto"/>
            </w:tcBorders>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78</w:t>
            </w:r>
          </w:p>
        </w:tc>
        <w:tc>
          <w:tcPr>
            <w:tcW w:w="880" w:type="dxa"/>
            <w:tcBorders>
              <w:bottom w:val="single" w:sz="12" w:space="0" w:color="auto"/>
            </w:tcBorders>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39</w:t>
            </w:r>
          </w:p>
        </w:tc>
        <w:tc>
          <w:tcPr>
            <w:tcW w:w="1056" w:type="dxa"/>
            <w:tcBorders>
              <w:bottom w:val="single" w:sz="12" w:space="0" w:color="auto"/>
            </w:tcBorders>
            <w:shd w:val="clear" w:color="auto" w:fill="auto"/>
            <w:vAlign w:val="bottom"/>
          </w:tcPr>
          <w:p w:rsidR="009C35E0" w:rsidRPr="00653ACD" w:rsidRDefault="009C35E0" w:rsidP="00653ACD">
            <w:pPr>
              <w:spacing w:before="40" w:after="80" w:line="240" w:lineRule="exact"/>
              <w:ind w:right="144"/>
              <w:jc w:val="lowKashida"/>
              <w:rPr>
                <w:rFonts w:cs="Traditional Arabic" w:hint="cs"/>
                <w:sz w:val="16"/>
                <w:szCs w:val="24"/>
                <w:rtl/>
              </w:rPr>
            </w:pPr>
            <w:r w:rsidRPr="00653ACD">
              <w:rPr>
                <w:rFonts w:cs="Traditional Arabic" w:hint="cs"/>
                <w:sz w:val="16"/>
                <w:szCs w:val="24"/>
                <w:rtl/>
              </w:rPr>
              <w:t>1568</w:t>
            </w:r>
          </w:p>
        </w:tc>
      </w:tr>
    </w:tbl>
    <w:p w:rsidR="009C35E0" w:rsidRDefault="009C35E0" w:rsidP="009C35E0">
      <w:pPr>
        <w:ind w:firstLine="720"/>
        <w:rPr>
          <w:rFonts w:hint="cs"/>
          <w:sz w:val="28"/>
          <w:szCs w:val="28"/>
          <w:rtl/>
        </w:rPr>
      </w:pPr>
      <w:r w:rsidRPr="00653ACD">
        <w:rPr>
          <w:rFonts w:hint="cs"/>
          <w:sz w:val="26"/>
          <w:szCs w:val="26"/>
          <w:rtl/>
        </w:rPr>
        <w:t>المصدر: تقرير البيانات الاجتماعية في توفالو عام 2005.</w:t>
      </w:r>
    </w:p>
    <w:p w:rsidR="009C35E0" w:rsidRDefault="00653ACD" w:rsidP="00653ACD">
      <w:pPr>
        <w:pStyle w:val="SingleTxt"/>
        <w:rPr>
          <w:rFonts w:hint="cs"/>
          <w:rtl/>
        </w:rPr>
      </w:pPr>
      <w:r>
        <w:rPr>
          <w:rFonts w:hint="cs"/>
          <w:rtl/>
        </w:rPr>
        <w:t xml:space="preserve">14-14  </w:t>
      </w:r>
      <w:r w:rsidR="009C35E0">
        <w:rPr>
          <w:rFonts w:hint="cs"/>
          <w:rtl/>
        </w:rPr>
        <w:t>يبين الجدول 35 أن عدد صهاريج تخزين المياه أكبر من عدد الخزانات العامة، وأن عدد خزانات المياه يتوقف على عدد الأسر المعيشية في كل جزيرة. ومع أنه جرى بناء بيوت جديدة في العقد الأخير، فإن عدد خزانات المياه الجديدة في الشبكات لا يتناسب مع عدد الأسر المعيشية التي استقرت مؤخراً، مما يؤدي إلى زيادة عدد الناس الذين يواجهون خطر شُح المياه. والمشكلة أكثر انطباقاً على فونافوتي حيث لا يوجد لدى 17 أسرة معيشية (3 في المائة) خزان مياه مناسب. ولذلك، فإن معظم الأسر المعيشية عرضة لمواجة مشاكل المياه أثناء فترات مواسم الجفاف الطويلة، لأن الأمطار وسيلتهم الوحيدة للحصول على المياه. وأنشأت الحكومة، كجزء من استراتيجيتها لتخفيف وطأة تأثير الجفاف، محطات لتحلية المياه في فونافوتي وفي بعض الجزر الأخرى أيضاً.</w:t>
      </w:r>
    </w:p>
    <w:p w:rsidR="009C35E0" w:rsidRDefault="009C35E0" w:rsidP="009C35E0">
      <w:pPr>
        <w:rPr>
          <w:rFonts w:hint="cs"/>
          <w:sz w:val="32"/>
          <w:szCs w:val="32"/>
          <w:rtl/>
        </w:rPr>
      </w:pPr>
    </w:p>
    <w:p w:rsidR="009C35E0" w:rsidRDefault="009C35E0" w:rsidP="00402408">
      <w:pPr>
        <w:jc w:val="center"/>
        <w:rPr>
          <w:rFonts w:hint="cs"/>
          <w:b/>
          <w:bCs/>
          <w:sz w:val="28"/>
          <w:szCs w:val="28"/>
          <w:rtl/>
        </w:rPr>
      </w:pPr>
      <w:r w:rsidRPr="003936BF">
        <w:rPr>
          <w:rFonts w:hint="cs"/>
          <w:b/>
          <w:bCs/>
          <w:sz w:val="28"/>
          <w:szCs w:val="28"/>
          <w:rtl/>
        </w:rPr>
        <w:t>الجدول 36: عدد البيوت التي توجد فيها صهاريج للمياه</w:t>
      </w:r>
      <w:r>
        <w:rPr>
          <w:rFonts w:hint="cs"/>
          <w:b/>
          <w:bCs/>
          <w:sz w:val="28"/>
          <w:szCs w:val="28"/>
          <w:rtl/>
        </w:rPr>
        <w:t xml:space="preserve"> موزعة حسب الجزيرة، عام 200</w:t>
      </w:r>
      <w:r w:rsidR="00402408">
        <w:rPr>
          <w:rFonts w:hint="cs"/>
          <w:b/>
          <w:bCs/>
          <w:sz w:val="28"/>
          <w:szCs w:val="28"/>
          <w:rtl/>
        </w:rPr>
        <w:t>2</w:t>
      </w:r>
    </w:p>
    <w:p w:rsidR="009C35E0" w:rsidRPr="003936BF" w:rsidRDefault="009C35E0" w:rsidP="009C35E0">
      <w:pPr>
        <w:jc w:val="center"/>
        <w:rPr>
          <w:rFonts w:hint="cs"/>
          <w:b/>
          <w:bCs/>
          <w:sz w:val="28"/>
          <w:szCs w:val="28"/>
          <w:rtl/>
        </w:rPr>
      </w:pPr>
    </w:p>
    <w:tbl>
      <w:tblPr>
        <w:tblStyle w:val="TableGrid"/>
        <w:bidiVisual/>
        <w:tblW w:w="0" w:type="auto"/>
        <w:jc w:val="center"/>
        <w:tblLook w:val="01E0" w:firstRow="1" w:lastRow="1" w:firstColumn="1" w:lastColumn="1" w:noHBand="0" w:noVBand="0"/>
      </w:tblPr>
      <w:tblGrid>
        <w:gridCol w:w="1440"/>
        <w:gridCol w:w="1440"/>
        <w:gridCol w:w="1584"/>
        <w:gridCol w:w="1440"/>
        <w:gridCol w:w="1440"/>
        <w:gridCol w:w="1008"/>
      </w:tblGrid>
      <w:tr w:rsidR="009C35E0" w:rsidRPr="00C358C7">
        <w:trPr>
          <w:jc w:val="center"/>
        </w:trPr>
        <w:tc>
          <w:tcPr>
            <w:tcW w:w="8352" w:type="dxa"/>
            <w:gridSpan w:val="6"/>
          </w:tcPr>
          <w:p w:rsidR="009C35E0" w:rsidRPr="00712216" w:rsidRDefault="009C35E0" w:rsidP="009C35E0">
            <w:pPr>
              <w:jc w:val="center"/>
              <w:rPr>
                <w:rFonts w:cs="Traditional Arabic" w:hint="cs"/>
                <w:b/>
                <w:bCs/>
                <w:sz w:val="28"/>
                <w:szCs w:val="28"/>
                <w:rtl/>
              </w:rPr>
            </w:pPr>
            <w:r w:rsidRPr="003936BF">
              <w:rPr>
                <w:rFonts w:cs="Traditional Arabic" w:hint="cs"/>
                <w:b/>
                <w:bCs/>
                <w:sz w:val="28"/>
                <w:szCs w:val="28"/>
                <w:rtl/>
              </w:rPr>
              <w:t>سعة صهاريج المياه بالغالون</w:t>
            </w:r>
          </w:p>
        </w:tc>
      </w:tr>
      <w:tr w:rsidR="009C35E0" w:rsidRPr="00C358C7">
        <w:trPr>
          <w:jc w:val="center"/>
        </w:trPr>
        <w:tc>
          <w:tcPr>
            <w:tcW w:w="1440" w:type="dxa"/>
          </w:tcPr>
          <w:p w:rsidR="009C35E0" w:rsidRPr="00C358C7" w:rsidRDefault="009C35E0" w:rsidP="009C35E0">
            <w:pPr>
              <w:jc w:val="center"/>
              <w:rPr>
                <w:rFonts w:cs="Traditional Arabic" w:hint="cs"/>
                <w:sz w:val="28"/>
                <w:szCs w:val="28"/>
                <w:rtl/>
              </w:rPr>
            </w:pPr>
            <w:r>
              <w:rPr>
                <w:rFonts w:cs="Traditional Arabic" w:hint="cs"/>
                <w:sz w:val="28"/>
                <w:szCs w:val="28"/>
                <w:rtl/>
              </w:rPr>
              <w:t>الجزيرة</w:t>
            </w:r>
          </w:p>
        </w:tc>
        <w:tc>
          <w:tcPr>
            <w:tcW w:w="1440" w:type="dxa"/>
          </w:tcPr>
          <w:p w:rsidR="009C35E0" w:rsidRPr="00C358C7" w:rsidRDefault="009C35E0" w:rsidP="009C35E0">
            <w:pPr>
              <w:jc w:val="center"/>
              <w:rPr>
                <w:rFonts w:cs="Traditional Arabic" w:hint="cs"/>
                <w:sz w:val="28"/>
                <w:szCs w:val="28"/>
                <w:rtl/>
              </w:rPr>
            </w:pPr>
            <w:r>
              <w:rPr>
                <w:rFonts w:cs="Traditional Arabic" w:hint="cs"/>
                <w:sz w:val="28"/>
                <w:szCs w:val="28"/>
                <w:rtl/>
              </w:rPr>
              <w:t>عدد الصهاريج</w:t>
            </w:r>
          </w:p>
        </w:tc>
        <w:tc>
          <w:tcPr>
            <w:tcW w:w="1584" w:type="dxa"/>
          </w:tcPr>
          <w:p w:rsidR="009C35E0" w:rsidRPr="00C358C7" w:rsidRDefault="009C35E0" w:rsidP="009C35E0">
            <w:pPr>
              <w:jc w:val="center"/>
              <w:rPr>
                <w:rFonts w:cs="Traditional Arabic" w:hint="cs"/>
                <w:sz w:val="28"/>
                <w:szCs w:val="28"/>
                <w:rtl/>
              </w:rPr>
            </w:pPr>
            <w:r>
              <w:rPr>
                <w:rFonts w:cs="Traditional Arabic" w:hint="cs"/>
                <w:sz w:val="28"/>
                <w:szCs w:val="28"/>
                <w:rtl/>
              </w:rPr>
              <w:t>أقل من 1000</w:t>
            </w:r>
          </w:p>
        </w:tc>
        <w:tc>
          <w:tcPr>
            <w:tcW w:w="1440" w:type="dxa"/>
          </w:tcPr>
          <w:p w:rsidR="009C35E0" w:rsidRPr="00C358C7" w:rsidRDefault="009C35E0" w:rsidP="009C35E0">
            <w:pPr>
              <w:jc w:val="center"/>
              <w:rPr>
                <w:rFonts w:cs="Traditional Arabic" w:hint="cs"/>
                <w:sz w:val="28"/>
                <w:szCs w:val="28"/>
                <w:rtl/>
              </w:rPr>
            </w:pPr>
            <w:r>
              <w:rPr>
                <w:rFonts w:cs="Traditional Arabic" w:hint="cs"/>
                <w:sz w:val="28"/>
                <w:szCs w:val="28"/>
                <w:rtl/>
              </w:rPr>
              <w:t>1000-1999</w:t>
            </w:r>
          </w:p>
        </w:tc>
        <w:tc>
          <w:tcPr>
            <w:tcW w:w="1440" w:type="dxa"/>
          </w:tcPr>
          <w:p w:rsidR="009C35E0" w:rsidRPr="00C358C7" w:rsidRDefault="009C35E0" w:rsidP="009C35E0">
            <w:pPr>
              <w:jc w:val="center"/>
              <w:rPr>
                <w:rFonts w:cs="Traditional Arabic" w:hint="cs"/>
                <w:sz w:val="28"/>
                <w:szCs w:val="28"/>
                <w:rtl/>
              </w:rPr>
            </w:pPr>
            <w:r>
              <w:rPr>
                <w:rFonts w:cs="Traditional Arabic" w:hint="cs"/>
                <w:sz w:val="28"/>
                <w:szCs w:val="28"/>
                <w:rtl/>
              </w:rPr>
              <w:t>أكثر من 2000</w:t>
            </w:r>
          </w:p>
        </w:tc>
        <w:tc>
          <w:tcPr>
            <w:tcW w:w="1008" w:type="dxa"/>
          </w:tcPr>
          <w:p w:rsidR="009C35E0" w:rsidRPr="00C358C7" w:rsidRDefault="009C35E0" w:rsidP="009C35E0">
            <w:pPr>
              <w:jc w:val="center"/>
              <w:rPr>
                <w:rFonts w:cs="Traditional Arabic" w:hint="cs"/>
                <w:sz w:val="28"/>
                <w:szCs w:val="28"/>
                <w:rtl/>
              </w:rPr>
            </w:pPr>
            <w:r>
              <w:rPr>
                <w:rFonts w:cs="Traditional Arabic" w:hint="cs"/>
                <w:sz w:val="28"/>
                <w:szCs w:val="28"/>
                <w:rtl/>
              </w:rPr>
              <w:t>المجموع</w:t>
            </w: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نانوميا</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12</w:t>
            </w:r>
          </w:p>
        </w:tc>
        <w:tc>
          <w:tcPr>
            <w:tcW w:w="1584" w:type="dxa"/>
          </w:tcPr>
          <w:p w:rsidR="009C35E0" w:rsidRPr="00C358C7" w:rsidRDefault="009C35E0" w:rsidP="009C35E0">
            <w:pPr>
              <w:rPr>
                <w:rFonts w:cs="Traditional Arabic" w:hint="cs"/>
                <w:sz w:val="28"/>
                <w:szCs w:val="28"/>
                <w:rtl/>
              </w:rPr>
            </w:pPr>
            <w:r>
              <w:rPr>
                <w:rFonts w:cs="Traditional Arabic" w:hint="cs"/>
                <w:sz w:val="28"/>
                <w:szCs w:val="28"/>
                <w:rtl/>
              </w:rPr>
              <w:t>1</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27</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88</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نانومانغا</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9</w:t>
            </w:r>
          </w:p>
        </w:tc>
        <w:tc>
          <w:tcPr>
            <w:tcW w:w="1584" w:type="dxa"/>
          </w:tcPr>
          <w:p w:rsidR="009C35E0" w:rsidRPr="00C358C7" w:rsidRDefault="009C35E0" w:rsidP="009C35E0">
            <w:pPr>
              <w:rPr>
                <w:rFonts w:cs="Traditional Arabic" w:hint="cs"/>
                <w:sz w:val="28"/>
                <w:szCs w:val="28"/>
                <w:rtl/>
              </w:rPr>
            </w:pPr>
            <w:r>
              <w:rPr>
                <w:rFonts w:cs="Traditional Arabic" w:hint="cs"/>
                <w:sz w:val="28"/>
                <w:szCs w:val="28"/>
                <w:rtl/>
              </w:rPr>
              <w:t>1</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50</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58</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نيوتاو</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26</w:t>
            </w:r>
          </w:p>
        </w:tc>
        <w:tc>
          <w:tcPr>
            <w:tcW w:w="1584" w:type="dxa"/>
          </w:tcPr>
          <w:p w:rsidR="009C35E0" w:rsidRPr="00C358C7" w:rsidRDefault="009C35E0" w:rsidP="009C35E0">
            <w:pPr>
              <w:rPr>
                <w:rFonts w:cs="Traditional Arabic" w:hint="cs"/>
                <w:sz w:val="28"/>
                <w:szCs w:val="28"/>
                <w:rtl/>
              </w:rPr>
            </w:pPr>
            <w:r>
              <w:rPr>
                <w:rFonts w:cs="Traditional Arabic" w:hint="cs"/>
                <w:sz w:val="28"/>
                <w:szCs w:val="28"/>
                <w:rtl/>
              </w:rPr>
              <w:t>5</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39</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70</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نوي</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25</w:t>
            </w:r>
          </w:p>
        </w:tc>
        <w:tc>
          <w:tcPr>
            <w:tcW w:w="1584" w:type="dxa"/>
          </w:tcPr>
          <w:p w:rsidR="009C35E0" w:rsidRPr="00C358C7" w:rsidRDefault="009C35E0" w:rsidP="009C35E0">
            <w:pPr>
              <w:rPr>
                <w:rFonts w:cs="Traditional Arabic" w:hint="cs"/>
                <w:sz w:val="28"/>
                <w:szCs w:val="28"/>
                <w:rtl/>
              </w:rPr>
            </w:pPr>
            <w:r w:rsidRPr="001823B4">
              <w:rPr>
                <w:rFonts w:cs="Traditional Arabic" w:hint="cs"/>
                <w:sz w:val="28"/>
                <w:szCs w:val="28"/>
                <w:rtl/>
              </w:rPr>
              <w:t>صفر</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9</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71</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فايتوبو</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40</w:t>
            </w:r>
          </w:p>
        </w:tc>
        <w:tc>
          <w:tcPr>
            <w:tcW w:w="1584" w:type="dxa"/>
          </w:tcPr>
          <w:p w:rsidR="009C35E0" w:rsidRPr="00C358C7" w:rsidRDefault="009C35E0" w:rsidP="009C35E0">
            <w:pPr>
              <w:rPr>
                <w:rFonts w:cs="Traditional Arabic" w:hint="cs"/>
                <w:sz w:val="28"/>
                <w:szCs w:val="28"/>
                <w:rtl/>
              </w:rPr>
            </w:pPr>
            <w:r w:rsidRPr="001823B4">
              <w:rPr>
                <w:rFonts w:cs="Traditional Arabic" w:hint="cs"/>
                <w:sz w:val="28"/>
                <w:szCs w:val="28"/>
                <w:rtl/>
              </w:rPr>
              <w:t>صفر</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44</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153</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نوكوفيتاو</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12</w:t>
            </w:r>
          </w:p>
        </w:tc>
        <w:tc>
          <w:tcPr>
            <w:tcW w:w="1584" w:type="dxa"/>
          </w:tcPr>
          <w:p w:rsidR="009C35E0" w:rsidRPr="00C358C7" w:rsidRDefault="009C35E0" w:rsidP="009C35E0">
            <w:pPr>
              <w:rPr>
                <w:rFonts w:cs="Traditional Arabic" w:hint="cs"/>
                <w:sz w:val="28"/>
                <w:szCs w:val="28"/>
                <w:rtl/>
              </w:rPr>
            </w:pPr>
            <w:r w:rsidRPr="001823B4">
              <w:rPr>
                <w:rFonts w:cs="Traditional Arabic" w:hint="cs"/>
                <w:sz w:val="28"/>
                <w:szCs w:val="28"/>
                <w:rtl/>
              </w:rPr>
              <w:t>صفر</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28</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78</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فونافوتي</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140</w:t>
            </w:r>
          </w:p>
        </w:tc>
        <w:tc>
          <w:tcPr>
            <w:tcW w:w="1584" w:type="dxa"/>
          </w:tcPr>
          <w:p w:rsidR="009C35E0" w:rsidRPr="00C358C7" w:rsidRDefault="009C35E0" w:rsidP="009C35E0">
            <w:pPr>
              <w:rPr>
                <w:rFonts w:cs="Traditional Arabic" w:hint="cs"/>
                <w:sz w:val="28"/>
                <w:szCs w:val="28"/>
                <w:rtl/>
              </w:rPr>
            </w:pPr>
            <w:r>
              <w:rPr>
                <w:rFonts w:cs="Traditional Arabic" w:hint="cs"/>
                <w:sz w:val="28"/>
                <w:szCs w:val="28"/>
                <w:rtl/>
              </w:rPr>
              <w:t>26</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126</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324</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نوكولالا</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9</w:t>
            </w:r>
          </w:p>
        </w:tc>
        <w:tc>
          <w:tcPr>
            <w:tcW w:w="1584" w:type="dxa"/>
          </w:tcPr>
          <w:p w:rsidR="009C35E0" w:rsidRPr="00C358C7" w:rsidRDefault="009C35E0" w:rsidP="009C35E0">
            <w:pPr>
              <w:rPr>
                <w:rFonts w:cs="Traditional Arabic" w:hint="cs"/>
                <w:sz w:val="28"/>
                <w:szCs w:val="28"/>
                <w:rtl/>
              </w:rPr>
            </w:pPr>
            <w:r>
              <w:rPr>
                <w:rFonts w:cs="Traditional Arabic" w:hint="cs"/>
                <w:sz w:val="28"/>
                <w:szCs w:val="28"/>
                <w:rtl/>
              </w:rPr>
              <w:t>1</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5</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53</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C358C7" w:rsidRDefault="009C35E0" w:rsidP="009C35E0">
            <w:pPr>
              <w:rPr>
                <w:rFonts w:cs="Traditional Arabic" w:hint="cs"/>
                <w:sz w:val="28"/>
                <w:szCs w:val="28"/>
                <w:rtl/>
              </w:rPr>
            </w:pPr>
            <w:r w:rsidRPr="00C358C7">
              <w:rPr>
                <w:rFonts w:cs="Traditional Arabic" w:hint="cs"/>
                <w:sz w:val="28"/>
                <w:szCs w:val="28"/>
                <w:rtl/>
              </w:rPr>
              <w:t>نيولاكيتا</w:t>
            </w:r>
          </w:p>
        </w:tc>
        <w:tc>
          <w:tcPr>
            <w:tcW w:w="1440" w:type="dxa"/>
          </w:tcPr>
          <w:p w:rsidR="009C35E0" w:rsidRPr="00C358C7" w:rsidRDefault="009C35E0" w:rsidP="009C35E0">
            <w:pPr>
              <w:rPr>
                <w:rFonts w:cs="Traditional Arabic" w:hint="cs"/>
                <w:sz w:val="28"/>
                <w:szCs w:val="28"/>
                <w:rtl/>
              </w:rPr>
            </w:pPr>
            <w:r w:rsidRPr="001823B4">
              <w:rPr>
                <w:rFonts w:cs="Traditional Arabic" w:hint="cs"/>
                <w:sz w:val="28"/>
                <w:szCs w:val="28"/>
                <w:rtl/>
              </w:rPr>
              <w:t>صفر</w:t>
            </w:r>
          </w:p>
        </w:tc>
        <w:tc>
          <w:tcPr>
            <w:tcW w:w="1584" w:type="dxa"/>
          </w:tcPr>
          <w:p w:rsidR="009C35E0" w:rsidRPr="00C358C7" w:rsidRDefault="009C35E0" w:rsidP="009C35E0">
            <w:pPr>
              <w:rPr>
                <w:rFonts w:cs="Traditional Arabic" w:hint="cs"/>
                <w:sz w:val="28"/>
                <w:szCs w:val="28"/>
                <w:rtl/>
              </w:rPr>
            </w:pPr>
            <w:r w:rsidRPr="001823B4">
              <w:rPr>
                <w:rFonts w:cs="Traditional Arabic" w:hint="cs"/>
                <w:sz w:val="28"/>
                <w:szCs w:val="28"/>
                <w:rtl/>
              </w:rPr>
              <w:t>صفر</w:t>
            </w:r>
          </w:p>
        </w:tc>
        <w:tc>
          <w:tcPr>
            <w:tcW w:w="1440" w:type="dxa"/>
          </w:tcPr>
          <w:p w:rsidR="009C35E0" w:rsidRPr="00C358C7" w:rsidRDefault="009C35E0" w:rsidP="009C35E0">
            <w:pPr>
              <w:rPr>
                <w:rFonts w:cs="Traditional Arabic" w:hint="cs"/>
                <w:sz w:val="28"/>
                <w:szCs w:val="28"/>
                <w:rtl/>
              </w:rPr>
            </w:pPr>
            <w:r w:rsidRPr="001823B4">
              <w:rPr>
                <w:rFonts w:cs="Traditional Arabic" w:hint="cs"/>
                <w:sz w:val="28"/>
                <w:szCs w:val="28"/>
                <w:rtl/>
              </w:rPr>
              <w:t>صفر</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8</w:t>
            </w:r>
          </w:p>
        </w:tc>
        <w:tc>
          <w:tcPr>
            <w:tcW w:w="1008" w:type="dxa"/>
          </w:tcPr>
          <w:p w:rsidR="009C35E0" w:rsidRPr="00C358C7" w:rsidRDefault="009C35E0" w:rsidP="009C35E0">
            <w:pPr>
              <w:rPr>
                <w:rFonts w:cs="Traditional Arabic" w:hint="cs"/>
                <w:sz w:val="28"/>
                <w:szCs w:val="28"/>
                <w:rtl/>
              </w:rPr>
            </w:pPr>
          </w:p>
        </w:tc>
      </w:tr>
      <w:tr w:rsidR="009C35E0" w:rsidRPr="00C358C7">
        <w:trPr>
          <w:jc w:val="center"/>
        </w:trPr>
        <w:tc>
          <w:tcPr>
            <w:tcW w:w="1440" w:type="dxa"/>
          </w:tcPr>
          <w:p w:rsidR="009C35E0" w:rsidRPr="00712216" w:rsidRDefault="009C35E0" w:rsidP="009C35E0">
            <w:pPr>
              <w:rPr>
                <w:rFonts w:cs="Traditional Arabic" w:hint="cs"/>
                <w:b/>
                <w:bCs/>
                <w:sz w:val="28"/>
                <w:szCs w:val="28"/>
                <w:rtl/>
              </w:rPr>
            </w:pPr>
            <w:r w:rsidRPr="00712216">
              <w:rPr>
                <w:rFonts w:cs="Traditional Arabic" w:hint="cs"/>
                <w:b/>
                <w:bCs/>
                <w:sz w:val="28"/>
                <w:szCs w:val="28"/>
                <w:rtl/>
              </w:rPr>
              <w:t>المجموع</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273</w:t>
            </w:r>
          </w:p>
        </w:tc>
        <w:tc>
          <w:tcPr>
            <w:tcW w:w="1584" w:type="dxa"/>
          </w:tcPr>
          <w:p w:rsidR="009C35E0" w:rsidRPr="00C358C7" w:rsidRDefault="009C35E0" w:rsidP="009C35E0">
            <w:pPr>
              <w:rPr>
                <w:rFonts w:cs="Traditional Arabic" w:hint="cs"/>
                <w:sz w:val="28"/>
                <w:szCs w:val="28"/>
                <w:rtl/>
              </w:rPr>
            </w:pPr>
            <w:r>
              <w:rPr>
                <w:rFonts w:cs="Traditional Arabic" w:hint="cs"/>
                <w:sz w:val="28"/>
                <w:szCs w:val="28"/>
                <w:rtl/>
              </w:rPr>
              <w:t>34</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328</w:t>
            </w:r>
          </w:p>
        </w:tc>
        <w:tc>
          <w:tcPr>
            <w:tcW w:w="1440" w:type="dxa"/>
          </w:tcPr>
          <w:p w:rsidR="009C35E0" w:rsidRPr="00C358C7" w:rsidRDefault="009C35E0" w:rsidP="009C35E0">
            <w:pPr>
              <w:rPr>
                <w:rFonts w:cs="Traditional Arabic" w:hint="cs"/>
                <w:sz w:val="28"/>
                <w:szCs w:val="28"/>
                <w:rtl/>
              </w:rPr>
            </w:pPr>
            <w:r>
              <w:rPr>
                <w:rFonts w:cs="Traditional Arabic" w:hint="cs"/>
                <w:sz w:val="28"/>
                <w:szCs w:val="28"/>
                <w:rtl/>
              </w:rPr>
              <w:t>903</w:t>
            </w:r>
          </w:p>
        </w:tc>
        <w:tc>
          <w:tcPr>
            <w:tcW w:w="1008" w:type="dxa"/>
          </w:tcPr>
          <w:p w:rsidR="009C35E0" w:rsidRPr="00C358C7" w:rsidRDefault="009C35E0" w:rsidP="009C35E0">
            <w:pPr>
              <w:rPr>
                <w:rFonts w:cs="Traditional Arabic" w:hint="cs"/>
                <w:sz w:val="28"/>
                <w:szCs w:val="28"/>
                <w:rtl/>
              </w:rPr>
            </w:pPr>
          </w:p>
        </w:tc>
      </w:tr>
    </w:tbl>
    <w:p w:rsidR="009C35E0" w:rsidRPr="00653ACD" w:rsidRDefault="00653ACD" w:rsidP="00653ACD">
      <w:pPr>
        <w:rPr>
          <w:rFonts w:hint="cs"/>
          <w:sz w:val="26"/>
          <w:szCs w:val="26"/>
          <w:rtl/>
        </w:rPr>
      </w:pPr>
      <w:r w:rsidRPr="00653ACD">
        <w:rPr>
          <w:rFonts w:hint="cs"/>
          <w:sz w:val="26"/>
          <w:szCs w:val="26"/>
          <w:rtl/>
        </w:rPr>
        <w:tab/>
      </w:r>
      <w:r w:rsidR="009C35E0" w:rsidRPr="00653ACD">
        <w:rPr>
          <w:rFonts w:hint="cs"/>
          <w:sz w:val="26"/>
          <w:szCs w:val="26"/>
          <w:rtl/>
        </w:rPr>
        <w:t>المصدر:</w:t>
      </w:r>
      <w:r w:rsidRPr="00653ACD">
        <w:rPr>
          <w:rFonts w:hint="cs"/>
          <w:sz w:val="26"/>
          <w:szCs w:val="26"/>
          <w:rtl/>
        </w:rPr>
        <w:tab/>
      </w:r>
      <w:r w:rsidR="009C35E0" w:rsidRPr="00653ACD">
        <w:rPr>
          <w:rFonts w:hint="cs"/>
          <w:sz w:val="26"/>
          <w:szCs w:val="26"/>
          <w:rtl/>
        </w:rPr>
        <w:t>تقرير الت</w:t>
      </w:r>
      <w:r>
        <w:rPr>
          <w:rFonts w:hint="cs"/>
          <w:sz w:val="26"/>
          <w:szCs w:val="26"/>
          <w:rtl/>
        </w:rPr>
        <w:t>عداد السكاني في توفالو عام 2002.</w:t>
      </w:r>
    </w:p>
    <w:p w:rsidR="00653ACD" w:rsidRPr="00653ACD" w:rsidRDefault="00653ACD" w:rsidP="00653ACD">
      <w:pPr>
        <w:pStyle w:val="SingleTxt"/>
        <w:spacing w:after="0" w:line="120" w:lineRule="exact"/>
        <w:rPr>
          <w:rFonts w:hint="cs"/>
          <w:sz w:val="10"/>
          <w:rtl/>
        </w:rPr>
      </w:pPr>
    </w:p>
    <w:p w:rsidR="009C35E0" w:rsidRDefault="00653ACD" w:rsidP="00CF5D88">
      <w:pPr>
        <w:pStyle w:val="SingleTxt"/>
        <w:rPr>
          <w:rFonts w:hint="cs"/>
          <w:rtl/>
        </w:rPr>
      </w:pPr>
      <w:r>
        <w:rPr>
          <w:rFonts w:hint="cs"/>
          <w:rtl/>
        </w:rPr>
        <w:t xml:space="preserve">14-15  </w:t>
      </w:r>
      <w:r w:rsidR="009C35E0">
        <w:rPr>
          <w:rFonts w:hint="cs"/>
          <w:rtl/>
        </w:rPr>
        <w:t>يبين الجدول أعلاه أن لدى معظم الأسر المعيشية في الجزر الخارجية صهاريج مياه، سعة كل منها أكثر من 2000 غالون. ووفقاً لدراسة استقصائية أجريت في فونافوتي عام 2001</w:t>
      </w:r>
      <w:r w:rsidRPr="00653ACD">
        <w:rPr>
          <w:vertAlign w:val="superscript"/>
          <w:rtl/>
        </w:rPr>
        <w:t>(</w:t>
      </w:r>
      <w:r>
        <w:rPr>
          <w:rStyle w:val="FootnoteReference"/>
          <w:rtl/>
        </w:rPr>
        <w:footnoteReference w:id="106"/>
      </w:r>
      <w:r w:rsidRPr="00653ACD">
        <w:rPr>
          <w:vertAlign w:val="superscript"/>
          <w:rtl/>
        </w:rPr>
        <w:t>)</w:t>
      </w:r>
      <w:r>
        <w:rPr>
          <w:rFonts w:hint="cs"/>
          <w:vertAlign w:val="superscript"/>
          <w:rtl/>
        </w:rPr>
        <w:t xml:space="preserve"> </w:t>
      </w:r>
      <w:r w:rsidR="009C35E0">
        <w:rPr>
          <w:rFonts w:hint="cs"/>
          <w:rtl/>
        </w:rPr>
        <w:t>بلغ معدل استهلاك الأسرة المعيشية من الماء 602.2 لتر في اليوم. ولذلك، فإن الأسر المعيشية التي لديها صهاريج مياه متدنية السعة يرجح أن تواجه نقصاً في المياه أثناء فترات الجفاف الطويلة، إلا أن خزانات المياه المشتركة للمجتمع المحلي موجودة دائماً وبوسع هذه الأسرة استخدامها أيضاً. وعدا عن توفر المياه، من المهم أن يتمكن الناس من الحصول على مياه صالحة للشرب</w:t>
      </w:r>
      <w:r w:rsidR="00CF5D88" w:rsidRPr="00CF5D88">
        <w:rPr>
          <w:vertAlign w:val="superscript"/>
          <w:rtl/>
        </w:rPr>
        <w:t>(</w:t>
      </w:r>
      <w:r w:rsidR="00CF5D88">
        <w:rPr>
          <w:rStyle w:val="FootnoteReference"/>
          <w:rtl/>
        </w:rPr>
        <w:footnoteReference w:id="107"/>
      </w:r>
      <w:r w:rsidR="00CF5D88" w:rsidRPr="00CF5D88">
        <w:rPr>
          <w:vertAlign w:val="superscript"/>
          <w:rtl/>
        </w:rPr>
        <w:t>)</w:t>
      </w:r>
      <w:r w:rsidR="009C35E0">
        <w:rPr>
          <w:rFonts w:hint="cs"/>
          <w:rtl/>
        </w:rPr>
        <w:t>.</w:t>
      </w:r>
      <w:r w:rsidR="00CF5D88">
        <w:rPr>
          <w:rFonts w:hint="cs"/>
          <w:rtl/>
        </w:rPr>
        <w:t xml:space="preserve"> </w:t>
      </w:r>
      <w:r w:rsidR="009C35E0">
        <w:rPr>
          <w:rFonts w:hint="cs"/>
          <w:rtl/>
        </w:rPr>
        <w:t>ولا تجرى فحوص صحية لتحديد مدى نظافة المياه التي يستهلكها الناس ومدى كونها مأمونة.</w:t>
      </w:r>
    </w:p>
    <w:p w:rsidR="009C35E0" w:rsidRDefault="00CF5D88" w:rsidP="00CF5D88">
      <w:pPr>
        <w:pStyle w:val="SingleTxt"/>
        <w:rPr>
          <w:rFonts w:hint="cs"/>
          <w:rtl/>
        </w:rPr>
      </w:pPr>
      <w:r>
        <w:rPr>
          <w:rFonts w:hint="cs"/>
          <w:rtl/>
        </w:rPr>
        <w:t xml:space="preserve">14-16  </w:t>
      </w:r>
      <w:r w:rsidR="009C35E0">
        <w:rPr>
          <w:rFonts w:hint="cs"/>
          <w:rtl/>
        </w:rPr>
        <w:t>أكثر أنواع المراحيض استخداماً في الجزر الخارجية هي المراحيض التي يصب فيها الماء لتنظيفها، في حين أن المراحيض التي لها خزانات موصولة بشبكة المياه أكثر شيوعاً في فونافوتي. وقد تناقص عدد الأسر المعيشية التي لديها وسائل أخرى لتصريف فضلاتها في فترة ما بين عمليات التعداد السكاني من 8 في المائة في عام 1991 إلى واحد في المائة في عام 2002. وانخفضت نسبة الأسر التي لا يوجد لديها مراحيض من 15 في المائة إلى 13 في المائة. ولا توجد لدى بعض الأسر الهياكل الأساسية والمرافق الأساسية بوصفها مطلباً صحياً، ولا يوجد لدى الحكومة قانون بناء موحد لضمان صحة الأفراد وسلامتهم البيئية.</w:t>
      </w:r>
    </w:p>
    <w:p w:rsidR="00CF5D88" w:rsidRPr="00CF5D88" w:rsidRDefault="00CF5D88" w:rsidP="00CF5D88">
      <w:pPr>
        <w:pStyle w:val="SingleTxt"/>
        <w:spacing w:after="0" w:line="120" w:lineRule="exact"/>
        <w:rPr>
          <w:rFonts w:hint="cs"/>
          <w:sz w:val="10"/>
          <w:rtl/>
        </w:rPr>
      </w:pPr>
    </w:p>
    <w:p w:rsidR="009C35E0" w:rsidRDefault="00CF5D88" w:rsidP="00CF5D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BB54B9">
        <w:rPr>
          <w:rFonts w:hint="cs"/>
          <w:rtl/>
        </w:rPr>
        <w:t xml:space="preserve">تزويد المناطق الريفية </w:t>
      </w:r>
      <w:r w:rsidR="009C35E0">
        <w:rPr>
          <w:rFonts w:hint="cs"/>
          <w:rtl/>
        </w:rPr>
        <w:t>با</w:t>
      </w:r>
      <w:r w:rsidR="009C35E0" w:rsidRPr="00BB54B9">
        <w:rPr>
          <w:rFonts w:hint="cs"/>
          <w:rtl/>
        </w:rPr>
        <w:t>لكهرباء وتكنولوجيا المعلومات والاتصالات</w:t>
      </w:r>
    </w:p>
    <w:p w:rsidR="009C35E0" w:rsidRDefault="00CF5D88" w:rsidP="00CF5D88">
      <w:pPr>
        <w:pStyle w:val="SingleTxt"/>
        <w:rPr>
          <w:rFonts w:hint="cs"/>
          <w:rtl/>
        </w:rPr>
      </w:pPr>
      <w:r>
        <w:rPr>
          <w:rFonts w:hint="cs"/>
          <w:rtl/>
        </w:rPr>
        <w:t xml:space="preserve">14-17  </w:t>
      </w:r>
      <w:r w:rsidR="009C35E0">
        <w:rPr>
          <w:rFonts w:hint="cs"/>
          <w:rtl/>
        </w:rPr>
        <w:t xml:space="preserve">تحصل المرأة الريفية الآن على الكهرباء من خلال مولدات للمجتمع المحلي تدار بالديزل. وقد وفر لها هذا فرصة لاستخدام مواردها بحد أقصى من الكفاءة، وكذلك استخدام الأدوات الكهربائية المنزلية مما يسهل ويعزز عملها في العناية بالأسرة. ولدى بعض الأسر الآن ثلاجات وماكينات غسيل وماكينات لعمل الخبز. وكما جاء في </w:t>
      </w:r>
      <w:r w:rsidR="009C35E0" w:rsidRPr="0056260C">
        <w:rPr>
          <w:szCs w:val="20"/>
        </w:rPr>
        <w:t>HIES</w:t>
      </w:r>
      <w:r w:rsidR="009C35E0">
        <w:rPr>
          <w:rFonts w:hint="cs"/>
          <w:rtl/>
        </w:rPr>
        <w:t xml:space="preserve"> لعام 2004، الموقع الجغرافي للجزر الخارجية يجعل تنظيم التدريب/ حلقات العمل وتقديم الخدمات الأخرى بصورة منتظمة مكلف للغاية.</w:t>
      </w:r>
    </w:p>
    <w:p w:rsidR="00CF5D88" w:rsidRPr="00CF5D88" w:rsidRDefault="00CF5D88" w:rsidP="00CF5D88">
      <w:pPr>
        <w:pStyle w:val="SingleTxt"/>
        <w:spacing w:after="0" w:line="120" w:lineRule="exact"/>
        <w:rPr>
          <w:rFonts w:hint="cs"/>
          <w:sz w:val="10"/>
          <w:rtl/>
        </w:rPr>
      </w:pPr>
    </w:p>
    <w:p w:rsidR="009C35E0" w:rsidRDefault="00CF5D88" w:rsidP="00CF5D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BB54B9">
        <w:rPr>
          <w:rFonts w:hint="cs"/>
          <w:rtl/>
        </w:rPr>
        <w:t>النقل والاتصالات وتكنولوجيا</w:t>
      </w:r>
      <w:r w:rsidR="009C35E0">
        <w:rPr>
          <w:rFonts w:hint="cs"/>
          <w:rtl/>
        </w:rPr>
        <w:t xml:space="preserve"> الحاسوب والمعلومات</w:t>
      </w:r>
    </w:p>
    <w:p w:rsidR="009C35E0" w:rsidRDefault="00CF5D88" w:rsidP="00CF5D88">
      <w:pPr>
        <w:pStyle w:val="SingleTxt"/>
        <w:rPr>
          <w:rFonts w:hint="cs"/>
          <w:rtl/>
        </w:rPr>
      </w:pPr>
      <w:r>
        <w:rPr>
          <w:rFonts w:hint="cs"/>
          <w:rtl/>
        </w:rPr>
        <w:t xml:space="preserve">14-18  </w:t>
      </w:r>
      <w:r w:rsidR="009C35E0">
        <w:rPr>
          <w:rFonts w:hint="cs"/>
          <w:rtl/>
        </w:rPr>
        <w:t>لا تزال المرأة الريفية محرومة بعدة طرق، منها البعد الجغرافي وخدمات الشحن المتقطع، وهي خدمات ضرورية لأغراض النقل والتسويق. ومن بين القيود الرئيسية الأخرى: محدودية الحصول على الخدمات الأساسية الجيدة النوعية،</w:t>
      </w:r>
      <w:r>
        <w:rPr>
          <w:rFonts w:hint="cs"/>
          <w:rtl/>
        </w:rPr>
        <w:t xml:space="preserve"> والفرص المحدودة لكسب المال، لا</w:t>
      </w:r>
      <w:r>
        <w:rPr>
          <w:rFonts w:hint="eastAsia"/>
          <w:rtl/>
        </w:rPr>
        <w:t> </w:t>
      </w:r>
      <w:r w:rsidR="009C35E0">
        <w:rPr>
          <w:rFonts w:hint="cs"/>
          <w:rtl/>
        </w:rPr>
        <w:t xml:space="preserve">سيما بالنسبة للنساء والشباب؛ والإزدحام وكثرة عدد أفراد الأسرة المعيشية وأفراد المجتمعات المحلية نتيجة لوجود عدد كبير من الأسر؛ والكنسية؛ والمجتمع المحلي والمساهمة الجزرية، والبطالة، والموقف الاتكالي. ويتسبب البعد الجغرافي للجزر المرجانية في جعل تنظيم تدريب منتظم للمرأة في الجزر الخارجية مكلف جداً، كما أن قلة المواصلات ورداءة مرافق الاتصالات تؤدي إلى تفاقم الحالة. كما أن قاربي الحكومة </w:t>
      </w:r>
      <w:r w:rsidR="009C35E0">
        <w:rPr>
          <w:szCs w:val="20"/>
        </w:rPr>
        <w:t>M</w:t>
      </w:r>
      <w:r w:rsidR="009C35E0" w:rsidRPr="00C358C7">
        <w:rPr>
          <w:szCs w:val="20"/>
        </w:rPr>
        <w:t>V Nivaga II</w:t>
      </w:r>
      <w:r w:rsidR="009C35E0">
        <w:rPr>
          <w:rFonts w:hint="cs"/>
          <w:rtl/>
        </w:rPr>
        <w:t xml:space="preserve"> و </w:t>
      </w:r>
      <w:r w:rsidR="009C35E0" w:rsidRPr="00C358C7">
        <w:rPr>
          <w:szCs w:val="20"/>
        </w:rPr>
        <w:t>MV Manufolau</w:t>
      </w:r>
      <w:r w:rsidR="009C35E0">
        <w:rPr>
          <w:rFonts w:hint="cs"/>
          <w:rtl/>
        </w:rPr>
        <w:t xml:space="preserve">  اللذين يخدمان هذه الجزر، وتشكل خدمات الشحن غير المنتظمة تحدياً رئيسياً آخر يتعين على سكان المناطق الريفية ومزودي الخدمات أن يواجهوه.</w:t>
      </w:r>
    </w:p>
    <w:p w:rsidR="009C35E0" w:rsidRDefault="00CF5D88" w:rsidP="00084D51">
      <w:pPr>
        <w:pStyle w:val="SingleTxt"/>
        <w:rPr>
          <w:rFonts w:hint="cs"/>
          <w:rtl/>
        </w:rPr>
      </w:pPr>
      <w:r>
        <w:rPr>
          <w:rFonts w:hint="cs"/>
          <w:rtl/>
        </w:rPr>
        <w:t xml:space="preserve">14-19  </w:t>
      </w:r>
      <w:r w:rsidR="009C35E0">
        <w:rPr>
          <w:rFonts w:hint="cs"/>
          <w:rtl/>
        </w:rPr>
        <w:t xml:space="preserve">توجد فجوة معلومات من حيث فهم قضايا المرأة والتدريب. والإذاعة الوسيلة الوحيدة لنشر المعلومات. وواسطة الإعلام الوحيدة التي مقرها في توفالو محطة إذاعة تديرها مؤسسة توفالو للإعلام. وحددت السياسة المنقحة للمرأة وسائط الإعلام على أنها أحد مجالات الاهتمام المهمة جداً بهدف </w:t>
      </w:r>
      <w:r w:rsidR="00084D51">
        <w:rPr>
          <w:rFonts w:hint="eastAsia"/>
          <w:rtl/>
        </w:rPr>
        <w:t>”</w:t>
      </w:r>
      <w:r w:rsidR="009C35E0">
        <w:rPr>
          <w:rFonts w:hint="cs"/>
          <w:rtl/>
        </w:rPr>
        <w:t>مشاركة المرأة مشاركة فعالة في الإعلام من أجل التعليم والتدريب وحظر التصوير النمطي للنساء و</w:t>
      </w:r>
      <w:r w:rsidR="00084D51">
        <w:rPr>
          <w:rFonts w:hint="cs"/>
          <w:rtl/>
        </w:rPr>
        <w:t>الفتيات على أنهن وسائل جذب جنسي</w:t>
      </w:r>
      <w:r w:rsidR="00084D51">
        <w:rPr>
          <w:rFonts w:hint="eastAsia"/>
          <w:rtl/>
        </w:rPr>
        <w:t>“</w:t>
      </w:r>
      <w:r w:rsidR="00084D51">
        <w:rPr>
          <w:rFonts w:hint="cs"/>
          <w:rtl/>
        </w:rPr>
        <w:t>. وما</w:t>
      </w:r>
      <w:r w:rsidR="00084D51">
        <w:rPr>
          <w:rFonts w:hint="eastAsia"/>
          <w:rtl/>
        </w:rPr>
        <w:t> </w:t>
      </w:r>
      <w:r w:rsidR="009C35E0">
        <w:rPr>
          <w:rFonts w:hint="cs"/>
          <w:rtl/>
        </w:rPr>
        <w:t>فتئت الحكومة تستخدم وسائط الإعلام بنشاط بوصفها</w:t>
      </w:r>
      <w:r w:rsidR="00084D51">
        <w:rPr>
          <w:rFonts w:hint="cs"/>
          <w:rtl/>
        </w:rPr>
        <w:t xml:space="preserve"> وسيلة لتثقيف المرأة والرجل، لا</w:t>
      </w:r>
      <w:r w:rsidR="00084D51">
        <w:rPr>
          <w:rFonts w:hint="eastAsia"/>
          <w:rtl/>
        </w:rPr>
        <w:t> </w:t>
      </w:r>
      <w:r w:rsidR="009C35E0">
        <w:rPr>
          <w:rFonts w:hint="cs"/>
          <w:rtl/>
        </w:rPr>
        <w:t>سيما الذين يعيشون في المناطق الريفية، بشأن مجموعة من القضايا التي من بينها نوع الجنس وحقوق الإنسان، إلخ. وعلى مدى السنتين الماضيتين، بثت محطة الإذاعة برنامج الاحتفال باليوم الدولي للمرأة في العاصمة. وكان هذا موجهاً لنشر معلومات هامة عن الموضوع والقضايا التي نوقشت أثناء الاحتفال باليوم الدولي للمرأة.</w:t>
      </w:r>
    </w:p>
    <w:p w:rsidR="009C35E0" w:rsidRDefault="00CF5D88" w:rsidP="00CF5D88">
      <w:pPr>
        <w:pStyle w:val="SingleTxt"/>
        <w:rPr>
          <w:rFonts w:hint="cs"/>
          <w:rtl/>
        </w:rPr>
      </w:pPr>
      <w:r>
        <w:rPr>
          <w:rFonts w:hint="cs"/>
          <w:rtl/>
        </w:rPr>
        <w:t xml:space="preserve">14-20  </w:t>
      </w:r>
      <w:r w:rsidR="009C35E0">
        <w:rPr>
          <w:rFonts w:hint="cs"/>
          <w:rtl/>
        </w:rPr>
        <w:t>من حيث توفر الكهرباء، لكل جزيرة مولدات خاصة بها تدار بالديزل. وهذا مكن المقيمين في المناطق الريفية من الحصول على شبكة إضاءة أفضل واستخدام أدوات كهربائية مثل الثلاجات وماكينات الغسيل، التي خففت كثيراً من عبء الأعمال التقليدية التي تقوم بها المرأة، مثل غسل وتجفيف الأسماك. ومهد توفر الكهرباء أيضاً الطريق أمام تطوير تكنولوجيا المعلومات والاتصالات في هذه المناطق. وانطلاقاً من إدراك الحكومة لهذه المسائل ومن الحاجة لتحسين حالة الناس في المناطق الريفية وتضييق فجوة المعلومات، تخطط الآن لإدخال تكنولوجيا المعلومات والاتصالات وخدمات شبكة الإنترنت إلى الجزر الخارجية في غضون السنتين القادمتين. وهذا من شأنه أن ييسر إلى حد كبير الاتصالات وتقديم الخدمات في هذه الجزر.</w:t>
      </w:r>
    </w:p>
    <w:p w:rsidR="00CF5D88" w:rsidRPr="00CF5D88" w:rsidRDefault="00CF5D88" w:rsidP="00CF5D88">
      <w:pPr>
        <w:pStyle w:val="SingleTxt"/>
        <w:spacing w:after="0" w:line="120" w:lineRule="exact"/>
        <w:rPr>
          <w:rFonts w:hint="cs"/>
          <w:sz w:val="10"/>
          <w:rtl/>
        </w:rPr>
      </w:pPr>
    </w:p>
    <w:p w:rsidR="009C35E0" w:rsidRDefault="00CF5D88" w:rsidP="00CF5D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r>
      <w:r w:rsidR="009C35E0" w:rsidRPr="00BB54B9">
        <w:rPr>
          <w:rFonts w:hint="cs"/>
          <w:rtl/>
        </w:rPr>
        <w:t xml:space="preserve">المادة 15 </w:t>
      </w:r>
    </w:p>
    <w:p w:rsidR="009C35E0" w:rsidRPr="00BB54B9" w:rsidRDefault="009C35E0" w:rsidP="009C35E0">
      <w:pPr>
        <w:rPr>
          <w:rFonts w:hint="cs"/>
          <w:b/>
          <w:bCs/>
          <w:sz w:val="32"/>
          <w:szCs w:val="32"/>
          <w:rtl/>
        </w:rPr>
      </w:pPr>
    </w:p>
    <w:tbl>
      <w:tblPr>
        <w:tblStyle w:val="TableGrid"/>
        <w:bidiVisual/>
        <w:tblW w:w="9504" w:type="dxa"/>
        <w:jc w:val="center"/>
        <w:tblLook w:val="01E0" w:firstRow="1" w:lastRow="1" w:firstColumn="1" w:lastColumn="1" w:noHBand="0" w:noVBand="0"/>
      </w:tblPr>
      <w:tblGrid>
        <w:gridCol w:w="9504"/>
      </w:tblGrid>
      <w:tr w:rsidR="009C35E0" w:rsidRPr="00CF5D88">
        <w:trPr>
          <w:jc w:val="center"/>
        </w:trPr>
        <w:tc>
          <w:tcPr>
            <w:tcW w:w="8856" w:type="dxa"/>
          </w:tcPr>
          <w:p w:rsidR="009C35E0" w:rsidRPr="00CF5D88" w:rsidRDefault="00CF5D88" w:rsidP="00CF5D88">
            <w:pPr>
              <w:pStyle w:val="SingleTxt"/>
              <w:rPr>
                <w:rFonts w:cs="Traditional Arabic" w:hint="cs"/>
              </w:rPr>
            </w:pPr>
            <w:r>
              <w:rPr>
                <w:rFonts w:cs="Traditional Arabic"/>
                <w:rtl/>
              </w:rPr>
              <w:tab/>
            </w:r>
            <w:r w:rsidR="009C35E0" w:rsidRPr="00CF5D88">
              <w:rPr>
                <w:rFonts w:cs="Traditional Arabic" w:hint="cs"/>
                <w:rtl/>
              </w:rPr>
              <w:t>تمنح الدول الأطراف المرأة المساواة مع الرجل أمام القانون.</w:t>
            </w:r>
          </w:p>
          <w:p w:rsidR="009C35E0" w:rsidRPr="00CF5D88" w:rsidRDefault="00CF5D88" w:rsidP="00CF5D88">
            <w:pPr>
              <w:pStyle w:val="SingleTxt"/>
              <w:rPr>
                <w:rFonts w:cs="Traditional Arabic" w:hint="cs"/>
              </w:rPr>
            </w:pPr>
            <w:r>
              <w:rPr>
                <w:rFonts w:cs="Traditional Arabic"/>
                <w:rtl/>
              </w:rPr>
              <w:tab/>
            </w:r>
            <w:r w:rsidR="009C35E0" w:rsidRPr="00CF5D88">
              <w:rPr>
                <w:rFonts w:cs="Traditional Arabic" w:hint="cs"/>
                <w:rtl/>
              </w:rPr>
              <w:t>تمنح الدول الأطراف المرأة في الشؤون المدنية، أهلية قانونية مماثلة لأهلية الرجل، ونفس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المتبعة في المحاكم والهيئات القضائية.</w:t>
            </w:r>
          </w:p>
          <w:p w:rsidR="009C35E0" w:rsidRPr="00CF5D88" w:rsidRDefault="00CF5D88" w:rsidP="00CF5D88">
            <w:pPr>
              <w:pStyle w:val="SingleTxt"/>
              <w:rPr>
                <w:rFonts w:cs="Traditional Arabic" w:hint="cs"/>
              </w:rPr>
            </w:pPr>
            <w:r>
              <w:rPr>
                <w:rFonts w:cs="Traditional Arabic"/>
                <w:rtl/>
              </w:rPr>
              <w:tab/>
            </w:r>
            <w:r w:rsidR="009C35E0" w:rsidRPr="00CF5D88">
              <w:rPr>
                <w:rFonts w:cs="Traditional Arabic" w:hint="cs"/>
                <w:rtl/>
              </w:rPr>
              <w:t>توافق الدول الأطراف على اعتبار جميع العقود وسائر أنواع الصكوك الخاصة التي لها أثر قانوني يستهدف تقييد الأهلية القانونية للمرأة باطلة ولاغية.</w:t>
            </w:r>
          </w:p>
          <w:p w:rsidR="009C35E0" w:rsidRPr="00CF5D88" w:rsidRDefault="00CF5D88" w:rsidP="00CF5D88">
            <w:pPr>
              <w:pStyle w:val="SingleTxt"/>
              <w:rPr>
                <w:rFonts w:cs="Traditional Arabic" w:hint="cs"/>
              </w:rPr>
            </w:pPr>
            <w:r>
              <w:rPr>
                <w:rFonts w:cs="Traditional Arabic"/>
                <w:rtl/>
              </w:rPr>
              <w:tab/>
            </w:r>
            <w:r w:rsidR="009C35E0" w:rsidRPr="00CF5D88">
              <w:rPr>
                <w:rFonts w:cs="Traditional Arabic" w:hint="cs"/>
                <w:rtl/>
              </w:rPr>
              <w:t>تمنح الدول الأطراف الرجل والمرأة نفس الحقوق فيما يتعلق بالقانون المتصل بحركة الأشخاص وحرية اختيار محل سكناهم وإقامتهم.</w:t>
            </w:r>
          </w:p>
          <w:p w:rsidR="009C35E0" w:rsidRPr="00CF5D88" w:rsidRDefault="009C35E0" w:rsidP="00CF5D88">
            <w:pPr>
              <w:pStyle w:val="SingleTxt"/>
              <w:rPr>
                <w:rFonts w:cs="Traditional Arabic" w:hint="cs"/>
                <w:rtl/>
              </w:rPr>
            </w:pPr>
          </w:p>
        </w:tc>
      </w:tr>
    </w:tbl>
    <w:p w:rsidR="009C35E0" w:rsidRDefault="009C35E0" w:rsidP="009C35E0">
      <w:pPr>
        <w:rPr>
          <w:rFonts w:hint="cs"/>
          <w:b/>
          <w:bCs/>
          <w:sz w:val="32"/>
          <w:szCs w:val="32"/>
          <w:rtl/>
        </w:rPr>
      </w:pPr>
    </w:p>
    <w:p w:rsidR="009C35E0" w:rsidRDefault="00CF5D88" w:rsidP="00CF5D8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9C35E0" w:rsidRPr="00BB54B9">
        <w:rPr>
          <w:rFonts w:hint="cs"/>
          <w:rtl/>
        </w:rPr>
        <w:t>الإطار القانوني</w:t>
      </w:r>
    </w:p>
    <w:p w:rsidR="009C35E0" w:rsidRDefault="00CF5D88" w:rsidP="00CF5D88">
      <w:pPr>
        <w:pStyle w:val="SingleTxt"/>
        <w:rPr>
          <w:rFonts w:hint="cs"/>
          <w:rtl/>
        </w:rPr>
      </w:pPr>
      <w:r>
        <w:rPr>
          <w:rFonts w:hint="cs"/>
          <w:rtl/>
        </w:rPr>
        <w:t>15-1</w:t>
      </w:r>
      <w:r>
        <w:rPr>
          <w:rFonts w:hint="cs"/>
          <w:rtl/>
        </w:rPr>
        <w:tab/>
      </w:r>
      <w:r w:rsidR="009C35E0">
        <w:rPr>
          <w:rFonts w:hint="cs"/>
          <w:rtl/>
        </w:rPr>
        <w:t xml:space="preserve">لا ينص دستور توفالو على عدم التمييز على أساس نوع الجنس. وحتى لو نص الدستور على ذلك، فإن حماية قيم التوفاليين المنصوص عليها في الفرع 29 ستعيق تنفيذه إلى حد ما. فضلاً عن ذلك، عدا عن الممارسات المعتادة والتقليدية، لا تتمتع المرأة إلا بقدر محدود من حرية التعبير في المسائل المتعلقة بالمجتمع المجلي ككل، ويتوقف ذلك </w:t>
      </w:r>
      <w:r w:rsidR="009C35E0" w:rsidRPr="001823B4">
        <w:rPr>
          <w:rFonts w:hint="cs"/>
          <w:rtl/>
        </w:rPr>
        <w:t>على تقاليد وثقافة الجزيرة .</w:t>
      </w:r>
    </w:p>
    <w:p w:rsidR="009C35E0" w:rsidRDefault="00CF5D88" w:rsidP="00084D51">
      <w:pPr>
        <w:pStyle w:val="SingleTxt"/>
        <w:rPr>
          <w:rFonts w:hint="cs"/>
          <w:rtl/>
        </w:rPr>
      </w:pPr>
      <w:r>
        <w:rPr>
          <w:rFonts w:hint="cs"/>
          <w:rtl/>
        </w:rPr>
        <w:t>15-2</w:t>
      </w:r>
      <w:r>
        <w:rPr>
          <w:rFonts w:hint="cs"/>
          <w:rtl/>
        </w:rPr>
        <w:tab/>
      </w:r>
      <w:r w:rsidR="009C35E0">
        <w:rPr>
          <w:rFonts w:hint="cs"/>
          <w:rtl/>
        </w:rPr>
        <w:t xml:space="preserve">لا يوجد في القوانين ما ينص على المفاضلة في الاحترام بين الرجل والمرأة بالنسبة للعادات والقيم التقليدية. وقد كان الغرض من حذف عبارة </w:t>
      </w:r>
      <w:r w:rsidR="00084D51">
        <w:rPr>
          <w:rFonts w:hint="eastAsia"/>
          <w:rtl/>
        </w:rPr>
        <w:t>”</w:t>
      </w:r>
      <w:r w:rsidR="009C35E0">
        <w:rPr>
          <w:rFonts w:hint="cs"/>
          <w:rtl/>
        </w:rPr>
        <w:t>نوع الجنس</w:t>
      </w:r>
      <w:r w:rsidR="00084D51">
        <w:rPr>
          <w:rFonts w:hint="eastAsia"/>
          <w:rtl/>
        </w:rPr>
        <w:t>“</w:t>
      </w:r>
      <w:r w:rsidR="009C35E0">
        <w:rPr>
          <w:rFonts w:hint="cs"/>
          <w:rtl/>
        </w:rPr>
        <w:t xml:space="preserve"> من الفرع 27 من الدستور تفعيل مبادئ الدستور. ويناسب هذا أيضاً ظروفاً معينة حيث لا يزال احترام وتفعيل التقاليد والعادات والقيم مهما للحفاظ على نظام حسن وتنمية فعالة في البلد. وهذا مكن من سن تشريعات معينة لا تنص على معاملة المرأة والرجل على قد المساواة.</w:t>
      </w:r>
    </w:p>
    <w:p w:rsidR="009C35E0" w:rsidRDefault="00CF5D88" w:rsidP="00CF5D88">
      <w:pPr>
        <w:pStyle w:val="SingleTxt"/>
        <w:rPr>
          <w:rFonts w:hint="cs"/>
          <w:rtl/>
        </w:rPr>
      </w:pPr>
      <w:r>
        <w:rPr>
          <w:rFonts w:hint="cs"/>
          <w:rtl/>
        </w:rPr>
        <w:t>15-3</w:t>
      </w:r>
      <w:r>
        <w:rPr>
          <w:rFonts w:hint="cs"/>
          <w:rtl/>
        </w:rPr>
        <w:tab/>
      </w:r>
      <w:r w:rsidR="009C35E0">
        <w:rPr>
          <w:rFonts w:hint="cs"/>
          <w:rtl/>
        </w:rPr>
        <w:t>ووفقاً لذلك، يعترف الفرع 10 من الدستور بأنه في حين أن الحرية أمام القانون ممنوحة لكل شخص على قدم المساواة، قد توجد ظروف تسمح بمعاملة الناس معاملة تمييزية. وأحد هذ الظروف المعاملة التمييزية على أساس نوع الجنس.</w:t>
      </w:r>
    </w:p>
    <w:p w:rsidR="009C35E0" w:rsidRDefault="00CF5D88" w:rsidP="00CF5D8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9C35E0" w:rsidRPr="00861D68">
        <w:rPr>
          <w:rFonts w:hint="cs"/>
          <w:rtl/>
        </w:rPr>
        <w:t>قانون الأراضي في توفالو</w:t>
      </w:r>
    </w:p>
    <w:p w:rsidR="009C35E0" w:rsidRDefault="00CF5D88" w:rsidP="00CF5D88">
      <w:pPr>
        <w:pStyle w:val="SingleTxt"/>
        <w:rPr>
          <w:rFonts w:hint="cs"/>
          <w:rtl/>
        </w:rPr>
      </w:pPr>
      <w:r>
        <w:rPr>
          <w:rFonts w:hint="cs"/>
          <w:rtl/>
        </w:rPr>
        <w:t>15-4</w:t>
      </w:r>
      <w:r>
        <w:rPr>
          <w:rFonts w:hint="cs"/>
          <w:rtl/>
        </w:rPr>
        <w:tab/>
      </w:r>
      <w:r w:rsidR="009C35E0">
        <w:rPr>
          <w:rFonts w:hint="cs"/>
          <w:rtl/>
        </w:rPr>
        <w:t>الاعتراف بملكية الأسرة وتوزيعها، لا سيما الأراضي، يحابي الذكور. فعلى سبيل المثال، يعطي الفرع 9 من قانون الأراضي تقديراً أكبر للأولاد مما يعطي للبنات. ولكن، حتى بين الأولاد، يعطى الابن الأكبر قدراً أكبر من الاحترام الذي يعطى لبقية الأولاد. وتعتبر البنات ثانوية بالنسبة للأولاد. وهذا القانون هو التشريع الوحيد الموجود الذي يحاول توفير تغطية شاملة للماراسات التقليدية المتعلقة بالأرض. وفي الوقت الذي دُوّن فيه هذا القانون، كانت هذه أفضل الممارسات الموجودة. وتفرض الممارسات التقليدية على الأولاد، لا سيما الولد الأكبر، التزامات ومسؤوليات تجاه الأسرة الموسعة بأسرها. وبناءً على ذلك، كان من المقبول جداً أن توازي عائدات المنافع لشخص ما التزاماته ومسؤولياته.</w:t>
      </w:r>
    </w:p>
    <w:p w:rsidR="009C35E0" w:rsidRDefault="00CF5D88" w:rsidP="00CF5D88">
      <w:pPr>
        <w:pStyle w:val="SingleTxt"/>
        <w:rPr>
          <w:rFonts w:hint="cs"/>
          <w:rtl/>
        </w:rPr>
      </w:pPr>
      <w:r>
        <w:rPr>
          <w:rFonts w:hint="cs"/>
          <w:rtl/>
        </w:rPr>
        <w:t>15-5</w:t>
      </w:r>
      <w:r>
        <w:rPr>
          <w:rFonts w:hint="cs"/>
          <w:rtl/>
        </w:rPr>
        <w:tab/>
      </w:r>
      <w:r w:rsidR="009C35E0">
        <w:rPr>
          <w:rFonts w:hint="cs"/>
          <w:rtl/>
        </w:rPr>
        <w:t>في الممارسة العملية، لا يجري إطلاقاً التقيد بصرامة بهذه الأحكام. ويعامل الأولاد أخواتهم على قدم المساواة فيما يتعلق بالأرض. ومسائل الأرض هذه غالباً ما تقتضي التوصل إلى اتفاقات بالتراضي بين جميع الناس الذي لهم مصالح في المسألة. وتوزيع الأراضي في معظم الحالات يتم بالتساوي بين الأولاد والبنات. وفي الحالات التي تكون فيها أراضي جميع الأسرة مقيدة تحت اسم أحد الأولاد، من المقبول تقليدياً أن تبقى تحت إشرافه على أساس استئماني لمنفعة الجميع. وفي إطار هذا المنظور، قد يكون من الإنصاف القول إن القانون، عندما جرت صياغته، لم يستوعب بالكامل المفهوم التقليدي لملكية الأراضي. وبالتالي، على الرغم من الأحكام التمييزية للقانون، فإن الممارسة تتمشى في الحقيقة مع روح اتفاقية القضاء على جميع أشكال التمييز ضد المرأة.</w:t>
      </w:r>
    </w:p>
    <w:p w:rsidR="00CF5D88" w:rsidRPr="00CF5D88" w:rsidRDefault="00CF5D88" w:rsidP="00CF5D88">
      <w:pPr>
        <w:pStyle w:val="SingleTxt"/>
        <w:spacing w:after="0" w:line="120" w:lineRule="exact"/>
        <w:rPr>
          <w:rFonts w:hint="cs"/>
          <w:sz w:val="10"/>
          <w:rtl/>
        </w:rPr>
      </w:pPr>
    </w:p>
    <w:p w:rsidR="009C35E0" w:rsidRDefault="00CF5D88" w:rsidP="00CF5D8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861D68">
        <w:rPr>
          <w:rFonts w:hint="cs"/>
          <w:rtl/>
        </w:rPr>
        <w:t>المسائل المدنية</w:t>
      </w:r>
    </w:p>
    <w:p w:rsidR="009C35E0" w:rsidRDefault="00CF5D88" w:rsidP="00CF5D88">
      <w:pPr>
        <w:pStyle w:val="SingleTxt"/>
        <w:rPr>
          <w:rFonts w:hint="cs"/>
          <w:rtl/>
        </w:rPr>
      </w:pPr>
      <w:r>
        <w:rPr>
          <w:rFonts w:hint="cs"/>
          <w:rtl/>
        </w:rPr>
        <w:t>15-6</w:t>
      </w:r>
      <w:r>
        <w:rPr>
          <w:rFonts w:hint="cs"/>
          <w:rtl/>
        </w:rPr>
        <w:tab/>
      </w:r>
      <w:r w:rsidR="009C35E0">
        <w:rPr>
          <w:rFonts w:hint="cs"/>
          <w:rtl/>
        </w:rPr>
        <w:t>لا يوجد في القانون ولا في الممارسة ما يحظر على المرء إقامة دعوى مدنية أو المشاركة في أي إجراء قانوني. وتتمتع كل امرأة بلغت سن الرشد وكل رجل بلغ سن الرشد بحقوق متساوية في الدخول في اتفاقات تعاقدية وإبرامها. وبالنسبة للمسائل التي لا ترتبط بالأرض، تتمتع المرأة بنفس الحقوق التي يتمتع بها الرجل في إبرام العقود وبالنسبة للممتلكات التي لا يوجد قانون بشأنها. وبموجب أحكام الفرع 10 من الدستور، بوسع المرأة أن تدخل في عقد بصفتها الشخصية.</w:t>
      </w:r>
    </w:p>
    <w:p w:rsidR="009C35E0" w:rsidRDefault="00CF5D88" w:rsidP="00CF5D88">
      <w:pPr>
        <w:pStyle w:val="SingleTxt"/>
        <w:rPr>
          <w:rFonts w:hint="cs"/>
          <w:rtl/>
        </w:rPr>
      </w:pPr>
      <w:r>
        <w:rPr>
          <w:rFonts w:hint="cs"/>
          <w:rtl/>
        </w:rPr>
        <w:t>15-7</w:t>
      </w:r>
      <w:r>
        <w:rPr>
          <w:rFonts w:hint="cs"/>
          <w:rtl/>
        </w:rPr>
        <w:tab/>
      </w:r>
      <w:r w:rsidR="009C35E0">
        <w:rPr>
          <w:rFonts w:hint="cs"/>
          <w:rtl/>
        </w:rPr>
        <w:t>بالنسبة للقوانين المتعلقة بالحركة، تتمتع المرأة والرجل بنفس الحق في الحركة. كما يحق لأية امرأة أن تختار بحرية مكان إقامتها أو سكنها، باستثناء بعض النساء المتزوجات اللواتي يتوقع منهن أن يعشن مع أزواجهن في أرضه كما تقضي العادة والقواعد الثقافية.</w:t>
      </w:r>
    </w:p>
    <w:p w:rsidR="00CF5D88" w:rsidRPr="00CF5D88" w:rsidRDefault="00CF5D88" w:rsidP="00CF5D88">
      <w:pPr>
        <w:pStyle w:val="SingleTxt"/>
        <w:spacing w:after="0" w:line="120" w:lineRule="exact"/>
        <w:rPr>
          <w:rFonts w:hint="cs"/>
          <w:sz w:val="10"/>
          <w:rtl/>
        </w:rPr>
      </w:pPr>
    </w:p>
    <w:p w:rsidR="009C35E0" w:rsidRPr="00362EA3" w:rsidRDefault="00CF5D88" w:rsidP="00CF5D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C35E0" w:rsidRPr="00362EA3">
        <w:rPr>
          <w:rFonts w:hint="cs"/>
          <w:rtl/>
        </w:rPr>
        <w:t xml:space="preserve">المادة 16 </w:t>
      </w:r>
    </w:p>
    <w:p w:rsidR="009C35E0" w:rsidRDefault="009C35E0" w:rsidP="009C35E0">
      <w:pPr>
        <w:rPr>
          <w:rFonts w:hint="cs"/>
          <w:sz w:val="32"/>
          <w:szCs w:val="32"/>
          <w:rtl/>
        </w:rPr>
      </w:pPr>
    </w:p>
    <w:tbl>
      <w:tblPr>
        <w:tblStyle w:val="TableGrid"/>
        <w:bidiVisual/>
        <w:tblW w:w="9504" w:type="dxa"/>
        <w:jc w:val="center"/>
        <w:tblLook w:val="01E0" w:firstRow="1" w:lastRow="1" w:firstColumn="1" w:lastColumn="1" w:noHBand="0" w:noVBand="0"/>
      </w:tblPr>
      <w:tblGrid>
        <w:gridCol w:w="9504"/>
      </w:tblGrid>
      <w:tr w:rsidR="009C35E0" w:rsidRPr="00CF5D88">
        <w:trPr>
          <w:jc w:val="center"/>
        </w:trPr>
        <w:tc>
          <w:tcPr>
            <w:tcW w:w="9504" w:type="dxa"/>
          </w:tcPr>
          <w:p w:rsidR="009C35E0" w:rsidRPr="00CF5D88" w:rsidRDefault="00E67499" w:rsidP="00CF5D88">
            <w:pPr>
              <w:pStyle w:val="SingleTxt"/>
              <w:rPr>
                <w:rFonts w:cs="Traditional Arabic" w:hint="cs"/>
              </w:rPr>
            </w:pPr>
            <w:r>
              <w:rPr>
                <w:rFonts w:cs="Traditional Arabic"/>
                <w:rtl/>
              </w:rPr>
              <w:tab/>
            </w:r>
            <w:r w:rsidR="009C35E0" w:rsidRPr="00CF5D88">
              <w:rPr>
                <w:rFonts w:cs="Traditional Arabic" w:hint="cs"/>
                <w:rtl/>
              </w:rPr>
              <w:t>تتخذ الدول الأطراف جميع التدابير المناسبة للقضاء على التمييز ضد المرأة في كافة الأمور المتعلقة بالزواج والعلاقات الأسرية، وبوجه خاص تضمن، على أساس تساوي الرجل والمرأة:</w:t>
            </w:r>
          </w:p>
          <w:p w:rsidR="009C35E0" w:rsidRPr="00CF5D88" w:rsidRDefault="00E67499" w:rsidP="00CF5D88">
            <w:pPr>
              <w:pStyle w:val="SingleTxt"/>
              <w:rPr>
                <w:rFonts w:cs="Traditional Arabic" w:hint="cs"/>
              </w:rPr>
            </w:pPr>
            <w:r>
              <w:rPr>
                <w:rFonts w:cs="Traditional Arabic"/>
                <w:rtl/>
              </w:rPr>
              <w:tab/>
            </w:r>
            <w:r w:rsidR="0074459B">
              <w:rPr>
                <w:rFonts w:cs="Traditional Arabic" w:hint="cs"/>
                <w:rtl/>
              </w:rPr>
              <w:t>(أ)</w:t>
            </w:r>
            <w:r w:rsidR="0074459B">
              <w:rPr>
                <w:rFonts w:cs="Traditional Arabic"/>
                <w:rtl/>
              </w:rPr>
              <w:tab/>
            </w:r>
            <w:r w:rsidR="009C35E0" w:rsidRPr="00CF5D88">
              <w:rPr>
                <w:rFonts w:cs="Traditional Arabic" w:hint="cs"/>
                <w:rtl/>
              </w:rPr>
              <w:t>نفس الحق في عقد الزواج؛</w:t>
            </w:r>
          </w:p>
          <w:p w:rsidR="009C35E0" w:rsidRPr="00CF5D88" w:rsidRDefault="00E67499" w:rsidP="00CF5D88">
            <w:pPr>
              <w:pStyle w:val="SingleTxt"/>
              <w:rPr>
                <w:rFonts w:cs="Traditional Arabic" w:hint="cs"/>
              </w:rPr>
            </w:pPr>
            <w:r>
              <w:rPr>
                <w:rFonts w:cs="Traditional Arabic"/>
                <w:rtl/>
              </w:rPr>
              <w:tab/>
            </w:r>
            <w:r w:rsidR="0074459B">
              <w:rPr>
                <w:rFonts w:cs="Traditional Arabic" w:hint="cs"/>
                <w:rtl/>
              </w:rPr>
              <w:t>(ب)</w:t>
            </w:r>
            <w:r w:rsidR="0074459B">
              <w:rPr>
                <w:rFonts w:cs="Traditional Arabic"/>
                <w:rtl/>
              </w:rPr>
              <w:tab/>
            </w:r>
            <w:r w:rsidR="009C35E0" w:rsidRPr="00CF5D88">
              <w:rPr>
                <w:rFonts w:cs="Traditional Arabic" w:hint="cs"/>
                <w:rtl/>
              </w:rPr>
              <w:t>نفس الحق في حرية اختيار الزوج، وفي عدم عقد الزواج إلا برضاها الحر الكامل؛</w:t>
            </w:r>
          </w:p>
          <w:p w:rsidR="009C35E0" w:rsidRPr="00CF5D88" w:rsidRDefault="00E67499" w:rsidP="00CF5D88">
            <w:pPr>
              <w:pStyle w:val="SingleTxt"/>
              <w:rPr>
                <w:rFonts w:cs="Traditional Arabic" w:hint="cs"/>
              </w:rPr>
            </w:pPr>
            <w:r>
              <w:rPr>
                <w:rFonts w:cs="Traditional Arabic"/>
                <w:rtl/>
              </w:rPr>
              <w:tab/>
            </w:r>
            <w:r w:rsidR="0074459B">
              <w:rPr>
                <w:rFonts w:cs="Traditional Arabic" w:hint="cs"/>
                <w:rtl/>
              </w:rPr>
              <w:t>(ج)</w:t>
            </w:r>
            <w:r w:rsidR="0074459B">
              <w:rPr>
                <w:rFonts w:cs="Traditional Arabic"/>
                <w:rtl/>
              </w:rPr>
              <w:tab/>
            </w:r>
            <w:r w:rsidR="009C35E0" w:rsidRPr="00CF5D88">
              <w:rPr>
                <w:rFonts w:cs="Traditional Arabic" w:hint="cs"/>
                <w:rtl/>
              </w:rPr>
              <w:t>نفس الحقوق والمسؤوليات أثناء الزواج وعند فسخه؛</w:t>
            </w:r>
          </w:p>
          <w:p w:rsidR="009C35E0" w:rsidRPr="00CF5D88" w:rsidRDefault="00E67499" w:rsidP="00CF5D88">
            <w:pPr>
              <w:pStyle w:val="SingleTxt"/>
              <w:rPr>
                <w:rFonts w:cs="Traditional Arabic" w:hint="cs"/>
                <w:rtl/>
              </w:rPr>
            </w:pPr>
            <w:r>
              <w:rPr>
                <w:rFonts w:cs="Traditional Arabic"/>
                <w:rtl/>
              </w:rPr>
              <w:tab/>
            </w:r>
            <w:r w:rsidR="009C35E0" w:rsidRPr="00CF5D88">
              <w:rPr>
                <w:rFonts w:cs="Traditional Arabic" w:hint="cs"/>
                <w:rtl/>
              </w:rPr>
              <w:t>(د)</w:t>
            </w:r>
            <w:r w:rsidR="009C35E0" w:rsidRPr="00CF5D88">
              <w:rPr>
                <w:rFonts w:cs="Traditional Arabic" w:hint="cs"/>
                <w:rtl/>
              </w:rPr>
              <w:tab/>
              <w:t>نفس الحقوق في أن تقرر بحرية وبشعور من المسؤولية عدد أطفالها والفترة بين إنجاب طفل وآخر، وفي الحصول على المعلومات والتثقيف والوسائل الكفيلة بتمكينها من ممارسة هذه الحقوق؛</w:t>
            </w:r>
          </w:p>
          <w:p w:rsidR="009C35E0" w:rsidRPr="00CF5D88" w:rsidRDefault="00E67499" w:rsidP="00CF5D88">
            <w:pPr>
              <w:pStyle w:val="SingleTxt"/>
              <w:rPr>
                <w:rFonts w:cs="Traditional Arabic" w:hint="cs"/>
              </w:rPr>
            </w:pPr>
            <w:r>
              <w:rPr>
                <w:rFonts w:cs="Traditional Arabic"/>
                <w:rtl/>
              </w:rPr>
              <w:tab/>
            </w:r>
            <w:r w:rsidR="009C35E0" w:rsidRPr="00CF5D88">
              <w:rPr>
                <w:rFonts w:cs="Traditional Arabic" w:hint="cs"/>
                <w:rtl/>
              </w:rPr>
              <w:t>(هـ)</w:t>
            </w:r>
            <w:r w:rsidR="009C35E0" w:rsidRPr="00CF5D88">
              <w:rPr>
                <w:rFonts w:cs="Traditional Arabic" w:hint="cs"/>
                <w:rtl/>
              </w:rPr>
              <w:tab/>
              <w:t>نفس الحقوق والمسؤوليات فيما يتعلق بالولاية والقوامة والوصاية على الأطفال وتبنيهم، أو ما شابه ذلك من الأنظمة المؤسسية الاجتماعية، حين توجد هذه المفاهيم في التشريع الوطني؛ وفي جميع الأحوال تكون مصالح الأطفال هي الراجحة.</w:t>
            </w:r>
          </w:p>
          <w:p w:rsidR="009C35E0" w:rsidRPr="00CF5D88" w:rsidRDefault="00E67499" w:rsidP="00CF5D88">
            <w:pPr>
              <w:pStyle w:val="SingleTxt"/>
              <w:rPr>
                <w:rFonts w:cs="Traditional Arabic" w:hint="cs"/>
              </w:rPr>
            </w:pPr>
            <w:r>
              <w:rPr>
                <w:rFonts w:cs="Traditional Arabic"/>
                <w:rtl/>
              </w:rPr>
              <w:tab/>
            </w:r>
            <w:r w:rsidR="0074459B">
              <w:rPr>
                <w:rFonts w:cs="Traditional Arabic" w:hint="cs"/>
                <w:rtl/>
              </w:rPr>
              <w:t>(و)</w:t>
            </w:r>
            <w:r w:rsidR="0074459B">
              <w:rPr>
                <w:rFonts w:cs="Traditional Arabic"/>
                <w:rtl/>
              </w:rPr>
              <w:tab/>
            </w:r>
            <w:r w:rsidR="009C35E0" w:rsidRPr="00CF5D88">
              <w:rPr>
                <w:rFonts w:cs="Traditional Arabic" w:hint="cs"/>
                <w:rtl/>
              </w:rPr>
              <w:t>نفس الحقوق الشخصية للزوج والزوجة، بما في ذلك الحق في اختيار اسم الأسرة، والمهنة، والوظيفة؛</w:t>
            </w:r>
          </w:p>
          <w:p w:rsidR="009C35E0" w:rsidRPr="00CF5D88" w:rsidRDefault="0074459B" w:rsidP="00CF5D88">
            <w:pPr>
              <w:pStyle w:val="SingleTxt"/>
              <w:rPr>
                <w:rFonts w:cs="Traditional Arabic" w:hint="cs"/>
                <w:rtl/>
              </w:rPr>
            </w:pPr>
            <w:r>
              <w:rPr>
                <w:rFonts w:cs="Traditional Arabic" w:hint="cs"/>
                <w:rtl/>
              </w:rPr>
              <w:tab/>
              <w:t>(ز)</w:t>
            </w:r>
            <w:r w:rsidR="00E67499">
              <w:rPr>
                <w:rFonts w:cs="Traditional Arabic"/>
                <w:rtl/>
              </w:rPr>
              <w:tab/>
            </w:r>
            <w:r w:rsidR="009C35E0" w:rsidRPr="00CF5D88">
              <w:rPr>
                <w:rFonts w:cs="Traditional Arabic" w:hint="cs"/>
                <w:rtl/>
              </w:rPr>
              <w:t>نفس الحقوق لكلا الزوجين فيما يتعلق بملكية وحيازة الممتلكات، والإشراف عليها، وإدارتها، والتمتع بها، والتصرف فيها، سواء بلا مقابل أو مقابل عوض ذي قيمة.</w:t>
            </w:r>
          </w:p>
          <w:p w:rsidR="009C35E0" w:rsidRPr="00CF5D88" w:rsidRDefault="00E67499" w:rsidP="00E67499">
            <w:pPr>
              <w:pStyle w:val="SingleTxt"/>
              <w:rPr>
                <w:rFonts w:cs="Traditional Arabic" w:hint="cs"/>
                <w:rtl/>
              </w:rPr>
            </w:pPr>
            <w:r>
              <w:rPr>
                <w:rFonts w:cs="Traditional Arabic"/>
                <w:rtl/>
              </w:rPr>
              <w:tab/>
            </w:r>
            <w:r w:rsidR="009C35E0" w:rsidRPr="00CF5D88">
              <w:rPr>
                <w:rFonts w:cs="Traditional Arabic" w:hint="cs"/>
                <w:rtl/>
              </w:rPr>
              <w:t>لا يكون لخطوبة الطفل أو زواجه أثر قانوني، وتتخذ جميع الإجراءات الضرورية، بما فيها التشريع، لتحديد سن أدنى للزواج ولجعل تسجيل الزواج في سجل رسمي أمراً إلزامياً.</w:t>
            </w:r>
          </w:p>
          <w:p w:rsidR="009C35E0" w:rsidRPr="00CF5D88" w:rsidRDefault="009C35E0" w:rsidP="00CF5D88">
            <w:pPr>
              <w:pStyle w:val="SingleTxt"/>
              <w:rPr>
                <w:rFonts w:cs="Traditional Arabic" w:hint="cs"/>
                <w:rtl/>
              </w:rPr>
            </w:pPr>
          </w:p>
        </w:tc>
      </w:tr>
    </w:tbl>
    <w:p w:rsidR="009C35E0" w:rsidRDefault="009C35E0" w:rsidP="009C35E0">
      <w:pPr>
        <w:rPr>
          <w:rFonts w:hint="cs"/>
          <w:b/>
          <w:bCs/>
          <w:sz w:val="32"/>
          <w:szCs w:val="32"/>
          <w:rtl/>
        </w:rPr>
      </w:pPr>
    </w:p>
    <w:p w:rsidR="009C35E0" w:rsidRDefault="00C16C16" w:rsidP="00C16C16">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tl/>
        </w:rPr>
        <w:tab/>
      </w:r>
      <w:r>
        <w:rPr>
          <w:rFonts w:hint="cs"/>
          <w:rtl/>
        </w:rPr>
        <w:tab/>
      </w:r>
      <w:r w:rsidR="009C35E0" w:rsidRPr="00362EA3">
        <w:rPr>
          <w:rFonts w:hint="cs"/>
          <w:rtl/>
        </w:rPr>
        <w:t>الإطار القانوني</w:t>
      </w:r>
    </w:p>
    <w:p w:rsidR="009C35E0" w:rsidRDefault="00C16C16" w:rsidP="009807C4">
      <w:pPr>
        <w:pStyle w:val="SingleTxt"/>
        <w:rPr>
          <w:rFonts w:hint="cs"/>
          <w:rtl/>
        </w:rPr>
      </w:pPr>
      <w:r>
        <w:rPr>
          <w:rFonts w:hint="cs"/>
          <w:rtl/>
        </w:rPr>
        <w:t>16-1</w:t>
      </w:r>
      <w:r>
        <w:rPr>
          <w:rFonts w:hint="cs"/>
          <w:rtl/>
        </w:rPr>
        <w:tab/>
      </w:r>
      <w:r w:rsidR="009C35E0">
        <w:rPr>
          <w:rFonts w:hint="cs"/>
          <w:rtl/>
        </w:rPr>
        <w:t>تثمن توفالو عالياً حياة الأسرة. والعيش مع الأسرة الموسعة مسألة شائعة وواضحة جداً في المجتمعات الريفية والحضرية على حد سواء. وتربط الروابط والقيم الأسرية القوية أفراد الأسرة الموسعة بالجيل الأكبر مثمنين ومحترمين علاقات القرابة الأسرية القوية حتى الجيل الثالث أوالرابع. وانطلاقاً من هذا المنظور، يتقاسم جميع أفراد الأسرة الموسعة ويدعم ويساعد أحدهم الاخر بأية طريقة كانت حيثما نشأت الحاجة. وتتجسد هذه القيمة الأسرية والثقافية في القيود القانونية على الزواج بين أفراد الأسرة ودرجات القرابة التي تحظر المصاهرة المحددة في قانون الزواج</w:t>
      </w:r>
      <w:r w:rsidR="009807C4" w:rsidRPr="009807C4">
        <w:rPr>
          <w:vertAlign w:val="superscript"/>
          <w:rtl/>
        </w:rPr>
        <w:t>(</w:t>
      </w:r>
      <w:r w:rsidR="009807C4">
        <w:rPr>
          <w:rStyle w:val="FootnoteReference"/>
          <w:rtl/>
        </w:rPr>
        <w:footnoteReference w:id="108"/>
      </w:r>
      <w:r w:rsidR="009807C4" w:rsidRPr="009807C4">
        <w:rPr>
          <w:vertAlign w:val="superscript"/>
          <w:rtl/>
        </w:rPr>
        <w:t>)</w:t>
      </w:r>
      <w:r w:rsidR="009C35E0">
        <w:rPr>
          <w:rFonts w:hint="cs"/>
          <w:rtl/>
        </w:rPr>
        <w:t>.</w:t>
      </w:r>
    </w:p>
    <w:p w:rsidR="009807C4" w:rsidRPr="009807C4" w:rsidRDefault="009807C4" w:rsidP="009807C4">
      <w:pPr>
        <w:pStyle w:val="SingleTxt"/>
        <w:spacing w:after="0" w:line="120" w:lineRule="exact"/>
        <w:rPr>
          <w:rFonts w:hint="cs"/>
          <w:sz w:val="10"/>
          <w:rtl/>
        </w:rPr>
      </w:pPr>
    </w:p>
    <w:p w:rsidR="009C35E0" w:rsidRDefault="009807C4" w:rsidP="009807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E554BD">
        <w:rPr>
          <w:rFonts w:hint="cs"/>
          <w:rtl/>
        </w:rPr>
        <w:t>الحق في الزواج</w:t>
      </w:r>
    </w:p>
    <w:p w:rsidR="009C35E0" w:rsidRDefault="009807C4" w:rsidP="009807C4">
      <w:pPr>
        <w:pStyle w:val="SingleTxt"/>
        <w:rPr>
          <w:rFonts w:hint="cs"/>
          <w:rtl/>
        </w:rPr>
      </w:pPr>
      <w:r>
        <w:rPr>
          <w:rFonts w:hint="cs"/>
          <w:rtl/>
        </w:rPr>
        <w:t>16-2</w:t>
      </w:r>
      <w:r>
        <w:rPr>
          <w:rFonts w:hint="cs"/>
          <w:rtl/>
        </w:rPr>
        <w:tab/>
      </w:r>
      <w:r w:rsidR="009C35E0">
        <w:rPr>
          <w:rFonts w:hint="cs"/>
          <w:rtl/>
        </w:rPr>
        <w:t>ينظم قانون الزواج (القانون رقم 29) مراسم الزواج في توفالو. ووفقاً لعادات توفالو، اختيار الولد لزوجته يتعين أن يوافق عليه الوالدان. وقد يكون لأخواته وأبناء أعمامه بعض التأثير، ولكن القرار الأخير في يد الوالدين. وفي العادة، يتم ترتيب الزواج بين أسرة الرجل وأسرة البنت، وفي هذه المناسبة يلعب الأقارب والأسرة الموسعة دوراً هاماً جداً في تجميع الموارد. والمناسبة وقت للمرح حيث تتبادل أسرة العروس وأسرة العريس الهدايا.</w:t>
      </w:r>
    </w:p>
    <w:p w:rsidR="009C35E0" w:rsidRDefault="009807C4" w:rsidP="009807C4">
      <w:pPr>
        <w:pStyle w:val="SingleTxt"/>
        <w:rPr>
          <w:rFonts w:hint="cs"/>
          <w:rtl/>
        </w:rPr>
      </w:pPr>
      <w:r>
        <w:rPr>
          <w:rFonts w:hint="cs"/>
          <w:rtl/>
        </w:rPr>
        <w:t>16-3</w:t>
      </w:r>
      <w:r>
        <w:rPr>
          <w:rFonts w:hint="cs"/>
          <w:rtl/>
        </w:rPr>
        <w:tab/>
      </w:r>
      <w:r w:rsidR="009C35E0">
        <w:rPr>
          <w:rFonts w:hint="cs"/>
          <w:rtl/>
        </w:rPr>
        <w:t>وإحدى ممارسات الود التقليدية البوتولاما</w:t>
      </w:r>
      <w:r w:rsidRPr="009807C4">
        <w:rPr>
          <w:vertAlign w:val="superscript"/>
          <w:rtl/>
        </w:rPr>
        <w:t>(</w:t>
      </w:r>
      <w:r>
        <w:rPr>
          <w:rStyle w:val="FootnoteReference"/>
          <w:rtl/>
        </w:rPr>
        <w:footnoteReference w:id="109"/>
      </w:r>
      <w:r w:rsidRPr="009807C4">
        <w:rPr>
          <w:vertAlign w:val="superscript"/>
          <w:rtl/>
        </w:rPr>
        <w:t>)</w:t>
      </w:r>
      <w:r w:rsidR="009C35E0">
        <w:rPr>
          <w:rFonts w:hint="cs"/>
          <w:rtl/>
        </w:rPr>
        <w:t>.</w:t>
      </w:r>
      <w:r>
        <w:rPr>
          <w:rFonts w:hint="cs"/>
          <w:rtl/>
        </w:rPr>
        <w:t xml:space="preserve"> </w:t>
      </w:r>
      <w:r w:rsidR="009C35E0">
        <w:rPr>
          <w:rFonts w:hint="cs"/>
          <w:rtl/>
        </w:rPr>
        <w:t>ويعود أصل هذه الممارسة إلى جزيرة نانوميا، ولكنها انتشرت في جميع الجزر. وتحدث هذه المناسبة عندما يقرر كبار الجزيرة إشعال بوتو لاما. ويستشير كبار السن الشباب بشأن الفتيات اللواتي يختاروهن أزواجاً لهم. وبعدها يقوم الكبار بمفاتحة والدي الفتاة نيابة عن الشاب ويطلبوا الموافقة على الزواج. وبعد الموافقة على خطة الشاب، يضاء البوتو لاما الخاص به. وإذا رفضت الخطبة، فإن المسنين قد يفاتحوا والدي فتاة أخرى ربما يكون الشاب قد ذكرها. والزواج الناتج عن البوتو لاما يصبح مسؤولية المجتمع المحلي الذي قام برعاية إضاءة البوتو لاما. وكل شخص من القرية يسهم بطعام أو فراش أو ملابس أو نقود وذلك وفقاً لما يراه الكبار</w:t>
      </w:r>
      <w:r w:rsidRPr="009807C4">
        <w:rPr>
          <w:vertAlign w:val="superscript"/>
          <w:rtl/>
        </w:rPr>
        <w:t>(</w:t>
      </w:r>
      <w:r>
        <w:rPr>
          <w:rStyle w:val="FootnoteReference"/>
          <w:rtl/>
        </w:rPr>
        <w:footnoteReference w:id="110"/>
      </w:r>
      <w:r w:rsidRPr="009807C4">
        <w:rPr>
          <w:vertAlign w:val="superscript"/>
          <w:rtl/>
        </w:rPr>
        <w:t>)</w:t>
      </w:r>
      <w:r w:rsidR="009C35E0">
        <w:rPr>
          <w:rFonts w:hint="cs"/>
          <w:rtl/>
        </w:rPr>
        <w:t>.</w:t>
      </w:r>
    </w:p>
    <w:p w:rsidR="009C35E0" w:rsidRDefault="009807C4" w:rsidP="009807C4">
      <w:pPr>
        <w:pStyle w:val="SingleTxt"/>
        <w:rPr>
          <w:rFonts w:hint="cs"/>
          <w:rtl/>
        </w:rPr>
      </w:pPr>
      <w:r>
        <w:rPr>
          <w:rFonts w:hint="cs"/>
          <w:rtl/>
        </w:rPr>
        <w:t>16-4</w:t>
      </w:r>
      <w:r>
        <w:rPr>
          <w:rFonts w:hint="cs"/>
          <w:rtl/>
        </w:rPr>
        <w:tab/>
      </w:r>
      <w:r w:rsidR="009C35E0">
        <w:rPr>
          <w:rFonts w:hint="cs"/>
          <w:rtl/>
        </w:rPr>
        <w:t>للرجل والمرأة حرية الدخول في زواج، ولكل منهما حرية اختيار زوجته أو زوجها. ولكن في الممارسة، يختار الوالدان أحياناً الزوجة لابنهم أو الزوج لابنتهم، وخاصة بالنسبة للأخيرة. وفي الحالات التي لا يوجد فيها عنصر إكراه من قبل الوالدين، يظهر الولد أو البنت الاحترام لوالديه/ والديها باحترام رغباتهما. إلا أنه توجد في حالات أخرى درجات متفاوتة من الضغط على الولد أو البنت، لا سيما على البنت. ومع أن الزواج المرتب لم يعد شائعاً في الممارسة العملية، فإن الشابة تتمثل في العادة لقرار الكبار في أسرتها في اختيار شريك الزواج. ومع أن هذه الممارسة ما زالت قائمة، فإن مزيداً من الشباب يختارون شريكاتهم في الزواج ويتزوجون لدى بلوغ سن 21 عاماً دون استشارة والديهما أو المسنين في أسرهم.</w:t>
      </w:r>
    </w:p>
    <w:p w:rsidR="009807C4" w:rsidRPr="009807C4" w:rsidRDefault="009807C4" w:rsidP="009807C4">
      <w:pPr>
        <w:pStyle w:val="SingleTxt"/>
        <w:spacing w:after="0" w:line="120" w:lineRule="exact"/>
        <w:rPr>
          <w:rFonts w:hint="cs"/>
          <w:sz w:val="10"/>
          <w:rtl/>
        </w:rPr>
      </w:pPr>
    </w:p>
    <w:p w:rsidR="009C35E0" w:rsidRDefault="009807C4" w:rsidP="009807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456BFA">
        <w:rPr>
          <w:rFonts w:hint="cs"/>
          <w:rtl/>
        </w:rPr>
        <w:t>زواج الق</w:t>
      </w:r>
      <w:r w:rsidR="009C35E0">
        <w:rPr>
          <w:rFonts w:hint="cs"/>
          <w:rtl/>
        </w:rPr>
        <w:t>ُ</w:t>
      </w:r>
      <w:r w:rsidR="009C35E0" w:rsidRPr="00456BFA">
        <w:rPr>
          <w:rFonts w:hint="cs"/>
          <w:rtl/>
        </w:rPr>
        <w:t>ص</w:t>
      </w:r>
      <w:r w:rsidR="009C35E0">
        <w:rPr>
          <w:rFonts w:hint="cs"/>
          <w:rtl/>
        </w:rPr>
        <w:t>ّ</w:t>
      </w:r>
      <w:r w:rsidR="009C35E0" w:rsidRPr="00456BFA">
        <w:rPr>
          <w:rFonts w:hint="cs"/>
          <w:rtl/>
        </w:rPr>
        <w:t>ر</w:t>
      </w:r>
    </w:p>
    <w:p w:rsidR="009C35E0" w:rsidRDefault="009807C4" w:rsidP="009807C4">
      <w:pPr>
        <w:pStyle w:val="SingleTxt"/>
        <w:rPr>
          <w:rFonts w:hint="cs"/>
          <w:rtl/>
        </w:rPr>
      </w:pPr>
      <w:r>
        <w:rPr>
          <w:rFonts w:hint="cs"/>
          <w:rtl/>
        </w:rPr>
        <w:t>16-5</w:t>
      </w:r>
      <w:r>
        <w:rPr>
          <w:rFonts w:hint="cs"/>
          <w:rtl/>
        </w:rPr>
        <w:tab/>
      </w:r>
      <w:r w:rsidR="009C35E0">
        <w:rPr>
          <w:rFonts w:hint="cs"/>
          <w:rtl/>
        </w:rPr>
        <w:t>زواج أي شخص دون سن السادسة عشرة باطل. وينص القانون أيضاً على أن زواج أي شخص دون سن الحادية والعشرين يقتضي موافقة الأب. وهذا يدعم الدور النمطي للأب بوصفه رئيس الأسرة المعيشية (</w:t>
      </w:r>
      <w:r w:rsidR="008B1FB2">
        <w:rPr>
          <w:rFonts w:hint="cs"/>
          <w:rtl/>
        </w:rPr>
        <w:t>انظر</w:t>
      </w:r>
      <w:r w:rsidR="009C35E0">
        <w:rPr>
          <w:rFonts w:hint="cs"/>
          <w:rtl/>
        </w:rPr>
        <w:t xml:space="preserve"> فورستر وجيفان عام 2006). ولا تقبل موافقة الأم إلا إذا كان الأب متوفياً أو غير قادرٍ على إعطاء الموافقة. بيد أنه إذا كان أي من الوالدين غير قادرٍ على إعطاء موافقته/ موافقتها لسبب ما، فإنه </w:t>
      </w:r>
    </w:p>
    <w:p w:rsidR="009C35E0" w:rsidRDefault="009807C4" w:rsidP="009807C4">
      <w:pPr>
        <w:pStyle w:val="SingleTxt"/>
        <w:ind w:left="1930" w:hanging="663"/>
        <w:rPr>
          <w:rFonts w:hint="cs"/>
          <w:rtl/>
        </w:rPr>
      </w:pPr>
      <w:r>
        <w:rPr>
          <w:rFonts w:hint="cs"/>
          <w:rtl/>
        </w:rPr>
        <w:tab/>
      </w:r>
      <w:r>
        <w:rPr>
          <w:rFonts w:hint="cs"/>
          <w:rtl/>
        </w:rPr>
        <w:tab/>
      </w:r>
      <w:r>
        <w:rPr>
          <w:rFonts w:hint="eastAsia"/>
          <w:rtl/>
        </w:rPr>
        <w:t>”</w:t>
      </w:r>
      <w:r w:rsidR="009C35E0">
        <w:rPr>
          <w:rFonts w:hint="cs"/>
          <w:rtl/>
        </w:rPr>
        <w:t>يجوز للمسجل العام الاستغناء عن هذه الموافقة</w:t>
      </w:r>
      <w:r w:rsidRPr="009807C4">
        <w:rPr>
          <w:vertAlign w:val="superscript"/>
          <w:rtl/>
        </w:rPr>
        <w:t>(</w:t>
      </w:r>
      <w:r>
        <w:rPr>
          <w:rStyle w:val="FootnoteReference"/>
          <w:rtl/>
        </w:rPr>
        <w:footnoteReference w:id="111"/>
      </w:r>
      <w:r w:rsidRPr="009807C4">
        <w:rPr>
          <w:vertAlign w:val="superscript"/>
          <w:rtl/>
        </w:rPr>
        <w:t>)</w:t>
      </w:r>
      <w:r w:rsidR="009C35E0">
        <w:rPr>
          <w:rFonts w:hint="cs"/>
          <w:rtl/>
        </w:rPr>
        <w:t>،</w:t>
      </w:r>
      <w:r>
        <w:rPr>
          <w:rFonts w:hint="cs"/>
          <w:rtl/>
        </w:rPr>
        <w:t xml:space="preserve"> </w:t>
      </w:r>
      <w:r w:rsidR="009C35E0">
        <w:rPr>
          <w:rFonts w:hint="cs"/>
          <w:rtl/>
        </w:rPr>
        <w:t>إذا اقتنع بعد التحقق على النحو الواجب من أن الزواج المزمع زواج صحيح</w:t>
      </w:r>
      <w:r w:rsidR="00084D51">
        <w:rPr>
          <w:rFonts w:hint="eastAsia"/>
          <w:rtl/>
        </w:rPr>
        <w:t>“</w:t>
      </w:r>
      <w:r w:rsidR="00084D51">
        <w:rPr>
          <w:rFonts w:hint="cs"/>
          <w:rtl/>
        </w:rPr>
        <w:t>.</w:t>
      </w:r>
    </w:p>
    <w:p w:rsidR="009C35E0" w:rsidRDefault="009C35E0" w:rsidP="009807C4">
      <w:pPr>
        <w:pStyle w:val="SingleTxt"/>
        <w:ind w:left="1930" w:hanging="663"/>
        <w:rPr>
          <w:rFonts w:hint="cs"/>
          <w:rtl/>
        </w:rPr>
      </w:pPr>
      <w:r>
        <w:rPr>
          <w:rFonts w:hint="cs"/>
          <w:rtl/>
        </w:rPr>
        <w:t xml:space="preserve">وفي حالة رفض الشخص، الذي تلزم موافقته إعطاء هذه الموافقة، فإنه </w:t>
      </w:r>
    </w:p>
    <w:p w:rsidR="009C35E0" w:rsidRDefault="009807C4" w:rsidP="003E3C33">
      <w:pPr>
        <w:pStyle w:val="SingleTxt"/>
        <w:ind w:left="1930" w:hanging="663"/>
        <w:rPr>
          <w:rFonts w:hint="eastAsia"/>
          <w:rtl/>
        </w:rPr>
      </w:pPr>
      <w:r>
        <w:rPr>
          <w:rFonts w:hint="cs"/>
          <w:rtl/>
        </w:rPr>
        <w:tab/>
      </w:r>
      <w:r>
        <w:rPr>
          <w:rFonts w:hint="cs"/>
          <w:rtl/>
        </w:rPr>
        <w:tab/>
      </w:r>
      <w:r>
        <w:rPr>
          <w:rFonts w:hint="eastAsia"/>
          <w:rtl/>
        </w:rPr>
        <w:t>”</w:t>
      </w:r>
      <w:r w:rsidR="009C35E0">
        <w:rPr>
          <w:rFonts w:hint="cs"/>
          <w:rtl/>
        </w:rPr>
        <w:t>يجوز للمسجل العام أن يستغني عن هذه الموافقة</w:t>
      </w:r>
      <w:r w:rsidR="003E3C33" w:rsidRPr="003E3C33">
        <w:rPr>
          <w:vertAlign w:val="superscript"/>
          <w:rtl/>
        </w:rPr>
        <w:t>(</w:t>
      </w:r>
      <w:r w:rsidR="003E3C33">
        <w:rPr>
          <w:rStyle w:val="FootnoteReference"/>
          <w:rtl/>
        </w:rPr>
        <w:footnoteReference w:id="112"/>
      </w:r>
      <w:r w:rsidR="003E3C33" w:rsidRPr="003E3C33">
        <w:rPr>
          <w:vertAlign w:val="superscript"/>
          <w:rtl/>
        </w:rPr>
        <w:t>)</w:t>
      </w:r>
      <w:r w:rsidR="009C35E0">
        <w:rPr>
          <w:rFonts w:hint="cs"/>
          <w:rtl/>
        </w:rPr>
        <w:t>،</w:t>
      </w:r>
      <w:r w:rsidR="003E3C33">
        <w:rPr>
          <w:rFonts w:hint="cs"/>
          <w:rtl/>
        </w:rPr>
        <w:t xml:space="preserve"> </w:t>
      </w:r>
      <w:r w:rsidR="009C35E0">
        <w:rPr>
          <w:rFonts w:hint="cs"/>
          <w:rtl/>
        </w:rPr>
        <w:t>إذا اقتنع بعد التحقق الواجب من أن الرفض خطأ وأن من مصلحة الطرفين اللذين بحاجة</w:t>
      </w:r>
      <w:r w:rsidR="003E3C33">
        <w:rPr>
          <w:rFonts w:hint="cs"/>
          <w:rtl/>
        </w:rPr>
        <w:t xml:space="preserve"> للموافقة أن يتم الزواج المزمع</w:t>
      </w:r>
      <w:r w:rsidR="003E3C33">
        <w:rPr>
          <w:rFonts w:hint="eastAsia"/>
          <w:rtl/>
        </w:rPr>
        <w:t>“.</w:t>
      </w:r>
    </w:p>
    <w:p w:rsidR="003E3C33" w:rsidRPr="003E3C33" w:rsidRDefault="003E3C33" w:rsidP="003E3C33">
      <w:pPr>
        <w:pStyle w:val="SingleTxt"/>
        <w:spacing w:after="0" w:line="120" w:lineRule="exact"/>
        <w:ind w:left="1930" w:hanging="663"/>
        <w:rPr>
          <w:rFonts w:hint="cs"/>
          <w:sz w:val="10"/>
          <w:rtl/>
        </w:rPr>
      </w:pPr>
    </w:p>
    <w:p w:rsidR="009C35E0" w:rsidRDefault="003E3C33" w:rsidP="003E3C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DE1D3D">
        <w:rPr>
          <w:rFonts w:hint="cs"/>
          <w:rtl/>
        </w:rPr>
        <w:t>إتمام مراسم الجواز</w:t>
      </w:r>
    </w:p>
    <w:p w:rsidR="009C35E0" w:rsidRDefault="003E3C33" w:rsidP="003E3C33">
      <w:pPr>
        <w:pStyle w:val="SingleTxt"/>
        <w:rPr>
          <w:rFonts w:hint="cs"/>
          <w:rtl/>
        </w:rPr>
      </w:pPr>
      <w:r>
        <w:rPr>
          <w:rFonts w:hint="cs"/>
          <w:rtl/>
        </w:rPr>
        <w:t>16-6</w:t>
      </w:r>
      <w:r>
        <w:rPr>
          <w:rFonts w:hint="cs"/>
          <w:rtl/>
        </w:rPr>
        <w:tab/>
      </w:r>
      <w:r w:rsidR="009C35E0">
        <w:rPr>
          <w:rFonts w:hint="cs"/>
          <w:rtl/>
        </w:rPr>
        <w:t xml:space="preserve">يشترط القانون على الطرفين الذين يزمعان الزواج تقديم طلب قبل 21 يوماً من التاريخ الذي يزمعان فيه الزواج إلى مسجل المنطقة. وبعد 21 يوماً، يصدر المسجل شهادة زواج شريطة أن يكون أحد الطرفين على الأقل مقيماً في المنطقة قبل 28 يوماً من صدور الشهادة؛ وأن يكون كل من الطرفين قد بلغ 21 عاماً من العمر، أو أن </w:t>
      </w:r>
      <w:r>
        <w:rPr>
          <w:rFonts w:hint="cs"/>
          <w:rtl/>
        </w:rPr>
        <w:t>يكون أي طرف لم</w:t>
      </w:r>
      <w:r>
        <w:rPr>
          <w:rFonts w:hint="eastAsia"/>
          <w:rtl/>
        </w:rPr>
        <w:t> </w:t>
      </w:r>
      <w:r w:rsidR="009C35E0">
        <w:rPr>
          <w:rFonts w:hint="cs"/>
          <w:rtl/>
        </w:rPr>
        <w:t>يبلغ  هذا السن قد حصل على الموافقة الصحيحة ولا توجد عوائق بسبب صلة القرابة أو النسب، أو أي عائق قانوني آخر يعوق الزواج. ويجب أن يتأكد المسجل من نشر إعلان للجمهور عن الزواج المزمع، ويمكن تلقي الاعتراضات على الزواج في غضون وقت زمني محدد. ولا يجوز إتمام مراسم أي زواج إلا بموجب شهادة الزواج التي يصدرها المسجل أو ترخيص بالزواج صادر عن محكمة الجزيرة، إلا إذا كان أحد العروسين في حالة نزاع.</w:t>
      </w:r>
    </w:p>
    <w:p w:rsidR="009C35E0" w:rsidRDefault="003E3C33" w:rsidP="003E3C33">
      <w:pPr>
        <w:pStyle w:val="SingleTxt"/>
        <w:rPr>
          <w:rFonts w:hint="cs"/>
          <w:rtl/>
        </w:rPr>
      </w:pPr>
      <w:r>
        <w:rPr>
          <w:rFonts w:hint="cs"/>
          <w:rtl/>
        </w:rPr>
        <w:t>16-7</w:t>
      </w:r>
      <w:r>
        <w:rPr>
          <w:rFonts w:hint="cs"/>
          <w:rtl/>
        </w:rPr>
        <w:tab/>
      </w:r>
      <w:r w:rsidR="009C35E0">
        <w:rPr>
          <w:rFonts w:hint="cs"/>
          <w:rtl/>
        </w:rPr>
        <w:t>يمكن إتمام الزواج أمام المسجل  أو أمام رجل دين بحضور شاهدين اثنين على الأقل في الكنيسة أو في مكان عام آخر للعبادة في المنطقة التي نشر فيها الإعلان عن الزواج. وتعدد الزوجات جناية. والزواج بين اثنين من نفس نوع الجنس لا يعترف به قانوناً. والزواج العرفي معترف به أيضاً أمام القانون.</w:t>
      </w:r>
    </w:p>
    <w:p w:rsidR="003E3C33" w:rsidRPr="003E3C33" w:rsidRDefault="003E3C33" w:rsidP="003E3C33">
      <w:pPr>
        <w:pStyle w:val="SingleTxt"/>
        <w:spacing w:after="0" w:line="120" w:lineRule="exact"/>
        <w:rPr>
          <w:rFonts w:hint="cs"/>
          <w:sz w:val="10"/>
          <w:rtl/>
        </w:rPr>
      </w:pPr>
    </w:p>
    <w:p w:rsidR="009C35E0" w:rsidRDefault="003E3C33" w:rsidP="003E3C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36161C">
        <w:rPr>
          <w:rFonts w:hint="cs"/>
          <w:rtl/>
        </w:rPr>
        <w:t>الحقوق المتعلقة بعدد الأطفال والمباعدة بين الولادات</w:t>
      </w:r>
    </w:p>
    <w:p w:rsidR="009C35E0" w:rsidRDefault="003E3C33" w:rsidP="003E3C33">
      <w:pPr>
        <w:pStyle w:val="SingleTxt"/>
        <w:rPr>
          <w:rFonts w:hint="cs"/>
          <w:rtl/>
        </w:rPr>
      </w:pPr>
      <w:r>
        <w:rPr>
          <w:rFonts w:hint="cs"/>
          <w:rtl/>
        </w:rPr>
        <w:t>16-8</w:t>
      </w:r>
      <w:r>
        <w:rPr>
          <w:rFonts w:hint="cs"/>
          <w:rtl/>
        </w:rPr>
        <w:tab/>
      </w:r>
      <w:r w:rsidR="009C35E0">
        <w:rPr>
          <w:rFonts w:hint="cs"/>
          <w:rtl/>
        </w:rPr>
        <w:t>لا تحدد القوانين المسؤوليات التي يجب أن يتحملها كل من الشريكين في العلاقة بينهما فيما يتعلق بالأطفال. إلا أن القوانين تقر بأن لمصلحة الطفل الأهمية العظمى في أية علاقة. ولكلا الوالدين نفس الحقوق في أن يقررا بحرية وعلى نحو مسؤول عدد أطفالهما والمباعدة بين الولادات، وحصول أطفالهما على المعلومات والتعليم والرعاية الصحية. وللشريكين في الزواج أن يختارا بحرية الوقت الذي ينجبان فيه الأطفال وعدد الأطفال الذين يريدان إنجابهما، إلا أن الإجهاض جناية</w:t>
      </w:r>
      <w:r w:rsidRPr="003E3C33">
        <w:rPr>
          <w:vertAlign w:val="superscript"/>
          <w:rtl/>
        </w:rPr>
        <w:t>(</w:t>
      </w:r>
      <w:r>
        <w:rPr>
          <w:rStyle w:val="FootnoteReference"/>
          <w:rtl/>
        </w:rPr>
        <w:footnoteReference w:id="113"/>
      </w:r>
      <w:r w:rsidRPr="003E3C33">
        <w:rPr>
          <w:vertAlign w:val="superscript"/>
          <w:rtl/>
        </w:rPr>
        <w:t>)</w:t>
      </w:r>
      <w:r w:rsidR="009C35E0">
        <w:rPr>
          <w:rFonts w:hint="cs"/>
          <w:rtl/>
        </w:rPr>
        <w:t>.</w:t>
      </w:r>
      <w:r>
        <w:rPr>
          <w:rFonts w:hint="cs"/>
          <w:rtl/>
        </w:rPr>
        <w:t xml:space="preserve"> </w:t>
      </w:r>
      <w:r w:rsidR="009C35E0">
        <w:rPr>
          <w:rFonts w:hint="cs"/>
          <w:rtl/>
        </w:rPr>
        <w:t xml:space="preserve">وفي حالة فسخ الزواج، لكل من الوالدين نفس الحقوق في المطالبة بأمر إعالة والمطالبة بحضانة الأطفال. </w:t>
      </w:r>
      <w:r w:rsidR="008B1FB2">
        <w:rPr>
          <w:rFonts w:hint="cs"/>
          <w:rtl/>
        </w:rPr>
        <w:t>انظر</w:t>
      </w:r>
      <w:r w:rsidR="009C35E0">
        <w:rPr>
          <w:rFonts w:hint="cs"/>
          <w:rtl/>
        </w:rPr>
        <w:t xml:space="preserve"> قانون الإعالة (أحكام متنوعة) لعام 1973 وقانون إجراءات الزواج لعام 1985. ولا يوجد توثيق يحدد مدى اتفاق الزوجين معاً على بدء أسرة أو إضافة أفراد جدد إلى الأسرة. بيد أن العرف المقبول في توفالو يشير إلى أن الزوجين، اللذين وصلا مستوى أكاديمي معين، يتشاوران فيما بينهما بشأن بدء الحمل، بينما لا يتشاور الآخرون في أغلب الأحيان، مما يؤدي إلى حصول حمل غير مخطط له وغير مرغوب فيه. تقليدياً، لا يزال تبني الأطفال يمارس في توفالو، حيث يتبنى الأقارب أطفالاً عند الولادة، ويتم هذا التبني وفقاً لأحكام قانون التبني، القانون رقم 20 ألف.</w:t>
      </w:r>
    </w:p>
    <w:p w:rsidR="003E3C33" w:rsidRPr="003E3C33" w:rsidRDefault="003E3C33" w:rsidP="003E3C33">
      <w:pPr>
        <w:pStyle w:val="SingleTxt"/>
        <w:spacing w:after="0" w:line="120" w:lineRule="exact"/>
        <w:rPr>
          <w:rFonts w:hint="cs"/>
          <w:sz w:val="10"/>
          <w:rtl/>
        </w:rPr>
      </w:pPr>
    </w:p>
    <w:p w:rsidR="009C35E0" w:rsidRDefault="003E3C33" w:rsidP="003E3C3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36161C">
        <w:rPr>
          <w:rFonts w:hint="cs"/>
          <w:rtl/>
        </w:rPr>
        <w:t>تسجيل الزواج</w:t>
      </w:r>
    </w:p>
    <w:p w:rsidR="009C35E0" w:rsidRDefault="003E3C33" w:rsidP="003E3C33">
      <w:pPr>
        <w:pStyle w:val="SingleTxt"/>
        <w:rPr>
          <w:rFonts w:hint="cs"/>
          <w:rtl/>
        </w:rPr>
      </w:pPr>
      <w:r>
        <w:rPr>
          <w:rFonts w:hint="cs"/>
          <w:rtl/>
        </w:rPr>
        <w:t>16-9</w:t>
      </w:r>
      <w:r>
        <w:rPr>
          <w:rFonts w:hint="cs"/>
          <w:rtl/>
        </w:rPr>
        <w:tab/>
      </w:r>
      <w:r w:rsidR="009C35E0">
        <w:rPr>
          <w:rFonts w:hint="cs"/>
          <w:rtl/>
        </w:rPr>
        <w:t>يجب أن يسجل كل زواج لدى مسجل المنطقة. ويتعين تسجيل كل زواج يتم في توفالو عملاً بقانون الولادة والوفاة والزواج، القانون رقم 27. وعندما يُتم المسجل إجراءات الزواج، يجب أن يقيد في السجل حيثيات شهادة الزواج لحفظها، وعندما يُتم إجراءات الزواج شخص غير المسجل، فإنه يتعين على هذا الشخص أن يرسل إلى المسجل، خلال سبعة أيام من إتمام الزواج، شهادة الزواج وإعلان الزواج وصورة عن شهادة الزواج.</w:t>
      </w:r>
    </w:p>
    <w:p w:rsidR="009C35E0" w:rsidRPr="0036161C" w:rsidRDefault="003E3C33" w:rsidP="003E3C33">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9C35E0" w:rsidRPr="0036161C">
        <w:rPr>
          <w:rFonts w:hint="cs"/>
          <w:rtl/>
        </w:rPr>
        <w:t>إجراءات الزواج</w:t>
      </w:r>
    </w:p>
    <w:p w:rsidR="009C35E0" w:rsidRDefault="003E3C33" w:rsidP="000E2987">
      <w:pPr>
        <w:pStyle w:val="SingleTxt"/>
        <w:rPr>
          <w:rFonts w:hint="cs"/>
          <w:rtl/>
        </w:rPr>
      </w:pPr>
      <w:r>
        <w:rPr>
          <w:rFonts w:hint="cs"/>
          <w:rtl/>
        </w:rPr>
        <w:t xml:space="preserve">16-10  </w:t>
      </w:r>
      <w:r w:rsidR="009C35E0">
        <w:rPr>
          <w:rFonts w:hint="cs"/>
          <w:rtl/>
        </w:rPr>
        <w:t>لكلا طرفي الزواج حقوق متساوية في إنهاء علاقة الزواج. ولتقييم ما إذا كان الزواج قد انهار إلى حد لا يمكن إصلاحه، لم تعد المحكمة في توفالو تشترط أن تجد أحد الطرفين مخطئاً. بيد أنها يمكن أن تنظر في بعض  العوامل لتقرير أن الزواج قد انحل. ويجوز استخدام الزنى أو الهجر أو القسوة أو الجنون لإظهار أن الزواج قد انحل كلياً دون أمل في المصالحة. وتعطي المحكمة الطرفين ثلاثة أشهر لتحديد ما إذا كانت المصالحة ممكنة، وإلا يمنح الطلاق. ولا يوجد وقت محدد لطلب الطلاق. ويجوز الحصول على الطلاق في أي وقت بعد الزواج</w:t>
      </w:r>
      <w:r w:rsidR="000E2987" w:rsidRPr="000E2987">
        <w:rPr>
          <w:vertAlign w:val="superscript"/>
          <w:rtl/>
        </w:rPr>
        <w:t>(</w:t>
      </w:r>
      <w:r w:rsidR="000E2987">
        <w:rPr>
          <w:rStyle w:val="FootnoteReference"/>
          <w:rtl/>
        </w:rPr>
        <w:footnoteReference w:id="114"/>
      </w:r>
      <w:r w:rsidR="000E2987" w:rsidRPr="000E2987">
        <w:rPr>
          <w:vertAlign w:val="superscript"/>
          <w:rtl/>
        </w:rPr>
        <w:t>)</w:t>
      </w:r>
      <w:r w:rsidR="009C35E0">
        <w:rPr>
          <w:rFonts w:hint="cs"/>
          <w:rtl/>
        </w:rPr>
        <w:t>.</w:t>
      </w:r>
      <w:r w:rsidR="000E2987">
        <w:rPr>
          <w:rFonts w:hint="cs"/>
          <w:rtl/>
        </w:rPr>
        <w:t xml:space="preserve"> </w:t>
      </w:r>
      <w:r w:rsidR="009C35E0">
        <w:rPr>
          <w:rFonts w:hint="cs"/>
          <w:rtl/>
        </w:rPr>
        <w:t>ويجوز أن تمنح المحكمة الزوجين فترة مؤقتة للمصالحة، وإذا فشلا يمنح أمر الطلاق المطلق. وقبل منح الطلاق المطلق، يجب أن تتأكد المحكمة من توفر شروط كافية للأطفال. ويجوز للمحكمة أن تفرض هذه الشروط إذا فشل الطرفان في التوصل إلى اتفاق.</w:t>
      </w:r>
    </w:p>
    <w:p w:rsidR="009C35E0" w:rsidRDefault="000E2987" w:rsidP="000E2987">
      <w:pPr>
        <w:pStyle w:val="SingleTxt"/>
        <w:rPr>
          <w:rFonts w:hint="cs"/>
          <w:rtl/>
        </w:rPr>
      </w:pPr>
      <w:r>
        <w:rPr>
          <w:rFonts w:hint="cs"/>
          <w:rtl/>
        </w:rPr>
        <w:t xml:space="preserve">16-11  </w:t>
      </w:r>
      <w:r w:rsidR="009C35E0">
        <w:rPr>
          <w:rFonts w:hint="cs"/>
          <w:rtl/>
        </w:rPr>
        <w:t>في الممارسة العملية، إنفاذ أوامر النفقة ليس شائعاً لأن بعض النساء تخجل من طلب النفقة. وقد يكون هذا هو سبب عدم تسجيل أية قضية نفقة منذ عام 2002</w:t>
      </w:r>
      <w:r w:rsidRPr="000E2987">
        <w:rPr>
          <w:vertAlign w:val="superscript"/>
          <w:rtl/>
        </w:rPr>
        <w:t>(</w:t>
      </w:r>
      <w:r>
        <w:rPr>
          <w:rStyle w:val="FootnoteReference"/>
          <w:rtl/>
        </w:rPr>
        <w:footnoteReference w:id="115"/>
      </w:r>
      <w:r w:rsidRPr="000E2987">
        <w:rPr>
          <w:vertAlign w:val="superscript"/>
          <w:rtl/>
        </w:rPr>
        <w:t>)</w:t>
      </w:r>
      <w:r w:rsidR="009C35E0">
        <w:rPr>
          <w:rFonts w:hint="cs"/>
          <w:rtl/>
        </w:rPr>
        <w:t>.</w:t>
      </w:r>
      <w:r>
        <w:rPr>
          <w:rFonts w:hint="cs"/>
          <w:rtl/>
        </w:rPr>
        <w:t xml:space="preserve"> </w:t>
      </w:r>
      <w:r w:rsidR="009C35E0">
        <w:rPr>
          <w:rFonts w:hint="cs"/>
          <w:rtl/>
        </w:rPr>
        <w:t>فضلاً عن ذلك، جرت العادة، إذا انهار الزواج، أن تعود الزوجة إلى أسرتها (والديها أو أقربائها) دون أية نفقة منتظمة من زوجها. وفي بعض الحالات، وجدت النساء أن من الصعب إنفاذ أوامر النفقة بسبب متطلبات المحكمة الصارمة لكي تنفذ الأوامر الصادرة في قضاياهن.</w:t>
      </w:r>
    </w:p>
    <w:p w:rsidR="009C35E0" w:rsidRDefault="000E2987" w:rsidP="000E2987">
      <w:pPr>
        <w:pStyle w:val="SingleTxt"/>
        <w:rPr>
          <w:rFonts w:hint="cs"/>
          <w:rtl/>
        </w:rPr>
      </w:pPr>
      <w:r>
        <w:rPr>
          <w:rFonts w:hint="cs"/>
          <w:rtl/>
        </w:rPr>
        <w:t xml:space="preserve">16-12  </w:t>
      </w:r>
      <w:r w:rsidR="009C35E0">
        <w:rPr>
          <w:rFonts w:hint="cs"/>
          <w:rtl/>
        </w:rPr>
        <w:t>سجل أعلى معدل للطلاق في عام 2003، بزيادة مقدارها 50 في المائة عما كان عليه في عام 2004. ويترك الطلاق النساء والأطفال في أوضاع ضعيفة لا سيما إذا كان الزوج هو كاسب العيش الوحيد. وعندما تنهار الأسرة، لا توجد شبكة دعم متوفرة للمرأة وتتحول المسؤولية عن رفاهها إلى أسرتها الموسعة.</w:t>
      </w:r>
    </w:p>
    <w:p w:rsidR="000E2987" w:rsidRPr="000E2987" w:rsidRDefault="000E2987" w:rsidP="000E2987">
      <w:pPr>
        <w:spacing w:line="120" w:lineRule="exact"/>
        <w:rPr>
          <w:rFonts w:hint="cs"/>
          <w:sz w:val="10"/>
          <w:szCs w:val="32"/>
          <w:rtl/>
        </w:rPr>
      </w:pPr>
    </w:p>
    <w:p w:rsidR="009C35E0" w:rsidRPr="000E2987" w:rsidRDefault="000E2987" w:rsidP="000E2987">
      <w:pPr>
        <w:jc w:val="left"/>
        <w:rPr>
          <w:rFonts w:hint="cs"/>
          <w:b/>
          <w:bCs/>
          <w:sz w:val="28"/>
          <w:szCs w:val="28"/>
          <w:rtl/>
        </w:rPr>
      </w:pPr>
      <w:r>
        <w:rPr>
          <w:rFonts w:hint="cs"/>
          <w:sz w:val="28"/>
          <w:szCs w:val="28"/>
          <w:rtl/>
        </w:rPr>
        <w:tab/>
      </w:r>
      <w:r w:rsidR="009C35E0" w:rsidRPr="000E2987">
        <w:rPr>
          <w:rFonts w:hint="cs"/>
          <w:b/>
          <w:bCs/>
          <w:sz w:val="28"/>
          <w:szCs w:val="28"/>
          <w:rtl/>
        </w:rPr>
        <w:t>الجدول 37: عدد قضايا الطلاق، 2000</w:t>
      </w:r>
      <w:r>
        <w:rPr>
          <w:rFonts w:hint="cs"/>
          <w:b/>
          <w:bCs/>
          <w:sz w:val="28"/>
          <w:szCs w:val="28"/>
          <w:rtl/>
        </w:rPr>
        <w:t>-</w:t>
      </w:r>
      <w:r w:rsidR="009C35E0" w:rsidRPr="000E2987">
        <w:rPr>
          <w:rFonts w:hint="cs"/>
          <w:b/>
          <w:bCs/>
          <w:sz w:val="28"/>
          <w:szCs w:val="28"/>
          <w:rtl/>
        </w:rPr>
        <w:t xml:space="preserve">2004 </w:t>
      </w:r>
    </w:p>
    <w:p w:rsidR="000E2987" w:rsidRPr="000E2987" w:rsidRDefault="000E2987" w:rsidP="000E2987">
      <w:pPr>
        <w:spacing w:line="120" w:lineRule="exact"/>
        <w:jc w:val="center"/>
        <w:rPr>
          <w:rFonts w:hint="cs"/>
          <w:sz w:val="10"/>
          <w:szCs w:val="28"/>
          <w:rtl/>
        </w:rPr>
      </w:pPr>
    </w:p>
    <w:tbl>
      <w:tblPr>
        <w:tblStyle w:val="TableGrid"/>
        <w:bidiVisual/>
        <w:tblW w:w="864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005"/>
        <w:gridCol w:w="1127"/>
        <w:gridCol w:w="1127"/>
        <w:gridCol w:w="1127"/>
        <w:gridCol w:w="1127"/>
        <w:gridCol w:w="1127"/>
      </w:tblGrid>
      <w:tr w:rsidR="009C35E0" w:rsidRPr="000E2987">
        <w:trPr>
          <w:cantSplit/>
          <w:tblHeader/>
          <w:jc w:val="center"/>
        </w:trPr>
        <w:tc>
          <w:tcPr>
            <w:tcW w:w="3005" w:type="dxa"/>
            <w:tcBorders>
              <w:top w:val="single" w:sz="4" w:space="0" w:color="auto"/>
              <w:bottom w:val="single" w:sz="12" w:space="0" w:color="auto"/>
            </w:tcBorders>
            <w:shd w:val="clear" w:color="auto" w:fill="auto"/>
            <w:vAlign w:val="bottom"/>
          </w:tcPr>
          <w:p w:rsidR="009C35E0" w:rsidRPr="000E2987" w:rsidRDefault="009C35E0" w:rsidP="000E2987">
            <w:pPr>
              <w:spacing w:before="80" w:after="80" w:line="240" w:lineRule="exact"/>
              <w:jc w:val="center"/>
              <w:rPr>
                <w:rFonts w:cs="Traditional Arabic" w:hint="cs"/>
                <w:i/>
                <w:iCs/>
                <w:sz w:val="16"/>
                <w:szCs w:val="24"/>
                <w:rtl/>
              </w:rPr>
            </w:pPr>
          </w:p>
        </w:tc>
        <w:tc>
          <w:tcPr>
            <w:tcW w:w="1127" w:type="dxa"/>
            <w:tcBorders>
              <w:top w:val="single" w:sz="4" w:space="0" w:color="auto"/>
              <w:bottom w:val="single" w:sz="12" w:space="0" w:color="auto"/>
            </w:tcBorders>
            <w:shd w:val="clear" w:color="auto" w:fill="auto"/>
            <w:vAlign w:val="bottom"/>
          </w:tcPr>
          <w:p w:rsidR="009C35E0" w:rsidRPr="000E2987" w:rsidRDefault="009C35E0" w:rsidP="000E2987">
            <w:pPr>
              <w:spacing w:before="80" w:after="80" w:line="240" w:lineRule="exact"/>
              <w:ind w:right="144"/>
              <w:jc w:val="lowKashida"/>
              <w:rPr>
                <w:rFonts w:cs="Traditional Arabic" w:hint="cs"/>
                <w:b/>
                <w:bCs/>
                <w:i/>
                <w:iCs/>
                <w:sz w:val="16"/>
                <w:szCs w:val="24"/>
                <w:rtl/>
              </w:rPr>
            </w:pPr>
            <w:r w:rsidRPr="000E2987">
              <w:rPr>
                <w:rFonts w:cs="Traditional Arabic" w:hint="cs"/>
                <w:b/>
                <w:bCs/>
                <w:i/>
                <w:iCs/>
                <w:sz w:val="16"/>
                <w:szCs w:val="24"/>
                <w:rtl/>
              </w:rPr>
              <w:t>2000</w:t>
            </w:r>
          </w:p>
        </w:tc>
        <w:tc>
          <w:tcPr>
            <w:tcW w:w="1127" w:type="dxa"/>
            <w:tcBorders>
              <w:top w:val="single" w:sz="4" w:space="0" w:color="auto"/>
              <w:bottom w:val="single" w:sz="12" w:space="0" w:color="auto"/>
            </w:tcBorders>
            <w:shd w:val="clear" w:color="auto" w:fill="auto"/>
            <w:vAlign w:val="bottom"/>
          </w:tcPr>
          <w:p w:rsidR="009C35E0" w:rsidRPr="000E2987" w:rsidRDefault="009C35E0" w:rsidP="000E2987">
            <w:pPr>
              <w:spacing w:before="80" w:after="80" w:line="240" w:lineRule="exact"/>
              <w:ind w:right="144"/>
              <w:jc w:val="lowKashida"/>
              <w:rPr>
                <w:rFonts w:cs="Traditional Arabic" w:hint="cs"/>
                <w:b/>
                <w:bCs/>
                <w:i/>
                <w:iCs/>
                <w:sz w:val="16"/>
                <w:szCs w:val="24"/>
                <w:rtl/>
              </w:rPr>
            </w:pPr>
            <w:r w:rsidRPr="000E2987">
              <w:rPr>
                <w:rFonts w:cs="Traditional Arabic" w:hint="cs"/>
                <w:b/>
                <w:bCs/>
                <w:i/>
                <w:iCs/>
                <w:sz w:val="16"/>
                <w:szCs w:val="24"/>
                <w:rtl/>
              </w:rPr>
              <w:t>2001</w:t>
            </w:r>
          </w:p>
        </w:tc>
        <w:tc>
          <w:tcPr>
            <w:tcW w:w="1127" w:type="dxa"/>
            <w:tcBorders>
              <w:top w:val="single" w:sz="4" w:space="0" w:color="auto"/>
              <w:bottom w:val="single" w:sz="12" w:space="0" w:color="auto"/>
            </w:tcBorders>
            <w:shd w:val="clear" w:color="auto" w:fill="auto"/>
            <w:vAlign w:val="bottom"/>
          </w:tcPr>
          <w:p w:rsidR="009C35E0" w:rsidRPr="000E2987" w:rsidRDefault="009C35E0" w:rsidP="000E2987">
            <w:pPr>
              <w:spacing w:before="80" w:after="80" w:line="240" w:lineRule="exact"/>
              <w:ind w:right="144"/>
              <w:jc w:val="lowKashida"/>
              <w:rPr>
                <w:rFonts w:cs="Traditional Arabic" w:hint="cs"/>
                <w:b/>
                <w:bCs/>
                <w:i/>
                <w:iCs/>
                <w:sz w:val="16"/>
                <w:szCs w:val="24"/>
                <w:rtl/>
              </w:rPr>
            </w:pPr>
            <w:r w:rsidRPr="000E2987">
              <w:rPr>
                <w:rFonts w:cs="Traditional Arabic" w:hint="cs"/>
                <w:b/>
                <w:bCs/>
                <w:i/>
                <w:iCs/>
                <w:sz w:val="16"/>
                <w:szCs w:val="24"/>
                <w:rtl/>
              </w:rPr>
              <w:t>2002</w:t>
            </w:r>
          </w:p>
        </w:tc>
        <w:tc>
          <w:tcPr>
            <w:tcW w:w="1127" w:type="dxa"/>
            <w:tcBorders>
              <w:top w:val="single" w:sz="4" w:space="0" w:color="auto"/>
              <w:bottom w:val="single" w:sz="12" w:space="0" w:color="auto"/>
            </w:tcBorders>
            <w:shd w:val="clear" w:color="auto" w:fill="auto"/>
            <w:vAlign w:val="bottom"/>
          </w:tcPr>
          <w:p w:rsidR="009C35E0" w:rsidRPr="000E2987" w:rsidRDefault="009C35E0" w:rsidP="000E2987">
            <w:pPr>
              <w:spacing w:before="80" w:after="80" w:line="240" w:lineRule="exact"/>
              <w:ind w:right="144"/>
              <w:jc w:val="lowKashida"/>
              <w:rPr>
                <w:rFonts w:cs="Traditional Arabic" w:hint="cs"/>
                <w:b/>
                <w:bCs/>
                <w:i/>
                <w:iCs/>
                <w:sz w:val="16"/>
                <w:szCs w:val="24"/>
                <w:rtl/>
              </w:rPr>
            </w:pPr>
            <w:r w:rsidRPr="000E2987">
              <w:rPr>
                <w:rFonts w:cs="Traditional Arabic" w:hint="cs"/>
                <w:b/>
                <w:bCs/>
                <w:i/>
                <w:iCs/>
                <w:sz w:val="16"/>
                <w:szCs w:val="24"/>
                <w:rtl/>
              </w:rPr>
              <w:t>2003</w:t>
            </w:r>
          </w:p>
        </w:tc>
        <w:tc>
          <w:tcPr>
            <w:tcW w:w="1127" w:type="dxa"/>
            <w:tcBorders>
              <w:top w:val="single" w:sz="4" w:space="0" w:color="auto"/>
              <w:bottom w:val="single" w:sz="12" w:space="0" w:color="auto"/>
            </w:tcBorders>
            <w:shd w:val="clear" w:color="auto" w:fill="auto"/>
            <w:vAlign w:val="bottom"/>
          </w:tcPr>
          <w:p w:rsidR="009C35E0" w:rsidRPr="000E2987" w:rsidRDefault="009C35E0" w:rsidP="000E2987">
            <w:pPr>
              <w:spacing w:before="80" w:after="80" w:line="240" w:lineRule="exact"/>
              <w:ind w:right="144"/>
              <w:jc w:val="lowKashida"/>
              <w:rPr>
                <w:rFonts w:cs="Traditional Arabic" w:hint="cs"/>
                <w:b/>
                <w:bCs/>
                <w:i/>
                <w:iCs/>
                <w:sz w:val="16"/>
                <w:szCs w:val="24"/>
                <w:rtl/>
              </w:rPr>
            </w:pPr>
            <w:r w:rsidRPr="000E2987">
              <w:rPr>
                <w:rFonts w:cs="Traditional Arabic" w:hint="cs"/>
                <w:b/>
                <w:bCs/>
                <w:i/>
                <w:iCs/>
                <w:sz w:val="16"/>
                <w:szCs w:val="24"/>
                <w:rtl/>
              </w:rPr>
              <w:t>2004</w:t>
            </w:r>
          </w:p>
        </w:tc>
      </w:tr>
      <w:tr w:rsidR="000E2987" w:rsidRPr="000E2987">
        <w:trPr>
          <w:cantSplit/>
          <w:trHeight w:hRule="exact" w:val="115"/>
          <w:tblHeader/>
          <w:jc w:val="center"/>
        </w:trPr>
        <w:tc>
          <w:tcPr>
            <w:tcW w:w="3005" w:type="dxa"/>
            <w:tcBorders>
              <w:top w:val="single" w:sz="12" w:space="0" w:color="auto"/>
            </w:tcBorders>
            <w:shd w:val="clear" w:color="auto" w:fill="auto"/>
            <w:vAlign w:val="bottom"/>
          </w:tcPr>
          <w:p w:rsidR="000E2987" w:rsidRPr="000E2987" w:rsidRDefault="000E2987" w:rsidP="000E2987">
            <w:pPr>
              <w:spacing w:before="40" w:after="80" w:line="240" w:lineRule="exact"/>
              <w:jc w:val="center"/>
              <w:rPr>
                <w:rFonts w:hint="cs"/>
                <w:sz w:val="16"/>
                <w:szCs w:val="24"/>
                <w:rtl/>
              </w:rPr>
            </w:pPr>
          </w:p>
        </w:tc>
        <w:tc>
          <w:tcPr>
            <w:tcW w:w="1127" w:type="dxa"/>
            <w:tcBorders>
              <w:top w:val="single" w:sz="12" w:space="0" w:color="auto"/>
            </w:tcBorders>
            <w:shd w:val="clear" w:color="auto" w:fill="auto"/>
            <w:vAlign w:val="bottom"/>
          </w:tcPr>
          <w:p w:rsidR="000E2987" w:rsidRPr="000E2987" w:rsidRDefault="000E2987" w:rsidP="000E2987">
            <w:pPr>
              <w:spacing w:before="40" w:after="80" w:line="240" w:lineRule="exact"/>
              <w:ind w:right="144"/>
              <w:jc w:val="lowKashida"/>
              <w:rPr>
                <w:rFonts w:hint="cs"/>
                <w:sz w:val="16"/>
                <w:szCs w:val="24"/>
                <w:rtl/>
              </w:rPr>
            </w:pPr>
          </w:p>
        </w:tc>
        <w:tc>
          <w:tcPr>
            <w:tcW w:w="1127" w:type="dxa"/>
            <w:tcBorders>
              <w:top w:val="single" w:sz="12" w:space="0" w:color="auto"/>
            </w:tcBorders>
            <w:shd w:val="clear" w:color="auto" w:fill="auto"/>
            <w:vAlign w:val="bottom"/>
          </w:tcPr>
          <w:p w:rsidR="000E2987" w:rsidRPr="000E2987" w:rsidRDefault="000E2987" w:rsidP="000E2987">
            <w:pPr>
              <w:spacing w:before="40" w:after="80" w:line="240" w:lineRule="exact"/>
              <w:ind w:right="144"/>
              <w:jc w:val="lowKashida"/>
              <w:rPr>
                <w:rFonts w:hint="cs"/>
                <w:sz w:val="16"/>
                <w:szCs w:val="24"/>
                <w:rtl/>
              </w:rPr>
            </w:pPr>
          </w:p>
        </w:tc>
        <w:tc>
          <w:tcPr>
            <w:tcW w:w="1127" w:type="dxa"/>
            <w:tcBorders>
              <w:top w:val="single" w:sz="12" w:space="0" w:color="auto"/>
            </w:tcBorders>
            <w:shd w:val="clear" w:color="auto" w:fill="auto"/>
            <w:vAlign w:val="bottom"/>
          </w:tcPr>
          <w:p w:rsidR="000E2987" w:rsidRPr="000E2987" w:rsidRDefault="000E2987" w:rsidP="000E2987">
            <w:pPr>
              <w:spacing w:before="40" w:after="80" w:line="240" w:lineRule="exact"/>
              <w:ind w:right="144"/>
              <w:jc w:val="lowKashida"/>
              <w:rPr>
                <w:rFonts w:hint="cs"/>
                <w:sz w:val="16"/>
                <w:szCs w:val="24"/>
                <w:rtl/>
              </w:rPr>
            </w:pPr>
          </w:p>
        </w:tc>
        <w:tc>
          <w:tcPr>
            <w:tcW w:w="1127" w:type="dxa"/>
            <w:tcBorders>
              <w:top w:val="single" w:sz="12" w:space="0" w:color="auto"/>
            </w:tcBorders>
            <w:shd w:val="clear" w:color="auto" w:fill="auto"/>
            <w:vAlign w:val="bottom"/>
          </w:tcPr>
          <w:p w:rsidR="000E2987" w:rsidRPr="000E2987" w:rsidRDefault="000E2987" w:rsidP="000E2987">
            <w:pPr>
              <w:spacing w:before="40" w:after="80" w:line="240" w:lineRule="exact"/>
              <w:ind w:right="144"/>
              <w:jc w:val="lowKashida"/>
              <w:rPr>
                <w:rFonts w:hint="cs"/>
                <w:sz w:val="16"/>
                <w:szCs w:val="24"/>
                <w:rtl/>
              </w:rPr>
            </w:pPr>
          </w:p>
        </w:tc>
        <w:tc>
          <w:tcPr>
            <w:tcW w:w="1127" w:type="dxa"/>
            <w:tcBorders>
              <w:top w:val="single" w:sz="12" w:space="0" w:color="auto"/>
            </w:tcBorders>
            <w:shd w:val="clear" w:color="auto" w:fill="auto"/>
            <w:vAlign w:val="bottom"/>
          </w:tcPr>
          <w:p w:rsidR="000E2987" w:rsidRPr="000E2987" w:rsidRDefault="000E2987" w:rsidP="000E2987">
            <w:pPr>
              <w:spacing w:before="40" w:after="80" w:line="240" w:lineRule="exact"/>
              <w:ind w:right="144"/>
              <w:jc w:val="lowKashida"/>
              <w:rPr>
                <w:rFonts w:hint="cs"/>
                <w:sz w:val="16"/>
                <w:szCs w:val="24"/>
                <w:rtl/>
              </w:rPr>
            </w:pPr>
          </w:p>
        </w:tc>
      </w:tr>
      <w:tr w:rsidR="009C35E0" w:rsidRPr="000E2987">
        <w:trPr>
          <w:cantSplit/>
          <w:jc w:val="center"/>
        </w:trPr>
        <w:tc>
          <w:tcPr>
            <w:tcW w:w="3005" w:type="dxa"/>
            <w:shd w:val="clear" w:color="auto" w:fill="auto"/>
            <w:vAlign w:val="bottom"/>
          </w:tcPr>
          <w:p w:rsidR="009C35E0" w:rsidRPr="000E2987" w:rsidRDefault="009C35E0" w:rsidP="000E2987">
            <w:pPr>
              <w:spacing w:before="40" w:after="80" w:line="240" w:lineRule="exact"/>
              <w:jc w:val="center"/>
              <w:rPr>
                <w:rFonts w:cs="Traditional Arabic" w:hint="cs"/>
                <w:sz w:val="16"/>
                <w:szCs w:val="24"/>
                <w:rtl/>
              </w:rPr>
            </w:pPr>
            <w:r w:rsidRPr="000E2987">
              <w:rPr>
                <w:rFonts w:cs="Traditional Arabic" w:hint="cs"/>
                <w:sz w:val="16"/>
                <w:szCs w:val="24"/>
                <w:rtl/>
              </w:rPr>
              <w:t>قاضي صلح</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6</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14</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13</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20</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7</w:t>
            </w:r>
          </w:p>
        </w:tc>
      </w:tr>
      <w:tr w:rsidR="009C35E0" w:rsidRPr="000E2987">
        <w:trPr>
          <w:cantSplit/>
          <w:jc w:val="center"/>
        </w:trPr>
        <w:tc>
          <w:tcPr>
            <w:tcW w:w="3005" w:type="dxa"/>
            <w:shd w:val="clear" w:color="auto" w:fill="auto"/>
            <w:vAlign w:val="bottom"/>
          </w:tcPr>
          <w:p w:rsidR="009C35E0" w:rsidRPr="000E2987" w:rsidRDefault="009C35E0" w:rsidP="000E2987">
            <w:pPr>
              <w:spacing w:before="40" w:after="80" w:line="240" w:lineRule="exact"/>
              <w:jc w:val="center"/>
              <w:rPr>
                <w:rFonts w:cs="Traditional Arabic" w:hint="cs"/>
                <w:sz w:val="16"/>
                <w:szCs w:val="24"/>
                <w:rtl/>
              </w:rPr>
            </w:pPr>
            <w:r w:rsidRPr="000E2987">
              <w:rPr>
                <w:rFonts w:cs="Traditional Arabic" w:hint="cs"/>
                <w:sz w:val="16"/>
                <w:szCs w:val="24"/>
                <w:rtl/>
              </w:rPr>
              <w:t>محكمة جزيرة</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7</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صفر</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8</w:t>
            </w:r>
          </w:p>
        </w:tc>
        <w:tc>
          <w:tcPr>
            <w:tcW w:w="1127" w:type="dxa"/>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7</w:t>
            </w:r>
          </w:p>
        </w:tc>
      </w:tr>
      <w:tr w:rsidR="009C35E0" w:rsidRPr="000E2987">
        <w:trPr>
          <w:cantSplit/>
          <w:jc w:val="center"/>
        </w:trPr>
        <w:tc>
          <w:tcPr>
            <w:tcW w:w="3005" w:type="dxa"/>
            <w:tcBorders>
              <w:bottom w:val="single" w:sz="12" w:space="0" w:color="auto"/>
            </w:tcBorders>
            <w:shd w:val="clear" w:color="auto" w:fill="auto"/>
            <w:vAlign w:val="bottom"/>
          </w:tcPr>
          <w:p w:rsidR="009C35E0" w:rsidRPr="000E2987" w:rsidRDefault="009C35E0" w:rsidP="000E2987">
            <w:pPr>
              <w:spacing w:before="40" w:after="80" w:line="240" w:lineRule="exact"/>
              <w:jc w:val="center"/>
              <w:rPr>
                <w:rFonts w:cs="Traditional Arabic" w:hint="cs"/>
                <w:sz w:val="16"/>
                <w:szCs w:val="24"/>
                <w:rtl/>
              </w:rPr>
            </w:pPr>
            <w:r w:rsidRPr="000E2987">
              <w:rPr>
                <w:rFonts w:cs="Traditional Arabic" w:hint="cs"/>
                <w:sz w:val="16"/>
                <w:szCs w:val="24"/>
                <w:rtl/>
              </w:rPr>
              <w:t>مجموع عدد قضايا الطلاق</w:t>
            </w:r>
          </w:p>
        </w:tc>
        <w:tc>
          <w:tcPr>
            <w:tcW w:w="1127" w:type="dxa"/>
            <w:tcBorders>
              <w:bottom w:val="single" w:sz="12" w:space="0" w:color="auto"/>
            </w:tcBorders>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13</w:t>
            </w:r>
          </w:p>
        </w:tc>
        <w:tc>
          <w:tcPr>
            <w:tcW w:w="1127" w:type="dxa"/>
            <w:tcBorders>
              <w:bottom w:val="single" w:sz="12" w:space="0" w:color="auto"/>
            </w:tcBorders>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15</w:t>
            </w:r>
          </w:p>
        </w:tc>
        <w:tc>
          <w:tcPr>
            <w:tcW w:w="1127" w:type="dxa"/>
            <w:tcBorders>
              <w:bottom w:val="single" w:sz="12" w:space="0" w:color="auto"/>
            </w:tcBorders>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13</w:t>
            </w:r>
          </w:p>
        </w:tc>
        <w:tc>
          <w:tcPr>
            <w:tcW w:w="1127" w:type="dxa"/>
            <w:tcBorders>
              <w:bottom w:val="single" w:sz="12" w:space="0" w:color="auto"/>
            </w:tcBorders>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28</w:t>
            </w:r>
          </w:p>
        </w:tc>
        <w:tc>
          <w:tcPr>
            <w:tcW w:w="1127" w:type="dxa"/>
            <w:tcBorders>
              <w:bottom w:val="single" w:sz="12" w:space="0" w:color="auto"/>
            </w:tcBorders>
            <w:shd w:val="clear" w:color="auto" w:fill="auto"/>
            <w:vAlign w:val="bottom"/>
          </w:tcPr>
          <w:p w:rsidR="009C35E0" w:rsidRPr="000E2987" w:rsidRDefault="009C35E0" w:rsidP="000E2987">
            <w:pPr>
              <w:spacing w:before="40" w:after="80" w:line="240" w:lineRule="exact"/>
              <w:ind w:right="144"/>
              <w:jc w:val="lowKashida"/>
              <w:rPr>
                <w:rFonts w:cs="Traditional Arabic" w:hint="cs"/>
                <w:sz w:val="16"/>
                <w:szCs w:val="24"/>
                <w:rtl/>
              </w:rPr>
            </w:pPr>
            <w:r w:rsidRPr="000E2987">
              <w:rPr>
                <w:rFonts w:cs="Traditional Arabic" w:hint="cs"/>
                <w:sz w:val="16"/>
                <w:szCs w:val="24"/>
                <w:rtl/>
              </w:rPr>
              <w:t>14</w:t>
            </w:r>
          </w:p>
        </w:tc>
      </w:tr>
    </w:tbl>
    <w:p w:rsidR="009C35E0" w:rsidRPr="000E2987" w:rsidRDefault="009C35E0" w:rsidP="009C35E0">
      <w:pPr>
        <w:ind w:firstLine="720"/>
        <w:rPr>
          <w:rFonts w:hint="cs"/>
          <w:sz w:val="26"/>
          <w:szCs w:val="26"/>
          <w:rtl/>
        </w:rPr>
      </w:pPr>
      <w:r w:rsidRPr="000E2987">
        <w:rPr>
          <w:rFonts w:hint="cs"/>
          <w:sz w:val="26"/>
          <w:szCs w:val="26"/>
          <w:rtl/>
        </w:rPr>
        <w:t xml:space="preserve">    المصدر: تقرير البيانات الاجتماعية، عام 2005.</w:t>
      </w:r>
    </w:p>
    <w:p w:rsidR="009C35E0" w:rsidRDefault="009C35E0" w:rsidP="000E2987">
      <w:pPr>
        <w:pStyle w:val="SingleTxt"/>
        <w:rPr>
          <w:rFonts w:hint="cs"/>
          <w:rtl/>
        </w:rPr>
      </w:pPr>
      <w:r>
        <w:rPr>
          <w:rFonts w:hint="cs"/>
          <w:rtl/>
        </w:rPr>
        <w:tab/>
        <w:t>في توفالو، المؤسستان الوحيدتان المفوضتان قانوناً بالموافقة على الطلاق وحل الزواج هما محكمة الصلح ومحكمة الجزيرة. ويبين الجدول أعلاه عدد قضايا الطلاق أثناء الفترة من عام 2000 إلى 2004 ويبين بوضوح أن معظم قضايا الطلاق مسجلة في محكمة الصلح التي تتخذ من العاصمة، فونافوتي، مقراً لها. ومع أن معدل قضايا الطلاق متدنٍ، فإن الانفصال والعلاقات بحكم الواقع منتشرة، وإن كان مداها غير معروف. والعلاقات بحكم الواقع غير معترف بها قانوناً.</w:t>
      </w:r>
    </w:p>
    <w:p w:rsidR="009C35E0" w:rsidRDefault="000E2987" w:rsidP="000E2987">
      <w:pPr>
        <w:pStyle w:val="SingleTxt"/>
        <w:rPr>
          <w:rFonts w:hint="cs"/>
          <w:rtl/>
        </w:rPr>
      </w:pPr>
      <w:r>
        <w:rPr>
          <w:rFonts w:hint="cs"/>
          <w:rtl/>
        </w:rPr>
        <w:t xml:space="preserve">16-12  </w:t>
      </w:r>
      <w:r w:rsidR="009C35E0">
        <w:rPr>
          <w:rFonts w:hint="cs"/>
          <w:rtl/>
        </w:rPr>
        <w:t>لكلا الشريكين الحق في طلب حل الزواج استناداً إلى بعض الأسباب التي تجعلهما لا يستطيعان العيش معاً. ولا يوجد دليل موثق لأسباب انهيار الزواج، لأن المرأة تلوذ بالصمت في العادة بشأن هذه القضايا بسبب وصمة العار المتبطة بها وحفاظاً على الخصوصيات. ولا تزال المرأة تتعرض لضغوط اجتماعية من المجتمع المحلي ومن الحموين، وتؤدي هذه الضغوط أحياناً إلى اعتداءات جسدية وعاطفية قد تؤدي إلى الطلاق. وفي الممارسة العملية، المرأة هي التي تواجه المصاعب في العادة. فبعد الزواج، يتعين عليها أن تنتقل إلى أسرة الرجل وأن تمتثل لقواعد تلك الأسرة. ووفقاً للقانون التقليدي في توفالو المتعلق بحل الزواج، على الزوجة أن تترك البيت وألا تأخذ معها سوى أمتعتها الشخصية. وفي حالة ما إذا كان للزوجين أطفال، تقرر المحكمة نفقة وحضانة الأطفال ونفقة الزوجة.</w:t>
      </w:r>
    </w:p>
    <w:p w:rsidR="000E2987" w:rsidRPr="000E2987" w:rsidRDefault="000E2987" w:rsidP="000E2987">
      <w:pPr>
        <w:pStyle w:val="SingleTxt"/>
        <w:spacing w:after="0" w:line="120" w:lineRule="exact"/>
        <w:rPr>
          <w:rFonts w:hint="cs"/>
          <w:sz w:val="10"/>
          <w:rtl/>
        </w:rPr>
      </w:pPr>
    </w:p>
    <w:p w:rsidR="009C35E0" w:rsidRDefault="000E2987" w:rsidP="000E29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2631FD">
        <w:rPr>
          <w:rFonts w:hint="cs"/>
          <w:rtl/>
        </w:rPr>
        <w:t>الحق في اختيار المهنة والوظيفة</w:t>
      </w:r>
    </w:p>
    <w:p w:rsidR="009C35E0" w:rsidRDefault="000E2987" w:rsidP="000E2987">
      <w:pPr>
        <w:pStyle w:val="SingleTxt"/>
        <w:rPr>
          <w:rFonts w:hint="cs"/>
          <w:rtl/>
        </w:rPr>
      </w:pPr>
      <w:r>
        <w:rPr>
          <w:rFonts w:hint="cs"/>
          <w:rtl/>
        </w:rPr>
        <w:t xml:space="preserve">16-13  </w:t>
      </w:r>
      <w:r w:rsidR="009C35E0">
        <w:rPr>
          <w:rFonts w:hint="cs"/>
          <w:rtl/>
        </w:rPr>
        <w:t>قانونياً، للمرأة حق مساوٍ لحق الرجل في اختيار مهنة ووظيفة. وبعد الزواج، تؤثر قيم الرجل الثقافية بصورة عامة على اختيار الزوجة لمهنتها. ولا يوجد عائق قانوني يعوق اختيار المرأة المتزوجة اسم العائلة الذي تختاره لنفسها أو المهنة أو الوظيفة التي تختارها. وفي الممارسة العملية، تستشير الزوجة بصورة عامة زوجها قبل اختيار مهنة أو وظيفة. وأحياناً لا يوافق الزوج على ممارسة زوجته مهنة ما، ولكنه خيار مبني على أساس مصلحة الأسرة. ولا توجد أية قضايا مبلغ عنها رفض فيها الزوج العمل الذي اختارته زوجته وأدى إلى إساءة معاملتها من قبل زوجها.</w:t>
      </w:r>
    </w:p>
    <w:p w:rsidR="000E2987" w:rsidRPr="000E2987" w:rsidRDefault="000E2987" w:rsidP="000E2987">
      <w:pPr>
        <w:pStyle w:val="SingleTxt"/>
        <w:spacing w:after="0" w:line="120" w:lineRule="exact"/>
        <w:rPr>
          <w:rFonts w:hint="cs"/>
          <w:sz w:val="10"/>
          <w:rtl/>
        </w:rPr>
      </w:pPr>
    </w:p>
    <w:p w:rsidR="009C35E0" w:rsidRDefault="000E2987" w:rsidP="000E29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2631FD">
        <w:rPr>
          <w:rFonts w:hint="cs"/>
          <w:rtl/>
        </w:rPr>
        <w:t>ممتلكات الزوجية</w:t>
      </w:r>
    </w:p>
    <w:p w:rsidR="009C35E0" w:rsidRDefault="000E2987" w:rsidP="000E2987">
      <w:pPr>
        <w:pStyle w:val="SingleTxt"/>
        <w:rPr>
          <w:rFonts w:hint="cs"/>
          <w:rtl/>
        </w:rPr>
      </w:pPr>
      <w:r>
        <w:rPr>
          <w:rFonts w:hint="cs"/>
          <w:rtl/>
        </w:rPr>
        <w:t xml:space="preserve">16-14  </w:t>
      </w:r>
      <w:r w:rsidR="009C35E0">
        <w:rPr>
          <w:rFonts w:hint="cs"/>
          <w:rtl/>
        </w:rPr>
        <w:t>كما هو الحال بالنسبة لبلدان جزرية صغيرة أخرى في المنطقة، تخضع جميع الأراضي في توفالو للعرف ولا يوجد سوى قدر قليل من التشريعات المتعلقة بملكية الزوجية، وبالتالي، فإن السبيل القانوني الوحيد المتاح للمرأة هو أن تتقدم بطلب للحصول على حصة بموجب مبدأ الاستئمان البناء. فجميع الأراضي مملوكة بموجب العرف وتوزع وفقاً لقانون الأراضي التشريعي، وبالتالي لا تثور مسألة الأراضي بوصفها ملكية زوجية. وحيث أنه يجري التعامل مع جميع الأراضي وفقاً للعرف، فإن تقسيم الأراضي عند حدوث الطلاق أمر غير وارد، لأنه يُفترض أن تعود الزوجة إلى أسرة والدها. وإذا عادت إلى أسرتها، يكون لها الحق (نظرياً) في استخدام أراضي أسرتها التي يتساوى جميع أفراد الأسرة بالانتفاع بها (</w:t>
      </w:r>
      <w:r w:rsidR="008B1FB2">
        <w:rPr>
          <w:rFonts w:hint="cs"/>
          <w:rtl/>
        </w:rPr>
        <w:t>انظر</w:t>
      </w:r>
      <w:r w:rsidR="009C35E0">
        <w:rPr>
          <w:rFonts w:hint="cs"/>
          <w:rtl/>
        </w:rPr>
        <w:t xml:space="preserve"> جلال، عام 1998).</w:t>
      </w:r>
    </w:p>
    <w:p w:rsidR="000E2987" w:rsidRPr="000E2987" w:rsidRDefault="000E2987" w:rsidP="000E2987">
      <w:pPr>
        <w:pStyle w:val="SingleTxt"/>
        <w:spacing w:after="0" w:line="120" w:lineRule="exact"/>
        <w:rPr>
          <w:rFonts w:hint="cs"/>
          <w:sz w:val="10"/>
          <w:rtl/>
        </w:rPr>
      </w:pPr>
    </w:p>
    <w:p w:rsidR="009C35E0" w:rsidRDefault="000E2987" w:rsidP="000E29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DE78C8">
        <w:rPr>
          <w:rFonts w:hint="cs"/>
          <w:rtl/>
        </w:rPr>
        <w:t>حضانة الأطفال</w:t>
      </w:r>
    </w:p>
    <w:p w:rsidR="009C35E0" w:rsidRDefault="000E2987" w:rsidP="000E2987">
      <w:pPr>
        <w:pStyle w:val="SingleTxt"/>
        <w:rPr>
          <w:rFonts w:hint="cs"/>
          <w:rtl/>
        </w:rPr>
      </w:pPr>
      <w:r>
        <w:rPr>
          <w:rFonts w:hint="cs"/>
          <w:rtl/>
        </w:rPr>
        <w:t xml:space="preserve">16-15  </w:t>
      </w:r>
      <w:r w:rsidR="009C35E0">
        <w:rPr>
          <w:rFonts w:hint="cs"/>
          <w:rtl/>
        </w:rPr>
        <w:t>يحدد قانون حضانة الأطفال، القانون رقم 20، لمن تكون الحضانة، حيث ينص الفرع 3</w:t>
      </w:r>
      <w:r w:rsidR="009C35E0">
        <w:t>:</w:t>
      </w:r>
    </w:p>
    <w:p w:rsidR="009C35E0" w:rsidRDefault="000E2987" w:rsidP="000E2987">
      <w:pPr>
        <w:pStyle w:val="SingleTxt"/>
        <w:rPr>
          <w:rFonts w:hint="cs"/>
          <w:rtl/>
        </w:rPr>
      </w:pPr>
      <w:r>
        <w:rPr>
          <w:rFonts w:hint="cs"/>
          <w:rtl/>
        </w:rPr>
        <w:tab/>
        <w:t>(1)</w:t>
      </w:r>
      <w:r>
        <w:rPr>
          <w:rFonts w:hint="cs"/>
          <w:rtl/>
        </w:rPr>
        <w:tab/>
      </w:r>
      <w:r w:rsidR="009C35E0">
        <w:rPr>
          <w:rFonts w:hint="cs"/>
          <w:rtl/>
        </w:rPr>
        <w:t>يجوز للمحكمة بناءً على طلب من أي شخص، أو نيابة عن أي شخص أن تبت في:</w:t>
      </w:r>
    </w:p>
    <w:p w:rsidR="009C35E0" w:rsidRDefault="000E2987" w:rsidP="000E2987">
      <w:pPr>
        <w:pStyle w:val="SingleTxt"/>
        <w:rPr>
          <w:rFonts w:hint="cs"/>
          <w:rtl/>
        </w:rPr>
      </w:pPr>
      <w:r>
        <w:rPr>
          <w:rFonts w:hint="cs"/>
          <w:rtl/>
        </w:rPr>
        <w:tab/>
        <w:t>(أ)</w:t>
      </w:r>
      <w:r>
        <w:rPr>
          <w:rFonts w:hint="cs"/>
          <w:rtl/>
        </w:rPr>
        <w:tab/>
      </w:r>
      <w:r w:rsidR="009C35E0">
        <w:rPr>
          <w:rFonts w:hint="cs"/>
          <w:rtl/>
        </w:rPr>
        <w:t>حضانة أي طفل؛ و</w:t>
      </w:r>
    </w:p>
    <w:p w:rsidR="009C35E0" w:rsidRDefault="000E2987" w:rsidP="000E2987">
      <w:pPr>
        <w:pStyle w:val="SingleTxt"/>
        <w:rPr>
          <w:rFonts w:hint="cs"/>
          <w:rtl/>
        </w:rPr>
      </w:pPr>
      <w:r>
        <w:rPr>
          <w:rFonts w:hint="cs"/>
          <w:rtl/>
        </w:rPr>
        <w:tab/>
        <w:t>(ب)</w:t>
      </w:r>
      <w:r>
        <w:rPr>
          <w:rFonts w:hint="cs"/>
          <w:rtl/>
        </w:rPr>
        <w:tab/>
      </w:r>
      <w:r w:rsidR="009C35E0">
        <w:rPr>
          <w:rFonts w:hint="cs"/>
          <w:rtl/>
        </w:rPr>
        <w:t>أو حق والدة طفل أو والده في الاتصال به، حسبما ترى المحكمة أنه مناسب، آخذة في الحسبان مصلحة الطفل وسلوك ورغبات الأم والأب.</w:t>
      </w:r>
    </w:p>
    <w:p w:rsidR="009C35E0" w:rsidRDefault="000E2987" w:rsidP="000E2987">
      <w:pPr>
        <w:pStyle w:val="SingleTxt"/>
        <w:rPr>
          <w:rFonts w:hint="cs"/>
          <w:rtl/>
        </w:rPr>
      </w:pPr>
      <w:r>
        <w:rPr>
          <w:rFonts w:hint="cs"/>
          <w:rtl/>
        </w:rPr>
        <w:tab/>
        <w:t>(2)</w:t>
      </w:r>
      <w:r>
        <w:rPr>
          <w:rFonts w:hint="cs"/>
          <w:rtl/>
        </w:rPr>
        <w:tab/>
      </w:r>
      <w:r w:rsidR="009C35E0">
        <w:rPr>
          <w:rFonts w:hint="cs"/>
          <w:rtl/>
        </w:rPr>
        <w:t>قبل إصدار أمر بالحضانة، يتعين على المحكمة أن تتحقق بالكامل من جميع الظروف وأن تطلب دليلاً أو تقريراً قد ترى أنه يخدم مصلحة العدالة.</w:t>
      </w:r>
    </w:p>
    <w:p w:rsidR="009C35E0" w:rsidRDefault="000E2987" w:rsidP="000E2987">
      <w:pPr>
        <w:pStyle w:val="SingleTxt"/>
        <w:rPr>
          <w:rFonts w:hint="cs"/>
          <w:rtl/>
        </w:rPr>
      </w:pPr>
      <w:r>
        <w:rPr>
          <w:rFonts w:hint="cs"/>
          <w:rtl/>
        </w:rPr>
        <w:tab/>
        <w:t>(3)</w:t>
      </w:r>
      <w:r>
        <w:rPr>
          <w:rFonts w:hint="cs"/>
          <w:rtl/>
        </w:rPr>
        <w:tab/>
        <w:t>ف</w:t>
      </w:r>
      <w:r w:rsidR="009C35E0">
        <w:rPr>
          <w:rFonts w:hint="cs"/>
          <w:rtl/>
        </w:rPr>
        <w:t>ي ممارسة المحكمة لولايتها القضائية بموجب هذا الفرع، يتعين على المحكمة أن تعير الاهتمام لمصلحة الطفل بوصفها الاعتبار الأول والأسمى من أية وجهة نظر أخرى ترى أن ادعاء الأب متفوق على ادعاء الأم أو أن ادعاء الأم متفوق على ادعاء الأب.</w:t>
      </w:r>
    </w:p>
    <w:p w:rsidR="009C35E0" w:rsidRDefault="000E2987" w:rsidP="000E2987">
      <w:pPr>
        <w:pStyle w:val="SingleTxt"/>
        <w:rPr>
          <w:rFonts w:hint="cs"/>
          <w:rtl/>
        </w:rPr>
      </w:pPr>
      <w:r>
        <w:rPr>
          <w:rFonts w:hint="cs"/>
          <w:rtl/>
        </w:rPr>
        <w:tab/>
        <w:t>(4)</w:t>
      </w:r>
      <w:r>
        <w:rPr>
          <w:rFonts w:hint="cs"/>
          <w:rtl/>
        </w:rPr>
        <w:tab/>
      </w:r>
      <w:r w:rsidR="009C35E0">
        <w:rPr>
          <w:rFonts w:hint="cs"/>
          <w:rtl/>
        </w:rPr>
        <w:t>يجوز للمحكمة في أي وقت، بناءً على طلب من أي شخص أو نيابة عن أي شخص، أن تصدر أمر حضانة أو تغير أمر حضانة.</w:t>
      </w:r>
    </w:p>
    <w:p w:rsidR="009C35E0" w:rsidRDefault="000E2987" w:rsidP="00F93B21">
      <w:pPr>
        <w:pStyle w:val="SingleTxt"/>
        <w:rPr>
          <w:rFonts w:hint="cs"/>
        </w:rPr>
      </w:pPr>
      <w:r>
        <w:rPr>
          <w:rFonts w:hint="cs"/>
          <w:rtl/>
        </w:rPr>
        <w:tab/>
        <w:t>(5)</w:t>
      </w:r>
      <w:r>
        <w:rPr>
          <w:rFonts w:hint="cs"/>
          <w:rtl/>
        </w:rPr>
        <w:tab/>
      </w:r>
      <w:r w:rsidR="009C35E0">
        <w:rPr>
          <w:rFonts w:hint="cs"/>
          <w:rtl/>
        </w:rPr>
        <w:t>هذا الفرع رهن بقانون أراضي</w:t>
      </w:r>
      <w:r w:rsidR="00F93B21">
        <w:rPr>
          <w:rFonts w:hint="cs"/>
          <w:rtl/>
        </w:rPr>
        <w:t xml:space="preserve"> السكان الأصليين</w:t>
      </w:r>
      <w:r w:rsidR="009C35E0">
        <w:rPr>
          <w:rFonts w:hint="cs"/>
          <w:rtl/>
        </w:rPr>
        <w:t>.</w:t>
      </w:r>
    </w:p>
    <w:p w:rsidR="009C35E0" w:rsidRDefault="000E2987" w:rsidP="00F93B21">
      <w:pPr>
        <w:pStyle w:val="SingleTxt"/>
        <w:rPr>
          <w:rFonts w:hint="cs"/>
          <w:rtl/>
        </w:rPr>
      </w:pPr>
      <w:r>
        <w:rPr>
          <w:rFonts w:hint="cs"/>
          <w:rtl/>
        </w:rPr>
        <w:tab/>
      </w:r>
      <w:r w:rsidR="009C35E0">
        <w:rPr>
          <w:rFonts w:hint="cs"/>
          <w:rtl/>
        </w:rPr>
        <w:t xml:space="preserve">وفي حين أن مصلحة الطفل فوق كل شيء، فإن بعض أحكام قانون أراضي </w:t>
      </w:r>
      <w:r w:rsidR="00F93B21">
        <w:rPr>
          <w:rFonts w:hint="cs"/>
          <w:rtl/>
        </w:rPr>
        <w:t xml:space="preserve">السكان الأصليين </w:t>
      </w:r>
      <w:r w:rsidR="009C35E0">
        <w:rPr>
          <w:rFonts w:hint="cs"/>
          <w:rtl/>
        </w:rPr>
        <w:t>تعطي أولوية الحضانة للأب بسبب ميراث الأراضي.</w:t>
      </w:r>
    </w:p>
    <w:p w:rsidR="000E2987" w:rsidRPr="000E2987" w:rsidRDefault="000E2987" w:rsidP="000E2987">
      <w:pPr>
        <w:pStyle w:val="SingleTxt"/>
        <w:spacing w:after="0" w:line="120" w:lineRule="exact"/>
        <w:rPr>
          <w:rFonts w:hint="cs"/>
          <w:sz w:val="10"/>
          <w:rtl/>
        </w:rPr>
      </w:pPr>
    </w:p>
    <w:p w:rsidR="009C35E0" w:rsidRDefault="000E2987" w:rsidP="000E29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DE78C8">
        <w:rPr>
          <w:rFonts w:hint="cs"/>
          <w:rtl/>
        </w:rPr>
        <w:t>تسجيل حالات الولادة</w:t>
      </w:r>
    </w:p>
    <w:p w:rsidR="009C35E0" w:rsidRDefault="000E2987" w:rsidP="000E2987">
      <w:pPr>
        <w:pStyle w:val="SingleTxt"/>
        <w:rPr>
          <w:rFonts w:hint="cs"/>
          <w:rtl/>
        </w:rPr>
      </w:pPr>
      <w:r>
        <w:rPr>
          <w:rFonts w:hint="cs"/>
          <w:rtl/>
        </w:rPr>
        <w:t xml:space="preserve">16-16  </w:t>
      </w:r>
      <w:r w:rsidR="009C35E0">
        <w:rPr>
          <w:rFonts w:hint="cs"/>
          <w:rtl/>
        </w:rPr>
        <w:t>بموجب قانون تسجيل حالات الولادة والوفاة والزواج، القانون رقم 27، يتعين تسجيل كل طفل يولد لمواطنين توفاليين لدى مسجل المنطقة التي ولد فيها الطفل. وفي العاصمة، فونافوتي، يتم التسجيل في مكتب المسجل العام التابع لمكتب المدعي العام. وفي عام 2006، سجلت 119 حالة ولادة (46 أنثى و 73 ذكر) لدى هذا المكتب، ولكن بمراجعة مستشفى الأميرة مارجريت، تبين أنه ولد 184 طفلاً في المستشفى  أثناء ذلك العام. ومن المهم أن يتأكد الوالدين من تسجيل طفلهما. ولمعالجة هذه المسألة، تنظم الحكومة حلقات عمل لتذكير مسؤولي الصحة والوالدين بأهمية تسجيل ولادة الأطفال. ويسجل الأطفال الذين يولدون في المناطق الريفية لدى المجلس المحلي، الكابيول.</w:t>
      </w:r>
    </w:p>
    <w:p w:rsidR="000E2987" w:rsidRPr="000E2987" w:rsidRDefault="000E2987" w:rsidP="000E2987">
      <w:pPr>
        <w:pStyle w:val="SingleTxt"/>
        <w:spacing w:after="0" w:line="120" w:lineRule="exact"/>
        <w:rPr>
          <w:rFonts w:hint="cs"/>
          <w:sz w:val="10"/>
          <w:rtl/>
        </w:rPr>
      </w:pPr>
    </w:p>
    <w:p w:rsidR="009C35E0" w:rsidRDefault="000E2987" w:rsidP="000E29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BC6275">
        <w:rPr>
          <w:rFonts w:hint="cs"/>
          <w:rtl/>
        </w:rPr>
        <w:t>التبني والوصاية</w:t>
      </w:r>
    </w:p>
    <w:p w:rsidR="009C35E0" w:rsidRDefault="000E2987" w:rsidP="000E2987">
      <w:pPr>
        <w:pStyle w:val="SingleTxt"/>
        <w:rPr>
          <w:rFonts w:hint="cs"/>
          <w:rtl/>
        </w:rPr>
      </w:pPr>
      <w:r>
        <w:rPr>
          <w:rFonts w:hint="cs"/>
          <w:rtl/>
        </w:rPr>
        <w:t xml:space="preserve">16-17  </w:t>
      </w:r>
      <w:r w:rsidR="009C35E0">
        <w:rPr>
          <w:rFonts w:hint="cs"/>
          <w:rtl/>
        </w:rPr>
        <w:t>ممارسة تبني الأطفال شائعة تماماً في مجتمع توفالو، لا سيما بين الأقارب الأقربين والأقارب الذين تربطهم صلة الدم. وينظم قانون تبني الأطفال القانون رقم 20 ألف، عملية تبني الأطفال. وفي جميع الإجراءات التي تتم بموجب هذا القانون يتعين أن ينظر إلى رفاه الطفل ومصالحه على أن لها الاعتبار الأعلى. وينص الجزء الثالث من الفرع 8 (1) على أنه لا يجوز للمحكمة أن تصدر أمر تبنٍ إلا إذا كان الطفل لم يبلغ سن الثانية عشرة قبل تاريخ تقديم طلب التبني إلى المحكمة. وينص القانون أيضاً على أنه بموجب الفرع 9 (1) يتعين أن يصدر أمر التبني فقط لصالح زوج وزوجة معاً إلا إذا قتنعت المحكمة بوجود ظروف استثنائية تجعل من المستصوب إصدار الأمر لصالح شخص واحد. ويتبين من حالات التبني القانوني من خلال محكمة الصلح على مدى السنوات الثلاث الماضية حدوث زيادة طفيفة في حالات التبني. وتوجد زيادة في عدد حالات التبني من خلال محكمة الصلح على النحو التالي:</w:t>
      </w:r>
    </w:p>
    <w:p w:rsidR="009C35E0" w:rsidRDefault="000E2987" w:rsidP="000E2987">
      <w:pPr>
        <w:pStyle w:val="SingleTxt"/>
        <w:rPr>
          <w:rFonts w:hint="cs"/>
          <w:rtl/>
        </w:rPr>
      </w:pPr>
      <w:r>
        <w:rPr>
          <w:rFonts w:hint="cs"/>
          <w:rtl/>
        </w:rPr>
        <w:tab/>
      </w:r>
      <w:r w:rsidR="009C35E0">
        <w:rPr>
          <w:rFonts w:hint="cs"/>
          <w:rtl/>
        </w:rPr>
        <w:t xml:space="preserve">عام 2004 </w:t>
      </w:r>
      <w:r w:rsidR="009C35E0">
        <w:rPr>
          <w:rFonts w:hint="cs"/>
          <w:rtl/>
        </w:rPr>
        <w:tab/>
      </w:r>
      <w:r w:rsidR="009C35E0">
        <w:rPr>
          <w:rFonts w:hint="cs"/>
          <w:rtl/>
        </w:rPr>
        <w:tab/>
        <w:t>7 قضايا</w:t>
      </w:r>
    </w:p>
    <w:p w:rsidR="009C35E0" w:rsidRDefault="000E2987" w:rsidP="000E2987">
      <w:pPr>
        <w:pStyle w:val="SingleTxt"/>
        <w:rPr>
          <w:rFonts w:hint="cs"/>
          <w:rtl/>
        </w:rPr>
      </w:pPr>
      <w:r>
        <w:rPr>
          <w:rFonts w:hint="cs"/>
          <w:rtl/>
        </w:rPr>
        <w:tab/>
      </w:r>
      <w:r w:rsidR="009C35E0">
        <w:rPr>
          <w:rFonts w:hint="cs"/>
          <w:rtl/>
        </w:rPr>
        <w:t>عام 2005</w:t>
      </w:r>
      <w:r w:rsidR="009C35E0">
        <w:rPr>
          <w:rFonts w:hint="cs"/>
          <w:rtl/>
        </w:rPr>
        <w:tab/>
      </w:r>
      <w:r w:rsidR="009C35E0">
        <w:rPr>
          <w:rFonts w:hint="cs"/>
          <w:rtl/>
        </w:rPr>
        <w:tab/>
        <w:t>9 قضايا</w:t>
      </w:r>
    </w:p>
    <w:p w:rsidR="009C35E0" w:rsidRDefault="000E2987" w:rsidP="000E2987">
      <w:pPr>
        <w:pStyle w:val="SingleTxt"/>
        <w:rPr>
          <w:rFonts w:hint="cs"/>
          <w:rtl/>
        </w:rPr>
      </w:pPr>
      <w:r>
        <w:rPr>
          <w:rFonts w:hint="cs"/>
          <w:rtl/>
        </w:rPr>
        <w:tab/>
      </w:r>
      <w:r w:rsidR="009C35E0">
        <w:rPr>
          <w:rFonts w:hint="cs"/>
          <w:rtl/>
        </w:rPr>
        <w:t xml:space="preserve">عام 2006 </w:t>
      </w:r>
      <w:r w:rsidR="009C35E0">
        <w:rPr>
          <w:rFonts w:hint="cs"/>
          <w:rtl/>
        </w:rPr>
        <w:tab/>
      </w:r>
      <w:r w:rsidR="009C35E0">
        <w:rPr>
          <w:rFonts w:hint="cs"/>
          <w:rtl/>
        </w:rPr>
        <w:tab/>
        <w:t>14 قضية</w:t>
      </w:r>
    </w:p>
    <w:p w:rsidR="009C35E0" w:rsidRDefault="000E2987" w:rsidP="000E2987">
      <w:pPr>
        <w:pStyle w:val="SingleTxt"/>
        <w:rPr>
          <w:rFonts w:hint="cs"/>
          <w:rtl/>
        </w:rPr>
      </w:pPr>
      <w:r>
        <w:rPr>
          <w:rFonts w:hint="cs"/>
          <w:rtl/>
        </w:rPr>
        <w:tab/>
      </w:r>
      <w:r w:rsidR="009C35E0">
        <w:rPr>
          <w:rFonts w:hint="cs"/>
          <w:rtl/>
        </w:rPr>
        <w:t xml:space="preserve">من بين القضايا السبع في عام 2004، كانت أربع قضايا منها للتبني في الخارج؛ وفي عام 2005 كانت توجد ثلاث قضايا للتبني في الخارج؛ وفي عام 2006 كانت توجد أربع قضايا تبني في الخارج. وفي جميع هذه القضايا كان المتبنون توفاليين مقيمين في الخارج. </w:t>
      </w:r>
    </w:p>
    <w:p w:rsidR="009C35E0" w:rsidRDefault="000E2987" w:rsidP="000E2987">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sz w:val="32"/>
          <w:szCs w:val="32"/>
          <w:rtl/>
        </w:rPr>
        <w:br w:type="page"/>
      </w:r>
      <w:r>
        <w:rPr>
          <w:rFonts w:hint="cs"/>
          <w:sz w:val="32"/>
          <w:szCs w:val="32"/>
          <w:rtl/>
        </w:rPr>
        <w:tab/>
      </w:r>
      <w:r w:rsidR="009C35E0" w:rsidRPr="00D17E32">
        <w:rPr>
          <w:rFonts w:hint="cs"/>
          <w:rtl/>
        </w:rPr>
        <w:t>المادة 18</w:t>
      </w:r>
    </w:p>
    <w:p w:rsidR="009C35E0" w:rsidRDefault="009C35E0" w:rsidP="009C35E0">
      <w:pPr>
        <w:rPr>
          <w:rFonts w:hint="cs"/>
          <w:b/>
          <w:bCs/>
          <w:sz w:val="32"/>
          <w:szCs w:val="32"/>
          <w:rtl/>
        </w:rPr>
      </w:pPr>
    </w:p>
    <w:tbl>
      <w:tblPr>
        <w:tblStyle w:val="TableGrid"/>
        <w:bidiVisual/>
        <w:tblW w:w="9504" w:type="dxa"/>
        <w:jc w:val="center"/>
        <w:tblLook w:val="01E0" w:firstRow="1" w:lastRow="1" w:firstColumn="1" w:lastColumn="1" w:noHBand="0" w:noVBand="0"/>
      </w:tblPr>
      <w:tblGrid>
        <w:gridCol w:w="9504"/>
      </w:tblGrid>
      <w:tr w:rsidR="009C35E0" w:rsidRPr="000E2987">
        <w:trPr>
          <w:jc w:val="center"/>
        </w:trPr>
        <w:tc>
          <w:tcPr>
            <w:tcW w:w="8856" w:type="dxa"/>
          </w:tcPr>
          <w:p w:rsidR="009C35E0" w:rsidRPr="000E2987" w:rsidRDefault="0032356C" w:rsidP="000E2987">
            <w:pPr>
              <w:pStyle w:val="SingleTxt"/>
              <w:rPr>
                <w:rFonts w:cs="Traditional Arabic" w:hint="cs"/>
                <w:rtl/>
              </w:rPr>
            </w:pPr>
            <w:r>
              <w:rPr>
                <w:rFonts w:cs="Traditional Arabic" w:hint="cs"/>
                <w:rtl/>
              </w:rPr>
              <w:t>1 -</w:t>
            </w:r>
            <w:r w:rsidR="000E2987">
              <w:rPr>
                <w:rFonts w:cs="Traditional Arabic"/>
                <w:rtl/>
              </w:rPr>
              <w:tab/>
            </w:r>
            <w:r w:rsidR="009C35E0" w:rsidRPr="000E2987">
              <w:rPr>
                <w:rFonts w:cs="Traditional Arabic" w:hint="cs"/>
                <w:rtl/>
              </w:rPr>
              <w:t>تتعهد الدول الأطراف بأن تقدم إلى الأمين العام للأمم المتحدة، للنظر من قبل اللجنة، تقريراً عما اتخذته من تدابير تشريعية وقضائية وإدارية وغيرها من أجل إنفاذ أحكام هذه الاتفاقية، وعن التقدم المحرز في هذا الصدد، وذلك:</w:t>
            </w:r>
          </w:p>
          <w:p w:rsidR="009C35E0" w:rsidRPr="000E2987" w:rsidRDefault="000E2987" w:rsidP="000E2987">
            <w:pPr>
              <w:pStyle w:val="SingleTxt"/>
              <w:rPr>
                <w:rFonts w:cs="Traditional Arabic" w:hint="cs"/>
              </w:rPr>
            </w:pPr>
            <w:r>
              <w:rPr>
                <w:rFonts w:cs="Traditional Arabic"/>
                <w:rtl/>
              </w:rPr>
              <w:tab/>
            </w:r>
            <w:r w:rsidR="0032356C">
              <w:rPr>
                <w:rFonts w:cs="Traditional Arabic" w:hint="cs"/>
                <w:rtl/>
              </w:rPr>
              <w:t>(أ)</w:t>
            </w:r>
            <w:r w:rsidR="0032356C">
              <w:rPr>
                <w:rFonts w:cs="Traditional Arabic"/>
                <w:rtl/>
              </w:rPr>
              <w:tab/>
            </w:r>
            <w:r w:rsidR="009C35E0" w:rsidRPr="000E2987">
              <w:rPr>
                <w:rFonts w:cs="Traditional Arabic" w:hint="cs"/>
                <w:rtl/>
              </w:rPr>
              <w:t>في غضون سنة واحدة من بدء النفاذ بالنسبة للدولة المعنية؛</w:t>
            </w:r>
          </w:p>
          <w:p w:rsidR="009C35E0" w:rsidRPr="000E2987" w:rsidRDefault="000E2987" w:rsidP="000E2987">
            <w:pPr>
              <w:pStyle w:val="SingleTxt"/>
              <w:rPr>
                <w:rFonts w:cs="Traditional Arabic" w:hint="cs"/>
              </w:rPr>
            </w:pPr>
            <w:r>
              <w:rPr>
                <w:rFonts w:cs="Traditional Arabic"/>
                <w:rtl/>
              </w:rPr>
              <w:tab/>
            </w:r>
            <w:r w:rsidR="0032356C">
              <w:rPr>
                <w:rFonts w:cs="Traditional Arabic" w:hint="cs"/>
                <w:rtl/>
              </w:rPr>
              <w:t>(ب)</w:t>
            </w:r>
            <w:r w:rsidR="0032356C">
              <w:rPr>
                <w:rFonts w:cs="Traditional Arabic"/>
                <w:rtl/>
              </w:rPr>
              <w:tab/>
            </w:r>
            <w:r w:rsidR="009C35E0" w:rsidRPr="000E2987">
              <w:rPr>
                <w:rFonts w:cs="Traditional Arabic" w:hint="cs"/>
                <w:rtl/>
              </w:rPr>
              <w:t>وبعد ذلك كل أربع سنوات على الأقل، وكذلك كلما طلبت اللجنة ذلك.</w:t>
            </w:r>
          </w:p>
          <w:p w:rsidR="009C35E0" w:rsidRPr="000E2987" w:rsidRDefault="0032356C" w:rsidP="000E2987">
            <w:pPr>
              <w:pStyle w:val="SingleTxt"/>
              <w:rPr>
                <w:rFonts w:cs="Traditional Arabic" w:hint="cs"/>
                <w:rtl/>
              </w:rPr>
            </w:pPr>
            <w:r>
              <w:rPr>
                <w:rFonts w:cs="Traditional Arabic" w:hint="cs"/>
                <w:rtl/>
              </w:rPr>
              <w:t>2 -</w:t>
            </w:r>
            <w:r w:rsidR="000E2987">
              <w:rPr>
                <w:rFonts w:cs="Traditional Arabic"/>
                <w:rtl/>
              </w:rPr>
              <w:tab/>
            </w:r>
            <w:r w:rsidR="009C35E0" w:rsidRPr="000E2987">
              <w:rPr>
                <w:rFonts w:cs="Traditional Arabic" w:hint="cs"/>
                <w:rtl/>
              </w:rPr>
              <w:t>يجوز أن تبين التقارير العوامل والصعوبات التي تؤثر على مدى الوفاء بالالتزامات المقررة في هذه الاتفاقية.</w:t>
            </w:r>
          </w:p>
          <w:p w:rsidR="009C35E0" w:rsidRPr="000E2987" w:rsidRDefault="009C35E0" w:rsidP="000E2987">
            <w:pPr>
              <w:pStyle w:val="SingleTxt"/>
              <w:rPr>
                <w:rFonts w:cs="Traditional Arabic" w:hint="cs"/>
                <w:rtl/>
              </w:rPr>
            </w:pPr>
          </w:p>
        </w:tc>
      </w:tr>
    </w:tbl>
    <w:p w:rsidR="000E2987" w:rsidRPr="000E2987" w:rsidRDefault="000E2987" w:rsidP="000E2987">
      <w:pPr>
        <w:spacing w:line="120" w:lineRule="exact"/>
        <w:ind w:left="4320"/>
        <w:rPr>
          <w:rFonts w:hint="cs"/>
          <w:sz w:val="10"/>
          <w:szCs w:val="32"/>
          <w:rtl/>
        </w:rPr>
      </w:pPr>
    </w:p>
    <w:p w:rsidR="009C35E0" w:rsidRDefault="000E2987" w:rsidP="000E2987">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ab/>
      </w:r>
      <w:r>
        <w:rPr>
          <w:rFonts w:hint="cs"/>
          <w:rtl/>
        </w:rPr>
        <w:tab/>
      </w:r>
      <w:r w:rsidR="009C35E0" w:rsidRPr="00D17E32">
        <w:rPr>
          <w:rFonts w:hint="cs"/>
          <w:rtl/>
        </w:rPr>
        <w:t>كتابة تقرير اتفاقية القضاء على جميع أشكال التمييز ضد المرأة</w:t>
      </w:r>
    </w:p>
    <w:p w:rsidR="009C35E0" w:rsidRPr="0032356C" w:rsidRDefault="000E2987" w:rsidP="000E2987">
      <w:pPr>
        <w:pStyle w:val="SingleTxt"/>
        <w:rPr>
          <w:rFonts w:hint="cs"/>
          <w:w w:val="100"/>
          <w:rtl/>
        </w:rPr>
      </w:pPr>
      <w:r>
        <w:rPr>
          <w:rFonts w:hint="cs"/>
          <w:rtl/>
        </w:rPr>
        <w:t>18-1</w:t>
      </w:r>
      <w:r>
        <w:rPr>
          <w:rFonts w:hint="cs"/>
          <w:rtl/>
        </w:rPr>
        <w:tab/>
      </w:r>
      <w:r w:rsidR="009C35E0" w:rsidRPr="0032356C">
        <w:rPr>
          <w:rFonts w:hint="cs"/>
          <w:w w:val="100"/>
          <w:rtl/>
        </w:rPr>
        <w:t>بدأت عملية كتابة تقرير دولة توفالو المتعلق باتفاقية القضاء على جميع أشكال التمييز ضد المرأة بحلقة عمل عن التوعية نُظِّمت للوزراء في عام 2005. وأعقبتها ترجمة مواد الاتفاقية إلى لغة توفالو، وهذه كانت مسألة مهمة جداً للتوعية وزيادة فهم الاتفاقية. وبعد بدء رؤية التوفاليين للاتفاقية أثناء الاحتفال باليوم الدولي للمرأة في عام 2006، بدأت إدارة شؤون المرأة ومجلس توفالو الوطني للمرأة السفر إلى الجزر الخارجية والتدريب على مراعاة الفوارق بين الجنسين والتوعية باتفاقية القضاء على جميع أشكال التمييز ضد المرأة على مستوى المجتمع المحلي. وبالإضافة إلى المجتمعات المحلية الأصلية في فونافوتي، شاركت مجتمعات محلية أخرى في الجزيرة في هذه البرامج، التي وسعت أيضاً لتشمل المجموعات الدينية في العاصمة. وبعد زيادة التوعية وأخذ الآراء المتعلقة بمواد الاتفاقية، ابتدأت كتابة هذا التقرير.</w:t>
      </w:r>
    </w:p>
    <w:p w:rsidR="009C35E0" w:rsidRDefault="000E2987" w:rsidP="000E2987">
      <w:pPr>
        <w:pStyle w:val="SingleTxt"/>
        <w:rPr>
          <w:rFonts w:hint="cs"/>
          <w:rtl/>
        </w:rPr>
      </w:pPr>
      <w:r>
        <w:rPr>
          <w:rFonts w:hint="cs"/>
          <w:rtl/>
        </w:rPr>
        <w:t>18-2</w:t>
      </w:r>
      <w:r>
        <w:rPr>
          <w:rFonts w:hint="cs"/>
          <w:rtl/>
        </w:rPr>
        <w:tab/>
        <w:t>في</w:t>
      </w:r>
      <w:r w:rsidR="009C35E0">
        <w:rPr>
          <w:rFonts w:hint="cs"/>
          <w:rtl/>
        </w:rPr>
        <w:t xml:space="preserve"> البداية، جرى الاتفاق مع مستشار قانوني لكتابة تقرير الدولة وساعدته في ذلك قوة عمل عينتها لجنة التنسيق الوطنية. وأعضاء قوة العمل هم:</w:t>
      </w:r>
    </w:p>
    <w:p w:rsidR="009C35E0" w:rsidRDefault="000E2987" w:rsidP="0032356C">
      <w:pPr>
        <w:pStyle w:val="SingleTxt"/>
        <w:spacing w:line="360" w:lineRule="exact"/>
        <w:rPr>
          <w:rFonts w:hint="cs"/>
          <w:rtl/>
        </w:rPr>
      </w:pPr>
      <w:r>
        <w:rPr>
          <w:rFonts w:hint="cs"/>
          <w:rtl/>
        </w:rPr>
        <w:tab/>
      </w:r>
      <w:r w:rsidR="009C35E0">
        <w:rPr>
          <w:rFonts w:hint="cs"/>
          <w:rtl/>
        </w:rPr>
        <w:t>السيدة إسي أبينلو، القائمة بأعمال المدعي العام، مستشارة قانونية.</w:t>
      </w:r>
    </w:p>
    <w:p w:rsidR="009C35E0" w:rsidRDefault="000E2987" w:rsidP="0032356C">
      <w:pPr>
        <w:pStyle w:val="SingleTxt"/>
        <w:spacing w:line="360" w:lineRule="exact"/>
        <w:rPr>
          <w:rFonts w:hint="cs"/>
          <w:rtl/>
        </w:rPr>
      </w:pPr>
      <w:r>
        <w:rPr>
          <w:rFonts w:hint="cs"/>
          <w:rtl/>
        </w:rPr>
        <w:tab/>
      </w:r>
      <w:r w:rsidR="009C35E0">
        <w:rPr>
          <w:rFonts w:hint="cs"/>
          <w:rtl/>
        </w:rPr>
        <w:t>السيدة سايني سيمونا، مديرة إدارة شؤون المرأة</w:t>
      </w:r>
    </w:p>
    <w:p w:rsidR="009C35E0" w:rsidRDefault="000E2987" w:rsidP="0032356C">
      <w:pPr>
        <w:pStyle w:val="SingleTxt"/>
        <w:spacing w:line="360" w:lineRule="exact"/>
        <w:rPr>
          <w:rFonts w:hint="cs"/>
          <w:rtl/>
        </w:rPr>
      </w:pPr>
      <w:r>
        <w:rPr>
          <w:rFonts w:hint="cs"/>
          <w:rtl/>
        </w:rPr>
        <w:tab/>
      </w:r>
      <w:r w:rsidR="009C35E0">
        <w:rPr>
          <w:rFonts w:hint="cs"/>
          <w:rtl/>
        </w:rPr>
        <w:t>السيدة بولافاغو، منسقة مجلس توفالو الوطني للمرأة</w:t>
      </w:r>
    </w:p>
    <w:p w:rsidR="009C35E0" w:rsidRDefault="000E2987" w:rsidP="0032356C">
      <w:pPr>
        <w:pStyle w:val="SingleTxt"/>
        <w:spacing w:line="360" w:lineRule="exact"/>
        <w:rPr>
          <w:rFonts w:hint="cs"/>
          <w:rtl/>
        </w:rPr>
      </w:pPr>
      <w:r>
        <w:rPr>
          <w:rFonts w:hint="cs"/>
          <w:rtl/>
        </w:rPr>
        <w:tab/>
      </w:r>
      <w:r w:rsidR="009C35E0">
        <w:rPr>
          <w:rFonts w:hint="cs"/>
          <w:rtl/>
        </w:rPr>
        <w:t>السيد ألبرت سيلوكا، أخصائي قانوني، إدارة التنمية الريفية</w:t>
      </w:r>
    </w:p>
    <w:p w:rsidR="009C35E0" w:rsidRDefault="000E2987" w:rsidP="0032356C">
      <w:pPr>
        <w:pStyle w:val="SingleTxt"/>
        <w:spacing w:line="360" w:lineRule="exact"/>
        <w:rPr>
          <w:rFonts w:hint="cs"/>
          <w:rtl/>
        </w:rPr>
      </w:pPr>
      <w:r>
        <w:rPr>
          <w:rFonts w:hint="cs"/>
          <w:rtl/>
        </w:rPr>
        <w:tab/>
      </w:r>
      <w:r w:rsidR="009C35E0">
        <w:rPr>
          <w:rFonts w:hint="cs"/>
          <w:rtl/>
        </w:rPr>
        <w:t>السيدة تيميوكيسا هاوما، مديرة مدرسة، مدرسة ناوتي الابتدائية</w:t>
      </w:r>
    </w:p>
    <w:p w:rsidR="009C35E0" w:rsidRDefault="000E2987" w:rsidP="0032356C">
      <w:pPr>
        <w:pStyle w:val="SingleTxt"/>
        <w:spacing w:line="360" w:lineRule="exact"/>
        <w:rPr>
          <w:rFonts w:hint="cs"/>
          <w:rtl/>
        </w:rPr>
      </w:pPr>
      <w:r>
        <w:rPr>
          <w:rFonts w:hint="cs"/>
          <w:rtl/>
        </w:rPr>
        <w:tab/>
      </w:r>
      <w:r w:rsidR="009C35E0">
        <w:rPr>
          <w:rFonts w:hint="cs"/>
          <w:rtl/>
        </w:rPr>
        <w:t>السيدة أفانوا بايلات، مخططة برامج صحية</w:t>
      </w:r>
    </w:p>
    <w:p w:rsidR="009C35E0" w:rsidRDefault="000E2987" w:rsidP="0032356C">
      <w:pPr>
        <w:pStyle w:val="SingleTxt"/>
        <w:spacing w:line="360" w:lineRule="exact"/>
        <w:rPr>
          <w:rFonts w:hint="cs"/>
          <w:rtl/>
        </w:rPr>
      </w:pPr>
      <w:r>
        <w:rPr>
          <w:rFonts w:hint="cs"/>
          <w:rtl/>
        </w:rPr>
        <w:tab/>
      </w:r>
      <w:r w:rsidR="009C35E0">
        <w:rPr>
          <w:rFonts w:hint="cs"/>
          <w:rtl/>
        </w:rPr>
        <w:t>السيدة أسيتا مولوتي، مسؤولة إشراف على المشاريع، إدارة شؤون المرأة</w:t>
      </w:r>
    </w:p>
    <w:p w:rsidR="009C35E0" w:rsidRDefault="000E2987" w:rsidP="0032356C">
      <w:pPr>
        <w:pStyle w:val="SingleTxt"/>
        <w:spacing w:line="360" w:lineRule="exact"/>
        <w:ind w:left="1930" w:hanging="663"/>
        <w:rPr>
          <w:rFonts w:hint="cs"/>
          <w:rtl/>
        </w:rPr>
      </w:pPr>
      <w:r>
        <w:rPr>
          <w:rFonts w:hint="cs"/>
          <w:rtl/>
        </w:rPr>
        <w:tab/>
      </w:r>
      <w:r w:rsidR="009C35E0">
        <w:rPr>
          <w:rFonts w:hint="cs"/>
          <w:rtl/>
        </w:rPr>
        <w:t>السيدة سايني سيلوكا، مسؤولة تدريب على الحقوق القانونية، فريق موارد الحقوق الإقليمي</w:t>
      </w:r>
    </w:p>
    <w:p w:rsidR="009C35E0" w:rsidRDefault="000E2987" w:rsidP="0032356C">
      <w:pPr>
        <w:pStyle w:val="SingleTxt"/>
        <w:spacing w:line="360" w:lineRule="exact"/>
        <w:ind w:left="1930" w:hanging="663"/>
        <w:rPr>
          <w:rFonts w:hint="cs"/>
          <w:rtl/>
        </w:rPr>
      </w:pPr>
      <w:r>
        <w:rPr>
          <w:rFonts w:hint="cs"/>
          <w:rtl/>
        </w:rPr>
        <w:tab/>
      </w:r>
      <w:r w:rsidR="009C35E0">
        <w:rPr>
          <w:rFonts w:hint="cs"/>
          <w:rtl/>
        </w:rPr>
        <w:t>السيد ليليان هوماسي، مسؤولة تخطيط اقتصادي</w:t>
      </w:r>
    </w:p>
    <w:p w:rsidR="009C35E0" w:rsidRDefault="000E2987" w:rsidP="000E2987">
      <w:pPr>
        <w:pStyle w:val="SingleTxt"/>
        <w:rPr>
          <w:rFonts w:hint="cs"/>
          <w:rtl/>
        </w:rPr>
      </w:pPr>
      <w:r>
        <w:rPr>
          <w:rFonts w:hint="cs"/>
          <w:rtl/>
        </w:rPr>
        <w:tab/>
      </w:r>
      <w:r w:rsidR="009C35E0">
        <w:rPr>
          <w:rFonts w:hint="cs"/>
          <w:rtl/>
        </w:rPr>
        <w:t>وقامت إدارة شؤون المرأة بتجميع التقرير بمساعدة السيدة ألاماي سيوني، مسؤولة ثقافية، والسيدة سايني سيلوكا، مسؤولة التدريب على الحقوق القانونية، بتوجيه من السيدة أليسي قايقايكا، مستشارة للشؤون الجنسانية من متطوعي الأمم المتحدة.</w:t>
      </w:r>
    </w:p>
    <w:p w:rsidR="009C35E0" w:rsidRDefault="000E2987" w:rsidP="000E2987">
      <w:pPr>
        <w:pStyle w:val="SingleTxt"/>
        <w:rPr>
          <w:rFonts w:hint="cs"/>
          <w:rtl/>
        </w:rPr>
      </w:pPr>
      <w:r>
        <w:rPr>
          <w:rFonts w:hint="cs"/>
          <w:rtl/>
        </w:rPr>
        <w:t>18-3</w:t>
      </w:r>
      <w:r>
        <w:rPr>
          <w:rFonts w:hint="cs"/>
          <w:rtl/>
        </w:rPr>
        <w:tab/>
      </w:r>
      <w:r w:rsidR="009C35E0">
        <w:rPr>
          <w:rFonts w:hint="cs"/>
          <w:rtl/>
        </w:rPr>
        <w:t>عدا عن استعراض المواد المكتوبة، أجريت مقابلات فردية ومشاورات (مع أفراد ومع المجتمعات المحلية) في إعداد تقرير الدولة عن اتفاقية القضاء على جميع أشكال التمييز ضد المرأة. وكجزء من عملية المشاورات، حدد موعد للتشاور مع المجتمع المحلي بشأن مسودة التقرير قبل تقديمه إلى لجنة التنسيق الوطنية المعنية بالمرأة. وبعد موافقة لجنة التنسيق الوطنية المعنية بالمرأة، عرضت مسودة تقرير الدولة على لجنة تنسيق التنمية، التي تضم الأمناء الدائمين فقط. وبعد تلقي الملاحظات والتعليقات من لجنة تنسيق التنمية، قدمت مسودة التقرير لمجلس الوزراء للموافقة عليه وإقراره.</w:t>
      </w:r>
    </w:p>
    <w:p w:rsidR="009C35E0" w:rsidRDefault="000E2987" w:rsidP="0032356C">
      <w:pPr>
        <w:pStyle w:val="SingleTxt"/>
        <w:spacing w:line="360" w:lineRule="exact"/>
        <w:rPr>
          <w:rFonts w:hint="cs"/>
          <w:rtl/>
        </w:rPr>
      </w:pPr>
      <w:r>
        <w:rPr>
          <w:rFonts w:hint="cs"/>
          <w:rtl/>
        </w:rPr>
        <w:t>18-4</w:t>
      </w:r>
      <w:r>
        <w:rPr>
          <w:rFonts w:hint="cs"/>
          <w:rtl/>
        </w:rPr>
        <w:tab/>
      </w:r>
      <w:r w:rsidR="009C35E0">
        <w:rPr>
          <w:rFonts w:hint="cs"/>
          <w:rtl/>
        </w:rPr>
        <w:t>ومن المخطط أن تحال النتائج التي تخلص إليها لجنة مكافحة التمييز ضد المرأة التابعة للأمم المتحدة، وملاحظاتها الختامية، إلى المجتمع المحلي وذوي الشأن كجزء من عمليات التشاور لإبقائهم على اطلاع على ما يستجد من تطورات وتقدم في تنفيذ الاتفاقية.</w:t>
      </w:r>
    </w:p>
    <w:p w:rsidR="000E2987" w:rsidRPr="000E2987" w:rsidRDefault="000E2987" w:rsidP="000E2987">
      <w:pPr>
        <w:pStyle w:val="SingleTxt"/>
        <w:spacing w:after="0" w:line="120" w:lineRule="exact"/>
        <w:rPr>
          <w:rFonts w:hint="cs"/>
          <w:sz w:val="10"/>
          <w:rtl/>
        </w:rPr>
      </w:pPr>
    </w:p>
    <w:p w:rsidR="009C35E0" w:rsidRDefault="000E2987" w:rsidP="000E298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9C35E0" w:rsidRPr="0098415B">
        <w:rPr>
          <w:rFonts w:hint="cs"/>
          <w:rtl/>
        </w:rPr>
        <w:t>شكر وتقدير</w:t>
      </w:r>
    </w:p>
    <w:p w:rsidR="009C35E0" w:rsidRDefault="000E2987" w:rsidP="0032356C">
      <w:pPr>
        <w:pStyle w:val="SingleTxt"/>
        <w:spacing w:line="360" w:lineRule="exact"/>
        <w:rPr>
          <w:rFonts w:hint="cs"/>
          <w:rtl/>
        </w:rPr>
      </w:pPr>
      <w:r>
        <w:rPr>
          <w:rFonts w:hint="cs"/>
          <w:rtl/>
        </w:rPr>
        <w:t>18-5</w:t>
      </w:r>
      <w:r>
        <w:rPr>
          <w:rFonts w:hint="cs"/>
          <w:rtl/>
        </w:rPr>
        <w:tab/>
      </w:r>
      <w:r w:rsidR="009C35E0">
        <w:rPr>
          <w:rFonts w:hint="cs"/>
          <w:rtl/>
        </w:rPr>
        <w:t>تود الحكومة أن تسجل تقديرها لمجلس توفالو الوطني للمرأة ولمنظمات المجتمع المدني، وخاصة نساء ورجال توفالو، على إسهامهم الفردي في تقرير الدولة عن اتفاقية القضاء على جميع أشكال التمييز ضد المرأة.</w:t>
      </w:r>
    </w:p>
    <w:p w:rsidR="009C35E0" w:rsidRDefault="000E2987" w:rsidP="0032356C">
      <w:pPr>
        <w:pStyle w:val="SingleTxt"/>
        <w:spacing w:line="360" w:lineRule="exact"/>
        <w:rPr>
          <w:rFonts w:hint="cs"/>
          <w:rtl/>
        </w:rPr>
      </w:pPr>
      <w:r>
        <w:rPr>
          <w:rFonts w:hint="cs"/>
          <w:rtl/>
        </w:rPr>
        <w:t>18-6</w:t>
      </w:r>
      <w:r>
        <w:rPr>
          <w:rFonts w:hint="cs"/>
          <w:rtl/>
        </w:rPr>
        <w:tab/>
      </w:r>
      <w:r w:rsidR="009C35E0">
        <w:rPr>
          <w:rFonts w:hint="cs"/>
          <w:rtl/>
        </w:rPr>
        <w:t>وتعرب حكومة وشعب توفالو عن تقديرهما للمساعدة التي قدمها برنامج الأمم المتحدة الإنمائي وصندوق الأمم المتحدة الإنمائي للمرأة وأمانة جماعة المحيط الهادئ وأمانة منتدى جزر المحيط الهادئ وعلى المساعدة التي قدمتها في توفير التدريب لبلدان جزر المحيط الهادئ على كتابة تقرير اتفاقية القضاء على جميع أشكال التمييز ضد المرأة. ونخص بالذكر برنامج الأمم المتحدة الإنمائي وصندوق الأمم المتحدة الإنمائي للمرأة على تقديمهما المساعدة الفنية والدعم لتقرير توفالو هذا الذي يجمع التقريرين الأول والثاني.</w:t>
      </w:r>
    </w:p>
    <w:p w:rsidR="009C35E0" w:rsidRPr="0098415B" w:rsidRDefault="004008B9" w:rsidP="004008B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Pr>
          <w:rFonts w:hint="cs"/>
          <w:rtl/>
        </w:rPr>
        <w:tab/>
      </w:r>
      <w:r w:rsidR="009C35E0" w:rsidRPr="0098415B">
        <w:rPr>
          <w:rFonts w:hint="cs"/>
          <w:rtl/>
        </w:rPr>
        <w:t>المراجع</w:t>
      </w:r>
    </w:p>
    <w:p w:rsidR="009C35E0" w:rsidRDefault="009C35E0" w:rsidP="004008B9">
      <w:pPr>
        <w:pStyle w:val="SingleTxt"/>
        <w:rPr>
          <w:rFonts w:hint="cs"/>
          <w:sz w:val="32"/>
          <w:szCs w:val="32"/>
          <w:rtl/>
        </w:rPr>
      </w:pPr>
      <w:r>
        <w:rPr>
          <w:rFonts w:hint="cs"/>
          <w:sz w:val="32"/>
          <w:szCs w:val="32"/>
          <w:rtl/>
        </w:rPr>
        <w:t xml:space="preserve">مصرف التنمية الآسيوي، (عام 2002)، </w:t>
      </w:r>
      <w:r w:rsidRPr="0099666D">
        <w:t xml:space="preserve">Pacific </w:t>
      </w:r>
      <w:r w:rsidRPr="0099666D">
        <w:rPr>
          <w:lang w:val="en-AU" w:eastAsia="ja-JP"/>
        </w:rPr>
        <w:t>Studies Series</w:t>
      </w:r>
      <w:r w:rsidRPr="0099666D">
        <w:t xml:space="preserve">: </w:t>
      </w:r>
      <w:r w:rsidRPr="0099666D">
        <w:rPr>
          <w:lang w:val="en-AU" w:eastAsia="ja-JP"/>
        </w:rPr>
        <w:t>Tuvalu 2002 Economic and Public Sector</w:t>
      </w:r>
      <w:r w:rsidRPr="0099666D">
        <w:t xml:space="preserve">  Revieew</w:t>
      </w:r>
      <w:r>
        <w:rPr>
          <w:rFonts w:hint="cs"/>
          <w:sz w:val="32"/>
          <w:szCs w:val="32"/>
          <w:rtl/>
        </w:rPr>
        <w:t>، مانيلا، مصرف التنمية الآسيوي</w:t>
      </w:r>
    </w:p>
    <w:p w:rsidR="009C35E0" w:rsidRDefault="009C35E0" w:rsidP="004008B9">
      <w:pPr>
        <w:pStyle w:val="SingleTxt"/>
        <w:rPr>
          <w:rFonts w:hint="cs"/>
          <w:sz w:val="32"/>
          <w:rtl/>
        </w:rPr>
      </w:pPr>
      <w:r>
        <w:rPr>
          <w:rFonts w:hint="cs"/>
          <w:sz w:val="32"/>
          <w:rtl/>
        </w:rPr>
        <w:t xml:space="preserve">مصرف التنمية الآسيوي، (عام 2004) </w:t>
      </w:r>
      <w:r w:rsidRPr="00474A40">
        <w:rPr>
          <w:szCs w:val="20"/>
        </w:rPr>
        <w:t>H</w:t>
      </w:r>
      <w:r>
        <w:rPr>
          <w:szCs w:val="20"/>
        </w:rPr>
        <w:t xml:space="preserve">ardship &amp; Poverty in the Pacific:  Strengthening Poverty Analysis &amp; Strategies I the Pacific, </w:t>
      </w:r>
      <w:r>
        <w:rPr>
          <w:rFonts w:hint="cs"/>
          <w:sz w:val="32"/>
          <w:rtl/>
        </w:rPr>
        <w:t>، مانيلا، مصرف التنمية الآسيوي</w:t>
      </w:r>
    </w:p>
    <w:p w:rsidR="009C35E0" w:rsidRDefault="009C35E0" w:rsidP="004008B9">
      <w:pPr>
        <w:pStyle w:val="SingleTxt"/>
        <w:rPr>
          <w:rFonts w:hint="cs"/>
          <w:rtl/>
        </w:rPr>
      </w:pPr>
      <w:r>
        <w:rPr>
          <w:rFonts w:hint="cs"/>
          <w:rtl/>
        </w:rPr>
        <w:t>مصرف التنمية الآسيوي، (عام 2003)</w:t>
      </w:r>
      <w:r w:rsidRPr="00CE038B">
        <w:rPr>
          <w:szCs w:val="20"/>
        </w:rPr>
        <w:t>of the People:  Hardship in Tuvalu</w:t>
      </w:r>
      <w:r>
        <w:t>,</w:t>
      </w:r>
      <w:r>
        <w:rPr>
          <w:rFonts w:hint="cs"/>
          <w:rtl/>
        </w:rPr>
        <w:t xml:space="preserve"> </w:t>
      </w:r>
      <w:r>
        <w:rPr>
          <w:szCs w:val="20"/>
        </w:rPr>
        <w:t>P</w:t>
      </w:r>
      <w:r w:rsidRPr="00474A40">
        <w:rPr>
          <w:szCs w:val="20"/>
        </w:rPr>
        <w:t>riorities</w:t>
      </w:r>
      <w:r>
        <w:rPr>
          <w:rFonts w:hint="cs"/>
          <w:rtl/>
        </w:rPr>
        <w:t>، مانيلا، مصرف التنمية الآسيوي</w:t>
      </w:r>
    </w:p>
    <w:p w:rsidR="009C35E0" w:rsidRDefault="009C35E0" w:rsidP="004008B9">
      <w:pPr>
        <w:pStyle w:val="SingleTxt"/>
        <w:rPr>
          <w:rFonts w:hint="cs"/>
          <w:rtl/>
        </w:rPr>
      </w:pPr>
      <w:r w:rsidRPr="00BA44B8">
        <w:t xml:space="preserve">Buchan, D. &amp; Cosslet, C. (2001), Social and Economic Well Being Survey Tuvalu, Nimmo Bell &amp; Co., </w:t>
      </w:r>
      <w:smartTag w:uri="urn:schemas-microsoft-com:office:smarttags" w:element="City">
        <w:smartTag w:uri="urn:schemas-microsoft-com:office:smarttags" w:element="place">
          <w:r w:rsidRPr="00BA44B8">
            <w:t>Wellington</w:t>
          </w:r>
        </w:smartTag>
      </w:smartTag>
      <w:r w:rsidRPr="00BA44B8">
        <w:t>.</w:t>
      </w:r>
    </w:p>
    <w:p w:rsidR="009C35E0" w:rsidRDefault="009C35E0" w:rsidP="004008B9">
      <w:pPr>
        <w:pStyle w:val="SingleTxt"/>
        <w:rPr>
          <w:rFonts w:hint="cs"/>
          <w:rtl/>
        </w:rPr>
      </w:pPr>
      <w:r w:rsidRPr="00474A40">
        <w:t xml:space="preserve">Chambers, K. &amp; Chambers, A. (2001) Unity of Hearts, Wavel and </w:t>
      </w:r>
      <w:smartTag w:uri="urn:schemas-microsoft-com:office:smarttags" w:element="City">
        <w:r w:rsidRPr="00474A40">
          <w:t>Press Inc. Prospect Heights</w:t>
        </w:r>
      </w:smartTag>
      <w:r w:rsidRPr="00474A40">
        <w:t>, Illinois</w:t>
      </w:r>
    </w:p>
    <w:p w:rsidR="009C35E0" w:rsidRDefault="009C35E0" w:rsidP="004008B9">
      <w:pPr>
        <w:pStyle w:val="SingleTxt"/>
        <w:rPr>
          <w:rFonts w:hint="cs"/>
          <w:rtl/>
        </w:rPr>
      </w:pPr>
      <w:r w:rsidRPr="00474A40">
        <w:t>Corrin-Care, J. etal (1999), Introduction to South Pacific Law, Cavendish Publishing Ltd.,London</w:t>
      </w:r>
    </w:p>
    <w:p w:rsidR="009C35E0" w:rsidRDefault="009C35E0" w:rsidP="004008B9">
      <w:pPr>
        <w:pStyle w:val="SingleTxt"/>
        <w:rPr>
          <w:rFonts w:hint="cs"/>
          <w:rtl/>
        </w:rPr>
      </w:pPr>
      <w:r>
        <w:rPr>
          <w:rFonts w:hint="cs"/>
          <w:rtl/>
        </w:rPr>
        <w:t>مصرف توفالو للتنمية، (عام 2005)، تقرير لم ينشر، فونافوتي</w:t>
      </w:r>
    </w:p>
    <w:p w:rsidR="009C35E0" w:rsidRDefault="009C35E0" w:rsidP="004008B9">
      <w:pPr>
        <w:pStyle w:val="SingleTxt"/>
        <w:rPr>
          <w:rFonts w:hint="cs"/>
          <w:rtl/>
        </w:rPr>
      </w:pPr>
      <w:smartTag w:uri="urn:schemas-microsoft-com:office:smarttags" w:element="place">
        <w:r w:rsidRPr="00474A40">
          <w:t>Douglas</w:t>
        </w:r>
      </w:smartTag>
      <w:r w:rsidRPr="00474A40">
        <w:t>, N. etal, (1989), Pacific Islands Year Book, 16</w:t>
      </w:r>
      <w:r w:rsidRPr="00474A40">
        <w:rPr>
          <w:vertAlign w:val="superscript"/>
        </w:rPr>
        <w:t>th</w:t>
      </w:r>
      <w:r w:rsidRPr="00474A40">
        <w:t xml:space="preserve"> edition Angus &amp; Robertson Publishers, London</w:t>
      </w:r>
    </w:p>
    <w:p w:rsidR="009C35E0" w:rsidRDefault="009C35E0" w:rsidP="004008B9">
      <w:pPr>
        <w:pStyle w:val="SingleTxt"/>
        <w:rPr>
          <w:rFonts w:hint="cs"/>
          <w:rtl/>
        </w:rPr>
      </w:pPr>
      <w:r>
        <w:rPr>
          <w:rFonts w:hint="cs"/>
          <w:rtl/>
        </w:rPr>
        <w:t>حكومة توفالو، دستور دولة توفالو المستقلة</w:t>
      </w:r>
    </w:p>
    <w:p w:rsidR="009C35E0" w:rsidRDefault="009C35E0" w:rsidP="004008B9">
      <w:pPr>
        <w:pStyle w:val="SingleTxt"/>
        <w:rPr>
          <w:rFonts w:hint="cs"/>
          <w:rtl/>
        </w:rPr>
      </w:pPr>
      <w:r>
        <w:rPr>
          <w:rFonts w:hint="cs"/>
          <w:rtl/>
        </w:rPr>
        <w:t>حكومة توفالو، إدارة شؤون المجتمع المحلي، (عام 2001)، السياسة الاجتماعية لتوفالو (عام 2001)، فونافوتي</w:t>
      </w:r>
    </w:p>
    <w:p w:rsidR="009C35E0" w:rsidRDefault="009C35E0" w:rsidP="004008B9">
      <w:pPr>
        <w:pStyle w:val="SingleTxt"/>
        <w:rPr>
          <w:rFonts w:hint="cs"/>
          <w:rtl/>
        </w:rPr>
      </w:pPr>
      <w:r>
        <w:rPr>
          <w:rFonts w:hint="cs"/>
          <w:rtl/>
        </w:rPr>
        <w:t>حكومة توفالو، إدارة شؤون المجتمع، (عام 2005) تقرير عن بيانات توفالو الاجتماعية عام 2005، فونافوتي</w:t>
      </w:r>
    </w:p>
    <w:p w:rsidR="009C35E0" w:rsidRDefault="009C35E0" w:rsidP="004008B9">
      <w:pPr>
        <w:pStyle w:val="SingleTxt"/>
        <w:rPr>
          <w:rFonts w:hint="cs"/>
          <w:rtl/>
        </w:rPr>
      </w:pPr>
      <w:r>
        <w:rPr>
          <w:rFonts w:hint="cs"/>
          <w:rtl/>
        </w:rPr>
        <w:t>حكومة توفالو، إدارة التعليم، (عام 2005) مسودة تقرير توفالو عن اتفاقية حقوق الطفل</w:t>
      </w:r>
    </w:p>
    <w:p w:rsidR="009C35E0" w:rsidRDefault="009C35E0" w:rsidP="004008B9">
      <w:pPr>
        <w:pStyle w:val="SingleTxt"/>
        <w:rPr>
          <w:rFonts w:hint="cs"/>
          <w:rtl/>
        </w:rPr>
      </w:pPr>
      <w:r>
        <w:rPr>
          <w:rFonts w:hint="cs"/>
          <w:rtl/>
        </w:rPr>
        <w:t>حكومة توفالو، إدارة التعليم (عام 2006)، الخطة الاستراتيجية للفترة 2006</w:t>
      </w:r>
      <w:r w:rsidR="004008B9">
        <w:rPr>
          <w:rFonts w:hint="cs"/>
          <w:rtl/>
        </w:rPr>
        <w:t>-</w:t>
      </w:r>
      <w:r>
        <w:rPr>
          <w:rFonts w:hint="cs"/>
          <w:rtl/>
        </w:rPr>
        <w:t>2010، فونافوتي</w:t>
      </w:r>
    </w:p>
    <w:p w:rsidR="009C35E0" w:rsidRDefault="009C35E0" w:rsidP="004008B9">
      <w:pPr>
        <w:pStyle w:val="SingleTxt"/>
        <w:rPr>
          <w:rFonts w:hint="cs"/>
          <w:rtl/>
        </w:rPr>
      </w:pPr>
      <w:r>
        <w:rPr>
          <w:rFonts w:hint="cs"/>
          <w:rtl/>
        </w:rPr>
        <w:t>حكومة توفالو، إدارة الصحة، (عام 2002)، التقرير السنوي لعام 2002، تقرير لم ينشر، فونافوتي</w:t>
      </w:r>
    </w:p>
    <w:p w:rsidR="009C35E0" w:rsidRDefault="009C35E0" w:rsidP="004008B9">
      <w:pPr>
        <w:pStyle w:val="SingleTxt"/>
        <w:rPr>
          <w:rFonts w:hint="cs"/>
          <w:rtl/>
        </w:rPr>
      </w:pPr>
      <w:r>
        <w:rPr>
          <w:rFonts w:hint="cs"/>
          <w:rtl/>
        </w:rPr>
        <w:t xml:space="preserve">حكومة توفالو، إدارة شؤون المرأة، (عام 2002) </w:t>
      </w:r>
      <w:r w:rsidRPr="00CE038B">
        <w:rPr>
          <w:szCs w:val="20"/>
        </w:rPr>
        <w:t>Update to the Beijing Platform for Action</w:t>
      </w:r>
      <w:r w:rsidRPr="00CE038B">
        <w:rPr>
          <w:rFonts w:hint="cs"/>
          <w:szCs w:val="20"/>
          <w:rtl/>
        </w:rPr>
        <w:t xml:space="preserve"> </w:t>
      </w:r>
      <w:r>
        <w:rPr>
          <w:rFonts w:hint="cs"/>
          <w:rtl/>
        </w:rPr>
        <w:t>(استكمال لخطة عمل بيجين)</w:t>
      </w:r>
    </w:p>
    <w:p w:rsidR="009C35E0" w:rsidRDefault="009C35E0" w:rsidP="004008B9">
      <w:pPr>
        <w:pStyle w:val="SingleTxt"/>
        <w:rPr>
          <w:rFonts w:hint="cs"/>
          <w:rtl/>
        </w:rPr>
      </w:pPr>
      <w:r>
        <w:rPr>
          <w:rFonts w:hint="cs"/>
          <w:rtl/>
        </w:rPr>
        <w:t>حكومة توفالو، إدارة شؤون المرأة، (عام 2006)، التقرير السنوي لعام 2005، تقرير لم ينشر، فونافوتي</w:t>
      </w:r>
    </w:p>
    <w:p w:rsidR="009C35E0" w:rsidRDefault="009C35E0" w:rsidP="004008B9">
      <w:pPr>
        <w:pStyle w:val="SingleTxt"/>
        <w:rPr>
          <w:rFonts w:hint="cs"/>
          <w:rtl/>
        </w:rPr>
      </w:pPr>
      <w:r>
        <w:rPr>
          <w:rFonts w:hint="cs"/>
          <w:rtl/>
        </w:rPr>
        <w:t>حكومة توفالو، إدارة شؤون المرأة (عام 2006)، سياسة توفالو الوطنية المنقحة للمرأة، فونافوتي</w:t>
      </w:r>
    </w:p>
    <w:p w:rsidR="009C35E0" w:rsidRDefault="009C35E0" w:rsidP="004008B9">
      <w:pPr>
        <w:pStyle w:val="SingleTxt"/>
        <w:rPr>
          <w:rFonts w:hint="cs"/>
          <w:rtl/>
        </w:rPr>
      </w:pPr>
      <w:r>
        <w:rPr>
          <w:rFonts w:hint="cs"/>
          <w:rtl/>
        </w:rPr>
        <w:t>حكومة توفالو، إدارة شؤون المرأة، (عام 2006)، تقرير عن حالة المرأة، بيجين + 10، تقرير لم ينشر، فونافوتي</w:t>
      </w:r>
    </w:p>
    <w:p w:rsidR="009C35E0" w:rsidRDefault="004008B9" w:rsidP="004008B9">
      <w:pPr>
        <w:pStyle w:val="SingleTxt"/>
        <w:rPr>
          <w:rFonts w:hint="cs"/>
          <w:rtl/>
        </w:rPr>
      </w:pPr>
      <w:r>
        <w:rPr>
          <w:rFonts w:hint="cs"/>
          <w:rtl/>
        </w:rPr>
        <w:t>ح</w:t>
      </w:r>
      <w:r w:rsidR="009C35E0">
        <w:rPr>
          <w:rFonts w:hint="cs"/>
          <w:rtl/>
        </w:rPr>
        <w:t>كومة توفالو، محكمة الصلح، (عام 2006) تقارير لم تنشر، فونافوتي</w:t>
      </w:r>
    </w:p>
    <w:p w:rsidR="009C35E0" w:rsidRDefault="009C35E0" w:rsidP="004008B9">
      <w:pPr>
        <w:pStyle w:val="SingleTxt"/>
        <w:rPr>
          <w:rFonts w:hint="cs"/>
          <w:rtl/>
        </w:rPr>
      </w:pPr>
      <w:r>
        <w:rPr>
          <w:rFonts w:hint="cs"/>
          <w:rtl/>
        </w:rPr>
        <w:t>حكومة توفالو، وزارة المالية والتخطيط الوطني، (عام 2004)، التقرير القطري عن الأهداف الإنمائية للألفية، فونافوتي</w:t>
      </w:r>
    </w:p>
    <w:p w:rsidR="009C35E0" w:rsidRDefault="009C35E0" w:rsidP="004008B9">
      <w:pPr>
        <w:pStyle w:val="SingleTxt"/>
        <w:rPr>
          <w:rFonts w:hint="cs"/>
          <w:rtl/>
        </w:rPr>
      </w:pPr>
      <w:r>
        <w:rPr>
          <w:rFonts w:hint="cs"/>
          <w:rtl/>
        </w:rPr>
        <w:t xml:space="preserve">حكومة توفالو، وزارة المالية والتخطيط الوطني، (عام 2005)، خطة التنمية الوطنية الاستراتيجية المستدامة، خطة التنمية الوطنية لتوفالو، 2005 </w:t>
      </w:r>
      <w:r w:rsidR="00084D51">
        <w:rPr>
          <w:rtl/>
        </w:rPr>
        <w:t>-</w:t>
      </w:r>
      <w:r>
        <w:rPr>
          <w:rFonts w:hint="cs"/>
          <w:rtl/>
        </w:rPr>
        <w:t xml:space="preserve"> 2015، سوفا</w:t>
      </w:r>
    </w:p>
    <w:p w:rsidR="009C35E0" w:rsidRDefault="009C35E0" w:rsidP="004008B9">
      <w:pPr>
        <w:pStyle w:val="SingleTxt"/>
        <w:rPr>
          <w:rFonts w:hint="cs"/>
          <w:rtl/>
        </w:rPr>
      </w:pPr>
      <w:r>
        <w:rPr>
          <w:rFonts w:hint="cs"/>
          <w:rtl/>
        </w:rPr>
        <w:t xml:space="preserve">حكومة توفالو، وزارة شؤون الوطن والتنمية الريفية، (عام 1997)، قانون الفالي كابيول لعام 1997 </w:t>
      </w:r>
    </w:p>
    <w:p w:rsidR="009C35E0" w:rsidRDefault="009C35E0" w:rsidP="004008B9">
      <w:pPr>
        <w:pStyle w:val="SingleTxt"/>
        <w:rPr>
          <w:rFonts w:hint="cs"/>
          <w:rtl/>
        </w:rPr>
      </w:pPr>
      <w:r>
        <w:rPr>
          <w:rFonts w:hint="cs"/>
          <w:rtl/>
        </w:rPr>
        <w:t>حكومة توفالو، لجنة الخدمة العامة، (عام 2006)،</w:t>
      </w:r>
      <w:r w:rsidRPr="009F2DAF">
        <w:rPr>
          <w:szCs w:val="20"/>
        </w:rPr>
        <w:t xml:space="preserve">Civil Lists 2001-2004 </w:t>
      </w:r>
      <w:r w:rsidRPr="009F2DAF">
        <w:rPr>
          <w:rFonts w:hint="cs"/>
          <w:szCs w:val="20"/>
          <w:rtl/>
        </w:rPr>
        <w:t xml:space="preserve"> </w:t>
      </w:r>
      <w:r w:rsidRPr="00815B3C">
        <w:rPr>
          <w:rFonts w:hint="cs"/>
          <w:rtl/>
        </w:rPr>
        <w:t>(ق</w:t>
      </w:r>
      <w:r>
        <w:rPr>
          <w:rFonts w:hint="cs"/>
          <w:rtl/>
        </w:rPr>
        <w:t>ائمة الخدمة المدنية)، الفترة 2001</w:t>
      </w:r>
      <w:r w:rsidR="00084D51">
        <w:rPr>
          <w:rtl/>
        </w:rPr>
        <w:t>-</w:t>
      </w:r>
      <w:r>
        <w:rPr>
          <w:rFonts w:hint="cs"/>
          <w:rtl/>
        </w:rPr>
        <w:t xml:space="preserve">2004 </w:t>
      </w:r>
    </w:p>
    <w:p w:rsidR="009C35E0" w:rsidRDefault="009C35E0" w:rsidP="004008B9">
      <w:pPr>
        <w:pStyle w:val="SingleTxt"/>
        <w:rPr>
          <w:rFonts w:hint="cs"/>
          <w:rtl/>
        </w:rPr>
      </w:pPr>
      <w:r w:rsidRPr="0056227B">
        <w:t>Griffen, V., (2006) Gender Relations in the Pacific Cultures and their Impact on the Growth and Development of Children: Paper prepared for a seminar on “Children’s Rights and Culture in the Pacific”, Suva</w:t>
      </w:r>
    </w:p>
    <w:p w:rsidR="009C35E0" w:rsidRDefault="009C35E0" w:rsidP="004008B9">
      <w:pPr>
        <w:pStyle w:val="SingleTxt"/>
        <w:rPr>
          <w:rFonts w:hint="cs"/>
          <w:rtl/>
        </w:rPr>
      </w:pPr>
      <w:r>
        <w:rPr>
          <w:rFonts w:hint="cs"/>
          <w:rtl/>
        </w:rPr>
        <w:t>تقرير المؤتمر الدولي للسكان والتنمية عن التقدم في منطقة المحيط الهادئ، المؤتمر الدولي للسكان والتنمية +10</w:t>
      </w:r>
    </w:p>
    <w:p w:rsidR="009C35E0" w:rsidRDefault="009C35E0" w:rsidP="004008B9">
      <w:pPr>
        <w:pStyle w:val="SingleTxt"/>
        <w:rPr>
          <w:rFonts w:hint="cs"/>
          <w:rtl/>
        </w:rPr>
      </w:pPr>
      <w:r w:rsidRPr="0056227B">
        <w:t xml:space="preserve">Jalal, P. I. (1998), Law for Pacific Women: A Legal Rights Handbook, Fiji Women’s Rights </w:t>
      </w:r>
      <w:r w:rsidRPr="0056227B">
        <w:tab/>
        <w:t>Movement, Suva</w:t>
      </w:r>
    </w:p>
    <w:p w:rsidR="009C35E0" w:rsidRDefault="009C35E0" w:rsidP="004008B9">
      <w:pPr>
        <w:pStyle w:val="SingleTxt"/>
        <w:rPr>
          <w:rFonts w:hint="cs"/>
          <w:rtl/>
        </w:rPr>
      </w:pPr>
      <w:r w:rsidRPr="0056227B">
        <w:t>Jivan, V. &amp; Forster, C. (2006) “</w:t>
      </w:r>
      <w:smartTag w:uri="urn:schemas-microsoft-com:office:smarttags" w:element="country-region">
        <w:smartTag w:uri="urn:schemas-microsoft-com:office:smarttags" w:element="place">
          <w:r w:rsidRPr="0056227B">
            <w:t>Tuvalu</w:t>
          </w:r>
        </w:smartTag>
      </w:smartTag>
      <w:r w:rsidRPr="0056227B">
        <w:t xml:space="preserve">”, in V. Jivan and C. Forster, ‘Translating CEDAW Into Law: CEDAW Legislative Compliance in Nine (9) </w:t>
      </w:r>
      <w:smartTag w:uri="urn:schemas-microsoft-com:office:smarttags" w:element="place">
        <w:smartTag w:uri="urn:schemas-microsoft-com:office:smarttags" w:element="PlaceName">
          <w:r w:rsidRPr="0056227B">
            <w:t>Pacific</w:t>
          </w:r>
        </w:smartTag>
        <w:r w:rsidRPr="0056227B">
          <w:t xml:space="preserve"> </w:t>
        </w:r>
        <w:smartTag w:uri="urn:schemas-microsoft-com:office:smarttags" w:element="PlaceType">
          <w:r w:rsidRPr="0056227B">
            <w:t>Island</w:t>
          </w:r>
        </w:smartTag>
      </w:smartTag>
      <w:r w:rsidRPr="0056227B">
        <w:t xml:space="preserve"> Countries”, UNDP and UNIFEM Pacific, </w:t>
      </w:r>
      <w:smartTag w:uri="urn:schemas-microsoft-com:office:smarttags" w:element="City">
        <w:smartTag w:uri="urn:schemas-microsoft-com:office:smarttags" w:element="place">
          <w:r w:rsidRPr="0056227B">
            <w:t>Suva</w:t>
          </w:r>
        </w:smartTag>
      </w:smartTag>
      <w:r w:rsidRPr="0056227B">
        <w:t>: 357 - 386</w:t>
      </w:r>
    </w:p>
    <w:p w:rsidR="009C35E0" w:rsidRDefault="009C35E0" w:rsidP="004008B9">
      <w:pPr>
        <w:pStyle w:val="SingleTxt"/>
        <w:rPr>
          <w:rFonts w:hint="cs"/>
          <w:rtl/>
        </w:rPr>
      </w:pPr>
      <w:r w:rsidRPr="0056227B">
        <w:t xml:space="preserve">Kofe, S. etal (2006), “A Woman’s Place is in the House </w:t>
      </w:r>
      <w:r w:rsidR="00084D51">
        <w:t>-</w:t>
      </w:r>
      <w:r w:rsidRPr="0056227B">
        <w:t xml:space="preserve"> the House of Parliament, Research to Advance Women’s Political Representation in Forum Island Countries, A Regional Study Presented in Five Reports”, Pacific Islands Forum Secretariat Suva</w:t>
      </w:r>
    </w:p>
    <w:p w:rsidR="009C35E0" w:rsidRPr="004008B9" w:rsidRDefault="009C35E0" w:rsidP="004008B9">
      <w:pPr>
        <w:pStyle w:val="SingleTxt"/>
        <w:rPr>
          <w:rFonts w:hint="cs"/>
          <w:w w:val="90"/>
          <w:szCs w:val="20"/>
          <w:rtl/>
        </w:rPr>
      </w:pPr>
      <w:r w:rsidRPr="004008B9">
        <w:rPr>
          <w:rFonts w:hint="cs"/>
          <w:w w:val="90"/>
          <w:rtl/>
        </w:rPr>
        <w:t xml:space="preserve">مؤسسة المحيط الهادئ للنهوض بالمرأة، (عام 2000)، </w:t>
      </w:r>
      <w:r w:rsidRPr="004008B9">
        <w:rPr>
          <w:w w:val="90"/>
          <w:szCs w:val="20"/>
        </w:rPr>
        <w:t>Tuvalu CEDAW Shadow Report, Suva</w:t>
      </w:r>
    </w:p>
    <w:p w:rsidR="009C35E0" w:rsidRDefault="009C35E0" w:rsidP="004008B9">
      <w:pPr>
        <w:pStyle w:val="SingleTxt"/>
        <w:rPr>
          <w:rFonts w:hint="cs"/>
          <w:szCs w:val="20"/>
          <w:rtl/>
        </w:rPr>
      </w:pPr>
      <w:r>
        <w:rPr>
          <w:rFonts w:hint="cs"/>
          <w:sz w:val="32"/>
          <w:rtl/>
        </w:rPr>
        <w:t>أمانة جماعة المحيط الهادئ، (عام 2005)،</w:t>
      </w:r>
      <w:r w:rsidRPr="009F2DAF">
        <w:rPr>
          <w:szCs w:val="20"/>
        </w:rPr>
        <w:t xml:space="preserve">Tuvalu 2002: Population and Housing Census. Volume 1. Analytical Report, 1991-2002.  </w:t>
      </w:r>
      <w:smartTag w:uri="urn:schemas-microsoft-com:office:smarttags" w:element="place">
        <w:smartTag w:uri="urn:schemas-microsoft-com:office:smarttags" w:element="City">
          <w:r w:rsidRPr="009F2DAF">
            <w:rPr>
              <w:szCs w:val="20"/>
            </w:rPr>
            <w:t>Noumea</w:t>
          </w:r>
        </w:smartTag>
        <w:r w:rsidRPr="009F2DAF">
          <w:rPr>
            <w:szCs w:val="20"/>
          </w:rPr>
          <w:t xml:space="preserve">, </w:t>
        </w:r>
        <w:smartTag w:uri="urn:schemas-microsoft-com:office:smarttags" w:element="State">
          <w:r w:rsidRPr="009F2DAF">
            <w:rPr>
              <w:szCs w:val="20"/>
            </w:rPr>
            <w:t>New Caledonia</w:t>
          </w:r>
        </w:smartTag>
      </w:smartTag>
      <w:r w:rsidRPr="009F2DAF">
        <w:rPr>
          <w:szCs w:val="20"/>
        </w:rPr>
        <w:t>: Secretariat of the Pacific Community, Noumea</w:t>
      </w:r>
    </w:p>
    <w:p w:rsidR="009C35E0" w:rsidRDefault="009C35E0" w:rsidP="004008B9">
      <w:pPr>
        <w:pStyle w:val="SingleTxt"/>
        <w:rPr>
          <w:rFonts w:hint="cs"/>
          <w:szCs w:val="20"/>
          <w:rtl/>
        </w:rPr>
      </w:pPr>
      <w:r>
        <w:rPr>
          <w:rFonts w:hint="cs"/>
          <w:sz w:val="32"/>
          <w:rtl/>
        </w:rPr>
        <w:t>أمانة جماعة المحيط الهادئ، (عام 2005)،</w:t>
      </w:r>
      <w:r w:rsidRPr="009F2DAF">
        <w:rPr>
          <w:szCs w:val="20"/>
        </w:rPr>
        <w:t xml:space="preserve">Tuvalu 2002: Population and Housing Census.  Volume 2.  Demographic Profile, 1991-2002. </w:t>
      </w:r>
      <w:smartTag w:uri="urn:schemas-microsoft-com:office:smarttags" w:element="place">
        <w:smartTag w:uri="urn:schemas-microsoft-com:office:smarttags" w:element="City">
          <w:r w:rsidRPr="009F2DAF">
            <w:rPr>
              <w:szCs w:val="20"/>
            </w:rPr>
            <w:t>Noumea</w:t>
          </w:r>
        </w:smartTag>
        <w:r w:rsidRPr="009F2DAF">
          <w:rPr>
            <w:szCs w:val="20"/>
          </w:rPr>
          <w:t xml:space="preserve">, </w:t>
        </w:r>
        <w:smartTag w:uri="urn:schemas-microsoft-com:office:smarttags" w:element="State">
          <w:r w:rsidRPr="009F2DAF">
            <w:rPr>
              <w:szCs w:val="20"/>
            </w:rPr>
            <w:t>New Caledonia</w:t>
          </w:r>
        </w:smartTag>
      </w:smartTag>
      <w:r w:rsidRPr="009F2DAF">
        <w:rPr>
          <w:szCs w:val="20"/>
        </w:rPr>
        <w:t>: Secretariat of the Pacific Community, Noumea</w:t>
      </w:r>
    </w:p>
    <w:p w:rsidR="009C35E0" w:rsidRDefault="009C35E0" w:rsidP="004008B9">
      <w:pPr>
        <w:pStyle w:val="SingleTxt"/>
        <w:rPr>
          <w:rFonts w:hint="cs"/>
          <w:szCs w:val="20"/>
          <w:rtl/>
        </w:rPr>
      </w:pPr>
      <w:r>
        <w:rPr>
          <w:rFonts w:hint="cs"/>
          <w:sz w:val="32"/>
          <w:rtl/>
        </w:rPr>
        <w:t>أمانة جماعة المحيط الهادئ، (عام 2004)،</w:t>
      </w:r>
      <w:r w:rsidRPr="00684EAE">
        <w:rPr>
          <w:szCs w:val="20"/>
        </w:rPr>
        <w:t xml:space="preserve">Pacific Islands Regional Millennium Development Goals Report, Noumea </w:t>
      </w:r>
    </w:p>
    <w:p w:rsidR="009C35E0" w:rsidRDefault="009C35E0" w:rsidP="004008B9">
      <w:pPr>
        <w:pStyle w:val="SingleTxt"/>
        <w:rPr>
          <w:rFonts w:hint="cs"/>
          <w:rtl/>
        </w:rPr>
      </w:pPr>
      <w:r>
        <w:rPr>
          <w:rFonts w:hint="cs"/>
          <w:rtl/>
        </w:rPr>
        <w:t>صندوق توفالو الوطني للادخار، (عام 2006)، تقارير لم تنشر، فونافوتي</w:t>
      </w:r>
    </w:p>
    <w:p w:rsidR="009C35E0" w:rsidRDefault="009C35E0" w:rsidP="004008B9">
      <w:pPr>
        <w:pStyle w:val="SingleTxt"/>
        <w:rPr>
          <w:rFonts w:hint="cs"/>
          <w:szCs w:val="20"/>
          <w:rtl/>
        </w:rPr>
      </w:pPr>
      <w:r>
        <w:rPr>
          <w:rFonts w:hint="cs"/>
          <w:sz w:val="32"/>
          <w:rtl/>
        </w:rPr>
        <w:t>برنامج الأمم المتحدة الإنمائي، (عام 2003)،</w:t>
      </w:r>
      <w:r w:rsidRPr="009F2DAF">
        <w:rPr>
          <w:szCs w:val="20"/>
        </w:rPr>
        <w:t xml:space="preserve"> </w:t>
      </w:r>
      <w:r>
        <w:rPr>
          <w:szCs w:val="20"/>
        </w:rPr>
        <w:t xml:space="preserve">Common Country Assessment Report for Tuvalu 2003 </w:t>
      </w:r>
    </w:p>
    <w:p w:rsidR="009C35E0" w:rsidRDefault="009C35E0" w:rsidP="004008B9">
      <w:pPr>
        <w:pStyle w:val="SingleTxt"/>
        <w:rPr>
          <w:rFonts w:hint="cs"/>
          <w:rtl/>
        </w:rPr>
      </w:pPr>
      <w:r>
        <w:rPr>
          <w:rFonts w:hint="cs"/>
          <w:rtl/>
        </w:rPr>
        <w:t>برنامج الأمم المتحدة الإنمائي، سوفا</w:t>
      </w:r>
    </w:p>
    <w:p w:rsidR="009C35E0" w:rsidRDefault="009C35E0" w:rsidP="004008B9">
      <w:pPr>
        <w:pStyle w:val="SingleTxt"/>
        <w:rPr>
          <w:rFonts w:hint="cs"/>
          <w:szCs w:val="20"/>
          <w:rtl/>
        </w:rPr>
      </w:pPr>
      <w:r>
        <w:rPr>
          <w:rFonts w:hint="cs"/>
          <w:sz w:val="32"/>
          <w:rtl/>
        </w:rPr>
        <w:t xml:space="preserve">برنامج الأمم المتحدة الإنمائي، (عام 2006)، </w:t>
      </w:r>
      <w:r>
        <w:rPr>
          <w:sz w:val="32"/>
        </w:rPr>
        <w:t xml:space="preserve"> </w:t>
      </w:r>
      <w:r>
        <w:rPr>
          <w:szCs w:val="20"/>
        </w:rPr>
        <w:t>Country Background Note,</w:t>
      </w:r>
      <w:r w:rsidRPr="00684EAE">
        <w:rPr>
          <w:szCs w:val="20"/>
        </w:rPr>
        <w:t xml:space="preserve"> UNDP RAPB Cluster Meeting</w:t>
      </w:r>
    </w:p>
    <w:p w:rsidR="009C35E0" w:rsidRDefault="009C35E0" w:rsidP="004008B9">
      <w:pPr>
        <w:pStyle w:val="SingleTxt"/>
        <w:rPr>
          <w:rFonts w:hint="cs"/>
          <w:szCs w:val="20"/>
          <w:rtl/>
        </w:rPr>
      </w:pPr>
      <w:r>
        <w:rPr>
          <w:rFonts w:hint="cs"/>
          <w:sz w:val="32"/>
          <w:rtl/>
        </w:rPr>
        <w:t xml:space="preserve">برنامج الأمم المتحدة الإنمائي، (عام 2006)، </w:t>
      </w:r>
      <w:r w:rsidRPr="00052753">
        <w:rPr>
          <w:szCs w:val="20"/>
        </w:rPr>
        <w:t>Tuvalu Legislative Needs Assessment Country visit Mission Report</w:t>
      </w:r>
    </w:p>
    <w:p w:rsidR="009C35E0" w:rsidRDefault="009C35E0" w:rsidP="004008B9">
      <w:pPr>
        <w:pStyle w:val="SingleTxt"/>
        <w:rPr>
          <w:rFonts w:hint="cs"/>
          <w:szCs w:val="20"/>
          <w:rtl/>
        </w:rPr>
      </w:pPr>
      <w:r>
        <w:rPr>
          <w:rFonts w:hint="cs"/>
          <w:rtl/>
        </w:rPr>
        <w:t xml:space="preserve">جامعة جنوب المحيط الهادئ، (عام 1998)، </w:t>
      </w:r>
      <w:r w:rsidRPr="0001635C">
        <w:rPr>
          <w:szCs w:val="20"/>
        </w:rPr>
        <w:t>PacLII</w:t>
      </w:r>
      <w:r>
        <w:rPr>
          <w:szCs w:val="20"/>
        </w:rPr>
        <w:t xml:space="preserve"> </w:t>
      </w:r>
    </w:p>
    <w:p w:rsidR="009C35E0" w:rsidRDefault="009C35E0" w:rsidP="004008B9">
      <w:pPr>
        <w:pStyle w:val="SingleTxt"/>
        <w:rPr>
          <w:rFonts w:hint="cs"/>
          <w:rtl/>
        </w:rPr>
      </w:pPr>
      <w:r>
        <w:rPr>
          <w:rFonts w:hint="cs"/>
          <w:rtl/>
        </w:rPr>
        <w:t>وزارة الخارجية الأمريكية، مذكرة معلومات عامة</w:t>
      </w:r>
    </w:p>
    <w:p w:rsidR="009C35E0" w:rsidRDefault="009C35E0" w:rsidP="004008B9">
      <w:pPr>
        <w:pStyle w:val="SingleTxt"/>
        <w:rPr>
          <w:rFonts w:hint="cs"/>
          <w:rtl/>
        </w:rPr>
      </w:pPr>
      <w:r>
        <w:rPr>
          <w:rFonts w:hint="cs"/>
          <w:rtl/>
        </w:rPr>
        <w:t xml:space="preserve">منظمة الصحة العالمية، (عام 2002) تقرير منظمة الصحة العالمية عام 2006 </w:t>
      </w:r>
    </w:p>
    <w:p w:rsidR="009C35E0" w:rsidRPr="00167B7C" w:rsidRDefault="004008B9" w:rsidP="004008B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ab/>
      </w:r>
      <w:r w:rsidR="009C35E0" w:rsidRPr="00167B7C">
        <w:rPr>
          <w:rFonts w:hint="cs"/>
          <w:rtl/>
        </w:rPr>
        <w:t>مواقع مفيدة على شبكة الإنترنت</w:t>
      </w:r>
    </w:p>
    <w:p w:rsidR="009C35E0" w:rsidRDefault="009C35E0" w:rsidP="00C72001">
      <w:pPr>
        <w:pStyle w:val="SingleTxt"/>
        <w:spacing w:line="240" w:lineRule="auto"/>
        <w:rPr>
          <w:rFonts w:hint="cs"/>
          <w:rtl/>
        </w:rPr>
      </w:pPr>
      <w:smartTag w:uri="urn:schemas-microsoft-com:office:smarttags" w:element="country-region">
        <w:smartTag w:uri="urn:schemas-microsoft-com:office:smarttags" w:element="place">
          <w:r w:rsidRPr="00774C57">
            <w:t>Tuvalu</w:t>
          </w:r>
        </w:smartTag>
      </w:smartTag>
      <w:r w:rsidRPr="00774C57">
        <w:t xml:space="preserve"> History </w:t>
      </w:r>
      <w:r w:rsidRPr="004008B9">
        <w:t>http://www.tuvaluislands.com/history.htm</w:t>
      </w:r>
    </w:p>
    <w:p w:rsidR="009C35E0" w:rsidRDefault="009C35E0" w:rsidP="00C72001">
      <w:pPr>
        <w:pStyle w:val="SingleTxt"/>
        <w:spacing w:line="240" w:lineRule="auto"/>
        <w:rPr>
          <w:rFonts w:hint="cs"/>
          <w:rtl/>
        </w:rPr>
      </w:pPr>
      <w:smartTag w:uri="urn:schemas-microsoft-com:office:smarttags" w:element="country-region">
        <w:smartTag w:uri="urn:schemas-microsoft-com:office:smarttags" w:element="place">
          <w:r w:rsidRPr="00774C57">
            <w:t>Tuvalu</w:t>
          </w:r>
        </w:smartTag>
      </w:smartTag>
      <w:r w:rsidRPr="00774C57">
        <w:t xml:space="preserve">- The Cycle of Life </w:t>
      </w:r>
      <w:r w:rsidR="004008B9" w:rsidRPr="004008B9">
        <w:t>http://www.janeresture.com/tu8/cycle_of_life.htm</w:t>
      </w:r>
    </w:p>
    <w:p w:rsidR="009C35E0" w:rsidRDefault="009C35E0" w:rsidP="00C72001">
      <w:pPr>
        <w:pStyle w:val="SingleTxt"/>
        <w:spacing w:line="240" w:lineRule="auto"/>
        <w:rPr>
          <w:rFonts w:hint="cs"/>
          <w:color w:val="0000FF"/>
          <w:u w:val="single"/>
          <w:rtl/>
        </w:rPr>
      </w:pPr>
      <w:smartTag w:uri="urn:schemas-microsoft-com:office:smarttags" w:element="country-region">
        <w:smartTag w:uri="urn:schemas-microsoft-com:office:smarttags" w:element="place">
          <w:r w:rsidRPr="00774C57">
            <w:t>Tuvalu</w:t>
          </w:r>
        </w:smartTag>
      </w:smartTag>
      <w:r w:rsidRPr="00774C57">
        <w:t xml:space="preserve"> Central Statistics Division </w:t>
      </w:r>
      <w:r w:rsidR="004008B9" w:rsidRPr="004008B9">
        <w:rPr>
          <w:color w:val="0000FF"/>
          <w:u w:val="single"/>
        </w:rPr>
        <w:t>http://www.spc.int/prism</w:t>
      </w:r>
    </w:p>
    <w:p w:rsidR="009C35E0" w:rsidRPr="00774C57" w:rsidRDefault="009C35E0" w:rsidP="00C72001">
      <w:pPr>
        <w:pStyle w:val="SingleTxt"/>
        <w:spacing w:line="240" w:lineRule="auto"/>
      </w:pPr>
      <w:r w:rsidRPr="00774C57">
        <w:t xml:space="preserve">USP PacLII </w:t>
      </w:r>
      <w:r w:rsidRPr="00774C57">
        <w:rPr>
          <w:i/>
        </w:rPr>
        <w:t xml:space="preserve">- </w:t>
      </w:r>
      <w:r w:rsidRPr="00774C57">
        <w:t>http://www.paclii.org/tv/legis/consol_act/eo202</w:t>
      </w:r>
    </w:p>
    <w:p w:rsidR="004008B9" w:rsidRPr="004008B9" w:rsidRDefault="004008B9" w:rsidP="004008B9">
      <w:pPr>
        <w:spacing w:line="120" w:lineRule="exact"/>
        <w:rPr>
          <w:rFonts w:hint="cs"/>
          <w:sz w:val="10"/>
          <w:szCs w:val="32"/>
          <w:rtl/>
        </w:rPr>
      </w:pPr>
    </w:p>
    <w:p w:rsidR="009C35E0" w:rsidRDefault="004008B9" w:rsidP="004008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9C35E0" w:rsidRPr="00B134BE">
        <w:rPr>
          <w:rFonts w:hint="cs"/>
          <w:rtl/>
        </w:rPr>
        <w:t>المصادر</w:t>
      </w:r>
    </w:p>
    <w:p w:rsidR="009C35E0" w:rsidRPr="00564CA0" w:rsidRDefault="009C35E0" w:rsidP="004008B9">
      <w:pPr>
        <w:pStyle w:val="SingleTxt"/>
        <w:rPr>
          <w:rFonts w:hint="cs"/>
          <w:rtl/>
        </w:rPr>
      </w:pPr>
      <w:r w:rsidRPr="00564CA0">
        <w:rPr>
          <w:rFonts w:hint="cs"/>
          <w:rtl/>
        </w:rPr>
        <w:t>حكومة فيجي،</w:t>
      </w:r>
      <w:r>
        <w:rPr>
          <w:rFonts w:hint="cs"/>
          <w:rtl/>
        </w:rPr>
        <w:t xml:space="preserve"> عام 2000، التقرير الأول</w:t>
      </w:r>
    </w:p>
    <w:p w:rsidR="009C35E0" w:rsidRPr="00564CA0" w:rsidRDefault="009C35E0" w:rsidP="004008B9">
      <w:pPr>
        <w:pStyle w:val="SingleTxt"/>
        <w:rPr>
          <w:rFonts w:hint="cs"/>
          <w:rtl/>
        </w:rPr>
      </w:pPr>
      <w:r w:rsidRPr="00564CA0">
        <w:rPr>
          <w:rFonts w:hint="cs"/>
          <w:rtl/>
        </w:rPr>
        <w:t>حكومة ساموا، عام 2003، التقرير المجمع الذي يضم التقريرين الدوريين الأول والثاني بشأن اتفاقية القضاء على جميع أشكال التمييز ضد المرأة</w:t>
      </w:r>
    </w:p>
    <w:p w:rsidR="009C35E0" w:rsidRDefault="009C35E0" w:rsidP="004008B9">
      <w:pPr>
        <w:pStyle w:val="SingleTxt"/>
        <w:rPr>
          <w:rFonts w:hint="cs"/>
          <w:rtl/>
        </w:rPr>
      </w:pPr>
      <w:r w:rsidRPr="00564CA0">
        <w:rPr>
          <w:rFonts w:hint="cs"/>
          <w:rtl/>
        </w:rPr>
        <w:t>حكومة فانواتو، عام 2005،</w:t>
      </w:r>
      <w:r>
        <w:rPr>
          <w:rFonts w:hint="cs"/>
          <w:rtl/>
        </w:rPr>
        <w:t xml:space="preserve"> </w:t>
      </w:r>
      <w:r w:rsidRPr="00564CA0">
        <w:rPr>
          <w:rFonts w:hint="cs"/>
          <w:rtl/>
        </w:rPr>
        <w:t>التقرير المجمع الذي يضم التقارير الدورية الأول والثاني والثالث بشأن اتفاقية القضاء على جميع أشكال التمييز ضد المرأة</w:t>
      </w:r>
    </w:p>
    <w:p w:rsidR="004008B9" w:rsidRPr="004008B9" w:rsidRDefault="004008B9" w:rsidP="004008B9">
      <w:pPr>
        <w:pStyle w:val="SingleTxt"/>
        <w:spacing w:after="0" w:line="120" w:lineRule="exact"/>
        <w:rPr>
          <w:rFonts w:hint="cs"/>
          <w:sz w:val="10"/>
          <w:rtl/>
        </w:rPr>
      </w:pPr>
    </w:p>
    <w:p w:rsidR="009C35E0" w:rsidRDefault="004008B9" w:rsidP="004008B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9C35E0" w:rsidRPr="00B134BE">
        <w:rPr>
          <w:rFonts w:hint="cs"/>
          <w:rtl/>
        </w:rPr>
        <w:t>مقابلات</w:t>
      </w:r>
    </w:p>
    <w:p w:rsidR="009C35E0" w:rsidRDefault="009C35E0" w:rsidP="00EC7C61">
      <w:pPr>
        <w:pStyle w:val="SingleTxt"/>
        <w:spacing w:line="240" w:lineRule="auto"/>
        <w:rPr>
          <w:rFonts w:hint="cs"/>
          <w:rtl/>
        </w:rPr>
      </w:pPr>
      <w:r w:rsidRPr="00460660">
        <w:t xml:space="preserve">Mr Kietoa Ulika, Manager Corporate Services, </w:t>
      </w:r>
      <w:smartTag w:uri="urn:schemas-microsoft-com:office:smarttags" w:element="country-region">
        <w:smartTag w:uri="urn:schemas-microsoft-com:office:smarttags" w:element="place">
          <w:r w:rsidRPr="00460660">
            <w:t>Tuvalu</w:t>
          </w:r>
        </w:smartTag>
      </w:smartTag>
      <w:r w:rsidRPr="00460660">
        <w:t xml:space="preserve"> National Provident Fund</w:t>
      </w:r>
    </w:p>
    <w:p w:rsidR="009C35E0" w:rsidRDefault="009C35E0" w:rsidP="00EC7C61">
      <w:pPr>
        <w:pStyle w:val="SingleTxt"/>
        <w:spacing w:line="240" w:lineRule="auto"/>
        <w:rPr>
          <w:rFonts w:hint="cs"/>
          <w:rtl/>
        </w:rPr>
      </w:pPr>
      <w:r w:rsidRPr="00460660">
        <w:t>Mr Faatasi, Director of Lands</w:t>
      </w:r>
    </w:p>
    <w:p w:rsidR="009C35E0" w:rsidRDefault="009C35E0" w:rsidP="00EC7C61">
      <w:pPr>
        <w:pStyle w:val="SingleTxt"/>
        <w:spacing w:line="240" w:lineRule="auto"/>
        <w:rPr>
          <w:rFonts w:hint="cs"/>
          <w:rtl/>
        </w:rPr>
      </w:pPr>
      <w:r w:rsidRPr="00460660">
        <w:t>Mr Iete Avanitele, Director of Rural Development</w:t>
      </w:r>
    </w:p>
    <w:p w:rsidR="009C35E0" w:rsidRDefault="009C35E0" w:rsidP="00EC7C61">
      <w:pPr>
        <w:pStyle w:val="SingleTxt"/>
        <w:spacing w:line="240" w:lineRule="auto"/>
        <w:rPr>
          <w:rFonts w:hint="cs"/>
          <w:rtl/>
        </w:rPr>
      </w:pPr>
      <w:r w:rsidRPr="00460660">
        <w:t>Mrs Katalina Taloka, Director of Education</w:t>
      </w:r>
    </w:p>
    <w:p w:rsidR="009C35E0" w:rsidRDefault="009C35E0" w:rsidP="00EC7C61">
      <w:pPr>
        <w:pStyle w:val="SingleTxt"/>
        <w:spacing w:line="240" w:lineRule="auto"/>
        <w:rPr>
          <w:rFonts w:hint="cs"/>
          <w:rtl/>
        </w:rPr>
      </w:pPr>
      <w:r w:rsidRPr="00460660">
        <w:t>Mr Afele Kitiona, Senior Magistrate</w:t>
      </w:r>
    </w:p>
    <w:p w:rsidR="00EC7C61" w:rsidRPr="00EC7C61" w:rsidRDefault="00EC7C61" w:rsidP="00EC7C61">
      <w:pPr>
        <w:pStyle w:val="SingleTxt"/>
        <w:spacing w:after="0" w:line="120" w:lineRule="exact"/>
        <w:rPr>
          <w:rFonts w:hint="cs"/>
          <w:sz w:val="10"/>
          <w:rtl/>
        </w:rPr>
      </w:pPr>
    </w:p>
    <w:p w:rsidR="009C35E0" w:rsidRDefault="00EC7C61" w:rsidP="00EC7C6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9C35E0" w:rsidRPr="00B134BE">
        <w:rPr>
          <w:rFonts w:hint="cs"/>
          <w:rtl/>
        </w:rPr>
        <w:t xml:space="preserve">المجتمعات المحلية التي </w:t>
      </w:r>
      <w:r w:rsidR="009C35E0">
        <w:rPr>
          <w:rFonts w:hint="cs"/>
          <w:rtl/>
        </w:rPr>
        <w:t>جرى التشاور معها</w:t>
      </w:r>
    </w:p>
    <w:p w:rsidR="009C35E0" w:rsidRDefault="009C35E0" w:rsidP="00EC7C61">
      <w:pPr>
        <w:pStyle w:val="SingleTxt"/>
        <w:spacing w:line="240" w:lineRule="auto"/>
        <w:rPr>
          <w:rFonts w:hint="cs"/>
          <w:rtl/>
        </w:rPr>
      </w:pPr>
      <w:r w:rsidRPr="00460660">
        <w:t>Nanumea Is. Falekaupule &amp; community</w:t>
      </w:r>
    </w:p>
    <w:p w:rsidR="009C35E0" w:rsidRDefault="009C35E0" w:rsidP="00EC7C61">
      <w:pPr>
        <w:pStyle w:val="SingleTxt"/>
        <w:spacing w:line="240" w:lineRule="auto"/>
        <w:rPr>
          <w:rFonts w:hint="cs"/>
          <w:rtl/>
        </w:rPr>
      </w:pPr>
      <w:r w:rsidRPr="00460660">
        <w:t xml:space="preserve">Nanumanga Is. Falekauple &amp; community </w:t>
      </w:r>
    </w:p>
    <w:p w:rsidR="009C35E0" w:rsidRDefault="009C35E0" w:rsidP="00EC7C61">
      <w:pPr>
        <w:pStyle w:val="SingleTxt"/>
        <w:spacing w:line="240" w:lineRule="auto"/>
        <w:rPr>
          <w:rFonts w:hint="cs"/>
          <w:rtl/>
        </w:rPr>
      </w:pPr>
      <w:r w:rsidRPr="00460660">
        <w:t>Niutao Is. Falekaupule</w:t>
      </w:r>
    </w:p>
    <w:p w:rsidR="009C35E0" w:rsidRDefault="009C35E0" w:rsidP="00EC7C61">
      <w:pPr>
        <w:pStyle w:val="SingleTxt"/>
        <w:spacing w:line="240" w:lineRule="auto"/>
        <w:rPr>
          <w:rFonts w:hint="cs"/>
          <w:rtl/>
        </w:rPr>
      </w:pPr>
      <w:r w:rsidRPr="00460660">
        <w:t>Vaitupu Is Falekauplue &amp; community</w:t>
      </w:r>
    </w:p>
    <w:p w:rsidR="009C35E0" w:rsidRDefault="009C35E0" w:rsidP="00EC7C61">
      <w:pPr>
        <w:pStyle w:val="SingleTxt"/>
        <w:spacing w:line="240" w:lineRule="auto"/>
        <w:rPr>
          <w:rFonts w:hint="cs"/>
          <w:rtl/>
        </w:rPr>
      </w:pPr>
      <w:r w:rsidRPr="00460660">
        <w:t>Nukufetau Is. Falekaupule</w:t>
      </w:r>
    </w:p>
    <w:p w:rsidR="009C35E0" w:rsidRDefault="009C35E0" w:rsidP="00EC7C61">
      <w:pPr>
        <w:pStyle w:val="SingleTxt"/>
        <w:spacing w:line="240" w:lineRule="auto"/>
        <w:rPr>
          <w:rFonts w:hint="cs"/>
          <w:rtl/>
        </w:rPr>
      </w:pPr>
      <w:smartTag w:uri="urn:schemas-microsoft-com:office:smarttags" w:element="place">
        <w:r w:rsidRPr="00460660">
          <w:t>Funafuti</w:t>
        </w:r>
      </w:smartTag>
      <w:r w:rsidRPr="00460660">
        <w:t xml:space="preserve"> Is.community</w:t>
      </w:r>
    </w:p>
    <w:p w:rsidR="00C72525" w:rsidRDefault="009C35E0" w:rsidP="00EC7C61">
      <w:pPr>
        <w:pStyle w:val="SingleTxt"/>
        <w:spacing w:line="240" w:lineRule="auto"/>
        <w:rPr>
          <w:rFonts w:hint="cs"/>
          <w:rtl/>
        </w:rPr>
      </w:pPr>
      <w:r w:rsidRPr="00460660">
        <w:t>Nukulaelae Is community</w:t>
      </w:r>
    </w:p>
    <w:p w:rsidR="00EC7C61" w:rsidRPr="00EC7C61" w:rsidRDefault="00EC7C61" w:rsidP="00EC7C61">
      <w:pPr>
        <w:pStyle w:val="SingleTxt"/>
        <w:spacing w:after="0" w:line="240" w:lineRule="auto"/>
        <w:rPr>
          <w:rFonts w:hint="cs"/>
          <w:rtl/>
        </w:rPr>
      </w:pPr>
      <w:r>
        <w:rPr>
          <w:rFonts w:hint="cs"/>
          <w:noProof/>
          <w:w w:val="100"/>
          <w:rtl/>
        </w:rPr>
        <w:pict>
          <v:line id="_x0000_s2628" style="position:absolute;left:0;text-align:left;z-index:62" from="206.6pt,24pt" to="278.6pt,24pt" strokeweight=".25pt"/>
        </w:pict>
      </w:r>
    </w:p>
    <w:sectPr w:rsidR="00EC7C61" w:rsidRPr="00EC7C61" w:rsidSect="006A747B">
      <w:endnotePr>
        <w:numFmt w:val="decimal"/>
      </w:endnotePr>
      <w:type w:val="continuous"/>
      <w:pgSz w:w="12240" w:h="15840" w:code="1"/>
      <w:pgMar w:top="1742" w:right="1195" w:bottom="1898" w:left="1195" w:header="576" w:footer="1030" w:gutter="0"/>
      <w:cols w:space="720"/>
      <w:noEndnote/>
      <w:bidi/>
      <w:rtlGutter/>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27T12:24:00Z" w:initials="Start">
    <w:p w:rsidR="00F93B21" w:rsidRDefault="00F93B2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NO&gt;&gt;N0849943A&lt;&lt;ODS JOB NO</w:t>
      </w:r>
      <w:r>
        <w:rPr>
          <w:rtl/>
        </w:rPr>
        <w:t>&gt;&gt;</w:t>
      </w:r>
    </w:p>
    <w:p w:rsidR="00F93B21" w:rsidRDefault="00F93B21">
      <w:pPr>
        <w:pStyle w:val="CommentText"/>
        <w:rPr>
          <w:rtl/>
        </w:rPr>
      </w:pPr>
      <w:r>
        <w:rPr>
          <w:rtl/>
        </w:rPr>
        <w:t>&lt;&lt;</w:t>
      </w:r>
      <w:r>
        <w:t>ODS DOC SYMBOL1&gt;&gt;CEDAW/C/TUV/2&lt;&lt;ODS DOC SYMBOL1</w:t>
      </w:r>
      <w:r>
        <w:rPr>
          <w:rtl/>
        </w:rPr>
        <w:t>&gt;&gt;</w:t>
      </w:r>
    </w:p>
    <w:p w:rsidR="00F93B21" w:rsidRDefault="00F93B2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722" w:rsidRDefault="00E94722" w:rsidP="006A747B">
      <w:r>
        <w:separator/>
      </w:r>
    </w:p>
  </w:endnote>
  <w:endnote w:type="continuationSeparator" w:id="0">
    <w:p w:rsidR="00E94722" w:rsidRDefault="00E94722" w:rsidP="006A7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3B21">
      <w:tblPrEx>
        <w:tblCellMar>
          <w:top w:w="0" w:type="dxa"/>
          <w:bottom w:w="0" w:type="dxa"/>
        </w:tblCellMar>
      </w:tblPrEx>
      <w:tc>
        <w:tcPr>
          <w:tcW w:w="5033" w:type="dxa"/>
          <w:shd w:val="clear" w:color="auto" w:fill="auto"/>
        </w:tcPr>
        <w:p w:rsidR="00F93B21" w:rsidRPr="006A747B" w:rsidRDefault="00F93B21" w:rsidP="006A747B">
          <w:pPr>
            <w:pStyle w:val="Footer"/>
            <w:jc w:val="right"/>
            <w:rPr>
              <w:w w:val="103"/>
            </w:rPr>
          </w:pPr>
          <w:r>
            <w:rPr>
              <w:w w:val="103"/>
            </w:rPr>
            <w:fldChar w:fldCharType="begin"/>
          </w:r>
          <w:r>
            <w:rPr>
              <w:w w:val="103"/>
            </w:rPr>
            <w:instrText xml:space="preserve"> PAGE  \* MERGEFORMAT </w:instrText>
          </w:r>
          <w:r>
            <w:rPr>
              <w:w w:val="103"/>
            </w:rPr>
            <w:fldChar w:fldCharType="separate"/>
          </w:r>
          <w:r w:rsidR="00E84403">
            <w:rPr>
              <w:w w:val="103"/>
            </w:rPr>
            <w:t>8</w:t>
          </w:r>
          <w:r>
            <w:rPr>
              <w:w w:val="103"/>
            </w:rPr>
            <w:fldChar w:fldCharType="end"/>
          </w:r>
        </w:p>
      </w:tc>
      <w:tc>
        <w:tcPr>
          <w:tcW w:w="5033" w:type="dxa"/>
          <w:shd w:val="clear" w:color="auto" w:fill="auto"/>
        </w:tcPr>
        <w:p w:rsidR="00F93B21" w:rsidRPr="006A747B" w:rsidRDefault="00F93B21" w:rsidP="006A747B">
          <w:pPr>
            <w:pStyle w:val="Footer"/>
            <w:rPr>
              <w:b w:val="0"/>
              <w:w w:val="103"/>
            </w:rPr>
          </w:pPr>
          <w:r>
            <w:rPr>
              <w:b w:val="0"/>
              <w:w w:val="103"/>
            </w:rPr>
            <w:t>08-49943</w:t>
          </w:r>
        </w:p>
      </w:tc>
    </w:tr>
  </w:tbl>
  <w:p w:rsidR="00F93B21" w:rsidRPr="006A747B" w:rsidRDefault="00F93B21" w:rsidP="006A74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93B21">
      <w:tblPrEx>
        <w:tblCellMar>
          <w:top w:w="0" w:type="dxa"/>
          <w:bottom w:w="0" w:type="dxa"/>
        </w:tblCellMar>
      </w:tblPrEx>
      <w:tc>
        <w:tcPr>
          <w:tcW w:w="5033" w:type="dxa"/>
          <w:shd w:val="clear" w:color="auto" w:fill="auto"/>
        </w:tcPr>
        <w:p w:rsidR="00F93B21" w:rsidRPr="006A747B" w:rsidRDefault="00F93B21" w:rsidP="006A747B">
          <w:pPr>
            <w:pStyle w:val="Footer"/>
            <w:jc w:val="right"/>
            <w:rPr>
              <w:b w:val="0"/>
              <w:w w:val="103"/>
            </w:rPr>
          </w:pPr>
          <w:r>
            <w:rPr>
              <w:b w:val="0"/>
              <w:w w:val="103"/>
            </w:rPr>
            <w:t>08-49943</w:t>
          </w:r>
        </w:p>
      </w:tc>
      <w:tc>
        <w:tcPr>
          <w:tcW w:w="5033" w:type="dxa"/>
          <w:shd w:val="clear" w:color="auto" w:fill="auto"/>
        </w:tcPr>
        <w:p w:rsidR="00F93B21" w:rsidRPr="006A747B" w:rsidRDefault="00F93B21" w:rsidP="006A747B">
          <w:pPr>
            <w:pStyle w:val="Footer"/>
            <w:rPr>
              <w:w w:val="103"/>
            </w:rPr>
          </w:pPr>
          <w:r>
            <w:rPr>
              <w:w w:val="103"/>
            </w:rPr>
            <w:fldChar w:fldCharType="begin"/>
          </w:r>
          <w:r>
            <w:rPr>
              <w:w w:val="103"/>
            </w:rPr>
            <w:instrText xml:space="preserve"> PAGE  \* MERGEFORMAT </w:instrText>
          </w:r>
          <w:r>
            <w:rPr>
              <w:w w:val="103"/>
            </w:rPr>
            <w:fldChar w:fldCharType="separate"/>
          </w:r>
          <w:r w:rsidR="00E84403">
            <w:rPr>
              <w:w w:val="103"/>
            </w:rPr>
            <w:t>9</w:t>
          </w:r>
          <w:r>
            <w:rPr>
              <w:w w:val="103"/>
            </w:rPr>
            <w:fldChar w:fldCharType="end"/>
          </w:r>
        </w:p>
      </w:tc>
    </w:tr>
  </w:tbl>
  <w:p w:rsidR="00F93B21" w:rsidRPr="006A747B" w:rsidRDefault="00F93B21" w:rsidP="006A74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21" w:rsidRDefault="00F93B21">
    <w:pPr>
      <w:pStyle w:val="Footer"/>
    </w:pPr>
  </w:p>
  <w:p w:rsidR="00F93B21" w:rsidRDefault="00F93B21" w:rsidP="00255A79">
    <w:pPr>
      <w:pStyle w:val="Footer"/>
      <w:jc w:val="right"/>
      <w:rPr>
        <w:rFonts w:cs="Times New Roman"/>
        <w:b w:val="0"/>
        <w:w w:val="103"/>
        <w:sz w:val="20"/>
      </w:rPr>
    </w:pPr>
    <w:r>
      <w:rPr>
        <w:rFonts w:cs="Times New Roman"/>
        <w:b w:val="0"/>
        <w:w w:val="103"/>
        <w:sz w:val="20"/>
      </w:rPr>
      <w:t>071108    041108    08-49943 (A)</w:t>
    </w:r>
  </w:p>
  <w:p w:rsidR="00F93B21" w:rsidRPr="00941CB7" w:rsidRDefault="00F93B21" w:rsidP="006A747B">
    <w:pPr>
      <w:pStyle w:val="Footer"/>
      <w:spacing w:before="80"/>
      <w:jc w:val="right"/>
      <w:rPr>
        <w:rFonts w:ascii="Barcode 3 of 9 by request" w:hAnsi="Barcode 3 of 9 by request" w:cs="Times New Roman"/>
        <w:b w:val="0"/>
        <w:sz w:val="24"/>
      </w:rPr>
    </w:pPr>
    <w:r w:rsidRPr="00941CB7">
      <w:rPr>
        <w:rFonts w:ascii="Barcode 3 of 9 by request" w:hAnsi="Barcode 3 of 9 by request" w:cs="Times New Roman"/>
        <w:b w:val="0"/>
        <w:sz w:val="24"/>
      </w:rPr>
      <w:t>*0849943*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722" w:rsidRPr="002F3208" w:rsidRDefault="00E94722" w:rsidP="002F3208">
      <w:pPr>
        <w:pStyle w:val="Footer"/>
        <w:bidi/>
        <w:spacing w:after="80"/>
        <w:ind w:left="792"/>
        <w:rPr>
          <w:sz w:val="16"/>
        </w:rPr>
      </w:pPr>
      <w:r w:rsidRPr="002F3208">
        <w:rPr>
          <w:sz w:val="16"/>
          <w:rtl/>
        </w:rPr>
        <w:t>__________</w:t>
      </w:r>
    </w:p>
  </w:footnote>
  <w:footnote w:type="continuationSeparator" w:id="0">
    <w:p w:rsidR="00E94722" w:rsidRPr="002F3208" w:rsidRDefault="00E94722" w:rsidP="002F3208">
      <w:pPr>
        <w:pStyle w:val="Footer"/>
        <w:spacing w:after="80"/>
        <w:ind w:left="792"/>
        <w:rPr>
          <w:sz w:val="16"/>
        </w:rPr>
      </w:pPr>
      <w:r w:rsidRPr="002F3208">
        <w:rPr>
          <w:sz w:val="16"/>
        </w:rPr>
        <w:t>__________</w:t>
      </w:r>
    </w:p>
  </w:footnote>
  <w:footnote w:id="1">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2E1A63">
        <w:rPr>
          <w:rFonts w:hint="cs"/>
          <w:sz w:val="24"/>
          <w:szCs w:val="24"/>
          <w:rtl/>
        </w:rPr>
        <w:t xml:space="preserve"> تاريخ توفالو الموجز، الموقع على شبكة الإنترنت </w:t>
      </w:r>
      <w:r w:rsidRPr="00BD4B4E">
        <w:rPr>
          <w:rFonts w:hint="cs"/>
          <w:rtl/>
        </w:rPr>
        <w:t xml:space="preserve"> </w:t>
      </w:r>
      <w:r w:rsidRPr="006262E2">
        <w:rPr>
          <w:color w:val="0000FF"/>
          <w:sz w:val="16"/>
          <w:szCs w:val="16"/>
        </w:rPr>
        <w:t>http://www.tuvaluislands.com/history.htm</w:t>
      </w:r>
      <w:r>
        <w:rPr>
          <w:rFonts w:hint="cs"/>
          <w:color w:val="0000FF"/>
          <w:sz w:val="16"/>
          <w:szCs w:val="16"/>
          <w:rtl/>
        </w:rPr>
        <w:t>.</w:t>
      </w:r>
    </w:p>
  </w:footnote>
  <w:footnote w:id="2">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2E1A63">
        <w:rPr>
          <w:rFonts w:hint="cs"/>
          <w:sz w:val="24"/>
          <w:szCs w:val="24"/>
          <w:rtl/>
        </w:rPr>
        <w:t xml:space="preserve"> المرجع نفسه.</w:t>
      </w:r>
    </w:p>
  </w:footnote>
  <w:footnote w:id="3">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2E1A63">
        <w:rPr>
          <w:rFonts w:hint="cs"/>
          <w:sz w:val="24"/>
          <w:szCs w:val="24"/>
          <w:rtl/>
        </w:rPr>
        <w:t xml:space="preserve"> وزارة الخارجية الأمريكية، مذكرة معلومات عامة</w:t>
      </w:r>
      <w:r>
        <w:rPr>
          <w:rFonts w:hint="cs"/>
          <w:sz w:val="24"/>
          <w:szCs w:val="24"/>
          <w:rtl/>
        </w:rPr>
        <w:t>.</w:t>
      </w:r>
    </w:p>
  </w:footnote>
  <w:footnote w:id="4">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2E1A63">
        <w:rPr>
          <w:rFonts w:hint="cs"/>
          <w:sz w:val="24"/>
          <w:szCs w:val="24"/>
          <w:rtl/>
        </w:rPr>
        <w:t xml:space="preserve"> شامبيرز وشامبيرز، عام 2001</w:t>
      </w:r>
      <w:r>
        <w:rPr>
          <w:rFonts w:hint="cs"/>
          <w:sz w:val="24"/>
          <w:szCs w:val="24"/>
          <w:rtl/>
        </w:rPr>
        <w:t>.</w:t>
      </w:r>
    </w:p>
  </w:footnote>
  <w:footnote w:id="5">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2E1A63">
        <w:rPr>
          <w:rFonts w:hint="cs"/>
          <w:sz w:val="24"/>
          <w:szCs w:val="24"/>
          <w:rtl/>
        </w:rPr>
        <w:t xml:space="preserve"> مذكرة معلومات عامة عن البلد، اجتماع برنامج الأمم المتحدة الإنمائي دون الإقليمي </w:t>
      </w:r>
      <w:r w:rsidRPr="00CE4285">
        <w:t>RABP</w:t>
      </w:r>
      <w:r w:rsidRPr="002E1A63">
        <w:rPr>
          <w:rFonts w:hint="cs"/>
          <w:sz w:val="24"/>
          <w:szCs w:val="24"/>
          <w:rtl/>
        </w:rPr>
        <w:t xml:space="preserve"> </w:t>
      </w:r>
      <w:r>
        <w:rPr>
          <w:sz w:val="24"/>
          <w:szCs w:val="24"/>
          <w:rtl/>
        </w:rPr>
        <w:t>-</w:t>
      </w:r>
      <w:r w:rsidRPr="002E1A63">
        <w:rPr>
          <w:rFonts w:hint="cs"/>
          <w:sz w:val="24"/>
          <w:szCs w:val="24"/>
          <w:rtl/>
        </w:rPr>
        <w:t xml:space="preserve"> 15 إلى 16 تشرين الثاني/نوفمبر 2006</w:t>
      </w:r>
      <w:r>
        <w:rPr>
          <w:rFonts w:hint="cs"/>
          <w:sz w:val="24"/>
          <w:szCs w:val="24"/>
          <w:rtl/>
        </w:rPr>
        <w:t>.</w:t>
      </w:r>
    </w:p>
  </w:footnote>
  <w:footnote w:id="6">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sidRPr="00E32778">
        <w:rPr>
          <w:rFonts w:hint="cs"/>
          <w:sz w:val="24"/>
          <w:szCs w:val="24"/>
          <w:rtl/>
        </w:rPr>
        <w:t xml:space="preserve">نبات البولاتة </w:t>
      </w:r>
      <w:r>
        <w:rPr>
          <w:rFonts w:hint="cs"/>
          <w:sz w:val="24"/>
          <w:szCs w:val="24"/>
          <w:rtl/>
        </w:rPr>
        <w:t>-</w:t>
      </w:r>
      <w:r w:rsidRPr="00E32778">
        <w:rPr>
          <w:rFonts w:hint="cs"/>
          <w:sz w:val="24"/>
          <w:szCs w:val="24"/>
          <w:rtl/>
        </w:rPr>
        <w:t xml:space="preserve"> محصول جزري تقليدي.</w:t>
      </w:r>
    </w:p>
  </w:footnote>
  <w:footnote w:id="7">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E32778">
        <w:rPr>
          <w:rFonts w:hint="cs"/>
          <w:sz w:val="24"/>
          <w:szCs w:val="24"/>
          <w:rtl/>
        </w:rPr>
        <w:t xml:space="preserve"> تقرير توفالو عن الأهداف الإنمائية للألفية، عام 2004.</w:t>
      </w:r>
    </w:p>
  </w:footnote>
  <w:footnote w:id="8">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rtl/>
        </w:rPr>
        <w:t>(</w:t>
      </w:r>
      <w:r w:rsidRPr="007D15B0">
        <w:rPr>
          <w:rStyle w:val="FootnoteReference"/>
          <w:spacing w:val="0"/>
          <w:w w:val="103"/>
          <w:vertAlign w:val="baseline"/>
          <w:rtl/>
        </w:rPr>
        <w:footnoteRef/>
      </w:r>
      <w:r w:rsidRPr="007D15B0">
        <w:rPr>
          <w:w w:val="103"/>
          <w:rtl/>
        </w:rPr>
        <w:t>)</w:t>
      </w:r>
      <w:r w:rsidRPr="007D15B0">
        <w:rPr>
          <w:w w:val="103"/>
          <w:rtl/>
        </w:rPr>
        <w:tab/>
      </w:r>
      <w:r>
        <w:rPr>
          <w:rFonts w:hint="cs"/>
          <w:sz w:val="24"/>
          <w:szCs w:val="24"/>
          <w:rtl/>
        </w:rPr>
        <w:t>انظر</w:t>
      </w:r>
      <w:r w:rsidRPr="00E32778">
        <w:rPr>
          <w:rFonts w:hint="cs"/>
          <w:sz w:val="24"/>
          <w:szCs w:val="24"/>
          <w:rtl/>
        </w:rPr>
        <w:t xml:space="preserve"> سجلات مكتب الأرصاد الجوية</w:t>
      </w:r>
      <w:r>
        <w:rPr>
          <w:rFonts w:hint="cs"/>
          <w:sz w:val="24"/>
          <w:szCs w:val="24"/>
          <w:rtl/>
        </w:rPr>
        <w:t>.</w:t>
      </w:r>
    </w:p>
  </w:footnote>
  <w:footnote w:id="9">
    <w:p w:rsidR="00F93B21" w:rsidRPr="007D15B0" w:rsidRDefault="00F93B21" w:rsidP="007D15B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7D15B0">
        <w:rPr>
          <w:w w:val="103"/>
          <w:sz w:val="32"/>
          <w:rtl/>
        </w:rPr>
        <w:t>(</w:t>
      </w:r>
      <w:r w:rsidRPr="007D15B0">
        <w:rPr>
          <w:rStyle w:val="FootnoteReference"/>
          <w:spacing w:val="0"/>
          <w:w w:val="103"/>
          <w:vertAlign w:val="baseline"/>
          <w:rtl/>
        </w:rPr>
        <w:footnoteRef/>
      </w:r>
      <w:r w:rsidRPr="007D15B0">
        <w:rPr>
          <w:w w:val="103"/>
          <w:sz w:val="32"/>
          <w:rtl/>
        </w:rPr>
        <w:t>)</w:t>
      </w:r>
      <w:r w:rsidRPr="007D15B0">
        <w:rPr>
          <w:w w:val="103"/>
          <w:rtl/>
        </w:rPr>
        <w:tab/>
      </w:r>
      <w:r>
        <w:rPr>
          <w:rFonts w:hint="cs"/>
          <w:sz w:val="24"/>
          <w:szCs w:val="24"/>
          <w:rtl/>
        </w:rPr>
        <w:t>انظر</w:t>
      </w:r>
      <w:r w:rsidRPr="00E32778">
        <w:rPr>
          <w:rFonts w:hint="cs"/>
          <w:sz w:val="24"/>
          <w:szCs w:val="24"/>
          <w:rtl/>
        </w:rPr>
        <w:t xml:space="preserve"> تاريخ توفالو</w:t>
      </w:r>
      <w:r>
        <w:rPr>
          <w:rFonts w:hint="cs"/>
          <w:sz w:val="24"/>
          <w:szCs w:val="24"/>
          <w:rtl/>
        </w:rPr>
        <w:t>.</w:t>
      </w:r>
    </w:p>
  </w:footnote>
  <w:footnote w:id="10">
    <w:p w:rsidR="00F93B21" w:rsidRPr="002643CB" w:rsidRDefault="00F93B21" w:rsidP="002643C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643CB">
        <w:rPr>
          <w:w w:val="103"/>
          <w:sz w:val="32"/>
          <w:rtl/>
        </w:rPr>
        <w:t>(</w:t>
      </w:r>
      <w:r w:rsidRPr="002643CB">
        <w:rPr>
          <w:rStyle w:val="FootnoteReference"/>
          <w:spacing w:val="0"/>
          <w:w w:val="103"/>
          <w:vertAlign w:val="baseline"/>
          <w:rtl/>
        </w:rPr>
        <w:footnoteRef/>
      </w:r>
      <w:r w:rsidRPr="002643CB">
        <w:rPr>
          <w:w w:val="103"/>
          <w:sz w:val="32"/>
          <w:rtl/>
        </w:rPr>
        <w:t>)</w:t>
      </w:r>
      <w:r w:rsidRPr="002643CB">
        <w:rPr>
          <w:w w:val="103"/>
          <w:rtl/>
        </w:rPr>
        <w:tab/>
      </w:r>
      <w:r>
        <w:rPr>
          <w:rFonts w:hint="cs"/>
          <w:sz w:val="24"/>
          <w:szCs w:val="24"/>
          <w:rtl/>
        </w:rPr>
        <w:t>انظر</w:t>
      </w:r>
      <w:r w:rsidRPr="009747EC">
        <w:rPr>
          <w:rFonts w:hint="cs"/>
          <w:sz w:val="24"/>
          <w:szCs w:val="24"/>
          <w:rtl/>
        </w:rPr>
        <w:t xml:space="preserve"> أمانة جزر المحيط الهادئ، عام 2006، مكان المرأة في البيت </w:t>
      </w:r>
      <w:r>
        <w:rPr>
          <w:rFonts w:hint="cs"/>
          <w:sz w:val="24"/>
          <w:szCs w:val="24"/>
          <w:rtl/>
        </w:rPr>
        <w:t>-</w:t>
      </w:r>
      <w:r w:rsidRPr="009747EC">
        <w:rPr>
          <w:rFonts w:hint="cs"/>
          <w:sz w:val="24"/>
          <w:szCs w:val="24"/>
          <w:rtl/>
        </w:rPr>
        <w:t xml:space="preserve"> مجلس البرلمان</w:t>
      </w:r>
      <w:r>
        <w:rPr>
          <w:rFonts w:hint="cs"/>
          <w:sz w:val="24"/>
          <w:szCs w:val="24"/>
          <w:rtl/>
        </w:rPr>
        <w:t>.</w:t>
      </w:r>
    </w:p>
  </w:footnote>
  <w:footnote w:id="11">
    <w:p w:rsidR="00F93B21" w:rsidRPr="002643CB" w:rsidRDefault="00F93B21" w:rsidP="002643C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643CB">
        <w:rPr>
          <w:w w:val="103"/>
          <w:sz w:val="32"/>
          <w:rtl/>
        </w:rPr>
        <w:t>(</w:t>
      </w:r>
      <w:r w:rsidRPr="002643CB">
        <w:rPr>
          <w:rStyle w:val="FootnoteReference"/>
          <w:spacing w:val="0"/>
          <w:w w:val="103"/>
          <w:vertAlign w:val="baseline"/>
          <w:rtl/>
        </w:rPr>
        <w:footnoteRef/>
      </w:r>
      <w:r w:rsidRPr="002643CB">
        <w:rPr>
          <w:w w:val="103"/>
          <w:sz w:val="32"/>
          <w:rtl/>
        </w:rPr>
        <w:t>)</w:t>
      </w:r>
      <w:r w:rsidRPr="002643CB">
        <w:rPr>
          <w:w w:val="103"/>
          <w:rtl/>
        </w:rPr>
        <w:tab/>
      </w:r>
      <w:r>
        <w:rPr>
          <w:rFonts w:hint="cs"/>
          <w:sz w:val="28"/>
          <w:szCs w:val="28"/>
          <w:rtl/>
        </w:rPr>
        <w:t>انظر</w:t>
      </w:r>
      <w:r w:rsidRPr="00CE4285">
        <w:rPr>
          <w:rFonts w:hint="cs"/>
          <w:sz w:val="28"/>
          <w:szCs w:val="28"/>
          <w:rtl/>
        </w:rPr>
        <w:t xml:space="preserve"> جلال الأول، قوانين عام 1998 الخاصة بالمرأة في بلدان المحيط الهادئ.</w:t>
      </w:r>
    </w:p>
  </w:footnote>
  <w:footnote w:id="12">
    <w:p w:rsidR="00F93B21" w:rsidRPr="002643CB" w:rsidRDefault="00F93B21" w:rsidP="00C661F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643CB">
        <w:rPr>
          <w:w w:val="103"/>
          <w:sz w:val="32"/>
          <w:rtl/>
        </w:rPr>
        <w:t>(</w:t>
      </w:r>
      <w:r w:rsidRPr="002643CB">
        <w:rPr>
          <w:rStyle w:val="FootnoteReference"/>
          <w:spacing w:val="0"/>
          <w:w w:val="103"/>
          <w:vertAlign w:val="baseline"/>
          <w:rtl/>
        </w:rPr>
        <w:footnoteRef/>
      </w:r>
      <w:r w:rsidRPr="002643CB">
        <w:rPr>
          <w:w w:val="103"/>
          <w:sz w:val="32"/>
          <w:rtl/>
        </w:rPr>
        <w:t>)</w:t>
      </w:r>
      <w:r w:rsidRPr="002643CB">
        <w:rPr>
          <w:w w:val="103"/>
          <w:rtl/>
        </w:rPr>
        <w:tab/>
      </w:r>
      <w:r>
        <w:rPr>
          <w:rFonts w:hint="cs"/>
          <w:w w:val="103"/>
          <w:rtl/>
        </w:rPr>
        <w:t>انظر</w:t>
      </w:r>
      <w:r w:rsidRPr="00CE4285">
        <w:rPr>
          <w:rFonts w:hint="cs"/>
          <w:sz w:val="28"/>
          <w:szCs w:val="28"/>
          <w:rtl/>
        </w:rPr>
        <w:t xml:space="preserve"> الكتاب السنوي لمنطقة المحيط الهادئ، الطبعة 16</w:t>
      </w:r>
      <w:r>
        <w:rPr>
          <w:rFonts w:hint="cs"/>
          <w:sz w:val="28"/>
          <w:szCs w:val="28"/>
          <w:rtl/>
        </w:rPr>
        <w:t>.</w:t>
      </w:r>
    </w:p>
  </w:footnote>
  <w:footnote w:id="13">
    <w:p w:rsidR="00F93B21" w:rsidRPr="002643CB" w:rsidRDefault="00F93B21" w:rsidP="00C661F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643CB">
        <w:rPr>
          <w:w w:val="103"/>
          <w:sz w:val="32"/>
          <w:rtl/>
        </w:rPr>
        <w:t>(</w:t>
      </w:r>
      <w:r w:rsidRPr="002643CB">
        <w:rPr>
          <w:rStyle w:val="FootnoteReference"/>
          <w:spacing w:val="0"/>
          <w:w w:val="103"/>
          <w:vertAlign w:val="baseline"/>
          <w:rtl/>
        </w:rPr>
        <w:footnoteRef/>
      </w:r>
      <w:r w:rsidRPr="002643CB">
        <w:rPr>
          <w:w w:val="103"/>
          <w:sz w:val="32"/>
          <w:rtl/>
        </w:rPr>
        <w:t>)</w:t>
      </w:r>
      <w:r w:rsidRPr="002643CB">
        <w:rPr>
          <w:w w:val="103"/>
          <w:rtl/>
        </w:rPr>
        <w:tab/>
      </w:r>
      <w:r>
        <w:rPr>
          <w:rFonts w:hint="cs"/>
          <w:w w:val="103"/>
          <w:rtl/>
        </w:rPr>
        <w:t>انظر</w:t>
      </w:r>
      <w:r w:rsidRPr="002643CB">
        <w:rPr>
          <w:rFonts w:hint="cs"/>
          <w:w w:val="103"/>
          <w:rtl/>
        </w:rPr>
        <w:t xml:space="preserve"> ف. غريفن، العلاقات بين الجنسين في ثقافات الهادئ وتاثيرها على نمو الأطفال وتطورهم، عام 2006.</w:t>
      </w:r>
    </w:p>
  </w:footnote>
  <w:footnote w:id="14">
    <w:p w:rsidR="00F93B21" w:rsidRPr="002643CB" w:rsidRDefault="00F93B21" w:rsidP="00C661F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643CB">
        <w:rPr>
          <w:w w:val="103"/>
          <w:sz w:val="32"/>
          <w:rtl/>
        </w:rPr>
        <w:t>(</w:t>
      </w:r>
      <w:r w:rsidRPr="002643CB">
        <w:rPr>
          <w:rStyle w:val="FootnoteReference"/>
          <w:spacing w:val="0"/>
          <w:w w:val="103"/>
          <w:vertAlign w:val="baseline"/>
          <w:rtl/>
        </w:rPr>
        <w:footnoteRef/>
      </w:r>
      <w:r w:rsidRPr="002643CB">
        <w:rPr>
          <w:w w:val="103"/>
          <w:sz w:val="32"/>
          <w:rtl/>
        </w:rPr>
        <w:t>)</w:t>
      </w:r>
      <w:r w:rsidRPr="002643CB">
        <w:rPr>
          <w:w w:val="103"/>
          <w:rtl/>
        </w:rPr>
        <w:tab/>
      </w:r>
      <w:r>
        <w:rPr>
          <w:rFonts w:hint="cs"/>
          <w:w w:val="103"/>
          <w:rtl/>
        </w:rPr>
        <w:t>انظر</w:t>
      </w:r>
      <w:r w:rsidRPr="00AB5E1F">
        <w:rPr>
          <w:rFonts w:hint="cs"/>
          <w:rtl/>
        </w:rPr>
        <w:t xml:space="preserve"> تقرير التعداد السكاني في توفالو لعام 2002</w:t>
      </w:r>
      <w:r>
        <w:rPr>
          <w:rFonts w:hint="cs"/>
          <w:rtl/>
        </w:rPr>
        <w:t>.</w:t>
      </w:r>
    </w:p>
  </w:footnote>
  <w:footnote w:id="15">
    <w:p w:rsidR="00F93B21" w:rsidRPr="001A2E7E" w:rsidRDefault="00F93B21" w:rsidP="001A2E7E">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1A2E7E">
        <w:rPr>
          <w:w w:val="103"/>
          <w:rtl/>
        </w:rPr>
        <w:t>(</w:t>
      </w:r>
      <w:r w:rsidRPr="001A2E7E">
        <w:rPr>
          <w:rStyle w:val="FootnoteReference"/>
          <w:spacing w:val="0"/>
          <w:w w:val="103"/>
          <w:vertAlign w:val="baseline"/>
          <w:rtl/>
        </w:rPr>
        <w:footnoteRef/>
      </w:r>
      <w:r w:rsidRPr="001A2E7E">
        <w:rPr>
          <w:w w:val="103"/>
          <w:rtl/>
        </w:rPr>
        <w:t>)</w:t>
      </w:r>
      <w:r w:rsidRPr="001A2E7E">
        <w:rPr>
          <w:w w:val="103"/>
          <w:rtl/>
        </w:rPr>
        <w:tab/>
      </w:r>
      <w:r>
        <w:rPr>
          <w:rFonts w:hint="cs"/>
          <w:w w:val="103"/>
          <w:rtl/>
        </w:rPr>
        <w:t>انظر</w:t>
      </w:r>
      <w:r w:rsidRPr="001A2E7E">
        <w:rPr>
          <w:rFonts w:hint="cs"/>
          <w:w w:val="103"/>
          <w:rtl/>
        </w:rPr>
        <w:t xml:space="preserve"> شعبة الإحصاءات المركزية في توفالو.</w:t>
      </w:r>
    </w:p>
  </w:footnote>
  <w:footnote w:id="16">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sidRPr="00A601A4">
        <w:rPr>
          <w:rFonts w:hint="cs"/>
          <w:sz w:val="24"/>
          <w:szCs w:val="24"/>
          <w:rtl/>
        </w:rPr>
        <w:t>يعيّن بموجب الفرع 159 (4)</w:t>
      </w:r>
      <w:r>
        <w:rPr>
          <w:rFonts w:hint="cs"/>
          <w:sz w:val="24"/>
          <w:szCs w:val="24"/>
          <w:rtl/>
        </w:rPr>
        <w:t xml:space="preserve"> </w:t>
      </w:r>
      <w:r w:rsidRPr="00A601A4">
        <w:rPr>
          <w:rFonts w:hint="cs"/>
          <w:sz w:val="24"/>
          <w:szCs w:val="24"/>
          <w:rtl/>
        </w:rPr>
        <w:t>(أ) من الدستور.</w:t>
      </w:r>
    </w:p>
  </w:footnote>
  <w:footnote w:id="17">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sidRPr="00A601A4">
        <w:rPr>
          <w:rFonts w:hint="cs"/>
          <w:sz w:val="24"/>
          <w:szCs w:val="24"/>
          <w:rtl/>
        </w:rPr>
        <w:t>يعين بموجب الفرع 159 (3) (أ).</w:t>
      </w:r>
    </w:p>
  </w:footnote>
  <w:footnote w:id="18">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الفرع 86 من دستور توفالو.</w:t>
      </w:r>
    </w:p>
  </w:footnote>
  <w:footnote w:id="19">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sidRPr="00A601A4">
        <w:rPr>
          <w:rFonts w:hint="cs"/>
          <w:sz w:val="24"/>
          <w:szCs w:val="24"/>
          <w:rtl/>
        </w:rPr>
        <w:t>المصدر: معلومات أساسية عن توفالو.</w:t>
      </w:r>
    </w:p>
  </w:footnote>
  <w:footnote w:id="20">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كورين </w:t>
      </w:r>
      <w:r>
        <w:rPr>
          <w:rFonts w:hint="cs"/>
          <w:sz w:val="24"/>
          <w:szCs w:val="24"/>
          <w:rtl/>
        </w:rPr>
        <w:t>-</w:t>
      </w:r>
      <w:r w:rsidRPr="00A601A4">
        <w:rPr>
          <w:rFonts w:hint="cs"/>
          <w:sz w:val="24"/>
          <w:szCs w:val="24"/>
          <w:rtl/>
        </w:rPr>
        <w:t xml:space="preserve"> كير ونيوتن وباترسون، 1999.</w:t>
      </w:r>
    </w:p>
  </w:footnote>
  <w:footnote w:id="21">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المصدر نفسه.</w:t>
      </w:r>
    </w:p>
  </w:footnote>
  <w:footnote w:id="22">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sidRPr="00C71B37">
        <w:rPr>
          <w:rFonts w:hint="cs"/>
          <w:sz w:val="28"/>
          <w:szCs w:val="28"/>
          <w:rtl/>
        </w:rPr>
        <w:t>أنشئت بموجب الفرع 3 من قانون محكمة الصلح (</w:t>
      </w:r>
      <w:r>
        <w:rPr>
          <w:rFonts w:hint="cs"/>
          <w:sz w:val="28"/>
          <w:szCs w:val="28"/>
          <w:rtl/>
        </w:rPr>
        <w:t xml:space="preserve">القانون رقم </w:t>
      </w:r>
      <w:r w:rsidRPr="00C71B37">
        <w:rPr>
          <w:rFonts w:hint="cs"/>
          <w:sz w:val="28"/>
          <w:szCs w:val="28"/>
          <w:rtl/>
        </w:rPr>
        <w:t>2)</w:t>
      </w:r>
      <w:r>
        <w:rPr>
          <w:rFonts w:hint="cs"/>
          <w:sz w:val="28"/>
          <w:szCs w:val="28"/>
          <w:rtl/>
        </w:rPr>
        <w:t>.</w:t>
      </w:r>
    </w:p>
  </w:footnote>
  <w:footnote w:id="23">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الفرع 3 من قانون محاكم الجزر (</w:t>
      </w:r>
      <w:r>
        <w:rPr>
          <w:rFonts w:hint="cs"/>
          <w:sz w:val="24"/>
          <w:szCs w:val="24"/>
          <w:rtl/>
        </w:rPr>
        <w:t xml:space="preserve">القانون رقم </w:t>
      </w:r>
      <w:r w:rsidRPr="00A601A4">
        <w:rPr>
          <w:rFonts w:hint="cs"/>
          <w:sz w:val="24"/>
          <w:szCs w:val="24"/>
          <w:rtl/>
        </w:rPr>
        <w:t>3).</w:t>
      </w:r>
    </w:p>
  </w:footnote>
  <w:footnote w:id="24">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الفرع 4 من قانون محاكم الأراضي (</w:t>
      </w:r>
      <w:r>
        <w:rPr>
          <w:rFonts w:hint="cs"/>
          <w:sz w:val="24"/>
          <w:szCs w:val="24"/>
          <w:rtl/>
        </w:rPr>
        <w:t xml:space="preserve">القانون رقم </w:t>
      </w:r>
      <w:r w:rsidRPr="00A601A4">
        <w:rPr>
          <w:rFonts w:hint="cs"/>
          <w:sz w:val="24"/>
          <w:szCs w:val="24"/>
          <w:rtl/>
        </w:rPr>
        <w:t>3)</w:t>
      </w:r>
      <w:r>
        <w:rPr>
          <w:rFonts w:hint="cs"/>
          <w:sz w:val="24"/>
          <w:szCs w:val="24"/>
          <w:rtl/>
        </w:rPr>
        <w:t>.</w:t>
      </w:r>
    </w:p>
  </w:footnote>
  <w:footnote w:id="25">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الفرع 5 (1) من قانون محاكم الجزر (</w:t>
      </w:r>
      <w:r>
        <w:rPr>
          <w:rFonts w:hint="cs"/>
          <w:sz w:val="24"/>
          <w:szCs w:val="24"/>
          <w:rtl/>
        </w:rPr>
        <w:t xml:space="preserve">القانون رقم </w:t>
      </w:r>
      <w:r w:rsidRPr="00A601A4">
        <w:rPr>
          <w:rFonts w:hint="cs"/>
          <w:sz w:val="24"/>
          <w:szCs w:val="24"/>
          <w:rtl/>
        </w:rPr>
        <w:t>3).</w:t>
      </w:r>
    </w:p>
  </w:footnote>
  <w:footnote w:id="26">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جامعة جنوب الهادئ، كورين </w:t>
      </w:r>
      <w:r>
        <w:rPr>
          <w:rFonts w:hint="cs"/>
          <w:sz w:val="24"/>
          <w:szCs w:val="24"/>
          <w:rtl/>
        </w:rPr>
        <w:t>-</w:t>
      </w:r>
      <w:r w:rsidRPr="00A601A4">
        <w:rPr>
          <w:rFonts w:hint="cs"/>
          <w:sz w:val="24"/>
          <w:szCs w:val="24"/>
          <w:rtl/>
        </w:rPr>
        <w:t xml:space="preserve"> كير ونيوتون وباترسون، عام 1999</w:t>
      </w:r>
      <w:r>
        <w:rPr>
          <w:rFonts w:hint="cs"/>
          <w:sz w:val="24"/>
          <w:szCs w:val="24"/>
          <w:rtl/>
        </w:rPr>
        <w:t>.</w:t>
      </w:r>
    </w:p>
  </w:footnote>
  <w:footnote w:id="27">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المرجع نفسه.</w:t>
      </w:r>
    </w:p>
  </w:footnote>
  <w:footnote w:id="28">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تقرير برنامج الأمم المتحدة الإنمائي عن التقييم القطري المشترك (توفالو) عام 2003 المشترك لعام 2003.</w:t>
      </w:r>
    </w:p>
  </w:footnote>
  <w:footnote w:id="29">
    <w:p w:rsidR="00F93B21" w:rsidRPr="00C8731C" w:rsidRDefault="00F93B21" w:rsidP="00C8731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8731C">
        <w:rPr>
          <w:w w:val="103"/>
          <w:rtl/>
        </w:rPr>
        <w:t>(</w:t>
      </w:r>
      <w:r w:rsidRPr="00C8731C">
        <w:rPr>
          <w:rStyle w:val="FootnoteReference"/>
          <w:spacing w:val="0"/>
          <w:w w:val="103"/>
          <w:vertAlign w:val="baseline"/>
          <w:rtl/>
        </w:rPr>
        <w:footnoteRef/>
      </w:r>
      <w:r w:rsidRPr="00C8731C">
        <w:rPr>
          <w:w w:val="103"/>
          <w:rtl/>
        </w:rPr>
        <w:t>)</w:t>
      </w:r>
      <w:r w:rsidRPr="00C8731C">
        <w:rPr>
          <w:w w:val="103"/>
          <w:rtl/>
        </w:rPr>
        <w:tab/>
      </w:r>
      <w:r>
        <w:rPr>
          <w:rFonts w:hint="cs"/>
          <w:sz w:val="24"/>
          <w:szCs w:val="24"/>
          <w:rtl/>
        </w:rPr>
        <w:t>انظر</w:t>
      </w:r>
      <w:r w:rsidRPr="00A601A4">
        <w:rPr>
          <w:rFonts w:hint="cs"/>
          <w:sz w:val="24"/>
          <w:szCs w:val="24"/>
          <w:rtl/>
        </w:rPr>
        <w:t xml:space="preserve"> برنامج الأمم المتحدة الإنمائي، تقرير البعثة القطرية عن تقييم الاحتياجات التشرييعة لتوفالو، عام</w:t>
      </w:r>
      <w:r>
        <w:rPr>
          <w:rFonts w:hint="cs"/>
          <w:sz w:val="24"/>
          <w:szCs w:val="24"/>
          <w:rtl/>
        </w:rPr>
        <w:t xml:space="preserve"> </w:t>
      </w:r>
      <w:r w:rsidRPr="00A601A4">
        <w:rPr>
          <w:rFonts w:hint="cs"/>
          <w:sz w:val="24"/>
          <w:szCs w:val="24"/>
          <w:rtl/>
        </w:rPr>
        <w:t>000</w:t>
      </w:r>
      <w:r>
        <w:rPr>
          <w:rFonts w:hint="cs"/>
          <w:sz w:val="24"/>
          <w:szCs w:val="24"/>
          <w:rtl/>
        </w:rPr>
        <w:t>.</w:t>
      </w:r>
    </w:p>
  </w:footnote>
  <w:footnote w:id="30">
    <w:p w:rsidR="00F93B21" w:rsidRPr="00FA6940" w:rsidRDefault="00F93B21" w:rsidP="00FA694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A6940">
        <w:rPr>
          <w:w w:val="103"/>
          <w:rtl/>
        </w:rPr>
        <w:t>(</w:t>
      </w:r>
      <w:r w:rsidRPr="00FA6940">
        <w:rPr>
          <w:rStyle w:val="FootnoteReference"/>
          <w:spacing w:val="0"/>
          <w:w w:val="103"/>
          <w:vertAlign w:val="baseline"/>
          <w:rtl/>
        </w:rPr>
        <w:footnoteRef/>
      </w:r>
      <w:r w:rsidRPr="00FA6940">
        <w:rPr>
          <w:w w:val="103"/>
          <w:rtl/>
        </w:rPr>
        <w:t>)</w:t>
      </w:r>
      <w:r w:rsidRPr="00FA6940">
        <w:rPr>
          <w:w w:val="103"/>
          <w:rtl/>
        </w:rPr>
        <w:tab/>
      </w:r>
      <w:r w:rsidRPr="004A013C">
        <w:t>“Tuvalu mo Te Atua”</w:t>
      </w:r>
      <w:r>
        <w:rPr>
          <w:rFonts w:hint="cs"/>
          <w:sz w:val="32"/>
          <w:szCs w:val="32"/>
          <w:rtl/>
        </w:rPr>
        <w:t xml:space="preserve"> </w:t>
      </w:r>
      <w:r>
        <w:rPr>
          <w:rFonts w:hint="cs"/>
          <w:sz w:val="24"/>
          <w:szCs w:val="24"/>
          <w:rtl/>
        </w:rPr>
        <w:t xml:space="preserve"> يعني حرفياً </w:t>
      </w:r>
      <w:r>
        <w:rPr>
          <w:rFonts w:hint="eastAsia"/>
          <w:sz w:val="24"/>
          <w:szCs w:val="24"/>
          <w:rtl/>
        </w:rPr>
        <w:t>”</w:t>
      </w:r>
      <w:r>
        <w:rPr>
          <w:rFonts w:hint="cs"/>
          <w:sz w:val="24"/>
          <w:szCs w:val="24"/>
          <w:rtl/>
        </w:rPr>
        <w:t>توفالو للّه</w:t>
      </w:r>
      <w:r>
        <w:rPr>
          <w:rFonts w:hint="eastAsia"/>
          <w:sz w:val="24"/>
          <w:szCs w:val="24"/>
          <w:rtl/>
        </w:rPr>
        <w:t>“</w:t>
      </w:r>
      <w:r w:rsidRPr="00A601A4">
        <w:rPr>
          <w:rFonts w:hint="cs"/>
          <w:sz w:val="24"/>
          <w:szCs w:val="24"/>
          <w:rtl/>
        </w:rPr>
        <w:t>.</w:t>
      </w:r>
    </w:p>
  </w:footnote>
  <w:footnote w:id="31">
    <w:p w:rsidR="00F93B21" w:rsidRPr="00FA6940" w:rsidRDefault="00F93B21" w:rsidP="00FA694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A6940">
        <w:rPr>
          <w:w w:val="103"/>
          <w:rtl/>
        </w:rPr>
        <w:t>(</w:t>
      </w:r>
      <w:r w:rsidRPr="00FA6940">
        <w:rPr>
          <w:rStyle w:val="FootnoteReference"/>
          <w:spacing w:val="0"/>
          <w:w w:val="103"/>
          <w:vertAlign w:val="baseline"/>
          <w:rtl/>
        </w:rPr>
        <w:footnoteRef/>
      </w:r>
      <w:r w:rsidRPr="00FA6940">
        <w:rPr>
          <w:w w:val="103"/>
          <w:rtl/>
        </w:rPr>
        <w:t>)</w:t>
      </w:r>
      <w:r w:rsidRPr="00FA6940">
        <w:rPr>
          <w:w w:val="103"/>
          <w:rtl/>
        </w:rPr>
        <w:tab/>
      </w:r>
      <w:r>
        <w:rPr>
          <w:rFonts w:hint="cs"/>
          <w:sz w:val="24"/>
          <w:szCs w:val="24"/>
          <w:rtl/>
        </w:rPr>
        <w:t>انظر</w:t>
      </w:r>
      <w:r w:rsidRPr="00A601A4">
        <w:rPr>
          <w:rFonts w:hint="cs"/>
          <w:sz w:val="24"/>
          <w:szCs w:val="24"/>
          <w:rtl/>
        </w:rPr>
        <w:t xml:space="preserve"> تي كاكيغا الثانية، 2005-2015.</w:t>
      </w:r>
    </w:p>
  </w:footnote>
  <w:footnote w:id="32">
    <w:p w:rsidR="00F93B21" w:rsidRPr="00FA6940" w:rsidRDefault="00F93B21" w:rsidP="00FA694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A6940">
        <w:rPr>
          <w:w w:val="103"/>
          <w:rtl/>
        </w:rPr>
        <w:t>(</w:t>
      </w:r>
      <w:r w:rsidRPr="00FA6940">
        <w:rPr>
          <w:rStyle w:val="FootnoteReference"/>
          <w:spacing w:val="0"/>
          <w:w w:val="103"/>
          <w:vertAlign w:val="baseline"/>
          <w:rtl/>
        </w:rPr>
        <w:footnoteRef/>
      </w:r>
      <w:r w:rsidRPr="00FA6940">
        <w:rPr>
          <w:w w:val="103"/>
          <w:rtl/>
        </w:rPr>
        <w:t>)</w:t>
      </w:r>
      <w:r w:rsidRPr="00FA6940">
        <w:rPr>
          <w:w w:val="103"/>
          <w:rtl/>
        </w:rPr>
        <w:tab/>
      </w:r>
      <w:r w:rsidRPr="00A601A4">
        <w:rPr>
          <w:rFonts w:hint="cs"/>
          <w:sz w:val="24"/>
          <w:szCs w:val="24"/>
          <w:rtl/>
        </w:rPr>
        <w:t>تشمل ورقة مناقشة اجتم</w:t>
      </w:r>
      <w:r>
        <w:rPr>
          <w:rFonts w:hint="cs"/>
          <w:sz w:val="24"/>
          <w:szCs w:val="24"/>
          <w:rtl/>
        </w:rPr>
        <w:t>ا</w:t>
      </w:r>
      <w:r w:rsidRPr="00A601A4">
        <w:rPr>
          <w:rFonts w:hint="cs"/>
          <w:sz w:val="24"/>
          <w:szCs w:val="24"/>
          <w:rtl/>
        </w:rPr>
        <w:t>ع المائدة المستديرة الذي عقد</w:t>
      </w:r>
      <w:r>
        <w:rPr>
          <w:rFonts w:hint="cs"/>
          <w:sz w:val="24"/>
          <w:szCs w:val="24"/>
          <w:rtl/>
        </w:rPr>
        <w:t>ت</w:t>
      </w:r>
      <w:r w:rsidRPr="00A601A4">
        <w:rPr>
          <w:rFonts w:hint="cs"/>
          <w:sz w:val="24"/>
          <w:szCs w:val="24"/>
          <w:rtl/>
        </w:rPr>
        <w:t xml:space="preserve">ه وزارة المالية مع المانحين، سوفا، فيجي </w:t>
      </w:r>
      <w:r>
        <w:rPr>
          <w:rFonts w:hint="cs"/>
          <w:sz w:val="24"/>
          <w:szCs w:val="24"/>
          <w:rtl/>
        </w:rPr>
        <w:t>- أيار/</w:t>
      </w:r>
      <w:r w:rsidRPr="00A601A4">
        <w:rPr>
          <w:rFonts w:hint="cs"/>
          <w:sz w:val="24"/>
          <w:szCs w:val="24"/>
          <w:rtl/>
        </w:rPr>
        <w:t>مايو 2006.</w:t>
      </w:r>
    </w:p>
  </w:footnote>
  <w:footnote w:id="33">
    <w:p w:rsidR="00F93B21" w:rsidRPr="000D6B2D" w:rsidRDefault="00F93B21" w:rsidP="000D6B2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0D6B2D">
        <w:rPr>
          <w:w w:val="103"/>
          <w:rtl/>
        </w:rPr>
        <w:t>(</w:t>
      </w:r>
      <w:r w:rsidRPr="000D6B2D">
        <w:rPr>
          <w:rStyle w:val="FootnoteReference"/>
          <w:spacing w:val="0"/>
          <w:w w:val="103"/>
          <w:vertAlign w:val="baseline"/>
          <w:rtl/>
        </w:rPr>
        <w:footnoteRef/>
      </w:r>
      <w:r w:rsidRPr="000D6B2D">
        <w:rPr>
          <w:w w:val="103"/>
          <w:rtl/>
        </w:rPr>
        <w:t>)</w:t>
      </w:r>
      <w:r w:rsidRPr="000D6B2D">
        <w:rPr>
          <w:w w:val="103"/>
          <w:rtl/>
        </w:rPr>
        <w:tab/>
      </w:r>
      <w:r w:rsidRPr="00A601A4">
        <w:rPr>
          <w:rFonts w:hint="cs"/>
          <w:sz w:val="24"/>
          <w:szCs w:val="24"/>
          <w:rtl/>
        </w:rPr>
        <w:t>لجنة الأمانات الدائمة للوزارات الحكومية.</w:t>
      </w:r>
    </w:p>
  </w:footnote>
  <w:footnote w:id="34">
    <w:p w:rsidR="00F93B21" w:rsidRPr="009D126D" w:rsidRDefault="00F93B21" w:rsidP="009D126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D126D">
        <w:rPr>
          <w:w w:val="103"/>
          <w:rtl/>
        </w:rPr>
        <w:t>(</w:t>
      </w:r>
      <w:r w:rsidRPr="009D126D">
        <w:rPr>
          <w:rStyle w:val="FootnoteReference"/>
          <w:spacing w:val="0"/>
          <w:w w:val="103"/>
          <w:vertAlign w:val="baseline"/>
          <w:rtl/>
        </w:rPr>
        <w:footnoteRef/>
      </w:r>
      <w:r w:rsidRPr="009D126D">
        <w:rPr>
          <w:w w:val="103"/>
          <w:rtl/>
        </w:rPr>
        <w:t>)</w:t>
      </w:r>
      <w:r w:rsidRPr="009D126D">
        <w:rPr>
          <w:w w:val="103"/>
          <w:rtl/>
        </w:rPr>
        <w:tab/>
      </w:r>
      <w:r>
        <w:rPr>
          <w:rFonts w:hint="cs"/>
          <w:sz w:val="24"/>
          <w:szCs w:val="24"/>
          <w:rtl/>
        </w:rPr>
        <w:t>انظر</w:t>
      </w:r>
      <w:r w:rsidRPr="00C84517">
        <w:rPr>
          <w:rFonts w:hint="cs"/>
          <w:sz w:val="24"/>
          <w:szCs w:val="24"/>
          <w:rtl/>
        </w:rPr>
        <w:t xml:space="preserve"> تقرير </w:t>
      </w:r>
      <w:r>
        <w:rPr>
          <w:rFonts w:hint="cs"/>
          <w:sz w:val="24"/>
          <w:szCs w:val="24"/>
          <w:rtl/>
        </w:rPr>
        <w:t>مصرف التنمية الآسيوي</w:t>
      </w:r>
      <w:r w:rsidRPr="00C84517">
        <w:rPr>
          <w:rFonts w:hint="cs"/>
          <w:sz w:val="24"/>
          <w:szCs w:val="24"/>
          <w:rtl/>
        </w:rPr>
        <w:t xml:space="preserve"> عن المشقة والفقر لعام 2004، ص. 8 من النص الأصلي.</w:t>
      </w:r>
    </w:p>
  </w:footnote>
  <w:footnote w:id="35">
    <w:p w:rsidR="00F93B21" w:rsidRPr="009D126D" w:rsidRDefault="00F93B21" w:rsidP="009D126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D126D">
        <w:rPr>
          <w:w w:val="103"/>
          <w:rtl/>
        </w:rPr>
        <w:t>(</w:t>
      </w:r>
      <w:r w:rsidRPr="009D126D">
        <w:rPr>
          <w:rStyle w:val="FootnoteReference"/>
          <w:spacing w:val="0"/>
          <w:w w:val="103"/>
          <w:vertAlign w:val="baseline"/>
          <w:rtl/>
        </w:rPr>
        <w:footnoteRef/>
      </w:r>
      <w:r w:rsidRPr="009D126D">
        <w:rPr>
          <w:w w:val="103"/>
          <w:rtl/>
        </w:rPr>
        <w:t>)</w:t>
      </w:r>
      <w:r w:rsidRPr="009D126D">
        <w:rPr>
          <w:w w:val="103"/>
          <w:rtl/>
        </w:rPr>
        <w:tab/>
      </w:r>
      <w:r>
        <w:rPr>
          <w:rFonts w:hint="cs"/>
          <w:sz w:val="24"/>
          <w:szCs w:val="24"/>
          <w:rtl/>
        </w:rPr>
        <w:t>انظر</w:t>
      </w:r>
      <w:r w:rsidRPr="00C84517">
        <w:rPr>
          <w:rFonts w:hint="cs"/>
          <w:sz w:val="24"/>
          <w:szCs w:val="24"/>
          <w:rtl/>
        </w:rPr>
        <w:t xml:space="preserve"> الفرع 27 (1) من الدستور.</w:t>
      </w:r>
    </w:p>
  </w:footnote>
  <w:footnote w:id="36">
    <w:p w:rsidR="00F93B21" w:rsidRPr="009D126D" w:rsidRDefault="00F93B21" w:rsidP="009D126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D126D">
        <w:rPr>
          <w:w w:val="103"/>
          <w:rtl/>
        </w:rPr>
        <w:t>(</w:t>
      </w:r>
      <w:r w:rsidRPr="009D126D">
        <w:rPr>
          <w:rStyle w:val="FootnoteReference"/>
          <w:spacing w:val="0"/>
          <w:w w:val="103"/>
          <w:vertAlign w:val="baseline"/>
          <w:rtl/>
        </w:rPr>
        <w:footnoteRef/>
      </w:r>
      <w:r w:rsidRPr="009D126D">
        <w:rPr>
          <w:w w:val="103"/>
          <w:rtl/>
        </w:rPr>
        <w:t>)</w:t>
      </w:r>
      <w:r w:rsidRPr="009D126D">
        <w:rPr>
          <w:w w:val="103"/>
          <w:rtl/>
        </w:rPr>
        <w:tab/>
      </w:r>
      <w:r>
        <w:rPr>
          <w:rFonts w:hint="cs"/>
          <w:sz w:val="24"/>
          <w:szCs w:val="24"/>
          <w:rtl/>
        </w:rPr>
        <w:t>انظر</w:t>
      </w:r>
      <w:r w:rsidRPr="00C84517">
        <w:rPr>
          <w:rFonts w:hint="cs"/>
          <w:sz w:val="24"/>
          <w:szCs w:val="24"/>
          <w:rtl/>
        </w:rPr>
        <w:t xml:space="preserve"> جيفان وفورستر، عام 2006.</w:t>
      </w:r>
    </w:p>
  </w:footnote>
  <w:footnote w:id="37">
    <w:p w:rsidR="00F93B21" w:rsidRPr="009D126D" w:rsidRDefault="00F93B21" w:rsidP="009D126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D126D">
        <w:rPr>
          <w:w w:val="103"/>
          <w:rtl/>
        </w:rPr>
        <w:t>(</w:t>
      </w:r>
      <w:r w:rsidRPr="009D126D">
        <w:rPr>
          <w:rStyle w:val="FootnoteReference"/>
          <w:spacing w:val="0"/>
          <w:w w:val="103"/>
          <w:vertAlign w:val="baseline"/>
          <w:rtl/>
        </w:rPr>
        <w:footnoteRef/>
      </w:r>
      <w:r w:rsidRPr="009D126D">
        <w:rPr>
          <w:w w:val="103"/>
          <w:rtl/>
        </w:rPr>
        <w:t>)</w:t>
      </w:r>
      <w:r w:rsidRPr="009D126D">
        <w:rPr>
          <w:w w:val="103"/>
          <w:rtl/>
        </w:rPr>
        <w:tab/>
      </w:r>
      <w:r>
        <w:rPr>
          <w:rFonts w:hint="cs"/>
          <w:sz w:val="24"/>
          <w:szCs w:val="24"/>
          <w:rtl/>
        </w:rPr>
        <w:t>انظر</w:t>
      </w:r>
      <w:r w:rsidRPr="00C84517">
        <w:rPr>
          <w:rFonts w:hint="cs"/>
          <w:sz w:val="24"/>
          <w:szCs w:val="24"/>
          <w:rtl/>
        </w:rPr>
        <w:t xml:space="preserve"> الفرع 27 (3).</w:t>
      </w:r>
    </w:p>
  </w:footnote>
  <w:footnote w:id="38">
    <w:p w:rsidR="00F93B21" w:rsidRPr="009D126D" w:rsidRDefault="00F93B21" w:rsidP="009D126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D126D">
        <w:rPr>
          <w:w w:val="103"/>
          <w:rtl/>
        </w:rPr>
        <w:t>(</w:t>
      </w:r>
      <w:r w:rsidRPr="009D126D">
        <w:rPr>
          <w:rStyle w:val="FootnoteReference"/>
          <w:spacing w:val="0"/>
          <w:w w:val="103"/>
          <w:vertAlign w:val="baseline"/>
          <w:rtl/>
        </w:rPr>
        <w:footnoteRef/>
      </w:r>
      <w:r w:rsidRPr="009D126D">
        <w:rPr>
          <w:w w:val="103"/>
          <w:rtl/>
        </w:rPr>
        <w:t>)</w:t>
      </w:r>
      <w:r w:rsidRPr="009D126D">
        <w:rPr>
          <w:w w:val="103"/>
          <w:rtl/>
        </w:rPr>
        <w:tab/>
      </w:r>
      <w:r>
        <w:rPr>
          <w:rFonts w:hint="cs"/>
          <w:sz w:val="24"/>
          <w:szCs w:val="24"/>
          <w:rtl/>
        </w:rPr>
        <w:t>انظر</w:t>
      </w:r>
      <w:r w:rsidRPr="00C84517">
        <w:rPr>
          <w:rFonts w:hint="cs"/>
          <w:sz w:val="24"/>
          <w:szCs w:val="24"/>
          <w:rtl/>
        </w:rPr>
        <w:t xml:space="preserve"> الفرع 22 من الدستور.</w:t>
      </w:r>
    </w:p>
  </w:footnote>
  <w:footnote w:id="39">
    <w:p w:rsidR="00F93B21" w:rsidRPr="009D126D" w:rsidRDefault="00F93B21" w:rsidP="009D126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D126D">
        <w:rPr>
          <w:w w:val="103"/>
          <w:rtl/>
        </w:rPr>
        <w:t>(</w:t>
      </w:r>
      <w:r w:rsidRPr="009D126D">
        <w:rPr>
          <w:rStyle w:val="FootnoteReference"/>
          <w:spacing w:val="0"/>
          <w:w w:val="103"/>
          <w:vertAlign w:val="baseline"/>
          <w:rtl/>
        </w:rPr>
        <w:footnoteRef/>
      </w:r>
      <w:r w:rsidRPr="009D126D">
        <w:rPr>
          <w:w w:val="103"/>
          <w:rtl/>
        </w:rPr>
        <w:t>)</w:t>
      </w:r>
      <w:r w:rsidRPr="009D126D">
        <w:rPr>
          <w:w w:val="103"/>
          <w:rtl/>
        </w:rPr>
        <w:tab/>
      </w:r>
      <w:r>
        <w:rPr>
          <w:rFonts w:hint="cs"/>
          <w:sz w:val="24"/>
          <w:szCs w:val="24"/>
          <w:rtl/>
        </w:rPr>
        <w:t>انظر</w:t>
      </w:r>
      <w:r w:rsidRPr="00C84517">
        <w:rPr>
          <w:rFonts w:hint="cs"/>
          <w:sz w:val="24"/>
          <w:szCs w:val="24"/>
          <w:rtl/>
        </w:rPr>
        <w:t xml:space="preserve"> تقرير البيانات الاجتماعية، عام 2005.</w:t>
      </w:r>
    </w:p>
  </w:footnote>
  <w:footnote w:id="40">
    <w:p w:rsidR="00F93B21" w:rsidRPr="00A06C42" w:rsidRDefault="00F93B21" w:rsidP="00A06C4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06C42">
        <w:rPr>
          <w:w w:val="103"/>
          <w:rtl/>
        </w:rPr>
        <w:t>(</w:t>
      </w:r>
      <w:r w:rsidRPr="00A06C42">
        <w:rPr>
          <w:rStyle w:val="FootnoteReference"/>
          <w:spacing w:val="0"/>
          <w:w w:val="103"/>
          <w:vertAlign w:val="baseline"/>
          <w:rtl/>
        </w:rPr>
        <w:footnoteRef/>
      </w:r>
      <w:r w:rsidRPr="00A06C42">
        <w:rPr>
          <w:w w:val="103"/>
          <w:rtl/>
        </w:rPr>
        <w:t>)</w:t>
      </w:r>
      <w:r w:rsidRPr="00A06C42">
        <w:rPr>
          <w:w w:val="103"/>
          <w:rtl/>
        </w:rPr>
        <w:tab/>
      </w:r>
      <w:r>
        <w:rPr>
          <w:rFonts w:hint="cs"/>
          <w:sz w:val="24"/>
          <w:szCs w:val="24"/>
          <w:rtl/>
        </w:rPr>
        <w:t>انظر</w:t>
      </w:r>
      <w:r w:rsidRPr="00C84517">
        <w:rPr>
          <w:rFonts w:hint="cs"/>
          <w:sz w:val="24"/>
          <w:szCs w:val="24"/>
          <w:rtl/>
        </w:rPr>
        <w:t xml:space="preserve"> قضية المحكمة العليا رقم 2/06 (لم يبلغ عنها) (عام 2006).</w:t>
      </w:r>
    </w:p>
  </w:footnote>
  <w:footnote w:id="41">
    <w:p w:rsidR="00F93B21" w:rsidRPr="00A06C42" w:rsidRDefault="00F93B21" w:rsidP="00A06C4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06C42">
        <w:rPr>
          <w:w w:val="103"/>
          <w:rtl/>
        </w:rPr>
        <w:t>(</w:t>
      </w:r>
      <w:r w:rsidRPr="00A06C42">
        <w:rPr>
          <w:rStyle w:val="FootnoteReference"/>
          <w:spacing w:val="0"/>
          <w:w w:val="103"/>
          <w:vertAlign w:val="baseline"/>
          <w:rtl/>
        </w:rPr>
        <w:footnoteRef/>
      </w:r>
      <w:r w:rsidRPr="00A06C42">
        <w:rPr>
          <w:w w:val="103"/>
          <w:rtl/>
        </w:rPr>
        <w:t>)</w:t>
      </w:r>
      <w:r w:rsidRPr="00A06C42">
        <w:rPr>
          <w:w w:val="103"/>
          <w:rtl/>
        </w:rPr>
        <w:tab/>
      </w:r>
      <w:r w:rsidRPr="008312F1">
        <w:rPr>
          <w:rFonts w:hint="cs"/>
          <w:sz w:val="24"/>
          <w:szCs w:val="24"/>
          <w:rtl/>
        </w:rPr>
        <w:t>أضيف تشديد.</w:t>
      </w:r>
    </w:p>
  </w:footnote>
  <w:footnote w:id="42">
    <w:p w:rsidR="00F93B21" w:rsidRPr="00A06C42" w:rsidRDefault="00F93B21" w:rsidP="00A06C4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06C42">
        <w:rPr>
          <w:w w:val="103"/>
          <w:rtl/>
        </w:rPr>
        <w:t>(</w:t>
      </w:r>
      <w:r w:rsidRPr="00A06C42">
        <w:rPr>
          <w:rStyle w:val="FootnoteReference"/>
          <w:spacing w:val="0"/>
          <w:w w:val="103"/>
          <w:vertAlign w:val="baseline"/>
          <w:rtl/>
        </w:rPr>
        <w:footnoteRef/>
      </w:r>
      <w:r w:rsidRPr="00A06C42">
        <w:rPr>
          <w:w w:val="103"/>
          <w:rtl/>
        </w:rPr>
        <w:t>)</w:t>
      </w:r>
      <w:r w:rsidRPr="00A06C42">
        <w:rPr>
          <w:w w:val="103"/>
          <w:rtl/>
        </w:rPr>
        <w:tab/>
      </w:r>
      <w:r>
        <w:rPr>
          <w:rFonts w:hint="cs"/>
          <w:sz w:val="24"/>
          <w:szCs w:val="24"/>
          <w:rtl/>
        </w:rPr>
        <w:t>انظر</w:t>
      </w:r>
      <w:r w:rsidRPr="008312F1">
        <w:rPr>
          <w:rFonts w:hint="cs"/>
          <w:sz w:val="24"/>
          <w:szCs w:val="24"/>
          <w:rtl/>
        </w:rPr>
        <w:t xml:space="preserve"> تي كاكيغا الثانية.</w:t>
      </w:r>
    </w:p>
  </w:footnote>
  <w:footnote w:id="43">
    <w:p w:rsidR="00F93B21" w:rsidRPr="00EC6374" w:rsidRDefault="00F93B21" w:rsidP="00EC637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C6374">
        <w:rPr>
          <w:w w:val="103"/>
          <w:rtl/>
        </w:rPr>
        <w:t>(</w:t>
      </w:r>
      <w:r w:rsidRPr="00EC6374">
        <w:rPr>
          <w:rStyle w:val="FootnoteReference"/>
          <w:spacing w:val="0"/>
          <w:w w:val="103"/>
          <w:vertAlign w:val="baseline"/>
          <w:rtl/>
        </w:rPr>
        <w:footnoteRef/>
      </w:r>
      <w:r w:rsidRPr="00EC6374">
        <w:rPr>
          <w:w w:val="103"/>
          <w:rtl/>
        </w:rPr>
        <w:t>)</w:t>
      </w:r>
      <w:r w:rsidRPr="00EC6374">
        <w:rPr>
          <w:w w:val="103"/>
          <w:rtl/>
        </w:rPr>
        <w:tab/>
      </w:r>
      <w:r>
        <w:rPr>
          <w:rFonts w:hint="cs"/>
          <w:sz w:val="24"/>
          <w:szCs w:val="24"/>
          <w:rtl/>
        </w:rPr>
        <w:t>انظر</w:t>
      </w:r>
      <w:r w:rsidRPr="00C84517">
        <w:rPr>
          <w:rFonts w:hint="cs"/>
          <w:sz w:val="24"/>
          <w:szCs w:val="24"/>
          <w:rtl/>
        </w:rPr>
        <w:t xml:space="preserve"> الجزء الثاني من الدستور.</w:t>
      </w:r>
    </w:p>
  </w:footnote>
  <w:footnote w:id="44">
    <w:p w:rsidR="00F93B21" w:rsidRPr="00EC6374" w:rsidRDefault="00F93B21" w:rsidP="00EC637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C6374">
        <w:rPr>
          <w:w w:val="103"/>
          <w:rtl/>
        </w:rPr>
        <w:t>(</w:t>
      </w:r>
      <w:r w:rsidRPr="00EC6374">
        <w:rPr>
          <w:rStyle w:val="FootnoteReference"/>
          <w:spacing w:val="0"/>
          <w:w w:val="103"/>
          <w:vertAlign w:val="baseline"/>
          <w:rtl/>
        </w:rPr>
        <w:footnoteRef/>
      </w:r>
      <w:r w:rsidRPr="00EC6374">
        <w:rPr>
          <w:w w:val="103"/>
          <w:rtl/>
        </w:rPr>
        <w:t>)</w:t>
      </w:r>
      <w:r w:rsidRPr="00EC6374">
        <w:rPr>
          <w:w w:val="103"/>
          <w:rtl/>
        </w:rPr>
        <w:tab/>
      </w:r>
      <w:r w:rsidRPr="00C84517">
        <w:rPr>
          <w:rFonts w:hint="cs"/>
          <w:sz w:val="24"/>
          <w:szCs w:val="24"/>
          <w:rtl/>
        </w:rPr>
        <w:t>صيغ هذا الفرع الفرعي بعبارات فرضت شرطاً إلزامياً يقضي بأنه لا يجوز التمتع بهذه الحقوق والحريات إلا إذا كان على نحو يخدم المصلحة الوطنية أو لا يتعارض مع التقاليد والثقافة.</w:t>
      </w:r>
    </w:p>
  </w:footnote>
  <w:footnote w:id="45">
    <w:p w:rsidR="00F93B21" w:rsidRPr="00EC6374" w:rsidRDefault="00F93B21" w:rsidP="00EC637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C6374">
        <w:rPr>
          <w:w w:val="103"/>
          <w:rtl/>
        </w:rPr>
        <w:t>(</w:t>
      </w:r>
      <w:r w:rsidRPr="00EC6374">
        <w:rPr>
          <w:rStyle w:val="FootnoteReference"/>
          <w:spacing w:val="0"/>
          <w:w w:val="103"/>
          <w:vertAlign w:val="baseline"/>
          <w:rtl/>
        </w:rPr>
        <w:footnoteRef/>
      </w:r>
      <w:r w:rsidRPr="00EC6374">
        <w:rPr>
          <w:w w:val="103"/>
          <w:rtl/>
        </w:rPr>
        <w:t>)</w:t>
      </w:r>
      <w:r w:rsidRPr="00EC6374">
        <w:rPr>
          <w:w w:val="103"/>
          <w:rtl/>
        </w:rPr>
        <w:tab/>
      </w:r>
      <w:r w:rsidRPr="00C84517">
        <w:rPr>
          <w:rFonts w:hint="cs"/>
          <w:sz w:val="24"/>
          <w:szCs w:val="24"/>
          <w:rtl/>
        </w:rPr>
        <w:t>يمكن الاطلاع عليها على شبكة الإنترنت على الموقع</w:t>
      </w:r>
      <w:r w:rsidRPr="00E52768">
        <w:rPr>
          <w:rFonts w:hint="cs"/>
          <w:sz w:val="28"/>
          <w:szCs w:val="28"/>
          <w:rtl/>
        </w:rPr>
        <w:t>:</w:t>
      </w:r>
      <w:r w:rsidRPr="00DF6268">
        <w:rPr>
          <w:rFonts w:hint="cs"/>
          <w:rtl/>
        </w:rPr>
        <w:t xml:space="preserve"> </w:t>
      </w:r>
      <w:hyperlink r:id="rId1" w:history="1">
        <w:r w:rsidRPr="00306E69">
          <w:rPr>
            <w:rStyle w:val="Hyperlink"/>
          </w:rPr>
          <w:t>http://www.paclii.org</w:t>
        </w:r>
      </w:hyperlink>
      <w:r>
        <w:rPr>
          <w:rFonts w:hint="cs"/>
          <w:rtl/>
        </w:rPr>
        <w:t>.</w:t>
      </w:r>
    </w:p>
  </w:footnote>
  <w:footnote w:id="46">
    <w:p w:rsidR="00F93B21" w:rsidRPr="00EC6374" w:rsidRDefault="00F93B21" w:rsidP="00EC637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C6374">
        <w:rPr>
          <w:w w:val="103"/>
          <w:rtl/>
        </w:rPr>
        <w:t>(</w:t>
      </w:r>
      <w:r w:rsidRPr="00EC6374">
        <w:rPr>
          <w:rStyle w:val="FootnoteReference"/>
          <w:spacing w:val="0"/>
          <w:w w:val="103"/>
          <w:vertAlign w:val="baseline"/>
          <w:rtl/>
        </w:rPr>
        <w:footnoteRef/>
      </w:r>
      <w:r w:rsidRPr="00EC6374">
        <w:rPr>
          <w:w w:val="103"/>
          <w:rtl/>
        </w:rPr>
        <w:t>)</w:t>
      </w:r>
      <w:r w:rsidRPr="00EC6374">
        <w:rPr>
          <w:w w:val="103"/>
          <w:rtl/>
        </w:rPr>
        <w:tab/>
      </w:r>
      <w:r w:rsidRPr="00C84517">
        <w:rPr>
          <w:rFonts w:hint="cs"/>
          <w:sz w:val="24"/>
          <w:szCs w:val="24"/>
          <w:rtl/>
        </w:rPr>
        <w:t>قبل نحو 4-5 سنوات.</w:t>
      </w:r>
    </w:p>
  </w:footnote>
  <w:footnote w:id="47">
    <w:p w:rsidR="00F93B21" w:rsidRPr="00EC6374" w:rsidRDefault="00F93B21" w:rsidP="00EC637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C6374">
        <w:rPr>
          <w:w w:val="103"/>
          <w:rtl/>
        </w:rPr>
        <w:t>(</w:t>
      </w:r>
      <w:r w:rsidRPr="00EC6374">
        <w:rPr>
          <w:rStyle w:val="FootnoteReference"/>
          <w:spacing w:val="0"/>
          <w:w w:val="103"/>
          <w:vertAlign w:val="baseline"/>
          <w:rtl/>
        </w:rPr>
        <w:footnoteRef/>
      </w:r>
      <w:r w:rsidRPr="00EC6374">
        <w:rPr>
          <w:w w:val="103"/>
          <w:rtl/>
        </w:rPr>
        <w:t>)</w:t>
      </w:r>
      <w:r w:rsidRPr="00EC6374">
        <w:rPr>
          <w:w w:val="103"/>
          <w:rtl/>
        </w:rPr>
        <w:tab/>
      </w:r>
      <w:r>
        <w:rPr>
          <w:rFonts w:hint="cs"/>
          <w:sz w:val="24"/>
          <w:szCs w:val="24"/>
          <w:rtl/>
        </w:rPr>
        <w:t>انظر</w:t>
      </w:r>
      <w:r w:rsidRPr="00C84517">
        <w:rPr>
          <w:rFonts w:hint="cs"/>
          <w:sz w:val="24"/>
          <w:szCs w:val="24"/>
          <w:rtl/>
        </w:rPr>
        <w:t xml:space="preserve"> الملاحظات التوضيحية على برنامج استعراض تعديل الدستور.</w:t>
      </w:r>
    </w:p>
  </w:footnote>
  <w:footnote w:id="48">
    <w:p w:rsidR="00F93B21" w:rsidRPr="00F75C65" w:rsidRDefault="00F93B21" w:rsidP="00F75C6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75C65">
        <w:rPr>
          <w:b/>
          <w:bCs/>
          <w:w w:val="103"/>
          <w:rtl/>
        </w:rPr>
        <w:t>(</w:t>
      </w:r>
      <w:r w:rsidRPr="00F75C65">
        <w:rPr>
          <w:rStyle w:val="FootnoteReference"/>
          <w:spacing w:val="0"/>
          <w:w w:val="103"/>
          <w:vertAlign w:val="baseline"/>
          <w:rtl/>
        </w:rPr>
        <w:footnoteRef/>
      </w:r>
      <w:r w:rsidRPr="00F75C65">
        <w:rPr>
          <w:b/>
          <w:bCs/>
          <w:w w:val="103"/>
          <w:rtl/>
        </w:rPr>
        <w:t>)</w:t>
      </w:r>
      <w:r w:rsidRPr="00F75C65">
        <w:rPr>
          <w:w w:val="103"/>
          <w:rtl/>
        </w:rPr>
        <w:tab/>
      </w:r>
      <w:r w:rsidRPr="00C84517">
        <w:rPr>
          <w:rFonts w:hint="cs"/>
          <w:sz w:val="24"/>
          <w:szCs w:val="24"/>
          <w:rtl/>
        </w:rPr>
        <w:t>أضافت تشديداً.</w:t>
      </w:r>
    </w:p>
  </w:footnote>
  <w:footnote w:id="49">
    <w:p w:rsidR="00F93B21" w:rsidRPr="00F75C65" w:rsidRDefault="00F93B21" w:rsidP="00F75C6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75C65">
        <w:rPr>
          <w:w w:val="103"/>
          <w:rtl/>
        </w:rPr>
        <w:t>(</w:t>
      </w:r>
      <w:r w:rsidRPr="00F75C65">
        <w:rPr>
          <w:rStyle w:val="FootnoteReference"/>
          <w:spacing w:val="0"/>
          <w:w w:val="103"/>
          <w:vertAlign w:val="baseline"/>
          <w:rtl/>
        </w:rPr>
        <w:footnoteRef/>
      </w:r>
      <w:r w:rsidRPr="00F75C65">
        <w:rPr>
          <w:w w:val="103"/>
          <w:rtl/>
        </w:rPr>
        <w:t>)</w:t>
      </w:r>
      <w:r w:rsidRPr="00F75C65">
        <w:rPr>
          <w:w w:val="103"/>
          <w:rtl/>
        </w:rPr>
        <w:tab/>
      </w:r>
      <w:r>
        <w:rPr>
          <w:rFonts w:hint="cs"/>
          <w:sz w:val="24"/>
          <w:szCs w:val="24"/>
          <w:rtl/>
        </w:rPr>
        <w:t>انظر</w:t>
      </w:r>
      <w:r w:rsidRPr="00C84517">
        <w:rPr>
          <w:rFonts w:hint="cs"/>
          <w:sz w:val="24"/>
          <w:szCs w:val="24"/>
          <w:rtl/>
        </w:rPr>
        <w:t xml:space="preserve"> الفروع 128 و 130 و 133 و 134 و 135.</w:t>
      </w:r>
    </w:p>
  </w:footnote>
  <w:footnote w:id="50">
    <w:p w:rsidR="00F93B21" w:rsidRPr="00F75C65" w:rsidRDefault="00F93B21" w:rsidP="00F75C6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75C65">
        <w:rPr>
          <w:w w:val="103"/>
          <w:rtl/>
        </w:rPr>
        <w:t>(</w:t>
      </w:r>
      <w:r w:rsidRPr="00F75C65">
        <w:rPr>
          <w:rStyle w:val="FootnoteReference"/>
          <w:spacing w:val="0"/>
          <w:w w:val="103"/>
          <w:vertAlign w:val="baseline"/>
          <w:rtl/>
        </w:rPr>
        <w:footnoteRef/>
      </w:r>
      <w:r w:rsidRPr="00F75C65">
        <w:rPr>
          <w:w w:val="103"/>
          <w:rtl/>
        </w:rPr>
        <w:t>)</w:t>
      </w:r>
      <w:r w:rsidRPr="00F75C65">
        <w:rPr>
          <w:w w:val="103"/>
          <w:rtl/>
        </w:rPr>
        <w:tab/>
      </w:r>
      <w:r>
        <w:rPr>
          <w:rFonts w:hint="cs"/>
          <w:sz w:val="24"/>
          <w:szCs w:val="24"/>
          <w:rtl/>
        </w:rPr>
        <w:t>انظر</w:t>
      </w:r>
      <w:r w:rsidRPr="00C84517">
        <w:rPr>
          <w:rFonts w:hint="cs"/>
          <w:sz w:val="24"/>
          <w:szCs w:val="24"/>
          <w:rtl/>
        </w:rPr>
        <w:t xml:space="preserve"> قانون العقوبات (القانون</w:t>
      </w:r>
      <w:r>
        <w:rPr>
          <w:rFonts w:hint="cs"/>
          <w:sz w:val="24"/>
          <w:szCs w:val="24"/>
          <w:rtl/>
        </w:rPr>
        <w:t xml:space="preserve"> رقم</w:t>
      </w:r>
      <w:r w:rsidRPr="00C84517">
        <w:rPr>
          <w:rFonts w:hint="cs"/>
          <w:sz w:val="24"/>
          <w:szCs w:val="24"/>
          <w:rtl/>
        </w:rPr>
        <w:t xml:space="preserve"> 8)، (الفرع 156) (5).</w:t>
      </w:r>
    </w:p>
  </w:footnote>
  <w:footnote w:id="51">
    <w:p w:rsidR="00F93B21" w:rsidRPr="00F75C65" w:rsidRDefault="00F93B21" w:rsidP="00F75C6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75C65">
        <w:rPr>
          <w:w w:val="103"/>
          <w:rtl/>
        </w:rPr>
        <w:t>(</w:t>
      </w:r>
      <w:r w:rsidRPr="00F75C65">
        <w:rPr>
          <w:rStyle w:val="FootnoteReference"/>
          <w:spacing w:val="0"/>
          <w:w w:val="103"/>
          <w:vertAlign w:val="baseline"/>
          <w:rtl/>
        </w:rPr>
        <w:footnoteRef/>
      </w:r>
      <w:r w:rsidRPr="00F75C65">
        <w:rPr>
          <w:w w:val="103"/>
          <w:rtl/>
        </w:rPr>
        <w:t>)</w:t>
      </w:r>
      <w:r w:rsidRPr="00F75C65">
        <w:rPr>
          <w:w w:val="103"/>
          <w:rtl/>
        </w:rPr>
        <w:tab/>
      </w:r>
      <w:r>
        <w:rPr>
          <w:rFonts w:hint="cs"/>
          <w:sz w:val="24"/>
          <w:szCs w:val="24"/>
          <w:rtl/>
        </w:rPr>
        <w:t>انظر</w:t>
      </w:r>
      <w:r w:rsidRPr="00C84517">
        <w:rPr>
          <w:rFonts w:hint="cs"/>
          <w:sz w:val="24"/>
          <w:szCs w:val="24"/>
          <w:rtl/>
        </w:rPr>
        <w:t xml:space="preserve"> فروع قانون العقوبات 128 و 130 و 133 و 134 و 135.</w:t>
      </w:r>
    </w:p>
  </w:footnote>
  <w:footnote w:id="52">
    <w:p w:rsidR="00F93B21" w:rsidRPr="00F75C65" w:rsidRDefault="00F93B21" w:rsidP="00F75C6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75C65">
        <w:rPr>
          <w:w w:val="103"/>
          <w:rtl/>
        </w:rPr>
        <w:t>(</w:t>
      </w:r>
      <w:r w:rsidRPr="00F75C65">
        <w:rPr>
          <w:rStyle w:val="FootnoteReference"/>
          <w:spacing w:val="0"/>
          <w:w w:val="103"/>
          <w:vertAlign w:val="baseline"/>
          <w:rtl/>
        </w:rPr>
        <w:footnoteRef/>
      </w:r>
      <w:r w:rsidRPr="00F75C65">
        <w:rPr>
          <w:w w:val="103"/>
          <w:rtl/>
        </w:rPr>
        <w:t>)</w:t>
      </w:r>
      <w:r w:rsidRPr="00F75C65">
        <w:rPr>
          <w:w w:val="103"/>
          <w:rtl/>
        </w:rPr>
        <w:tab/>
      </w:r>
      <w:r>
        <w:rPr>
          <w:rFonts w:hint="cs"/>
          <w:sz w:val="24"/>
          <w:szCs w:val="24"/>
          <w:rtl/>
        </w:rPr>
        <w:t>انظر</w:t>
      </w:r>
      <w:r w:rsidRPr="00C84517">
        <w:rPr>
          <w:rFonts w:hint="cs"/>
          <w:sz w:val="24"/>
          <w:szCs w:val="24"/>
          <w:rtl/>
        </w:rPr>
        <w:t xml:space="preserve"> جيفان وفورستر، عام 2006، ترجمة مركز المحيط الهادئ التابع لبرنامج الأمم المتحدة الإنمائي وصندوق الأمم المتحدة لتنمية المرأة اتفاقية القضاء على جميع أشكال التمييز ضد المرأة إلى قانون.</w:t>
      </w:r>
    </w:p>
  </w:footnote>
  <w:footnote w:id="53">
    <w:p w:rsidR="00F93B21" w:rsidRPr="00384A94" w:rsidRDefault="00F93B21" w:rsidP="00F93B21">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84A94">
        <w:rPr>
          <w:w w:val="103"/>
          <w:rtl/>
        </w:rPr>
        <w:t>(</w:t>
      </w:r>
      <w:r w:rsidRPr="00384A94">
        <w:rPr>
          <w:rStyle w:val="FootnoteReference"/>
          <w:spacing w:val="0"/>
          <w:w w:val="103"/>
          <w:vertAlign w:val="baseline"/>
          <w:rtl/>
        </w:rPr>
        <w:footnoteRef/>
      </w:r>
      <w:r w:rsidRPr="00384A94">
        <w:rPr>
          <w:w w:val="103"/>
          <w:rtl/>
        </w:rPr>
        <w:t>)</w:t>
      </w:r>
      <w:r w:rsidRPr="00384A94">
        <w:rPr>
          <w:w w:val="103"/>
          <w:rtl/>
        </w:rPr>
        <w:tab/>
      </w:r>
      <w:r>
        <w:rPr>
          <w:rFonts w:hint="eastAsia"/>
          <w:sz w:val="24"/>
          <w:szCs w:val="24"/>
          <w:rtl/>
        </w:rPr>
        <w:t>”</w:t>
      </w:r>
      <w:r>
        <w:rPr>
          <w:rFonts w:hint="cs"/>
          <w:sz w:val="24"/>
          <w:szCs w:val="24"/>
          <w:rtl/>
        </w:rPr>
        <w:t>كايتاسي</w:t>
      </w:r>
      <w:r>
        <w:rPr>
          <w:rFonts w:hint="eastAsia"/>
          <w:sz w:val="24"/>
          <w:szCs w:val="24"/>
          <w:rtl/>
        </w:rPr>
        <w:t>“</w:t>
      </w:r>
      <w:r>
        <w:rPr>
          <w:rFonts w:hint="cs"/>
          <w:sz w:val="24"/>
          <w:szCs w:val="24"/>
          <w:rtl/>
        </w:rPr>
        <w:t xml:space="preserve"> تعني</w:t>
      </w:r>
      <w:r w:rsidRPr="00626854">
        <w:rPr>
          <w:rFonts w:hint="cs"/>
          <w:sz w:val="24"/>
          <w:szCs w:val="24"/>
          <w:rtl/>
        </w:rPr>
        <w:t xml:space="preserve"> مجموعة من الأسر التي لها </w:t>
      </w:r>
      <w:r>
        <w:rPr>
          <w:rFonts w:hint="cs"/>
          <w:sz w:val="24"/>
          <w:szCs w:val="24"/>
          <w:rtl/>
        </w:rPr>
        <w:t>حق</w:t>
      </w:r>
      <w:r w:rsidRPr="00626854">
        <w:rPr>
          <w:rFonts w:hint="cs"/>
          <w:sz w:val="24"/>
          <w:szCs w:val="24"/>
          <w:rtl/>
        </w:rPr>
        <w:t xml:space="preserve"> متساوٍ </w:t>
      </w:r>
      <w:r>
        <w:rPr>
          <w:rFonts w:hint="cs"/>
          <w:sz w:val="24"/>
          <w:szCs w:val="24"/>
          <w:rtl/>
        </w:rPr>
        <w:t>في</w:t>
      </w:r>
      <w:r w:rsidRPr="00626854">
        <w:rPr>
          <w:rFonts w:hint="cs"/>
          <w:sz w:val="24"/>
          <w:szCs w:val="24"/>
          <w:rtl/>
        </w:rPr>
        <w:t xml:space="preserve"> الأرض.</w:t>
      </w:r>
    </w:p>
  </w:footnote>
  <w:footnote w:id="54">
    <w:p w:rsidR="00F93B21" w:rsidRPr="00384A94" w:rsidRDefault="00F93B21" w:rsidP="00384A9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84A94">
        <w:rPr>
          <w:w w:val="103"/>
          <w:rtl/>
        </w:rPr>
        <w:t>(</w:t>
      </w:r>
      <w:r w:rsidRPr="00384A94">
        <w:rPr>
          <w:rStyle w:val="FootnoteReference"/>
          <w:spacing w:val="0"/>
          <w:w w:val="103"/>
          <w:vertAlign w:val="baseline"/>
          <w:rtl/>
        </w:rPr>
        <w:footnoteRef/>
      </w:r>
      <w:r w:rsidRPr="00384A94">
        <w:rPr>
          <w:w w:val="103"/>
          <w:rtl/>
        </w:rPr>
        <w:t>)</w:t>
      </w:r>
      <w:r w:rsidRPr="00384A94">
        <w:rPr>
          <w:w w:val="103"/>
          <w:rtl/>
        </w:rPr>
        <w:tab/>
      </w:r>
      <w:r w:rsidRPr="00384A94">
        <w:rPr>
          <w:rFonts w:hint="cs"/>
          <w:w w:val="103"/>
          <w:rtl/>
        </w:rPr>
        <w:t xml:space="preserve">تعني عبارة </w:t>
      </w:r>
      <w:r w:rsidRPr="00384A94">
        <w:rPr>
          <w:w w:val="103"/>
        </w:rPr>
        <w:t>“Tuu mo Aganuu”</w:t>
      </w:r>
      <w:r w:rsidRPr="00384A94">
        <w:rPr>
          <w:rFonts w:hint="cs"/>
          <w:w w:val="103"/>
          <w:rtl/>
        </w:rPr>
        <w:t xml:space="preserve"> الثقافة والتقاليد.</w:t>
      </w:r>
    </w:p>
  </w:footnote>
  <w:footnote w:id="55">
    <w:p w:rsidR="00F93B21" w:rsidRPr="00384A94" w:rsidRDefault="00F93B21" w:rsidP="00F93B21">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84A94">
        <w:rPr>
          <w:w w:val="103"/>
          <w:rtl/>
        </w:rPr>
        <w:t>(</w:t>
      </w:r>
      <w:r w:rsidRPr="00384A94">
        <w:rPr>
          <w:rStyle w:val="FootnoteReference"/>
          <w:spacing w:val="0"/>
          <w:w w:val="103"/>
          <w:vertAlign w:val="baseline"/>
          <w:rtl/>
        </w:rPr>
        <w:footnoteRef/>
      </w:r>
      <w:r w:rsidRPr="00384A94">
        <w:rPr>
          <w:w w:val="103"/>
          <w:rtl/>
        </w:rPr>
        <w:t>)</w:t>
      </w:r>
      <w:r w:rsidRPr="00384A94">
        <w:rPr>
          <w:w w:val="103"/>
          <w:rtl/>
        </w:rPr>
        <w:tab/>
      </w:r>
      <w:r w:rsidRPr="00384A94">
        <w:rPr>
          <w:rFonts w:hint="cs"/>
          <w:w w:val="103"/>
          <w:rtl/>
        </w:rPr>
        <w:t xml:space="preserve">كلمة </w:t>
      </w:r>
      <w:r>
        <w:rPr>
          <w:rFonts w:hint="eastAsia"/>
          <w:w w:val="103"/>
          <w:rtl/>
        </w:rPr>
        <w:t>”</w:t>
      </w:r>
      <w:r w:rsidRPr="00384A94">
        <w:rPr>
          <w:w w:val="103"/>
        </w:rPr>
        <w:t>Tuagaene</w:t>
      </w:r>
      <w:r>
        <w:rPr>
          <w:rFonts w:hint="eastAsia"/>
          <w:w w:val="103"/>
          <w:rtl/>
        </w:rPr>
        <w:t>“</w:t>
      </w:r>
      <w:r w:rsidRPr="00384A94">
        <w:rPr>
          <w:rFonts w:hint="cs"/>
          <w:w w:val="103"/>
          <w:rtl/>
        </w:rPr>
        <w:t xml:space="preserve"> تعني أخ، بينما كلمة </w:t>
      </w:r>
      <w:r>
        <w:rPr>
          <w:rFonts w:hint="eastAsia"/>
          <w:w w:val="103"/>
          <w:rtl/>
        </w:rPr>
        <w:t>”</w:t>
      </w:r>
      <w:r w:rsidRPr="00384A94">
        <w:rPr>
          <w:w w:val="103"/>
        </w:rPr>
        <w:t>fakatuagaene</w:t>
      </w:r>
      <w:r>
        <w:rPr>
          <w:rFonts w:hint="eastAsia"/>
          <w:w w:val="103"/>
          <w:rtl/>
        </w:rPr>
        <w:t>“</w:t>
      </w:r>
      <w:r w:rsidRPr="00384A94">
        <w:rPr>
          <w:rFonts w:hint="cs"/>
          <w:w w:val="103"/>
          <w:rtl/>
        </w:rPr>
        <w:t xml:space="preserve"> تعني ابن عم أو ابنة عم.</w:t>
      </w:r>
    </w:p>
  </w:footnote>
  <w:footnote w:id="56">
    <w:p w:rsidR="00F93B21" w:rsidRPr="00384A94" w:rsidRDefault="00F93B21" w:rsidP="00F93B21">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84A94">
        <w:rPr>
          <w:w w:val="103"/>
          <w:rtl/>
        </w:rPr>
        <w:t>(</w:t>
      </w:r>
      <w:r w:rsidRPr="00384A94">
        <w:rPr>
          <w:rStyle w:val="FootnoteReference"/>
          <w:spacing w:val="0"/>
          <w:w w:val="103"/>
          <w:vertAlign w:val="baseline"/>
          <w:rtl/>
        </w:rPr>
        <w:footnoteRef/>
      </w:r>
      <w:r w:rsidRPr="00384A94">
        <w:rPr>
          <w:w w:val="103"/>
          <w:rtl/>
        </w:rPr>
        <w:t>)</w:t>
      </w:r>
      <w:r w:rsidRPr="00384A94">
        <w:rPr>
          <w:w w:val="103"/>
          <w:rtl/>
        </w:rPr>
        <w:tab/>
      </w:r>
      <w:r w:rsidRPr="00384A94">
        <w:rPr>
          <w:rFonts w:hint="cs"/>
          <w:w w:val="103"/>
          <w:rtl/>
        </w:rPr>
        <w:t xml:space="preserve">كلمة </w:t>
      </w:r>
      <w:r>
        <w:rPr>
          <w:rFonts w:hint="eastAsia"/>
          <w:w w:val="103"/>
          <w:rtl/>
        </w:rPr>
        <w:t>”</w:t>
      </w:r>
      <w:r w:rsidRPr="00384A94">
        <w:rPr>
          <w:w w:val="103"/>
        </w:rPr>
        <w:t>Tautina</w:t>
      </w:r>
      <w:r>
        <w:rPr>
          <w:rFonts w:hint="eastAsia"/>
          <w:w w:val="103"/>
          <w:rtl/>
        </w:rPr>
        <w:t>“</w:t>
      </w:r>
      <w:r w:rsidRPr="00384A94">
        <w:rPr>
          <w:rFonts w:hint="cs"/>
          <w:w w:val="103"/>
          <w:rtl/>
        </w:rPr>
        <w:t xml:space="preserve"> تعني خال.</w:t>
      </w:r>
    </w:p>
  </w:footnote>
  <w:footnote w:id="57">
    <w:p w:rsidR="00F93B21" w:rsidRPr="00384A94" w:rsidRDefault="00F93B21" w:rsidP="00384A9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84A94">
        <w:rPr>
          <w:w w:val="103"/>
          <w:rtl/>
        </w:rPr>
        <w:t>(</w:t>
      </w:r>
      <w:r w:rsidRPr="00384A94">
        <w:rPr>
          <w:rStyle w:val="FootnoteReference"/>
          <w:spacing w:val="0"/>
          <w:w w:val="103"/>
          <w:vertAlign w:val="baseline"/>
          <w:rtl/>
        </w:rPr>
        <w:footnoteRef/>
      </w:r>
      <w:r w:rsidRPr="00384A94">
        <w:rPr>
          <w:w w:val="103"/>
          <w:rtl/>
        </w:rPr>
        <w:t>)</w:t>
      </w:r>
      <w:r w:rsidRPr="00384A94">
        <w:rPr>
          <w:w w:val="103"/>
          <w:rtl/>
        </w:rPr>
        <w:tab/>
      </w:r>
      <w:r>
        <w:rPr>
          <w:rFonts w:hint="cs"/>
          <w:w w:val="103"/>
          <w:rtl/>
        </w:rPr>
        <w:t>انظر</w:t>
      </w:r>
      <w:r w:rsidRPr="00384A94">
        <w:rPr>
          <w:rFonts w:hint="cs"/>
          <w:w w:val="103"/>
          <w:rtl/>
        </w:rPr>
        <w:t xml:space="preserve"> الخطة الاستراتيجية الوطنية تي كاكيغا الثانية للتنمية المستدامة للفترة 2005-2015.</w:t>
      </w:r>
    </w:p>
  </w:footnote>
  <w:footnote w:id="58">
    <w:p w:rsidR="00F93B21" w:rsidRPr="00090A8E" w:rsidRDefault="00F93B21" w:rsidP="00090A8E">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090A8E">
        <w:rPr>
          <w:i/>
          <w:iCs/>
          <w:w w:val="103"/>
          <w:sz w:val="16"/>
          <w:rtl/>
        </w:rPr>
        <w:t>(</w:t>
      </w:r>
      <w:r w:rsidRPr="00090A8E">
        <w:rPr>
          <w:rStyle w:val="FootnoteReference"/>
          <w:i/>
          <w:iCs/>
          <w:spacing w:val="0"/>
          <w:w w:val="103"/>
          <w:vertAlign w:val="baseline"/>
          <w:rtl/>
        </w:rPr>
        <w:footnoteRef/>
      </w:r>
      <w:r w:rsidRPr="00090A8E">
        <w:rPr>
          <w:i/>
          <w:iCs/>
          <w:w w:val="103"/>
          <w:sz w:val="16"/>
          <w:rtl/>
        </w:rPr>
        <w:t>)</w:t>
      </w:r>
      <w:r w:rsidRPr="00090A8E">
        <w:rPr>
          <w:w w:val="103"/>
          <w:rtl/>
        </w:rPr>
        <w:tab/>
      </w:r>
      <w:r>
        <w:rPr>
          <w:rFonts w:hint="cs"/>
          <w:sz w:val="28"/>
          <w:szCs w:val="28"/>
          <w:rtl/>
        </w:rPr>
        <w:t>مموَّل ب</w:t>
      </w:r>
      <w:r w:rsidRPr="00197D71">
        <w:rPr>
          <w:rFonts w:hint="cs"/>
          <w:sz w:val="28"/>
          <w:szCs w:val="28"/>
          <w:rtl/>
        </w:rPr>
        <w:t>مساعدة أجنبية.</w:t>
      </w:r>
    </w:p>
  </w:footnote>
  <w:footnote w:id="59">
    <w:p w:rsidR="00F93B21" w:rsidRPr="0090707A" w:rsidRDefault="00F93B21" w:rsidP="0090707A">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Pr>
          <w:rFonts w:hint="cs"/>
          <w:rtl/>
        </w:rPr>
        <w:t>(</w:t>
      </w:r>
      <w:r w:rsidRPr="0090707A">
        <w:rPr>
          <w:rStyle w:val="FootnoteReference"/>
          <w:spacing w:val="0"/>
          <w:w w:val="103"/>
          <w:vertAlign w:val="baseline"/>
          <w:rtl/>
        </w:rPr>
        <w:footnoteRef/>
      </w:r>
      <w:r w:rsidRPr="0090707A">
        <w:rPr>
          <w:w w:val="103"/>
          <w:rtl/>
        </w:rPr>
        <w:t>)</w:t>
      </w:r>
      <w:r w:rsidRPr="0090707A">
        <w:rPr>
          <w:w w:val="103"/>
          <w:rtl/>
        </w:rPr>
        <w:tab/>
      </w:r>
      <w:r>
        <w:rPr>
          <w:rFonts w:hint="cs"/>
          <w:sz w:val="28"/>
          <w:szCs w:val="28"/>
          <w:rtl/>
        </w:rPr>
        <w:t xml:space="preserve">كلمة </w:t>
      </w:r>
      <w:r w:rsidRPr="00711310">
        <w:rPr>
          <w:sz w:val="18"/>
          <w:szCs w:val="18"/>
        </w:rPr>
        <w:t>“matai”</w:t>
      </w:r>
      <w:r w:rsidRPr="00991A98">
        <w:rPr>
          <w:rFonts w:hint="cs"/>
          <w:sz w:val="28"/>
          <w:szCs w:val="28"/>
          <w:rtl/>
        </w:rPr>
        <w:t xml:space="preserve"> تعني</w:t>
      </w:r>
      <w:r>
        <w:rPr>
          <w:rFonts w:hint="cs"/>
          <w:sz w:val="28"/>
          <w:szCs w:val="28"/>
          <w:rtl/>
        </w:rPr>
        <w:t xml:space="preserve"> </w:t>
      </w:r>
      <w:r w:rsidRPr="00991A98">
        <w:rPr>
          <w:rFonts w:hint="cs"/>
          <w:sz w:val="28"/>
          <w:szCs w:val="28"/>
          <w:rtl/>
        </w:rPr>
        <w:t xml:space="preserve">رئيس </w:t>
      </w:r>
      <w:r>
        <w:rPr>
          <w:rFonts w:hint="cs"/>
          <w:sz w:val="28"/>
          <w:szCs w:val="28"/>
          <w:rtl/>
        </w:rPr>
        <w:t>عشيرة</w:t>
      </w:r>
      <w:r w:rsidRPr="00991A98">
        <w:rPr>
          <w:rFonts w:hint="cs"/>
          <w:sz w:val="28"/>
          <w:szCs w:val="28"/>
          <w:rtl/>
        </w:rPr>
        <w:t>.</w:t>
      </w:r>
    </w:p>
  </w:footnote>
  <w:footnote w:id="60">
    <w:p w:rsidR="00F93B21" w:rsidRPr="0090707A" w:rsidRDefault="00F93B21" w:rsidP="0090707A">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Pr>
          <w:rFonts w:hint="cs"/>
          <w:rtl/>
        </w:rPr>
        <w:t>(</w:t>
      </w:r>
      <w:r w:rsidRPr="0090707A">
        <w:rPr>
          <w:rStyle w:val="FootnoteReference"/>
          <w:spacing w:val="0"/>
          <w:w w:val="103"/>
          <w:vertAlign w:val="baseline"/>
          <w:rtl/>
        </w:rPr>
        <w:footnoteRef/>
      </w:r>
      <w:r w:rsidRPr="0090707A">
        <w:rPr>
          <w:w w:val="103"/>
          <w:rtl/>
        </w:rPr>
        <w:t>)</w:t>
      </w:r>
      <w:r w:rsidRPr="0090707A">
        <w:rPr>
          <w:rFonts w:hint="cs"/>
          <w:w w:val="103"/>
          <w:rtl/>
        </w:rPr>
        <w:t>،</w:t>
      </w:r>
      <w:r w:rsidRPr="0090707A">
        <w:rPr>
          <w:w w:val="103"/>
          <w:rtl/>
        </w:rPr>
        <w:tab/>
      </w:r>
      <w:r>
        <w:rPr>
          <w:rFonts w:hint="cs"/>
          <w:sz w:val="28"/>
          <w:szCs w:val="28"/>
          <w:rtl/>
        </w:rPr>
        <w:t xml:space="preserve">كلمة </w:t>
      </w:r>
      <w:r w:rsidRPr="00711310">
        <w:rPr>
          <w:sz w:val="18"/>
          <w:szCs w:val="18"/>
        </w:rPr>
        <w:t>“mataniu”</w:t>
      </w:r>
      <w:r>
        <w:rPr>
          <w:rFonts w:hint="cs"/>
          <w:sz w:val="28"/>
          <w:szCs w:val="28"/>
          <w:rtl/>
        </w:rPr>
        <w:t xml:space="preserve"> </w:t>
      </w:r>
      <w:r w:rsidRPr="00991A98">
        <w:rPr>
          <w:rFonts w:hint="cs"/>
          <w:sz w:val="28"/>
          <w:szCs w:val="28"/>
          <w:rtl/>
        </w:rPr>
        <w:t>تعني</w:t>
      </w:r>
      <w:r>
        <w:rPr>
          <w:rFonts w:hint="cs"/>
          <w:sz w:val="28"/>
          <w:szCs w:val="28"/>
          <w:rtl/>
        </w:rPr>
        <w:t xml:space="preserve"> عشيرة</w:t>
      </w:r>
      <w:r w:rsidRPr="00991A98">
        <w:rPr>
          <w:rFonts w:hint="cs"/>
          <w:sz w:val="28"/>
          <w:szCs w:val="28"/>
          <w:rtl/>
        </w:rPr>
        <w:t>.</w:t>
      </w:r>
    </w:p>
  </w:footnote>
  <w:footnote w:id="61">
    <w:p w:rsidR="00F93B21" w:rsidRPr="0090707A" w:rsidRDefault="00F93B21" w:rsidP="0090707A">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0707A">
        <w:rPr>
          <w:w w:val="103"/>
          <w:rtl/>
        </w:rPr>
        <w:t>(</w:t>
      </w:r>
      <w:r w:rsidRPr="0090707A">
        <w:rPr>
          <w:rStyle w:val="FootnoteReference"/>
          <w:spacing w:val="0"/>
          <w:w w:val="103"/>
          <w:vertAlign w:val="baseline"/>
          <w:rtl/>
        </w:rPr>
        <w:footnoteRef/>
      </w:r>
      <w:r w:rsidRPr="0090707A">
        <w:rPr>
          <w:w w:val="103"/>
          <w:rtl/>
        </w:rPr>
        <w:t>)</w:t>
      </w:r>
      <w:r w:rsidRPr="0090707A">
        <w:rPr>
          <w:w w:val="103"/>
          <w:rtl/>
        </w:rPr>
        <w:tab/>
      </w:r>
      <w:r>
        <w:rPr>
          <w:rFonts w:hint="cs"/>
          <w:sz w:val="28"/>
          <w:szCs w:val="28"/>
          <w:rtl/>
        </w:rPr>
        <w:t xml:space="preserve">انظر </w:t>
      </w:r>
      <w:r w:rsidRPr="00991A98">
        <w:rPr>
          <w:rFonts w:hint="cs"/>
          <w:sz w:val="28"/>
          <w:szCs w:val="28"/>
          <w:rtl/>
        </w:rPr>
        <w:t>أسلوب الحياة في توفال.</w:t>
      </w:r>
    </w:p>
  </w:footnote>
  <w:footnote w:id="62">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انظر مصرف</w:t>
      </w:r>
      <w:r w:rsidRPr="00991A98">
        <w:rPr>
          <w:rFonts w:hint="cs"/>
          <w:sz w:val="28"/>
          <w:szCs w:val="28"/>
          <w:rtl/>
        </w:rPr>
        <w:t xml:space="preserve"> التنمية الآسي</w:t>
      </w:r>
      <w:r>
        <w:rPr>
          <w:rFonts w:hint="cs"/>
          <w:sz w:val="28"/>
          <w:szCs w:val="28"/>
          <w:rtl/>
        </w:rPr>
        <w:t>وي</w:t>
      </w:r>
      <w:r w:rsidRPr="00991A98">
        <w:rPr>
          <w:rFonts w:hint="cs"/>
          <w:sz w:val="28"/>
          <w:szCs w:val="28"/>
          <w:rtl/>
        </w:rPr>
        <w:t xml:space="preserve">، عام 2003، أولويات الناس: </w:t>
      </w:r>
      <w:r>
        <w:rPr>
          <w:rFonts w:hint="cs"/>
          <w:sz w:val="28"/>
          <w:szCs w:val="28"/>
          <w:rtl/>
        </w:rPr>
        <w:t>صعوبة العيش في توفالو</w:t>
      </w:r>
      <w:r w:rsidRPr="00991A98">
        <w:rPr>
          <w:rFonts w:hint="cs"/>
          <w:sz w:val="28"/>
          <w:szCs w:val="28"/>
          <w:rtl/>
        </w:rPr>
        <w:t>.</w:t>
      </w:r>
    </w:p>
  </w:footnote>
  <w:footnote w:id="63">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 xml:space="preserve">انظر </w:t>
      </w:r>
      <w:r w:rsidRPr="005A71F4">
        <w:rPr>
          <w:rFonts w:hint="cs"/>
          <w:sz w:val="28"/>
          <w:szCs w:val="28"/>
          <w:rtl/>
        </w:rPr>
        <w:t>العادات وحقوق الإنسان في منطقة المحيط الهادئ، مشاورات أيار/ مايو 2006.</w:t>
      </w:r>
    </w:p>
  </w:footnote>
  <w:footnote w:id="64">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w w:val="103"/>
          <w:rtl/>
        </w:rPr>
        <w:t>انظر</w:t>
      </w:r>
      <w:r w:rsidRPr="00A44A3C">
        <w:rPr>
          <w:rFonts w:hint="cs"/>
          <w:w w:val="103"/>
          <w:rtl/>
        </w:rPr>
        <w:t xml:space="preserve"> كوفي وتاوميا في أمانة منتدى جزر المحيط الهادئ، عام 2006، "مكان المرأة في البيت </w:t>
      </w:r>
      <w:r>
        <w:rPr>
          <w:rFonts w:hint="cs"/>
          <w:w w:val="103"/>
          <w:rtl/>
        </w:rPr>
        <w:t>-</w:t>
      </w:r>
      <w:r w:rsidRPr="00A44A3C">
        <w:rPr>
          <w:rFonts w:hint="cs"/>
          <w:w w:val="103"/>
          <w:rtl/>
        </w:rPr>
        <w:t xml:space="preserve"> مجلس البرلمان.</w:t>
      </w:r>
    </w:p>
  </w:footnote>
  <w:footnote w:id="65">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انظر</w:t>
      </w:r>
      <w:r w:rsidRPr="00991A98">
        <w:rPr>
          <w:rFonts w:hint="cs"/>
          <w:sz w:val="28"/>
          <w:szCs w:val="28"/>
          <w:rtl/>
        </w:rPr>
        <w:t xml:space="preserve"> الفرعين 145 و 146 من قانون العقوبات لعام 1965.</w:t>
      </w:r>
    </w:p>
  </w:footnote>
  <w:footnote w:id="66">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انظر</w:t>
      </w:r>
      <w:r w:rsidRPr="00C24BF1">
        <w:rPr>
          <w:rFonts w:hint="cs"/>
          <w:sz w:val="28"/>
          <w:szCs w:val="28"/>
          <w:rtl/>
        </w:rPr>
        <w:t xml:space="preserve"> الفروع 140-142 من المرجع نفسه.</w:t>
      </w:r>
    </w:p>
  </w:footnote>
  <w:footnote w:id="67">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انظر</w:t>
      </w:r>
      <w:r w:rsidRPr="00991A98">
        <w:rPr>
          <w:rFonts w:hint="cs"/>
          <w:sz w:val="28"/>
          <w:szCs w:val="28"/>
          <w:rtl/>
        </w:rPr>
        <w:t xml:space="preserve"> الفرع 138 من المرجع نفسه.</w:t>
      </w:r>
    </w:p>
  </w:footnote>
  <w:footnote w:id="68">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انظر</w:t>
      </w:r>
      <w:r w:rsidRPr="00C24BF1">
        <w:rPr>
          <w:rFonts w:hint="cs"/>
          <w:sz w:val="28"/>
          <w:szCs w:val="28"/>
          <w:rtl/>
        </w:rPr>
        <w:t xml:space="preserve"> الفرعين 145 و 146 من القانون الجنائي لعام 1965.</w:t>
      </w:r>
    </w:p>
  </w:footnote>
  <w:footnote w:id="69">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sz w:val="28"/>
          <w:szCs w:val="28"/>
          <w:rtl/>
        </w:rPr>
        <w:t>انظر</w:t>
      </w:r>
      <w:r w:rsidRPr="00C24BF1">
        <w:rPr>
          <w:rFonts w:hint="cs"/>
          <w:sz w:val="28"/>
          <w:szCs w:val="28"/>
          <w:rtl/>
        </w:rPr>
        <w:t xml:space="preserve"> الفروع 140-142 من المرجع نفسه.</w:t>
      </w:r>
    </w:p>
  </w:footnote>
  <w:footnote w:id="70">
    <w:p w:rsidR="00F93B21" w:rsidRPr="00A44A3C" w:rsidRDefault="00F93B21" w:rsidP="00A44A3C">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44A3C">
        <w:rPr>
          <w:w w:val="103"/>
          <w:rtl/>
        </w:rPr>
        <w:t>(</w:t>
      </w:r>
      <w:r w:rsidRPr="00A44A3C">
        <w:rPr>
          <w:rStyle w:val="FootnoteReference"/>
          <w:spacing w:val="0"/>
          <w:w w:val="103"/>
          <w:vertAlign w:val="baseline"/>
          <w:rtl/>
        </w:rPr>
        <w:footnoteRef/>
      </w:r>
      <w:r w:rsidRPr="00A44A3C">
        <w:rPr>
          <w:w w:val="103"/>
          <w:rtl/>
        </w:rPr>
        <w:t>)</w:t>
      </w:r>
      <w:r w:rsidRPr="00A44A3C">
        <w:rPr>
          <w:w w:val="103"/>
          <w:rtl/>
        </w:rPr>
        <w:tab/>
      </w:r>
      <w:r>
        <w:rPr>
          <w:rFonts w:hint="cs"/>
          <w:w w:val="103"/>
          <w:rtl/>
        </w:rPr>
        <w:t>انظر</w:t>
      </w:r>
      <w:r w:rsidRPr="00A44A3C">
        <w:rPr>
          <w:rFonts w:hint="cs"/>
          <w:w w:val="103"/>
          <w:rtl/>
        </w:rPr>
        <w:t xml:space="preserve"> الفرع 138 من المرجع نفسه.</w:t>
      </w:r>
    </w:p>
  </w:footnote>
  <w:footnote w:id="71">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Pr>
          <w:rFonts w:hint="cs"/>
          <w:sz w:val="28"/>
          <w:szCs w:val="28"/>
          <w:rtl/>
        </w:rPr>
        <w:t>انظر</w:t>
      </w:r>
      <w:r w:rsidRPr="00F8637C">
        <w:rPr>
          <w:rFonts w:hint="cs"/>
          <w:sz w:val="28"/>
          <w:szCs w:val="28"/>
          <w:rtl/>
        </w:rPr>
        <w:t xml:space="preserve"> الفروع 90-92 من دستور توفالو.</w:t>
      </w:r>
    </w:p>
  </w:footnote>
  <w:footnote w:id="72">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Pr>
          <w:rFonts w:hint="cs"/>
          <w:sz w:val="28"/>
          <w:szCs w:val="28"/>
          <w:rtl/>
        </w:rPr>
        <w:t>انظر</w:t>
      </w:r>
      <w:r w:rsidRPr="00F8637C">
        <w:rPr>
          <w:rFonts w:hint="cs"/>
          <w:sz w:val="28"/>
          <w:szCs w:val="28"/>
          <w:rtl/>
        </w:rPr>
        <w:t xml:space="preserve"> الفرع 5 من قانون أحكام الانتخابات (البرلمانية) لعام 1980.</w:t>
      </w:r>
    </w:p>
  </w:footnote>
  <w:footnote w:id="73">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Pr>
          <w:rFonts w:hint="cs"/>
          <w:sz w:val="28"/>
          <w:szCs w:val="28"/>
          <w:rtl/>
        </w:rPr>
        <w:t>انظر</w:t>
      </w:r>
      <w:r w:rsidRPr="00F8637C">
        <w:rPr>
          <w:rFonts w:hint="cs"/>
          <w:sz w:val="28"/>
          <w:szCs w:val="28"/>
          <w:rtl/>
        </w:rPr>
        <w:t xml:space="preserve"> الفرع 5 (3) من قانون أحكام الانتخابات (البرلمانية) لعام 1980.</w:t>
      </w:r>
    </w:p>
  </w:footnote>
  <w:footnote w:id="74">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Pr>
          <w:rFonts w:hint="cs"/>
          <w:w w:val="103"/>
          <w:rtl/>
        </w:rPr>
        <w:t>انظر</w:t>
      </w:r>
      <w:r w:rsidRPr="00AA522B">
        <w:rPr>
          <w:rFonts w:hint="cs"/>
          <w:w w:val="103"/>
          <w:rtl/>
        </w:rPr>
        <w:t xml:space="preserve"> كوفي وتاوميا في أمانة منتدى جزر الهادئ، عام 2006، "مكان المرأة في البيت </w:t>
      </w:r>
      <w:r>
        <w:rPr>
          <w:rFonts w:hint="cs"/>
          <w:w w:val="103"/>
          <w:rtl/>
        </w:rPr>
        <w:t>-</w:t>
      </w:r>
      <w:r w:rsidRPr="00AA522B">
        <w:rPr>
          <w:rFonts w:hint="cs"/>
          <w:w w:val="103"/>
          <w:rtl/>
        </w:rPr>
        <w:t xml:space="preserve"> مجلس البرلمان ".</w:t>
      </w:r>
    </w:p>
  </w:footnote>
  <w:footnote w:id="75">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sidRPr="00276089">
        <w:rPr>
          <w:rFonts w:hint="cs"/>
          <w:sz w:val="28"/>
          <w:szCs w:val="28"/>
          <w:rtl/>
        </w:rPr>
        <w:t>تتكون</w:t>
      </w:r>
      <w:r>
        <w:rPr>
          <w:rFonts w:hint="cs"/>
          <w:sz w:val="28"/>
          <w:szCs w:val="28"/>
          <w:rtl/>
        </w:rPr>
        <w:t xml:space="preserve"> </w:t>
      </w:r>
      <w:r w:rsidRPr="00276089">
        <w:rPr>
          <w:rFonts w:hint="cs"/>
          <w:sz w:val="28"/>
          <w:szCs w:val="28"/>
          <w:rtl/>
        </w:rPr>
        <w:t>هذه اللجنة</w:t>
      </w:r>
      <w:r>
        <w:rPr>
          <w:rFonts w:hint="cs"/>
          <w:sz w:val="28"/>
          <w:szCs w:val="28"/>
          <w:rtl/>
        </w:rPr>
        <w:t xml:space="preserve"> من الأمناء الدائمين فقط.</w:t>
      </w:r>
    </w:p>
  </w:footnote>
  <w:footnote w:id="76">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Pr>
          <w:rFonts w:hint="cs"/>
          <w:w w:val="103"/>
          <w:rtl/>
        </w:rPr>
        <w:t>انظر</w:t>
      </w:r>
      <w:r w:rsidRPr="00AA522B">
        <w:rPr>
          <w:rFonts w:hint="cs"/>
          <w:w w:val="103"/>
          <w:rtl/>
        </w:rPr>
        <w:t xml:space="preserve"> الفرع 9 من قانون الفالي كابيول، عام 1997.</w:t>
      </w:r>
    </w:p>
  </w:footnote>
  <w:footnote w:id="77">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Pr>
          <w:rFonts w:hint="cs"/>
          <w:w w:val="103"/>
          <w:rtl/>
        </w:rPr>
        <w:t>انظر</w:t>
      </w:r>
      <w:r w:rsidRPr="00AA522B">
        <w:rPr>
          <w:rFonts w:hint="cs"/>
          <w:w w:val="103"/>
          <w:rtl/>
        </w:rPr>
        <w:t xml:space="preserve"> الجزء الخاص من قانون الفالي كابيول</w:t>
      </w:r>
      <w:r>
        <w:rPr>
          <w:rFonts w:hint="cs"/>
          <w:w w:val="103"/>
          <w:rtl/>
        </w:rPr>
        <w:t>.</w:t>
      </w:r>
    </w:p>
  </w:footnote>
  <w:footnote w:id="78">
    <w:p w:rsidR="00F93B21" w:rsidRPr="00AA522B" w:rsidRDefault="00F93B21" w:rsidP="00AA522B">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A522B">
        <w:rPr>
          <w:w w:val="103"/>
          <w:rtl/>
        </w:rPr>
        <w:t>(</w:t>
      </w:r>
      <w:r w:rsidRPr="00AA522B">
        <w:rPr>
          <w:rStyle w:val="FootnoteReference"/>
          <w:spacing w:val="0"/>
          <w:w w:val="103"/>
          <w:vertAlign w:val="baseline"/>
          <w:rtl/>
        </w:rPr>
        <w:footnoteRef/>
      </w:r>
      <w:r w:rsidRPr="00AA522B">
        <w:rPr>
          <w:w w:val="103"/>
          <w:rtl/>
        </w:rPr>
        <w:t>)</w:t>
      </w:r>
      <w:r w:rsidRPr="00AA522B">
        <w:rPr>
          <w:w w:val="103"/>
          <w:rtl/>
        </w:rPr>
        <w:tab/>
      </w:r>
      <w:r w:rsidRPr="00AA522B">
        <w:rPr>
          <w:rFonts w:hint="cs"/>
          <w:w w:val="103"/>
          <w:rtl/>
        </w:rPr>
        <w:t>تشير إلى الرجال والنساء الذين تتجاوز أعمارهم 18 عاماً.</w:t>
      </w:r>
    </w:p>
  </w:footnote>
  <w:footnote w:id="79">
    <w:p w:rsidR="00F93B21" w:rsidRPr="002270DF" w:rsidRDefault="00F93B21" w:rsidP="002270DF">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sz w:val="28"/>
          <w:rtl/>
        </w:rPr>
        <w:t>(</w:t>
      </w:r>
      <w:r w:rsidRPr="002270DF">
        <w:rPr>
          <w:rStyle w:val="FootnoteReference"/>
          <w:spacing w:val="0"/>
          <w:w w:val="103"/>
          <w:vertAlign w:val="baseline"/>
          <w:rtl/>
        </w:rPr>
        <w:footnoteRef/>
      </w:r>
      <w:r w:rsidRPr="002270DF">
        <w:rPr>
          <w:w w:val="103"/>
          <w:sz w:val="28"/>
          <w:rtl/>
        </w:rPr>
        <w:t>)</w:t>
      </w:r>
      <w:r w:rsidRPr="002270DF">
        <w:rPr>
          <w:w w:val="103"/>
          <w:rtl/>
        </w:rPr>
        <w:tab/>
      </w:r>
      <w:r w:rsidRPr="002270DF">
        <w:rPr>
          <w:rFonts w:hint="cs"/>
          <w:w w:val="103"/>
          <w:rtl/>
        </w:rPr>
        <w:t>أعد هذا الشكل استناداً إلى قائمة الاجتماعات التي قدمتها إدارة الشؤون الخارجية، وهي القائمة التي استخدمت كنموذج لتمثيل توفالو في المؤتمرات الدولية.</w:t>
      </w:r>
    </w:p>
  </w:footnote>
  <w:footnote w:id="80">
    <w:p w:rsidR="00F93B21" w:rsidRPr="002270DF" w:rsidRDefault="00F93B21" w:rsidP="002270DF">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rtl/>
        </w:rPr>
        <w:t>(</w:t>
      </w:r>
      <w:r w:rsidRPr="002270DF">
        <w:rPr>
          <w:rStyle w:val="FootnoteReference"/>
          <w:spacing w:val="0"/>
          <w:w w:val="103"/>
          <w:vertAlign w:val="baseline"/>
          <w:rtl/>
        </w:rPr>
        <w:footnoteRef/>
      </w:r>
      <w:r w:rsidRPr="002270DF">
        <w:rPr>
          <w:w w:val="103"/>
          <w:rtl/>
        </w:rPr>
        <w:t>)</w:t>
      </w:r>
      <w:r w:rsidRPr="002270DF">
        <w:rPr>
          <w:w w:val="103"/>
          <w:rtl/>
        </w:rPr>
        <w:tab/>
      </w:r>
      <w:r>
        <w:rPr>
          <w:rFonts w:hint="cs"/>
          <w:w w:val="103"/>
          <w:rtl/>
        </w:rPr>
        <w:t>انظر</w:t>
      </w:r>
      <w:r w:rsidRPr="002270DF">
        <w:rPr>
          <w:rFonts w:hint="cs"/>
          <w:w w:val="103"/>
          <w:rtl/>
        </w:rPr>
        <w:t xml:space="preserve"> مركز المحيط الهادئ التابع لبرنامج الأمم المتحدة الإنمائي وصندوق الأمم المتحدة الإنمائي للمر</w:t>
      </w:r>
      <w:r>
        <w:rPr>
          <w:rFonts w:hint="cs"/>
          <w:w w:val="103"/>
          <w:rtl/>
        </w:rPr>
        <w:t xml:space="preserve">أة في المحيط الهادئ، عام 2006، </w:t>
      </w:r>
      <w:r>
        <w:rPr>
          <w:rFonts w:hint="eastAsia"/>
          <w:w w:val="103"/>
          <w:rtl/>
        </w:rPr>
        <w:t>”</w:t>
      </w:r>
      <w:r w:rsidRPr="002270DF">
        <w:rPr>
          <w:rFonts w:hint="cs"/>
          <w:w w:val="103"/>
          <w:rtl/>
        </w:rPr>
        <w:t>ترجمة اتفاقية القضاء على جميع أش</w:t>
      </w:r>
      <w:r>
        <w:rPr>
          <w:rFonts w:hint="cs"/>
          <w:w w:val="103"/>
          <w:rtl/>
        </w:rPr>
        <w:t>كال التمييز ضد المرأة إلى قانون</w:t>
      </w:r>
      <w:r>
        <w:rPr>
          <w:rFonts w:hint="eastAsia"/>
          <w:w w:val="103"/>
          <w:rtl/>
        </w:rPr>
        <w:t>“</w:t>
      </w:r>
      <w:r w:rsidRPr="002270DF">
        <w:rPr>
          <w:rFonts w:hint="cs"/>
          <w:w w:val="103"/>
          <w:rtl/>
        </w:rPr>
        <w:t>.</w:t>
      </w:r>
    </w:p>
  </w:footnote>
  <w:footnote w:id="81">
    <w:p w:rsidR="00F93B21" w:rsidRPr="002270DF" w:rsidRDefault="00F93B21" w:rsidP="002270DF">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rtl/>
        </w:rPr>
        <w:t>(</w:t>
      </w:r>
      <w:r w:rsidRPr="002270DF">
        <w:rPr>
          <w:rStyle w:val="FootnoteReference"/>
          <w:spacing w:val="0"/>
          <w:w w:val="103"/>
          <w:vertAlign w:val="baseline"/>
          <w:rtl/>
        </w:rPr>
        <w:footnoteRef/>
      </w:r>
      <w:r w:rsidRPr="002270DF">
        <w:rPr>
          <w:w w:val="103"/>
          <w:rtl/>
        </w:rPr>
        <w:t>)</w:t>
      </w:r>
      <w:r w:rsidRPr="002270DF">
        <w:rPr>
          <w:w w:val="103"/>
          <w:rtl/>
        </w:rPr>
        <w:tab/>
      </w:r>
      <w:r w:rsidRPr="002270DF">
        <w:rPr>
          <w:rFonts w:hint="cs"/>
          <w:w w:val="103"/>
          <w:rtl/>
        </w:rPr>
        <w:t>بموجب الفرع 4 من قانون التعليم.</w:t>
      </w:r>
    </w:p>
  </w:footnote>
  <w:footnote w:id="82">
    <w:p w:rsidR="00F93B21" w:rsidRPr="002270DF" w:rsidRDefault="00F93B21" w:rsidP="002270DF">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rtl/>
        </w:rPr>
        <w:t>(</w:t>
      </w:r>
      <w:r w:rsidRPr="002270DF">
        <w:rPr>
          <w:rStyle w:val="FootnoteReference"/>
          <w:spacing w:val="0"/>
          <w:w w:val="103"/>
          <w:vertAlign w:val="baseline"/>
          <w:rtl/>
        </w:rPr>
        <w:footnoteRef/>
      </w:r>
      <w:r w:rsidRPr="002270DF">
        <w:rPr>
          <w:w w:val="103"/>
          <w:rtl/>
        </w:rPr>
        <w:t>)</w:t>
      </w:r>
      <w:r w:rsidRPr="002270DF">
        <w:rPr>
          <w:w w:val="103"/>
          <w:rtl/>
        </w:rPr>
        <w:tab/>
      </w:r>
      <w:r w:rsidRPr="002270DF">
        <w:rPr>
          <w:rFonts w:hint="cs"/>
          <w:w w:val="103"/>
          <w:rtl/>
        </w:rPr>
        <w:t>بموجب الفرع 5 من قانون التعليم.</w:t>
      </w:r>
    </w:p>
  </w:footnote>
  <w:footnote w:id="83">
    <w:p w:rsidR="00F93B21" w:rsidRPr="002270DF" w:rsidRDefault="00F93B21" w:rsidP="002270DF">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rtl/>
        </w:rPr>
        <w:t>(</w:t>
      </w:r>
      <w:r w:rsidRPr="002270DF">
        <w:rPr>
          <w:rStyle w:val="FootnoteReference"/>
          <w:spacing w:val="0"/>
          <w:w w:val="103"/>
          <w:vertAlign w:val="baseline"/>
          <w:rtl/>
        </w:rPr>
        <w:footnoteRef/>
      </w:r>
      <w:r w:rsidRPr="002270DF">
        <w:rPr>
          <w:w w:val="103"/>
          <w:rtl/>
        </w:rPr>
        <w:t>)</w:t>
      </w:r>
      <w:r w:rsidRPr="002270DF">
        <w:rPr>
          <w:w w:val="103"/>
          <w:rtl/>
        </w:rPr>
        <w:tab/>
      </w:r>
      <w:r w:rsidRPr="002270DF">
        <w:rPr>
          <w:rFonts w:hint="cs"/>
          <w:w w:val="103"/>
          <w:rtl/>
        </w:rPr>
        <w:t>بموجب الفرع 6 من قانون التعليم.</w:t>
      </w:r>
    </w:p>
  </w:footnote>
  <w:footnote w:id="84">
    <w:p w:rsidR="00F93B21" w:rsidRPr="002270DF" w:rsidRDefault="00F93B21" w:rsidP="002270DF">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rtl/>
        </w:rPr>
        <w:t>(</w:t>
      </w:r>
      <w:r w:rsidRPr="002270DF">
        <w:rPr>
          <w:rStyle w:val="FootnoteReference"/>
          <w:spacing w:val="0"/>
          <w:w w:val="103"/>
          <w:vertAlign w:val="baseline"/>
          <w:rtl/>
        </w:rPr>
        <w:footnoteRef/>
      </w:r>
      <w:r w:rsidRPr="002270DF">
        <w:rPr>
          <w:w w:val="103"/>
          <w:rtl/>
        </w:rPr>
        <w:t>)</w:t>
      </w:r>
      <w:r w:rsidRPr="002270DF">
        <w:rPr>
          <w:w w:val="103"/>
          <w:rtl/>
        </w:rPr>
        <w:tab/>
      </w:r>
      <w:r w:rsidRPr="002270DF">
        <w:rPr>
          <w:rFonts w:hint="cs"/>
          <w:w w:val="103"/>
          <w:rtl/>
        </w:rPr>
        <w:t>التقرير الإقليمي لمنطقة جزر المحيط الهادئ عن الأهداف الإنمائية للألفية عام 2004.</w:t>
      </w:r>
    </w:p>
  </w:footnote>
  <w:footnote w:id="85">
    <w:p w:rsidR="00F93B21" w:rsidRPr="002270DF" w:rsidRDefault="00F93B21" w:rsidP="003E7CC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270DF">
        <w:rPr>
          <w:w w:val="103"/>
          <w:rtl/>
        </w:rPr>
        <w:t>(</w:t>
      </w:r>
      <w:r w:rsidRPr="002270DF">
        <w:rPr>
          <w:rStyle w:val="FootnoteReference"/>
          <w:spacing w:val="0"/>
          <w:w w:val="103"/>
          <w:vertAlign w:val="baseline"/>
          <w:rtl/>
        </w:rPr>
        <w:footnoteRef/>
      </w:r>
      <w:r w:rsidRPr="002270DF">
        <w:rPr>
          <w:w w:val="103"/>
          <w:rtl/>
        </w:rPr>
        <w:t>)</w:t>
      </w:r>
      <w:r w:rsidRPr="002270DF">
        <w:rPr>
          <w:w w:val="103"/>
          <w:rtl/>
        </w:rPr>
        <w:tab/>
      </w:r>
      <w:r>
        <w:rPr>
          <w:rFonts w:hint="cs"/>
          <w:w w:val="103"/>
          <w:rtl/>
        </w:rPr>
        <w:t>انظر</w:t>
      </w:r>
      <w:r w:rsidRPr="002270DF">
        <w:rPr>
          <w:rFonts w:hint="cs"/>
          <w:w w:val="103"/>
          <w:rtl/>
        </w:rPr>
        <w:t xml:space="preserve"> الفصل 10، التعليم والموارد البشرية، من خطة التنمية الوطنية الثانية لتوفالو للفترة 2005</w:t>
      </w:r>
      <w:r>
        <w:rPr>
          <w:rFonts w:hint="cs"/>
          <w:w w:val="103"/>
          <w:rtl/>
        </w:rPr>
        <w:t>-</w:t>
      </w:r>
      <w:r w:rsidRPr="002270DF">
        <w:rPr>
          <w:rFonts w:hint="cs"/>
          <w:w w:val="103"/>
          <w:rtl/>
        </w:rPr>
        <w:t>2015.</w:t>
      </w:r>
    </w:p>
  </w:footnote>
  <w:footnote w:id="86">
    <w:p w:rsidR="00F93B21" w:rsidRPr="003E7CC2" w:rsidRDefault="00F93B21" w:rsidP="003E7CC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E7CC2">
        <w:rPr>
          <w:w w:val="103"/>
          <w:rtl/>
        </w:rPr>
        <w:t>(</w:t>
      </w:r>
      <w:r w:rsidRPr="003E7CC2">
        <w:rPr>
          <w:rStyle w:val="FootnoteReference"/>
          <w:spacing w:val="0"/>
          <w:w w:val="103"/>
          <w:vertAlign w:val="baseline"/>
          <w:rtl/>
        </w:rPr>
        <w:footnoteRef/>
      </w:r>
      <w:r w:rsidRPr="003E7CC2">
        <w:rPr>
          <w:w w:val="103"/>
          <w:rtl/>
        </w:rPr>
        <w:t>)</w:t>
      </w:r>
      <w:r w:rsidRPr="003E7CC2">
        <w:rPr>
          <w:w w:val="103"/>
          <w:rtl/>
        </w:rPr>
        <w:tab/>
      </w:r>
      <w:r>
        <w:rPr>
          <w:rFonts w:hint="cs"/>
          <w:w w:val="103"/>
          <w:rtl/>
        </w:rPr>
        <w:t>انظر</w:t>
      </w:r>
      <w:r w:rsidRPr="003E7CC2">
        <w:rPr>
          <w:rFonts w:hint="cs"/>
          <w:w w:val="103"/>
          <w:rtl/>
        </w:rPr>
        <w:t xml:space="preserve"> الفرع 30 من قانون التعليم (القانون رقم 38).</w:t>
      </w:r>
    </w:p>
  </w:footnote>
  <w:footnote w:id="87">
    <w:p w:rsidR="00F93B21" w:rsidRPr="003E7CC2" w:rsidRDefault="00F93B21" w:rsidP="003E7CC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E7CC2">
        <w:rPr>
          <w:w w:val="103"/>
          <w:rtl/>
        </w:rPr>
        <w:t>(</w:t>
      </w:r>
      <w:r w:rsidRPr="003E7CC2">
        <w:rPr>
          <w:rStyle w:val="FootnoteReference"/>
          <w:spacing w:val="0"/>
          <w:w w:val="103"/>
          <w:vertAlign w:val="baseline"/>
          <w:rtl/>
        </w:rPr>
        <w:footnoteRef/>
      </w:r>
      <w:r w:rsidRPr="003E7CC2">
        <w:rPr>
          <w:w w:val="103"/>
          <w:rtl/>
        </w:rPr>
        <w:t>)</w:t>
      </w:r>
      <w:r w:rsidRPr="003E7CC2">
        <w:rPr>
          <w:w w:val="103"/>
          <w:rtl/>
        </w:rPr>
        <w:tab/>
      </w:r>
      <w:r w:rsidRPr="003E7CC2">
        <w:rPr>
          <w:rFonts w:hint="cs"/>
          <w:w w:val="103"/>
          <w:rtl/>
        </w:rPr>
        <w:t>كانت المدرسة الثانوية الوحيدة في ذلك الوقت.</w:t>
      </w:r>
    </w:p>
  </w:footnote>
  <w:footnote w:id="88">
    <w:p w:rsidR="00F93B21" w:rsidRPr="003E7CC2" w:rsidRDefault="00F93B21" w:rsidP="003E7CC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E7CC2">
        <w:rPr>
          <w:w w:val="103"/>
          <w:rtl/>
        </w:rPr>
        <w:t>(</w:t>
      </w:r>
      <w:r w:rsidRPr="003E7CC2">
        <w:rPr>
          <w:rStyle w:val="FootnoteReference"/>
          <w:spacing w:val="0"/>
          <w:w w:val="103"/>
          <w:vertAlign w:val="baseline"/>
          <w:rtl/>
        </w:rPr>
        <w:footnoteRef/>
      </w:r>
      <w:r w:rsidRPr="003E7CC2">
        <w:rPr>
          <w:w w:val="103"/>
          <w:rtl/>
        </w:rPr>
        <w:t>)</w:t>
      </w:r>
      <w:r w:rsidRPr="003E7CC2">
        <w:rPr>
          <w:w w:val="103"/>
          <w:rtl/>
        </w:rPr>
        <w:tab/>
      </w:r>
      <w:r>
        <w:rPr>
          <w:rFonts w:hint="cs"/>
          <w:w w:val="103"/>
          <w:rtl/>
        </w:rPr>
        <w:t>انظر</w:t>
      </w:r>
      <w:r w:rsidRPr="003E7CC2">
        <w:rPr>
          <w:rFonts w:hint="cs"/>
          <w:w w:val="103"/>
          <w:rtl/>
        </w:rPr>
        <w:t xml:space="preserve"> </w:t>
      </w:r>
      <w:r w:rsidRPr="003E7CC2">
        <w:rPr>
          <w:w w:val="103"/>
        </w:rPr>
        <w:t>Sioni Pers. Conn</w:t>
      </w:r>
      <w:r w:rsidRPr="003E7CC2">
        <w:rPr>
          <w:rFonts w:hint="cs"/>
          <w:w w:val="103"/>
          <w:rtl/>
        </w:rPr>
        <w:t xml:space="preserve"> </w:t>
      </w:r>
      <w:r w:rsidRPr="003E7CC2">
        <w:rPr>
          <w:w w:val="103"/>
        </w:rPr>
        <w:t>17/4/7</w:t>
      </w:r>
      <w:r>
        <w:rPr>
          <w:rFonts w:hint="cs"/>
          <w:w w:val="103"/>
          <w:rtl/>
        </w:rPr>
        <w:t>.</w:t>
      </w:r>
    </w:p>
  </w:footnote>
  <w:footnote w:id="89">
    <w:p w:rsidR="00F93B21" w:rsidRPr="003E7CC2" w:rsidRDefault="00F93B21" w:rsidP="003E7CC2">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E7CC2">
        <w:rPr>
          <w:w w:val="103"/>
          <w:rtl/>
        </w:rPr>
        <w:t>(</w:t>
      </w:r>
      <w:r w:rsidRPr="003E7CC2">
        <w:rPr>
          <w:rStyle w:val="FootnoteReference"/>
          <w:spacing w:val="0"/>
          <w:w w:val="103"/>
          <w:vertAlign w:val="baseline"/>
          <w:rtl/>
        </w:rPr>
        <w:footnoteRef/>
      </w:r>
      <w:r w:rsidRPr="003E7CC2">
        <w:rPr>
          <w:w w:val="103"/>
          <w:rtl/>
        </w:rPr>
        <w:t>)</w:t>
      </w:r>
      <w:r w:rsidRPr="003E7CC2">
        <w:rPr>
          <w:w w:val="103"/>
          <w:rtl/>
        </w:rPr>
        <w:tab/>
      </w:r>
      <w:r>
        <w:rPr>
          <w:rFonts w:hint="cs"/>
          <w:w w:val="103"/>
          <w:rtl/>
        </w:rPr>
        <w:t>انظر</w:t>
      </w:r>
      <w:r w:rsidRPr="003E7CC2">
        <w:rPr>
          <w:rFonts w:hint="cs"/>
          <w:w w:val="103"/>
          <w:rtl/>
        </w:rPr>
        <w:t xml:space="preserve"> تقرير توفالو عن الأهداف الإنمائية للألفية، عام 2004.</w:t>
      </w:r>
    </w:p>
  </w:footnote>
  <w:footnote w:id="90">
    <w:p w:rsidR="00F93B21" w:rsidRPr="00EF1205" w:rsidRDefault="00F93B21" w:rsidP="00EF120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F1205">
        <w:rPr>
          <w:w w:val="103"/>
          <w:rtl/>
        </w:rPr>
        <w:t>(</w:t>
      </w:r>
      <w:r w:rsidRPr="00EF1205">
        <w:rPr>
          <w:rStyle w:val="FootnoteReference"/>
          <w:spacing w:val="0"/>
          <w:w w:val="103"/>
          <w:vertAlign w:val="baseline"/>
          <w:rtl/>
        </w:rPr>
        <w:footnoteRef/>
      </w:r>
      <w:r w:rsidRPr="00EF1205">
        <w:rPr>
          <w:w w:val="103"/>
          <w:rtl/>
        </w:rPr>
        <w:t>)</w:t>
      </w:r>
      <w:r w:rsidRPr="00EF1205">
        <w:rPr>
          <w:w w:val="103"/>
          <w:rtl/>
        </w:rPr>
        <w:tab/>
      </w:r>
      <w:r>
        <w:rPr>
          <w:rFonts w:hint="cs"/>
          <w:w w:val="103"/>
          <w:rtl/>
        </w:rPr>
        <w:t>انظر</w:t>
      </w:r>
      <w:r w:rsidRPr="00EF1205">
        <w:rPr>
          <w:rFonts w:hint="cs"/>
          <w:w w:val="103"/>
          <w:rtl/>
        </w:rPr>
        <w:t xml:space="preserve"> الفرع 2 من قانون العمالة (القانون رقم 84).</w:t>
      </w:r>
    </w:p>
  </w:footnote>
  <w:footnote w:id="91">
    <w:p w:rsidR="00F93B21" w:rsidRPr="00EF1205" w:rsidRDefault="00F93B21" w:rsidP="00EF120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F1205">
        <w:rPr>
          <w:w w:val="103"/>
          <w:rtl/>
        </w:rPr>
        <w:t>(</w:t>
      </w:r>
      <w:r w:rsidRPr="00EF1205">
        <w:rPr>
          <w:rStyle w:val="FootnoteReference"/>
          <w:spacing w:val="0"/>
          <w:w w:val="103"/>
          <w:vertAlign w:val="baseline"/>
          <w:rtl/>
        </w:rPr>
        <w:footnoteRef/>
      </w:r>
      <w:r w:rsidRPr="00EF1205">
        <w:rPr>
          <w:w w:val="103"/>
          <w:rtl/>
        </w:rPr>
        <w:t>)</w:t>
      </w:r>
      <w:r w:rsidRPr="00EF1205">
        <w:rPr>
          <w:w w:val="103"/>
          <w:rtl/>
        </w:rPr>
        <w:tab/>
      </w:r>
      <w:r>
        <w:rPr>
          <w:rFonts w:hint="cs"/>
          <w:w w:val="103"/>
          <w:rtl/>
        </w:rPr>
        <w:t>انظر</w:t>
      </w:r>
      <w:r w:rsidRPr="00EF1205">
        <w:rPr>
          <w:rFonts w:hint="cs"/>
          <w:w w:val="103"/>
          <w:rtl/>
        </w:rPr>
        <w:t xml:space="preserve"> الفرع 13 من قانون التفسير والأحكام العامة لعام 1988.</w:t>
      </w:r>
    </w:p>
  </w:footnote>
  <w:footnote w:id="92">
    <w:p w:rsidR="00F93B21" w:rsidRPr="00EF1205" w:rsidRDefault="00F93B21" w:rsidP="00EF1205">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F1205">
        <w:rPr>
          <w:w w:val="103"/>
          <w:rtl/>
        </w:rPr>
        <w:t>(</w:t>
      </w:r>
      <w:r w:rsidRPr="00EF1205">
        <w:rPr>
          <w:rStyle w:val="FootnoteReference"/>
          <w:spacing w:val="0"/>
          <w:w w:val="103"/>
          <w:vertAlign w:val="baseline"/>
          <w:rtl/>
        </w:rPr>
        <w:footnoteRef/>
      </w:r>
      <w:r w:rsidRPr="00EF1205">
        <w:rPr>
          <w:w w:val="103"/>
          <w:rtl/>
        </w:rPr>
        <w:t>)</w:t>
      </w:r>
      <w:r w:rsidRPr="00EF1205">
        <w:rPr>
          <w:w w:val="103"/>
          <w:rtl/>
        </w:rPr>
        <w:tab/>
      </w:r>
      <w:r>
        <w:rPr>
          <w:rFonts w:hint="cs"/>
          <w:w w:val="103"/>
          <w:rtl/>
        </w:rPr>
        <w:t>انظر</w:t>
      </w:r>
      <w:r w:rsidRPr="00EF1205">
        <w:rPr>
          <w:rFonts w:hint="cs"/>
          <w:w w:val="103"/>
          <w:rtl/>
        </w:rPr>
        <w:t xml:space="preserve">أمانة جماعة الهادئ </w:t>
      </w:r>
      <w:r>
        <w:rPr>
          <w:rFonts w:hint="cs"/>
          <w:w w:val="103"/>
          <w:rtl/>
        </w:rPr>
        <w:t>-</w:t>
      </w:r>
      <w:r w:rsidRPr="00EF1205">
        <w:rPr>
          <w:rFonts w:hint="cs"/>
          <w:w w:val="103"/>
          <w:rtl/>
        </w:rPr>
        <w:t xml:space="preserve"> تقرير توفالو عن التعداد السكاني، عام 2002.</w:t>
      </w:r>
    </w:p>
  </w:footnote>
  <w:footnote w:id="93">
    <w:p w:rsidR="00F93B21" w:rsidRPr="00E41740" w:rsidRDefault="00F93B21" w:rsidP="00E4174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E41740">
        <w:rPr>
          <w:w w:val="103"/>
          <w:rtl/>
        </w:rPr>
        <w:t>(</w:t>
      </w:r>
      <w:r w:rsidRPr="00E41740">
        <w:rPr>
          <w:rStyle w:val="FootnoteReference"/>
          <w:spacing w:val="0"/>
          <w:w w:val="103"/>
          <w:vertAlign w:val="baseline"/>
          <w:rtl/>
        </w:rPr>
        <w:footnoteRef/>
      </w:r>
      <w:r w:rsidRPr="00E41740">
        <w:rPr>
          <w:w w:val="103"/>
          <w:rtl/>
        </w:rPr>
        <w:t>)</w:t>
      </w:r>
      <w:r w:rsidRPr="00E41740">
        <w:rPr>
          <w:w w:val="103"/>
          <w:rtl/>
        </w:rPr>
        <w:tab/>
      </w:r>
      <w:r>
        <w:rPr>
          <w:rFonts w:hint="cs"/>
          <w:w w:val="103"/>
          <w:rtl/>
        </w:rPr>
        <w:t>انظر</w:t>
      </w:r>
      <w:r w:rsidRPr="00E41740">
        <w:rPr>
          <w:rFonts w:hint="cs"/>
          <w:w w:val="103"/>
          <w:rtl/>
        </w:rPr>
        <w:t xml:space="preserve"> قائمة الخدمة المدنية في توفالو، عام 2005.</w:t>
      </w:r>
    </w:p>
  </w:footnote>
  <w:footnote w:id="94">
    <w:p w:rsidR="00F93B21" w:rsidRPr="00084D51" w:rsidRDefault="00F93B21" w:rsidP="002F320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084D51">
        <w:rPr>
          <w:w w:val="103"/>
          <w:rtl/>
        </w:rPr>
        <w:t>(</w:t>
      </w:r>
      <w:r w:rsidRPr="00084D51">
        <w:rPr>
          <w:rStyle w:val="FootnoteReference"/>
          <w:spacing w:val="0"/>
          <w:w w:val="103"/>
          <w:vertAlign w:val="baseline"/>
          <w:rtl/>
        </w:rPr>
        <w:footnoteRef/>
      </w:r>
      <w:r w:rsidRPr="00084D51">
        <w:rPr>
          <w:w w:val="103"/>
          <w:rtl/>
        </w:rPr>
        <w:t>)</w:t>
      </w:r>
      <w:r w:rsidRPr="00084D51">
        <w:rPr>
          <w:w w:val="103"/>
          <w:rtl/>
        </w:rPr>
        <w:tab/>
      </w:r>
      <w:r w:rsidRPr="002F3208">
        <w:rPr>
          <w:rFonts w:hint="cs"/>
          <w:w w:val="103"/>
          <w:rtl/>
        </w:rPr>
        <w:t>انظر يوليكا (</w:t>
      </w:r>
      <w:r w:rsidRPr="002F3208">
        <w:rPr>
          <w:w w:val="103"/>
        </w:rPr>
        <w:t>Pers.Comm.</w:t>
      </w:r>
      <w:r w:rsidRPr="002F3208">
        <w:rPr>
          <w:rFonts w:hint="cs"/>
          <w:w w:val="103"/>
          <w:rtl/>
        </w:rPr>
        <w:t>، شباط/ فبراير 2007)</w:t>
      </w:r>
      <w:r>
        <w:rPr>
          <w:rFonts w:hint="cs"/>
          <w:w w:val="103"/>
          <w:rtl/>
        </w:rPr>
        <w:t>.</w:t>
      </w:r>
    </w:p>
  </w:footnote>
  <w:footnote w:id="95">
    <w:p w:rsidR="00F93B21" w:rsidRPr="00BD2507" w:rsidRDefault="00F93B21" w:rsidP="00BD2507">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BD2507">
        <w:rPr>
          <w:w w:val="103"/>
          <w:rtl/>
        </w:rPr>
        <w:t>(</w:t>
      </w:r>
      <w:r w:rsidRPr="00BD2507">
        <w:rPr>
          <w:rStyle w:val="FootnoteReference"/>
          <w:spacing w:val="0"/>
          <w:w w:val="103"/>
          <w:vertAlign w:val="baseline"/>
          <w:rtl/>
        </w:rPr>
        <w:footnoteRef/>
      </w:r>
      <w:r w:rsidRPr="00BD2507">
        <w:rPr>
          <w:w w:val="103"/>
          <w:rtl/>
        </w:rPr>
        <w:t>)</w:t>
      </w:r>
      <w:r w:rsidRPr="00BD2507">
        <w:rPr>
          <w:w w:val="103"/>
          <w:rtl/>
        </w:rPr>
        <w:tab/>
      </w:r>
      <w:r>
        <w:rPr>
          <w:rFonts w:hint="cs"/>
          <w:w w:val="103"/>
          <w:rtl/>
        </w:rPr>
        <w:t>انظر</w:t>
      </w:r>
      <w:r w:rsidRPr="00BD2507">
        <w:rPr>
          <w:rFonts w:hint="cs"/>
          <w:w w:val="103"/>
          <w:rtl/>
        </w:rPr>
        <w:t xml:space="preserve"> الفرع 80 (3) من قانون العمالة (القانون رقم 84).</w:t>
      </w:r>
    </w:p>
  </w:footnote>
  <w:footnote w:id="96">
    <w:p w:rsidR="00F93B21" w:rsidRPr="00BD2507" w:rsidRDefault="00F93B21" w:rsidP="00BD2507">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BD2507">
        <w:rPr>
          <w:w w:val="103"/>
          <w:rtl/>
        </w:rPr>
        <w:t>(</w:t>
      </w:r>
      <w:r w:rsidRPr="00BD2507">
        <w:rPr>
          <w:rStyle w:val="FootnoteReference"/>
          <w:spacing w:val="0"/>
          <w:w w:val="103"/>
          <w:vertAlign w:val="baseline"/>
          <w:rtl/>
        </w:rPr>
        <w:footnoteRef/>
      </w:r>
      <w:r w:rsidRPr="00BD2507">
        <w:rPr>
          <w:w w:val="103"/>
          <w:rtl/>
        </w:rPr>
        <w:t>)</w:t>
      </w:r>
      <w:r w:rsidRPr="00BD2507">
        <w:rPr>
          <w:w w:val="103"/>
          <w:rtl/>
        </w:rPr>
        <w:tab/>
      </w:r>
      <w:r>
        <w:rPr>
          <w:rFonts w:hint="cs"/>
          <w:w w:val="103"/>
          <w:rtl/>
        </w:rPr>
        <w:t>انظر</w:t>
      </w:r>
      <w:r w:rsidRPr="00BD2507">
        <w:rPr>
          <w:rFonts w:hint="cs"/>
          <w:w w:val="103"/>
          <w:rtl/>
        </w:rPr>
        <w:t xml:space="preserve"> منظمة الصحة العالمية، عام 2007.</w:t>
      </w:r>
    </w:p>
  </w:footnote>
  <w:footnote w:id="97">
    <w:p w:rsidR="00F93B21" w:rsidRPr="00BD2507" w:rsidRDefault="00F93B21" w:rsidP="00BD2507">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BD2507">
        <w:rPr>
          <w:w w:val="103"/>
          <w:rtl/>
        </w:rPr>
        <w:t>(</w:t>
      </w:r>
      <w:r w:rsidRPr="00BD2507">
        <w:rPr>
          <w:rStyle w:val="FootnoteReference"/>
          <w:spacing w:val="0"/>
          <w:w w:val="103"/>
          <w:vertAlign w:val="baseline"/>
          <w:rtl/>
        </w:rPr>
        <w:footnoteRef/>
      </w:r>
      <w:r w:rsidRPr="00BD2507">
        <w:rPr>
          <w:w w:val="103"/>
          <w:rtl/>
        </w:rPr>
        <w:t>)</w:t>
      </w:r>
      <w:r w:rsidRPr="00BD2507">
        <w:rPr>
          <w:w w:val="103"/>
          <w:rtl/>
        </w:rPr>
        <w:tab/>
      </w:r>
      <w:r>
        <w:rPr>
          <w:rFonts w:hint="cs"/>
          <w:w w:val="103"/>
          <w:rtl/>
        </w:rPr>
        <w:t>انظر</w:t>
      </w:r>
      <w:r w:rsidRPr="00BD2507">
        <w:rPr>
          <w:rFonts w:hint="cs"/>
          <w:w w:val="103"/>
          <w:rtl/>
        </w:rPr>
        <w:t xml:space="preserve"> الاستراتيجية الوطنية للتنمية المستدامة، خطة التنمية الوطنية الثانية لتوفالو، الفترة 2005-2015، المشار إليها في الفصل 7-1</w:t>
      </w:r>
    </w:p>
  </w:footnote>
  <w:footnote w:id="98">
    <w:p w:rsidR="00F93B21" w:rsidRPr="00AE3753" w:rsidRDefault="00F93B21" w:rsidP="00AE3753">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AE3753">
        <w:rPr>
          <w:w w:val="103"/>
          <w:rtl/>
        </w:rPr>
        <w:t>(</w:t>
      </w:r>
      <w:r w:rsidRPr="00AE3753">
        <w:rPr>
          <w:rStyle w:val="FootnoteReference"/>
          <w:spacing w:val="0"/>
          <w:w w:val="103"/>
          <w:vertAlign w:val="baseline"/>
          <w:rtl/>
        </w:rPr>
        <w:footnoteRef/>
      </w:r>
      <w:r w:rsidRPr="00AE3753">
        <w:rPr>
          <w:w w:val="103"/>
          <w:rtl/>
        </w:rPr>
        <w:t>)</w:t>
      </w:r>
      <w:r w:rsidRPr="00AE3753">
        <w:rPr>
          <w:w w:val="103"/>
          <w:rtl/>
        </w:rPr>
        <w:tab/>
      </w:r>
      <w:r>
        <w:rPr>
          <w:rFonts w:hint="cs"/>
          <w:w w:val="103"/>
          <w:rtl/>
        </w:rPr>
        <w:t>انظر</w:t>
      </w:r>
      <w:r w:rsidRPr="00AE3753">
        <w:rPr>
          <w:rFonts w:hint="cs"/>
          <w:w w:val="103"/>
          <w:rtl/>
        </w:rPr>
        <w:t xml:space="preserve"> المؤتمر الدولي للسكان والتنمية + 10، التقدم في منطقة الهادئ .</w:t>
      </w:r>
    </w:p>
  </w:footnote>
  <w:footnote w:id="99">
    <w:p w:rsidR="00F93B21" w:rsidRPr="00B729A3" w:rsidRDefault="00F93B21" w:rsidP="00B729A3">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B729A3">
        <w:rPr>
          <w:w w:val="103"/>
          <w:rtl/>
        </w:rPr>
        <w:t>(</w:t>
      </w:r>
      <w:r w:rsidRPr="00B729A3">
        <w:rPr>
          <w:rStyle w:val="FootnoteReference"/>
          <w:spacing w:val="0"/>
          <w:w w:val="103"/>
          <w:vertAlign w:val="baseline"/>
          <w:rtl/>
        </w:rPr>
        <w:footnoteRef/>
      </w:r>
      <w:r w:rsidRPr="00B729A3">
        <w:rPr>
          <w:w w:val="103"/>
          <w:rtl/>
        </w:rPr>
        <w:t>)</w:t>
      </w:r>
      <w:r w:rsidRPr="00B729A3">
        <w:rPr>
          <w:w w:val="103"/>
          <w:rtl/>
        </w:rPr>
        <w:tab/>
      </w:r>
      <w:r>
        <w:rPr>
          <w:rFonts w:hint="cs"/>
          <w:w w:val="103"/>
          <w:rtl/>
        </w:rPr>
        <w:t>انظر</w:t>
      </w:r>
      <w:r w:rsidRPr="00B729A3">
        <w:rPr>
          <w:rFonts w:hint="cs"/>
          <w:w w:val="103"/>
          <w:rtl/>
        </w:rPr>
        <w:t xml:space="preserve"> تقرير البيانات الاجتماعية، عام 2006.</w:t>
      </w:r>
    </w:p>
  </w:footnote>
  <w:footnote w:id="100">
    <w:p w:rsidR="00F93B21" w:rsidRPr="00FC4820" w:rsidRDefault="00F93B21" w:rsidP="00FC482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FC4820">
        <w:rPr>
          <w:w w:val="103"/>
          <w:rtl/>
        </w:rPr>
        <w:t>(</w:t>
      </w:r>
      <w:r w:rsidRPr="00FC4820">
        <w:rPr>
          <w:rStyle w:val="FootnoteReference"/>
          <w:spacing w:val="0"/>
          <w:w w:val="103"/>
          <w:vertAlign w:val="baseline"/>
          <w:rtl/>
        </w:rPr>
        <w:footnoteRef/>
      </w:r>
      <w:r w:rsidRPr="00FC4820">
        <w:rPr>
          <w:w w:val="103"/>
          <w:rtl/>
        </w:rPr>
        <w:t>)</w:t>
      </w:r>
      <w:r w:rsidRPr="00FC4820">
        <w:rPr>
          <w:w w:val="103"/>
          <w:rtl/>
        </w:rPr>
        <w:tab/>
      </w:r>
      <w:r>
        <w:rPr>
          <w:rFonts w:hint="cs"/>
          <w:w w:val="103"/>
          <w:rtl/>
        </w:rPr>
        <w:t>انظر</w:t>
      </w:r>
      <w:r w:rsidRPr="00FC4820">
        <w:rPr>
          <w:rFonts w:hint="cs"/>
          <w:w w:val="103"/>
          <w:rtl/>
        </w:rPr>
        <w:t xml:space="preserve"> تقرير توفالو عن الأهداف الإنمائية للألفية عام 2006.</w:t>
      </w:r>
    </w:p>
  </w:footnote>
  <w:footnote w:id="101">
    <w:p w:rsidR="00F93B21" w:rsidRPr="002F3208" w:rsidRDefault="00F93B21" w:rsidP="002F320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F3208">
        <w:rPr>
          <w:w w:val="103"/>
          <w:rtl/>
        </w:rPr>
        <w:t>(</w:t>
      </w:r>
      <w:r w:rsidRPr="002F3208">
        <w:rPr>
          <w:rStyle w:val="FootnoteReference"/>
          <w:spacing w:val="0"/>
          <w:w w:val="103"/>
          <w:vertAlign w:val="baseline"/>
          <w:rtl/>
        </w:rPr>
        <w:footnoteRef/>
      </w:r>
      <w:r w:rsidRPr="002F3208">
        <w:rPr>
          <w:w w:val="103"/>
          <w:rtl/>
        </w:rPr>
        <w:t>)</w:t>
      </w:r>
      <w:r w:rsidRPr="002F3208">
        <w:rPr>
          <w:w w:val="103"/>
          <w:rtl/>
        </w:rPr>
        <w:tab/>
      </w:r>
      <w:r w:rsidRPr="002F3208">
        <w:rPr>
          <w:rFonts w:hint="cs"/>
          <w:w w:val="103"/>
          <w:rtl/>
        </w:rPr>
        <w:t>انظر تقرير البيانات الاجتماعية، عام 2005.</w:t>
      </w:r>
    </w:p>
  </w:footnote>
  <w:footnote w:id="102">
    <w:p w:rsidR="00F93B21" w:rsidRPr="002F3208" w:rsidRDefault="00F93B21" w:rsidP="002F320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2F3208">
        <w:rPr>
          <w:w w:val="103"/>
          <w:rtl/>
        </w:rPr>
        <w:t>(</w:t>
      </w:r>
      <w:r w:rsidRPr="002F3208">
        <w:rPr>
          <w:rStyle w:val="FootnoteReference"/>
          <w:spacing w:val="0"/>
          <w:w w:val="103"/>
          <w:vertAlign w:val="baseline"/>
          <w:rtl/>
        </w:rPr>
        <w:footnoteRef/>
      </w:r>
      <w:r w:rsidRPr="002F3208">
        <w:rPr>
          <w:w w:val="103"/>
          <w:rtl/>
        </w:rPr>
        <w:t>)</w:t>
      </w:r>
      <w:r w:rsidRPr="002F3208">
        <w:rPr>
          <w:w w:val="103"/>
          <w:rtl/>
        </w:rPr>
        <w:tab/>
      </w:r>
      <w:r w:rsidRPr="002F3208">
        <w:rPr>
          <w:rFonts w:hint="cs"/>
          <w:w w:val="103"/>
          <w:rtl/>
        </w:rPr>
        <w:t>انظر تقرير توفالو عن الأهداف الإنمائية للألفية، عام 2004.</w:t>
      </w:r>
    </w:p>
  </w:footnote>
  <w:footnote w:id="103">
    <w:p w:rsidR="00F93B21" w:rsidRPr="009C35E0" w:rsidRDefault="00F93B21" w:rsidP="009C35E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C35E0">
        <w:rPr>
          <w:w w:val="103"/>
          <w:rtl/>
        </w:rPr>
        <w:t>(</w:t>
      </w:r>
      <w:r w:rsidRPr="009C35E0">
        <w:rPr>
          <w:rStyle w:val="FootnoteReference"/>
          <w:spacing w:val="0"/>
          <w:w w:val="103"/>
          <w:vertAlign w:val="baseline"/>
          <w:rtl/>
        </w:rPr>
        <w:footnoteRef/>
      </w:r>
      <w:r w:rsidRPr="009C35E0">
        <w:rPr>
          <w:w w:val="103"/>
          <w:rtl/>
        </w:rPr>
        <w:t>)</w:t>
      </w:r>
      <w:r w:rsidRPr="009C35E0">
        <w:rPr>
          <w:w w:val="103"/>
          <w:rtl/>
        </w:rPr>
        <w:tab/>
      </w:r>
      <w:r>
        <w:rPr>
          <w:rFonts w:hint="cs"/>
          <w:w w:val="103"/>
          <w:rtl/>
        </w:rPr>
        <w:t>انظر</w:t>
      </w:r>
      <w:r w:rsidRPr="009C35E0">
        <w:rPr>
          <w:rFonts w:hint="cs"/>
          <w:w w:val="103"/>
          <w:rtl/>
        </w:rPr>
        <w:t xml:space="preserve"> تقرير التعداد السكاني في توفالو، عام 2002.</w:t>
      </w:r>
    </w:p>
  </w:footnote>
  <w:footnote w:id="104">
    <w:p w:rsidR="00F93B21" w:rsidRPr="009C35E0" w:rsidRDefault="00F93B21" w:rsidP="009C35E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C35E0">
        <w:rPr>
          <w:w w:val="103"/>
          <w:rtl/>
        </w:rPr>
        <w:t>(</w:t>
      </w:r>
      <w:r w:rsidRPr="009C35E0">
        <w:rPr>
          <w:rStyle w:val="FootnoteReference"/>
          <w:spacing w:val="0"/>
          <w:w w:val="103"/>
          <w:vertAlign w:val="baseline"/>
          <w:rtl/>
        </w:rPr>
        <w:footnoteRef/>
      </w:r>
      <w:r w:rsidRPr="009C35E0">
        <w:rPr>
          <w:w w:val="103"/>
          <w:rtl/>
        </w:rPr>
        <w:t>)</w:t>
      </w:r>
      <w:r w:rsidRPr="009C35E0">
        <w:rPr>
          <w:w w:val="103"/>
          <w:rtl/>
        </w:rPr>
        <w:tab/>
      </w:r>
      <w:r>
        <w:rPr>
          <w:rFonts w:hint="cs"/>
          <w:w w:val="103"/>
          <w:rtl/>
        </w:rPr>
        <w:t>انظر</w:t>
      </w:r>
      <w:r w:rsidRPr="009C35E0">
        <w:rPr>
          <w:rFonts w:hint="cs"/>
          <w:w w:val="103"/>
          <w:rtl/>
        </w:rPr>
        <w:t xml:space="preserve"> سجلات مصرف توفالو للتنمية.</w:t>
      </w:r>
    </w:p>
  </w:footnote>
  <w:footnote w:id="105">
    <w:p w:rsidR="00F93B21" w:rsidRPr="009C35E0" w:rsidRDefault="00F93B21" w:rsidP="009C35E0">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C35E0">
        <w:rPr>
          <w:w w:val="103"/>
          <w:rtl/>
        </w:rPr>
        <w:t>(</w:t>
      </w:r>
      <w:r w:rsidRPr="009C35E0">
        <w:rPr>
          <w:rStyle w:val="FootnoteReference"/>
          <w:spacing w:val="0"/>
          <w:w w:val="103"/>
          <w:vertAlign w:val="baseline"/>
          <w:rtl/>
        </w:rPr>
        <w:footnoteRef/>
      </w:r>
      <w:r w:rsidRPr="009C35E0">
        <w:rPr>
          <w:w w:val="103"/>
          <w:rtl/>
        </w:rPr>
        <w:t>)</w:t>
      </w:r>
      <w:r w:rsidRPr="009C35E0">
        <w:rPr>
          <w:w w:val="103"/>
          <w:rtl/>
        </w:rPr>
        <w:tab/>
      </w:r>
      <w:r w:rsidRPr="009C35E0">
        <w:rPr>
          <w:rFonts w:hint="cs"/>
          <w:w w:val="103"/>
          <w:rtl/>
        </w:rPr>
        <w:t>المصدر نفسه.</w:t>
      </w:r>
    </w:p>
  </w:footnote>
  <w:footnote w:id="106">
    <w:p w:rsidR="00F93B21" w:rsidRPr="00653ACD" w:rsidRDefault="00F93B21" w:rsidP="00653ACD">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653ACD">
        <w:rPr>
          <w:w w:val="103"/>
          <w:rtl/>
        </w:rPr>
        <w:t>(</w:t>
      </w:r>
      <w:r w:rsidRPr="00653ACD">
        <w:rPr>
          <w:rStyle w:val="FootnoteReference"/>
          <w:spacing w:val="0"/>
          <w:w w:val="103"/>
          <w:vertAlign w:val="baseline"/>
          <w:rtl/>
        </w:rPr>
        <w:footnoteRef/>
      </w:r>
      <w:r w:rsidRPr="00653ACD">
        <w:rPr>
          <w:w w:val="103"/>
          <w:rtl/>
        </w:rPr>
        <w:t>)</w:t>
      </w:r>
      <w:r w:rsidRPr="00653ACD">
        <w:rPr>
          <w:w w:val="103"/>
          <w:rtl/>
        </w:rPr>
        <w:tab/>
      </w:r>
      <w:r>
        <w:rPr>
          <w:rFonts w:hint="cs"/>
          <w:w w:val="103"/>
          <w:rtl/>
        </w:rPr>
        <w:t>انظر</w:t>
      </w:r>
      <w:r w:rsidRPr="00653ACD">
        <w:rPr>
          <w:rFonts w:hint="cs"/>
          <w:w w:val="103"/>
          <w:rtl/>
        </w:rPr>
        <w:t xml:space="preserve"> التقرير الفني الذي أعدته أمانة جماعة المحيط الهادئ ولجنة العلوم الأرضية التطبيقية في جنوب المحيط الهادئ.</w:t>
      </w:r>
    </w:p>
  </w:footnote>
  <w:footnote w:id="107">
    <w:p w:rsidR="00F93B21" w:rsidRPr="00CF5D88" w:rsidRDefault="00F93B21" w:rsidP="00CF5D88">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CF5D88">
        <w:rPr>
          <w:w w:val="103"/>
          <w:rtl/>
        </w:rPr>
        <w:t>(</w:t>
      </w:r>
      <w:r w:rsidRPr="00CF5D88">
        <w:rPr>
          <w:rStyle w:val="FootnoteReference"/>
          <w:spacing w:val="0"/>
          <w:w w:val="103"/>
          <w:vertAlign w:val="baseline"/>
          <w:rtl/>
        </w:rPr>
        <w:footnoteRef/>
      </w:r>
      <w:r w:rsidRPr="00CF5D88">
        <w:rPr>
          <w:w w:val="103"/>
          <w:rtl/>
        </w:rPr>
        <w:t>)</w:t>
      </w:r>
      <w:r w:rsidRPr="00CF5D88">
        <w:rPr>
          <w:w w:val="103"/>
          <w:rtl/>
        </w:rPr>
        <w:tab/>
      </w:r>
      <w:r w:rsidRPr="00CF5D88">
        <w:rPr>
          <w:rFonts w:hint="cs"/>
          <w:w w:val="103"/>
          <w:rtl/>
        </w:rPr>
        <w:t>تقرير البيانات الاجتماعية في توفالو، عام 2005.</w:t>
      </w:r>
    </w:p>
  </w:footnote>
  <w:footnote w:id="108">
    <w:p w:rsidR="00F93B21" w:rsidRPr="009807C4" w:rsidRDefault="00F93B21" w:rsidP="009807C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807C4">
        <w:rPr>
          <w:w w:val="103"/>
          <w:rtl/>
        </w:rPr>
        <w:t>(</w:t>
      </w:r>
      <w:r w:rsidRPr="009807C4">
        <w:rPr>
          <w:rStyle w:val="FootnoteReference"/>
          <w:spacing w:val="0"/>
          <w:w w:val="103"/>
          <w:vertAlign w:val="baseline"/>
          <w:rtl/>
        </w:rPr>
        <w:footnoteRef/>
      </w:r>
      <w:r w:rsidRPr="009807C4">
        <w:rPr>
          <w:w w:val="103"/>
          <w:rtl/>
        </w:rPr>
        <w:t>)</w:t>
      </w:r>
      <w:r w:rsidRPr="009807C4">
        <w:rPr>
          <w:w w:val="103"/>
          <w:rtl/>
        </w:rPr>
        <w:tab/>
      </w:r>
      <w:r>
        <w:rPr>
          <w:rFonts w:hint="cs"/>
          <w:w w:val="103"/>
          <w:rtl/>
        </w:rPr>
        <w:t>انظر</w:t>
      </w:r>
      <w:r w:rsidRPr="009807C4">
        <w:rPr>
          <w:rFonts w:hint="cs"/>
          <w:w w:val="103"/>
          <w:rtl/>
        </w:rPr>
        <w:t xml:space="preserve"> الجدول 1 (الفرع 4) من قانون الزواج (القانون رقم 29).</w:t>
      </w:r>
    </w:p>
  </w:footnote>
  <w:footnote w:id="109">
    <w:p w:rsidR="00F93B21" w:rsidRPr="009807C4" w:rsidRDefault="00F93B21" w:rsidP="009807C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807C4">
        <w:rPr>
          <w:w w:val="103"/>
          <w:rtl/>
        </w:rPr>
        <w:t>(</w:t>
      </w:r>
      <w:r w:rsidRPr="009807C4">
        <w:rPr>
          <w:rStyle w:val="FootnoteReference"/>
          <w:spacing w:val="0"/>
          <w:w w:val="103"/>
          <w:vertAlign w:val="baseline"/>
          <w:rtl/>
        </w:rPr>
        <w:footnoteRef/>
      </w:r>
      <w:r w:rsidRPr="009807C4">
        <w:rPr>
          <w:w w:val="103"/>
          <w:rtl/>
        </w:rPr>
        <w:t>)</w:t>
      </w:r>
      <w:r w:rsidRPr="009807C4">
        <w:rPr>
          <w:w w:val="103"/>
          <w:rtl/>
        </w:rPr>
        <w:tab/>
      </w:r>
      <w:r w:rsidRPr="009807C4">
        <w:rPr>
          <w:rFonts w:hint="cs"/>
          <w:w w:val="103"/>
          <w:rtl/>
        </w:rPr>
        <w:t>تعني حرفياً مشعل مصنوع من أوراق شجر جوز الهند الجافة.</w:t>
      </w:r>
    </w:p>
  </w:footnote>
  <w:footnote w:id="110">
    <w:p w:rsidR="00F93B21" w:rsidRPr="009807C4" w:rsidRDefault="00F93B21" w:rsidP="009807C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807C4">
        <w:rPr>
          <w:w w:val="103"/>
          <w:rtl/>
        </w:rPr>
        <w:t>(</w:t>
      </w:r>
      <w:r w:rsidRPr="009807C4">
        <w:rPr>
          <w:rStyle w:val="FootnoteReference"/>
          <w:spacing w:val="0"/>
          <w:w w:val="103"/>
          <w:vertAlign w:val="baseline"/>
          <w:rtl/>
        </w:rPr>
        <w:footnoteRef/>
      </w:r>
      <w:r w:rsidRPr="009807C4">
        <w:rPr>
          <w:w w:val="103"/>
          <w:rtl/>
        </w:rPr>
        <w:t>)</w:t>
      </w:r>
      <w:r w:rsidRPr="009807C4">
        <w:rPr>
          <w:w w:val="103"/>
          <w:rtl/>
        </w:rPr>
        <w:tab/>
      </w:r>
      <w:r>
        <w:rPr>
          <w:rFonts w:hint="cs"/>
          <w:w w:val="103"/>
          <w:rtl/>
        </w:rPr>
        <w:t>انظر</w:t>
      </w:r>
      <w:r w:rsidRPr="009807C4">
        <w:rPr>
          <w:rFonts w:hint="cs"/>
          <w:w w:val="103"/>
          <w:rtl/>
        </w:rPr>
        <w:t xml:space="preserve"> توفالو: دورة الحياة </w:t>
      </w:r>
      <w:r>
        <w:rPr>
          <w:w w:val="103"/>
          <w:rtl/>
        </w:rPr>
        <w:t>-</w:t>
      </w:r>
      <w:r w:rsidRPr="009807C4">
        <w:rPr>
          <w:rFonts w:hint="cs"/>
          <w:w w:val="103"/>
          <w:rtl/>
        </w:rPr>
        <w:t xml:space="preserve"> موقع على شبكة الإنترنت.</w:t>
      </w:r>
    </w:p>
  </w:footnote>
  <w:footnote w:id="111">
    <w:p w:rsidR="00F93B21" w:rsidRPr="009807C4" w:rsidRDefault="00F93B21" w:rsidP="009807C4">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9807C4">
        <w:rPr>
          <w:w w:val="103"/>
          <w:rtl/>
        </w:rPr>
        <w:t>(</w:t>
      </w:r>
      <w:r w:rsidRPr="009807C4">
        <w:rPr>
          <w:rStyle w:val="FootnoteReference"/>
          <w:spacing w:val="0"/>
          <w:w w:val="103"/>
          <w:vertAlign w:val="baseline"/>
          <w:rtl/>
        </w:rPr>
        <w:footnoteRef/>
      </w:r>
      <w:r w:rsidRPr="009807C4">
        <w:rPr>
          <w:w w:val="103"/>
          <w:rtl/>
        </w:rPr>
        <w:t>)</w:t>
      </w:r>
      <w:r w:rsidRPr="009807C4">
        <w:rPr>
          <w:w w:val="103"/>
          <w:rtl/>
        </w:rPr>
        <w:tab/>
      </w:r>
      <w:r>
        <w:rPr>
          <w:rFonts w:hint="cs"/>
          <w:w w:val="103"/>
          <w:rtl/>
        </w:rPr>
        <w:t>انظر</w:t>
      </w:r>
      <w:r w:rsidRPr="009807C4">
        <w:rPr>
          <w:rFonts w:hint="cs"/>
          <w:w w:val="103"/>
          <w:rtl/>
        </w:rPr>
        <w:t xml:space="preserve"> الفرع 7 من قانون الزواج، القانون رقم 29.</w:t>
      </w:r>
    </w:p>
  </w:footnote>
  <w:footnote w:id="112">
    <w:p w:rsidR="00F93B21" w:rsidRPr="003E3C33" w:rsidRDefault="00F93B21" w:rsidP="003E3C33">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E3C33">
        <w:rPr>
          <w:w w:val="103"/>
          <w:rtl/>
        </w:rPr>
        <w:t>(</w:t>
      </w:r>
      <w:r w:rsidRPr="003E3C33">
        <w:rPr>
          <w:rStyle w:val="FootnoteReference"/>
          <w:spacing w:val="0"/>
          <w:w w:val="103"/>
          <w:vertAlign w:val="baseline"/>
          <w:rtl/>
        </w:rPr>
        <w:footnoteRef/>
      </w:r>
      <w:r w:rsidRPr="003E3C33">
        <w:rPr>
          <w:w w:val="103"/>
          <w:rtl/>
        </w:rPr>
        <w:t>)</w:t>
      </w:r>
      <w:r w:rsidRPr="003E3C33">
        <w:rPr>
          <w:w w:val="103"/>
          <w:rtl/>
        </w:rPr>
        <w:tab/>
      </w:r>
      <w:r>
        <w:rPr>
          <w:rFonts w:hint="cs"/>
          <w:w w:val="103"/>
          <w:rtl/>
        </w:rPr>
        <w:t>انظر</w:t>
      </w:r>
      <w:r w:rsidRPr="003E3C33">
        <w:rPr>
          <w:rFonts w:hint="cs"/>
          <w:w w:val="103"/>
          <w:rtl/>
        </w:rPr>
        <w:t xml:space="preserve"> الجزء 7 (ب) من قانون الزواج، القانون رقم 29</w:t>
      </w:r>
      <w:r>
        <w:rPr>
          <w:rFonts w:hint="cs"/>
          <w:w w:val="103"/>
          <w:rtl/>
        </w:rPr>
        <w:t>.</w:t>
      </w:r>
    </w:p>
  </w:footnote>
  <w:footnote w:id="113">
    <w:p w:rsidR="00F93B21" w:rsidRPr="003E3C33" w:rsidRDefault="00F93B21" w:rsidP="003E3C33">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3E3C33">
        <w:rPr>
          <w:w w:val="103"/>
          <w:rtl/>
        </w:rPr>
        <w:t>(</w:t>
      </w:r>
      <w:r w:rsidRPr="003E3C33">
        <w:rPr>
          <w:rStyle w:val="FootnoteReference"/>
          <w:spacing w:val="0"/>
          <w:w w:val="103"/>
          <w:vertAlign w:val="baseline"/>
          <w:rtl/>
        </w:rPr>
        <w:footnoteRef/>
      </w:r>
      <w:r w:rsidRPr="003E3C33">
        <w:rPr>
          <w:w w:val="103"/>
          <w:rtl/>
        </w:rPr>
        <w:t>)</w:t>
      </w:r>
      <w:r w:rsidRPr="003E3C33">
        <w:rPr>
          <w:w w:val="103"/>
          <w:rtl/>
        </w:rPr>
        <w:tab/>
      </w:r>
      <w:r>
        <w:rPr>
          <w:rFonts w:hint="cs"/>
          <w:w w:val="103"/>
          <w:rtl/>
        </w:rPr>
        <w:t>انظر</w:t>
      </w:r>
      <w:r w:rsidRPr="003E3C33">
        <w:rPr>
          <w:rFonts w:hint="cs"/>
          <w:w w:val="103"/>
          <w:rtl/>
        </w:rPr>
        <w:t xml:space="preserve"> الفرع 214 من قانون العقوبات.</w:t>
      </w:r>
    </w:p>
  </w:footnote>
  <w:footnote w:id="114">
    <w:p w:rsidR="00F93B21" w:rsidRPr="000E2987" w:rsidRDefault="00F93B21" w:rsidP="000E2987">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0E2987">
        <w:rPr>
          <w:w w:val="103"/>
          <w:rtl/>
        </w:rPr>
        <w:t>(</w:t>
      </w:r>
      <w:r w:rsidRPr="000E2987">
        <w:rPr>
          <w:rStyle w:val="FootnoteReference"/>
          <w:spacing w:val="0"/>
          <w:w w:val="103"/>
          <w:vertAlign w:val="baseline"/>
          <w:rtl/>
        </w:rPr>
        <w:footnoteRef/>
      </w:r>
      <w:r w:rsidRPr="000E2987">
        <w:rPr>
          <w:w w:val="103"/>
          <w:rtl/>
        </w:rPr>
        <w:t>)</w:t>
      </w:r>
      <w:r w:rsidRPr="000E2987">
        <w:rPr>
          <w:w w:val="103"/>
          <w:rtl/>
        </w:rPr>
        <w:tab/>
      </w:r>
      <w:r>
        <w:rPr>
          <w:rFonts w:hint="cs"/>
          <w:w w:val="103"/>
          <w:rtl/>
        </w:rPr>
        <w:t>انظر</w:t>
      </w:r>
      <w:r w:rsidRPr="000E2987">
        <w:rPr>
          <w:rFonts w:hint="cs"/>
          <w:w w:val="103"/>
          <w:rtl/>
        </w:rPr>
        <w:t xml:space="preserve"> جلال ب. آي.، عام 1998، قانون لنساء المحيط الهادئ : دليل للحقوق القانونية.</w:t>
      </w:r>
    </w:p>
  </w:footnote>
  <w:footnote w:id="115">
    <w:p w:rsidR="00F93B21" w:rsidRPr="000E2987" w:rsidRDefault="00F93B21" w:rsidP="000E2987">
      <w:pPr>
        <w:pStyle w:val="FootnoteText"/>
        <w:tabs>
          <w:tab w:val="clear" w:pos="418"/>
          <w:tab w:val="right" w:pos="1195"/>
          <w:tab w:val="left" w:pos="1267"/>
          <w:tab w:val="left" w:pos="1656"/>
          <w:tab w:val="left" w:pos="2088"/>
        </w:tabs>
        <w:spacing w:after="80"/>
        <w:ind w:left="1267" w:right="1267" w:hanging="547"/>
        <w:jc w:val="lowKashida"/>
        <w:rPr>
          <w:rFonts w:hint="cs"/>
          <w:w w:val="103"/>
          <w:lang w:bidi="ar-EG"/>
        </w:rPr>
      </w:pPr>
      <w:r>
        <w:rPr>
          <w:rtl/>
        </w:rPr>
        <w:tab/>
      </w:r>
      <w:r w:rsidRPr="000E2987">
        <w:rPr>
          <w:w w:val="103"/>
          <w:rtl/>
        </w:rPr>
        <w:t>(</w:t>
      </w:r>
      <w:r w:rsidRPr="000E2987">
        <w:rPr>
          <w:rStyle w:val="FootnoteReference"/>
          <w:spacing w:val="0"/>
          <w:w w:val="103"/>
          <w:vertAlign w:val="baseline"/>
          <w:rtl/>
        </w:rPr>
        <w:footnoteRef/>
      </w:r>
      <w:r w:rsidRPr="000E2987">
        <w:rPr>
          <w:w w:val="103"/>
          <w:rtl/>
        </w:rPr>
        <w:t>)</w:t>
      </w:r>
      <w:r w:rsidRPr="000E2987">
        <w:rPr>
          <w:w w:val="103"/>
          <w:rtl/>
        </w:rPr>
        <w:tab/>
      </w:r>
      <w:r>
        <w:rPr>
          <w:rFonts w:hint="cs"/>
          <w:w w:val="103"/>
          <w:rtl/>
        </w:rPr>
        <w:t>انظر</w:t>
      </w:r>
      <w:r w:rsidRPr="000E2987">
        <w:rPr>
          <w:rFonts w:hint="cs"/>
          <w:w w:val="103"/>
          <w:rtl/>
        </w:rPr>
        <w:t xml:space="preserve"> سجلات محكمة الصلح.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21" w:rsidRPr="006A747B" w:rsidRDefault="00F93B21" w:rsidP="006A747B">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93B21">
                  <w:tblPrEx>
                    <w:tblCellMar>
                      <w:top w:w="0" w:type="dxa"/>
                      <w:bottom w:w="0" w:type="dxa"/>
                    </w:tblCellMar>
                  </w:tblPrEx>
                  <w:trPr>
                    <w:trHeight w:hRule="exact" w:val="864"/>
                    <w:jc w:val="center"/>
                  </w:trPr>
                  <w:tc>
                    <w:tcPr>
                      <w:tcW w:w="4932" w:type="dxa"/>
                      <w:shd w:val="clear" w:color="auto" w:fill="auto"/>
                      <w:vAlign w:val="bottom"/>
                    </w:tcPr>
                    <w:p w:rsidR="00F93B21" w:rsidRDefault="00F93B21" w:rsidP="006A747B">
                      <w:pPr>
                        <w:pStyle w:val="Header"/>
                        <w:bidi/>
                        <w:jc w:val="right"/>
                      </w:pPr>
                    </w:p>
                  </w:tc>
                  <w:tc>
                    <w:tcPr>
                      <w:tcW w:w="4933" w:type="dxa"/>
                      <w:shd w:val="clear" w:color="auto" w:fill="auto"/>
                      <w:vAlign w:val="bottom"/>
                    </w:tcPr>
                    <w:p w:rsidR="00F93B21" w:rsidRPr="006A747B" w:rsidRDefault="00F93B21" w:rsidP="006A747B">
                      <w:pPr>
                        <w:pStyle w:val="Header"/>
                        <w:spacing w:after="80"/>
                        <w:jc w:val="right"/>
                        <w:rPr>
                          <w:w w:val="103"/>
                        </w:rPr>
                      </w:pPr>
                      <w:r>
                        <w:rPr>
                          <w:w w:val="103"/>
                        </w:rPr>
                        <w:t>CEDAW/C/TUV/2</w:t>
                      </w:r>
                    </w:p>
                  </w:tc>
                </w:tr>
              </w:tbl>
              <w:p w:rsidR="00F93B21" w:rsidRDefault="00F93B21" w:rsidP="006A747B">
                <w:pPr>
                  <w:bidi w:val="0"/>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3B21" w:rsidRPr="006A747B" w:rsidRDefault="00F93B21" w:rsidP="006A747B">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F93B21">
                  <w:tblPrEx>
                    <w:tblCellMar>
                      <w:top w:w="0" w:type="dxa"/>
                      <w:bottom w:w="0" w:type="dxa"/>
                    </w:tblCellMar>
                  </w:tblPrEx>
                  <w:trPr>
                    <w:trHeight w:hRule="exact" w:val="864"/>
                    <w:jc w:val="center"/>
                  </w:trPr>
                  <w:tc>
                    <w:tcPr>
                      <w:tcW w:w="4932" w:type="dxa"/>
                      <w:shd w:val="clear" w:color="auto" w:fill="auto"/>
                      <w:vAlign w:val="bottom"/>
                    </w:tcPr>
                    <w:p w:rsidR="00F93B21" w:rsidRPr="006A747B" w:rsidRDefault="00F93B21" w:rsidP="006A747B">
                      <w:pPr>
                        <w:pStyle w:val="Header"/>
                        <w:spacing w:after="80"/>
                        <w:rPr>
                          <w:rFonts w:hint="cs"/>
                          <w:w w:val="103"/>
                          <w:rtl/>
                          <w:lang w:bidi="ar-EG"/>
                        </w:rPr>
                      </w:pPr>
                      <w:r>
                        <w:rPr>
                          <w:w w:val="103"/>
                        </w:rPr>
                        <w:t>CEDAW/C/TUV/2</w:t>
                      </w:r>
                    </w:p>
                  </w:tc>
                  <w:tc>
                    <w:tcPr>
                      <w:tcW w:w="4933" w:type="dxa"/>
                      <w:shd w:val="clear" w:color="auto" w:fill="auto"/>
                      <w:vAlign w:val="bottom"/>
                    </w:tcPr>
                    <w:p w:rsidR="00F93B21" w:rsidRDefault="00F93B21" w:rsidP="006A747B">
                      <w:pPr>
                        <w:pStyle w:val="Header"/>
                      </w:pPr>
                    </w:p>
                  </w:tc>
                </w:tr>
              </w:tbl>
              <w:p w:rsidR="00F93B21" w:rsidRDefault="00F93B21" w:rsidP="006A747B">
                <w:pPr>
                  <w:bidi w:val="0"/>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93B2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93B21" w:rsidRDefault="00F93B21" w:rsidP="006A747B">
          <w:pPr>
            <w:pStyle w:val="Header"/>
            <w:spacing w:after="120"/>
          </w:pPr>
        </w:p>
      </w:tc>
      <w:tc>
        <w:tcPr>
          <w:tcW w:w="1786" w:type="dxa"/>
          <w:tcBorders>
            <w:bottom w:val="single" w:sz="4" w:space="0" w:color="auto"/>
          </w:tcBorders>
          <w:shd w:val="clear" w:color="auto" w:fill="auto"/>
          <w:vAlign w:val="bottom"/>
        </w:tcPr>
        <w:p w:rsidR="00F93B21" w:rsidRPr="006A747B" w:rsidRDefault="00F93B21" w:rsidP="006A747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93B21" w:rsidRDefault="00F93B21" w:rsidP="006A747B">
          <w:pPr>
            <w:pStyle w:val="Header"/>
            <w:spacing w:after="120"/>
          </w:pPr>
        </w:p>
      </w:tc>
      <w:tc>
        <w:tcPr>
          <w:tcW w:w="6523" w:type="dxa"/>
          <w:gridSpan w:val="3"/>
          <w:tcBorders>
            <w:bottom w:val="single" w:sz="4" w:space="0" w:color="auto"/>
          </w:tcBorders>
          <w:shd w:val="clear" w:color="auto" w:fill="auto"/>
          <w:vAlign w:val="bottom"/>
        </w:tcPr>
        <w:p w:rsidR="00F93B21" w:rsidRPr="006A747B" w:rsidRDefault="00F93B21" w:rsidP="006A747B">
          <w:pPr>
            <w:spacing w:line="380" w:lineRule="exact"/>
            <w:jc w:val="right"/>
          </w:pPr>
          <w:r>
            <w:rPr>
              <w:sz w:val="40"/>
            </w:rPr>
            <w:t>CEDAW</w:t>
          </w:r>
          <w:r>
            <w:t>/C/TUV/2</w:t>
          </w:r>
        </w:p>
      </w:tc>
    </w:tr>
    <w:tr w:rsidR="00F93B21" w:rsidRPr="006A747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93B21" w:rsidRPr="006A747B" w:rsidRDefault="00F93B21" w:rsidP="006A747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F93B21" w:rsidRPr="006A747B" w:rsidRDefault="00F93B21" w:rsidP="006A747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93B21" w:rsidRPr="006A747B" w:rsidRDefault="00F93B21" w:rsidP="006A747B">
          <w:pPr>
            <w:pStyle w:val="Header"/>
            <w:spacing w:before="109"/>
          </w:pPr>
        </w:p>
      </w:tc>
      <w:tc>
        <w:tcPr>
          <w:tcW w:w="3100" w:type="dxa"/>
          <w:gridSpan w:val="2"/>
          <w:tcBorders>
            <w:top w:val="single" w:sz="4" w:space="0" w:color="auto"/>
            <w:bottom w:val="single" w:sz="12" w:space="0" w:color="auto"/>
          </w:tcBorders>
          <w:shd w:val="clear" w:color="auto" w:fill="auto"/>
        </w:tcPr>
        <w:p w:rsidR="00F93B21" w:rsidRDefault="00F93B21" w:rsidP="006A747B">
          <w:pPr>
            <w:bidi w:val="0"/>
            <w:spacing w:before="240" w:line="240" w:lineRule="exact"/>
          </w:pPr>
          <w:r>
            <w:t>Distr :.General</w:t>
          </w:r>
        </w:p>
        <w:p w:rsidR="00F93B21" w:rsidRDefault="00F93B21" w:rsidP="006A747B">
          <w:pPr>
            <w:bidi w:val="0"/>
            <w:spacing w:line="240" w:lineRule="exact"/>
            <w:jc w:val="left"/>
          </w:pPr>
          <w:r>
            <w:t>3 September 2008</w:t>
          </w:r>
        </w:p>
        <w:p w:rsidR="00F93B21" w:rsidRDefault="00F93B21" w:rsidP="006A747B">
          <w:pPr>
            <w:bidi w:val="0"/>
            <w:spacing w:line="240" w:lineRule="exact"/>
            <w:jc w:val="left"/>
          </w:pPr>
          <w:r>
            <w:t>Arabic</w:t>
          </w:r>
        </w:p>
        <w:p w:rsidR="00F93B21" w:rsidRPr="006A747B" w:rsidRDefault="00F93B21" w:rsidP="006A747B">
          <w:pPr>
            <w:bidi w:val="0"/>
            <w:spacing w:line="240" w:lineRule="exact"/>
            <w:jc w:val="left"/>
          </w:pPr>
          <w:r>
            <w:t>Original: English</w:t>
          </w:r>
        </w:p>
      </w:tc>
    </w:tr>
  </w:tbl>
  <w:p w:rsidR="00F93B21" w:rsidRPr="006A747B" w:rsidRDefault="00F93B21" w:rsidP="006A747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8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7/2008 12:24 PM"/>
    <w:docVar w:name="DocCategory" w:val="Doc"/>
    <w:docVar w:name="DocType" w:val="Final"/>
    <w:docVar w:name="JobNo" w:val="0849943A"/>
    <w:docVar w:name="OandT" w:val=" "/>
    <w:docVar w:name="Symbol1" w:val="CEDAW/C/TUV/2"/>
    <w:docVar w:name="Symbol2" w:val="-"/>
  </w:docVars>
  <w:rsids>
    <w:rsidRoot w:val="00A7192D"/>
    <w:rsid w:val="0001015C"/>
    <w:rsid w:val="00022331"/>
    <w:rsid w:val="00035A88"/>
    <w:rsid w:val="00042425"/>
    <w:rsid w:val="0004670F"/>
    <w:rsid w:val="0006448D"/>
    <w:rsid w:val="00084D51"/>
    <w:rsid w:val="00087310"/>
    <w:rsid w:val="00090A8E"/>
    <w:rsid w:val="0009732C"/>
    <w:rsid w:val="000B19CE"/>
    <w:rsid w:val="000D2CEC"/>
    <w:rsid w:val="000D6B2D"/>
    <w:rsid w:val="000E2987"/>
    <w:rsid w:val="000F1E04"/>
    <w:rsid w:val="000F646B"/>
    <w:rsid w:val="00101EE8"/>
    <w:rsid w:val="001129CE"/>
    <w:rsid w:val="0012430C"/>
    <w:rsid w:val="00164AD8"/>
    <w:rsid w:val="00171B67"/>
    <w:rsid w:val="00174457"/>
    <w:rsid w:val="00187870"/>
    <w:rsid w:val="001A169B"/>
    <w:rsid w:val="001A2E7E"/>
    <w:rsid w:val="001B064B"/>
    <w:rsid w:val="001F2085"/>
    <w:rsid w:val="001F3D5D"/>
    <w:rsid w:val="0020185E"/>
    <w:rsid w:val="002249EC"/>
    <w:rsid w:val="002270DF"/>
    <w:rsid w:val="002416C5"/>
    <w:rsid w:val="00255A79"/>
    <w:rsid w:val="002643CB"/>
    <w:rsid w:val="00266F59"/>
    <w:rsid w:val="00272B6C"/>
    <w:rsid w:val="00290F2F"/>
    <w:rsid w:val="002937DA"/>
    <w:rsid w:val="002A04B7"/>
    <w:rsid w:val="002C2AF2"/>
    <w:rsid w:val="002C4E1B"/>
    <w:rsid w:val="002F3208"/>
    <w:rsid w:val="003105C2"/>
    <w:rsid w:val="00310B01"/>
    <w:rsid w:val="00312162"/>
    <w:rsid w:val="0032356C"/>
    <w:rsid w:val="003307C2"/>
    <w:rsid w:val="003501D5"/>
    <w:rsid w:val="00350DAB"/>
    <w:rsid w:val="0035365E"/>
    <w:rsid w:val="003626EB"/>
    <w:rsid w:val="00371AC4"/>
    <w:rsid w:val="0037715B"/>
    <w:rsid w:val="00384A94"/>
    <w:rsid w:val="003A52BE"/>
    <w:rsid w:val="003A65ED"/>
    <w:rsid w:val="003D4612"/>
    <w:rsid w:val="003E3C33"/>
    <w:rsid w:val="003E7CC2"/>
    <w:rsid w:val="003F2B09"/>
    <w:rsid w:val="003F4B8C"/>
    <w:rsid w:val="004008B9"/>
    <w:rsid w:val="00401260"/>
    <w:rsid w:val="00401BDF"/>
    <w:rsid w:val="00402408"/>
    <w:rsid w:val="00411BBD"/>
    <w:rsid w:val="00415922"/>
    <w:rsid w:val="00423BD7"/>
    <w:rsid w:val="00426065"/>
    <w:rsid w:val="0042757D"/>
    <w:rsid w:val="00437C14"/>
    <w:rsid w:val="00444F0D"/>
    <w:rsid w:val="00446EBB"/>
    <w:rsid w:val="004527C9"/>
    <w:rsid w:val="00453069"/>
    <w:rsid w:val="00494EE2"/>
    <w:rsid w:val="00496E83"/>
    <w:rsid w:val="004A2886"/>
    <w:rsid w:val="004B14A0"/>
    <w:rsid w:val="004B715F"/>
    <w:rsid w:val="004E5DEC"/>
    <w:rsid w:val="004F1402"/>
    <w:rsid w:val="0050659B"/>
    <w:rsid w:val="00524A2E"/>
    <w:rsid w:val="005279DE"/>
    <w:rsid w:val="00534772"/>
    <w:rsid w:val="00537FCD"/>
    <w:rsid w:val="00545F76"/>
    <w:rsid w:val="00555702"/>
    <w:rsid w:val="00556882"/>
    <w:rsid w:val="00561E43"/>
    <w:rsid w:val="005838F5"/>
    <w:rsid w:val="0058501F"/>
    <w:rsid w:val="00591B45"/>
    <w:rsid w:val="005A2581"/>
    <w:rsid w:val="005E6F3C"/>
    <w:rsid w:val="005F04A4"/>
    <w:rsid w:val="006218A3"/>
    <w:rsid w:val="00630357"/>
    <w:rsid w:val="00653ACD"/>
    <w:rsid w:val="006564CE"/>
    <w:rsid w:val="00660631"/>
    <w:rsid w:val="00663F64"/>
    <w:rsid w:val="006953D0"/>
    <w:rsid w:val="00696B7A"/>
    <w:rsid w:val="006A747B"/>
    <w:rsid w:val="006C38EE"/>
    <w:rsid w:val="006D0C5D"/>
    <w:rsid w:val="006D2AED"/>
    <w:rsid w:val="006D5033"/>
    <w:rsid w:val="0071531E"/>
    <w:rsid w:val="0071645B"/>
    <w:rsid w:val="00716E9D"/>
    <w:rsid w:val="00726554"/>
    <w:rsid w:val="00732182"/>
    <w:rsid w:val="0074459B"/>
    <w:rsid w:val="00745752"/>
    <w:rsid w:val="00747B9E"/>
    <w:rsid w:val="007525FA"/>
    <w:rsid w:val="00774FF0"/>
    <w:rsid w:val="00780CDB"/>
    <w:rsid w:val="00781C11"/>
    <w:rsid w:val="0079046D"/>
    <w:rsid w:val="0079753A"/>
    <w:rsid w:val="007A6DD9"/>
    <w:rsid w:val="007D15B0"/>
    <w:rsid w:val="00807B20"/>
    <w:rsid w:val="0081284F"/>
    <w:rsid w:val="00814843"/>
    <w:rsid w:val="00824B5A"/>
    <w:rsid w:val="00830E32"/>
    <w:rsid w:val="0083269C"/>
    <w:rsid w:val="00833C8E"/>
    <w:rsid w:val="00836F9F"/>
    <w:rsid w:val="00857094"/>
    <w:rsid w:val="00867838"/>
    <w:rsid w:val="00873AF9"/>
    <w:rsid w:val="00892ABF"/>
    <w:rsid w:val="00892E17"/>
    <w:rsid w:val="008938D0"/>
    <w:rsid w:val="00893BE0"/>
    <w:rsid w:val="008A3EBE"/>
    <w:rsid w:val="008B0BD0"/>
    <w:rsid w:val="008B1FB2"/>
    <w:rsid w:val="008D1C04"/>
    <w:rsid w:val="008D3C6C"/>
    <w:rsid w:val="008F04A0"/>
    <w:rsid w:val="008F64A7"/>
    <w:rsid w:val="0090012B"/>
    <w:rsid w:val="00906D45"/>
    <w:rsid w:val="0090707A"/>
    <w:rsid w:val="00941CB7"/>
    <w:rsid w:val="00962ED2"/>
    <w:rsid w:val="009676B7"/>
    <w:rsid w:val="00970BAD"/>
    <w:rsid w:val="00972D0A"/>
    <w:rsid w:val="009807C4"/>
    <w:rsid w:val="009829B7"/>
    <w:rsid w:val="00987B35"/>
    <w:rsid w:val="009927C0"/>
    <w:rsid w:val="009C15F4"/>
    <w:rsid w:val="009C35E0"/>
    <w:rsid w:val="009C429D"/>
    <w:rsid w:val="009D126D"/>
    <w:rsid w:val="009D62A3"/>
    <w:rsid w:val="009E2A1F"/>
    <w:rsid w:val="009E3840"/>
    <w:rsid w:val="009F2CAE"/>
    <w:rsid w:val="00A06C42"/>
    <w:rsid w:val="00A24ECD"/>
    <w:rsid w:val="00A44A3C"/>
    <w:rsid w:val="00A7192D"/>
    <w:rsid w:val="00A71AE5"/>
    <w:rsid w:val="00AA1E16"/>
    <w:rsid w:val="00AA522B"/>
    <w:rsid w:val="00AC002C"/>
    <w:rsid w:val="00AC6CDD"/>
    <w:rsid w:val="00AD38D0"/>
    <w:rsid w:val="00AE108C"/>
    <w:rsid w:val="00AE3753"/>
    <w:rsid w:val="00AF1A53"/>
    <w:rsid w:val="00AF7AC7"/>
    <w:rsid w:val="00B05ADC"/>
    <w:rsid w:val="00B14EBF"/>
    <w:rsid w:val="00B270A8"/>
    <w:rsid w:val="00B621B7"/>
    <w:rsid w:val="00B65149"/>
    <w:rsid w:val="00B729A3"/>
    <w:rsid w:val="00B95560"/>
    <w:rsid w:val="00BA7FAB"/>
    <w:rsid w:val="00BC1586"/>
    <w:rsid w:val="00BC2F4C"/>
    <w:rsid w:val="00BC4A05"/>
    <w:rsid w:val="00BD2507"/>
    <w:rsid w:val="00BE671B"/>
    <w:rsid w:val="00BE705D"/>
    <w:rsid w:val="00BF0B15"/>
    <w:rsid w:val="00BF2AB5"/>
    <w:rsid w:val="00C051AB"/>
    <w:rsid w:val="00C12CBB"/>
    <w:rsid w:val="00C16C16"/>
    <w:rsid w:val="00C25A2D"/>
    <w:rsid w:val="00C260F8"/>
    <w:rsid w:val="00C36165"/>
    <w:rsid w:val="00C43FBE"/>
    <w:rsid w:val="00C449C6"/>
    <w:rsid w:val="00C46682"/>
    <w:rsid w:val="00C564B0"/>
    <w:rsid w:val="00C661F8"/>
    <w:rsid w:val="00C72001"/>
    <w:rsid w:val="00C72525"/>
    <w:rsid w:val="00C814A5"/>
    <w:rsid w:val="00C8731C"/>
    <w:rsid w:val="00C96573"/>
    <w:rsid w:val="00CD0BB8"/>
    <w:rsid w:val="00CD3849"/>
    <w:rsid w:val="00CF5D88"/>
    <w:rsid w:val="00CF7384"/>
    <w:rsid w:val="00D12C6C"/>
    <w:rsid w:val="00D2343D"/>
    <w:rsid w:val="00D27C6F"/>
    <w:rsid w:val="00D30EAE"/>
    <w:rsid w:val="00D318F1"/>
    <w:rsid w:val="00D37E76"/>
    <w:rsid w:val="00D40B0E"/>
    <w:rsid w:val="00DA66B7"/>
    <w:rsid w:val="00DB0865"/>
    <w:rsid w:val="00DB1F90"/>
    <w:rsid w:val="00DB35DE"/>
    <w:rsid w:val="00DE1D92"/>
    <w:rsid w:val="00DE5433"/>
    <w:rsid w:val="00DF5F38"/>
    <w:rsid w:val="00E20A1A"/>
    <w:rsid w:val="00E23336"/>
    <w:rsid w:val="00E32B52"/>
    <w:rsid w:val="00E41740"/>
    <w:rsid w:val="00E47EB8"/>
    <w:rsid w:val="00E67499"/>
    <w:rsid w:val="00E70375"/>
    <w:rsid w:val="00E84403"/>
    <w:rsid w:val="00E87C85"/>
    <w:rsid w:val="00E87CFC"/>
    <w:rsid w:val="00E9114A"/>
    <w:rsid w:val="00E9175E"/>
    <w:rsid w:val="00E94722"/>
    <w:rsid w:val="00EA489C"/>
    <w:rsid w:val="00EB0CA7"/>
    <w:rsid w:val="00EB3202"/>
    <w:rsid w:val="00EB4992"/>
    <w:rsid w:val="00EB5763"/>
    <w:rsid w:val="00EC6374"/>
    <w:rsid w:val="00EC7C61"/>
    <w:rsid w:val="00EE7831"/>
    <w:rsid w:val="00EF1205"/>
    <w:rsid w:val="00EF2E52"/>
    <w:rsid w:val="00F002E0"/>
    <w:rsid w:val="00F06B39"/>
    <w:rsid w:val="00F3241C"/>
    <w:rsid w:val="00F32E4A"/>
    <w:rsid w:val="00F36D8C"/>
    <w:rsid w:val="00F607FE"/>
    <w:rsid w:val="00F6672D"/>
    <w:rsid w:val="00F75C65"/>
    <w:rsid w:val="00F93545"/>
    <w:rsid w:val="00F93B21"/>
    <w:rsid w:val="00F96FBA"/>
    <w:rsid w:val="00FA6940"/>
    <w:rsid w:val="00FB4E06"/>
    <w:rsid w:val="00FC3483"/>
    <w:rsid w:val="00FC4820"/>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2"/>
      <o:regrouptable v:ext="edit">
        <o:entry new="1" old="0"/>
        <o:entry new="2" old="1"/>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6A747B"/>
    <w:rPr>
      <w:szCs w:val="20"/>
    </w:rPr>
  </w:style>
  <w:style w:type="paragraph" w:styleId="CommentSubject">
    <w:name w:val="annotation subject"/>
    <w:basedOn w:val="CommentText"/>
    <w:next w:val="CommentText"/>
    <w:semiHidden/>
    <w:rsid w:val="006A747B"/>
    <w:rPr>
      <w:b/>
      <w:bCs/>
    </w:rPr>
  </w:style>
  <w:style w:type="table" w:styleId="TableGrid">
    <w:name w:val="Table Grid"/>
    <w:basedOn w:val="TableNormal"/>
    <w:rsid w:val="00BC1586"/>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EC6374"/>
    <w:rPr>
      <w:color w:val="0000FF"/>
      <w:u w:val="none"/>
    </w:rPr>
  </w:style>
  <w:style w:type="character" w:styleId="PageNumber">
    <w:name w:val="page number"/>
    <w:basedOn w:val="DefaultParagraphFont"/>
    <w:rsid w:val="0058501F"/>
  </w:style>
  <w:style w:type="paragraph" w:styleId="NormalWeb">
    <w:name w:val="Normal (Web)"/>
    <w:basedOn w:val="Normal"/>
    <w:rsid w:val="0058501F"/>
    <w:pPr>
      <w:bidi w:val="0"/>
      <w:spacing w:before="100" w:beforeAutospacing="1" w:after="100" w:afterAutospacing="1" w:line="240" w:lineRule="auto"/>
      <w:jc w:val="left"/>
    </w:pPr>
    <w:rPr>
      <w:rFonts w:cs="Times New Roman"/>
      <w:color w:val="005000"/>
      <w:w w:val="1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9.e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emf"/><Relationship Id="rId25" Type="http://schemas.openxmlformats.org/officeDocument/2006/relationships/image" Target="media/image13.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2.emf"/><Relationship Id="rId5"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1.emf"/><Relationship Id="rId10" Type="http://schemas.openxmlformats.org/officeDocument/2006/relationships/footer" Target="footer2.xml"/><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jpeg"/><Relationship Id="rId22" Type="http://schemas.openxmlformats.org/officeDocument/2006/relationships/image" Target="media/image10.emf"/><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paclii.org"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35448</Words>
  <Characters>202056</Characters>
  <Application>Microsoft Office Word</Application>
  <DocSecurity>4</DocSecurity>
  <Lines>1683</Lines>
  <Paragraphs>474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natiions</Company>
  <LinksUpToDate>false</LinksUpToDate>
  <CharactersWithSpaces>237030</CharactersWithSpaces>
  <SharedDoc>false</SharedDoc>
  <HLinks>
    <vt:vector size="6" baseType="variant">
      <vt:variant>
        <vt:i4>2228284</vt:i4>
      </vt:variant>
      <vt:variant>
        <vt:i4>0</vt:i4>
      </vt:variant>
      <vt:variant>
        <vt:i4>0</vt:i4>
      </vt:variant>
      <vt:variant>
        <vt:i4>5</vt:i4>
      </vt:variant>
      <vt:variant>
        <vt:lpwstr>http://www.paclii.org/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Bayomi</dc:creator>
  <cp:keywords/>
  <dc:description/>
  <cp:lastModifiedBy>Samy Sayed</cp:lastModifiedBy>
  <cp:revision>5</cp:revision>
  <cp:lastPrinted>2008-11-07T13:20:00Z</cp:lastPrinted>
  <dcterms:created xsi:type="dcterms:W3CDTF">2009-10-14T10:00:00Z</dcterms:created>
  <dcterms:modified xsi:type="dcterms:W3CDTF">2009-10-14T10:57:00Z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0849943</vt:lpwstr>
  </property>
  <property fmtid="{D5CDD505-2E9C-101B-9397-08002B2CF9AE}" pid="3" name="Symbol1">
    <vt:lpwstr>CEDAW/C/TUV/2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157</vt:lpwstr>
  </property>
  <property fmtid="{D5CDD505-2E9C-101B-9397-08002B2CF9AE}" pid="8" name="Operator">
    <vt:lpwstr>Bassem</vt:lpwstr>
  </property>
</Properties>
</file>