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B55" w:rsidRDefault="00F13B55" w:rsidP="00F13B55">
      <w:pPr>
        <w:spacing w:line="240" w:lineRule="auto"/>
        <w:rPr>
          <w:sz w:val="2"/>
        </w:rPr>
        <w:sectPr w:rsidR="00F13B55" w:rsidSect="00F13B55">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300962" w:rsidRPr="00300962" w:rsidRDefault="00300962" w:rsidP="003009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z w:val="24"/>
          <w:szCs w:val="20"/>
          <w:lang w:val="fr-FR" w:eastAsia="fr-FR" w:bidi="fr-FR"/>
        </w:rPr>
      </w:pPr>
      <w:r w:rsidRPr="00300962">
        <w:rPr>
          <w:b/>
          <w:sz w:val="24"/>
          <w:szCs w:val="20"/>
          <w:lang w:val="fr-FR" w:eastAsia="fr-FR" w:bidi="fr-FR"/>
        </w:rPr>
        <w:lastRenderedPageBreak/>
        <w:t xml:space="preserve">Comité pour l’élimination de la discrimination </w:t>
      </w:r>
    </w:p>
    <w:p w:rsidR="00300962" w:rsidRPr="00300962" w:rsidRDefault="00300962" w:rsidP="003009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z w:val="24"/>
          <w:szCs w:val="20"/>
          <w:lang w:val="fr-FR" w:eastAsia="fr-FR" w:bidi="fr-FR"/>
        </w:rPr>
      </w:pPr>
      <w:r w:rsidRPr="00300962">
        <w:rPr>
          <w:b/>
          <w:sz w:val="24"/>
          <w:szCs w:val="20"/>
          <w:lang w:val="fr-FR" w:eastAsia="fr-FR" w:bidi="fr-FR"/>
        </w:rPr>
        <w:t xml:space="preserve">à l’égard des femmes </w:t>
      </w:r>
    </w:p>
    <w:p w:rsidR="00300962" w:rsidRPr="00300962" w:rsidRDefault="00300962" w:rsidP="00300962">
      <w:pPr>
        <w:suppressAutoHyphens/>
        <w:rPr>
          <w:b/>
          <w:szCs w:val="20"/>
          <w:lang w:val="fr-FR" w:eastAsia="fr-FR" w:bidi="fr-FR"/>
        </w:rPr>
      </w:pPr>
      <w:r w:rsidRPr="00300962">
        <w:rPr>
          <w:b/>
          <w:szCs w:val="20"/>
          <w:lang w:val="fr-FR" w:eastAsia="fr-FR" w:bidi="fr-FR"/>
        </w:rPr>
        <w:t>Groupe de travail d’avant session</w:t>
      </w:r>
    </w:p>
    <w:p w:rsidR="00300962" w:rsidRPr="00300962" w:rsidRDefault="00300962" w:rsidP="00300962">
      <w:pPr>
        <w:suppressAutoHyphens/>
        <w:rPr>
          <w:b/>
          <w:szCs w:val="20"/>
          <w:lang w:val="fr-FR" w:eastAsia="fr-FR" w:bidi="fr-FR"/>
        </w:rPr>
      </w:pPr>
      <w:r w:rsidRPr="00300962">
        <w:rPr>
          <w:b/>
          <w:szCs w:val="20"/>
          <w:lang w:val="fr-FR" w:eastAsia="fr-FR" w:bidi="fr-FR"/>
        </w:rPr>
        <w:t>Soixante-sixième session</w:t>
      </w:r>
    </w:p>
    <w:p w:rsidR="00300962" w:rsidRPr="00300962" w:rsidRDefault="00300962" w:rsidP="00300962">
      <w:pPr>
        <w:suppressAutoHyphens/>
        <w:rPr>
          <w:szCs w:val="20"/>
          <w:lang w:val="fr-FR" w:eastAsia="fr-FR" w:bidi="fr-FR"/>
        </w:rPr>
      </w:pPr>
      <w:r w:rsidRPr="00300962">
        <w:rPr>
          <w:szCs w:val="20"/>
          <w:lang w:val="fr-FR" w:eastAsia="fr-FR" w:bidi="fr-FR"/>
        </w:rPr>
        <w:t>25-29 juillet 2016</w:t>
      </w:r>
    </w:p>
    <w:p w:rsidR="00300962" w:rsidRPr="00300962" w:rsidRDefault="00300962" w:rsidP="00300962">
      <w:pPr>
        <w:suppressAutoHyphens/>
        <w:spacing w:line="120" w:lineRule="exact"/>
        <w:rPr>
          <w:sz w:val="10"/>
          <w:szCs w:val="20"/>
          <w:lang w:val="fr-FR" w:eastAsia="fr-FR" w:bidi="fr-FR"/>
        </w:rPr>
      </w:pPr>
    </w:p>
    <w:p w:rsidR="00300962" w:rsidRPr="00300962" w:rsidRDefault="00300962" w:rsidP="00300962">
      <w:pPr>
        <w:framePr w:w="9792" w:h="432" w:hSpace="180" w:wrap="around" w:hAnchor="page" w:x="1210" w:yAlign="bottom"/>
        <w:suppressAutoHyphens/>
        <w:spacing w:line="240" w:lineRule="auto"/>
        <w:rPr>
          <w:rFonts w:eastAsia="Calibri"/>
          <w:sz w:val="10"/>
          <w:szCs w:val="20"/>
          <w:lang w:val="fr-FR" w:eastAsia="fr-FR" w:bidi="fr-FR"/>
        </w:rPr>
      </w:pPr>
      <w:r w:rsidRPr="00300962">
        <w:rPr>
          <w:noProof/>
          <w:w w:val="100"/>
          <w:sz w:val="17"/>
          <w:szCs w:val="20"/>
          <w:lang w:val="en-GB" w:eastAsia="en-GB"/>
        </w:rPr>
        <mc:AlternateContent>
          <mc:Choice Requires="wps">
            <w:drawing>
              <wp:anchor distT="0" distB="0" distL="114300" distR="114300" simplePos="0" relativeHeight="251660288" behindDoc="0" locked="0" layoutInCell="1" allowOverlap="1" wp14:anchorId="53525F04" wp14:editId="1A1402F5">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" strokecolor="#010000" strokeweight=".25pt">
                <w10:wrap anchorx="page"/>
              </v:line>
            </w:pict>
          </mc:Fallback>
        </mc:AlternateContent>
      </w:r>
    </w:p>
    <w:p w:rsidR="00300962" w:rsidRPr="00300962" w:rsidRDefault="00300962" w:rsidP="0030096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7" w:hanging="288"/>
        <w:rPr>
          <w:rFonts w:eastAsia="Calibri"/>
          <w:i/>
          <w:sz w:val="17"/>
          <w:szCs w:val="20"/>
          <w:lang w:val="fr-FR" w:eastAsia="fr-FR" w:bidi="fr-FR"/>
        </w:rPr>
      </w:pPr>
      <w:r w:rsidRPr="00300962">
        <w:rPr>
          <w:i/>
          <w:sz w:val="17"/>
          <w:szCs w:val="20"/>
          <w:lang w:val="fr-FR" w:eastAsia="fr-FR" w:bidi="fr-FR"/>
        </w:rPr>
        <w:t>Note</w:t>
      </w:r>
      <w:r w:rsidRPr="00300962">
        <w:rPr>
          <w:sz w:val="17"/>
          <w:szCs w:val="20"/>
          <w:lang w:val="fr-FR" w:eastAsia="fr-FR" w:bidi="fr-FR"/>
        </w:rPr>
        <w:t> : Le présent document est publié en anglais, espagnol et français seulement.</w:t>
      </w:r>
    </w:p>
    <w:p w:rsidR="00300962" w:rsidRPr="00300962" w:rsidRDefault="00300962" w:rsidP="00300962">
      <w:pPr>
        <w:suppressAutoHyphens/>
        <w:spacing w:line="120" w:lineRule="exact"/>
        <w:rPr>
          <w:sz w:val="10"/>
          <w:szCs w:val="20"/>
          <w:lang w:val="fr-FR" w:eastAsia="fr-FR" w:bidi="fr-FR"/>
        </w:rPr>
      </w:pPr>
    </w:p>
    <w:p w:rsidR="00300962" w:rsidRPr="00300962" w:rsidRDefault="00300962" w:rsidP="00300962">
      <w:pPr>
        <w:suppressAutoHyphens/>
        <w:spacing w:line="120" w:lineRule="exact"/>
        <w:rPr>
          <w:sz w:val="10"/>
          <w:szCs w:val="20"/>
          <w:lang w:val="fr-FR" w:eastAsia="fr-FR" w:bidi="fr-FR"/>
        </w:rPr>
      </w:pPr>
    </w:p>
    <w:p w:rsidR="00300962" w:rsidRPr="00300962" w:rsidRDefault="00300962" w:rsidP="003009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lang w:val="fr-FR" w:eastAsia="fr-FR" w:bidi="fr-FR"/>
        </w:rPr>
      </w:pPr>
      <w:r w:rsidRPr="00300962">
        <w:rPr>
          <w:b/>
          <w:spacing w:val="-2"/>
          <w:sz w:val="28"/>
          <w:szCs w:val="20"/>
          <w:lang w:val="fr-FR" w:eastAsia="fr-FR" w:bidi="fr-FR"/>
        </w:rPr>
        <w:tab/>
      </w:r>
      <w:r w:rsidRPr="00300962">
        <w:rPr>
          <w:b/>
          <w:spacing w:val="-2"/>
          <w:sz w:val="28"/>
          <w:szCs w:val="20"/>
          <w:lang w:val="fr-FR" w:eastAsia="fr-FR" w:bidi="fr-FR"/>
        </w:rPr>
        <w:tab/>
        <w:t xml:space="preserve">Examen des rapports présentés par les États parties en application de l’article 18 de la Convention sur l'élimination de toutes les formes de discrimination à l'égard des femmes </w:t>
      </w:r>
    </w:p>
    <w:p w:rsidR="00300962" w:rsidRPr="00300962" w:rsidRDefault="00300962" w:rsidP="003009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rsidR="00300962" w:rsidRPr="00300962" w:rsidRDefault="00300962" w:rsidP="003009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rsidR="00300962" w:rsidRPr="00300962" w:rsidRDefault="00300962" w:rsidP="003009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z w:val="24"/>
          <w:szCs w:val="20"/>
          <w:lang w:val="fr-FR" w:eastAsia="fr-FR" w:bidi="fr-FR"/>
        </w:rPr>
      </w:pPr>
      <w:r w:rsidRPr="00300962">
        <w:rPr>
          <w:b/>
          <w:sz w:val="24"/>
          <w:szCs w:val="20"/>
          <w:lang w:val="fr-FR" w:eastAsia="fr-FR" w:bidi="fr-FR"/>
        </w:rPr>
        <w:tab/>
      </w:r>
      <w:r w:rsidRPr="00300962">
        <w:rPr>
          <w:b/>
          <w:sz w:val="24"/>
          <w:szCs w:val="20"/>
          <w:lang w:val="fr-FR" w:eastAsia="fr-FR" w:bidi="fr-FR"/>
        </w:rPr>
        <w:tab/>
        <w:t>Rapport du groupe de travail d’avant session</w:t>
      </w:r>
    </w:p>
    <w:p w:rsidR="00300962" w:rsidRPr="00300962" w:rsidRDefault="00300962" w:rsidP="003009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rsidR="00300962" w:rsidRPr="00300962" w:rsidRDefault="00300962" w:rsidP="003009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rsidR="00300962" w:rsidRPr="00300962" w:rsidRDefault="00300962" w:rsidP="003009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300962">
        <w:rPr>
          <w:szCs w:val="20"/>
          <w:lang w:val="fr-FR" w:eastAsia="fr-FR" w:bidi="fr-FR"/>
        </w:rPr>
        <w:t>1.</w:t>
      </w:r>
      <w:r w:rsidRPr="00300962">
        <w:rPr>
          <w:szCs w:val="20"/>
          <w:lang w:val="fr-FR" w:eastAsia="fr-FR" w:bidi="fr-FR"/>
        </w:rPr>
        <w:tab/>
        <w:t>Le Comité pour l’élimination de la discrimination à l’égard des femmes a pour pratique de convoquer un groupe de travail d’avant session de cinq jours pour établir des listes de points et de questions concernant les rapports initiaux et périodiques que le Comité devra examiner à l’une de ses futures sessions.</w:t>
      </w:r>
    </w:p>
    <w:p w:rsidR="00300962" w:rsidRPr="00300962" w:rsidRDefault="00300962" w:rsidP="003009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300962">
        <w:rPr>
          <w:szCs w:val="20"/>
          <w:lang w:val="fr-FR" w:eastAsia="fr-FR" w:bidi="fr-FR"/>
        </w:rPr>
        <w:t>2.</w:t>
      </w:r>
      <w:r w:rsidRPr="00300962">
        <w:rPr>
          <w:szCs w:val="20"/>
          <w:lang w:val="fr-FR" w:eastAsia="fr-FR" w:bidi="fr-FR"/>
        </w:rPr>
        <w:tab/>
        <w:t>Le Comité a décidé que le groupe de travail d’avant session pour sa soixante-sixième session se réunirait du 25 au 29 juillet 2016, immédiatement après sa soixante-quatrième session, afin que les États parties disposent du temps nécessaire pour soumettre leur réponse par écrit aux listes de points et de questions, ainsi que pour en assurer la traduction en temps utile.</w:t>
      </w:r>
    </w:p>
    <w:p w:rsidR="00300962" w:rsidRPr="00300962" w:rsidRDefault="00300962" w:rsidP="003009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300962">
        <w:rPr>
          <w:szCs w:val="20"/>
          <w:lang w:val="fr-FR" w:eastAsia="fr-FR" w:bidi="fr-FR"/>
        </w:rPr>
        <w:t>3.</w:t>
      </w:r>
      <w:r w:rsidRPr="00300962">
        <w:rPr>
          <w:szCs w:val="20"/>
          <w:lang w:val="fr-FR" w:eastAsia="fr-FR" w:bidi="fr-FR"/>
        </w:rPr>
        <w:tab/>
        <w:t>Les experts ci-après ont été désignés comme membres du groupe de travail d’avant session et ont siégé à la session :</w:t>
      </w:r>
    </w:p>
    <w:p w:rsidR="00300962" w:rsidRPr="00300962" w:rsidRDefault="00300962" w:rsidP="003009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7"/>
        <w:jc w:val="both"/>
        <w:rPr>
          <w:szCs w:val="20"/>
          <w:lang w:val="en-GB" w:eastAsia="fr-FR" w:bidi="fr-FR"/>
        </w:rPr>
      </w:pPr>
      <w:r w:rsidRPr="00300962">
        <w:rPr>
          <w:szCs w:val="20"/>
          <w:lang w:val="fr-FR" w:eastAsia="fr-FR" w:bidi="fr-FR"/>
        </w:rPr>
        <w:tab/>
      </w:r>
      <w:r w:rsidRPr="00300962">
        <w:rPr>
          <w:szCs w:val="20"/>
          <w:lang w:val="en-GB" w:eastAsia="fr-FR" w:bidi="fr-FR"/>
        </w:rPr>
        <w:t>Gladys Acosta Vargas</w:t>
      </w:r>
    </w:p>
    <w:p w:rsidR="00300962" w:rsidRPr="00300962" w:rsidRDefault="00300962" w:rsidP="003009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7"/>
        <w:jc w:val="both"/>
        <w:rPr>
          <w:szCs w:val="20"/>
          <w:lang w:val="en-GB" w:eastAsia="fr-FR" w:bidi="fr-FR"/>
        </w:rPr>
      </w:pPr>
      <w:r w:rsidRPr="00300962">
        <w:rPr>
          <w:szCs w:val="20"/>
          <w:lang w:val="en-GB" w:eastAsia="fr-FR" w:bidi="fr-FR"/>
        </w:rPr>
        <w:tab/>
        <w:t>Hilary Gbedemah</w:t>
      </w:r>
    </w:p>
    <w:p w:rsidR="00300962" w:rsidRPr="00300962" w:rsidRDefault="00300962" w:rsidP="003009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7"/>
        <w:jc w:val="both"/>
        <w:rPr>
          <w:szCs w:val="20"/>
          <w:lang w:val="en-GB" w:eastAsia="fr-FR" w:bidi="fr-FR"/>
        </w:rPr>
      </w:pPr>
      <w:r w:rsidRPr="00300962">
        <w:rPr>
          <w:szCs w:val="20"/>
          <w:lang w:val="en-GB" w:eastAsia="fr-FR" w:bidi="fr-FR"/>
        </w:rPr>
        <w:tab/>
        <w:t>Nahla Haidar</w:t>
      </w:r>
    </w:p>
    <w:p w:rsidR="00300962" w:rsidRPr="00300962" w:rsidRDefault="00300962" w:rsidP="003009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7"/>
        <w:jc w:val="both"/>
        <w:rPr>
          <w:szCs w:val="20"/>
          <w:lang w:val="fr-FR" w:eastAsia="fr-FR" w:bidi="fr-FR"/>
        </w:rPr>
      </w:pPr>
      <w:r w:rsidRPr="00300962">
        <w:rPr>
          <w:szCs w:val="20"/>
          <w:lang w:val="en-GB" w:eastAsia="fr-FR" w:bidi="fr-FR"/>
        </w:rPr>
        <w:tab/>
      </w:r>
      <w:r w:rsidRPr="00300962">
        <w:rPr>
          <w:szCs w:val="20"/>
          <w:lang w:val="fr-FR" w:eastAsia="fr-FR" w:bidi="fr-FR"/>
        </w:rPr>
        <w:t>Lia Nadaraia</w:t>
      </w:r>
    </w:p>
    <w:p w:rsidR="00300962" w:rsidRPr="00300962" w:rsidRDefault="00300962" w:rsidP="003009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300962">
        <w:rPr>
          <w:szCs w:val="20"/>
          <w:lang w:val="fr-FR" w:eastAsia="fr-FR" w:bidi="fr-FR"/>
        </w:rPr>
        <w:tab/>
        <w:t>Biancamaria Pomeranzi</w:t>
      </w:r>
    </w:p>
    <w:p w:rsidR="00300962" w:rsidRPr="00300962" w:rsidRDefault="00300962" w:rsidP="003009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300962">
        <w:rPr>
          <w:szCs w:val="20"/>
          <w:lang w:val="fr-FR" w:eastAsia="fr-FR" w:bidi="fr-FR"/>
        </w:rPr>
        <w:t>4.</w:t>
      </w:r>
      <w:r w:rsidRPr="00300962">
        <w:rPr>
          <w:szCs w:val="20"/>
          <w:lang w:val="fr-FR" w:eastAsia="fr-FR" w:bidi="fr-FR"/>
        </w:rPr>
        <w:tab/>
        <w:t>Le groupe de travail d’avant session a élu Mme Pomeranzi comme Présidente.</w:t>
      </w:r>
    </w:p>
    <w:p w:rsidR="00300962" w:rsidRPr="00300962" w:rsidRDefault="00300962" w:rsidP="003009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300962">
        <w:rPr>
          <w:szCs w:val="20"/>
          <w:lang w:val="fr-FR" w:eastAsia="fr-FR" w:bidi="fr-FR"/>
        </w:rPr>
        <w:t>5.</w:t>
      </w:r>
      <w:r w:rsidRPr="00300962">
        <w:rPr>
          <w:szCs w:val="20"/>
          <w:lang w:val="fr-FR" w:eastAsia="fr-FR" w:bidi="fr-FR"/>
        </w:rPr>
        <w:tab/>
        <w:t xml:space="preserve">Le groupe de travail d’avant session a établi les listes de points et de questions concernant les rapports d’El Salvador, de l’Allemagne, de la Jordanie, des États fédérés de Micronésie, du Rwanda, de Sri Lanka et de l’Ukraine. Il a été guidé en cela par la décision 49/IX du Comité de limiter ces listes à 20 questions. Dans la </w:t>
      </w:r>
      <w:r w:rsidRPr="00300962">
        <w:rPr>
          <w:szCs w:val="20"/>
          <w:lang w:val="fr-FR" w:eastAsia="fr-FR" w:bidi="fr-FR"/>
        </w:rPr>
        <w:lastRenderedPageBreak/>
        <w:t>pratique et à titre exceptionnel, certaines listes contiennent un maximum de 23 questions. Conformément à ses décisions 58/II, 59/IV et 60/IX, le Comité a établi, à titre pilote, une liste de points et de questions avant de faire rapport au titre de sa procédure facultative simplifiée, à savoir une liste de points et de questions préalablement à la soumission du sixième rapport périodique d’Israël. Il a été guidé à cet égard par ses décisions 59/IV et 64/II du Comité de limiter ces listes, respectivement à 25 paragraphes et 75 questions.</w:t>
      </w:r>
    </w:p>
    <w:p w:rsidR="00300962" w:rsidRPr="00300962" w:rsidRDefault="00300962" w:rsidP="003009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300962">
        <w:rPr>
          <w:szCs w:val="20"/>
          <w:lang w:val="fr-FR" w:eastAsia="fr-FR" w:bidi="fr-FR"/>
        </w:rPr>
        <w:t>6.</w:t>
      </w:r>
      <w:r w:rsidRPr="00300962">
        <w:rPr>
          <w:szCs w:val="20"/>
          <w:lang w:val="fr-FR" w:eastAsia="fr-FR" w:bidi="fr-FR"/>
        </w:rPr>
        <w:tab/>
        <w:t>Pour l’aider dans l’élaboration des listes de points et de questions, le groupe de travail d’avant session était saisi des rapports des États parties énumérés ci-dessus, sauf celui d’Israël, qui s’était servi de la procédure simplifiée de présentation des rapports, en plus des documents de base de ces États parties ; des recommandations générales adoptées par le Comité ; des projets de listes de points et de questions établis par le secrétariat et d’autres informations pertinentes, y compris les observations finales du Comité et d’autres organes conventionnels, le cas échéant. Lorsqu’il a établi les listes, le groupe de travail d’avant session a prêté une attention particulière à la suite donnée par les États parties aux observations finales du Comité au sujet de leurs rapports précédents, sauf dans le cas des États fédérés de Micronésie, qui avaient rendu leur rapport initial.</w:t>
      </w:r>
    </w:p>
    <w:p w:rsidR="00300962" w:rsidRPr="00300962" w:rsidRDefault="00300962" w:rsidP="003009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300962">
        <w:rPr>
          <w:szCs w:val="20"/>
          <w:lang w:val="fr-FR" w:eastAsia="fr-FR" w:bidi="fr-FR"/>
        </w:rPr>
        <w:t>7.</w:t>
      </w:r>
      <w:r w:rsidRPr="00300962">
        <w:rPr>
          <w:szCs w:val="20"/>
          <w:lang w:val="fr-FR" w:eastAsia="fr-FR" w:bidi="fr-FR"/>
        </w:rPr>
        <w:tab/>
        <w:t>Le groupe de travail d’avant session a bénéficié des informations communiquées par écrit et oralement par des entités et des institutions spécialisées des Nations Unies, des organisations non gouvernementales et des institutions nationales des droits de l’homme.</w:t>
      </w:r>
    </w:p>
    <w:p w:rsidR="00300962" w:rsidRPr="00300962" w:rsidRDefault="00300962" w:rsidP="003009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300962">
        <w:rPr>
          <w:szCs w:val="20"/>
          <w:lang w:val="fr-FR" w:eastAsia="fr-FR" w:bidi="fr-FR"/>
        </w:rPr>
        <w:t>8.</w:t>
      </w:r>
      <w:r w:rsidRPr="00300962">
        <w:rPr>
          <w:szCs w:val="20"/>
          <w:lang w:val="fr-FR" w:eastAsia="fr-FR" w:bidi="fr-FR"/>
        </w:rPr>
        <w:tab/>
        <w:t>Les listes de points et de questions adoptées par le groupe de travail d’avant session ont été transmises aux États parties concernés et figurent dans les documents ci-après :</w:t>
      </w:r>
    </w:p>
    <w:p w:rsidR="00300962" w:rsidRPr="00300962" w:rsidRDefault="00300962" w:rsidP="003009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300962">
        <w:rPr>
          <w:szCs w:val="20"/>
          <w:lang w:val="fr-FR" w:eastAsia="fr-FR" w:bidi="fr-FR"/>
        </w:rPr>
        <w:tab/>
        <w:t>a)</w:t>
      </w:r>
      <w:r w:rsidRPr="00300962">
        <w:rPr>
          <w:szCs w:val="20"/>
          <w:lang w:val="fr-FR" w:eastAsia="fr-FR" w:bidi="fr-FR"/>
        </w:rPr>
        <w:tab/>
        <w:t>Liste de points et de questions concernant les huitième et neuvième rapports périodiques (présentés en un seul document) d’El Salvador (</w:t>
      </w:r>
      <w:hyperlink r:id="rId16">
        <w:r w:rsidRPr="00300962">
          <w:rPr>
            <w:color w:val="0000FF"/>
            <w:szCs w:val="20"/>
            <w:lang w:val="fr-FR" w:eastAsia="fr-FR" w:bidi="fr-FR"/>
          </w:rPr>
          <w:t>CEDAW/C/SLV/Q/8-9</w:t>
        </w:r>
      </w:hyperlink>
      <w:r w:rsidRPr="00300962">
        <w:rPr>
          <w:szCs w:val="20"/>
          <w:lang w:val="fr-FR" w:eastAsia="fr-FR" w:bidi="fr-FR"/>
        </w:rPr>
        <w:t>) ;</w:t>
      </w:r>
    </w:p>
    <w:p w:rsidR="00300962" w:rsidRPr="00300962" w:rsidRDefault="00300962" w:rsidP="003009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300962">
        <w:rPr>
          <w:szCs w:val="20"/>
          <w:lang w:val="fr-FR" w:eastAsia="fr-FR" w:bidi="fr-FR"/>
        </w:rPr>
        <w:tab/>
        <w:t>b)</w:t>
      </w:r>
      <w:r w:rsidRPr="00300962">
        <w:rPr>
          <w:szCs w:val="20"/>
          <w:lang w:val="fr-FR" w:eastAsia="fr-FR" w:bidi="fr-FR"/>
        </w:rPr>
        <w:tab/>
        <w:t>Liste de points et questions concernant les septième et huitième rapports périodiques (présentés en un seul document) de l’Allemagne (</w:t>
      </w:r>
      <w:hyperlink r:id="rId17">
        <w:r w:rsidRPr="00300962">
          <w:rPr>
            <w:color w:val="0000FF"/>
            <w:szCs w:val="20"/>
            <w:lang w:val="fr-FR" w:eastAsia="fr-FR" w:bidi="fr-FR"/>
          </w:rPr>
          <w:t>CEDAW/C/DEU/Q/7-8</w:t>
        </w:r>
      </w:hyperlink>
      <w:r w:rsidRPr="00300962">
        <w:rPr>
          <w:szCs w:val="20"/>
          <w:lang w:val="fr-FR" w:eastAsia="fr-FR" w:bidi="fr-FR"/>
        </w:rPr>
        <w:t>) ;</w:t>
      </w:r>
    </w:p>
    <w:p w:rsidR="00300962" w:rsidRPr="00300962" w:rsidRDefault="00300962" w:rsidP="003009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300962">
        <w:rPr>
          <w:szCs w:val="20"/>
          <w:lang w:val="fr-FR" w:eastAsia="fr-FR" w:bidi="fr-FR"/>
        </w:rPr>
        <w:tab/>
        <w:t>c)</w:t>
      </w:r>
      <w:r w:rsidRPr="00300962">
        <w:rPr>
          <w:szCs w:val="20"/>
          <w:lang w:val="fr-FR" w:eastAsia="fr-FR" w:bidi="fr-FR"/>
        </w:rPr>
        <w:tab/>
        <w:t>Liste de points et questions concernant le sixième rapport périodique de la Jordanie (</w:t>
      </w:r>
      <w:hyperlink r:id="rId18">
        <w:r w:rsidRPr="00300962">
          <w:rPr>
            <w:color w:val="0000FF"/>
            <w:szCs w:val="20"/>
            <w:lang w:val="fr-FR" w:eastAsia="fr-FR" w:bidi="fr-FR"/>
          </w:rPr>
          <w:t>CEDAW/C/JOR/Q/6</w:t>
        </w:r>
      </w:hyperlink>
      <w:r w:rsidRPr="00300962">
        <w:rPr>
          <w:szCs w:val="20"/>
          <w:lang w:val="fr-FR" w:eastAsia="fr-FR" w:bidi="fr-FR"/>
        </w:rPr>
        <w:t>) ;</w:t>
      </w:r>
    </w:p>
    <w:p w:rsidR="00300962" w:rsidRPr="00300962" w:rsidRDefault="00300962" w:rsidP="003009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300962">
        <w:rPr>
          <w:szCs w:val="20"/>
          <w:lang w:val="fr-FR" w:eastAsia="fr-FR" w:bidi="fr-FR"/>
        </w:rPr>
        <w:tab/>
        <w:t>d)</w:t>
      </w:r>
      <w:r w:rsidRPr="00300962">
        <w:rPr>
          <w:szCs w:val="20"/>
          <w:lang w:val="fr-FR" w:eastAsia="fr-FR" w:bidi="fr-FR"/>
        </w:rPr>
        <w:tab/>
        <w:t>Liste de points et de questions concernant les premier, deuxième et troisième rapports périodiques (présentés en un seul document) des États fédérés de Micronésie (</w:t>
      </w:r>
      <w:hyperlink r:id="rId19">
        <w:r w:rsidRPr="00300962">
          <w:rPr>
            <w:color w:val="0000FF"/>
            <w:szCs w:val="20"/>
            <w:lang w:val="fr-FR" w:eastAsia="fr-FR" w:bidi="fr-FR"/>
          </w:rPr>
          <w:t>CEDAW/C/FSM/Q/1-3</w:t>
        </w:r>
      </w:hyperlink>
      <w:r w:rsidRPr="00300962">
        <w:rPr>
          <w:szCs w:val="20"/>
          <w:lang w:val="fr-FR" w:eastAsia="fr-FR" w:bidi="fr-FR"/>
        </w:rPr>
        <w:t>) ;</w:t>
      </w:r>
    </w:p>
    <w:p w:rsidR="00300962" w:rsidRPr="00300962" w:rsidRDefault="00300962" w:rsidP="003009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300962">
        <w:rPr>
          <w:szCs w:val="20"/>
          <w:lang w:val="fr-FR" w:eastAsia="fr-FR" w:bidi="fr-FR"/>
        </w:rPr>
        <w:tab/>
        <w:t>e)</w:t>
      </w:r>
      <w:r w:rsidRPr="00300962">
        <w:rPr>
          <w:szCs w:val="20"/>
          <w:lang w:val="fr-FR" w:eastAsia="fr-FR" w:bidi="fr-FR"/>
        </w:rPr>
        <w:tab/>
        <w:t>Liste de points et questions concernant les septième, huitième et neuvième rapports périodiques (présentés en un seul document) du Rwanda (</w:t>
      </w:r>
      <w:hyperlink r:id="rId20">
        <w:r w:rsidRPr="00300962">
          <w:rPr>
            <w:color w:val="0000FF"/>
            <w:szCs w:val="20"/>
            <w:lang w:val="fr-FR" w:eastAsia="fr-FR" w:bidi="fr-FR"/>
          </w:rPr>
          <w:t>CEDAW/C/RWA/Q/7-9</w:t>
        </w:r>
      </w:hyperlink>
      <w:r w:rsidRPr="00300962">
        <w:rPr>
          <w:szCs w:val="20"/>
          <w:lang w:val="fr-FR" w:eastAsia="fr-FR" w:bidi="fr-FR"/>
        </w:rPr>
        <w:t>) ;</w:t>
      </w:r>
    </w:p>
    <w:p w:rsidR="00300962" w:rsidRPr="00300962" w:rsidRDefault="00300962" w:rsidP="003009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300962">
        <w:rPr>
          <w:szCs w:val="20"/>
          <w:lang w:val="fr-FR" w:eastAsia="fr-FR" w:bidi="fr-FR"/>
        </w:rPr>
        <w:tab/>
        <w:t>f)</w:t>
      </w:r>
      <w:r w:rsidRPr="00300962">
        <w:rPr>
          <w:szCs w:val="20"/>
          <w:lang w:val="fr-FR" w:eastAsia="fr-FR" w:bidi="fr-FR"/>
        </w:rPr>
        <w:tab/>
        <w:t>Liste de points et questions concernant le huitième rapport périodique de Sri Lanka (</w:t>
      </w:r>
      <w:hyperlink r:id="rId21">
        <w:r w:rsidRPr="00300962">
          <w:rPr>
            <w:color w:val="0000FF"/>
            <w:szCs w:val="20"/>
            <w:lang w:val="fr-FR" w:eastAsia="fr-FR" w:bidi="fr-FR"/>
          </w:rPr>
          <w:t>CEDAW/C/LKA/Q/8</w:t>
        </w:r>
      </w:hyperlink>
      <w:r w:rsidRPr="00300962">
        <w:rPr>
          <w:szCs w:val="20"/>
          <w:lang w:val="fr-FR" w:eastAsia="fr-FR" w:bidi="fr-FR"/>
        </w:rPr>
        <w:t>) ;</w:t>
      </w:r>
    </w:p>
    <w:p w:rsidR="00300962" w:rsidRPr="00300962" w:rsidRDefault="00300962" w:rsidP="003009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300962">
        <w:rPr>
          <w:szCs w:val="20"/>
          <w:lang w:val="fr-FR" w:eastAsia="fr-FR" w:bidi="fr-FR"/>
        </w:rPr>
        <w:tab/>
        <w:t>g)</w:t>
      </w:r>
      <w:r w:rsidRPr="00300962">
        <w:rPr>
          <w:szCs w:val="20"/>
          <w:lang w:val="fr-FR" w:eastAsia="fr-FR" w:bidi="fr-FR"/>
        </w:rPr>
        <w:tab/>
        <w:t>Liste de points et questions concernant le huitième rapport périodique de l’Ukraine (</w:t>
      </w:r>
      <w:hyperlink r:id="rId22">
        <w:r w:rsidRPr="00300962">
          <w:rPr>
            <w:color w:val="0000FF"/>
            <w:szCs w:val="20"/>
            <w:lang w:val="fr-FR" w:eastAsia="fr-FR" w:bidi="fr-FR"/>
          </w:rPr>
          <w:t>CEDAW/C/UKR/Q/8</w:t>
        </w:r>
      </w:hyperlink>
      <w:r w:rsidRPr="00300962">
        <w:rPr>
          <w:szCs w:val="20"/>
          <w:lang w:val="fr-FR" w:eastAsia="fr-FR" w:bidi="fr-FR"/>
        </w:rPr>
        <w:t>) ;</w:t>
      </w:r>
    </w:p>
    <w:p w:rsidR="00300962" w:rsidRPr="00300962" w:rsidRDefault="00300962" w:rsidP="003009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300962">
        <w:rPr>
          <w:szCs w:val="20"/>
          <w:lang w:val="fr-FR" w:eastAsia="fr-FR" w:bidi="fr-FR"/>
        </w:rPr>
        <w:t>9.</w:t>
      </w:r>
      <w:r w:rsidRPr="00300962">
        <w:rPr>
          <w:szCs w:val="20"/>
          <w:lang w:val="fr-FR" w:eastAsia="fr-FR" w:bidi="fr-FR"/>
        </w:rPr>
        <w:tab/>
        <w:t>La liste de points et de questions préalables à la présentation du sixième rapport périodique d’Israël (</w:t>
      </w:r>
      <w:hyperlink r:id="rId23">
        <w:r w:rsidRPr="00300962">
          <w:rPr>
            <w:color w:val="0000FF"/>
            <w:szCs w:val="20"/>
            <w:lang w:val="fr-FR" w:eastAsia="fr-FR" w:bidi="fr-FR"/>
          </w:rPr>
          <w:t>CEDAW/C/ISR/QPR/6</w:t>
        </w:r>
      </w:hyperlink>
      <w:r w:rsidRPr="00300962">
        <w:rPr>
          <w:szCs w:val="20"/>
          <w:lang w:val="fr-FR" w:eastAsia="fr-FR" w:bidi="fr-FR"/>
        </w:rPr>
        <w:t xml:space="preserve">) sera présentée au </w:t>
      </w:r>
      <w:r w:rsidRPr="00300962">
        <w:rPr>
          <w:szCs w:val="20"/>
          <w:lang w:val="fr-FR" w:eastAsia="fr-FR" w:bidi="fr-FR"/>
        </w:rPr>
        <w:lastRenderedPageBreak/>
        <w:t>Comité pour approbation à sa soixante-sixième session (du 13 février au 3 mars 2017) avant d’être transmise à l’État partie.</w:t>
      </w:r>
    </w:p>
    <w:p w:rsidR="00300962" w:rsidRPr="00300962" w:rsidRDefault="00300962" w:rsidP="003009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300962">
        <w:rPr>
          <w:szCs w:val="20"/>
          <w:lang w:val="fr-FR" w:eastAsia="fr-FR" w:bidi="fr-FR"/>
        </w:rPr>
        <w:t>10.</w:t>
      </w:r>
      <w:r w:rsidRPr="00300962">
        <w:rPr>
          <w:szCs w:val="20"/>
          <w:lang w:val="fr-FR" w:eastAsia="fr-FR" w:bidi="fr-FR"/>
        </w:rPr>
        <w:tab/>
        <w:t>Conformément aux décisions 22/IV, 25/II et 31/III du Comité, les listes de points et de questions ont porté sur des thèmes traités dans la Convention et sur les relations entre les thèmes pertinents et la cible 5.1 des objectifs de développement durable. Ces thèmes sont notamment le cadre législatif et constitutionnel ; les femmes et la paix et la sécurité (le cas échéant) ; le mécanisme national de promotion de la femme ; les stéréotypes et les pratiques préjudiciables ; la violence à l’égard des femmes, y compris la violence domestique ; la traite des femmes et l’exploitation de la prostitution d’autrui ; la participation des femmes à la prise de décisions ; la nationalité ; l’éducation et la formation ; l’emploi ; la santé ; les avantages sociaux et économiques ; les femmes rurales ; la situation des groupes de femmes désavantagées telles que les femmes âgées, les femmes handicapées, les femmes appartenant à des minorités ethniques, les réfugiées et les migrantes ; l’égalité devant la loi ; le mariage et les relations familiales.</w:t>
      </w:r>
    </w:p>
    <w:p w:rsidR="00300962" w:rsidRPr="00300962" w:rsidRDefault="00300962" w:rsidP="003009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300962">
        <w:rPr>
          <w:noProof/>
          <w:w w:val="100"/>
          <w:szCs w:val="20"/>
          <w:lang w:val="en-GB" w:eastAsia="en-GB"/>
        </w:rPr>
        <mc:AlternateContent>
          <mc:Choice Requires="wps">
            <w:drawing>
              <wp:anchor distT="0" distB="0" distL="114300" distR="114300" simplePos="0" relativeHeight="251659264" behindDoc="0" locked="0" layoutInCell="1" allowOverlap="1" wp14:anchorId="0CC23711" wp14:editId="11C73449">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" strokecolor="#010000" strokeweight=".25pt"/>
            </w:pict>
          </mc:Fallback>
        </mc:AlternateContent>
      </w:r>
    </w:p>
    <w:p w:rsidR="00300962" w:rsidRPr="00300962" w:rsidRDefault="00300962" w:rsidP="00F13B55">
      <w:pPr>
        <w:pStyle w:val="SingleTxt"/>
        <w:rPr>
          <w:lang w:val="fr-FR"/>
        </w:rPr>
      </w:pPr>
    </w:p>
    <w:sectPr w:rsidR="00300962" w:rsidRPr="00300962" w:rsidSect="00F13B55">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29T12:17:00Z" w:initials="Start">
    <w:p w:rsidR="00F13B55" w:rsidRPr="00300962" w:rsidRDefault="00F13B55">
      <w:pPr>
        <w:pStyle w:val="CommentText"/>
        <w:rPr>
          <w:lang w:val="en-GB"/>
        </w:rPr>
      </w:pPr>
      <w:r>
        <w:fldChar w:fldCharType="begin"/>
      </w:r>
      <w:r w:rsidRPr="00300962">
        <w:rPr>
          <w:rStyle w:val="CommentReference"/>
          <w:lang w:val="en-GB"/>
        </w:rPr>
        <w:instrText xml:space="preserve"> </w:instrText>
      </w:r>
      <w:r w:rsidRPr="00300962">
        <w:rPr>
          <w:lang w:val="en-GB"/>
        </w:rPr>
        <w:instrText>PAGE \# "'Page: '#'</w:instrText>
      </w:r>
      <w:r w:rsidRPr="00300962">
        <w:rPr>
          <w:lang w:val="en-GB"/>
        </w:rPr>
        <w:br/>
        <w:instrText>'"</w:instrText>
      </w:r>
      <w:r w:rsidRPr="00300962">
        <w:rPr>
          <w:rStyle w:val="CommentReference"/>
          <w:lang w:val="en-GB"/>
        </w:rPr>
        <w:instrText xml:space="preserve"> </w:instrText>
      </w:r>
      <w:r>
        <w:fldChar w:fldCharType="end"/>
      </w:r>
      <w:r>
        <w:rPr>
          <w:rStyle w:val="CommentReference"/>
        </w:rPr>
        <w:annotationRef/>
      </w:r>
      <w:r w:rsidRPr="00300962">
        <w:rPr>
          <w:lang w:val="en-GB"/>
        </w:rPr>
        <w:t>&lt;&lt;ODS JOB NO&gt;&gt;N1624512F&lt;&lt;ODS JOB NO&gt;&gt;</w:t>
      </w:r>
    </w:p>
    <w:p w:rsidR="00F13B55" w:rsidRDefault="00F13B55">
      <w:pPr>
        <w:pStyle w:val="CommentText"/>
      </w:pPr>
      <w:r>
        <w:t>&lt;&lt;ODS DOC SYMBOL1&gt;&gt;CEDAW/C/PSWG/66/1&lt;&lt;ODS DOC SYMBOL1&gt;&gt;</w:t>
      </w:r>
    </w:p>
    <w:p w:rsidR="00F13B55" w:rsidRDefault="00F13B5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20C7" w:rsidRDefault="00C520C7" w:rsidP="00F3330B">
      <w:pPr>
        <w:spacing w:line="240" w:lineRule="auto"/>
      </w:pPr>
      <w:r>
        <w:separator/>
      </w:r>
    </w:p>
  </w:endnote>
  <w:endnote w:type="continuationSeparator" w:id="0">
    <w:p w:rsidR="00C520C7" w:rsidRDefault="00C520C7"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13B55" w:rsidTr="00F13B55">
      <w:tc>
        <w:tcPr>
          <w:tcW w:w="5028" w:type="dxa"/>
          <w:shd w:val="clear" w:color="auto" w:fill="auto"/>
        </w:tcPr>
        <w:p w:rsidR="00F13B55" w:rsidRPr="00F13B55" w:rsidRDefault="00F13B55" w:rsidP="00F13B5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00962">
            <w:rPr>
              <w:b w:val="0"/>
              <w:w w:val="103"/>
              <w:sz w:val="14"/>
            </w:rPr>
            <w:t>16-13341</w:t>
          </w:r>
          <w:r>
            <w:rPr>
              <w:b w:val="0"/>
              <w:w w:val="103"/>
              <w:sz w:val="14"/>
            </w:rPr>
            <w:fldChar w:fldCharType="end"/>
          </w:r>
        </w:p>
      </w:tc>
      <w:tc>
        <w:tcPr>
          <w:tcW w:w="5028" w:type="dxa"/>
          <w:shd w:val="clear" w:color="auto" w:fill="auto"/>
        </w:tcPr>
        <w:p w:rsidR="00F13B55" w:rsidRPr="00F13B55" w:rsidRDefault="00F13B55" w:rsidP="00F13B55">
          <w:pPr>
            <w:pStyle w:val="Footer"/>
            <w:rPr>
              <w:w w:val="103"/>
            </w:rPr>
          </w:pPr>
          <w:r>
            <w:rPr>
              <w:w w:val="103"/>
            </w:rPr>
            <w:fldChar w:fldCharType="begin"/>
          </w:r>
          <w:r>
            <w:rPr>
              <w:w w:val="103"/>
            </w:rPr>
            <w:instrText xml:space="preserve"> PAGE  \* Arabic  \* MERGEFORMAT </w:instrText>
          </w:r>
          <w:r>
            <w:rPr>
              <w:w w:val="103"/>
            </w:rPr>
            <w:fldChar w:fldCharType="separate"/>
          </w:r>
          <w:r w:rsidR="00F073AC">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073AC">
            <w:rPr>
              <w:noProof/>
              <w:w w:val="103"/>
            </w:rPr>
            <w:t>2</w:t>
          </w:r>
          <w:r>
            <w:rPr>
              <w:w w:val="103"/>
            </w:rPr>
            <w:fldChar w:fldCharType="end"/>
          </w:r>
        </w:p>
      </w:tc>
    </w:tr>
  </w:tbl>
  <w:p w:rsidR="00F13B55" w:rsidRPr="00F13B55" w:rsidRDefault="00F13B55" w:rsidP="00F13B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13B55" w:rsidTr="00F13B55">
      <w:tc>
        <w:tcPr>
          <w:tcW w:w="5028" w:type="dxa"/>
          <w:shd w:val="clear" w:color="auto" w:fill="auto"/>
        </w:tcPr>
        <w:p w:rsidR="00F13B55" w:rsidRPr="00F13B55" w:rsidRDefault="00F13B55" w:rsidP="00F13B5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00962">
            <w:rPr>
              <w:noProof/>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00962">
            <w:rPr>
              <w:noProof/>
              <w:w w:val="103"/>
            </w:rPr>
            <w:t>3</w:t>
          </w:r>
          <w:r>
            <w:rPr>
              <w:w w:val="103"/>
            </w:rPr>
            <w:fldChar w:fldCharType="end"/>
          </w:r>
        </w:p>
      </w:tc>
      <w:tc>
        <w:tcPr>
          <w:tcW w:w="5028" w:type="dxa"/>
          <w:shd w:val="clear" w:color="auto" w:fill="auto"/>
        </w:tcPr>
        <w:p w:rsidR="00F13B55" w:rsidRPr="00F13B55" w:rsidRDefault="00F13B55" w:rsidP="00F13B5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00962">
            <w:rPr>
              <w:b w:val="0"/>
              <w:w w:val="103"/>
              <w:sz w:val="14"/>
            </w:rPr>
            <w:t>16-13341</w:t>
          </w:r>
          <w:r>
            <w:rPr>
              <w:b w:val="0"/>
              <w:w w:val="103"/>
              <w:sz w:val="14"/>
            </w:rPr>
            <w:fldChar w:fldCharType="end"/>
          </w:r>
        </w:p>
      </w:tc>
    </w:tr>
  </w:tbl>
  <w:p w:rsidR="00F13B55" w:rsidRPr="00F13B55" w:rsidRDefault="00F13B55" w:rsidP="00F13B5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B55" w:rsidRDefault="00F13B55">
    <w:pPr>
      <w:pStyle w:val="Footer"/>
    </w:pPr>
    <w:r>
      <w:rPr>
        <w:noProof/>
        <w:lang w:val="en-GB" w:eastAsia="en-GB"/>
      </w:rPr>
      <w:drawing>
        <wp:anchor distT="0" distB="0" distL="114300" distR="114300" simplePos="0" relativeHeight="251658240" behindDoc="0" locked="0" layoutInCell="1" allowOverlap="1" wp14:anchorId="34E32D4A" wp14:editId="0A4D386B">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PSWG/66/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PSWG/66/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F13B55" w:rsidTr="00F13B55">
      <w:tc>
        <w:tcPr>
          <w:tcW w:w="3758" w:type="dxa"/>
        </w:tcPr>
        <w:p w:rsidR="00F13B55" w:rsidRDefault="00F13B55" w:rsidP="00F13B5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00962">
            <w:rPr>
              <w:b w:val="0"/>
              <w:sz w:val="20"/>
            </w:rPr>
            <w:t>16-13341 (F)</w:t>
          </w:r>
          <w:r>
            <w:rPr>
              <w:b w:val="0"/>
              <w:sz w:val="20"/>
            </w:rPr>
            <w:fldChar w:fldCharType="end"/>
          </w:r>
          <w:r w:rsidR="00300962">
            <w:rPr>
              <w:b w:val="0"/>
              <w:sz w:val="20"/>
            </w:rPr>
            <w:t xml:space="preserve">   </w:t>
          </w:r>
        </w:p>
        <w:p w:rsidR="00F13B55" w:rsidRPr="00F13B55" w:rsidRDefault="00F13B55" w:rsidP="00F13B5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00962">
            <w:rPr>
              <w:rFonts w:ascii="Barcode 3 of 9 by request" w:hAnsi="Barcode 3 of 9 by request"/>
              <w:b w:val="0"/>
              <w:spacing w:val="0"/>
              <w:w w:val="100"/>
              <w:sz w:val="24"/>
            </w:rPr>
            <w:t>*1613341*</w:t>
          </w:r>
          <w:r>
            <w:rPr>
              <w:rFonts w:ascii="Barcode 3 of 9 by request" w:hAnsi="Barcode 3 of 9 by request"/>
              <w:b w:val="0"/>
              <w:spacing w:val="0"/>
              <w:w w:val="100"/>
              <w:sz w:val="24"/>
            </w:rPr>
            <w:fldChar w:fldCharType="end"/>
          </w:r>
        </w:p>
      </w:tc>
      <w:tc>
        <w:tcPr>
          <w:tcW w:w="5028" w:type="dxa"/>
        </w:tcPr>
        <w:p w:rsidR="00F13B55" w:rsidRDefault="00F13B55" w:rsidP="00F13B55">
          <w:pPr>
            <w:pStyle w:val="Footer"/>
            <w:spacing w:line="240" w:lineRule="atLeast"/>
            <w:jc w:val="right"/>
            <w:rPr>
              <w:b w:val="0"/>
              <w:sz w:val="20"/>
            </w:rPr>
          </w:pPr>
          <w:r>
            <w:rPr>
              <w:b w:val="0"/>
              <w:noProof/>
              <w:sz w:val="20"/>
              <w:lang w:val="en-GB" w:eastAsia="en-GB"/>
            </w:rPr>
            <w:drawing>
              <wp:inline distT="0" distB="0" distL="0" distR="0" wp14:anchorId="4F7A0DC1" wp14:editId="186E776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F13B55" w:rsidRPr="00F13B55" w:rsidRDefault="00F13B55" w:rsidP="00F13B55">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20C7" w:rsidRPr="003E47D8" w:rsidRDefault="00C520C7" w:rsidP="003E47D8">
      <w:pPr>
        <w:pStyle w:val="Footer"/>
        <w:spacing w:after="80"/>
        <w:rPr>
          <w:sz w:val="16"/>
        </w:rPr>
      </w:pPr>
      <w:r w:rsidRPr="003E47D8">
        <w:rPr>
          <w:sz w:val="16"/>
        </w:rPr>
        <w:t>__________________</w:t>
      </w:r>
    </w:p>
  </w:footnote>
  <w:footnote w:type="continuationSeparator" w:id="0">
    <w:p w:rsidR="00C520C7" w:rsidRPr="003E47D8" w:rsidRDefault="00C520C7"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13B55" w:rsidTr="00F13B55">
      <w:trPr>
        <w:trHeight w:hRule="exact" w:val="864"/>
      </w:trPr>
      <w:tc>
        <w:tcPr>
          <w:tcW w:w="4838" w:type="dxa"/>
          <w:shd w:val="clear" w:color="auto" w:fill="auto"/>
          <w:vAlign w:val="bottom"/>
        </w:tcPr>
        <w:p w:rsidR="00F13B55" w:rsidRPr="00F13B55" w:rsidRDefault="00F13B55" w:rsidP="00F13B5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00962">
            <w:rPr>
              <w:b/>
              <w:color w:val="000000"/>
            </w:rPr>
            <w:t>CEDAW/C/PSWG/66/1</w:t>
          </w:r>
          <w:r>
            <w:rPr>
              <w:b/>
              <w:color w:val="000000"/>
            </w:rPr>
            <w:fldChar w:fldCharType="end"/>
          </w:r>
        </w:p>
      </w:tc>
      <w:tc>
        <w:tcPr>
          <w:tcW w:w="5028" w:type="dxa"/>
          <w:shd w:val="clear" w:color="auto" w:fill="auto"/>
          <w:vAlign w:val="bottom"/>
        </w:tcPr>
        <w:p w:rsidR="00F13B55" w:rsidRDefault="00F13B55" w:rsidP="00F13B55">
          <w:pPr>
            <w:pStyle w:val="Header"/>
          </w:pPr>
        </w:p>
      </w:tc>
    </w:tr>
  </w:tbl>
  <w:p w:rsidR="00F13B55" w:rsidRPr="00F13B55" w:rsidRDefault="00F13B55" w:rsidP="00F13B5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13B55" w:rsidTr="00F13B55">
      <w:trPr>
        <w:trHeight w:hRule="exact" w:val="864"/>
      </w:trPr>
      <w:tc>
        <w:tcPr>
          <w:tcW w:w="4838" w:type="dxa"/>
          <w:shd w:val="clear" w:color="auto" w:fill="auto"/>
          <w:vAlign w:val="bottom"/>
        </w:tcPr>
        <w:p w:rsidR="00F13B55" w:rsidRDefault="00F13B55" w:rsidP="00F13B55">
          <w:pPr>
            <w:pStyle w:val="Header"/>
          </w:pPr>
        </w:p>
      </w:tc>
      <w:tc>
        <w:tcPr>
          <w:tcW w:w="5028" w:type="dxa"/>
          <w:shd w:val="clear" w:color="auto" w:fill="auto"/>
          <w:vAlign w:val="bottom"/>
        </w:tcPr>
        <w:p w:rsidR="00F13B55" w:rsidRPr="00F13B55" w:rsidRDefault="00F13B55" w:rsidP="00F13B5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00962">
            <w:rPr>
              <w:b/>
              <w:color w:val="000000"/>
            </w:rPr>
            <w:t>CEDAW/C/PSWG/66/1</w:t>
          </w:r>
          <w:r>
            <w:rPr>
              <w:b/>
              <w:color w:val="000000"/>
            </w:rPr>
            <w:fldChar w:fldCharType="end"/>
          </w:r>
        </w:p>
      </w:tc>
    </w:tr>
  </w:tbl>
  <w:p w:rsidR="00F13B55" w:rsidRPr="00F13B55" w:rsidRDefault="00F13B55" w:rsidP="00F13B5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13B55" w:rsidTr="00F13B55">
      <w:trPr>
        <w:gridAfter w:val="1"/>
        <w:wAfter w:w="12" w:type="dxa"/>
        <w:trHeight w:hRule="exact" w:val="864"/>
      </w:trPr>
      <w:tc>
        <w:tcPr>
          <w:tcW w:w="1267" w:type="dxa"/>
          <w:tcBorders>
            <w:bottom w:val="single" w:sz="4" w:space="0" w:color="auto"/>
          </w:tcBorders>
          <w:shd w:val="clear" w:color="auto" w:fill="auto"/>
          <w:vAlign w:val="bottom"/>
        </w:tcPr>
        <w:p w:rsidR="00F13B55" w:rsidRDefault="00F13B55" w:rsidP="00F13B55">
          <w:pPr>
            <w:pStyle w:val="Header"/>
            <w:spacing w:after="120"/>
          </w:pPr>
        </w:p>
      </w:tc>
      <w:tc>
        <w:tcPr>
          <w:tcW w:w="2059" w:type="dxa"/>
          <w:tcBorders>
            <w:bottom w:val="single" w:sz="4" w:space="0" w:color="auto"/>
          </w:tcBorders>
          <w:shd w:val="clear" w:color="auto" w:fill="auto"/>
          <w:vAlign w:val="bottom"/>
        </w:tcPr>
        <w:p w:rsidR="00F13B55" w:rsidRPr="00F13B55" w:rsidRDefault="00F13B55" w:rsidP="00F13B5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F13B55" w:rsidRDefault="00F13B55" w:rsidP="00F13B55">
          <w:pPr>
            <w:pStyle w:val="Header"/>
            <w:spacing w:after="120"/>
          </w:pPr>
        </w:p>
      </w:tc>
      <w:tc>
        <w:tcPr>
          <w:tcW w:w="6523" w:type="dxa"/>
          <w:gridSpan w:val="3"/>
          <w:tcBorders>
            <w:bottom w:val="single" w:sz="4" w:space="0" w:color="auto"/>
          </w:tcBorders>
          <w:shd w:val="clear" w:color="auto" w:fill="auto"/>
          <w:vAlign w:val="bottom"/>
        </w:tcPr>
        <w:p w:rsidR="00F13B55" w:rsidRPr="00F13B55" w:rsidRDefault="00F13B55" w:rsidP="00F13B55">
          <w:pPr>
            <w:spacing w:after="80" w:line="240" w:lineRule="auto"/>
            <w:jc w:val="right"/>
            <w:rPr>
              <w:position w:val="-4"/>
            </w:rPr>
          </w:pPr>
          <w:r>
            <w:rPr>
              <w:position w:val="-4"/>
              <w:sz w:val="40"/>
            </w:rPr>
            <w:t>CEDAW</w:t>
          </w:r>
          <w:r>
            <w:rPr>
              <w:position w:val="-4"/>
            </w:rPr>
            <w:t>/C/PSWG/66/1</w:t>
          </w:r>
        </w:p>
      </w:tc>
    </w:tr>
    <w:tr w:rsidR="00F13B55" w:rsidRPr="00F13B55" w:rsidTr="00F13B55">
      <w:trPr>
        <w:trHeight w:hRule="exact" w:val="2880"/>
      </w:trPr>
      <w:tc>
        <w:tcPr>
          <w:tcW w:w="1267" w:type="dxa"/>
          <w:tcBorders>
            <w:top w:val="single" w:sz="4" w:space="0" w:color="auto"/>
            <w:bottom w:val="single" w:sz="12" w:space="0" w:color="auto"/>
          </w:tcBorders>
          <w:shd w:val="clear" w:color="auto" w:fill="auto"/>
        </w:tcPr>
        <w:p w:rsidR="00F13B55" w:rsidRPr="00F13B55" w:rsidRDefault="00F13B55" w:rsidP="00F13B55">
          <w:pPr>
            <w:pStyle w:val="Header"/>
            <w:spacing w:before="120" w:line="240" w:lineRule="auto"/>
            <w:ind w:left="-72"/>
            <w:jc w:val="center"/>
          </w:pPr>
          <w:r>
            <w:t xml:space="preserve">  </w:t>
          </w:r>
          <w:r>
            <w:rPr>
              <w:noProof/>
              <w:lang w:val="en-GB" w:eastAsia="en-GB"/>
            </w:rPr>
            <w:drawing>
              <wp:inline distT="0" distB="0" distL="0" distR="0" wp14:anchorId="5D018AFF" wp14:editId="1F3E522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13B55" w:rsidRPr="00F13B55" w:rsidRDefault="00F13B55" w:rsidP="00F13B55">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F13B55" w:rsidRPr="00300962" w:rsidRDefault="00F13B55" w:rsidP="00F13B55">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F13B55" w:rsidRPr="00300962" w:rsidRDefault="00F13B55" w:rsidP="00F13B55">
          <w:pPr>
            <w:pStyle w:val="Distribution"/>
            <w:rPr>
              <w:color w:val="000000"/>
              <w:lang w:val="fr-CA"/>
            </w:rPr>
          </w:pPr>
          <w:r w:rsidRPr="00300962">
            <w:rPr>
              <w:color w:val="000000"/>
              <w:lang w:val="fr-CA"/>
            </w:rPr>
            <w:t>Distr. générale</w:t>
          </w:r>
        </w:p>
        <w:p w:rsidR="00F13B55" w:rsidRPr="00300962" w:rsidRDefault="00F13B55" w:rsidP="00F13B55">
          <w:pPr>
            <w:pStyle w:val="Publication"/>
            <w:rPr>
              <w:color w:val="000000"/>
              <w:lang w:val="fr-CA"/>
            </w:rPr>
          </w:pPr>
          <w:r w:rsidRPr="00300962">
            <w:rPr>
              <w:color w:val="000000"/>
              <w:lang w:val="fr-CA"/>
            </w:rPr>
            <w:t>2 août 2016</w:t>
          </w:r>
        </w:p>
        <w:p w:rsidR="00F13B55" w:rsidRPr="00300962" w:rsidRDefault="00F13B55" w:rsidP="00F13B55">
          <w:r w:rsidRPr="00300962">
            <w:t>Français</w:t>
          </w:r>
        </w:p>
        <w:p w:rsidR="00F13B55" w:rsidRPr="00300962" w:rsidRDefault="00F13B55" w:rsidP="00F13B55">
          <w:pPr>
            <w:pStyle w:val="Original"/>
            <w:rPr>
              <w:color w:val="000000"/>
              <w:lang w:val="fr-CA"/>
            </w:rPr>
          </w:pPr>
          <w:r w:rsidRPr="00300962">
            <w:rPr>
              <w:color w:val="000000"/>
              <w:lang w:val="fr-CA"/>
            </w:rPr>
            <w:t>Original : anglais</w:t>
          </w:r>
        </w:p>
      </w:tc>
    </w:tr>
  </w:tbl>
  <w:p w:rsidR="00F13B55" w:rsidRPr="00300962" w:rsidRDefault="00F13B55" w:rsidP="00F13B55">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720"/>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3341*"/>
    <w:docVar w:name="CreationDt" w:val="29/08/2016 12:17 PM"/>
    <w:docVar w:name="DocCategory" w:val="Doc"/>
    <w:docVar w:name="DocType" w:val="Final"/>
    <w:docVar w:name="DutyStation" w:val="New York"/>
    <w:docVar w:name="FooterJN" w:val="16-13341"/>
    <w:docVar w:name="jobn" w:val="16-13341 (F)"/>
    <w:docVar w:name="jobnDT" w:val="16-13341 (F)   290816"/>
    <w:docVar w:name="jobnDTDT" w:val="16-13341 (F)   290816   290816"/>
    <w:docVar w:name="JobNo" w:val="1613341F"/>
    <w:docVar w:name="JobNo2" w:val="1624512F"/>
    <w:docVar w:name="LocalDrive" w:val="0"/>
    <w:docVar w:name="OandT" w:val="BO"/>
    <w:docVar w:name="PaperSize" w:val="Letter"/>
    <w:docVar w:name="sss1" w:val="CEDAW/C/PSWG/66/1"/>
    <w:docVar w:name="sss2" w:val="-"/>
    <w:docVar w:name="Symbol1" w:val="CEDAW/C/PSWG/66/1"/>
    <w:docVar w:name="Symbol2" w:val="-"/>
  </w:docVars>
  <w:rsids>
    <w:rsidRoot w:val="00C520C7"/>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568A"/>
    <w:rsid w:val="00177D83"/>
    <w:rsid w:val="00180387"/>
    <w:rsid w:val="001818CC"/>
    <w:rsid w:val="0018224A"/>
    <w:rsid w:val="001836CE"/>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096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7CA9"/>
    <w:rsid w:val="005E0F5F"/>
    <w:rsid w:val="005E4A21"/>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F0C"/>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2181"/>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5E2"/>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4A55"/>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1DF6"/>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20C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036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49BA"/>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073AC"/>
    <w:rsid w:val="00F13B55"/>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B497B"/>
    <w:rsid w:val="00FC0F57"/>
    <w:rsid w:val="00FC1BC9"/>
    <w:rsid w:val="00FC4133"/>
    <w:rsid w:val="00FC41DA"/>
    <w:rsid w:val="00FC475B"/>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F13B55"/>
    <w:rPr>
      <w:sz w:val="16"/>
      <w:szCs w:val="16"/>
    </w:rPr>
  </w:style>
  <w:style w:type="paragraph" w:styleId="CommentText">
    <w:name w:val="annotation text"/>
    <w:basedOn w:val="Normal"/>
    <w:link w:val="CommentTextChar"/>
    <w:uiPriority w:val="99"/>
    <w:semiHidden/>
    <w:unhideWhenUsed/>
    <w:rsid w:val="00F13B55"/>
    <w:pPr>
      <w:spacing w:line="240" w:lineRule="auto"/>
    </w:pPr>
    <w:rPr>
      <w:szCs w:val="20"/>
    </w:rPr>
  </w:style>
  <w:style w:type="character" w:customStyle="1" w:styleId="CommentTextChar">
    <w:name w:val="Comment Text Char"/>
    <w:basedOn w:val="DefaultParagraphFont"/>
    <w:link w:val="CommentText"/>
    <w:uiPriority w:val="99"/>
    <w:semiHidden/>
    <w:rsid w:val="00F13B55"/>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F13B55"/>
    <w:rPr>
      <w:b/>
      <w:bCs/>
    </w:rPr>
  </w:style>
  <w:style w:type="character" w:customStyle="1" w:styleId="CommentSubjectChar">
    <w:name w:val="Comment Subject Char"/>
    <w:basedOn w:val="CommentTextChar"/>
    <w:link w:val="CommentSubject"/>
    <w:uiPriority w:val="99"/>
    <w:semiHidden/>
    <w:rsid w:val="00F13B55"/>
    <w:rPr>
      <w:rFonts w:ascii="Times New Roman" w:hAnsi="Times New Roman"/>
      <w:b/>
      <w:bCs/>
      <w:spacing w:val="4"/>
      <w:w w:val="103"/>
      <w:kern w:val="14"/>
      <w:lang w:val="fr-CA"/>
    </w:rPr>
  </w:style>
  <w:style w:type="character" w:styleId="Hyperlink">
    <w:name w:val="Hyperlink"/>
    <w:basedOn w:val="DefaultParagraphFont"/>
    <w:uiPriority w:val="99"/>
    <w:semiHidden/>
    <w:unhideWhenUsed/>
    <w:rsid w:val="00300962"/>
    <w:rPr>
      <w:color w:val="0000FF"/>
      <w:u w:val="none"/>
    </w:rPr>
  </w:style>
  <w:style w:type="character" w:styleId="FollowedHyperlink">
    <w:name w:val="FollowedHyperlink"/>
    <w:basedOn w:val="DefaultParagraphFont"/>
    <w:uiPriority w:val="99"/>
    <w:semiHidden/>
    <w:unhideWhenUsed/>
    <w:rsid w:val="00300962"/>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F13B55"/>
    <w:rPr>
      <w:sz w:val="16"/>
      <w:szCs w:val="16"/>
    </w:rPr>
  </w:style>
  <w:style w:type="paragraph" w:styleId="CommentText">
    <w:name w:val="annotation text"/>
    <w:basedOn w:val="Normal"/>
    <w:link w:val="CommentTextChar"/>
    <w:uiPriority w:val="99"/>
    <w:semiHidden/>
    <w:unhideWhenUsed/>
    <w:rsid w:val="00F13B55"/>
    <w:pPr>
      <w:spacing w:line="240" w:lineRule="auto"/>
    </w:pPr>
    <w:rPr>
      <w:szCs w:val="20"/>
    </w:rPr>
  </w:style>
  <w:style w:type="character" w:customStyle="1" w:styleId="CommentTextChar">
    <w:name w:val="Comment Text Char"/>
    <w:basedOn w:val="DefaultParagraphFont"/>
    <w:link w:val="CommentText"/>
    <w:uiPriority w:val="99"/>
    <w:semiHidden/>
    <w:rsid w:val="00F13B55"/>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F13B55"/>
    <w:rPr>
      <w:b/>
      <w:bCs/>
    </w:rPr>
  </w:style>
  <w:style w:type="character" w:customStyle="1" w:styleId="CommentSubjectChar">
    <w:name w:val="Comment Subject Char"/>
    <w:basedOn w:val="CommentTextChar"/>
    <w:link w:val="CommentSubject"/>
    <w:uiPriority w:val="99"/>
    <w:semiHidden/>
    <w:rsid w:val="00F13B55"/>
    <w:rPr>
      <w:rFonts w:ascii="Times New Roman" w:hAnsi="Times New Roman"/>
      <w:b/>
      <w:bCs/>
      <w:spacing w:val="4"/>
      <w:w w:val="103"/>
      <w:kern w:val="14"/>
      <w:lang w:val="fr-CA"/>
    </w:rPr>
  </w:style>
  <w:style w:type="character" w:styleId="Hyperlink">
    <w:name w:val="Hyperlink"/>
    <w:basedOn w:val="DefaultParagraphFont"/>
    <w:uiPriority w:val="99"/>
    <w:semiHidden/>
    <w:unhideWhenUsed/>
    <w:rsid w:val="00300962"/>
    <w:rPr>
      <w:color w:val="0000FF"/>
      <w:u w:val="none"/>
    </w:rPr>
  </w:style>
  <w:style w:type="character" w:styleId="FollowedHyperlink">
    <w:name w:val="FollowedHyperlink"/>
    <w:basedOn w:val="DefaultParagraphFont"/>
    <w:uiPriority w:val="99"/>
    <w:semiHidden/>
    <w:unhideWhenUsed/>
    <w:rsid w:val="00300962"/>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JOR/Q/6" TargetMode="External"/><Relationship Id="rId3" Type="http://schemas.openxmlformats.org/officeDocument/2006/relationships/styles" Target="styles.xml"/><Relationship Id="rId21" Type="http://schemas.openxmlformats.org/officeDocument/2006/relationships/hyperlink" Target="http://undocs.org/CEDAW/C/LKA/Q/8"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DEU/Q/7"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ndocs.org/CEDAW/C/SLV/Q/8" TargetMode="External"/><Relationship Id="rId20" Type="http://schemas.openxmlformats.org/officeDocument/2006/relationships/hyperlink" Target="http://undocs.org/CEDAW/C/RWA/Q/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EDAW/C/ISR/QPR/6" TargetMode="External"/><Relationship Id="rId10" Type="http://schemas.openxmlformats.org/officeDocument/2006/relationships/header" Target="header2.xml"/><Relationship Id="rId19" Type="http://schemas.openxmlformats.org/officeDocument/2006/relationships/hyperlink" Target="http://undocs.org/CEDAW/C/FSM/Q/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EDAW/C/UKR/Q/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868856-0852-4AE2-8869-D2A4F73FD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956</Words>
  <Characters>5454</Characters>
  <Application>Microsoft Office Word</Application>
  <DocSecurity>0</DocSecurity>
  <Lines>45</Lines>
  <Paragraphs>12</Paragraphs>
  <ScaleCrop>false</ScaleCrop>
  <Company>United Nations</Company>
  <LinksUpToDate>false</LinksUpToDate>
  <CharactersWithSpaces>6398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Front Desk 1</dc:creator>
  <cp:keywords/>
  <dc:description/>
  <cp:lastModifiedBy>Front Desk 1</cp:lastModifiedBy>
  <cp:revision>5</cp:revision>
  <cp:lastPrinted>2016-08-29T16:18:00Z</cp:lastPrinted>
  <dcterms:created xsi:type="dcterms:W3CDTF">2016-08-29T16:16:00Z</dcterms:created>
  <dcterms:modified xsi:type="dcterms:W3CDTF">2016-08-29T16:18:00Z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1613341F</vt:lpwstr>
  </property>
  <property fmtid="{D5CDD505-2E9C-101B-9397-08002B2CF9AE}" pid="3" name="ODSRefJobNo">
    <vt:lpwstr>1624512F</vt:lpwstr>
  </property>
  <property fmtid="{D5CDD505-2E9C-101B-9397-08002B2CF9AE}" pid="4" name="Symbol1">
    <vt:lpwstr>CEDAW/C/PSWG/66/1</vt:lpwstr>
  </property>
  <property fmtid="{D5CDD505-2E9C-101B-9397-08002B2CF9AE}" pid="5" name="Symbol2">
    <vt:lpwstr/>
  </property>
  <property fmtid="{D5CDD505-2E9C-101B-9397-08002B2CF9AE}" pid="6" name="Translator">
    <vt:lpwstr/>
  </property>
  <property fmtid="{D5CDD505-2E9C-101B-9397-08002B2CF9AE}" pid="7" name="Operator">
    <vt:lpwstr>BO</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 août 2016</vt:lpwstr>
  </property>
  <property fmtid="{D5CDD505-2E9C-101B-9397-08002B2CF9AE}" pid="12" name="Original">
    <vt:lpwstr>anglais</vt:lpwstr>
  </property>
  <property fmtid="{D5CDD505-2E9C-101B-9397-08002B2CF9AE}" pid="13" name="Release Date">
    <vt:lpwstr>290816</vt:lpwstr>
  </property>
</Properties>
</file>