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50"/>
        <w:gridCol w:w="2836"/>
      </w:tblGrid>
      <w:tr w:rsidR="002D5AAC" w:rsidTr="007C1DC2">
        <w:trPr>
          <w:trHeight w:hRule="exact" w:val="851"/>
        </w:trPr>
        <w:tc>
          <w:tcPr>
            <w:tcW w:w="1280" w:type="dxa"/>
            <w:tcBorders>
              <w:bottom w:val="single" w:sz="4" w:space="0" w:color="auto"/>
            </w:tcBorders>
          </w:tcPr>
          <w:p w:rsidR="002D5AAC" w:rsidRDefault="002D5AAC" w:rsidP="007C1DC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1DC2" w:rsidP="007C1DC2">
            <w:pPr>
              <w:jc w:val="right"/>
            </w:pPr>
            <w:r w:rsidRPr="007C1DC2">
              <w:rPr>
                <w:sz w:val="40"/>
              </w:rPr>
              <w:t>CAT</w:t>
            </w:r>
            <w:r>
              <w:t>/</w:t>
            </w:r>
            <w:proofErr w:type="spellStart"/>
            <w:r>
              <w:t>OP</w:t>
            </w:r>
            <w:proofErr w:type="spellEnd"/>
            <w:r>
              <w:t>/29/1</w:t>
            </w:r>
          </w:p>
        </w:tc>
      </w:tr>
      <w:tr w:rsidR="002D5AAC" w:rsidTr="007C1DC2">
        <w:trPr>
          <w:trHeight w:hRule="exact" w:val="2835"/>
        </w:trPr>
        <w:tc>
          <w:tcPr>
            <w:tcW w:w="1280" w:type="dxa"/>
            <w:tcBorders>
              <w:top w:val="single" w:sz="4" w:space="0" w:color="auto"/>
              <w:bottom w:val="single" w:sz="12" w:space="0" w:color="auto"/>
            </w:tcBorders>
          </w:tcPr>
          <w:p w:rsidR="002D5AAC" w:rsidRDefault="0066420E" w:rsidP="00A17DFD">
            <w:pPr>
              <w:spacing w:before="120"/>
              <w:jc w:val="center"/>
            </w:pPr>
            <w:r>
              <w:rPr>
                <w:noProof/>
              </w:rPr>
              <w:drawing>
                <wp:inline distT="0" distB="0" distL="0" distR="0" wp14:anchorId="10CBED98" wp14:editId="7A669291">
                  <wp:extent cx="714375" cy="590550"/>
                  <wp:effectExtent l="0" t="0" r="9525"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3" w:type="dxa"/>
            <w:gridSpan w:val="2"/>
            <w:tcBorders>
              <w:top w:val="single" w:sz="4" w:space="0" w:color="auto"/>
              <w:bottom w:val="single" w:sz="12" w:space="0" w:color="auto"/>
            </w:tcBorders>
          </w:tcPr>
          <w:p w:rsidR="002D5AAC" w:rsidRPr="007967DF" w:rsidRDefault="00B52259" w:rsidP="00F617E7">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36" w:type="dxa"/>
            <w:tcBorders>
              <w:top w:val="single" w:sz="4" w:space="0" w:color="auto"/>
              <w:bottom w:val="single" w:sz="12" w:space="0" w:color="auto"/>
            </w:tcBorders>
          </w:tcPr>
          <w:p w:rsidR="002D5AAC" w:rsidRDefault="007C1DC2" w:rsidP="00D03969">
            <w:pPr>
              <w:spacing w:before="240"/>
            </w:pPr>
            <w:proofErr w:type="spellStart"/>
            <w:r>
              <w:t>Distr</w:t>
            </w:r>
            <w:proofErr w:type="spellEnd"/>
            <w:r>
              <w:t>. general</w:t>
            </w:r>
          </w:p>
          <w:p w:rsidR="007C1DC2" w:rsidRDefault="007C1DC2" w:rsidP="007C1DC2">
            <w:pPr>
              <w:spacing w:line="240" w:lineRule="exact"/>
            </w:pPr>
            <w:r>
              <w:t>18 de julio de 2016</w:t>
            </w:r>
          </w:p>
          <w:p w:rsidR="007C1DC2" w:rsidRDefault="007C1DC2" w:rsidP="007C1DC2">
            <w:pPr>
              <w:spacing w:line="240" w:lineRule="exact"/>
            </w:pPr>
            <w:r>
              <w:t>Español</w:t>
            </w:r>
          </w:p>
          <w:p w:rsidR="007C1DC2" w:rsidRDefault="007C1DC2" w:rsidP="007C1DC2">
            <w:pPr>
              <w:spacing w:line="240" w:lineRule="exact"/>
            </w:pPr>
            <w:r>
              <w:t>Original: inglés</w:t>
            </w:r>
            <w:r>
              <w:br/>
              <w:t>Español, francés e inglés únicamente</w:t>
            </w:r>
          </w:p>
        </w:tc>
      </w:tr>
    </w:tbl>
    <w:p w:rsidR="006F35EE" w:rsidRPr="00E026EE" w:rsidRDefault="00E026EE" w:rsidP="007C1DC2">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rsidR="007C1DC2" w:rsidRPr="007C1DC2" w:rsidRDefault="007C1DC2" w:rsidP="007C1DC2">
      <w:pPr>
        <w:pStyle w:val="HChG"/>
        <w:rPr>
          <w:bCs/>
        </w:rPr>
      </w:pPr>
      <w:r>
        <w:tab/>
      </w:r>
      <w:r>
        <w:tab/>
      </w:r>
      <w:r w:rsidRPr="007C1DC2">
        <w:t>Decisión sobre los Estados partes que presentan</w:t>
      </w:r>
      <w:r>
        <w:br/>
      </w:r>
      <w:r w:rsidRPr="007C1DC2">
        <w:t xml:space="preserve">un retraso considerable en el cumplimiento de las </w:t>
      </w:r>
      <w:r>
        <w:br/>
      </w:r>
      <w:r w:rsidRPr="007C1DC2">
        <w:t>obligaciones establecidas en el artículo 17 del Protocolo Facultativo de la Convención contra la Tortura y Otros Tratos o Penas Crueles, Inhumanos o Degradantes</w:t>
      </w:r>
    </w:p>
    <w:p w:rsidR="007C1DC2" w:rsidRPr="007C1DC2" w:rsidRDefault="007C1DC2" w:rsidP="007C1DC2">
      <w:pPr>
        <w:pStyle w:val="SingleTxtG"/>
      </w:pPr>
      <w:r w:rsidRPr="007C1DC2">
        <w:t>1.</w:t>
      </w:r>
      <w:r w:rsidRPr="007C1DC2">
        <w:tab/>
        <w:t xml:space="preserve">Este documento se presenta de conformidad con la decisión </w:t>
      </w:r>
      <w:r w:rsidRPr="007C1DC2">
        <w:rPr>
          <w:lang w:val="es-ES_tradnl"/>
        </w:rPr>
        <w:t>adoptada por el</w:t>
      </w:r>
      <w:r w:rsidRPr="007C1DC2">
        <w:t xml:space="preserve"> Subcomité en su 29º período de sesiones, celebrado del 13 al 17 de junio de 2016, de adoptar una decisión </w:t>
      </w:r>
      <w:r w:rsidRPr="007C1DC2">
        <w:rPr>
          <w:lang w:val="es-ES_tradnl"/>
        </w:rPr>
        <w:t>respecto de</w:t>
      </w:r>
      <w:r w:rsidRPr="007C1DC2">
        <w:t xml:space="preserve"> los Estados partes con un retraso de al menos tres años en el cumplimiento del artículo 17 del Protocolo Facultativo de la Convención contra la Tortura y Otros Tratos o Penas Crueles, Inhumanos o Degradantes y de publicar esa decisión y la lista de Estados partes </w:t>
      </w:r>
      <w:r w:rsidRPr="007C1DC2">
        <w:rPr>
          <w:lang w:val="es-ES_tradnl"/>
        </w:rPr>
        <w:t>interesados</w:t>
      </w:r>
      <w:r w:rsidRPr="007C1DC2">
        <w:t xml:space="preserve"> en su sitio web. El Subcomité solicitó que el presente documento, que se ajusta al mandato del Subcomité, establecido en el artículo 11 del Protocolo Facultativo, se publicara en sus tres idiomas de trabajo.</w:t>
      </w:r>
    </w:p>
    <w:p w:rsidR="007C1DC2" w:rsidRPr="007C1DC2" w:rsidRDefault="007C1DC2" w:rsidP="007C1DC2">
      <w:pPr>
        <w:pStyle w:val="SingleTxtG"/>
      </w:pPr>
      <w:r w:rsidRPr="007C1DC2">
        <w:t>2.</w:t>
      </w:r>
      <w:r w:rsidRPr="007C1DC2">
        <w:tab/>
        <w:t xml:space="preserve">En su </w:t>
      </w:r>
      <w:r w:rsidRPr="007C1DC2">
        <w:rPr>
          <w:lang w:val="es-ES_tradnl"/>
        </w:rPr>
        <w:t>28º</w:t>
      </w:r>
      <w:r w:rsidRPr="007C1DC2">
        <w:t xml:space="preserve"> período de sesiones, celebrado del 15 al 19 de febrero de 2016, el Subcomité decidió tomar nuevas medidas en relación con </w:t>
      </w:r>
      <w:r w:rsidRPr="007C1DC2">
        <w:rPr>
          <w:lang w:val="es-ES_tradnl"/>
        </w:rPr>
        <w:t>los</w:t>
      </w:r>
      <w:r w:rsidRPr="007C1DC2">
        <w:t xml:space="preserve"> Estados que presentaran un retraso considerable en el cumplimiento de sus obligaciones dimanantes del artículo 17 del Protocolo Facultativo. El artículo 17 dispone que cada Estado </w:t>
      </w:r>
      <w:r w:rsidR="007521BD" w:rsidRPr="007C1DC2">
        <w:t xml:space="preserve">parte </w:t>
      </w:r>
      <w:r w:rsidRPr="007C1DC2">
        <w:t xml:space="preserve">mantendrá, designará o creará, a más tardar un año después de la entrada en vigor del presente Protocolo, o de su ratificación o adhesión, uno o varios mecanismos nacionales independientes para la prevención de la tortura a nivel nacional. </w:t>
      </w:r>
    </w:p>
    <w:p w:rsidR="007C1DC2" w:rsidRPr="007C1DC2" w:rsidRDefault="007C1DC2" w:rsidP="007C1DC2">
      <w:pPr>
        <w:pStyle w:val="SingleTxtG"/>
      </w:pPr>
      <w:r w:rsidRPr="007C1DC2">
        <w:t>3.</w:t>
      </w:r>
      <w:r w:rsidRPr="007C1DC2">
        <w:tab/>
        <w:t xml:space="preserve">En abril de 2016, el Subcomité envió una carta a </w:t>
      </w:r>
      <w:r w:rsidRPr="007C1DC2">
        <w:rPr>
          <w:lang w:val="es-ES_tradnl"/>
        </w:rPr>
        <w:t>los</w:t>
      </w:r>
      <w:r w:rsidRPr="007C1DC2">
        <w:t xml:space="preserve"> Estados partes que presentaban un retraso de al menos tres años en el cumplimento del artículo 17 del Protocolo Facultativo</w:t>
      </w:r>
      <w:r w:rsidRPr="007C1DC2">
        <w:rPr>
          <w:lang w:val="es-ES_tradnl"/>
        </w:rPr>
        <w:t>,</w:t>
      </w:r>
      <w:r w:rsidRPr="007C1DC2">
        <w:t xml:space="preserve"> en la que los invitaba a proporcionar información por escrito sobre las medidas adoptadas para cumplir con las obligaciones que les incumben en virtud de esa disposición. El Subcomité también informó a los Estados partes en cuestión de que, en su 29</w:t>
      </w:r>
      <w:r w:rsidR="007521BD">
        <w:t>º</w:t>
      </w:r>
      <w:r w:rsidRPr="007C1DC2">
        <w:t xml:space="preserve"> período de sesiones, publicaría una lista de los Estados partes con al menos tres años de retraso en el cumplimiento del artículo 17.</w:t>
      </w:r>
    </w:p>
    <w:p w:rsidR="007C1DC2" w:rsidRPr="007C1DC2" w:rsidRDefault="007C1DC2" w:rsidP="007C1DC2">
      <w:pPr>
        <w:pStyle w:val="SingleTxtG"/>
      </w:pPr>
      <w:r w:rsidRPr="007C1DC2">
        <w:t>4.</w:t>
      </w:r>
      <w:r w:rsidRPr="007C1DC2">
        <w:tab/>
        <w:t xml:space="preserve">La carta se envió a los siguientes Estados partes: Argentina, </w:t>
      </w:r>
      <w:proofErr w:type="spellStart"/>
      <w:r w:rsidRPr="007C1DC2">
        <w:t>Benin</w:t>
      </w:r>
      <w:proofErr w:type="spellEnd"/>
      <w:r w:rsidRPr="007C1DC2">
        <w:t>, Burkina Faso, Camboya, Chile, Gabón, Líbano, Liberia, Nigeria, Panamá y República Democrática del Congo. Se recibieron respuestas de la Argentina, Burkina Faso, el Líbano y Panamá. Tras examinar detenidamente la información recibida, el Subcomité decidió mantener en la lista a todos los países antes mencionados.</w:t>
      </w:r>
    </w:p>
    <w:p w:rsidR="007C1DC2" w:rsidRPr="007C1DC2" w:rsidRDefault="007C1DC2" w:rsidP="007C1DC2">
      <w:pPr>
        <w:pStyle w:val="SingleTxtG"/>
        <w:rPr>
          <w:bCs/>
        </w:rPr>
      </w:pPr>
      <w:r w:rsidRPr="007C1DC2">
        <w:lastRenderedPageBreak/>
        <w:t>5.</w:t>
      </w:r>
      <w:r w:rsidRPr="007C1DC2">
        <w:tab/>
        <w:t>Los siguientes Estados partes presentan un retraso considerable en el cumplimiento de sus obligaciones dimanantes del artículo 17 del Protocolo Facultativo:</w:t>
      </w:r>
    </w:p>
    <w:p w:rsidR="007C1DC2" w:rsidRPr="007C1DC2" w:rsidRDefault="007C1DC2" w:rsidP="007C1DC2">
      <w:pPr>
        <w:pStyle w:val="SingleTxtG"/>
      </w:pPr>
      <w:r>
        <w:tab/>
      </w:r>
      <w:r w:rsidRPr="007C1DC2">
        <w:t>a)</w:t>
      </w:r>
      <w:r w:rsidRPr="007C1DC2">
        <w:tab/>
        <w:t>Argentina;</w:t>
      </w:r>
    </w:p>
    <w:p w:rsidR="007C1DC2" w:rsidRPr="007C1DC2" w:rsidRDefault="007C1DC2" w:rsidP="007C1DC2">
      <w:pPr>
        <w:pStyle w:val="SingleTxtG"/>
      </w:pPr>
      <w:r>
        <w:tab/>
      </w:r>
      <w:r w:rsidRPr="007C1DC2">
        <w:t>b)</w:t>
      </w:r>
      <w:r w:rsidRPr="007C1DC2">
        <w:tab/>
      </w:r>
      <w:proofErr w:type="spellStart"/>
      <w:r w:rsidRPr="007C1DC2">
        <w:t>Benin</w:t>
      </w:r>
      <w:proofErr w:type="spellEnd"/>
      <w:r w:rsidRPr="007C1DC2">
        <w:t>;</w:t>
      </w:r>
    </w:p>
    <w:p w:rsidR="007C1DC2" w:rsidRPr="007C1DC2" w:rsidRDefault="007C1DC2" w:rsidP="007C1DC2">
      <w:pPr>
        <w:pStyle w:val="SingleTxtG"/>
      </w:pPr>
      <w:r>
        <w:tab/>
      </w:r>
      <w:r w:rsidRPr="007C1DC2">
        <w:t>c)</w:t>
      </w:r>
      <w:r w:rsidRPr="007C1DC2">
        <w:tab/>
        <w:t>Burkina Faso;</w:t>
      </w:r>
    </w:p>
    <w:p w:rsidR="007C1DC2" w:rsidRPr="007C1DC2" w:rsidRDefault="007C1DC2" w:rsidP="007C1DC2">
      <w:pPr>
        <w:pStyle w:val="SingleTxtG"/>
      </w:pPr>
      <w:r>
        <w:tab/>
      </w:r>
      <w:r w:rsidRPr="007C1DC2">
        <w:t>d)</w:t>
      </w:r>
      <w:r w:rsidRPr="007C1DC2">
        <w:tab/>
        <w:t>Camboya;</w:t>
      </w:r>
    </w:p>
    <w:p w:rsidR="007C1DC2" w:rsidRPr="007C1DC2" w:rsidRDefault="007C1DC2" w:rsidP="007C1DC2">
      <w:pPr>
        <w:pStyle w:val="SingleTxtG"/>
      </w:pPr>
      <w:r>
        <w:tab/>
      </w:r>
      <w:r w:rsidRPr="007C1DC2">
        <w:t>e)</w:t>
      </w:r>
      <w:r w:rsidRPr="007C1DC2">
        <w:tab/>
        <w:t>Chile;</w:t>
      </w:r>
    </w:p>
    <w:p w:rsidR="007C1DC2" w:rsidRPr="007C1DC2" w:rsidRDefault="007C1DC2" w:rsidP="007C1DC2">
      <w:pPr>
        <w:pStyle w:val="SingleTxtG"/>
      </w:pPr>
      <w:r>
        <w:tab/>
      </w:r>
      <w:r w:rsidRPr="007C1DC2">
        <w:t>f)</w:t>
      </w:r>
      <w:r w:rsidRPr="007C1DC2">
        <w:tab/>
        <w:t>República Democrática del Congo;</w:t>
      </w:r>
    </w:p>
    <w:p w:rsidR="007C1DC2" w:rsidRPr="007C1DC2" w:rsidRDefault="007C1DC2" w:rsidP="007C1DC2">
      <w:pPr>
        <w:pStyle w:val="SingleTxtG"/>
      </w:pPr>
      <w:r>
        <w:tab/>
      </w:r>
      <w:r w:rsidRPr="007C1DC2">
        <w:t>g)</w:t>
      </w:r>
      <w:r w:rsidRPr="007C1DC2">
        <w:tab/>
        <w:t>Gabón;</w:t>
      </w:r>
    </w:p>
    <w:p w:rsidR="007C1DC2" w:rsidRPr="007C1DC2" w:rsidRDefault="007C1DC2" w:rsidP="007C1DC2">
      <w:pPr>
        <w:pStyle w:val="SingleTxtG"/>
      </w:pPr>
      <w:r>
        <w:tab/>
      </w:r>
      <w:r w:rsidRPr="007C1DC2">
        <w:t>h)</w:t>
      </w:r>
      <w:r w:rsidRPr="007C1DC2">
        <w:tab/>
        <w:t>Líbano;</w:t>
      </w:r>
    </w:p>
    <w:p w:rsidR="007C1DC2" w:rsidRPr="007C1DC2" w:rsidRDefault="007C1DC2" w:rsidP="007C1DC2">
      <w:pPr>
        <w:pStyle w:val="SingleTxtG"/>
      </w:pPr>
      <w:r>
        <w:tab/>
      </w:r>
      <w:r w:rsidRPr="007C1DC2">
        <w:t>i)</w:t>
      </w:r>
      <w:r w:rsidRPr="007C1DC2">
        <w:tab/>
        <w:t>Liberia;</w:t>
      </w:r>
    </w:p>
    <w:p w:rsidR="007C1DC2" w:rsidRPr="007C1DC2" w:rsidRDefault="007C1DC2" w:rsidP="007C1DC2">
      <w:pPr>
        <w:pStyle w:val="SingleTxtG"/>
      </w:pPr>
      <w:r>
        <w:tab/>
      </w:r>
      <w:r w:rsidRPr="007C1DC2">
        <w:t>j)</w:t>
      </w:r>
      <w:r w:rsidRPr="007C1DC2">
        <w:tab/>
        <w:t>Nigeria;</w:t>
      </w:r>
    </w:p>
    <w:p w:rsidR="007C1DC2" w:rsidRPr="007C1DC2" w:rsidRDefault="007C1DC2" w:rsidP="007C1DC2">
      <w:pPr>
        <w:pStyle w:val="SingleTxtG"/>
      </w:pPr>
      <w:r>
        <w:tab/>
      </w:r>
      <w:r w:rsidRPr="007C1DC2">
        <w:t>k)</w:t>
      </w:r>
      <w:r w:rsidRPr="007C1DC2">
        <w:tab/>
        <w:t>Panamá.</w:t>
      </w:r>
    </w:p>
    <w:p w:rsidR="007C1DC2" w:rsidRPr="007C1DC2" w:rsidRDefault="007C1DC2" w:rsidP="007C1DC2">
      <w:pPr>
        <w:pStyle w:val="SingleTxtG"/>
      </w:pPr>
      <w:r w:rsidRPr="007C1DC2">
        <w:t>6.</w:t>
      </w:r>
      <w:r w:rsidRPr="007C1DC2">
        <w:tab/>
        <w:t xml:space="preserve">El Subcomité revisará la lista periódicamente y sacará de ella </w:t>
      </w:r>
      <w:r w:rsidRPr="007C1DC2">
        <w:rPr>
          <w:lang w:val="es-ES_tradnl"/>
        </w:rPr>
        <w:t>sin demora</w:t>
      </w:r>
      <w:r w:rsidRPr="007C1DC2">
        <w:t xml:space="preserve"> a </w:t>
      </w:r>
      <w:r w:rsidRPr="007C1DC2">
        <w:rPr>
          <w:lang w:val="es-ES_tradnl"/>
        </w:rPr>
        <w:t>los</w:t>
      </w:r>
      <w:r w:rsidRPr="007C1DC2">
        <w:t xml:space="preserve"> países que cumplan </w:t>
      </w:r>
      <w:r w:rsidRPr="007C1DC2">
        <w:rPr>
          <w:lang w:val="es-ES_tradnl"/>
        </w:rPr>
        <w:t>lo dispuesto en el</w:t>
      </w:r>
      <w:r w:rsidRPr="007C1DC2">
        <w:t xml:space="preserve"> artículo 17 del Protocolo Facultativo. </w:t>
      </w:r>
    </w:p>
    <w:p w:rsidR="007C1DC2" w:rsidRPr="007C1DC2" w:rsidRDefault="007C1DC2" w:rsidP="007C1DC2">
      <w:pPr>
        <w:pStyle w:val="SingleTxtG"/>
      </w:pPr>
      <w:r w:rsidRPr="007C1DC2">
        <w:t>7.</w:t>
      </w:r>
      <w:r w:rsidRPr="007C1DC2">
        <w:tab/>
        <w:t>El Subcomité mantiene su compromiso de cooperar con los Estados partes prestándoles asesoramiento y asistencia para el establecimiento de mecanismos nacionales de prevención.</w:t>
      </w:r>
    </w:p>
    <w:p w:rsidR="007C1DC2" w:rsidRPr="007C1DC2" w:rsidRDefault="007C1DC2" w:rsidP="007C1DC2">
      <w:pPr>
        <w:pStyle w:val="SingleTxtG"/>
        <w:suppressAutoHyphens/>
        <w:spacing w:before="240" w:after="0"/>
        <w:jc w:val="center"/>
        <w:rPr>
          <w:u w:val="single"/>
        </w:rPr>
      </w:pPr>
      <w:r>
        <w:rPr>
          <w:u w:val="single"/>
        </w:rPr>
        <w:tab/>
      </w:r>
      <w:r>
        <w:rPr>
          <w:u w:val="single"/>
        </w:rPr>
        <w:tab/>
      </w:r>
      <w:r>
        <w:rPr>
          <w:u w:val="single"/>
        </w:rPr>
        <w:tab/>
      </w:r>
    </w:p>
    <w:sectPr w:rsidR="007C1DC2" w:rsidRPr="007C1DC2" w:rsidSect="007C1DC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20E" w:rsidRPr="00B94EAA" w:rsidRDefault="0066420E" w:rsidP="00B94EAA">
      <w:pPr>
        <w:pStyle w:val="Piedepgina"/>
      </w:pPr>
    </w:p>
  </w:endnote>
  <w:endnote w:type="continuationSeparator" w:id="0">
    <w:p w:rsidR="0066420E" w:rsidRPr="00B94EAA" w:rsidRDefault="0066420E"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C2" w:rsidRPr="007C1DC2" w:rsidRDefault="007C1DC2" w:rsidP="007C1DC2">
    <w:pPr>
      <w:pStyle w:val="Piedepgina"/>
      <w:tabs>
        <w:tab w:val="right" w:pos="9638"/>
      </w:tabs>
    </w:pPr>
    <w:r w:rsidRPr="007C1DC2">
      <w:rPr>
        <w:b/>
        <w:sz w:val="18"/>
      </w:rPr>
      <w:fldChar w:fldCharType="begin"/>
    </w:r>
    <w:r w:rsidRPr="007C1DC2">
      <w:rPr>
        <w:b/>
        <w:sz w:val="18"/>
      </w:rPr>
      <w:instrText xml:space="preserve"> PAGE  \* MERGEFORMAT </w:instrText>
    </w:r>
    <w:r w:rsidRPr="007C1DC2">
      <w:rPr>
        <w:b/>
        <w:sz w:val="18"/>
      </w:rPr>
      <w:fldChar w:fldCharType="separate"/>
    </w:r>
    <w:r w:rsidR="004D7648">
      <w:rPr>
        <w:b/>
        <w:noProof/>
        <w:sz w:val="18"/>
      </w:rPr>
      <w:t>2</w:t>
    </w:r>
    <w:r w:rsidRPr="007C1DC2">
      <w:rPr>
        <w:b/>
        <w:sz w:val="18"/>
      </w:rPr>
      <w:fldChar w:fldCharType="end"/>
    </w:r>
    <w:r>
      <w:rPr>
        <w:b/>
        <w:sz w:val="18"/>
      </w:rPr>
      <w:tab/>
    </w:r>
    <w:proofErr w:type="spellStart"/>
    <w:r>
      <w:t>GE.16</w:t>
    </w:r>
    <w:proofErr w:type="spellEnd"/>
    <w:r>
      <w:t>-12212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C2" w:rsidRPr="007C1DC2" w:rsidRDefault="007C1DC2" w:rsidP="007C1DC2">
    <w:pPr>
      <w:pStyle w:val="Piedepgina"/>
      <w:tabs>
        <w:tab w:val="right" w:pos="9638"/>
      </w:tabs>
      <w:rPr>
        <w:b/>
        <w:sz w:val="18"/>
      </w:rPr>
    </w:pPr>
    <w:proofErr w:type="spellStart"/>
    <w:r>
      <w:t>GE.16</w:t>
    </w:r>
    <w:proofErr w:type="spellEnd"/>
    <w:r>
      <w:t>-12212</w:t>
    </w:r>
    <w:r>
      <w:tab/>
    </w:r>
    <w:r w:rsidRPr="007C1DC2">
      <w:rPr>
        <w:b/>
        <w:sz w:val="18"/>
      </w:rPr>
      <w:fldChar w:fldCharType="begin"/>
    </w:r>
    <w:r w:rsidRPr="007C1DC2">
      <w:rPr>
        <w:b/>
        <w:sz w:val="18"/>
      </w:rPr>
      <w:instrText xml:space="preserve"> PAGE  \* MERGEFORMAT </w:instrText>
    </w:r>
    <w:r w:rsidRPr="007C1DC2">
      <w:rPr>
        <w:b/>
        <w:sz w:val="18"/>
      </w:rPr>
      <w:fldChar w:fldCharType="separate"/>
    </w:r>
    <w:r w:rsidR="00335D59">
      <w:rPr>
        <w:b/>
        <w:noProof/>
        <w:sz w:val="18"/>
      </w:rPr>
      <w:t>2</w:t>
    </w:r>
    <w:r w:rsidRPr="007C1D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964" w:rsidRPr="007C1DC2" w:rsidRDefault="007C1DC2" w:rsidP="007C1DC2">
    <w:pPr>
      <w:pStyle w:val="Piedepgina"/>
      <w:spacing w:before="120" w:line="240" w:lineRule="auto"/>
      <w:rPr>
        <w:sz w:val="20"/>
      </w:rPr>
    </w:pPr>
    <w:proofErr w:type="spellStart"/>
    <w:r>
      <w:rPr>
        <w:sz w:val="20"/>
      </w:rPr>
      <w:t>GE.</w:t>
    </w:r>
    <w:r w:rsidR="0066420E">
      <w:rPr>
        <w:noProof/>
      </w:rPr>
      <w:drawing>
        <wp:anchor distT="0" distB="0" distL="114300" distR="114300" simplePos="0" relativeHeight="251657728" behindDoc="0" locked="1" layoutInCell="1" allowOverlap="1" wp14:anchorId="0328601C" wp14:editId="3EFBC61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12212  (</w:t>
    </w:r>
    <w:proofErr w:type="gramEnd"/>
    <w:r>
      <w:rPr>
        <w:sz w:val="20"/>
      </w:rPr>
      <w:t>S)</w:t>
    </w:r>
    <w:r w:rsidR="00E15FD1">
      <w:rPr>
        <w:sz w:val="20"/>
      </w:rPr>
      <w:t xml:space="preserve">    140916    150916</w:t>
    </w:r>
    <w:r>
      <w:rPr>
        <w:sz w:val="20"/>
      </w:rPr>
      <w:br/>
    </w:r>
    <w:r w:rsidRPr="007C1DC2">
      <w:rPr>
        <w:rFonts w:ascii="C39T30Lfz" w:hAnsi="C39T30Lfz"/>
        <w:sz w:val="56"/>
      </w:rPr>
      <w:t></w:t>
    </w:r>
    <w:r w:rsidRPr="007C1DC2">
      <w:rPr>
        <w:rFonts w:ascii="C39T30Lfz" w:hAnsi="C39T30Lfz"/>
        <w:sz w:val="56"/>
      </w:rPr>
      <w:t></w:t>
    </w:r>
    <w:r w:rsidRPr="007C1DC2">
      <w:rPr>
        <w:rFonts w:ascii="C39T30Lfz" w:hAnsi="C39T30Lfz"/>
        <w:sz w:val="56"/>
      </w:rPr>
      <w:t></w:t>
    </w:r>
    <w:r w:rsidRPr="007C1DC2">
      <w:rPr>
        <w:rFonts w:ascii="C39T30Lfz" w:hAnsi="C39T30Lfz"/>
        <w:sz w:val="56"/>
      </w:rPr>
      <w:t></w:t>
    </w:r>
    <w:r w:rsidRPr="007C1DC2">
      <w:rPr>
        <w:rFonts w:ascii="C39T30Lfz" w:hAnsi="C39T30Lfz"/>
        <w:sz w:val="56"/>
      </w:rPr>
      <w:t></w:t>
    </w:r>
    <w:r w:rsidRPr="007C1DC2">
      <w:rPr>
        <w:rFonts w:ascii="C39T30Lfz" w:hAnsi="C39T30Lfz"/>
        <w:sz w:val="56"/>
      </w:rPr>
      <w:t></w:t>
    </w:r>
    <w:r w:rsidRPr="007C1DC2">
      <w:rPr>
        <w:rFonts w:ascii="C39T30Lfz" w:hAnsi="C39T30Lfz"/>
        <w:sz w:val="56"/>
      </w:rPr>
      <w:t></w:t>
    </w:r>
    <w:r w:rsidRPr="007C1DC2">
      <w:rPr>
        <w:rFonts w:ascii="C39T30Lfz" w:hAnsi="C39T30Lfz"/>
        <w:sz w:val="56"/>
      </w:rPr>
      <w:t></w:t>
    </w:r>
    <w:r w:rsidRPr="007C1DC2">
      <w:rPr>
        <w:rFonts w:ascii="C39T30Lfz" w:hAnsi="C39T30Lfz"/>
        <w:sz w:val="56"/>
      </w:rPr>
      <w:t></w:t>
    </w:r>
    <w:r>
      <w:rPr>
        <w:noProof/>
        <w:sz w:val="20"/>
      </w:rPr>
      <w:drawing>
        <wp:anchor distT="0" distB="0" distL="114300" distR="114300" simplePos="0" relativeHeight="251658752" behindDoc="0" locked="0" layoutInCell="1" allowOverlap="1" wp14:anchorId="5BEB8234" wp14:editId="74EEDC8E">
          <wp:simplePos x="0" y="0"/>
          <wp:positionH relativeFrom="margin">
            <wp:posOffset>5489575</wp:posOffset>
          </wp:positionH>
          <wp:positionV relativeFrom="margin">
            <wp:posOffset>8027670</wp:posOffset>
          </wp:positionV>
          <wp:extent cx="638175" cy="638175"/>
          <wp:effectExtent l="0" t="0" r="9525" b="9525"/>
          <wp:wrapNone/>
          <wp:docPr id="3" name="Imagen 2" descr="http://undocs.org/m2/QRCode.ashx?DS=CAT/OP/2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OP/2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20E" w:rsidRPr="001075E9" w:rsidRDefault="0066420E" w:rsidP="001075E9">
      <w:pPr>
        <w:tabs>
          <w:tab w:val="right" w:pos="2155"/>
        </w:tabs>
        <w:spacing w:after="80" w:line="240" w:lineRule="auto"/>
        <w:ind w:left="680"/>
        <w:rPr>
          <w:u w:val="single"/>
        </w:rPr>
      </w:pPr>
      <w:r>
        <w:rPr>
          <w:u w:val="single"/>
        </w:rPr>
        <w:tab/>
      </w:r>
    </w:p>
  </w:footnote>
  <w:footnote w:type="continuationSeparator" w:id="0">
    <w:p w:rsidR="0066420E" w:rsidRDefault="0066420E"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C2" w:rsidRPr="007C1DC2" w:rsidRDefault="007C1DC2">
    <w:pPr>
      <w:pStyle w:val="Encabezado"/>
    </w:pPr>
    <w:r>
      <w:t>CAT/</w:t>
    </w:r>
    <w:proofErr w:type="spellStart"/>
    <w:r>
      <w:t>OP</w:t>
    </w:r>
    <w:proofErr w:type="spellEnd"/>
    <w:r>
      <w:t>/29/1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DC2" w:rsidRPr="007C1DC2" w:rsidRDefault="007C1DC2" w:rsidP="007C1DC2">
    <w:pPr>
      <w:pStyle w:val="Encabezado"/>
      <w:jc w:val="right"/>
    </w:pPr>
    <w:r>
      <w:t>CAT/</w:t>
    </w:r>
    <w:proofErr w:type="spellStart"/>
    <w:r>
      <w:t>OP</w:t>
    </w:r>
    <w:proofErr w:type="spellEnd"/>
    <w:r>
      <w:t>/29/1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20E"/>
    <w:rsid w:val="00001656"/>
    <w:rsid w:val="00006BB9"/>
    <w:rsid w:val="000B57E7"/>
    <w:rsid w:val="000F09DF"/>
    <w:rsid w:val="000F61B2"/>
    <w:rsid w:val="001075E9"/>
    <w:rsid w:val="00155C74"/>
    <w:rsid w:val="00160FF7"/>
    <w:rsid w:val="00180183"/>
    <w:rsid w:val="0018060E"/>
    <w:rsid w:val="00196389"/>
    <w:rsid w:val="001B04E7"/>
    <w:rsid w:val="001B513E"/>
    <w:rsid w:val="001C7A89"/>
    <w:rsid w:val="001E652F"/>
    <w:rsid w:val="0022765D"/>
    <w:rsid w:val="0028026A"/>
    <w:rsid w:val="002A2EFC"/>
    <w:rsid w:val="002C0E18"/>
    <w:rsid w:val="002C33BB"/>
    <w:rsid w:val="002D5AAC"/>
    <w:rsid w:val="00301299"/>
    <w:rsid w:val="00322004"/>
    <w:rsid w:val="00335D59"/>
    <w:rsid w:val="003402C2"/>
    <w:rsid w:val="003662D0"/>
    <w:rsid w:val="00381C24"/>
    <w:rsid w:val="003958D0"/>
    <w:rsid w:val="003E3860"/>
    <w:rsid w:val="0041418E"/>
    <w:rsid w:val="00454E07"/>
    <w:rsid w:val="0047036F"/>
    <w:rsid w:val="004C7964"/>
    <w:rsid w:val="004D7648"/>
    <w:rsid w:val="0050108D"/>
    <w:rsid w:val="00561C11"/>
    <w:rsid w:val="00572E19"/>
    <w:rsid w:val="005B1649"/>
    <w:rsid w:val="005F0B42"/>
    <w:rsid w:val="005F16AE"/>
    <w:rsid w:val="00627833"/>
    <w:rsid w:val="00655A21"/>
    <w:rsid w:val="0066420E"/>
    <w:rsid w:val="006808A9"/>
    <w:rsid w:val="006928EB"/>
    <w:rsid w:val="006A4CE0"/>
    <w:rsid w:val="006B5350"/>
    <w:rsid w:val="006C1A4E"/>
    <w:rsid w:val="006F35EE"/>
    <w:rsid w:val="006F6C28"/>
    <w:rsid w:val="007021FF"/>
    <w:rsid w:val="007076CB"/>
    <w:rsid w:val="00744102"/>
    <w:rsid w:val="007521BD"/>
    <w:rsid w:val="00773DE4"/>
    <w:rsid w:val="00774ECC"/>
    <w:rsid w:val="007967DF"/>
    <w:rsid w:val="007A10D1"/>
    <w:rsid w:val="007B5512"/>
    <w:rsid w:val="007C1DC2"/>
    <w:rsid w:val="007D1802"/>
    <w:rsid w:val="0081068B"/>
    <w:rsid w:val="00810DFC"/>
    <w:rsid w:val="00812E97"/>
    <w:rsid w:val="0081591E"/>
    <w:rsid w:val="008223FD"/>
    <w:rsid w:val="00834B71"/>
    <w:rsid w:val="0086445C"/>
    <w:rsid w:val="0087010F"/>
    <w:rsid w:val="008A08D7"/>
    <w:rsid w:val="008A13F9"/>
    <w:rsid w:val="00906890"/>
    <w:rsid w:val="00951972"/>
    <w:rsid w:val="0096178F"/>
    <w:rsid w:val="00963777"/>
    <w:rsid w:val="00965C56"/>
    <w:rsid w:val="009F3AAE"/>
    <w:rsid w:val="00A028FD"/>
    <w:rsid w:val="00A16630"/>
    <w:rsid w:val="00A17DFD"/>
    <w:rsid w:val="00A6214A"/>
    <w:rsid w:val="00A917B3"/>
    <w:rsid w:val="00AB4B51"/>
    <w:rsid w:val="00AC5B8D"/>
    <w:rsid w:val="00AE42BB"/>
    <w:rsid w:val="00B10CC7"/>
    <w:rsid w:val="00B45F9C"/>
    <w:rsid w:val="00B52259"/>
    <w:rsid w:val="00B62458"/>
    <w:rsid w:val="00B94EAA"/>
    <w:rsid w:val="00BD33EE"/>
    <w:rsid w:val="00BF4687"/>
    <w:rsid w:val="00C3381F"/>
    <w:rsid w:val="00C60F0C"/>
    <w:rsid w:val="00C805C9"/>
    <w:rsid w:val="00CA1679"/>
    <w:rsid w:val="00D03969"/>
    <w:rsid w:val="00D751E9"/>
    <w:rsid w:val="00D90138"/>
    <w:rsid w:val="00D90D44"/>
    <w:rsid w:val="00D93F4D"/>
    <w:rsid w:val="00DC4C3F"/>
    <w:rsid w:val="00DD2C62"/>
    <w:rsid w:val="00DF29B2"/>
    <w:rsid w:val="00E026EE"/>
    <w:rsid w:val="00E14BCD"/>
    <w:rsid w:val="00E15FD1"/>
    <w:rsid w:val="00E73F76"/>
    <w:rsid w:val="00ED3F84"/>
    <w:rsid w:val="00EE4E94"/>
    <w:rsid w:val="00EF1360"/>
    <w:rsid w:val="00EF2381"/>
    <w:rsid w:val="00EF3220"/>
    <w:rsid w:val="00F10730"/>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7C1DC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C1DC2"/>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7C1DC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C1DC2"/>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Pages>
  <Words>551</Words>
  <Characters>2919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CAT/OP/29/1</vt:lpstr>
    </vt:vector>
  </TitlesOfParts>
  <Company/>
  <LinksUpToDate>false</LinksUpToDate>
  <CharactersWithSpaces>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CAT/OP/29/1</dc:title>
  <dc:subject/>
  <dc:creator>PARADA</dc:creator>
  <cp:keywords/>
  <dc:description/>
  <cp:lastModifiedBy>Generic TPSSPA1</cp:lastModifiedBy>
  <cp:revision>3</cp:revision>
  <cp:lastPrinted>2016-09-15T14:22:00Z</cp:lastPrinted>
  <dcterms:created xsi:type="dcterms:W3CDTF">2016-09-15T14:22:00Z</dcterms:created>
  <dcterms:modified xsi:type="dcterms:W3CDTF">2016-09-15T14:22:00Z</dcterms:modified>
</cp:coreProperties>
</file>